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03566">
      <w:pPr>
        <w:spacing w:before="156" w:line="360" w:lineRule="auto"/>
        <w:jc w:val="center"/>
        <w:rPr>
          <w:rFonts w:hint="eastAsia" w:ascii="宋体" w:hAnsi="宋体" w:eastAsia="宋体" w:cs="宋体"/>
          <w:color w:val="auto"/>
          <w:sz w:val="52"/>
          <w:szCs w:val="52"/>
          <w:highlight w:val="none"/>
          <w:lang w:eastAsia="zh-CN"/>
        </w:rPr>
      </w:pPr>
    </w:p>
    <w:p w14:paraId="1B2CF60C">
      <w:pPr>
        <w:spacing w:before="156" w:line="360" w:lineRule="auto"/>
        <w:jc w:val="center"/>
        <w:rPr>
          <w:rFonts w:hint="eastAsia" w:ascii="宋体" w:hAnsi="宋体" w:eastAsia="宋体" w:cs="宋体"/>
          <w:b/>
          <w:bCs/>
          <w:color w:val="auto"/>
          <w:sz w:val="48"/>
          <w:szCs w:val="48"/>
          <w:highlight w:val="none"/>
        </w:rPr>
      </w:pPr>
      <w:r>
        <w:rPr>
          <w:rFonts w:hint="eastAsia" w:ascii="宋体" w:hAnsi="宋体" w:eastAsia="宋体" w:cs="宋体"/>
          <w:b/>
          <w:bCs/>
          <w:color w:val="auto"/>
          <w:sz w:val="96"/>
          <w:szCs w:val="96"/>
          <w:highlight w:val="none"/>
        </w:rPr>
        <w:t>竞争性谈判文件</w:t>
      </w:r>
    </w:p>
    <w:p w14:paraId="1ED35015">
      <w:pPr>
        <w:spacing w:before="312" w:after="156" w:line="360" w:lineRule="auto"/>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（全流程电子化评标）</w:t>
      </w:r>
    </w:p>
    <w:p w14:paraId="1F32B42B">
      <w:pPr>
        <w:spacing w:line="360" w:lineRule="auto"/>
        <w:rPr>
          <w:rFonts w:hint="eastAsia" w:ascii="宋体" w:hAnsi="宋体" w:eastAsia="宋体" w:cs="宋体"/>
          <w:b/>
          <w:color w:val="auto"/>
          <w:sz w:val="32"/>
          <w:szCs w:val="32"/>
          <w:highlight w:val="none"/>
        </w:rPr>
      </w:pPr>
    </w:p>
    <w:p w14:paraId="039B0BDD">
      <w:pPr>
        <w:spacing w:line="360" w:lineRule="auto"/>
        <w:jc w:val="center"/>
        <w:rPr>
          <w:rFonts w:hint="eastAsia" w:ascii="宋体" w:hAnsi="宋体" w:eastAsia="宋体" w:cs="宋体"/>
          <w:b/>
          <w:color w:val="auto"/>
          <w:sz w:val="32"/>
          <w:szCs w:val="32"/>
          <w:highlight w:val="none"/>
        </w:rPr>
      </w:pPr>
    </w:p>
    <w:p w14:paraId="0C7E7335">
      <w:pPr>
        <w:spacing w:before="50" w:after="120" w:line="360" w:lineRule="auto"/>
        <w:ind w:firstLine="1193"/>
        <w:rPr>
          <w:rFonts w:hint="eastAsia" w:ascii="宋体" w:hAnsi="宋体" w:eastAsia="宋体" w:cs="宋体"/>
          <w:b/>
          <w:bCs/>
          <w:color w:val="auto"/>
          <w:sz w:val="30"/>
          <w:szCs w:val="30"/>
          <w:highlight w:val="none"/>
          <w:lang w:val="zh-CN" w:eastAsia="zh-CN"/>
        </w:rPr>
      </w:pPr>
      <w:r>
        <w:rPr>
          <w:rFonts w:hint="eastAsia" w:ascii="宋体" w:hAnsi="宋体" w:eastAsia="宋体" w:cs="宋体"/>
          <w:b/>
          <w:bCs/>
          <w:color w:val="auto"/>
          <w:sz w:val="30"/>
          <w:szCs w:val="30"/>
          <w:highlight w:val="none"/>
          <w:lang w:val="zh-CN" w:eastAsia="zh-CN"/>
        </w:rPr>
        <w:t>项目名称：</w:t>
      </w:r>
      <w:r>
        <w:rPr>
          <w:rFonts w:hint="eastAsia" w:hAnsi="宋体" w:cs="宋体"/>
          <w:b/>
          <w:color w:val="000000" w:themeColor="text1"/>
          <w:sz w:val="30"/>
          <w:szCs w:val="72"/>
          <w:lang w:eastAsia="zh-CN"/>
          <w14:textFill>
            <w14:solidFill>
              <w14:schemeClr w14:val="tx1"/>
            </w14:solidFill>
          </w14:textFill>
        </w:rPr>
        <w:t>荔浦市残疾人康复中心大楼设备采购</w:t>
      </w:r>
    </w:p>
    <w:p w14:paraId="04E3CFA0">
      <w:pPr>
        <w:spacing w:before="156" w:line="360" w:lineRule="auto"/>
        <w:ind w:firstLine="1145"/>
        <w:rPr>
          <w:rFonts w:hint="eastAsia" w:ascii="宋体" w:hAnsi="宋体" w:eastAsia="宋体" w:cs="宋体"/>
          <w:b/>
          <w:color w:val="auto"/>
          <w:sz w:val="30"/>
          <w:szCs w:val="48"/>
          <w:highlight w:val="none"/>
          <w:lang w:val="en-US" w:eastAsia="zh-CN"/>
        </w:rPr>
      </w:pPr>
      <w:r>
        <w:rPr>
          <w:rFonts w:hint="eastAsia" w:ascii="宋体" w:hAnsi="宋体" w:eastAsia="宋体" w:cs="宋体"/>
          <w:b/>
          <w:bCs/>
          <w:color w:val="auto"/>
          <w:sz w:val="30"/>
          <w:szCs w:val="30"/>
          <w:highlight w:val="none"/>
        </w:rPr>
        <w:t>项目编号：</w:t>
      </w:r>
      <w:r>
        <w:rPr>
          <w:rFonts w:hint="eastAsia" w:ascii="宋体" w:hAnsi="宋体" w:eastAsia="宋体" w:cs="宋体"/>
          <w:b/>
          <w:bCs/>
          <w:color w:val="auto"/>
          <w:sz w:val="30"/>
          <w:szCs w:val="30"/>
          <w:highlight w:val="none"/>
          <w:lang w:eastAsia="zh-CN"/>
        </w:rPr>
        <w:t xml:space="preserve"> GLZC2026-J1-310032-GXKL</w:t>
      </w:r>
    </w:p>
    <w:p w14:paraId="7E29D09E">
      <w:pPr>
        <w:spacing w:before="50" w:after="120" w:line="360" w:lineRule="auto"/>
        <w:ind w:firstLine="1125"/>
        <w:rPr>
          <w:rFonts w:hint="eastAsia" w:ascii="宋体" w:hAnsi="宋体" w:eastAsia="宋体" w:cs="宋体"/>
          <w:b/>
          <w:bCs/>
          <w:color w:val="auto"/>
          <w:sz w:val="30"/>
          <w:szCs w:val="30"/>
          <w:highlight w:val="none"/>
          <w:lang w:val="zh-CN" w:eastAsia="zh-CN"/>
        </w:rPr>
      </w:pPr>
    </w:p>
    <w:p w14:paraId="62B69E7C">
      <w:pPr>
        <w:spacing w:before="50" w:after="120" w:line="360" w:lineRule="auto"/>
        <w:ind w:firstLine="1125"/>
        <w:rPr>
          <w:rFonts w:hint="eastAsia" w:ascii="宋体" w:hAnsi="宋体" w:eastAsia="宋体" w:cs="宋体"/>
          <w:b/>
          <w:bCs/>
          <w:color w:val="auto"/>
          <w:sz w:val="30"/>
          <w:szCs w:val="30"/>
          <w:highlight w:val="none"/>
          <w:lang w:val="zh-CN" w:eastAsia="zh-CN"/>
        </w:rPr>
      </w:pPr>
    </w:p>
    <w:p w14:paraId="476CDA58">
      <w:pPr>
        <w:spacing w:before="50" w:after="120" w:line="360" w:lineRule="auto"/>
        <w:ind w:firstLine="1125"/>
        <w:rPr>
          <w:rFonts w:hint="eastAsia" w:ascii="宋体" w:hAnsi="宋体" w:eastAsia="宋体" w:cs="宋体"/>
          <w:b/>
          <w:bCs/>
          <w:color w:val="auto"/>
          <w:sz w:val="30"/>
          <w:szCs w:val="30"/>
          <w:highlight w:val="none"/>
          <w:lang w:val="zh-CN" w:eastAsia="zh-CN"/>
        </w:rPr>
      </w:pPr>
    </w:p>
    <w:p w14:paraId="12DB475F">
      <w:pPr>
        <w:spacing w:before="50" w:after="120" w:line="360" w:lineRule="auto"/>
        <w:ind w:firstLine="1125"/>
        <w:rPr>
          <w:rFonts w:hint="eastAsia" w:ascii="宋体" w:hAnsi="宋体" w:eastAsia="宋体" w:cs="宋体"/>
          <w:b/>
          <w:bCs/>
          <w:color w:val="auto"/>
          <w:sz w:val="30"/>
          <w:szCs w:val="30"/>
          <w:highlight w:val="none"/>
          <w:lang w:val="zh-CN" w:eastAsia="zh-CN"/>
        </w:rPr>
      </w:pPr>
      <w:r>
        <w:rPr>
          <w:rFonts w:hint="eastAsia" w:ascii="宋体" w:hAnsi="宋体" w:eastAsia="宋体" w:cs="宋体"/>
          <w:b/>
          <w:bCs/>
          <w:color w:val="auto"/>
          <w:sz w:val="30"/>
          <w:szCs w:val="30"/>
          <w:highlight w:val="none"/>
          <w:lang w:val="zh-CN" w:eastAsia="zh-CN"/>
        </w:rPr>
        <w:t xml:space="preserve">采 购 人：荔浦市残疾人联合会 </w:t>
      </w:r>
      <w:r>
        <w:rPr>
          <w:rFonts w:hint="eastAsia" w:ascii="宋体" w:hAnsi="宋体" w:eastAsia="宋体" w:cs="宋体"/>
          <w:b/>
          <w:bCs/>
          <w:color w:val="auto"/>
          <w:sz w:val="30"/>
          <w:szCs w:val="30"/>
          <w:highlight w:val="none"/>
          <w:lang w:val="en-US" w:eastAsia="zh-CN"/>
        </w:rPr>
        <w:t xml:space="preserve"> </w:t>
      </w:r>
    </w:p>
    <w:p w14:paraId="6EC8899F">
      <w:pPr>
        <w:spacing w:before="50" w:after="120" w:line="360" w:lineRule="auto"/>
        <w:ind w:firstLine="1125"/>
        <w:rPr>
          <w:rFonts w:hint="eastAsia" w:ascii="宋体" w:hAnsi="宋体" w:eastAsia="宋体" w:cs="宋体"/>
          <w:b/>
          <w:bCs/>
          <w:color w:val="auto"/>
          <w:sz w:val="30"/>
          <w:szCs w:val="30"/>
          <w:highlight w:val="none"/>
          <w:lang w:val="zh-CN" w:eastAsia="zh-CN"/>
        </w:rPr>
      </w:pPr>
      <w:r>
        <w:rPr>
          <w:rFonts w:hint="eastAsia" w:ascii="宋体" w:hAnsi="宋体" w:eastAsia="宋体" w:cs="宋体"/>
          <w:b/>
          <w:bCs/>
          <w:color w:val="auto"/>
          <w:sz w:val="30"/>
          <w:szCs w:val="30"/>
          <w:highlight w:val="none"/>
          <w:lang w:val="zh-CN" w:eastAsia="zh-CN"/>
        </w:rPr>
        <w:t>采购代理机构：</w:t>
      </w:r>
      <w:bookmarkStart w:id="0" w:name="PO_3000001866_PM031"/>
      <w:r>
        <w:rPr>
          <w:rFonts w:hint="eastAsia" w:ascii="宋体" w:hAnsi="宋体" w:eastAsia="宋体" w:cs="宋体"/>
          <w:b/>
          <w:bCs/>
          <w:color w:val="auto"/>
          <w:sz w:val="30"/>
          <w:szCs w:val="30"/>
          <w:highlight w:val="none"/>
          <w:lang w:val="zh-CN" w:eastAsia="zh-CN"/>
        </w:rPr>
        <w:t>广西科联招标中心有限公司</w:t>
      </w:r>
      <w:bookmarkEnd w:id="0"/>
    </w:p>
    <w:p w14:paraId="7FB15D74">
      <w:pPr>
        <w:spacing w:line="360" w:lineRule="auto"/>
        <w:ind w:firstLine="1928" w:firstLineChars="600"/>
        <w:jc w:val="both"/>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2026</w:t>
      </w:r>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lang w:val="en-US" w:eastAsia="zh-CN"/>
        </w:rPr>
        <w:t>8</w:t>
      </w:r>
      <w:r>
        <w:rPr>
          <w:rFonts w:hint="eastAsia" w:ascii="宋体" w:hAnsi="宋体" w:eastAsia="宋体" w:cs="宋体"/>
          <w:b/>
          <w:color w:val="auto"/>
          <w:sz w:val="32"/>
          <w:szCs w:val="32"/>
          <w:highlight w:val="none"/>
        </w:rPr>
        <w:t>月</w:t>
      </w:r>
      <w:r>
        <w:rPr>
          <w:rFonts w:hint="eastAsia" w:ascii="宋体" w:hAnsi="宋体" w:eastAsia="宋体" w:cs="宋体"/>
          <w:b/>
          <w:color w:val="auto"/>
          <w:sz w:val="32"/>
          <w:szCs w:val="32"/>
          <w:highlight w:val="none"/>
          <w:lang w:val="en-US" w:eastAsia="zh-CN"/>
        </w:rPr>
        <w:t>17</w:t>
      </w:r>
      <w:r>
        <w:rPr>
          <w:rFonts w:hint="eastAsia" w:ascii="宋体" w:hAnsi="宋体" w:eastAsia="宋体" w:cs="宋体"/>
          <w:b/>
          <w:color w:val="auto"/>
          <w:sz w:val="32"/>
          <w:szCs w:val="32"/>
          <w:highlight w:val="none"/>
        </w:rPr>
        <w:t>日</w:t>
      </w:r>
    </w:p>
    <w:p w14:paraId="5087943F">
      <w:pPr>
        <w:ind w:firstLine="803"/>
        <w:jc w:val="center"/>
        <w:rPr>
          <w:rFonts w:hint="eastAsia" w:ascii="宋体" w:hAnsi="宋体" w:eastAsia="宋体" w:cs="宋体"/>
          <w:b/>
          <w:color w:val="auto"/>
          <w:sz w:val="32"/>
          <w:szCs w:val="32"/>
          <w:highlight w:val="none"/>
          <w:lang w:val="zh-CN" w:eastAsia="zh-CN"/>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sectPr>
      </w:pPr>
    </w:p>
    <w:p w14:paraId="4B0EDDC6">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73F5D372">
      <w:pPr>
        <w:spacing w:line="400" w:lineRule="exact"/>
        <w:jc w:val="center"/>
        <w:rPr>
          <w:rFonts w:hint="eastAsia" w:ascii="宋体" w:hAnsi="宋体" w:eastAsia="宋体" w:cs="宋体"/>
          <w:b/>
          <w:color w:val="auto"/>
          <w:sz w:val="44"/>
          <w:szCs w:val="44"/>
          <w:highlight w:val="none"/>
        </w:rPr>
      </w:pPr>
    </w:p>
    <w:p w14:paraId="07835F86">
      <w:pPr>
        <w:pStyle w:val="32"/>
        <w:tabs>
          <w:tab w:val="right" w:leader="dot" w:pos="8879"/>
        </w:tabs>
        <w:rPr>
          <w:rFonts w:hint="eastAsia" w:ascii="宋体" w:hAnsi="宋体" w:eastAsia="宋体" w:cs="宋体"/>
          <w:b/>
          <w:bCs w:val="0"/>
          <w:color w:val="auto"/>
          <w:sz w:val="28"/>
          <w:szCs w:val="28"/>
          <w:highlight w:val="none"/>
        </w:rPr>
      </w:pPr>
    </w:p>
    <w:p w14:paraId="2F6B6A02">
      <w:pPr>
        <w:pStyle w:val="32"/>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val="0"/>
          <w:color w:val="auto"/>
          <w:sz w:val="24"/>
          <w:szCs w:val="24"/>
          <w:highlight w:val="none"/>
        </w:rPr>
        <w:fldChar w:fldCharType="begin"/>
      </w:r>
      <w:r>
        <w:rPr>
          <w:rFonts w:hint="eastAsia" w:ascii="宋体" w:hAnsi="宋体" w:eastAsia="宋体" w:cs="宋体"/>
          <w:b/>
          <w:bCs w:val="0"/>
          <w:color w:val="auto"/>
          <w:sz w:val="24"/>
          <w:szCs w:val="24"/>
          <w:highlight w:val="none"/>
        </w:rPr>
        <w:instrText xml:space="preserve">TOC \o "1-1" \h \u </w:instrText>
      </w:r>
      <w:r>
        <w:rPr>
          <w:rFonts w:hint="eastAsia" w:ascii="宋体" w:hAnsi="宋体" w:eastAsia="宋体" w:cs="宋体"/>
          <w:b/>
          <w:bCs w:val="0"/>
          <w:color w:val="auto"/>
          <w:sz w:val="24"/>
          <w:szCs w:val="24"/>
          <w:highlight w:val="none"/>
        </w:rPr>
        <w:fldChar w:fldCharType="separate"/>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_Toc28468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第一章 竞争性谈判公告</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_Toc28468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4C417FDC">
      <w:pPr>
        <w:pStyle w:val="32"/>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_Toc7676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第二章 采购需求</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_Toc7676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4E68BCBE">
      <w:pPr>
        <w:pStyle w:val="32"/>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_Toc16363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第三章 供应商须知</w:t>
      </w:r>
      <w:r>
        <w:rPr>
          <w:rFonts w:hint="eastAsia" w:ascii="宋体" w:hAnsi="宋体" w:eastAsia="宋体" w:cs="宋体"/>
          <w:b/>
          <w:bCs/>
          <w:color w:val="auto"/>
          <w:sz w:val="24"/>
          <w:szCs w:val="24"/>
          <w:highlight w:val="none"/>
        </w:rPr>
        <w:tab/>
      </w:r>
      <w:bookmarkStart w:id="183" w:name="_GoBack"/>
      <w:bookmarkEnd w:id="183"/>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_Toc16363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23</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282AD6A9">
      <w:pPr>
        <w:pStyle w:val="32"/>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_Toc17139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第四章 评审程序、评审方法和成交标准</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_Toc17139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43</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5446C856">
      <w:pPr>
        <w:pStyle w:val="32"/>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_Toc25678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第五章 响应文件格式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_Toc25678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49</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1A9139D3">
      <w:pPr>
        <w:pStyle w:val="32"/>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_Toc4631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第六章 合同文本</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_Toc4631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80</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11D45949">
      <w:pPr>
        <w:pStyle w:val="32"/>
        <w:tabs>
          <w:tab w:val="right" w:leader="dot" w:pos="8879"/>
        </w:tabs>
        <w:spacing w:line="480" w:lineRule="auto"/>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_Toc24483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第七章 质疑、投诉材料格式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_Toc24483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88</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4DB14C47">
      <w:pPr>
        <w:spacing w:line="48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val="0"/>
          <w:color w:val="auto"/>
          <w:sz w:val="24"/>
          <w:szCs w:val="24"/>
          <w:highlight w:val="none"/>
        </w:rPr>
        <w:fldChar w:fldCharType="end"/>
      </w:r>
    </w:p>
    <w:p w14:paraId="2B8D22EF">
      <w:pPr>
        <w:spacing w:line="400" w:lineRule="exact"/>
        <w:jc w:val="center"/>
        <w:rPr>
          <w:rFonts w:hint="eastAsia" w:ascii="宋体" w:hAnsi="宋体" w:eastAsia="宋体" w:cs="宋体"/>
          <w:b/>
          <w:color w:val="auto"/>
          <w:sz w:val="32"/>
          <w:szCs w:val="32"/>
          <w:highlight w:val="none"/>
        </w:rPr>
      </w:pPr>
    </w:p>
    <w:p w14:paraId="1725A83F">
      <w:pPr>
        <w:spacing w:line="400" w:lineRule="exact"/>
        <w:jc w:val="center"/>
        <w:rPr>
          <w:rFonts w:hint="eastAsia" w:ascii="宋体" w:hAnsi="宋体" w:eastAsia="宋体" w:cs="宋体"/>
          <w:b/>
          <w:color w:val="auto"/>
          <w:sz w:val="32"/>
          <w:szCs w:val="32"/>
          <w:highlight w:val="none"/>
        </w:rPr>
      </w:pPr>
    </w:p>
    <w:p w14:paraId="164F2159">
      <w:pPr>
        <w:spacing w:line="400" w:lineRule="exact"/>
        <w:rPr>
          <w:rFonts w:hint="eastAsia" w:ascii="宋体" w:hAnsi="宋体" w:eastAsia="宋体" w:cs="宋体"/>
          <w:b/>
          <w:color w:val="auto"/>
          <w:sz w:val="32"/>
          <w:szCs w:val="32"/>
          <w:highlight w:val="none"/>
        </w:rPr>
        <w:sectPr>
          <w:footerReference r:id="rId8" w:type="first"/>
          <w:footerReference r:id="rId7" w:type="default"/>
          <w:pgSz w:w="11906" w:h="16838"/>
          <w:pgMar w:top="1440" w:right="1440" w:bottom="1440" w:left="1587" w:header="851" w:footer="992" w:gutter="0"/>
          <w:cols w:space="720" w:num="1"/>
          <w:titlePg/>
        </w:sectPr>
      </w:pPr>
    </w:p>
    <w:p w14:paraId="2D1B4F3A">
      <w:pPr>
        <w:keepNext/>
        <w:keepLines/>
        <w:spacing w:before="340" w:after="330" w:line="400" w:lineRule="exact"/>
        <w:jc w:val="center"/>
        <w:outlineLvl w:val="0"/>
        <w:rPr>
          <w:rFonts w:hint="eastAsia" w:ascii="宋体" w:hAnsi="宋体" w:eastAsia="宋体" w:cs="宋体"/>
          <w:b/>
          <w:bCs/>
          <w:color w:val="auto"/>
          <w:sz w:val="44"/>
          <w:szCs w:val="44"/>
          <w:highlight w:val="none"/>
          <w:lang w:val="zh-CN" w:eastAsia="zh-CN"/>
        </w:rPr>
      </w:pPr>
      <w:bookmarkStart w:id="1" w:name="_Toc80205920"/>
      <w:bookmarkStart w:id="2" w:name="_Toc32002"/>
      <w:bookmarkStart w:id="3" w:name="_Toc15375"/>
      <w:bookmarkStart w:id="4" w:name="_Toc7085"/>
      <w:bookmarkStart w:id="5" w:name="_Toc21011"/>
      <w:bookmarkStart w:id="6" w:name="_Toc28468"/>
      <w:bookmarkStart w:id="7" w:name="_Toc21558"/>
      <w:bookmarkStart w:id="8" w:name="_Toc6626"/>
      <w:bookmarkStart w:id="9" w:name="_Toc2567"/>
      <w:r>
        <w:rPr>
          <w:rFonts w:hint="eastAsia" w:ascii="宋体" w:hAnsi="宋体" w:eastAsia="宋体" w:cs="宋体"/>
          <w:b/>
          <w:bCs/>
          <w:color w:val="auto"/>
          <w:sz w:val="44"/>
          <w:szCs w:val="44"/>
          <w:highlight w:val="none"/>
          <w:lang w:val="zh-CN" w:eastAsia="zh-CN"/>
        </w:rPr>
        <w:t>第一章 竞争性谈判公告</w:t>
      </w:r>
      <w:bookmarkEnd w:id="1"/>
      <w:bookmarkEnd w:id="2"/>
      <w:bookmarkEnd w:id="3"/>
      <w:bookmarkEnd w:id="4"/>
      <w:bookmarkEnd w:id="5"/>
      <w:bookmarkEnd w:id="6"/>
      <w:bookmarkEnd w:id="7"/>
      <w:bookmarkEnd w:id="8"/>
      <w:bookmarkEnd w:id="9"/>
      <w:bookmarkStart w:id="10" w:name="_Toc35393629"/>
      <w:bookmarkStart w:id="11" w:name="_Toc28359089"/>
      <w:bookmarkStart w:id="12" w:name="_Toc35393798"/>
      <w:bookmarkStart w:id="13" w:name="_Toc28359012"/>
      <w:bookmarkStart w:id="14" w:name="_Toc44229878"/>
      <w:bookmarkStart w:id="15" w:name="_Toc28359081"/>
      <w:bookmarkStart w:id="16" w:name="_Toc35393623"/>
      <w:bookmarkStart w:id="17" w:name="_Toc35393792"/>
      <w:bookmarkStart w:id="18" w:name="_Toc28359004"/>
    </w:p>
    <w:tbl>
      <w:tblPr>
        <w:tblStyle w:val="44"/>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4A22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noWrap w:val="0"/>
            <w:vAlign w:val="top"/>
          </w:tcPr>
          <w:p w14:paraId="4111C50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7D2BF1EE">
            <w:pPr>
              <w:spacing w:line="360" w:lineRule="auto"/>
              <w:ind w:firstLine="420"/>
              <w:rPr>
                <w:rFonts w:hint="eastAsia" w:ascii="宋体" w:hAnsi="宋体" w:eastAsia="宋体" w:cs="宋体"/>
                <w:bCs/>
                <w:color w:val="auto"/>
                <w:sz w:val="24"/>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荔浦市残疾人康复中心大楼设备采购</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采购项目的潜在供应商应在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7"/>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）获取</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文件，并于</w:t>
            </w:r>
            <w:r>
              <w:rPr>
                <w:rFonts w:hint="eastAsia" w:ascii="宋体" w:hAnsi="宋体" w:eastAsia="宋体" w:cs="宋体"/>
                <w:color w:val="auto"/>
                <w:szCs w:val="21"/>
                <w:highlight w:val="non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25</w:t>
            </w:r>
            <w:r>
              <w:rPr>
                <w:rFonts w:hint="eastAsia" w:ascii="宋体" w:hAnsi="宋体" w:eastAsia="宋体" w:cs="宋体"/>
                <w:color w:val="auto"/>
                <w:szCs w:val="21"/>
                <w:highlight w:val="none"/>
              </w:rPr>
              <w:t>日</w:t>
            </w:r>
            <w:r>
              <w:rPr>
                <w:rFonts w:hint="eastAsia" w:ascii="宋体" w:hAnsi="宋体" w:cs="宋体"/>
                <w:color w:val="auto"/>
                <w:szCs w:val="21"/>
                <w:highlight w:val="none"/>
              </w:rPr>
              <w:t>09:30（北京时间）</w:t>
            </w:r>
            <w:r>
              <w:rPr>
                <w:rFonts w:hint="eastAsia" w:ascii="宋体" w:hAnsi="宋体" w:eastAsia="宋体" w:cs="宋体"/>
                <w:color w:val="auto"/>
                <w:szCs w:val="21"/>
                <w:highlight w:val="none"/>
              </w:rPr>
              <w:t>前提交响应文件。</w:t>
            </w:r>
          </w:p>
        </w:tc>
      </w:tr>
    </w:tbl>
    <w:p w14:paraId="628C4486">
      <w:pPr>
        <w:rPr>
          <w:rFonts w:hint="eastAsia" w:ascii="宋体" w:hAnsi="宋体" w:eastAsia="宋体" w:cs="宋体"/>
          <w:color w:val="auto"/>
          <w:szCs w:val="24"/>
          <w:highlight w:val="none"/>
        </w:rPr>
      </w:pPr>
    </w:p>
    <w:p w14:paraId="52719FE9">
      <w:pPr>
        <w:spacing w:line="360" w:lineRule="auto"/>
        <w:ind w:firstLine="480"/>
        <w:rPr>
          <w:rFonts w:hint="eastAsia" w:ascii="宋体" w:hAnsi="宋体" w:eastAsia="宋体" w:cs="宋体"/>
          <w:color w:val="auto"/>
          <w:szCs w:val="24"/>
          <w:highlight w:val="none"/>
        </w:rPr>
      </w:pPr>
      <w:r>
        <w:rPr>
          <w:rFonts w:hint="eastAsia" w:ascii="宋体" w:hAnsi="宋体" w:eastAsia="宋体" w:cs="宋体"/>
          <w:bCs/>
          <w:color w:val="auto"/>
          <w:sz w:val="24"/>
          <w:szCs w:val="24"/>
          <w:highlight w:val="none"/>
        </w:rPr>
        <w:t>一、项目基本情况</w:t>
      </w:r>
      <w:bookmarkEnd w:id="10"/>
      <w:bookmarkEnd w:id="11"/>
      <w:bookmarkEnd w:id="12"/>
      <w:bookmarkEnd w:id="13"/>
      <w:bookmarkEnd w:id="14"/>
    </w:p>
    <w:p w14:paraId="0028952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 xml:space="preserve"> GLZC2026-J1-310032-GXKL</w:t>
      </w:r>
      <w:r>
        <w:rPr>
          <w:rFonts w:hint="eastAsia" w:ascii="宋体" w:hAnsi="宋体" w:eastAsia="宋体" w:cs="宋体"/>
          <w:color w:val="auto"/>
          <w:szCs w:val="21"/>
          <w:highlight w:val="none"/>
        </w:rPr>
        <w:tab/>
      </w:r>
    </w:p>
    <w:p w14:paraId="3A8D629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荔浦市残疾人康复中心大楼设备采购</w:t>
      </w:r>
      <w:r>
        <w:rPr>
          <w:rFonts w:hint="eastAsia" w:ascii="宋体" w:hAnsi="宋体" w:eastAsia="宋体" w:cs="宋体"/>
          <w:color w:val="auto"/>
          <w:szCs w:val="21"/>
          <w:highlight w:val="none"/>
        </w:rPr>
        <w:t xml:space="preserve"> </w:t>
      </w:r>
    </w:p>
    <w:p w14:paraId="0141FBC3">
      <w:pPr>
        <w:pStyle w:val="19"/>
        <w:ind w:left="0" w:leftChars="0" w:firstLine="420" w:firstLineChars="200"/>
        <w:rPr>
          <w:color w:val="auto"/>
          <w:highlight w:val="none"/>
        </w:rPr>
      </w:pPr>
      <w:r>
        <w:rPr>
          <w:rFonts w:hint="eastAsia" w:ascii="宋体" w:hAnsi="宋体"/>
          <w:color w:val="auto"/>
          <w:szCs w:val="21"/>
          <w:highlight w:val="none"/>
          <w:lang w:val="en-US" w:eastAsia="zh-CN"/>
        </w:rPr>
        <w:t>采购方式：竞争性谈判</w:t>
      </w:r>
    </w:p>
    <w:p w14:paraId="32188D63">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预算</w:t>
      </w:r>
      <w:r>
        <w:rPr>
          <w:rFonts w:hint="eastAsia" w:ascii="宋体" w:hAnsi="宋体" w:eastAsia="宋体" w:cs="宋体"/>
          <w:color w:val="auto"/>
          <w:szCs w:val="21"/>
          <w:highlight w:val="none"/>
          <w:lang w:val="en-US" w:eastAsia="zh-CN"/>
        </w:rPr>
        <w:t>总</w:t>
      </w:r>
      <w:r>
        <w:rPr>
          <w:rFonts w:hint="eastAsia" w:ascii="宋体" w:hAnsi="宋体" w:eastAsia="宋体" w:cs="宋体"/>
          <w:color w:val="auto"/>
          <w:szCs w:val="21"/>
          <w:highlight w:val="none"/>
        </w:rPr>
        <w:t>金额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500000.00元</w:t>
      </w:r>
    </w:p>
    <w:p w14:paraId="313BA27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p w14:paraId="4C11FCEC">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标项名称：</w:t>
      </w:r>
      <w:r>
        <w:rPr>
          <w:rFonts w:hint="eastAsia" w:ascii="宋体" w:hAnsi="宋体" w:eastAsia="宋体" w:cs="宋体"/>
          <w:color w:val="auto"/>
          <w:szCs w:val="21"/>
          <w:highlight w:val="none"/>
          <w:lang w:eastAsia="zh-CN"/>
        </w:rPr>
        <w:t>荔浦市残疾人康复中心大楼设备采购</w:t>
      </w:r>
    </w:p>
    <w:p w14:paraId="310906D3">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数量：1套</w:t>
      </w:r>
    </w:p>
    <w:p w14:paraId="7833301F">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预算金额（元）：500000.00元</w:t>
      </w:r>
    </w:p>
    <w:p w14:paraId="65EF7E4E">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i w:val="0"/>
          <w:iCs w:val="0"/>
          <w:caps w:val="0"/>
          <w:color w:val="auto"/>
          <w:spacing w:val="0"/>
          <w:sz w:val="21"/>
          <w:szCs w:val="21"/>
          <w:highlight w:val="none"/>
          <w:shd w:val="clear" w:color="auto"/>
        </w:rPr>
        <w:t>简要规格描述或项目基本概况介绍、用途：</w:t>
      </w:r>
      <w:r>
        <w:rPr>
          <w:rFonts w:hint="eastAsia" w:ascii="宋体" w:hAnsi="宋体" w:eastAsia="宋体" w:cs="宋体"/>
          <w:color w:val="auto"/>
          <w:szCs w:val="21"/>
          <w:highlight w:val="none"/>
          <w:lang w:eastAsia="zh-CN"/>
        </w:rPr>
        <w:t>韦氏儿童智力测评系统1套、低视力康复国家标准视力表（远用)1台、低视力专用视力表(近用）1台、角度尺1把、握力计1台、心电图机1台、中频电疗仪2台、低频电子脉冲治疗仪（配台车）1台、痉挛肌电刺激治疗仪1台、超短波治疗机1台、红外热辐射治疗仪1台、磁振热治疗仪1台、电动牵引床（颈腰一体）1台、儿童坐姿矫正椅</w:t>
      </w:r>
      <w:r>
        <w:rPr>
          <w:rFonts w:hint="eastAsia" w:ascii="宋体" w:hAnsi="宋体" w:eastAsia="宋体" w:cs="宋体"/>
          <w:color w:val="auto"/>
          <w:szCs w:val="21"/>
          <w:highlight w:val="none"/>
          <w:lang w:eastAsia="zh-CN"/>
        </w:rPr>
        <w:tab/>
      </w:r>
      <w:r>
        <w:rPr>
          <w:rFonts w:hint="eastAsia" w:ascii="宋体" w:hAnsi="宋体" w:eastAsia="宋体" w:cs="宋体"/>
          <w:color w:val="auto"/>
          <w:szCs w:val="21"/>
          <w:highlight w:val="none"/>
          <w:lang w:eastAsia="zh-CN"/>
        </w:rPr>
        <w:t>2把、儿童智力组件（床上训练器材）2套、踝关节矫正训练器</w:t>
      </w:r>
      <w:r>
        <w:rPr>
          <w:rFonts w:hint="eastAsia" w:ascii="宋体" w:hAnsi="宋体" w:eastAsia="宋体" w:cs="宋体"/>
          <w:color w:val="auto"/>
          <w:szCs w:val="21"/>
          <w:highlight w:val="none"/>
          <w:lang w:eastAsia="zh-CN"/>
        </w:rPr>
        <w:tab/>
      </w:r>
      <w:r>
        <w:rPr>
          <w:rFonts w:hint="eastAsia" w:ascii="宋体" w:hAnsi="宋体" w:eastAsia="宋体" w:cs="宋体"/>
          <w:color w:val="auto"/>
          <w:szCs w:val="21"/>
          <w:highlight w:val="none"/>
          <w:lang w:eastAsia="zh-CN"/>
        </w:rPr>
        <w:t>2台、站立架</w:t>
      </w:r>
      <w:r>
        <w:rPr>
          <w:rFonts w:hint="eastAsia" w:ascii="宋体" w:hAnsi="宋体" w:eastAsia="宋体" w:cs="宋体"/>
          <w:color w:val="auto"/>
          <w:szCs w:val="21"/>
          <w:highlight w:val="none"/>
          <w:lang w:eastAsia="zh-CN"/>
        </w:rPr>
        <w:tab/>
      </w:r>
      <w:r>
        <w:rPr>
          <w:rFonts w:hint="eastAsia" w:ascii="宋体" w:hAnsi="宋体" w:eastAsia="宋体" w:cs="宋体"/>
          <w:color w:val="auto"/>
          <w:szCs w:val="21"/>
          <w:highlight w:val="none"/>
          <w:lang w:eastAsia="zh-CN"/>
        </w:rPr>
        <w:t>2台、儿童下肢功率车</w:t>
      </w:r>
      <w:r>
        <w:rPr>
          <w:rFonts w:hint="eastAsia" w:ascii="宋体" w:hAnsi="宋体" w:eastAsia="宋体" w:cs="宋体"/>
          <w:color w:val="auto"/>
          <w:szCs w:val="21"/>
          <w:highlight w:val="none"/>
          <w:lang w:eastAsia="zh-CN"/>
        </w:rPr>
        <w:tab/>
      </w:r>
      <w:r>
        <w:rPr>
          <w:rFonts w:hint="eastAsia" w:ascii="宋体" w:hAnsi="宋体" w:eastAsia="宋体" w:cs="宋体"/>
          <w:color w:val="auto"/>
          <w:szCs w:val="21"/>
          <w:highlight w:val="none"/>
          <w:lang w:eastAsia="zh-CN"/>
        </w:rPr>
        <w:t>2辆、儿童训练用扶梯（二面）2套、肋木2套、巴氏球2个、巴氏球2个、上肢协调功能训练器（手指）2台、钻滚筒2套</w:t>
      </w:r>
      <w:r>
        <w:rPr>
          <w:rFonts w:hint="eastAsia" w:ascii="宋体" w:hAnsi="宋体" w:eastAsia="宋体" w:cs="宋体"/>
          <w:color w:val="auto"/>
          <w:szCs w:val="21"/>
          <w:highlight w:val="none"/>
          <w:lang w:val="en-US" w:eastAsia="zh-CN"/>
        </w:rPr>
        <w:t>，</w:t>
      </w:r>
      <w:r>
        <w:rPr>
          <w:rFonts w:hint="eastAsia" w:ascii="宋体" w:hAnsi="宋体" w:eastAsia="宋体" w:cs="宋体"/>
          <w:i w:val="0"/>
          <w:iCs w:val="0"/>
          <w:caps w:val="0"/>
          <w:color w:val="auto"/>
          <w:spacing w:val="0"/>
          <w:sz w:val="21"/>
          <w:szCs w:val="21"/>
          <w:highlight w:val="none"/>
          <w:shd w:val="clear" w:color="auto"/>
          <w:lang w:val="en-US" w:eastAsia="zh-CN"/>
        </w:rPr>
        <w:t>详见公告附件</w:t>
      </w:r>
    </w:p>
    <w:p w14:paraId="02F2881E">
      <w:pPr>
        <w:spacing w:line="360" w:lineRule="auto"/>
        <w:ind w:firstLine="420"/>
        <w:rPr>
          <w:rFonts w:hint="eastAsia" w:ascii="宋体" w:hAnsi="宋体" w:eastAsia="宋体" w:cs="宋体"/>
          <w:color w:val="auto"/>
          <w:szCs w:val="22"/>
          <w:highlight w:val="none"/>
        </w:rPr>
      </w:pPr>
      <w:r>
        <w:rPr>
          <w:rFonts w:hint="eastAsia" w:ascii="宋体" w:hAnsi="宋体" w:eastAsia="宋体" w:cs="宋体"/>
          <w:color w:val="auto"/>
          <w:szCs w:val="22"/>
          <w:highlight w:val="none"/>
        </w:rPr>
        <w:t>最高限价（如有）</w:t>
      </w:r>
      <w:r>
        <w:rPr>
          <w:rFonts w:hint="eastAsia" w:ascii="宋体" w:hAnsi="宋体" w:eastAsia="宋体" w:cs="宋体"/>
          <w:color w:val="auto"/>
          <w:szCs w:val="22"/>
          <w:highlight w:val="none"/>
          <w:lang w:eastAsia="zh-CN"/>
        </w:rPr>
        <w:t>：</w:t>
      </w:r>
      <w:r>
        <w:rPr>
          <w:rFonts w:hint="eastAsia" w:ascii="宋体" w:hAnsi="宋体" w:eastAsia="宋体" w:cs="宋体"/>
          <w:color w:val="auto"/>
          <w:szCs w:val="21"/>
          <w:highlight w:val="none"/>
          <w:lang w:val="en-US" w:eastAsia="zh-CN"/>
        </w:rPr>
        <w:t>500000.00元</w:t>
      </w:r>
    </w:p>
    <w:p w14:paraId="7465D16D">
      <w:pPr>
        <w:spacing w:line="360" w:lineRule="auto"/>
        <w:ind w:firstLine="420"/>
        <w:rPr>
          <w:rFonts w:hint="eastAsia" w:ascii="宋体" w:hAnsi="宋体" w:eastAsia="宋体" w:cs="宋体"/>
          <w:color w:val="auto"/>
          <w:szCs w:val="22"/>
          <w:highlight w:val="none"/>
        </w:rPr>
      </w:pPr>
      <w:r>
        <w:rPr>
          <w:rFonts w:hint="eastAsia" w:ascii="宋体" w:hAnsi="宋体" w:eastAsia="宋体" w:cs="宋体"/>
          <w:color w:val="auto"/>
          <w:szCs w:val="22"/>
          <w:highlight w:val="none"/>
        </w:rPr>
        <w:t>合同履行期限：</w:t>
      </w:r>
      <w:r>
        <w:rPr>
          <w:rFonts w:hint="eastAsia" w:ascii="宋体" w:hAnsi="宋体" w:eastAsia="宋体" w:cs="宋体"/>
          <w:bCs/>
          <w:color w:val="auto"/>
          <w:szCs w:val="21"/>
          <w:highlight w:val="none"/>
          <w:lang w:val="en-US" w:eastAsia="zh-CN"/>
        </w:rPr>
        <w:t>合同签订后15天内通过验收合格并交付使用。</w:t>
      </w:r>
    </w:p>
    <w:p w14:paraId="7233CECB">
      <w:pPr>
        <w:spacing w:line="36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szCs w:val="22"/>
          <w:highlight w:val="none"/>
        </w:rPr>
        <w:t>本项目（</w:t>
      </w:r>
      <w:r>
        <w:rPr>
          <w:rFonts w:hint="eastAsia" w:ascii="宋体" w:hAnsi="宋体" w:eastAsia="宋体" w:cs="宋体"/>
          <w:i w:val="0"/>
          <w:iCs w:val="0"/>
          <w:color w:val="auto"/>
          <w:szCs w:val="22"/>
          <w:highlight w:val="none"/>
        </w:rPr>
        <w:t>是/否</w:t>
      </w:r>
      <w:r>
        <w:rPr>
          <w:rFonts w:hint="eastAsia" w:ascii="宋体" w:hAnsi="宋体" w:eastAsia="宋体" w:cs="宋体"/>
          <w:color w:val="auto"/>
          <w:szCs w:val="22"/>
          <w:highlight w:val="none"/>
        </w:rPr>
        <w:t>）接受联合体</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否</w:t>
      </w:r>
    </w:p>
    <w:p w14:paraId="310C4B07">
      <w:pPr>
        <w:spacing w:line="360" w:lineRule="auto"/>
        <w:ind w:firstLine="482"/>
        <w:rPr>
          <w:rFonts w:hint="eastAsia" w:ascii="宋体" w:hAnsi="宋体" w:eastAsia="宋体" w:cs="宋体"/>
          <w:bCs/>
          <w:color w:val="auto"/>
          <w:sz w:val="24"/>
          <w:szCs w:val="24"/>
          <w:highlight w:val="none"/>
          <w:lang w:eastAsia="zh-CN"/>
        </w:rPr>
      </w:pPr>
      <w:bookmarkStart w:id="19" w:name="_Toc28359013"/>
      <w:bookmarkStart w:id="20" w:name="_Toc28359090"/>
      <w:bookmarkStart w:id="21" w:name="_Toc35393799"/>
      <w:bookmarkStart w:id="22" w:name="_Toc44229879"/>
      <w:bookmarkStart w:id="23" w:name="_Toc35393630"/>
      <w:r>
        <w:rPr>
          <w:rFonts w:hint="eastAsia" w:ascii="宋体" w:hAnsi="宋体" w:eastAsia="宋体" w:cs="宋体"/>
          <w:b/>
          <w:color w:val="auto"/>
          <w:sz w:val="24"/>
          <w:szCs w:val="24"/>
          <w:highlight w:val="none"/>
        </w:rPr>
        <w:t>二、</w:t>
      </w:r>
      <w:r>
        <w:rPr>
          <w:rFonts w:hint="eastAsia" w:ascii="宋体" w:hAnsi="宋体" w:eastAsia="宋体" w:cs="宋体"/>
          <w:b/>
          <w:color w:val="auto"/>
          <w:sz w:val="24"/>
          <w:szCs w:val="24"/>
          <w:highlight w:val="none"/>
          <w:lang w:eastAsia="zh-CN"/>
        </w:rPr>
        <w:t>申请人</w:t>
      </w:r>
      <w:r>
        <w:rPr>
          <w:rFonts w:hint="eastAsia" w:ascii="宋体" w:hAnsi="宋体" w:eastAsia="宋体" w:cs="宋体"/>
          <w:b/>
          <w:color w:val="auto"/>
          <w:sz w:val="24"/>
          <w:szCs w:val="24"/>
          <w:highlight w:val="none"/>
        </w:rPr>
        <w:t>的资格</w:t>
      </w:r>
      <w:bookmarkEnd w:id="19"/>
      <w:bookmarkEnd w:id="20"/>
      <w:bookmarkEnd w:id="21"/>
      <w:bookmarkEnd w:id="22"/>
      <w:bookmarkEnd w:id="23"/>
      <w:r>
        <w:rPr>
          <w:rFonts w:hint="eastAsia" w:ascii="宋体" w:hAnsi="宋体" w:eastAsia="宋体" w:cs="宋体"/>
          <w:b/>
          <w:color w:val="auto"/>
          <w:sz w:val="24"/>
          <w:szCs w:val="24"/>
          <w:highlight w:val="none"/>
          <w:lang w:eastAsia="zh-CN"/>
        </w:rPr>
        <w:t>要求</w:t>
      </w:r>
    </w:p>
    <w:p w14:paraId="7EFE591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满足《中华人民共和国政府采购法》第二十二条规定；</w:t>
      </w:r>
    </w:p>
    <w:p w14:paraId="3EDC0FCD">
      <w:pPr>
        <w:spacing w:line="360" w:lineRule="auto"/>
        <w:ind w:firstLine="420"/>
        <w:rPr>
          <w:rFonts w:hint="eastAsia" w:ascii="宋体" w:hAnsi="宋体" w:eastAsia="宋体" w:cs="宋体"/>
          <w:i w:val="0"/>
          <w:iCs w:val="0"/>
          <w:color w:val="auto"/>
          <w:szCs w:val="21"/>
          <w:highlight w:val="none"/>
          <w:u w:val="singl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落实政府采购政策需满足的资格要求：</w:t>
      </w:r>
      <w:r>
        <w:rPr>
          <w:rFonts w:hint="eastAsia" w:ascii="宋体" w:hAnsi="宋体" w:cs="宋体"/>
          <w:i w:val="0"/>
          <w:iCs w:val="0"/>
          <w:color w:val="auto"/>
          <w:szCs w:val="21"/>
          <w:highlight w:val="none"/>
          <w:u w:val="none"/>
          <w:lang w:val="en-US" w:eastAsia="zh-CN"/>
        </w:rPr>
        <w:t>本项目为专门面向中小企业采购的项目。供应商必须提供中小企业声明函或者残疾人福利性单位声明函（格式后附）或者供应商属于监狱企业的需提供由省级以上监狱管理局、戒毒管理局（含新疆生产建设兵团）出具的属于监狱企业的证明文件</w:t>
      </w:r>
      <w:r>
        <w:rPr>
          <w:rFonts w:hint="eastAsia" w:ascii="宋体" w:hAnsi="宋体" w:eastAsia="宋体" w:cs="宋体"/>
          <w:color w:val="auto"/>
          <w:szCs w:val="21"/>
          <w:highlight w:val="none"/>
          <w:u w:val="none"/>
          <w:lang w:val="en-US" w:eastAsia="zh-CN"/>
        </w:rPr>
        <w:t>。</w:t>
      </w:r>
    </w:p>
    <w:p w14:paraId="25C735E7">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本项目的特定资格要求：</w:t>
      </w:r>
      <w:r>
        <w:rPr>
          <w:rFonts w:hint="eastAsia" w:ascii="宋体" w:hAnsi="宋体" w:eastAsia="宋体" w:cs="宋体"/>
          <w:i w:val="0"/>
          <w:iCs w:val="0"/>
          <w:color w:val="auto"/>
          <w:szCs w:val="21"/>
          <w:highlight w:val="none"/>
          <w:u w:val="none"/>
          <w:lang w:val="en-US" w:eastAsia="zh-CN"/>
        </w:rPr>
        <w:t>无。</w:t>
      </w:r>
    </w:p>
    <w:p w14:paraId="30CC54A3">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w:t>
      </w:r>
      <w:r>
        <w:rPr>
          <w:rFonts w:hint="eastAsia" w:ascii="宋体" w:hAnsi="宋体" w:eastAsia="宋体" w:cs="宋体"/>
          <w:b/>
          <w:bCs/>
          <w:color w:val="auto"/>
          <w:sz w:val="24"/>
          <w:szCs w:val="24"/>
          <w:highlight w:val="none"/>
          <w:lang w:eastAsia="zh-CN"/>
        </w:rPr>
        <w:t>采购</w:t>
      </w:r>
      <w:r>
        <w:rPr>
          <w:rFonts w:hint="eastAsia" w:ascii="宋体" w:hAnsi="宋体" w:eastAsia="宋体" w:cs="宋体"/>
          <w:b/>
          <w:bCs/>
          <w:color w:val="auto"/>
          <w:sz w:val="24"/>
          <w:szCs w:val="24"/>
          <w:highlight w:val="none"/>
        </w:rPr>
        <w:t>文件</w:t>
      </w:r>
      <w:bookmarkEnd w:id="15"/>
      <w:bookmarkEnd w:id="16"/>
      <w:bookmarkEnd w:id="17"/>
      <w:bookmarkEnd w:id="18"/>
    </w:p>
    <w:p w14:paraId="283796F2">
      <w:pPr>
        <w:spacing w:line="360" w:lineRule="auto"/>
        <w:ind w:firstLine="540"/>
        <w:rPr>
          <w:rFonts w:hint="eastAsia" w:ascii="宋体" w:hAnsi="宋体" w:eastAsia="宋体" w:cs="宋体"/>
          <w:bCs/>
          <w:color w:val="auto"/>
          <w:szCs w:val="21"/>
          <w:highlight w:val="none"/>
        </w:rPr>
      </w:pPr>
      <w:bookmarkStart w:id="24" w:name="_Toc28359005"/>
      <w:bookmarkStart w:id="25" w:name="_Toc28359082"/>
      <w:bookmarkStart w:id="26" w:name="_Toc35393793"/>
      <w:bookmarkStart w:id="27" w:name="_Toc35393624"/>
      <w:r>
        <w:rPr>
          <w:rFonts w:hint="eastAsia" w:ascii="宋体" w:hAnsi="宋体" w:eastAsia="宋体" w:cs="宋体"/>
          <w:bCs/>
          <w:color w:val="auto"/>
          <w:szCs w:val="21"/>
          <w:highlight w:val="none"/>
        </w:rPr>
        <w:t>时间：</w:t>
      </w:r>
      <w:r>
        <w:rPr>
          <w:rFonts w:hint="eastAsia" w:ascii="宋体" w:hAnsi="宋体" w:eastAsia="宋体" w:cs="宋体"/>
          <w:bCs/>
          <w:color w:val="auto"/>
          <w:szCs w:val="21"/>
          <w:highlight w:val="none"/>
          <w:lang w:val="en-US" w:eastAsia="zh-CN"/>
        </w:rPr>
        <w:t>2026</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8</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lang w:val="en-US" w:eastAsia="zh-CN"/>
        </w:rPr>
        <w:t>17</w:t>
      </w:r>
      <w:r>
        <w:rPr>
          <w:rFonts w:hint="eastAsia" w:ascii="宋体" w:hAnsi="宋体" w:eastAsia="宋体" w:cs="宋体"/>
          <w:bCs/>
          <w:color w:val="auto"/>
          <w:szCs w:val="21"/>
          <w:highlight w:val="none"/>
        </w:rPr>
        <w:t>日至</w:t>
      </w:r>
      <w:r>
        <w:rPr>
          <w:rFonts w:hint="eastAsia" w:ascii="宋体" w:hAnsi="宋体" w:eastAsia="宋体" w:cs="宋体"/>
          <w:bCs/>
          <w:color w:val="auto"/>
          <w:szCs w:val="21"/>
          <w:highlight w:val="none"/>
          <w:lang w:val="en-US" w:eastAsia="zh-CN"/>
        </w:rPr>
        <w:t>2026</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8</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lang w:val="en-US" w:eastAsia="zh-CN"/>
        </w:rPr>
        <w:t>25</w:t>
      </w:r>
      <w:r>
        <w:rPr>
          <w:rFonts w:hint="eastAsia" w:ascii="宋体" w:hAnsi="宋体" w:eastAsia="宋体" w:cs="宋体"/>
          <w:bCs/>
          <w:color w:val="auto"/>
          <w:szCs w:val="21"/>
          <w:highlight w:val="none"/>
        </w:rPr>
        <w:t>日，每天上午</w:t>
      </w:r>
      <w:r>
        <w:rPr>
          <w:rFonts w:hint="eastAsia" w:ascii="宋体" w:hAnsi="宋体" w:eastAsia="宋体" w:cs="宋体"/>
          <w:color w:val="auto"/>
          <w:szCs w:val="21"/>
          <w:highlight w:val="none"/>
        </w:rPr>
        <w:t>00:00至12:00</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下午12:00至23:59</w:t>
      </w:r>
      <w:r>
        <w:rPr>
          <w:rFonts w:hint="eastAsia" w:ascii="宋体" w:hAnsi="宋体" w:eastAsia="宋体" w:cs="宋体"/>
          <w:bCs/>
          <w:color w:val="auto"/>
          <w:szCs w:val="21"/>
          <w:highlight w:val="none"/>
        </w:rPr>
        <w:t>（北京时间，法定节假日除外）</w:t>
      </w:r>
    </w:p>
    <w:p w14:paraId="5D2C9163">
      <w:pPr>
        <w:spacing w:line="360" w:lineRule="auto"/>
        <w:ind w:firstLine="54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地点：</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7"/>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w:t>
      </w:r>
    </w:p>
    <w:p w14:paraId="75265F8B">
      <w:pPr>
        <w:spacing w:line="360" w:lineRule="auto"/>
        <w:ind w:firstLine="420"/>
        <w:rPr>
          <w:rFonts w:hint="eastAsia" w:ascii="宋体" w:hAnsi="宋体" w:eastAsia="宋体" w:cs="宋体"/>
          <w:b/>
          <w:bCs/>
          <w:color w:val="auto"/>
          <w:sz w:val="24"/>
          <w:szCs w:val="24"/>
          <w:highlight w:val="none"/>
        </w:rPr>
      </w:pPr>
      <w:r>
        <w:rPr>
          <w:rFonts w:hint="eastAsia" w:ascii="宋体" w:hAnsi="宋体" w:eastAsia="宋体" w:cs="宋体"/>
          <w:color w:val="auto"/>
          <w:szCs w:val="21"/>
          <w:highlight w:val="none"/>
        </w:rPr>
        <w:t>方式：网上下载。本项目不发放纸质采购文件，</w:t>
      </w:r>
      <w:r>
        <w:rPr>
          <w:rFonts w:hint="eastAsia" w:ascii="宋体" w:hAnsi="宋体" w:eastAsia="宋体" w:cs="宋体"/>
          <w:color w:val="auto"/>
          <w:szCs w:val="21"/>
          <w:highlight w:val="none"/>
          <w:lang w:eastAsia="zh-CN"/>
        </w:rPr>
        <w:t>潜在</w:t>
      </w:r>
      <w:r>
        <w:rPr>
          <w:rFonts w:hint="eastAsia" w:ascii="宋体" w:hAnsi="宋体" w:eastAsia="宋体" w:cs="宋体"/>
          <w:color w:val="auto"/>
          <w:szCs w:val="21"/>
          <w:highlight w:val="none"/>
        </w:rPr>
        <w:t>供应商可自行在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7"/>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）下载采购文件（操作路径：登录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-项目采购-获取采购文件-找到本项目-点击“申请获取采购文件”），</w:t>
      </w:r>
      <w:r>
        <w:rPr>
          <w:rFonts w:hint="eastAsia" w:ascii="宋体" w:hAnsi="宋体" w:eastAsia="宋体" w:cs="宋体"/>
          <w:color w:val="auto"/>
          <w:szCs w:val="21"/>
          <w:highlight w:val="none"/>
          <w:lang w:eastAsia="zh-CN"/>
        </w:rPr>
        <w:t>电子版响应文件</w:t>
      </w:r>
      <w:r>
        <w:rPr>
          <w:rFonts w:hint="eastAsia" w:ascii="宋体" w:hAnsi="宋体" w:eastAsia="宋体" w:cs="宋体"/>
          <w:color w:val="auto"/>
          <w:szCs w:val="21"/>
          <w:highlight w:val="none"/>
        </w:rPr>
        <w:t>制作需要基于</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获取的采购文件编制。</w:t>
      </w:r>
    </w:p>
    <w:p w14:paraId="2D91FEB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w:t>
      </w:r>
      <w:r>
        <w:rPr>
          <w:rFonts w:hint="eastAsia" w:ascii="宋体" w:hAnsi="宋体" w:eastAsia="宋体" w:cs="宋体"/>
          <w:color w:val="auto"/>
          <w:szCs w:val="21"/>
          <w:highlight w:val="none"/>
          <w:lang w:eastAsia="zh-CN"/>
        </w:rPr>
        <w:t>人民币</w:t>
      </w:r>
      <w:r>
        <w:rPr>
          <w:rFonts w:hint="eastAsia" w:ascii="宋体" w:hAnsi="宋体" w:eastAsia="宋体" w:cs="宋体"/>
          <w:color w:val="auto"/>
          <w:szCs w:val="21"/>
          <w:highlight w:val="none"/>
        </w:rPr>
        <w:t>0元。</w:t>
      </w:r>
    </w:p>
    <w:p w14:paraId="6B4B0B7B">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w:t>
      </w:r>
      <w:bookmarkEnd w:id="24"/>
      <w:bookmarkEnd w:id="25"/>
      <w:bookmarkEnd w:id="26"/>
      <w:bookmarkEnd w:id="27"/>
      <w:r>
        <w:rPr>
          <w:rFonts w:hint="eastAsia" w:ascii="宋体" w:hAnsi="宋体" w:eastAsia="宋体" w:cs="宋体"/>
          <w:b/>
          <w:bCs/>
          <w:color w:val="auto"/>
          <w:sz w:val="24"/>
          <w:szCs w:val="24"/>
          <w:highlight w:val="none"/>
        </w:rPr>
        <w:t>响应文件提交</w:t>
      </w:r>
    </w:p>
    <w:p w14:paraId="3E3DA3EC">
      <w:pPr>
        <w:spacing w:line="360" w:lineRule="auto"/>
        <w:ind w:firstLine="42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首次响应文件提交截止时间</w:t>
      </w:r>
      <w:r>
        <w:rPr>
          <w:rFonts w:hint="eastAsia" w:ascii="宋体" w:hAnsi="宋体" w:eastAsia="宋体" w:cs="宋体"/>
          <w:color w:val="auto"/>
          <w:szCs w:val="21"/>
          <w:highlight w:val="none"/>
          <w:lang w:eastAsia="zh-CN"/>
        </w:rPr>
        <w:t>：</w:t>
      </w:r>
      <w:r>
        <w:rPr>
          <w:rFonts w:hint="eastAsia" w:ascii="宋体" w:hAnsi="宋体" w:eastAsia="宋体" w:cs="宋体"/>
          <w:bCs/>
          <w:color w:val="auto"/>
          <w:szCs w:val="21"/>
          <w:highlight w:val="none"/>
          <w:lang w:val="en-US" w:eastAsia="zh-CN"/>
        </w:rPr>
        <w:t>2026</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8</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lang w:val="en-US" w:eastAsia="zh-CN"/>
        </w:rPr>
        <w:t>25</w:t>
      </w:r>
      <w:r>
        <w:rPr>
          <w:rFonts w:hint="eastAsia" w:ascii="宋体" w:hAnsi="宋体" w:eastAsia="宋体" w:cs="宋体"/>
          <w:bCs/>
          <w:color w:val="auto"/>
          <w:szCs w:val="21"/>
          <w:highlight w:val="none"/>
        </w:rPr>
        <w:t>日09:30（北京时间）</w:t>
      </w:r>
    </w:p>
    <w:p w14:paraId="04FD06F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首次响应文件提交地点：</w:t>
      </w:r>
      <w:r>
        <w:rPr>
          <w:rFonts w:hint="eastAsia" w:ascii="宋体" w:hAnsi="宋体" w:eastAsia="宋体" w:cs="宋体"/>
          <w:color w:val="auto"/>
          <w:szCs w:val="21"/>
          <w:highlight w:val="none"/>
          <w:lang w:eastAsia="zh-CN"/>
        </w:rPr>
        <w:t>广西政府采购云平台（https://www.gcy.zfcg.gxzf.gov.cn/）</w:t>
      </w:r>
    </w:p>
    <w:p w14:paraId="60932918">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五、开启（首次响应文件开启时间）</w:t>
      </w:r>
    </w:p>
    <w:p w14:paraId="434CE74A">
      <w:pPr>
        <w:spacing w:line="360" w:lineRule="auto"/>
        <w:ind w:firstLine="630"/>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时间：</w:t>
      </w:r>
      <w:bookmarkStart w:id="28" w:name="PO_3000001871_PM015_2"/>
      <w:r>
        <w:rPr>
          <w:rFonts w:hint="eastAsia" w:ascii="宋体" w:hAnsi="宋体" w:eastAsia="宋体" w:cs="宋体"/>
          <w:bCs/>
          <w:color w:val="auto"/>
          <w:szCs w:val="21"/>
          <w:highlight w:val="none"/>
          <w:lang w:val="en-US" w:eastAsia="zh-CN"/>
        </w:rPr>
        <w:t>2026年8月25日09:30（北</w:t>
      </w:r>
      <w:r>
        <w:rPr>
          <w:rFonts w:hint="eastAsia" w:ascii="宋体" w:hAnsi="宋体" w:eastAsia="宋体" w:cs="宋体"/>
          <w:bCs/>
          <w:color w:val="auto"/>
          <w:szCs w:val="21"/>
          <w:highlight w:val="none"/>
        </w:rPr>
        <w:t>京时间）</w:t>
      </w:r>
      <w:bookmarkEnd w:id="28"/>
      <w:r>
        <w:rPr>
          <w:rFonts w:hint="eastAsia" w:ascii="宋体" w:hAnsi="宋体" w:eastAsia="宋体" w:cs="宋体"/>
          <w:color w:val="auto"/>
          <w:szCs w:val="21"/>
          <w:highlight w:val="none"/>
        </w:rPr>
        <w:t>后</w:t>
      </w:r>
    </w:p>
    <w:p w14:paraId="4408AE20">
      <w:pPr>
        <w:spacing w:line="360" w:lineRule="auto"/>
        <w:ind w:firstLine="630"/>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地点：</w:t>
      </w:r>
      <w:r>
        <w:rPr>
          <w:rFonts w:hint="eastAsia" w:ascii="宋体" w:hAnsi="宋体" w:eastAsia="宋体" w:cs="宋体"/>
          <w:color w:val="auto"/>
          <w:szCs w:val="21"/>
          <w:highlight w:val="none"/>
          <w:lang w:eastAsia="zh-CN"/>
        </w:rPr>
        <w:t>广西政府采购云平台（https://www.gcy.zfcg.gxzf.gov.cn/）</w:t>
      </w:r>
    </w:p>
    <w:p w14:paraId="450B9CB7">
      <w:pPr>
        <w:spacing w:line="360" w:lineRule="auto"/>
        <w:ind w:firstLine="482"/>
        <w:rPr>
          <w:rFonts w:hint="eastAsia" w:ascii="宋体" w:hAnsi="宋体" w:eastAsia="宋体" w:cs="宋体"/>
          <w:b/>
          <w:bCs/>
          <w:color w:val="auto"/>
          <w:sz w:val="24"/>
          <w:szCs w:val="24"/>
          <w:highlight w:val="none"/>
        </w:rPr>
      </w:pPr>
      <w:bookmarkStart w:id="29" w:name="_Toc28359007"/>
      <w:bookmarkStart w:id="30" w:name="_Toc35393625"/>
      <w:bookmarkStart w:id="31" w:name="_Toc28359084"/>
      <w:bookmarkStart w:id="32" w:name="_Toc35393794"/>
      <w:r>
        <w:rPr>
          <w:rFonts w:hint="eastAsia" w:ascii="宋体" w:hAnsi="宋体" w:eastAsia="宋体" w:cs="宋体"/>
          <w:b/>
          <w:bCs/>
          <w:color w:val="auto"/>
          <w:sz w:val="24"/>
          <w:szCs w:val="24"/>
          <w:highlight w:val="none"/>
        </w:rPr>
        <w:t>六、公告期限</w:t>
      </w:r>
      <w:bookmarkEnd w:id="29"/>
      <w:bookmarkEnd w:id="30"/>
      <w:bookmarkEnd w:id="31"/>
      <w:bookmarkEnd w:id="32"/>
    </w:p>
    <w:p w14:paraId="7D10D41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自本公告发布之日起3个工作日。</w:t>
      </w:r>
    </w:p>
    <w:p w14:paraId="39A019D3">
      <w:pPr>
        <w:spacing w:line="360" w:lineRule="auto"/>
        <w:ind w:firstLine="482"/>
        <w:rPr>
          <w:rFonts w:hint="eastAsia" w:ascii="宋体" w:hAnsi="宋体" w:eastAsia="宋体" w:cs="宋体"/>
          <w:b/>
          <w:bCs/>
          <w:color w:val="auto"/>
          <w:sz w:val="24"/>
          <w:szCs w:val="24"/>
          <w:highlight w:val="none"/>
        </w:rPr>
      </w:pPr>
      <w:bookmarkStart w:id="33" w:name="_Toc35393795"/>
      <w:bookmarkStart w:id="34" w:name="_Toc35393626"/>
      <w:r>
        <w:rPr>
          <w:rFonts w:hint="eastAsia" w:ascii="宋体" w:hAnsi="宋体" w:eastAsia="宋体" w:cs="宋体"/>
          <w:b/>
          <w:bCs/>
          <w:color w:val="auto"/>
          <w:sz w:val="24"/>
          <w:szCs w:val="24"/>
          <w:highlight w:val="none"/>
        </w:rPr>
        <w:t>七、其他补充事宜</w:t>
      </w:r>
      <w:bookmarkEnd w:id="33"/>
      <w:bookmarkEnd w:id="34"/>
    </w:p>
    <w:p w14:paraId="180BB920">
      <w:pPr>
        <w:spacing w:line="360" w:lineRule="auto"/>
        <w:ind w:firstLine="420"/>
        <w:rPr>
          <w:rFonts w:hint="eastAsia"/>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谈判保证金：</w:t>
      </w:r>
      <w:r>
        <w:rPr>
          <w:rFonts w:hint="eastAsia" w:ascii="宋体" w:hAnsi="宋体" w:eastAsia="宋体" w:cs="宋体"/>
          <w:b/>
          <w:bCs/>
          <w:color w:val="auto"/>
          <w:szCs w:val="21"/>
          <w:highlight w:val="none"/>
          <w:lang w:eastAsia="zh-CN"/>
        </w:rPr>
        <w:t>本项目</w:t>
      </w:r>
      <w:r>
        <w:rPr>
          <w:rFonts w:hint="eastAsia" w:ascii="宋体" w:hAnsi="宋体" w:eastAsia="宋体" w:cs="宋体"/>
          <w:b/>
          <w:bCs/>
          <w:color w:val="auto"/>
          <w:szCs w:val="21"/>
          <w:highlight w:val="none"/>
          <w:lang w:val="en-US" w:eastAsia="zh-CN"/>
        </w:rPr>
        <w:t>不</w:t>
      </w:r>
      <w:r>
        <w:rPr>
          <w:rFonts w:hint="eastAsia" w:ascii="宋体" w:hAnsi="宋体" w:eastAsia="宋体" w:cs="宋体"/>
          <w:b/>
          <w:bCs/>
          <w:color w:val="auto"/>
          <w:szCs w:val="21"/>
          <w:highlight w:val="none"/>
          <w:lang w:eastAsia="zh-CN"/>
        </w:rPr>
        <w:t>需要缴</w:t>
      </w:r>
      <w:r>
        <w:rPr>
          <w:rFonts w:hint="eastAsia" w:ascii="宋体" w:hAnsi="宋体" w:eastAsia="宋体" w:cs="宋体"/>
          <w:b/>
          <w:bCs/>
          <w:color w:val="auto"/>
          <w:szCs w:val="21"/>
          <w:highlight w:val="none"/>
        </w:rPr>
        <w:t>纳</w:t>
      </w:r>
      <w:r>
        <w:rPr>
          <w:rFonts w:hint="eastAsia" w:ascii="宋体" w:hAnsi="宋体" w:eastAsia="宋体" w:cs="宋体"/>
          <w:b/>
          <w:bCs/>
          <w:color w:val="auto"/>
          <w:szCs w:val="21"/>
          <w:highlight w:val="none"/>
          <w:lang w:eastAsia="zh-CN"/>
        </w:rPr>
        <w:t>谈判保证金。</w:t>
      </w:r>
    </w:p>
    <w:p w14:paraId="401E7B46">
      <w:pPr>
        <w:spacing w:line="360" w:lineRule="auto"/>
        <w:ind w:firstLine="420"/>
        <w:rPr>
          <w:rFonts w:hint="eastAsia" w:ascii="宋体" w:hAnsi="宋体" w:eastAsia="宋体" w:cs="宋体"/>
          <w:color w:val="auto"/>
          <w:szCs w:val="21"/>
          <w:highlight w:val="none"/>
          <w:lang w:eastAsia="zh-CN"/>
        </w:rPr>
      </w:pPr>
      <w:bookmarkStart w:id="35" w:name="_Hlk37429595"/>
      <w:bookmarkStart w:id="36" w:name="_Hlk37429585"/>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网上查询地址</w:t>
      </w:r>
      <w:r>
        <w:rPr>
          <w:rFonts w:hint="eastAsia" w:ascii="宋体" w:hAnsi="宋体" w:eastAsia="宋体" w:cs="宋体"/>
          <w:color w:val="auto"/>
          <w:szCs w:val="21"/>
          <w:highlight w:val="none"/>
          <w:lang w:eastAsia="zh-CN"/>
        </w:rPr>
        <w:t>：</w:t>
      </w:r>
      <w:bookmarkEnd w:id="35"/>
      <w:bookmarkEnd w:id="36"/>
    </w:p>
    <w:p w14:paraId="642AACC1">
      <w:pPr>
        <w:spacing w:line="360" w:lineRule="auto"/>
        <w:ind w:firstLine="420"/>
        <w:rPr>
          <w:rFonts w:hint="eastAsia" w:ascii="宋体" w:hAnsi="宋体" w:eastAsia="宋体" w:cs="宋体"/>
          <w:color w:val="auto"/>
          <w:szCs w:val="21"/>
          <w:highlight w:val="none"/>
          <w:lang w:eastAsia="zh-CN"/>
        </w:rPr>
      </w:pPr>
      <w:bookmarkStart w:id="37" w:name="_Hlk37429674"/>
      <w:r>
        <w:rPr>
          <w:rFonts w:hint="eastAsia" w:ascii="宋体" w:hAnsi="宋体" w:cs="宋体"/>
          <w:szCs w:val="21"/>
          <w:highlight w:val="none"/>
        </w:rPr>
        <w:t>http://www.ccgp-guangxi.gov.cn/</w:t>
      </w:r>
      <w:r>
        <w:rPr>
          <w:rFonts w:hint="eastAsia" w:ascii="宋体" w:hAnsi="宋体" w:cs="宋体"/>
          <w:kern w:val="0"/>
          <w:szCs w:val="21"/>
          <w:highlight w:val="none"/>
        </w:rPr>
        <w:t xml:space="preserve"> (中国政府采购网广西分网)、</w:t>
      </w:r>
      <w:r>
        <w:rPr>
          <w:rFonts w:hint="eastAsia" w:ascii="宋体" w:hAnsi="宋体" w:cs="宋体"/>
          <w:szCs w:val="21"/>
        </w:rPr>
        <w:t>http://zfcg.gxzf.gov.cn/</w:t>
      </w:r>
      <w:r>
        <w:rPr>
          <w:rFonts w:hint="eastAsia" w:ascii="宋体" w:hAnsi="宋体" w:cs="宋体"/>
          <w:kern w:val="0"/>
          <w:szCs w:val="21"/>
        </w:rPr>
        <w:t>(广西政府采购网)、</w:t>
      </w:r>
      <w:r>
        <w:rPr>
          <w:rFonts w:hint="eastAsia" w:cs="宋体"/>
          <w:kern w:val="0"/>
          <w:szCs w:val="21"/>
        </w:rPr>
        <w:t>桂林市政府采购网（http://zfcg.czj.guilin.gov.cn/）</w:t>
      </w:r>
      <w:r>
        <w:rPr>
          <w:rFonts w:hint="eastAsia" w:ascii="宋体" w:hAnsi="宋体" w:eastAsia="宋体" w:cs="宋体"/>
          <w:color w:val="auto"/>
          <w:szCs w:val="21"/>
          <w:highlight w:val="none"/>
          <w:lang w:eastAsia="zh-CN"/>
        </w:rPr>
        <w:t>。</w:t>
      </w:r>
    </w:p>
    <w:p w14:paraId="36FEC35E">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本项目需要落实的政府采购政策</w:t>
      </w:r>
      <w:r>
        <w:rPr>
          <w:rFonts w:hint="eastAsia" w:ascii="宋体" w:hAnsi="宋体" w:eastAsia="宋体" w:cs="宋体"/>
          <w:color w:val="auto"/>
          <w:szCs w:val="21"/>
          <w:highlight w:val="none"/>
          <w:lang w:eastAsia="zh-CN"/>
        </w:rPr>
        <w:t>：</w:t>
      </w:r>
    </w:p>
    <w:p w14:paraId="6085655F">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（1）政府采购促进中小企业发展。</w:t>
      </w:r>
    </w:p>
    <w:p w14:paraId="0E7179BE">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（2）政府采购支持采用本国产品的政策。</w:t>
      </w:r>
    </w:p>
    <w:p w14:paraId="281D19C8">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（3）强制采购节能产品；优先采购节能产品、环境标志产品。</w:t>
      </w:r>
    </w:p>
    <w:p w14:paraId="2F0CF46C">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（4）政府采购促进残疾人就业政策。</w:t>
      </w:r>
    </w:p>
    <w:p w14:paraId="4AC6BFA4">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（5）政府采购支持监狱企业发展。</w:t>
      </w:r>
    </w:p>
    <w:p w14:paraId="65947B3B">
      <w:pPr>
        <w:spacing w:line="360" w:lineRule="auto"/>
        <w:ind w:firstLine="315"/>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（6）在</w:t>
      </w:r>
      <w:r>
        <w:rPr>
          <w:rFonts w:hint="eastAsia" w:ascii="宋体" w:hAnsi="宋体" w:eastAsia="宋体" w:cs="宋体"/>
          <w:i w:val="0"/>
          <w:iCs w:val="0"/>
          <w:caps w:val="0"/>
          <w:color w:val="auto"/>
          <w:spacing w:val="0"/>
          <w:sz w:val="21"/>
          <w:szCs w:val="21"/>
          <w:highlight w:val="none"/>
          <w:shd w:val="clear" w:color="auto"/>
          <w:lang w:val="en-US" w:bidi="ar-SA"/>
        </w:rPr>
        <w:t>政府采购中实施本国产品标准及相关政策</w:t>
      </w:r>
      <w:r>
        <w:rPr>
          <w:rFonts w:hint="eastAsia" w:ascii="宋体" w:hAnsi="宋体" w:eastAsia="宋体" w:cs="宋体"/>
          <w:i w:val="0"/>
          <w:iCs w:val="0"/>
          <w:caps w:val="0"/>
          <w:color w:val="auto"/>
          <w:spacing w:val="0"/>
          <w:sz w:val="21"/>
          <w:szCs w:val="21"/>
          <w:highlight w:val="none"/>
          <w:shd w:val="clear" w:color="auto"/>
          <w:lang w:val="en-US" w:eastAsia="zh-CN" w:bidi="ar-SA"/>
        </w:rPr>
        <w:t>。</w:t>
      </w:r>
      <w:bookmarkEnd w:id="37"/>
    </w:p>
    <w:p w14:paraId="235F919C">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35E2E53">
      <w:pPr>
        <w:spacing w:line="360" w:lineRule="auto"/>
        <w:ind w:firstLine="420"/>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对在“信用中国”网站(www.creditchina.gov.cn) 、中国政府采购网(www.ccgp.gov.cn)被列入失信被执行人、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、政府采购严重违法失信行为记录名单及其他不符合《中华人民共和国政府采购法》第二十二条规定条件的供应商，不得参与政府采购活动。</w:t>
      </w:r>
    </w:p>
    <w:p w14:paraId="002DB338">
      <w:pPr>
        <w:spacing w:line="360" w:lineRule="auto"/>
        <w:ind w:firstLine="422"/>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6.</w:t>
      </w:r>
      <w:r>
        <w:rPr>
          <w:rFonts w:hint="eastAsia" w:ascii="宋体" w:hAnsi="宋体" w:eastAsia="宋体" w:cs="宋体"/>
          <w:b/>
          <w:bCs/>
          <w:color w:val="auto"/>
          <w:szCs w:val="21"/>
          <w:highlight w:val="none"/>
        </w:rPr>
        <w:t>在线</w:t>
      </w:r>
      <w:r>
        <w:rPr>
          <w:rFonts w:hint="eastAsia" w:ascii="宋体" w:hAnsi="宋体" w:eastAsia="宋体" w:cs="宋体"/>
          <w:b/>
          <w:bCs/>
          <w:color w:val="auto"/>
          <w:szCs w:val="21"/>
          <w:highlight w:val="none"/>
          <w:lang w:eastAsia="zh-CN"/>
        </w:rPr>
        <w:t>竞</w:t>
      </w:r>
      <w:r>
        <w:rPr>
          <w:rFonts w:hint="eastAsia" w:ascii="宋体" w:hAnsi="宋体" w:eastAsia="宋体" w:cs="宋体"/>
          <w:b/>
          <w:bCs/>
          <w:color w:val="auto"/>
          <w:szCs w:val="21"/>
          <w:highlight w:val="none"/>
        </w:rPr>
        <w:t>标</w:t>
      </w:r>
      <w:r>
        <w:rPr>
          <w:rFonts w:hint="eastAsia" w:ascii="宋体" w:hAnsi="宋体" w:eastAsia="宋体" w:cs="宋体"/>
          <w:b/>
          <w:bCs/>
          <w:color w:val="auto"/>
          <w:szCs w:val="21"/>
          <w:highlight w:val="none"/>
          <w:lang w:eastAsia="zh-CN"/>
        </w:rPr>
        <w:t>的有关</w:t>
      </w:r>
      <w:r>
        <w:rPr>
          <w:rFonts w:hint="eastAsia" w:ascii="宋体" w:hAnsi="宋体" w:eastAsia="宋体" w:cs="宋体"/>
          <w:b/>
          <w:bCs/>
          <w:color w:val="auto"/>
          <w:szCs w:val="21"/>
          <w:highlight w:val="none"/>
        </w:rPr>
        <w:t>说明</w:t>
      </w:r>
      <w:r>
        <w:rPr>
          <w:rFonts w:hint="eastAsia" w:ascii="宋体" w:hAnsi="宋体" w:eastAsia="宋体" w:cs="宋体"/>
          <w:b/>
          <w:bCs/>
          <w:color w:val="auto"/>
          <w:szCs w:val="21"/>
          <w:highlight w:val="none"/>
          <w:lang w:eastAsia="zh-CN"/>
        </w:rPr>
        <w:t>：</w:t>
      </w:r>
    </w:p>
    <w:p w14:paraId="29E8340C">
      <w:pPr>
        <w:widowControl/>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（1）响应文件提交方式：本项目为全流程电子化项目，通过</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7"/>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）实行在线电子响应，供应商应先安装</w:t>
      </w:r>
      <w:r>
        <w:rPr>
          <w:rFonts w:hint="eastAsia" w:ascii="宋体" w:hAnsi="宋体" w:eastAsia="宋体" w:cs="宋体"/>
          <w:b w:val="0"/>
          <w:bCs w:val="0"/>
          <w:color w:val="auto"/>
          <w:sz w:val="21"/>
          <w:szCs w:val="21"/>
          <w:highlight w:val="none"/>
          <w:lang w:val="en-US" w:eastAsia="zh-CN"/>
        </w:rPr>
        <w:t>广西政府采购云平台新版客户端</w:t>
      </w:r>
      <w:r>
        <w:rPr>
          <w:rFonts w:hint="eastAsia" w:ascii="宋体" w:hAnsi="宋体" w:eastAsia="宋体" w:cs="宋体"/>
          <w:color w:val="auto"/>
          <w:szCs w:val="21"/>
          <w:highlight w:val="none"/>
        </w:rPr>
        <w:t>（新版</w:t>
      </w:r>
      <w:r>
        <w:rPr>
          <w:rFonts w:hint="eastAsia" w:ascii="宋体" w:hAnsi="宋体" w:eastAsia="宋体" w:cs="宋体"/>
          <w:i w:val="0"/>
          <w:caps w:val="0"/>
          <w:color w:val="auto"/>
          <w:spacing w:val="0"/>
          <w:sz w:val="21"/>
          <w:szCs w:val="21"/>
          <w:highlight w:val="none"/>
        </w:rPr>
        <w:t>客户端下载路径：广西政府采购网（访问地址http://zfcg.gxzf.gov.cn/）—办事</w:t>
      </w:r>
      <w:r>
        <w:rPr>
          <w:rFonts w:hint="eastAsia"/>
          <w:lang w:val="en-US" w:eastAsia="zh-CN"/>
        </w:rPr>
        <w:t>服务</w:t>
      </w:r>
      <w:r>
        <w:rPr>
          <w:rFonts w:hint="eastAsia" w:ascii="宋体" w:hAnsi="宋体" w:eastAsia="宋体" w:cs="宋体"/>
          <w:i w:val="0"/>
          <w:caps w:val="0"/>
          <w:color w:val="auto"/>
          <w:spacing w:val="0"/>
          <w:sz w:val="21"/>
          <w:szCs w:val="21"/>
          <w:highlight w:val="none"/>
        </w:rPr>
        <w:t>—下载专区</w:t>
      </w:r>
      <w:r>
        <w:rPr>
          <w:rFonts w:hint="eastAsia" w:ascii="宋体" w:hAnsi="宋体" w:eastAsia="宋体" w:cs="宋体"/>
          <w:color w:val="auto"/>
          <w:szCs w:val="21"/>
          <w:highlight w:val="none"/>
        </w:rPr>
        <w:t>），并按照本项目采购文件和</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的要求编制、加密后在</w:t>
      </w:r>
      <w:r>
        <w:rPr>
          <w:rFonts w:hint="eastAsia" w:ascii="宋体" w:hAnsi="宋体" w:eastAsia="宋体" w:cs="宋体"/>
          <w:color w:val="auto"/>
          <w:szCs w:val="21"/>
          <w:highlight w:val="none"/>
          <w:lang w:val="en-US" w:eastAsia="zh-CN"/>
        </w:rPr>
        <w:t>响应文件提交</w:t>
      </w:r>
      <w:r>
        <w:rPr>
          <w:rFonts w:hint="eastAsia" w:ascii="宋体" w:hAnsi="宋体" w:eastAsia="宋体" w:cs="宋体"/>
          <w:color w:val="auto"/>
          <w:szCs w:val="21"/>
          <w:highlight w:val="none"/>
        </w:rPr>
        <w:t>截止时间前通过网络上传至</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bCs w:val="0"/>
          <w:color w:val="auto"/>
          <w:sz w:val="21"/>
          <w:szCs w:val="21"/>
          <w:highlight w:val="none"/>
          <w:lang w:val="en-US"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w:t>
      </w:r>
    </w:p>
    <w:p w14:paraId="1C488AA7">
      <w:pPr>
        <w:widowControl/>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w:t>
      </w:r>
      <w:r>
        <w:rPr>
          <w:rFonts w:hint="eastAsia" w:ascii="宋体" w:hAnsi="宋体" w:eastAsia="宋体" w:cs="宋体"/>
          <w:color w:val="auto"/>
          <w:szCs w:val="21"/>
          <w:highlight w:val="none"/>
          <w:lang w:eastAsia="zh-CN"/>
        </w:rPr>
        <w:t>首次响应文件提交</w:t>
      </w:r>
      <w:r>
        <w:rPr>
          <w:rFonts w:hint="eastAsia" w:ascii="宋体" w:hAnsi="宋体" w:eastAsia="宋体" w:cs="宋体"/>
          <w:color w:val="auto"/>
          <w:szCs w:val="21"/>
          <w:highlight w:val="none"/>
        </w:rPr>
        <w:t>截止时间前，完成电子交易平台上的CA数字证书办理及响应文件的提交。</w:t>
      </w:r>
    </w:p>
    <w:p w14:paraId="1D41F8AE">
      <w:pPr>
        <w:widowControl/>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0A4EF329">
      <w:pPr>
        <w:spacing w:line="360" w:lineRule="auto"/>
        <w:ind w:firstLine="422"/>
        <w:rPr>
          <w:rFonts w:hint="eastAsia" w:ascii="宋体" w:hAnsi="宋体" w:eastAsia="宋体" w:cs="宋体"/>
          <w:b/>
          <w:bCs w:val="0"/>
          <w:color w:val="auto"/>
          <w:szCs w:val="21"/>
          <w:highlight w:val="none"/>
          <w:u w:val="single"/>
        </w:rPr>
      </w:pPr>
      <w:r>
        <w:rPr>
          <w:rFonts w:hint="eastAsia" w:ascii="宋体" w:hAnsi="宋体" w:eastAsia="宋体" w:cs="宋体"/>
          <w:b/>
          <w:bCs w:val="0"/>
          <w:color w:val="auto"/>
          <w:szCs w:val="21"/>
          <w:highlight w:val="none"/>
          <w:u w:val="single"/>
        </w:rPr>
        <w:t>注：供应商应当在首次响应文件提交截止时间前完成</w:t>
      </w:r>
      <w:r>
        <w:rPr>
          <w:rFonts w:hint="eastAsia" w:ascii="宋体" w:hAnsi="宋体" w:eastAsia="宋体" w:cs="宋体"/>
          <w:b/>
          <w:bCs w:val="0"/>
          <w:color w:val="auto"/>
          <w:szCs w:val="21"/>
          <w:highlight w:val="none"/>
          <w:u w:val="single"/>
          <w:lang w:eastAsia="zh-CN"/>
        </w:rPr>
        <w:t>电子版响应文件</w:t>
      </w:r>
      <w:r>
        <w:rPr>
          <w:rFonts w:hint="eastAsia" w:ascii="宋体" w:hAnsi="宋体" w:eastAsia="宋体" w:cs="宋体"/>
          <w:b/>
          <w:bCs w:val="0"/>
          <w:color w:val="auto"/>
          <w:szCs w:val="21"/>
          <w:highlight w:val="none"/>
          <w:u w:val="single"/>
        </w:rPr>
        <w:t>的上传、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，响应文件提交截止时间前可以补充、修改或者撤回响应文件。补充或者修改响应文件的，应当先行撤回原文件，补充、修改后重新上传、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w:t>
      </w:r>
      <w:r>
        <w:rPr>
          <w:rFonts w:hint="eastAsia" w:ascii="宋体" w:hAnsi="宋体" w:eastAsia="宋体" w:cs="宋体"/>
          <w:b/>
          <w:color w:val="auto"/>
          <w:szCs w:val="21"/>
          <w:highlight w:val="none"/>
          <w:lang w:eastAsia="zh-CN"/>
        </w:rPr>
        <w:t>响应文件提交</w:t>
      </w:r>
      <w:r>
        <w:rPr>
          <w:rFonts w:hint="eastAsia" w:ascii="宋体" w:hAnsi="宋体" w:eastAsia="宋体" w:cs="宋体"/>
          <w:b/>
          <w:bCs w:val="0"/>
          <w:color w:val="auto"/>
          <w:szCs w:val="21"/>
          <w:highlight w:val="none"/>
          <w:u w:val="single"/>
        </w:rPr>
        <w:t>截止时间前未完成上传、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的，视为撤回响应文件。响应文件提交截止时间以后上传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的响应文件，</w:t>
      </w:r>
      <w:r>
        <w:rPr>
          <w:rFonts w:hint="eastAsia" w:ascii="宋体" w:hAnsi="宋体" w:eastAsia="宋体" w:cs="宋体"/>
          <w:b/>
          <w:bCs w:val="0"/>
          <w:color w:val="auto"/>
          <w:sz w:val="21"/>
          <w:szCs w:val="21"/>
          <w:highlight w:val="none"/>
          <w:u w:val="single"/>
          <w:lang w:val="en-US" w:eastAsia="zh-CN"/>
        </w:rPr>
        <w:t>广西政府采购云平台</w:t>
      </w:r>
      <w:r>
        <w:rPr>
          <w:rFonts w:hint="eastAsia" w:ascii="宋体" w:hAnsi="宋体" w:eastAsia="宋体" w:cs="宋体"/>
          <w:b/>
          <w:bCs w:val="0"/>
          <w:color w:val="auto"/>
          <w:szCs w:val="21"/>
          <w:highlight w:val="none"/>
          <w:u w:val="single"/>
        </w:rPr>
        <w:t>将予以拒收。</w:t>
      </w:r>
    </w:p>
    <w:p w14:paraId="4F84FE7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CA证书在线解密：首次响应文件开启时，</w:t>
      </w:r>
      <w:r>
        <w:rPr>
          <w:rFonts w:hint="eastAsia" w:ascii="宋体" w:hAnsi="宋体" w:eastAsia="宋体" w:cs="宋体"/>
          <w:color w:val="auto"/>
          <w:szCs w:val="21"/>
          <w:highlight w:val="none"/>
          <w:lang w:eastAsia="zh-CN"/>
        </w:rPr>
        <w:t>需</w:t>
      </w:r>
      <w:r>
        <w:rPr>
          <w:rFonts w:hint="eastAsia" w:ascii="宋体" w:hAnsi="宋体" w:eastAsia="宋体" w:cs="宋体"/>
          <w:color w:val="auto"/>
          <w:szCs w:val="21"/>
          <w:highlight w:val="none"/>
        </w:rPr>
        <w:t>要供应商登录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电子开标大厅按规定时间对加密的响应文件进行解密。</w:t>
      </w:r>
    </w:p>
    <w:p w14:paraId="63A5B2E9">
      <w:pPr>
        <w:spacing w:line="360" w:lineRule="auto"/>
        <w:ind w:firstLine="420"/>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供应商需要在具备有摄像头及语音功能且互联网网络状况良好的电脑登录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远程开标大厅参与本次谈判，否则后果自负。</w:t>
      </w:r>
    </w:p>
    <w:p w14:paraId="343D6B0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若对项目采购电子交易系统操作有疑问，可登录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7"/>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），点击右侧咨询小采，获取采小蜜智能服务管家帮助，或拨打</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服务热线</w:t>
      </w:r>
      <w:r>
        <w:rPr>
          <w:rFonts w:hint="eastAsia" w:ascii="宋体" w:hAnsi="宋体" w:eastAsia="宋体" w:cs="宋体"/>
          <w:color w:val="auto"/>
          <w:szCs w:val="21"/>
          <w:highlight w:val="none"/>
          <w:lang w:val="en-US" w:eastAsia="zh-CN"/>
        </w:rPr>
        <w:t>95763</w:t>
      </w:r>
      <w:r>
        <w:rPr>
          <w:rFonts w:hint="eastAsia" w:ascii="宋体" w:hAnsi="宋体" w:eastAsia="宋体" w:cs="宋体"/>
          <w:color w:val="auto"/>
          <w:szCs w:val="21"/>
          <w:highlight w:val="none"/>
        </w:rPr>
        <w:t>获取热线服务帮助。</w:t>
      </w:r>
    </w:p>
    <w:p w14:paraId="4F7AF600">
      <w:pPr>
        <w:pStyle w:val="29"/>
        <w:spacing w:line="360" w:lineRule="auto"/>
        <w:ind w:firstLine="42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8.银行、保险、石油石化、电力、电信等有行业特殊情况的，法人的分支机构经法人授权后可以分支机构的身份参加政府采购。如供应商为分支机构的，必须在响应文件中同时提供经法人授权供应商以分支机构名义参加竞标的授权委托书、法人营业执照及分支机构营业执照的复印件。</w:t>
      </w:r>
    </w:p>
    <w:p w14:paraId="6B6F77AB">
      <w:pPr>
        <w:spacing w:line="360" w:lineRule="auto"/>
        <w:ind w:firstLine="482"/>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rPr>
        <w:t>八、凡对本次采购提出询问，请按以下方式联系</w:t>
      </w:r>
      <w:r>
        <w:rPr>
          <w:rFonts w:hint="eastAsia" w:ascii="宋体" w:hAnsi="宋体" w:eastAsia="宋体" w:cs="宋体"/>
          <w:b/>
          <w:color w:val="auto"/>
          <w:sz w:val="24"/>
          <w:szCs w:val="24"/>
          <w:highlight w:val="none"/>
          <w:lang w:eastAsia="zh-CN"/>
        </w:rPr>
        <w:t>。</w:t>
      </w:r>
    </w:p>
    <w:p w14:paraId="3C64C799">
      <w:pPr>
        <w:spacing w:line="360" w:lineRule="auto"/>
        <w:ind w:firstLine="735"/>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79358EA1">
      <w:pPr>
        <w:spacing w:line="360" w:lineRule="auto"/>
        <w:ind w:left="1041" w:hanging="262"/>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荔浦市残疾人联合会</w:t>
      </w:r>
    </w:p>
    <w:p w14:paraId="0E0928D2">
      <w:pPr>
        <w:spacing w:line="360" w:lineRule="auto"/>
        <w:ind w:left="1041" w:hanging="262"/>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eastAsia="zh-CN"/>
        </w:rPr>
        <w:t>广西桂林市荔浦市荔城镇荔柳路72号</w:t>
      </w:r>
    </w:p>
    <w:p w14:paraId="4D9AE29C">
      <w:pPr>
        <w:spacing w:line="360" w:lineRule="auto"/>
        <w:ind w:left="1041" w:hanging="262"/>
        <w:jc w:val="left"/>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联系方式</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陈家慧</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0773-7238385</w:t>
      </w:r>
    </w:p>
    <w:p w14:paraId="0E9F4F93">
      <w:pPr>
        <w:spacing w:line="360" w:lineRule="auto"/>
        <w:ind w:left="1041" w:hanging="26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4F40A04B">
      <w:pPr>
        <w:spacing w:line="360" w:lineRule="auto"/>
        <w:ind w:firstLine="735"/>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名称：</w:t>
      </w:r>
      <w:bookmarkStart w:id="38" w:name="PO_3000001866_PM031_1"/>
      <w:r>
        <w:rPr>
          <w:rFonts w:hint="eastAsia" w:ascii="宋体" w:hAnsi="宋体" w:eastAsia="宋体" w:cs="宋体"/>
          <w:color w:val="auto"/>
          <w:szCs w:val="21"/>
          <w:highlight w:val="none"/>
          <w:lang w:val="en-US" w:eastAsia="zh-CN"/>
        </w:rPr>
        <w:t>广西科联招标中心有限公司</w:t>
      </w:r>
      <w:bookmarkEnd w:id="38"/>
    </w:p>
    <w:p w14:paraId="722FC67E">
      <w:pPr>
        <w:spacing w:line="360" w:lineRule="auto"/>
        <w:ind w:firstLine="735"/>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地址：</w:t>
      </w:r>
      <w:bookmarkStart w:id="39" w:name="PO_3000001866_PM035_1"/>
      <w:r>
        <w:rPr>
          <w:rFonts w:hint="eastAsia" w:ascii="宋体" w:hAnsi="宋体" w:eastAsia="宋体" w:cs="宋体"/>
          <w:color w:val="auto"/>
          <w:szCs w:val="21"/>
          <w:highlight w:val="none"/>
          <w:lang w:val="en-US" w:eastAsia="zh-CN"/>
        </w:rPr>
        <w:t>桂林市七星区东江路28号28-8栋</w:t>
      </w:r>
      <w:bookmarkEnd w:id="39"/>
    </w:p>
    <w:p w14:paraId="5657B72F">
      <w:pPr>
        <w:spacing w:line="360" w:lineRule="auto"/>
        <w:ind w:firstLine="735"/>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联系方式:0773-5442932 </w:t>
      </w:r>
    </w:p>
    <w:p w14:paraId="4DCE70B6">
      <w:pPr>
        <w:spacing w:line="360" w:lineRule="auto"/>
        <w:ind w:firstLine="735"/>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6A0A0486">
      <w:pPr>
        <w:spacing w:line="360" w:lineRule="auto"/>
        <w:ind w:firstLine="735"/>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项目联系人：蒋建英、唐庆荣、李诗茗</w:t>
      </w:r>
    </w:p>
    <w:p w14:paraId="1C9B6C2E">
      <w:pPr>
        <w:spacing w:line="360" w:lineRule="auto"/>
        <w:ind w:firstLine="735"/>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bookmarkStart w:id="40" w:name="PO_3000001866_PM033"/>
      <w:r>
        <w:rPr>
          <w:rFonts w:hint="eastAsia" w:ascii="宋体" w:hAnsi="宋体" w:eastAsia="宋体" w:cs="宋体"/>
          <w:color w:val="auto"/>
          <w:szCs w:val="21"/>
          <w:highlight w:val="none"/>
        </w:rPr>
        <w:t>0773-5442932</w:t>
      </w:r>
      <w:bookmarkEnd w:id="40"/>
    </w:p>
    <w:p w14:paraId="441DAC11">
      <w:pPr>
        <w:rPr>
          <w:rFonts w:hint="eastAsia" w:ascii="宋体" w:hAnsi="宋体" w:eastAsia="宋体" w:cs="宋体"/>
          <w:color w:val="auto"/>
          <w:szCs w:val="21"/>
          <w:highlight w:val="none"/>
        </w:rPr>
      </w:pPr>
    </w:p>
    <w:p w14:paraId="7CEA637F">
      <w:pPr>
        <w:pStyle w:val="19"/>
        <w:rPr>
          <w:rFonts w:hint="eastAsia" w:ascii="宋体" w:hAnsi="宋体" w:eastAsia="宋体" w:cs="宋体"/>
          <w:color w:val="auto"/>
          <w:szCs w:val="21"/>
          <w:highlight w:val="none"/>
        </w:rPr>
      </w:pPr>
    </w:p>
    <w:p w14:paraId="2DB66709">
      <w:pPr>
        <w:rPr>
          <w:rFonts w:hint="eastAsia" w:ascii="宋体" w:hAnsi="宋体" w:eastAsia="宋体" w:cs="宋体"/>
          <w:b/>
          <w:color w:val="auto"/>
          <w:sz w:val="32"/>
          <w:szCs w:val="32"/>
          <w:highlight w:val="none"/>
          <w:lang w:val="zh-CN" w:eastAsia="zh-CN"/>
        </w:rPr>
      </w:pPr>
      <w:bookmarkStart w:id="41" w:name="_Toc30720"/>
      <w:bookmarkStart w:id="42" w:name="_Toc27517"/>
      <w:bookmarkStart w:id="43" w:name="_Toc7360"/>
      <w:bookmarkStart w:id="44" w:name="_Toc14086"/>
      <w:bookmarkStart w:id="45" w:name="_Toc16263"/>
      <w:bookmarkStart w:id="46" w:name="_Toc7676"/>
      <w:bookmarkStart w:id="47" w:name="_Toc30021"/>
      <w:bookmarkStart w:id="48" w:name="_Toc21351"/>
      <w:bookmarkStart w:id="49" w:name="_Toc80205921"/>
      <w:r>
        <w:rPr>
          <w:rFonts w:hint="eastAsia" w:ascii="宋体" w:hAnsi="宋体" w:eastAsia="宋体" w:cs="宋体"/>
          <w:b/>
          <w:color w:val="auto"/>
          <w:sz w:val="32"/>
          <w:szCs w:val="32"/>
          <w:highlight w:val="none"/>
          <w:lang w:val="zh-CN" w:eastAsia="zh-CN"/>
        </w:rPr>
        <w:br w:type="page" w:clear="all"/>
      </w:r>
    </w:p>
    <w:p w14:paraId="45BAF94C">
      <w:pPr>
        <w:keepNext/>
        <w:keepLines/>
        <w:spacing w:before="340" w:after="330" w:line="578" w:lineRule="auto"/>
        <w:jc w:val="center"/>
        <w:outlineLvl w:val="0"/>
        <w:rPr>
          <w:rFonts w:hint="eastAsia" w:ascii="宋体" w:hAnsi="宋体" w:eastAsia="宋体" w:cs="宋体"/>
          <w:b/>
          <w:bCs/>
          <w:color w:val="auto"/>
          <w:sz w:val="44"/>
          <w:szCs w:val="44"/>
          <w:highlight w:val="none"/>
          <w:lang w:val="zh-CN" w:eastAsia="zh-CN"/>
        </w:rPr>
      </w:pPr>
      <w:r>
        <w:rPr>
          <w:rFonts w:hint="eastAsia" w:ascii="宋体" w:hAnsi="宋体" w:eastAsia="宋体" w:cs="宋体"/>
          <w:b/>
          <w:color w:val="auto"/>
          <w:sz w:val="32"/>
          <w:szCs w:val="32"/>
          <w:highlight w:val="none"/>
          <w:lang w:val="zh-CN" w:eastAsia="zh-CN"/>
        </w:rPr>
        <w:t>第二章 采购需求</w:t>
      </w:r>
      <w:bookmarkEnd w:id="41"/>
      <w:bookmarkEnd w:id="42"/>
      <w:bookmarkEnd w:id="43"/>
      <w:bookmarkEnd w:id="44"/>
      <w:bookmarkEnd w:id="45"/>
      <w:bookmarkEnd w:id="46"/>
      <w:bookmarkEnd w:id="47"/>
      <w:bookmarkEnd w:id="48"/>
      <w:bookmarkEnd w:id="49"/>
    </w:p>
    <w:p w14:paraId="55284ED0">
      <w:pPr>
        <w:spacing w:line="4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27A1017F">
      <w:pPr>
        <w:spacing w:line="360" w:lineRule="auto"/>
        <w:ind w:firstLine="42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4"/>
          <w:highlight w:val="none"/>
        </w:rPr>
        <w:t>1. 为落实政府采购政策需满足的要求</w:t>
      </w:r>
      <w:r>
        <w:rPr>
          <w:rFonts w:hint="eastAsia" w:ascii="宋体" w:hAnsi="宋体" w:eastAsia="宋体" w:cs="宋体"/>
          <w:color w:val="auto"/>
          <w:szCs w:val="24"/>
          <w:highlight w:val="none"/>
          <w:lang w:eastAsia="zh-CN"/>
        </w:rPr>
        <w:t>：</w:t>
      </w:r>
    </w:p>
    <w:p w14:paraId="36862DF8">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（1）本竞争性谈判文件所称中小企业必须符合《政府采购促进中小企业发展管理办法》（财库〔2020〕46号）的规定。</w:t>
      </w:r>
    </w:p>
    <w:p w14:paraId="65A02818">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详见本章</w:t>
      </w: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供应商必须在响应文件中提供所竞标产品有效期内的节能产品认证证书复印件（加盖供应商公章），否则响应文件作无效处理</w:t>
      </w:r>
      <w:r>
        <w:rPr>
          <w:rFonts w:hint="eastAsia" w:ascii="宋体" w:hAnsi="宋体" w:eastAsia="宋体" w:cs="宋体"/>
          <w:color w:val="auto"/>
          <w:szCs w:val="21"/>
          <w:highlight w:val="none"/>
        </w:rPr>
        <w:t>。如本项目包含的配套货物属于品目清单内非标注“★”的产品时，应优先采购，具体详见“第四章 评审程序、评审方法和成交标准”。</w:t>
      </w:r>
    </w:p>
    <w:p w14:paraId="70A2F145">
      <w:pPr>
        <w:pStyle w:val="29"/>
        <w:spacing w:line="360" w:lineRule="auto"/>
        <w:ind w:firstLine="420"/>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rPr>
        <w:t>2.</w:t>
      </w:r>
      <w:r>
        <w:rPr>
          <w:rFonts w:hint="eastAsia" w:ascii="宋体" w:hAnsi="宋体" w:eastAsia="宋体" w:cs="宋体"/>
          <w:b/>
          <w:bCs/>
          <w:color w:val="auto"/>
          <w:sz w:val="21"/>
          <w:szCs w:val="21"/>
          <w:highlight w:val="none"/>
          <w:lang w:val="en-US"/>
        </w:rPr>
        <w:t>采购需求中</w:t>
      </w:r>
      <w:r>
        <w:rPr>
          <w:rFonts w:hint="eastAsia" w:ascii="宋体" w:hAnsi="宋体" w:eastAsia="宋体" w:cs="宋体"/>
          <w:b/>
          <w:bCs/>
          <w:color w:val="auto"/>
          <w:sz w:val="21"/>
          <w:szCs w:val="21"/>
          <w:highlight w:val="none"/>
          <w:lang w:val="en-US" w:eastAsia="zh-CN"/>
        </w:rPr>
        <w:t>所有</w:t>
      </w:r>
      <w:r>
        <w:rPr>
          <w:rFonts w:hint="eastAsia" w:ascii="宋体" w:hAnsi="宋体" w:eastAsia="宋体" w:cs="宋体"/>
          <w:b/>
          <w:bCs/>
          <w:color w:val="auto"/>
          <w:sz w:val="21"/>
          <w:szCs w:val="21"/>
          <w:highlight w:val="none"/>
          <w:lang w:val="en-US"/>
        </w:rPr>
        <w:t>条款</w:t>
      </w:r>
      <w:r>
        <w:rPr>
          <w:rFonts w:hint="eastAsia" w:ascii="宋体" w:hAnsi="宋体" w:eastAsia="宋体" w:cs="宋体"/>
          <w:b/>
          <w:bCs/>
          <w:color w:val="auto"/>
          <w:sz w:val="21"/>
          <w:szCs w:val="21"/>
          <w:highlight w:val="none"/>
          <w:lang w:val="en-US" w:eastAsia="zh-CN"/>
        </w:rPr>
        <w:t>为实质性条款，不满足作</w:t>
      </w:r>
      <w:r>
        <w:rPr>
          <w:rFonts w:hint="eastAsia" w:ascii="宋体" w:hAnsi="宋体" w:eastAsia="宋体" w:cs="宋体"/>
          <w:b/>
          <w:bCs/>
          <w:color w:val="auto"/>
          <w:sz w:val="21"/>
          <w:szCs w:val="21"/>
          <w:highlight w:val="none"/>
          <w:lang w:val="en-US"/>
        </w:rPr>
        <w:t>无效响应处理</w:t>
      </w:r>
      <w:r>
        <w:rPr>
          <w:rFonts w:hint="eastAsia" w:ascii="宋体" w:hAnsi="宋体" w:cs="宋体"/>
          <w:b/>
          <w:bCs/>
          <w:color w:val="auto"/>
          <w:sz w:val="21"/>
          <w:szCs w:val="21"/>
          <w:highlight w:val="none"/>
          <w:lang w:val="en-US" w:eastAsia="zh-CN"/>
        </w:rPr>
        <w:t>。</w:t>
      </w:r>
    </w:p>
    <w:p w14:paraId="1B4B14EB">
      <w:pPr>
        <w:pStyle w:val="29"/>
        <w:spacing w:line="360" w:lineRule="auto"/>
        <w:ind w:firstLine="42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rPr>
        <w:t>.采购需求中出现的品牌、型号或者</w:t>
      </w:r>
      <w:r>
        <w:rPr>
          <w:rFonts w:hint="eastAsia" w:ascii="宋体" w:hAnsi="宋体" w:eastAsia="宋体" w:cs="宋体"/>
          <w:color w:val="auto"/>
          <w:sz w:val="21"/>
          <w:szCs w:val="21"/>
          <w:highlight w:val="none"/>
          <w:lang w:val="en-US" w:eastAsia="zh-CN"/>
        </w:rPr>
        <w:t>制造商</w:t>
      </w:r>
      <w:r>
        <w:rPr>
          <w:rFonts w:hint="eastAsia" w:ascii="宋体" w:hAnsi="宋体" w:eastAsia="宋体" w:cs="宋体"/>
          <w:color w:val="auto"/>
          <w:sz w:val="21"/>
          <w:szCs w:val="21"/>
          <w:highlight w:val="none"/>
          <w:lang w:val="en-US"/>
        </w:rPr>
        <w:t>仅起参考作用，不属于指定品牌、型号或者</w:t>
      </w:r>
      <w:r>
        <w:rPr>
          <w:rFonts w:hint="eastAsia" w:ascii="宋体" w:hAnsi="宋体" w:eastAsia="宋体" w:cs="宋体"/>
          <w:color w:val="auto"/>
          <w:sz w:val="21"/>
          <w:szCs w:val="21"/>
          <w:highlight w:val="none"/>
          <w:lang w:val="en-US" w:eastAsia="zh-CN"/>
        </w:rPr>
        <w:t>制造商</w:t>
      </w:r>
      <w:r>
        <w:rPr>
          <w:rFonts w:hint="eastAsia" w:ascii="宋体" w:hAnsi="宋体" w:eastAsia="宋体" w:cs="宋体"/>
          <w:color w:val="auto"/>
          <w:sz w:val="21"/>
          <w:szCs w:val="21"/>
          <w:highlight w:val="none"/>
          <w:lang w:val="en-US"/>
        </w:rPr>
        <w:t>的情形。</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rPr>
        <w:t>可参照或者选用其他相当的品牌、型号或者</w:t>
      </w:r>
      <w:r>
        <w:rPr>
          <w:rFonts w:hint="eastAsia" w:ascii="宋体" w:hAnsi="宋体" w:eastAsia="宋体" w:cs="宋体"/>
          <w:color w:val="auto"/>
          <w:sz w:val="21"/>
          <w:szCs w:val="21"/>
          <w:highlight w:val="none"/>
          <w:lang w:val="en-US" w:eastAsia="zh-CN"/>
        </w:rPr>
        <w:t>制造商</w:t>
      </w:r>
      <w:r>
        <w:rPr>
          <w:rFonts w:hint="eastAsia" w:ascii="宋体" w:hAnsi="宋体" w:eastAsia="宋体" w:cs="宋体"/>
          <w:color w:val="auto"/>
          <w:sz w:val="21"/>
          <w:szCs w:val="21"/>
          <w:highlight w:val="none"/>
          <w:lang w:val="en-US"/>
        </w:rPr>
        <w:t>替代，但选用的</w:t>
      </w:r>
      <w:r>
        <w:rPr>
          <w:rFonts w:hint="eastAsia" w:ascii="宋体" w:hAnsi="宋体" w:eastAsia="宋体" w:cs="宋体"/>
          <w:color w:val="auto"/>
          <w:sz w:val="21"/>
          <w:szCs w:val="21"/>
          <w:highlight w:val="none"/>
          <w:lang w:val="en-US" w:eastAsia="zh-CN"/>
        </w:rPr>
        <w:t>竞</w:t>
      </w:r>
      <w:r>
        <w:rPr>
          <w:rFonts w:hint="eastAsia" w:ascii="宋体" w:hAnsi="宋体" w:eastAsia="宋体" w:cs="宋体"/>
          <w:color w:val="auto"/>
          <w:sz w:val="21"/>
          <w:szCs w:val="21"/>
          <w:highlight w:val="none"/>
          <w:lang w:val="en-US"/>
        </w:rPr>
        <w:t>标产品</w:t>
      </w: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lang w:val="en-US"/>
        </w:rPr>
        <w:t>参数</w:t>
      </w:r>
      <w:r>
        <w:rPr>
          <w:rFonts w:hint="eastAsia" w:ascii="宋体" w:hAnsi="宋体" w:eastAsia="宋体" w:cs="宋体"/>
          <w:color w:val="auto"/>
          <w:sz w:val="21"/>
          <w:szCs w:val="21"/>
          <w:highlight w:val="none"/>
          <w:lang w:val="en-US" w:eastAsia="zh-CN"/>
        </w:rPr>
        <w:t>及配置</w:t>
      </w:r>
      <w:r>
        <w:rPr>
          <w:rFonts w:hint="eastAsia" w:ascii="宋体" w:hAnsi="宋体" w:eastAsia="宋体" w:cs="宋体"/>
          <w:color w:val="auto"/>
          <w:sz w:val="21"/>
          <w:szCs w:val="21"/>
          <w:highlight w:val="none"/>
          <w:lang w:val="en-US"/>
        </w:rPr>
        <w:t>必须满足</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lang w:val="en-US"/>
        </w:rPr>
        <w:t>要求。</w:t>
      </w:r>
    </w:p>
    <w:p w14:paraId="560DF0A3">
      <w:pPr>
        <w:spacing w:line="360" w:lineRule="auto"/>
        <w:ind w:firstLine="424"/>
        <w:jc w:val="left"/>
        <w:rPr>
          <w:rFonts w:hint="eastAsia" w:ascii="宋体" w:hAnsi="宋体" w:eastAsia="宋体" w:cs="宋体"/>
          <w:color w:val="auto"/>
          <w:highlight w:val="none"/>
        </w:rPr>
      </w:pPr>
      <w:bookmarkStart w:id="50" w:name="PO_3000001871_PM050"/>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必须对</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文件中提供的证明材料和资质文件真实性负责，如出现虚假应标情况，</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除了应接受有关部门的处罚外，还应依据《中华人民共和国民法典》的相关条款来</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赔偿。</w:t>
      </w:r>
    </w:p>
    <w:p w14:paraId="4FB6C36B">
      <w:pPr>
        <w:tabs>
          <w:tab w:val="left" w:pos="180"/>
          <w:tab w:val="left" w:pos="1620"/>
        </w:tabs>
        <w:spacing w:line="420" w:lineRule="exact"/>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highlight w:val="none"/>
        </w:rPr>
        <w:t>应对</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标内容所涉及的专利承担法律责任，并负责保护</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的利益不受任何损害。一切由于文字、商标、技术和软件专利授权引起的法律裁决、诉讼和赔偿费用均由</w:t>
      </w:r>
      <w:r>
        <w:rPr>
          <w:rFonts w:hint="eastAsia" w:ascii="宋体" w:hAnsi="宋体" w:eastAsia="宋体" w:cs="宋体"/>
          <w:color w:val="auto"/>
          <w:highlight w:val="none"/>
          <w:lang w:eastAsia="zh-CN"/>
        </w:rPr>
        <w:t>成交供应商</w:t>
      </w:r>
      <w:r>
        <w:rPr>
          <w:rFonts w:hint="eastAsia" w:ascii="宋体" w:hAnsi="宋体" w:eastAsia="宋体" w:cs="宋体"/>
          <w:color w:val="auto"/>
          <w:highlight w:val="none"/>
        </w:rPr>
        <w:t>负责。</w:t>
      </w:r>
    </w:p>
    <w:p w14:paraId="6364821B">
      <w:pPr>
        <w:tabs>
          <w:tab w:val="left" w:pos="180"/>
          <w:tab w:val="left" w:pos="1620"/>
        </w:tabs>
        <w:spacing w:line="420" w:lineRule="exact"/>
        <w:ind w:firstLine="420"/>
        <w:rPr>
          <w:rFonts w:hint="eastAsia" w:ascii="宋体" w:hAnsi="宋体" w:eastAsia="宋体" w:cs="宋体"/>
          <w:i/>
          <w:iCs/>
          <w:color w:val="auto"/>
          <w:highlight w:val="none"/>
          <w:u w:val="single"/>
          <w:lang w:val="en-US" w:eastAsia="zh-CN"/>
        </w:rPr>
      </w:pPr>
      <w:r>
        <w:rPr>
          <w:rFonts w:hint="eastAsia" w:ascii="宋体" w:hAnsi="宋体" w:eastAsia="宋体" w:cs="宋体"/>
          <w:color w:val="auto"/>
          <w:highlight w:val="none"/>
          <w:lang w:val="en-US" w:eastAsia="zh-CN"/>
        </w:rPr>
        <w:t>6.采购标的对应的中小企业划分标准所属行业名称：</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szCs w:val="21"/>
          <w:highlight w:val="none"/>
          <w:u w:val="single"/>
        </w:rPr>
        <w:t>工业</w:t>
      </w:r>
      <w:r>
        <w:rPr>
          <w:rFonts w:hint="eastAsia" w:ascii="宋体" w:hAnsi="宋体" w:eastAsia="宋体" w:cs="宋体"/>
          <w:color w:val="auto"/>
          <w:highlight w:val="none"/>
          <w:u w:val="single"/>
          <w:lang w:val="en-US" w:eastAsia="zh-CN"/>
        </w:rPr>
        <w:t>。</w:t>
      </w:r>
    </w:p>
    <w:bookmarkEnd w:id="50"/>
    <w:p w14:paraId="2695532C">
      <w:pPr>
        <w:pStyle w:val="29"/>
        <w:rPr>
          <w:rFonts w:hint="eastAsia" w:ascii="宋体" w:hAnsi="宋体" w:eastAsia="宋体" w:cs="宋体"/>
          <w:i/>
          <w:iCs/>
          <w:color w:val="auto"/>
          <w:highlight w:val="none"/>
          <w:u w:val="single"/>
          <w:lang w:val="en-US" w:eastAsia="zh-CN"/>
        </w:rPr>
      </w:pPr>
    </w:p>
    <w:p w14:paraId="68B87C0A">
      <w:pPr>
        <w:jc w:val="center"/>
        <w:rPr>
          <w:rFonts w:hint="eastAsia" w:ascii="宋体" w:hAnsi="宋体" w:eastAsia="宋体" w:cs="宋体"/>
          <w:color w:val="auto"/>
          <w:szCs w:val="24"/>
          <w:highlight w:val="none"/>
        </w:rPr>
      </w:pPr>
      <w:bookmarkStart w:id="51" w:name="PO_TDCUS_ITEM_PB_REQ_FILE_1_1"/>
    </w:p>
    <w:tbl>
      <w:tblPr>
        <w:tblStyle w:val="44"/>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45"/>
        <w:gridCol w:w="443"/>
        <w:gridCol w:w="1065"/>
        <w:gridCol w:w="707"/>
        <w:gridCol w:w="6186"/>
        <w:gridCol w:w="1175"/>
      </w:tblGrid>
      <w:tr w14:paraId="7ED92F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noWrap w:val="0"/>
            <w:vAlign w:val="center"/>
          </w:tcPr>
          <w:p w14:paraId="73199764">
            <w:pPr>
              <w:jc w:val="center"/>
              <w:rPr>
                <w:rFonts w:hint="eastAsia" w:ascii="宋体" w:hAnsi="宋体" w:eastAsia="宋体" w:cs="宋体"/>
                <w:color w:val="auto"/>
                <w:sz w:val="21"/>
                <w:szCs w:val="21"/>
                <w:highlight w:val="none"/>
              </w:rPr>
            </w:pPr>
          </w:p>
          <w:p w14:paraId="2E0F885B">
            <w:pPr>
              <w:jc w:val="center"/>
              <w:rPr>
                <w:rFonts w:hint="eastAsia" w:ascii="宋体" w:hAnsi="宋体" w:eastAsia="宋体" w:cs="宋体"/>
                <w:color w:val="auto"/>
                <w:sz w:val="24"/>
                <w:highlight w:val="none"/>
              </w:rPr>
            </w:pPr>
            <w:r>
              <w:rPr>
                <w:rFonts w:hint="eastAsia" w:ascii="宋体" w:hAnsi="宋体" w:eastAsia="宋体" w:cs="宋体"/>
                <w:b/>
                <w:bCs/>
                <w:color w:val="auto"/>
                <w:sz w:val="21"/>
                <w:szCs w:val="21"/>
                <w:highlight w:val="none"/>
              </w:rPr>
              <w:t>需求一览表</w:t>
            </w:r>
          </w:p>
        </w:tc>
        <w:tc>
          <w:tcPr>
            <w:tcW w:w="44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1E29D7A">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ABA41B9">
            <w:pPr>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标的</w:t>
            </w:r>
          </w:p>
          <w:p w14:paraId="3593F291">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名称</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1DD5407D">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数量及</w:t>
            </w:r>
            <w:r>
              <w:rPr>
                <w:rFonts w:hint="eastAsia" w:ascii="宋体" w:hAnsi="宋体" w:eastAsia="宋体" w:cs="宋体"/>
                <w:b/>
                <w:bCs/>
                <w:color w:val="auto"/>
                <w:sz w:val="21"/>
                <w:szCs w:val="21"/>
                <w:highlight w:val="none"/>
              </w:rPr>
              <w:t>单位</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4880B9D6">
            <w:pPr>
              <w:jc w:val="center"/>
              <w:rPr>
                <w:rFonts w:hint="eastAsia" w:ascii="宋体" w:hAnsi="宋体" w:eastAsia="宋体" w:cs="宋体"/>
                <w:b/>
                <w:bCs/>
                <w:color w:val="auto"/>
                <w:sz w:val="24"/>
                <w:highlight w:val="none"/>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b/>
                <w:bCs/>
                <w:color w:val="auto"/>
                <w:sz w:val="21"/>
                <w:szCs w:val="21"/>
                <w:highlight w:val="none"/>
                <w:lang w:eastAsia="zh-CN"/>
              </w:rPr>
              <w:t>技术参数及配置</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6C133968">
            <w:pPr>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分项预算合计（元）</w:t>
            </w:r>
          </w:p>
        </w:tc>
      </w:tr>
      <w:tr w14:paraId="62AE1B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308BC254">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554E60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szCs w:val="21"/>
                <w:highlight w:val="none"/>
              </w:rPr>
            </w:pPr>
            <w:r>
              <w:rPr>
                <w:rFonts w:hint="eastAsia" w:ascii="宋体" w:hAnsi="宋体" w:eastAsia="宋体" w:cs="宋体"/>
                <w:i w:val="0"/>
                <w:iCs w:val="0"/>
                <w:color w:val="000000"/>
                <w:kern w:val="0"/>
                <w:sz w:val="21"/>
                <w:szCs w:val="21"/>
                <w:u w:val="none"/>
                <w:lang w:val="en-US" w:eastAsia="zh-CN" w:bidi="ar"/>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6F361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u w:val="none"/>
                <w:lang w:val="en-US" w:eastAsia="zh-CN" w:bidi="ar"/>
              </w:rPr>
              <w:t>韦氏</w:t>
            </w:r>
            <w:r>
              <w:rPr>
                <w:rFonts w:hint="eastAsia" w:ascii="宋体" w:hAnsi="宋体" w:eastAsia="宋体" w:cs="宋体"/>
                <w:i w:val="0"/>
                <w:iCs w:val="0"/>
                <w:color w:val="000000"/>
                <w:kern w:val="0"/>
                <w:sz w:val="21"/>
                <w:szCs w:val="21"/>
                <w:u w:val="none"/>
                <w:lang w:val="en-US" w:eastAsia="zh-CN" w:bidi="ar"/>
              </w:rPr>
              <w:t>儿童智力测评系统</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6EE0FDF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color w:val="auto"/>
                <w:sz w:val="21"/>
                <w:szCs w:val="21"/>
                <w:highlight w:val="none"/>
                <w:lang w:val="en-US" w:eastAsia="zh-CN"/>
              </w:rPr>
              <w:t>套</w:t>
            </w:r>
          </w:p>
        </w:tc>
        <w:tc>
          <w:tcPr>
            <w:tcW w:w="618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CCA950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宋体" w:hAnsi="宋体" w:eastAsia="宋体" w:cs="宋体"/>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功能介绍：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1.评定人管理功能——增加评定人信息，支持评定人独立账号登录，同时实现评定数据互联互通，方便评定人员进行日常评估工作处理及档案检索。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用户管理功能——建档筛查儿童，儿童基本信息管理（包含：姓名、性别、出生日期、民族、身份证号、孕周、分娩方式、出生身长、出生体重、出生头围、父母姓名及联系方式，户籍标识、居住地），系统自动生成档案编号，方便后续筛查无需重复添加。多条件检索功能，可支持评定人通过多种条件检索用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3.量表评估功能——评定人选择筛查儿童，系统自动生成对应筛查内容，无需手工定义筛查范围，进入评估前系统提供筛查注意事项，同时要求评定人填写用户当前基本身体状态信息。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4.筛查过程中如出现电脑断电或者其他非主观性突发情况，系统自动保存筛查记录，支持评定人重新进入系统完成之前记录，数据实现自动保存功能。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5.同时筛查完成后系统自动生成筛查报告。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6.系统可添加下次评估时间到报告指定位置，使得用户及时知晓下次评估计划。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7.档案管理功能——评定人可通过多种条件进行档案检索及查看，同时可进行档案报告的打印及打印内容的设置选择。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8.界面管理功能——可进行单位基本信息设置及软件基本信息设置包括修改两者的名称，同时支持用户根据自主需求更换软件登录界面内容。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9.备份还原功能——系统支持数据备份及恢复，后续更换电脑无需担忧数据丢失。</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6ACD782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10000</w:t>
            </w:r>
            <w:r>
              <w:rPr>
                <w:rFonts w:hint="eastAsia" w:ascii="宋体" w:hAnsi="宋体" w:eastAsia="宋体" w:cs="宋体"/>
                <w:sz w:val="21"/>
                <w:szCs w:val="21"/>
                <w:highlight w:val="none"/>
                <w:lang w:val="en-US" w:eastAsia="zh-CN"/>
              </w:rPr>
              <w:t>.00</w:t>
            </w:r>
          </w:p>
        </w:tc>
      </w:tr>
      <w:tr w14:paraId="0A2FEF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6208024B">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06E4AE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4A743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低视力康复国家标准视力表（远用)</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60423EB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color w:val="auto"/>
                <w:sz w:val="21"/>
                <w:szCs w:val="21"/>
                <w:highlight w:val="none"/>
                <w:lang w:val="en-US" w:eastAsia="zh-CN"/>
              </w:rPr>
              <w:t>台</w:t>
            </w:r>
          </w:p>
        </w:tc>
        <w:tc>
          <w:tcPr>
            <w:tcW w:w="6186" w:type="dxa"/>
            <w:tcBorders>
              <w:top w:val="single" w:color="auto" w:sz="4" w:space="0"/>
              <w:left w:val="single" w:color="auto" w:sz="4" w:space="0"/>
              <w:bottom w:val="single" w:color="auto" w:sz="4" w:space="0"/>
              <w:right w:val="single" w:color="auto" w:sz="4" w:space="0"/>
            </w:tcBorders>
            <w:noWrap w:val="0"/>
            <w:vAlign w:val="top"/>
          </w:tcPr>
          <w:p w14:paraId="64BCDAA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1.规格</w:t>
            </w:r>
            <w:r>
              <w:rPr>
                <w:rFonts w:hint="eastAsia" w:ascii="宋体" w:hAnsi="宋体" w:eastAsia="宋体" w:cs="宋体"/>
                <w:sz w:val="21"/>
                <w:szCs w:val="21"/>
                <w:highlight w:val="none"/>
              </w:rPr>
              <w:t>：</w:t>
            </w:r>
            <w:r>
              <w:rPr>
                <w:rFonts w:hint="eastAsia" w:ascii="宋体" w:hAnsi="宋体" w:eastAsia="宋体" w:cs="宋体"/>
                <w:color w:val="C00000"/>
                <w:sz w:val="21"/>
                <w:szCs w:val="21"/>
                <w:highlight w:val="none"/>
                <w:lang w:val="en-US" w:eastAsia="zh-CN"/>
              </w:rPr>
              <w:t>≥</w:t>
            </w:r>
            <w:r>
              <w:rPr>
                <w:rFonts w:hint="eastAsia" w:ascii="宋体" w:hAnsi="宋体" w:eastAsia="宋体" w:cs="宋体"/>
                <w:i w:val="0"/>
                <w:iCs w:val="0"/>
                <w:color w:val="000000"/>
                <w:kern w:val="0"/>
                <w:sz w:val="21"/>
                <w:szCs w:val="21"/>
                <w:u w:val="none"/>
                <w:lang w:val="en-US" w:eastAsia="zh-CN" w:bidi="ar"/>
              </w:rPr>
              <w:t>5米银色灯箱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2.名称：LED视力表灯箱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3.颜色：白色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4.型号：E字/卡通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5.电源：220V，50</w:t>
            </w:r>
            <w:r>
              <w:rPr>
                <w:rFonts w:hint="eastAsia" w:ascii="宋体" w:hAnsi="宋体" w:eastAsia="宋体" w:cs="宋体"/>
                <w:sz w:val="21"/>
                <w:szCs w:val="21"/>
                <w:highlight w:val="none"/>
              </w:rPr>
              <w:t>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6.材质：铝合金/亚克力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标准配置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1.视力表灯箱一台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2.电源线一根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3.黑色板+黑色棒+地标贴+挂钩</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538ACD2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300</w:t>
            </w:r>
            <w:r>
              <w:rPr>
                <w:rFonts w:hint="eastAsia" w:ascii="宋体" w:hAnsi="宋体" w:eastAsia="宋体" w:cs="宋体"/>
                <w:sz w:val="21"/>
                <w:szCs w:val="21"/>
                <w:highlight w:val="none"/>
                <w:lang w:val="en-US" w:eastAsia="zh-CN"/>
              </w:rPr>
              <w:t>.00</w:t>
            </w:r>
          </w:p>
        </w:tc>
      </w:tr>
      <w:tr w14:paraId="2938BF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2F47BE4D">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07061E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95833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低视力专用视力表(近用）</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7FB1FB6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color w:val="auto"/>
                <w:sz w:val="21"/>
                <w:szCs w:val="21"/>
                <w:highlight w:val="none"/>
                <w:lang w:val="en-US" w:eastAsia="zh-CN"/>
              </w:rPr>
              <w:t>台</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5D97D14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.规格：</w:t>
            </w:r>
            <w:r>
              <w:rPr>
                <w:rFonts w:hint="eastAsia" w:ascii="宋体" w:hAnsi="宋体" w:eastAsia="宋体" w:cs="宋体"/>
                <w:color w:val="C00000"/>
                <w:sz w:val="21"/>
                <w:szCs w:val="21"/>
                <w:highlight w:val="none"/>
                <w:lang w:val="en-US" w:eastAsia="zh-CN"/>
              </w:rPr>
              <w:t>≥</w:t>
            </w:r>
            <w:r>
              <w:rPr>
                <w:rFonts w:hint="eastAsia" w:ascii="宋体" w:hAnsi="宋体" w:eastAsia="宋体" w:cs="宋体"/>
                <w:sz w:val="21"/>
                <w:szCs w:val="21"/>
                <w:highlight w:val="none"/>
              </w:rPr>
              <w:t>2.5米灯箱</w:t>
            </w:r>
          </w:p>
          <w:p w14:paraId="09FEDBF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名称：LED视力表灯箱</w:t>
            </w:r>
          </w:p>
          <w:p w14:paraId="4E32B20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颜色：白色</w:t>
            </w:r>
          </w:p>
          <w:p w14:paraId="5C1C9AB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型号：AMYS -2.5</w:t>
            </w:r>
          </w:p>
          <w:p w14:paraId="56EAFE7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电源：220V/50Hz</w:t>
            </w:r>
          </w:p>
          <w:p w14:paraId="2A33655D">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材质：铝合金/亚克力</w:t>
            </w:r>
          </w:p>
          <w:p w14:paraId="047CC426">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标准配置</w:t>
            </w:r>
          </w:p>
          <w:p w14:paraId="4C0B9ED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1.视力表灯箱一台</w:t>
            </w:r>
          </w:p>
          <w:p w14:paraId="42D12C5C">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2.标配插头</w:t>
            </w:r>
          </w:p>
          <w:p w14:paraId="460A89D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3.黑色板+黑色棒+脚贴+支架+挂钩</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282303C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300</w:t>
            </w:r>
            <w:r>
              <w:rPr>
                <w:rFonts w:hint="eastAsia" w:ascii="宋体" w:hAnsi="宋体" w:eastAsia="宋体" w:cs="宋体"/>
                <w:sz w:val="21"/>
                <w:szCs w:val="21"/>
                <w:highlight w:val="none"/>
                <w:lang w:val="en-US" w:eastAsia="zh-CN"/>
              </w:rPr>
              <w:t>.00</w:t>
            </w:r>
          </w:p>
        </w:tc>
      </w:tr>
      <w:tr w14:paraId="135D95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27BB2F38">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5AC384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B5C03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角度尺</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62932B6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color w:val="auto"/>
                <w:sz w:val="21"/>
                <w:szCs w:val="21"/>
                <w:highlight w:val="none"/>
                <w:lang w:val="en-US" w:eastAsia="zh-CN"/>
              </w:rPr>
              <w:t>把</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5D204C9D">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1.结构型式：脊椎角度尺、肢体角度尺（大）、肢体角度尺（中）、肢体角度尺（小）、手指角度尺、箱体；</w:t>
            </w:r>
          </w:p>
          <w:p w14:paraId="6A9A7355">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2.材质：ABS；</w:t>
            </w:r>
          </w:p>
          <w:p w14:paraId="20547E1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.测量器具共5件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适用于脊椎、上肢、下肢、手指等关节活动度测量</w:t>
            </w:r>
            <w:r>
              <w:rPr>
                <w:rFonts w:hint="eastAsia"/>
                <w:lang w:eastAsia="zh-CN"/>
              </w:rPr>
              <w:t>。</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471AE53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380</w:t>
            </w:r>
            <w:r>
              <w:rPr>
                <w:rFonts w:hint="eastAsia" w:ascii="宋体" w:hAnsi="宋体" w:eastAsia="宋体" w:cs="宋体"/>
                <w:sz w:val="21"/>
                <w:szCs w:val="21"/>
                <w:highlight w:val="none"/>
                <w:lang w:val="en-US" w:eastAsia="zh-CN"/>
              </w:rPr>
              <w:t>.00</w:t>
            </w:r>
          </w:p>
        </w:tc>
      </w:tr>
      <w:tr w14:paraId="066FBF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6D6B95B0">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437FEA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24263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握力计</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3207F5C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color w:val="auto"/>
                <w:sz w:val="21"/>
                <w:szCs w:val="21"/>
                <w:highlight w:val="none"/>
                <w:lang w:val="en-US" w:eastAsia="zh-CN"/>
              </w:rPr>
              <w:t>台</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7784D44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 xml:space="preserve">测量范围：0～99.9kg </w:t>
            </w:r>
          </w:p>
          <w:p w14:paraId="20667E3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分度值：0.1kg</w:t>
            </w:r>
          </w:p>
          <w:p w14:paraId="2AD9F6D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示值误差：1﹪F.S</w:t>
            </w:r>
          </w:p>
          <w:p w14:paraId="629C7F9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功 能：握力峰值保持，开关∕清零，定时关机，过载指示。</w:t>
            </w:r>
          </w:p>
          <w:p w14:paraId="0E806B9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电 源：一节9V叠式电池或外接式AC(220)∕DC∕(9V)稳压器</w:t>
            </w:r>
          </w:p>
          <w:p w14:paraId="65712DA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功能：握力峰值保持，开关∕清零，定时关机，过载指示。</w:t>
            </w:r>
          </w:p>
          <w:p w14:paraId="3AF4D666">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配置：电源</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2EB3E77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1700</w:t>
            </w:r>
            <w:r>
              <w:rPr>
                <w:rFonts w:hint="eastAsia" w:ascii="宋体" w:hAnsi="宋体" w:eastAsia="宋体" w:cs="宋体"/>
                <w:sz w:val="21"/>
                <w:szCs w:val="21"/>
                <w:highlight w:val="none"/>
                <w:lang w:val="en-US" w:eastAsia="zh-CN"/>
              </w:rPr>
              <w:t>.00</w:t>
            </w:r>
          </w:p>
        </w:tc>
      </w:tr>
      <w:tr w14:paraId="1C2030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2CF27940">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177BE6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B2534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心电图机</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3378D0E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color w:val="auto"/>
                <w:sz w:val="21"/>
                <w:szCs w:val="21"/>
                <w:highlight w:val="none"/>
                <w:lang w:val="en-US" w:eastAsia="zh-CN"/>
              </w:rPr>
              <w:t>台</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57B601D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一、工作条件： </w:t>
            </w:r>
          </w:p>
          <w:p w14:paraId="38F7108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1.1  产品可在电源交流220V，50/60赫兹，室温5—40℃和相对湿度25%~80%的环境下正常工作</w:t>
            </w:r>
            <w:r>
              <w:rPr>
                <w:rFonts w:hint="eastAsia"/>
                <w:lang w:eastAsia="zh-CN"/>
              </w:rPr>
              <w:t>。</w:t>
            </w:r>
          </w:p>
          <w:p w14:paraId="1A56D1D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  产品的电源插头符合中国标准，无需适配器</w:t>
            </w:r>
          </w:p>
          <w:p w14:paraId="1C55287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二、 ECG输入</w:t>
            </w:r>
          </w:p>
          <w:p w14:paraId="057A0A8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  ECG输入通道：标准12导联、Cabrera导联心电信息同步采集</w:t>
            </w:r>
          </w:p>
          <w:p w14:paraId="4E90B4D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  输入阻抗：≥110MΩ（10Hz）</w:t>
            </w:r>
          </w:p>
          <w:p w14:paraId="096B7D1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2.3 频率响应：0.01-550Hz (-3dB)</w:t>
            </w:r>
          </w:p>
          <w:p w14:paraId="4B785DB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2.4  定标电压：1mV±2%</w:t>
            </w:r>
          </w:p>
          <w:p w14:paraId="16EAC21E">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2.5  耐极化电压：±1000mV  </w:t>
            </w:r>
          </w:p>
          <w:p w14:paraId="7A1AD35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2.6  内部噪声：≤15µVp-p</w:t>
            </w:r>
          </w:p>
          <w:p w14:paraId="41BF506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2.7  时间常数：≥10s</w:t>
            </w:r>
          </w:p>
          <w:p w14:paraId="2C54B86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2.8 共模抑制比：≥115dB</w:t>
            </w:r>
          </w:p>
          <w:p w14:paraId="7680116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2.9  除颤保护：具有抗除颤电击保护功能</w:t>
            </w:r>
          </w:p>
          <w:p w14:paraId="2AD50C16">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2.10 导联线：导联线内附抗除颤电击保护功能，并具有防缠绕设计</w:t>
            </w:r>
          </w:p>
          <w:p w14:paraId="2A744D4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2.11 中英文输入及操作提示,全触屏操作，中文输入支持手写和拼音、五笔输入法</w:t>
            </w:r>
          </w:p>
          <w:p w14:paraId="48F490BD">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三、技术及性能：</w:t>
            </w:r>
          </w:p>
          <w:p w14:paraId="2B2F73F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3.1  A/D转换：24bit</w:t>
            </w:r>
          </w:p>
          <w:p w14:paraId="1FE3EE2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3.2 采样率：64000Hz</w:t>
            </w:r>
          </w:p>
          <w:p w14:paraId="755315F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3.3  灵敏度选择：2.5、5、10、20mm/mV±2%</w:t>
            </w:r>
          </w:p>
          <w:p w14:paraId="2750D87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3.4  抗干扰滤波：具有交流滤波、肌电滤波、基线漂移滤波、低通滤波功能</w:t>
            </w:r>
          </w:p>
          <w:p w14:paraId="104C1C81">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3.6  自诊断功能：具有设备自诊断及故障提示功能</w:t>
            </w:r>
          </w:p>
          <w:p w14:paraId="5EC38EC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3.7  支持心脏起搏信号检测</w:t>
            </w:r>
          </w:p>
          <w:p w14:paraId="701AAAB6">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3.8  支持预采集、实时采集、触发采集、周期采集等多种采集方式</w:t>
            </w:r>
          </w:p>
          <w:p w14:paraId="53BA87FD">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3.9  本机支持有线、无线WiFi方式连接互联网</w:t>
            </w:r>
          </w:p>
          <w:p w14:paraId="725D9E5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四、存储器</w:t>
            </w:r>
          </w:p>
          <w:p w14:paraId="5EDAA10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4.1  设备内置存储器，本机可存储≥20000例</w:t>
            </w:r>
          </w:p>
          <w:p w14:paraId="2EC2C29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4.2  支持外接U盘、SD卡扩展存储空间</w:t>
            </w:r>
          </w:p>
          <w:p w14:paraId="12A3AEF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4.3  数据储存格式：pdf、png、ZQECG</w:t>
            </w:r>
          </w:p>
          <w:p w14:paraId="3CAA2B01">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五、 外观：</w:t>
            </w:r>
          </w:p>
          <w:p w14:paraId="4030A3D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5.1 ≥9.7英寸1024*768点彩色LED屏</w:t>
            </w:r>
          </w:p>
          <w:p w14:paraId="13ACFAC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5.2  物理全键盘及触控软件键盘设计，方便不同习惯的医生快速操作</w:t>
            </w:r>
          </w:p>
          <w:p w14:paraId="0C6F53D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5.3  显示信息：同屏显示12道心电波形</w:t>
            </w:r>
          </w:p>
          <w:p w14:paraId="4C6A65A1">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5.4  显示内容包含波形、心率、导联、走纸速度、增益、滤波器、时间、电池电量指示、输入法、文件、信息提示区、患者信息等</w:t>
            </w:r>
          </w:p>
          <w:p w14:paraId="12A730B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5.5设有导联放置指示，方便护士及实习医生使用。</w:t>
            </w:r>
          </w:p>
          <w:p w14:paraId="0BCEF06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六、记录器：</w:t>
            </w:r>
          </w:p>
          <w:p w14:paraId="0DAC3E7E">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6.1  多轴联动热敏打印机技术 multi-axisTP®，可确保在任何环境（运动中的救护车、不平整的野外场地）都能平滑清晰地记录每一份心电报告</w:t>
            </w:r>
          </w:p>
          <w:p w14:paraId="79A2F96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6.2  走纸速度：5、6.25、12.5、25、50 mm/s ±2%</w:t>
            </w:r>
          </w:p>
          <w:p w14:paraId="0D0F383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6.3  记录模式：手动/自动打印：3CH、3CH+1R、3CH+3R、6CH、6CH+1R、12CH </w:t>
            </w:r>
          </w:p>
          <w:p w14:paraId="073D131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6.4  记录纸规格：折叠纸，210mm</w:t>
            </w:r>
          </w:p>
          <w:p w14:paraId="7D4411B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6.5  打印方式：实时同步或连续12道心电波形打印</w:t>
            </w:r>
          </w:p>
          <w:p w14:paraId="6310F02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6.6  记录内容：心电波形、分析结果、明尼苏达码以及导联名称、走纸速度、增益、滤波器、日期、患者信息、标记等</w:t>
            </w:r>
          </w:p>
          <w:p w14:paraId="04DC811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6.7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支持直接外接激光打印机，通过A4纸打印心电波形和报告</w:t>
            </w:r>
          </w:p>
          <w:p w14:paraId="7EE4138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6.8  具备在无网格纸上打印网格功能</w:t>
            </w:r>
          </w:p>
          <w:p w14:paraId="68DC36F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6.9  支持60s波形冻结与回放。</w:t>
            </w:r>
          </w:p>
          <w:p w14:paraId="197E7F2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6.10 支持已保存病例的电影回放和选择任意一段波形打印。</w:t>
            </w:r>
          </w:p>
          <w:p w14:paraId="57F8EEA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6.11 支持病例重新编辑与重新诊断。</w:t>
            </w:r>
          </w:p>
          <w:p w14:paraId="1F9897C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6.12 支持诊断结论模板化病例输入，只需输入相关病例首字母即可选择相应病例。</w:t>
            </w:r>
          </w:p>
          <w:p w14:paraId="4E2E0995">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6.13 支持自定义病例模板的添加。</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29A2146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34000</w:t>
            </w:r>
            <w:r>
              <w:rPr>
                <w:rFonts w:hint="eastAsia" w:ascii="宋体" w:hAnsi="宋体" w:eastAsia="宋体" w:cs="宋体"/>
                <w:sz w:val="21"/>
                <w:szCs w:val="21"/>
                <w:highlight w:val="none"/>
                <w:lang w:val="en-US" w:eastAsia="zh-CN"/>
              </w:rPr>
              <w:t>.00</w:t>
            </w:r>
          </w:p>
        </w:tc>
      </w:tr>
      <w:tr w14:paraId="24C4FE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0FB896CF">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3EBD5F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FBC96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中频电疗仪</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4203F40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highlight w:val="none"/>
                <w:lang w:val="en-US" w:eastAsia="zh-CN"/>
              </w:rPr>
              <w:t>台</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066F718D">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产品结构形式：台面款式，轻巧便捷；</w:t>
            </w:r>
          </w:p>
          <w:p w14:paraId="697F5C4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输出通道：四通道配置；四路可独立控制，同时治疗四位患者/或四个部位；亦可组合使用，形成2组平面干扰治疗；</w:t>
            </w:r>
          </w:p>
          <w:p w14:paraId="291ACB8C">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操控方式≥7英寸真彩触摸屏；</w:t>
            </w:r>
          </w:p>
          <w:p w14:paraId="2B88DF5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内置≥100种治疗处方，分5种治疗模式（多步模式、音频模式、正弦调制、脉冲调制、干扰模式）可选；</w:t>
            </w:r>
          </w:p>
          <w:p w14:paraId="54D9ECA1">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具有4种平面干扰电输出模式（普通模式、动态模式、调制模式、对极模式）可选；</w:t>
            </w:r>
          </w:p>
          <w:p w14:paraId="5885CD86">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具有自定义处方功能，医护人员可根据临床需要进行自行建立、存储和调取；</w:t>
            </w:r>
          </w:p>
          <w:p w14:paraId="440CA6D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输出电流强度≤50mA(r.m.s)。</w:t>
            </w:r>
          </w:p>
          <w:p w14:paraId="6FDED2C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输出电流稳定度：不同负载下的输出电流变化率≤10%；</w:t>
            </w:r>
          </w:p>
          <w:p w14:paraId="277D292D">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载波频率：载波频率1kHz～12kHz，允差±10%；</w:t>
            </w:r>
          </w:p>
          <w:p w14:paraId="33F75885">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载波波形：脉冲波</w:t>
            </w:r>
          </w:p>
          <w:p w14:paraId="5256300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载波脉宽：42μs～500μs，允差±10μs。</w:t>
            </w:r>
          </w:p>
          <w:p w14:paraId="000282C1">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调制波频率：0～150Hz，允差±10%；</w:t>
            </w:r>
          </w:p>
          <w:p w14:paraId="574C29C1">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具有8种调制波波形：方波、正弦波、三角波、锯齿波、指数波、扇形波、梯形波、尖波</w:t>
            </w:r>
          </w:p>
          <w:p w14:paraId="188E891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差频频率：0～200Hz，允差在±10%或±1Hz。</w:t>
            </w:r>
          </w:p>
          <w:p w14:paraId="42E092F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差频变化周期：15s～30s，允差±10%；</w:t>
            </w:r>
          </w:p>
          <w:p w14:paraId="2386D18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动态节律：4s～10s，允差±10%；</w:t>
            </w:r>
          </w:p>
          <w:p w14:paraId="1EC076EE">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17</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调幅度：0～100%，调幅度允差±5%；</w:t>
            </w:r>
          </w:p>
          <w:p w14:paraId="1EB3C75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治疗时间：1min～99min可调，步长1min，允差±5%。</w:t>
            </w:r>
          </w:p>
          <w:p w14:paraId="668C8331">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19</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连续工作时间：不少于4h；</w:t>
            </w:r>
          </w:p>
          <w:p w14:paraId="7604D56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20</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噪声不大于45dB（A）；</w:t>
            </w:r>
          </w:p>
          <w:p w14:paraId="5FB560BE">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具有电极加热功能：电极片温度38℃～42℃，分10档可调，允差±3℃；</w:t>
            </w:r>
          </w:p>
          <w:p w14:paraId="594B9A8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具有四大保护功能：</w:t>
            </w:r>
          </w:p>
          <w:p w14:paraId="75EA4BEE">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1）超温保护：电极片温度超过45℃，热保护器动作，且有报警提示。</w:t>
            </w:r>
          </w:p>
          <w:p w14:paraId="7950151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2）开路保护：电疗仪在输出状态无负载时，发出声音和显示错误提示；</w:t>
            </w:r>
          </w:p>
          <w:p w14:paraId="4AF0A16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3）短路保护：电疗仪在输出端短路时，发出声音和显示错误提示；</w:t>
            </w:r>
          </w:p>
          <w:p w14:paraId="5D88688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4）过流保护：在500Ω的负载电阻下，输出电流有效值大于50mA时，发出声音和显示错误提示。</w:t>
            </w:r>
          </w:p>
          <w:p w14:paraId="6321AE6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具有参数锁定功能，满足临床个性化需求；</w:t>
            </w:r>
          </w:p>
          <w:p w14:paraId="627F009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7BB2E21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17500</w:t>
            </w:r>
            <w:r>
              <w:rPr>
                <w:rFonts w:hint="eastAsia" w:ascii="宋体" w:hAnsi="宋体" w:eastAsia="宋体" w:cs="宋体"/>
                <w:sz w:val="21"/>
                <w:szCs w:val="21"/>
                <w:highlight w:val="none"/>
                <w:lang w:val="en-US" w:eastAsia="zh-CN"/>
              </w:rPr>
              <w:t>.00</w:t>
            </w:r>
          </w:p>
        </w:tc>
      </w:tr>
      <w:tr w14:paraId="0A1DB6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19F950F7">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7155C5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6A6C2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低频电子脉冲治疗仪（配台车）</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7A2325C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color w:val="auto"/>
                <w:sz w:val="21"/>
                <w:szCs w:val="21"/>
                <w:highlight w:val="none"/>
                <w:lang w:val="en-US" w:eastAsia="zh-CN"/>
              </w:rPr>
              <w:t>台</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26E85DF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1.输出组数：</w:t>
            </w:r>
            <w:r>
              <w:rPr>
                <w:rFonts w:hint="eastAsia" w:ascii="宋体" w:hAnsi="宋体" w:eastAsia="宋体" w:cs="宋体"/>
                <w:color w:val="C00000"/>
                <w:sz w:val="21"/>
                <w:szCs w:val="21"/>
                <w:highlight w:val="none"/>
                <w:lang w:val="en-US" w:eastAsia="zh-CN"/>
              </w:rPr>
              <w:t>≥</w:t>
            </w:r>
            <w:r>
              <w:rPr>
                <w:rFonts w:hint="eastAsia" w:ascii="宋体" w:hAnsi="宋体" w:eastAsia="宋体" w:cs="宋体"/>
                <w:sz w:val="21"/>
                <w:szCs w:val="21"/>
                <w:highlight w:val="none"/>
              </w:rPr>
              <w:t>4组贴片电极输出；</w:t>
            </w:r>
          </w:p>
          <w:p w14:paraId="452F721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2.脉冲频率设置范围：3Hz～1000Hz，误差±10%；</w:t>
            </w:r>
          </w:p>
          <w:p w14:paraId="3171DDE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3.脉冲宽度：120us；</w:t>
            </w:r>
          </w:p>
          <w:p w14:paraId="1C2B12D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4.输出波形：三角波；</w:t>
            </w:r>
          </w:p>
          <w:p w14:paraId="4B15FF26">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5.输出最大输出幅度，每个脉冲的电量≥5.0uC；</w:t>
            </w:r>
          </w:p>
          <w:p w14:paraId="2D164B6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6.最大输出电流≤40mA；</w:t>
            </w:r>
          </w:p>
          <w:p w14:paraId="731E472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7.最大输出幅度35V±30%；</w:t>
            </w:r>
          </w:p>
          <w:p w14:paraId="7C2EA00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8.脉冲周期：1ms～333 ms，误差±10%；</w:t>
            </w:r>
          </w:p>
          <w:p w14:paraId="5F14AB9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9.直流分量&lt;3.5V；</w:t>
            </w:r>
          </w:p>
          <w:p w14:paraId="593D7EF1">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w:t>
            </w:r>
            <w:r>
              <w:rPr>
                <w:rFonts w:hint="eastAsia"/>
                <w:lang w:val="en-US" w:eastAsia="zh-CN"/>
              </w:rPr>
              <w:t>☆</w:t>
            </w:r>
            <w:r>
              <w:rPr>
                <w:rFonts w:hint="eastAsia" w:ascii="宋体" w:hAnsi="宋体" w:eastAsia="宋体" w:cs="宋体"/>
                <w:sz w:val="21"/>
                <w:szCs w:val="21"/>
                <w:highlight w:val="none"/>
              </w:rPr>
              <w:t>工作模式：</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25种交叉组合模式，</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3种固定频率模式，</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6种自动治疗模式；</w:t>
            </w:r>
          </w:p>
          <w:p w14:paraId="4A4FCC8D">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11.定时范围：5～30min,步长5min,具有治疗结束提示音；</w:t>
            </w:r>
          </w:p>
          <w:p w14:paraId="0459F68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12.具有屏幕亮度与提示音量设置功能；</w:t>
            </w:r>
          </w:p>
          <w:p w14:paraId="0229932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13.具有工作模式、工作通道、治疗时间等内容设置功能；</w:t>
            </w:r>
          </w:p>
          <w:p w14:paraId="3ABA82B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14.具有显示当前输出电流强度、工作模式、工作通道、治疗时间、当前输出脉冲频率等信息功能；</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1E89F4E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60000</w:t>
            </w:r>
            <w:r>
              <w:rPr>
                <w:rFonts w:hint="eastAsia" w:ascii="宋体" w:hAnsi="宋体" w:eastAsia="宋体" w:cs="宋体"/>
                <w:sz w:val="21"/>
                <w:szCs w:val="21"/>
                <w:highlight w:val="none"/>
                <w:lang w:val="en-US" w:eastAsia="zh-CN"/>
              </w:rPr>
              <w:t>.00</w:t>
            </w:r>
          </w:p>
        </w:tc>
      </w:tr>
      <w:tr w14:paraId="3F30F8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42FF16A8">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2CE945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47F59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痉挛肌电刺激治疗仪</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732738E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color w:val="auto"/>
                <w:sz w:val="21"/>
                <w:szCs w:val="21"/>
                <w:highlight w:val="none"/>
                <w:lang w:val="en-US" w:eastAsia="zh-CN"/>
              </w:rPr>
              <w:t>台</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71BA008B">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使用电源：220V，50Hz</w:t>
            </w:r>
          </w:p>
          <w:p w14:paraId="33E035C5">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额定功率：60VA。</w:t>
            </w:r>
          </w:p>
          <w:p w14:paraId="358413B3">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脉冲周期：1 s~2s，步长0.1s，精度为±10%。</w:t>
            </w:r>
          </w:p>
          <w:p w14:paraId="7AF22645">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脉冲宽度：100us~500us，步长10us，精度为±10%。</w:t>
            </w:r>
          </w:p>
          <w:p w14:paraId="002B21A4">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延迟时间：0.1s～1.5s，步长0.1s，精度为±10%，延迟时间应只能设置为小于当前脉冲周期设置值。</w:t>
            </w:r>
          </w:p>
          <w:p w14:paraId="4A13AE14">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输出强度：峰值电流0mA~140mA，分为280个等级连续可调。</w:t>
            </w:r>
          </w:p>
          <w:p w14:paraId="4DEF1095">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7</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治疗时间：1min~99min，步长1min，精度为±2%，可设置默认治疗时间。</w:t>
            </w:r>
          </w:p>
          <w:p w14:paraId="1BC18E62">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8</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台式可配专业移动治疗车，≥10.1寸高清电容触摸显示屏，一键飞梭调节参数。</w:t>
            </w:r>
          </w:p>
          <w:p w14:paraId="4A505CDA">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9</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双通道独立输出，每个通道连接两组不同颜色的输出线，用于区分痉挛肌和拮抗肌。</w:t>
            </w:r>
          </w:p>
          <w:p w14:paraId="7B5F9A63">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10</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双向对称波，不区分正负极，无电解风险，可长期用于康复。</w:t>
            </w:r>
          </w:p>
          <w:p w14:paraId="6AE37A67">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内置处方≥8个，满足不同痉挛情况，并可设置不少于100个自定义处方。</w:t>
            </w:r>
          </w:p>
          <w:p w14:paraId="15DF0A75">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12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电极脱落/治疗结束时强度自动归零并有声音提示，安全可靠。</w:t>
            </w:r>
          </w:p>
          <w:p w14:paraId="7C3FD96D">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13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支持2通道8电极同时进行治疗，高效实用。</w:t>
            </w:r>
          </w:p>
          <w:p w14:paraId="6EA9E902">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14</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可适配5种规格的电极片 Ф30mm(圆形)、Ф50mm(圆形)、40mm×60mm(方形)、60mm×90mm(方形)、80mm×120mm(方形)。</w:t>
            </w:r>
          </w:p>
          <w:p w14:paraId="19A36787">
            <w:pPr>
              <w:pStyle w:val="19"/>
              <w:keepNext w:val="0"/>
              <w:keepLines w:val="0"/>
              <w:pageBreakBefore w:val="0"/>
              <w:kinsoku/>
              <w:wordWrap/>
              <w:overflowPunct/>
              <w:topLinePunct w:val="0"/>
              <w:autoSpaceDE/>
              <w:autoSpaceDN/>
              <w:bidi w:val="0"/>
              <w:adjustRightInd/>
              <w:snapToGrid/>
              <w:rPr>
                <w:rFonts w:hint="eastAsia" w:ascii="宋体" w:hAnsi="宋体" w:eastAsia="宋体" w:cs="宋体"/>
                <w:sz w:val="21"/>
                <w:szCs w:val="21"/>
                <w:highlight w:val="none"/>
              </w:rPr>
            </w:pPr>
            <w:r>
              <w:rPr>
                <w:rFonts w:hint="eastAsia" w:ascii="宋体" w:hAnsi="宋体" w:eastAsia="宋体" w:cs="宋体"/>
                <w:sz w:val="21"/>
                <w:szCs w:val="21"/>
                <w:highlight w:val="none"/>
              </w:rPr>
              <w:t>15</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设备的使用期限不少于10年。</w:t>
            </w:r>
          </w:p>
          <w:p w14:paraId="517FD08A">
            <w:pPr>
              <w:pStyle w:val="19"/>
              <w:keepNext w:val="0"/>
              <w:keepLines w:val="0"/>
              <w:widowControl/>
              <w:suppressLineNumbers w:val="0"/>
              <w:rPr>
                <w:rFonts w:hint="eastAsia" w:ascii="宋体" w:hAnsi="宋体" w:cs="宋体"/>
                <w:sz w:val="21"/>
                <w:szCs w:val="21"/>
                <w:highlight w:val="none"/>
                <w:lang w:val="en-US" w:eastAsia="zh-CN"/>
              </w:rPr>
            </w:pPr>
            <w:r>
              <w:rPr>
                <w:rFonts w:hint="eastAsia" w:ascii="宋体" w:hAnsi="宋体" w:cs="宋体" w:eastAsiaTheme="minorEastAsia"/>
                <w:sz w:val="21"/>
                <w:szCs w:val="21"/>
                <w:lang w:val="en-US" w:eastAsia="zh-CN" w:bidi="ar-SA"/>
              </w:rPr>
              <w:t>16</w:t>
            </w:r>
            <w:r>
              <w:rPr>
                <w:rFonts w:hint="eastAsia" w:ascii="宋体" w:hAnsi="宋体" w:cs="宋体"/>
                <w:sz w:val="21"/>
                <w:szCs w:val="21"/>
                <w:lang w:val="en-US" w:eastAsia="zh-CN" w:bidi="ar-SA"/>
              </w:rPr>
              <w:t>.</w:t>
            </w:r>
            <w:r>
              <w:rPr>
                <w:rFonts w:hint="eastAsia" w:ascii="宋体" w:hAnsi="宋体" w:cs="宋体"/>
                <w:sz w:val="21"/>
                <w:szCs w:val="21"/>
                <w:highlight w:val="none"/>
                <w:lang w:val="en-US" w:eastAsia="zh-CN"/>
              </w:rPr>
              <w:t>配备智能握力环</w:t>
            </w:r>
          </w:p>
          <w:p w14:paraId="42DFF09A">
            <w:pPr>
              <w:pStyle w:val="19"/>
              <w:keepNext w:val="0"/>
              <w:keepLines w:val="0"/>
              <w:widowControl/>
              <w:suppressLineNumbers w:val="0"/>
              <w:rPr>
                <w:szCs w:val="21"/>
              </w:rPr>
            </w:pPr>
            <w:r>
              <w:rPr>
                <w:rFonts w:hint="eastAsia" w:ascii="宋体" w:hAnsi="宋体" w:eastAsia="宋体" w:cs="宋体"/>
                <w:color w:val="000000"/>
                <w:kern w:val="0"/>
                <w:sz w:val="21"/>
                <w:szCs w:val="21"/>
                <w:lang w:val="en-US" w:eastAsia="zh-CN" w:bidi="ar"/>
              </w:rPr>
              <w:t xml:space="preserve">（1）产品重量：≤130g。 </w:t>
            </w:r>
          </w:p>
          <w:p w14:paraId="11B29F23">
            <w:pPr>
              <w:pStyle w:val="19"/>
              <w:keepNext w:val="0"/>
              <w:keepLines w:val="0"/>
              <w:widowControl/>
              <w:suppressLineNumbers w:val="0"/>
              <w:rPr>
                <w:szCs w:val="21"/>
              </w:rPr>
            </w:pPr>
            <w:r>
              <w:rPr>
                <w:rFonts w:hint="eastAsia" w:ascii="宋体" w:hAnsi="宋体" w:eastAsia="宋体" w:cs="宋体"/>
                <w:color w:val="000000"/>
                <w:kern w:val="0"/>
                <w:sz w:val="21"/>
                <w:szCs w:val="21"/>
                <w:lang w:val="en-US" w:eastAsia="zh-CN" w:bidi="ar"/>
              </w:rPr>
              <w:t xml:space="preserve">（2）外形尺寸：80mm x 80mm, 允差±10%。 </w:t>
            </w:r>
          </w:p>
          <w:p w14:paraId="32B954BF">
            <w:pPr>
              <w:pStyle w:val="19"/>
              <w:keepNext w:val="0"/>
              <w:keepLines w:val="0"/>
              <w:widowControl/>
              <w:suppressLineNumbers w:val="0"/>
              <w:rPr>
                <w:szCs w:val="21"/>
              </w:rPr>
            </w:pPr>
            <w:r>
              <w:rPr>
                <w:rFonts w:hint="eastAsia" w:ascii="宋体" w:hAnsi="宋体" w:eastAsia="宋体" w:cs="宋体"/>
                <w:color w:val="000000"/>
                <w:kern w:val="0"/>
                <w:sz w:val="21"/>
                <w:szCs w:val="21"/>
                <w:lang w:val="en-US" w:eastAsia="zh-CN" w:bidi="ar"/>
              </w:rPr>
              <w:t xml:space="preserve">（3）供电方式：无需外接电源。 </w:t>
            </w:r>
          </w:p>
          <w:p w14:paraId="4200FDCC">
            <w:pPr>
              <w:pStyle w:val="19"/>
              <w:keepNext w:val="0"/>
              <w:keepLines w:val="0"/>
              <w:widowControl/>
              <w:suppressLineNumbers w:val="0"/>
              <w:rPr>
                <w:szCs w:val="21"/>
              </w:rPr>
            </w:pPr>
            <w:r>
              <w:rPr>
                <w:rFonts w:hint="eastAsia" w:ascii="宋体" w:hAnsi="宋体" w:eastAsia="宋体" w:cs="宋体"/>
                <w:color w:val="000000"/>
                <w:kern w:val="0"/>
                <w:sz w:val="21"/>
                <w:szCs w:val="21"/>
                <w:lang w:val="en-US" w:eastAsia="zh-CN" w:bidi="ar"/>
              </w:rPr>
              <w:t xml:space="preserve">（4）长按开关按钮开启计数功能，自动记录，显示训练次数。 </w:t>
            </w:r>
          </w:p>
          <w:p w14:paraId="1A479B37">
            <w:pPr>
              <w:pStyle w:val="19"/>
              <w:keepNext w:val="0"/>
              <w:keepLines w:val="0"/>
              <w:widowControl/>
              <w:suppressLineNumbers w:val="0"/>
              <w:rPr>
                <w:szCs w:val="21"/>
              </w:rPr>
            </w:pPr>
            <w:r>
              <w:rPr>
                <w:rFonts w:hint="eastAsia" w:ascii="宋体" w:hAnsi="宋体" w:eastAsia="宋体" w:cs="宋体"/>
                <w:color w:val="000000"/>
                <w:kern w:val="0"/>
                <w:sz w:val="21"/>
                <w:szCs w:val="21"/>
                <w:lang w:val="en-US" w:eastAsia="zh-CN" w:bidi="ar"/>
              </w:rPr>
              <w:t xml:space="preserve">（5）开机后长按复位按钮，训练记录清零。 </w:t>
            </w:r>
          </w:p>
          <w:p w14:paraId="2BA52AEB">
            <w:pPr>
              <w:pStyle w:val="19"/>
              <w:keepNext w:val="0"/>
              <w:keepLines w:val="0"/>
              <w:widowControl/>
              <w:suppressLineNumbers w:val="0"/>
              <w:rPr>
                <w:szCs w:val="21"/>
              </w:rPr>
            </w:pPr>
            <w:r>
              <w:rPr>
                <w:rFonts w:hint="eastAsia" w:ascii="宋体" w:hAnsi="宋体" w:eastAsia="宋体" w:cs="宋体"/>
                <w:color w:val="000000"/>
                <w:kern w:val="0"/>
                <w:sz w:val="21"/>
                <w:szCs w:val="21"/>
                <w:lang w:val="en-US" w:eastAsia="zh-CN" w:bidi="ar"/>
              </w:rPr>
              <w:t xml:space="preserve">（6）超过1分钟不使用，自动进入休眠状态。 </w:t>
            </w:r>
          </w:p>
          <w:p w14:paraId="3C846F0C">
            <w:pPr>
              <w:pStyle w:val="19"/>
              <w:keepNext w:val="0"/>
              <w:keepLines w:val="0"/>
              <w:widowControl/>
              <w:suppressLineNumbers w:val="0"/>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（7）产品1.2米自由跌落无损坏</w:t>
            </w:r>
            <w:r>
              <w:rPr>
                <w:rFonts w:hint="eastAsia" w:ascii="宋体" w:hAnsi="宋体" w:cs="宋体"/>
                <w:color w:val="000000"/>
                <w:kern w:val="0"/>
                <w:sz w:val="21"/>
                <w:szCs w:val="21"/>
                <w:lang w:val="en-US" w:eastAsia="zh-CN" w:bidi="ar"/>
              </w:rPr>
              <w:t>。</w:t>
            </w:r>
          </w:p>
          <w:p w14:paraId="4AB81563">
            <w:pPr>
              <w:pStyle w:val="19"/>
              <w:spacing w:line="360" w:lineRule="exact"/>
              <w:ind w:left="0" w:firstLine="840" w:firstLineChars="400"/>
              <w:rPr>
                <w:rFonts w:hint="default"/>
                <w:lang w:val="en-US" w:eastAsia="zh-CN"/>
              </w:rPr>
            </w:pPr>
            <w:r>
              <w:rPr>
                <w:rFonts w:hint="eastAsia" w:ascii="宋体" w:hAnsi="宋体" w:eastAsia="宋体" w:cs="宋体"/>
                <w:color w:val="000000"/>
                <w:kern w:val="0"/>
                <w:sz w:val="21"/>
                <w:szCs w:val="21"/>
                <w:lang w:val="en-US" w:eastAsia="zh-CN" w:bidi="ar"/>
              </w:rPr>
              <w:t>（</w:t>
            </w:r>
            <w:r>
              <w:rPr>
                <w:rFonts w:hint="eastAsia" w:ascii="宋体" w:hAnsi="宋体" w:cs="宋体"/>
                <w:color w:val="000000"/>
                <w:kern w:val="0"/>
                <w:sz w:val="21"/>
                <w:szCs w:val="21"/>
                <w:lang w:val="en-US" w:eastAsia="zh-CN" w:bidi="ar"/>
              </w:rPr>
              <w:t>8</w:t>
            </w:r>
            <w:r>
              <w:rPr>
                <w:rFonts w:hint="eastAsia" w:ascii="宋体" w:hAnsi="宋体" w:eastAsia="宋体" w:cs="宋体"/>
                <w:color w:val="000000"/>
                <w:kern w:val="0"/>
                <w:sz w:val="21"/>
                <w:szCs w:val="21"/>
                <w:lang w:val="en-US" w:eastAsia="zh-CN" w:bidi="ar"/>
              </w:rPr>
              <w:t>）</w:t>
            </w:r>
            <w:r>
              <w:rPr>
                <w:rFonts w:hint="eastAsia" w:ascii="宋体" w:hAnsi="宋体" w:eastAsia="宋体" w:cs="宋体"/>
                <w:b/>
                <w:bCs/>
                <w:color w:val="000000"/>
                <w:kern w:val="0"/>
                <w:sz w:val="21"/>
                <w:szCs w:val="21"/>
                <w:lang w:val="en-US" w:eastAsia="zh-CN" w:bidi="ar"/>
              </w:rPr>
              <w:t>供应商必须于首次响应文件中提供国家认可的、具有相应资质的第三方检测机构出具的符合</w:t>
            </w:r>
            <w:r>
              <w:rPr>
                <w:rFonts w:hint="eastAsia" w:ascii="宋体" w:hAnsi="宋体" w:cs="宋体"/>
                <w:b/>
                <w:bCs/>
                <w:color w:val="000000"/>
                <w:kern w:val="0"/>
                <w:sz w:val="21"/>
                <w:szCs w:val="21"/>
                <w:lang w:val="en-US" w:eastAsia="zh-CN" w:bidi="ar"/>
              </w:rPr>
              <w:t>该项智能握力环</w:t>
            </w:r>
            <w:r>
              <w:rPr>
                <w:rFonts w:hint="eastAsia" w:ascii="宋体" w:hAnsi="宋体" w:eastAsia="宋体" w:cs="宋体"/>
                <w:b/>
                <w:bCs/>
                <w:color w:val="000000"/>
                <w:kern w:val="0"/>
                <w:sz w:val="21"/>
                <w:szCs w:val="21"/>
                <w:lang w:val="en-US" w:eastAsia="zh-CN" w:bidi="ar"/>
              </w:rPr>
              <w:t>参数的检测报告复印件</w:t>
            </w:r>
            <w:r>
              <w:rPr>
                <w:rFonts w:hint="eastAsia" w:ascii="宋体" w:hAnsi="宋体" w:eastAsia="宋体" w:cs="宋体"/>
                <w:b/>
                <w:bCs/>
                <w:color w:val="auto"/>
                <w:sz w:val="21"/>
                <w:szCs w:val="21"/>
                <w:highlight w:val="none"/>
              </w:rPr>
              <w:t>或产品说明书</w:t>
            </w:r>
            <w:r>
              <w:rPr>
                <w:rFonts w:hint="eastAsia" w:ascii="宋体" w:hAnsi="宋体" w:cs="宋体"/>
                <w:b/>
                <w:bCs/>
                <w:color w:val="000000"/>
                <w:kern w:val="0"/>
                <w:sz w:val="21"/>
                <w:szCs w:val="21"/>
                <w:lang w:val="en-US" w:eastAsia="zh-CN" w:bidi="ar"/>
              </w:rPr>
              <w:t>。</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6D0D37F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32000</w:t>
            </w:r>
            <w:r>
              <w:rPr>
                <w:rFonts w:hint="eastAsia" w:ascii="宋体" w:hAnsi="宋体" w:eastAsia="宋体" w:cs="宋体"/>
                <w:sz w:val="21"/>
                <w:szCs w:val="21"/>
                <w:highlight w:val="none"/>
                <w:lang w:val="en-US" w:eastAsia="zh-CN"/>
              </w:rPr>
              <w:t>.00</w:t>
            </w:r>
          </w:p>
        </w:tc>
      </w:tr>
      <w:tr w14:paraId="79E5FD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6A55F552">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61F8D2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D1F8B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超短波治疗机</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2913E0C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color w:val="auto"/>
                <w:sz w:val="21"/>
                <w:szCs w:val="21"/>
                <w:highlight w:val="none"/>
                <w:lang w:val="en-US" w:eastAsia="zh-CN"/>
              </w:rPr>
              <w:t>台</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72D80A2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1.输入功率：1000VA；</w:t>
            </w:r>
          </w:p>
          <w:p w14:paraId="4FEB1766">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2.使用电源：220V，50Hz；</w:t>
            </w:r>
          </w:p>
          <w:p w14:paraId="3AA2590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3.额定输出功率：150W；</w:t>
            </w:r>
          </w:p>
          <w:p w14:paraId="4F9ECB4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4.立式机型，液晶触摸屏+一键飞梭；</w:t>
            </w:r>
          </w:p>
          <w:p w14:paraId="67AB951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5.工作频率：40.68MHz；</w:t>
            </w:r>
          </w:p>
          <w:p w14:paraId="3A8AF46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6.定时范围：1～99min；</w:t>
            </w:r>
          </w:p>
          <w:p w14:paraId="17804366">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7.3种输出模式：连续输出；断续输出；脉冲输出；</w:t>
            </w:r>
          </w:p>
          <w:p w14:paraId="2035A41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8.断续模式：</w:t>
            </w:r>
          </w:p>
          <w:p w14:paraId="60624CA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(1)占空比：50%；</w:t>
            </w:r>
          </w:p>
          <w:p w14:paraId="26944F1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(2)脉冲频率：10～200Hz，步进 10Hz；</w:t>
            </w:r>
          </w:p>
          <w:p w14:paraId="365A8A2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9.脉冲模式：脉冲输出分四种脉冲参数；</w:t>
            </w:r>
          </w:p>
          <w:p w14:paraId="2C2989D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(1)脉冲1：频率范围 10～200Hz，步进 10Hz，脉宽 200～1000μs，步进 50μs；允差±10%。 </w:t>
            </w:r>
          </w:p>
          <w:p w14:paraId="6D52B9C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(2)脉冲2：频率 70Hz，脉宽 7143μs；允差±10%。 </w:t>
            </w:r>
          </w:p>
          <w:p w14:paraId="70C7D73E">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(3)脉冲3：频率 350Hz，脉宽 476μs；允差±10%。 </w:t>
            </w:r>
          </w:p>
          <w:p w14:paraId="7769164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(4)脉冲4：频率 15～240Hz，步进 15Hz，脉宽 500μs；允差±10%。</w:t>
            </w:r>
          </w:p>
          <w:p w14:paraId="33F6911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10.输出功率档位选择：P1-P6六档可调</w:t>
            </w:r>
          </w:p>
          <w:p w14:paraId="150579D5">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11.电极板：电极板采用导电良好的柔软材料制成，外包柔软的绝缘材料。电极板按照尺寸规格分为小号、中号、大号，每种各 2 片配对使用；</w:t>
            </w:r>
          </w:p>
          <w:p w14:paraId="2B4E229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(1)小号电极板尺寸165mm×110mm；</w:t>
            </w:r>
          </w:p>
          <w:p w14:paraId="2E76D79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(2)中号电极板尺寸185mm×120mm；</w:t>
            </w:r>
          </w:p>
          <w:p w14:paraId="30B7AE3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(3)大号电极板尺寸不小于210mm×150mm×8mm</w:t>
            </w:r>
          </w:p>
          <w:p w14:paraId="6C8C42E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(4)电极板尺寸允差±5mm；</w:t>
            </w:r>
          </w:p>
          <w:p w14:paraId="4DD7FF21">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12.控制面板：可显示设备的工作参数和状态；</w:t>
            </w:r>
          </w:p>
          <w:p w14:paraId="5E4515F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13.治疗结束后：设备自动发出声音提示，同时设备停止输出；</w:t>
            </w:r>
          </w:p>
          <w:p w14:paraId="2A9D359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14.调节输出功能；当功率指示值与当前设定的功率档位不一致时，点击屏幕上的“自动调谐”，等待进行重新适配，使功率指示值与当前功率档位保持一致；</w:t>
            </w:r>
          </w:p>
          <w:p w14:paraId="0210361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15.采用高频（晶体管一体化设计）模块。</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1321759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lang w:val="en-US" w:eastAsia="zh-CN"/>
              </w:rPr>
              <w:t>70000.00</w:t>
            </w:r>
          </w:p>
        </w:tc>
      </w:tr>
      <w:tr w14:paraId="06794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02AFE748">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4156BC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4E65A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红外热辐射治疗仪</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38F1C9D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color w:val="auto"/>
                <w:sz w:val="21"/>
                <w:szCs w:val="21"/>
                <w:highlight w:val="none"/>
                <w:lang w:val="en-US" w:eastAsia="zh-CN"/>
              </w:rPr>
              <w:t>台</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6DF4A8D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1.治疗光源采用高效卤素灯泡；</w:t>
            </w:r>
          </w:p>
          <w:p w14:paraId="7C9CBD5E">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2.采用密闭液态滤过器技术，有效滤过有害光源和无效光源，使用时皮肤没有灼热感；</w:t>
            </w:r>
          </w:p>
          <w:p w14:paraId="4AB1D03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3.散热方式：风冷系统；</w:t>
            </w:r>
          </w:p>
          <w:p w14:paraId="2812EEB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4.具有过热保护功能，降低灯源损耗；</w:t>
            </w:r>
          </w:p>
          <w:p w14:paraId="561BACA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5.显示方式：液晶屏；</w:t>
            </w:r>
          </w:p>
          <w:p w14:paraId="1F26499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6.光源功率：575W；</w:t>
            </w:r>
          </w:p>
          <w:p w14:paraId="579F8F3C">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7.波长范围：560nm～1400nm；</w:t>
            </w:r>
          </w:p>
          <w:p w14:paraId="38D1916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8.功率密度：100～500mW/cm2；</w:t>
            </w:r>
          </w:p>
          <w:p w14:paraId="43F89D7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9.有效照射区域：≥15㎝，出光口面积大，</w:t>
            </w:r>
          </w:p>
          <w:p w14:paraId="574D591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10.升降方式：液压式升降调节治疗高度，升降距离：40cm；</w:t>
            </w:r>
          </w:p>
          <w:p w14:paraId="26F242CC">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11.治疗头设置：水平旋转角度≥90°，垂直方向摆动角度≥90°，照射角度可任意调整，便于临床操作；</w:t>
            </w:r>
          </w:p>
          <w:p w14:paraId="25722F9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12.显示屏及操作方式：数码显示，按键操作；</w:t>
            </w:r>
          </w:p>
          <w:p w14:paraId="0B2EEF7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13.定时时间范围：1～120min，步长1分钟，误差±10%；</w:t>
            </w:r>
          </w:p>
          <w:p w14:paraId="05494CA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14.20㎝安全距离标定杆，为临床提供安全的治疗标准；</w:t>
            </w:r>
          </w:p>
          <w:p w14:paraId="3540C94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15.治疗时间结束时自动关机；</w:t>
            </w:r>
          </w:p>
          <w:p w14:paraId="3087CE8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16.支撑系统采用万向轮设计便于移动；</w:t>
            </w:r>
          </w:p>
          <w:p w14:paraId="2E7A310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17.输出方式：连续输出；</w:t>
            </w:r>
          </w:p>
          <w:p w14:paraId="63F2F7E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18.电源电压：220VAC ，电源频率：50Hz，额定功率：650VA；</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2B51C1E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120000</w:t>
            </w:r>
            <w:r>
              <w:rPr>
                <w:rFonts w:hint="eastAsia" w:ascii="宋体" w:hAnsi="宋体" w:eastAsia="宋体" w:cs="宋体"/>
                <w:sz w:val="21"/>
                <w:szCs w:val="21"/>
                <w:highlight w:val="none"/>
                <w:lang w:val="en-US" w:eastAsia="zh-CN"/>
              </w:rPr>
              <w:t>.00</w:t>
            </w:r>
          </w:p>
        </w:tc>
      </w:tr>
      <w:tr w14:paraId="38FFC8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02472245">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633B7E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56C64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磁振热治疗仪</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77DC605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color w:val="auto"/>
                <w:sz w:val="21"/>
                <w:szCs w:val="21"/>
                <w:highlight w:val="none"/>
                <w:lang w:val="en-US" w:eastAsia="zh-CN"/>
              </w:rPr>
              <w:t>台</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34DF92AB">
            <w:pPr>
              <w:keepNext w:val="0"/>
              <w:keepLines w:val="0"/>
              <w:pageBreakBefore w:val="0"/>
              <w:numPr>
                <w:ilvl w:val="0"/>
                <w:numId w:val="1"/>
              </w:numPr>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单通道柜式机型,标配颈肩温热导子；</w:t>
            </w:r>
          </w:p>
          <w:p w14:paraId="079887AC">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≥3.5英寸彩色液晶显示屏；</w:t>
            </w:r>
          </w:p>
          <w:p w14:paraId="2BAA729E">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磁场强度：0～38mT；</w:t>
            </w:r>
          </w:p>
          <w:p w14:paraId="5AD1398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振动频率：50Hz±1Hz；</w:t>
            </w:r>
          </w:p>
          <w:p w14:paraId="2150C70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具有六种工作模式选择（1s、2s、2.5s、3s、4s、5s）；</w:t>
            </w:r>
          </w:p>
          <w:p w14:paraId="0C9693F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模式 1：工作周期为 1s，频率 1Hz，占空比 10%；</w:t>
            </w:r>
          </w:p>
          <w:p w14:paraId="2FC9B2E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模式 2：工作周期为 2s，频率 0.5Hz，占空比 10%；</w:t>
            </w:r>
          </w:p>
          <w:p w14:paraId="3EFA9876">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模式 3：工作周期为 2.5s，频率 0.4Hz，占空比 8%；</w:t>
            </w:r>
          </w:p>
          <w:p w14:paraId="1478E3F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模式 4：工作周期为 3s，频率 0.33Hz，占空比 13.33%；</w:t>
            </w:r>
          </w:p>
          <w:p w14:paraId="2806010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模式 5：工作周期为 4s，频率 0.25Hz，占空比 25%；</w:t>
            </w:r>
          </w:p>
          <w:p w14:paraId="64CA28E5">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模式 6：工作周期为 5s，2 种脉冲交替，</w:t>
            </w:r>
          </w:p>
          <w:p w14:paraId="3963B41C">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第一种：频率 0.71Hz，占空比 29%，</w:t>
            </w:r>
          </w:p>
          <w:p w14:paraId="72A379D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第二种：频率 0.28Hz，占空比 11%。</w:t>
            </w:r>
          </w:p>
          <w:p w14:paraId="4B0DFB6E">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加热方式：40℃、46℃、52℃、58℃、常温五个档可调，误差为±2℃；</w:t>
            </w:r>
          </w:p>
          <w:p w14:paraId="2C6D1ED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超温保护装置：具有独立于恒温器的非自动复位的超温保护装置，超温保护装置动作时，停止输出，应用部分的温度应不超过 60℃；</w:t>
            </w:r>
          </w:p>
          <w:p w14:paraId="69D57BEE">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时间选择：1～60分钟可调，步距增量为1分钟，误差为±10% ；</w:t>
            </w:r>
          </w:p>
          <w:p w14:paraId="1880839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连续工作时间：＞8h；</w:t>
            </w:r>
          </w:p>
          <w:p w14:paraId="67F21931">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电源参数:AC 220V±10%；电源频率：50Hz±2%；</w:t>
            </w:r>
          </w:p>
          <w:p w14:paraId="17422BFC">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热磁振子数量： 8 个；</w:t>
            </w:r>
          </w:p>
          <w:p w14:paraId="5777049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3183FE4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20000</w:t>
            </w:r>
            <w:r>
              <w:rPr>
                <w:rFonts w:hint="eastAsia" w:ascii="宋体" w:hAnsi="宋体" w:eastAsia="宋体" w:cs="宋体"/>
                <w:sz w:val="21"/>
                <w:szCs w:val="21"/>
                <w:highlight w:val="none"/>
                <w:lang w:val="en-US" w:eastAsia="zh-CN"/>
              </w:rPr>
              <w:t>.00</w:t>
            </w:r>
          </w:p>
        </w:tc>
      </w:tr>
      <w:tr w14:paraId="78411E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24CEBA3A">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1CC4D0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B71FA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电动牵引床（颈腰一体）</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51C1D31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eastAsia="宋体" w:cs="宋体"/>
                <w:color w:val="auto"/>
                <w:sz w:val="21"/>
                <w:szCs w:val="21"/>
                <w:highlight w:val="none"/>
                <w:lang w:val="en-US" w:eastAsia="zh-CN"/>
              </w:rPr>
              <w:t>台</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0E73214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1.颈腰牵引配置，牵引力双输出功能，可同时为两位患者进行治疗，灵活设置治疗部位；</w:t>
            </w:r>
          </w:p>
          <w:p w14:paraId="72EEEC55">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2.双通道独立操作，可同时治疗，互不影响；</w:t>
            </w:r>
          </w:p>
          <w:p w14:paraId="2412BE5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3.全数字设定显示，牵引力、牵引时间、治疗时间均数字设定；</w:t>
            </w:r>
          </w:p>
          <w:p w14:paraId="7DE9085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4.牵引力：最大为800N；</w:t>
            </w:r>
          </w:p>
          <w:p w14:paraId="5858C92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5.牵引时间：1-60秒±10%，治疗时间：1-99分±30s；</w:t>
            </w:r>
          </w:p>
          <w:p w14:paraId="7A39330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6.牵引体位科学：膝下应用三角枕调节受力位置；</w:t>
            </w:r>
          </w:p>
          <w:p w14:paraId="078E5F3E">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7.牵引绳采用柔软钢丝绳，固定轨道设计；</w:t>
            </w:r>
          </w:p>
          <w:p w14:paraId="25CF5641">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8.床面采用耐磨、耐拉、耐低温、抗菌、高级环保、阻燃皮革；</w:t>
            </w:r>
          </w:p>
          <w:p w14:paraId="47282471">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9.独有的双色数码管显示，主副模式由红、绿双色显示；</w:t>
            </w:r>
          </w:p>
          <w:p w14:paraId="4258D08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10.三种牵引治疗模式：连续模式、间歇模式、混合模式；</w:t>
            </w:r>
          </w:p>
          <w:p w14:paraId="5B5991C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11.采用钢丝传动系统；</w:t>
            </w:r>
          </w:p>
          <w:p w14:paraId="47321C15">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12.安全设计：备有患者应急开关；</w:t>
            </w:r>
          </w:p>
          <w:p w14:paraId="3B6EC24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13.自动补偿：当患者因位移造成牵引力实时值偏离设定值时，微电脑控制牵引主机立即自动补偿，保证牵引力的恒定及患者安全；</w:t>
            </w:r>
          </w:p>
          <w:p w14:paraId="110A1CA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14.数字显示预设的牵引力和实际的牵引力以及剩余时间；</w:t>
            </w:r>
          </w:p>
          <w:p w14:paraId="29ED9DA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15.光滑的床垫有25cm的移动范围，专为腰椎牵引而设计；</w:t>
            </w:r>
          </w:p>
          <w:p w14:paraId="4915C73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16.参数设置：按键式控制面板轻松设置牵引力大小的最大值和最小值，持续牵引时间，治疗时间；</w:t>
            </w:r>
          </w:p>
          <w:p w14:paraId="7EEACD55">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17．设定值锁定功能：可锁定已设定的牵引力和牵引时间，不会因误操作而引起设定值的改变；</w:t>
            </w:r>
          </w:p>
          <w:p w14:paraId="0036AA8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18．自动故障检测，以不同代码指示故障，停止治疗，故障排除后方可正常使用；</w:t>
            </w:r>
          </w:p>
          <w:p w14:paraId="4860F8C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19.微电脑控制的牵引驱动装置，可随患者体位变换或移动后调整牵引力，保证患者在治疗时始终保持正确的牵引力；</w:t>
            </w:r>
          </w:p>
          <w:p w14:paraId="0CA5E8C6">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20.治疗结束后或紧急停止后有音量可调的提示音。                21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承重：&gt;150kg；</w:t>
            </w:r>
          </w:p>
          <w:p w14:paraId="5064538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牵引力： 腰椎最大牵引力800N，颈椎最大牵引力190N；</w:t>
            </w:r>
          </w:p>
          <w:p w14:paraId="0305B45C">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23.治疗时间：1-99分钟；</w:t>
            </w:r>
          </w:p>
          <w:p w14:paraId="1661721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24.功率：AC220V/50Hz；</w:t>
            </w:r>
          </w:p>
          <w:p w14:paraId="38A0320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25.牵引力变化速率：渐进期：最大0.7kg/s±20%；渐退期：最大0.6kg/s±20%；</w:t>
            </w:r>
          </w:p>
          <w:p w14:paraId="1CE61FF3">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26.持续时间：1-60s；</w:t>
            </w:r>
          </w:p>
          <w:p w14:paraId="14EF8A6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27.间歇时间：1-60s。</w:t>
            </w:r>
          </w:p>
          <w:p w14:paraId="10DC9107">
            <w:pPr>
              <w:pStyle w:val="19"/>
              <w:ind w:left="0" w:firstLine="0"/>
              <w:rPr>
                <w:rFonts w:hint="default" w:ascii="宋体" w:hAnsi="宋体" w:cs="宋体"/>
                <w:sz w:val="21"/>
                <w:szCs w:val="21"/>
                <w:highlight w:val="none"/>
                <w:lang w:val="en-US" w:eastAsia="zh-CN"/>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7169AA6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95000</w:t>
            </w:r>
            <w:r>
              <w:rPr>
                <w:rFonts w:hint="eastAsia" w:ascii="宋体" w:hAnsi="宋体" w:eastAsia="宋体" w:cs="宋体"/>
                <w:sz w:val="21"/>
                <w:szCs w:val="21"/>
                <w:highlight w:val="none"/>
                <w:lang w:val="en-US" w:eastAsia="zh-CN"/>
              </w:rPr>
              <w:t>.00</w:t>
            </w:r>
          </w:p>
        </w:tc>
      </w:tr>
      <w:tr w14:paraId="32A378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3AA50A23">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08CBA2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10372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儿童坐姿矫正椅</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175584D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highlight w:val="none"/>
                <w:lang w:val="en-US" w:eastAsia="zh-CN"/>
              </w:rPr>
              <w:t>把</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7F93E4C5">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1、外形尺寸：72cm×60cm×80cm～90cm</w:t>
            </w:r>
          </w:p>
          <w:p w14:paraId="67632ACC">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2、头部垫升降调节范围：0～12cm</w:t>
            </w:r>
          </w:p>
          <w:p w14:paraId="28605FF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3、裆部垫前后调节范围：0～10cm</w:t>
            </w:r>
          </w:p>
          <w:p w14:paraId="0DDE148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4、座垫至脚踏板最大距离：17cm</w:t>
            </w:r>
          </w:p>
          <w:p w14:paraId="091DB8C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5、台面至座垫距离：21cm</w:t>
            </w:r>
          </w:p>
          <w:p w14:paraId="7D75376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6、脚踏板高度调节距离：8cm</w:t>
            </w:r>
          </w:p>
          <w:p w14:paraId="40FAF02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7、额定承载：≥40kg</w:t>
            </w:r>
          </w:p>
          <w:p w14:paraId="2D9030B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8、椅架：选用优质木材，高密度夹板;所有部位垫块均为开模一次发泡成形</w:t>
            </w:r>
          </w:p>
          <w:p w14:paraId="6A0665C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9、前后轮：前后轮直径35mm实心轮</w:t>
            </w:r>
          </w:p>
          <w:p w14:paraId="1F9D547C">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10、座靠垫:座靠垫采用优质PU革，座面平整，无褶皱和破损等缺陷</w:t>
            </w:r>
          </w:p>
          <w:p w14:paraId="55C9B1C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11、限位垫：配有高强度金属限位垫骨架，限位垫可前后移动</w:t>
            </w:r>
          </w:p>
          <w:p w14:paraId="33DC42D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12、枕头：开模一次发泡成形头架，枕头高度可调;头部固定辅助板为圆弧形，可以更有效固定头部</w:t>
            </w:r>
          </w:p>
          <w:p w14:paraId="7CF03F15">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13、脚托：脚托高度可调，配有脚带</w:t>
            </w:r>
          </w:p>
          <w:p w14:paraId="4E7D904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14、桌板：木质桌板，拆装简单易于操作</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6BBD674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4000</w:t>
            </w:r>
            <w:r>
              <w:rPr>
                <w:rFonts w:hint="eastAsia" w:ascii="宋体" w:hAnsi="宋体" w:eastAsia="宋体" w:cs="宋体"/>
                <w:sz w:val="21"/>
                <w:szCs w:val="21"/>
                <w:highlight w:val="none"/>
                <w:lang w:val="en-US" w:eastAsia="zh-CN"/>
              </w:rPr>
              <w:t>.00</w:t>
            </w:r>
          </w:p>
        </w:tc>
      </w:tr>
      <w:tr w14:paraId="3E00D6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725D758C">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4296E1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9B044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儿童智力组件（床上训练器材）</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719AC9A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highlight w:val="none"/>
                <w:lang w:val="en-US" w:eastAsia="zh-CN"/>
              </w:rPr>
              <w:t>套</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472F1355">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用途：用于改善手指对指功能，提高手的协调性 、灵活性，还可用于手的感觉功能训练</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76AAD31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2720</w:t>
            </w:r>
            <w:r>
              <w:rPr>
                <w:rFonts w:hint="eastAsia" w:ascii="宋体" w:hAnsi="宋体" w:eastAsia="宋体" w:cs="宋体"/>
                <w:sz w:val="21"/>
                <w:szCs w:val="21"/>
                <w:highlight w:val="none"/>
                <w:lang w:val="en-US" w:eastAsia="zh-CN"/>
              </w:rPr>
              <w:t>.00</w:t>
            </w:r>
          </w:p>
        </w:tc>
      </w:tr>
      <w:tr w14:paraId="0B13C2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29C43E5A">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2415B7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4EA0F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踝关节矫正训练器</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2A0D8BE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highlight w:val="none"/>
                <w:lang w:val="en-US" w:eastAsia="zh-CN"/>
              </w:rPr>
              <w:t>台</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01D25ECC">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1、规格：39cm×34cm×3cm～18cm，允差±10%</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额定承载量：135kg</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允差±10%</w:t>
            </w:r>
          </w:p>
          <w:p w14:paraId="6BDF77F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2、材质：钢材、不锈钢支撑杆，承重力强</w:t>
            </w:r>
          </w:p>
          <w:p w14:paraId="743C5A7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3、表面为型钢印花凹凸面防滑设计，可调角度范围：15度、25度、30度、35度四档</w:t>
            </w:r>
          </w:p>
          <w:p w14:paraId="236A728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4、用途：矫正和防止足下垂、足内翻、足外翻等畸形</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5487530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700</w:t>
            </w:r>
            <w:r>
              <w:rPr>
                <w:rFonts w:hint="eastAsia" w:ascii="宋体" w:hAnsi="宋体" w:eastAsia="宋体" w:cs="宋体"/>
                <w:sz w:val="21"/>
                <w:szCs w:val="21"/>
                <w:highlight w:val="none"/>
                <w:lang w:val="en-US" w:eastAsia="zh-CN"/>
              </w:rPr>
              <w:t>.00</w:t>
            </w:r>
          </w:p>
        </w:tc>
      </w:tr>
      <w:tr w14:paraId="3E619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5EAA86CD">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2265810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1135A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站立架</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6180C21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highlight w:val="none"/>
                <w:lang w:val="en-US" w:eastAsia="zh-CN"/>
              </w:rPr>
              <w:t>台</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4A09DD92">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1、外形尺寸：80cm×65cm×63cm～100cm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允差±10%</w:t>
            </w:r>
          </w:p>
          <w:p w14:paraId="5E74AF0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2、靠背前后调节距离：22cm</w:t>
            </w:r>
          </w:p>
          <w:p w14:paraId="6CE38FD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3、膝托左右调节距离：6cm</w:t>
            </w:r>
          </w:p>
          <w:p w14:paraId="411C792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4、膝托前后调节距离：20cm</w:t>
            </w:r>
          </w:p>
          <w:p w14:paraId="4A38357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5、膝托上下调节距离：20cm</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250E4F7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5000</w:t>
            </w:r>
            <w:r>
              <w:rPr>
                <w:rFonts w:hint="eastAsia" w:ascii="宋体" w:hAnsi="宋体" w:eastAsia="宋体" w:cs="宋体"/>
                <w:sz w:val="21"/>
                <w:szCs w:val="21"/>
                <w:highlight w:val="none"/>
                <w:lang w:val="en-US" w:eastAsia="zh-CN"/>
              </w:rPr>
              <w:t>.00</w:t>
            </w:r>
          </w:p>
        </w:tc>
      </w:tr>
      <w:tr w14:paraId="66255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318663A9">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28FEA8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D70D4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儿童下肢功率车</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61BA993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highlight w:val="none"/>
                <w:lang w:val="en-US" w:eastAsia="zh-CN"/>
              </w:rPr>
              <w:t>辆</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384D5DA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1、规格：51cm×35cm×70cm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 xml:space="preserve">允差±10%                     </w:t>
            </w:r>
          </w:p>
          <w:p w14:paraId="3AE37C5D">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2、用途：下肢功能肌力训练</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7119F75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3600</w:t>
            </w:r>
            <w:r>
              <w:rPr>
                <w:rFonts w:hint="eastAsia" w:ascii="宋体" w:hAnsi="宋体" w:eastAsia="宋体" w:cs="宋体"/>
                <w:sz w:val="21"/>
                <w:szCs w:val="21"/>
                <w:highlight w:val="none"/>
                <w:lang w:val="en-US" w:eastAsia="zh-CN"/>
              </w:rPr>
              <w:t>.00</w:t>
            </w:r>
          </w:p>
        </w:tc>
      </w:tr>
      <w:tr w14:paraId="3359BB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60F4E572">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30E68A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E2874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儿童训练用扶梯（二面）</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1BE1F61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highlight w:val="none"/>
                <w:lang w:val="en-US" w:eastAsia="zh-CN"/>
              </w:rPr>
              <w:t>套</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706D2E6D">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1.材质：不锈钢管扶手、密度板、地毯、静电喷塑架</w:t>
            </w:r>
          </w:p>
          <w:p w14:paraId="106C922E">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2.结构型式： 扶手杠、固定管柱、阶梯</w:t>
            </w:r>
          </w:p>
          <w:p w14:paraId="50DE03F6">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3.扶手杠调节范围≥0～30cm</w:t>
            </w:r>
          </w:p>
          <w:p w14:paraId="5B40AB69">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4.扶手杠侧向额定载荷≥50kg</w:t>
            </w:r>
          </w:p>
          <w:p w14:paraId="3F189CD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5.阶梯额定载荷≥100kg</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6269B12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9900</w:t>
            </w:r>
            <w:r>
              <w:rPr>
                <w:rFonts w:hint="eastAsia" w:ascii="宋体" w:hAnsi="宋体" w:eastAsia="宋体" w:cs="宋体"/>
                <w:sz w:val="21"/>
                <w:szCs w:val="21"/>
                <w:highlight w:val="none"/>
                <w:lang w:val="en-US" w:eastAsia="zh-CN"/>
              </w:rPr>
              <w:t>.00</w:t>
            </w:r>
          </w:p>
        </w:tc>
      </w:tr>
      <w:tr w14:paraId="0964B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079E4407">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3F6F59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28883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肋木</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6B8B102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highlight w:val="none"/>
                <w:lang w:val="en-US" w:eastAsia="zh-CN"/>
              </w:rPr>
              <w:t>套</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064E8C3E">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尺寸：100cm×50cm×130cm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允差±10%，肋木杠直径：3.2cm，肋木杠间距离：15cm，额定载荷：≥80kg。用途：借助肋木杠进行上下肢体关节活动范围和肌力训练、坐站立训练、平衡训练、及躯干的牵伸训练</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4A30366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3780</w:t>
            </w:r>
            <w:r>
              <w:rPr>
                <w:rFonts w:hint="eastAsia" w:ascii="宋体" w:hAnsi="宋体" w:eastAsia="宋体" w:cs="宋体"/>
                <w:sz w:val="21"/>
                <w:szCs w:val="21"/>
                <w:highlight w:val="none"/>
                <w:lang w:val="en-US" w:eastAsia="zh-CN"/>
              </w:rPr>
              <w:t>.00</w:t>
            </w:r>
          </w:p>
        </w:tc>
      </w:tr>
      <w:tr w14:paraId="73AB4D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0775F452">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7538FE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1373B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巴氏球</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49B684F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highlight w:val="none"/>
                <w:lang w:val="en-US" w:eastAsia="zh-CN"/>
              </w:rPr>
              <w:t>个</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764D067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1.规格：φ85cm，</w:t>
            </w:r>
          </w:p>
          <w:p w14:paraId="0FE2E4A7">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2.质量≥2.1kg</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61C7B66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1600</w:t>
            </w:r>
            <w:r>
              <w:rPr>
                <w:rFonts w:hint="eastAsia" w:ascii="宋体" w:hAnsi="宋体" w:eastAsia="宋体" w:cs="宋体"/>
                <w:sz w:val="21"/>
                <w:szCs w:val="21"/>
                <w:highlight w:val="none"/>
                <w:lang w:val="en-US" w:eastAsia="zh-CN"/>
              </w:rPr>
              <w:t>.00</w:t>
            </w:r>
          </w:p>
        </w:tc>
      </w:tr>
      <w:tr w14:paraId="71FCAA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65455A55">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6DF468F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E985B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巴氏球</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0F5C9CE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highlight w:val="none"/>
                <w:lang w:val="en-US" w:eastAsia="zh-CN"/>
              </w:rPr>
              <w:t>个</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71674730">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1.规格：φ65cm，</w:t>
            </w:r>
          </w:p>
          <w:p w14:paraId="604BC5B1">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2.质量≥1.8kg</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6CE94B5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1600</w:t>
            </w:r>
            <w:r>
              <w:rPr>
                <w:rFonts w:hint="eastAsia" w:ascii="宋体" w:hAnsi="宋体" w:eastAsia="宋体" w:cs="宋体"/>
                <w:sz w:val="21"/>
                <w:szCs w:val="21"/>
                <w:highlight w:val="none"/>
                <w:lang w:val="en-US" w:eastAsia="zh-CN"/>
              </w:rPr>
              <w:t>.00</w:t>
            </w:r>
          </w:p>
        </w:tc>
      </w:tr>
      <w:tr w14:paraId="04541E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center"/>
          </w:tcPr>
          <w:p w14:paraId="0545D42B">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3E6D79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E1477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上肢协调功能训练器（手指）</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264EA92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highlight w:val="none"/>
                <w:lang w:val="en-US" w:eastAsia="zh-CN"/>
              </w:rPr>
              <w:t>台</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24F69FBF">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1.规格：30cm×25cm×33cm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允差±10%</w:t>
            </w:r>
          </w:p>
          <w:p w14:paraId="5C13DD35">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2.材料：木质、钢丝</w:t>
            </w:r>
          </w:p>
          <w:p w14:paraId="06E9134A">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3.结构：曲线架、木珠、器架底板</w:t>
            </w:r>
          </w:p>
          <w:p w14:paraId="1031D77D">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4.用途：训练上肢稳定性、协调性功能。提高上肢的日常活动能力</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28782EE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1960</w:t>
            </w:r>
            <w:r>
              <w:rPr>
                <w:rFonts w:hint="eastAsia" w:ascii="宋体" w:hAnsi="宋体" w:eastAsia="宋体" w:cs="宋体"/>
                <w:sz w:val="21"/>
                <w:szCs w:val="21"/>
                <w:highlight w:val="none"/>
                <w:lang w:val="en-US" w:eastAsia="zh-CN"/>
              </w:rPr>
              <w:t>.00</w:t>
            </w:r>
          </w:p>
        </w:tc>
      </w:tr>
      <w:tr w14:paraId="7457F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bottom w:val="single" w:color="auto" w:sz="4" w:space="0"/>
              <w:right w:val="single" w:color="auto" w:sz="4" w:space="0"/>
            </w:tcBorders>
            <w:noWrap w:val="0"/>
            <w:vAlign w:val="center"/>
          </w:tcPr>
          <w:p w14:paraId="6F8DC200">
            <w:pPr>
              <w:widowControl/>
              <w:jc w:val="center"/>
              <w:rPr>
                <w:rFonts w:hint="eastAsia" w:ascii="宋体" w:hAnsi="宋体" w:eastAsia="宋体" w:cs="宋体"/>
                <w:color w:val="auto"/>
                <w:sz w:val="24"/>
                <w:highlight w:val="none"/>
              </w:rPr>
            </w:pPr>
          </w:p>
        </w:tc>
        <w:tc>
          <w:tcPr>
            <w:tcW w:w="443" w:type="dxa"/>
            <w:tcBorders>
              <w:top w:val="single" w:color="auto" w:sz="4" w:space="0"/>
              <w:left w:val="single" w:color="auto" w:sz="4" w:space="0"/>
              <w:bottom w:val="single" w:color="auto" w:sz="4" w:space="0"/>
              <w:right w:val="single" w:color="auto" w:sz="4" w:space="0"/>
            </w:tcBorders>
            <w:noWrap w:val="0"/>
            <w:vAlign w:val="center"/>
          </w:tcPr>
          <w:p w14:paraId="494B545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97A17C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钻滚筒</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1302416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eastAsia="宋体" w:cs="宋体"/>
                <w:color w:val="auto"/>
                <w:sz w:val="21"/>
                <w:szCs w:val="21"/>
                <w:highlight w:val="none"/>
                <w:lang w:val="en-US" w:eastAsia="zh-CN"/>
              </w:rPr>
              <w:t>套</w:t>
            </w:r>
          </w:p>
        </w:tc>
        <w:tc>
          <w:tcPr>
            <w:tcW w:w="6186" w:type="dxa"/>
            <w:tcBorders>
              <w:top w:val="single" w:color="auto" w:sz="4" w:space="0"/>
              <w:left w:val="single" w:color="auto" w:sz="4" w:space="0"/>
              <w:bottom w:val="single" w:color="auto" w:sz="4" w:space="0"/>
              <w:right w:val="single" w:color="auto" w:sz="4" w:space="0"/>
            </w:tcBorders>
            <w:noWrap w:val="0"/>
            <w:vAlign w:val="center"/>
          </w:tcPr>
          <w:p w14:paraId="46724DB8">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1.外形尺寸：φ60cm×76cm，</w:t>
            </w:r>
          </w:p>
          <w:p w14:paraId="1758EB0B">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2.材质：塑料</w:t>
            </w:r>
          </w:p>
          <w:p w14:paraId="6878A7B4">
            <w:pPr>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3.用途：适用于儿童进行预防和纠正不良直立姿势。</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14C8BDE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auto"/>
                <w:sz w:val="21"/>
                <w:szCs w:val="21"/>
                <w:highlight w:val="none"/>
                <w:u w:val="none"/>
                <w:lang w:val="en-US" w:eastAsia="zh-CN" w:bidi="ar"/>
              </w:rPr>
            </w:pPr>
            <w:r>
              <w:rPr>
                <w:rFonts w:hint="eastAsia" w:ascii="宋体" w:hAnsi="宋体" w:eastAsia="宋体" w:cs="宋体"/>
                <w:sz w:val="21"/>
                <w:szCs w:val="21"/>
                <w:highlight w:val="none"/>
              </w:rPr>
              <w:t>3960</w:t>
            </w:r>
            <w:r>
              <w:rPr>
                <w:rFonts w:hint="eastAsia" w:ascii="宋体" w:hAnsi="宋体" w:eastAsia="宋体" w:cs="宋体"/>
                <w:sz w:val="21"/>
                <w:szCs w:val="21"/>
                <w:highlight w:val="none"/>
                <w:lang w:val="en-US" w:eastAsia="zh-CN"/>
              </w:rPr>
              <w:t>.00</w:t>
            </w:r>
          </w:p>
        </w:tc>
      </w:tr>
      <w:tr w14:paraId="51C673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5" w:hRule="atLeast"/>
          <w:jc w:val="center"/>
        </w:trPr>
        <w:tc>
          <w:tcPr>
            <w:tcW w:w="10121" w:type="dxa"/>
            <w:gridSpan w:val="6"/>
            <w:tcBorders>
              <w:top w:val="single" w:color="auto" w:sz="4" w:space="0"/>
              <w:left w:val="single" w:color="auto" w:sz="4" w:space="0"/>
              <w:bottom w:val="single" w:color="auto" w:sz="4" w:space="0"/>
              <w:right w:val="single" w:color="auto" w:sz="4" w:space="0"/>
            </w:tcBorders>
            <w:noWrap w:val="0"/>
            <w:vAlign w:val="center"/>
          </w:tcPr>
          <w:p w14:paraId="6395A43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highlight w:val="none"/>
              </w:rPr>
              <w:t>▲</w:t>
            </w:r>
            <w:r>
              <w:rPr>
                <w:rFonts w:hint="eastAsia" w:ascii="宋体" w:hAnsi="宋体" w:eastAsia="宋体" w:cs="宋体"/>
                <w:b/>
                <w:bCs/>
                <w:i w:val="0"/>
                <w:iCs w:val="0"/>
                <w:caps w:val="0"/>
                <w:color w:val="000000"/>
                <w:spacing w:val="0"/>
                <w:sz w:val="21"/>
                <w:szCs w:val="21"/>
                <w:shd w:val="clear" w:fill="FFFFFF"/>
              </w:rPr>
              <w:t>注：</w:t>
            </w:r>
            <w:r>
              <w:rPr>
                <w:rFonts w:hint="eastAsia" w:ascii="宋体" w:hAnsi="宋体" w:eastAsia="宋体" w:cs="宋体"/>
                <w:b/>
                <w:bCs/>
                <w:color w:val="auto"/>
                <w:sz w:val="21"/>
                <w:szCs w:val="21"/>
              </w:rPr>
              <w:t>本</w:t>
            </w:r>
            <w:r>
              <w:rPr>
                <w:rFonts w:hint="eastAsia" w:ascii="宋体" w:hAnsi="宋体" w:eastAsia="宋体" w:cs="宋体"/>
                <w:b/>
                <w:bCs/>
                <w:color w:val="auto"/>
                <w:sz w:val="21"/>
                <w:szCs w:val="21"/>
                <w:lang w:val="en-US" w:eastAsia="zh-CN"/>
              </w:rPr>
              <w:t>项目</w:t>
            </w:r>
            <w:r>
              <w:rPr>
                <w:rFonts w:hint="eastAsia" w:ascii="宋体" w:hAnsi="宋体" w:eastAsia="宋体" w:cs="宋体"/>
                <w:b/>
                <w:bCs/>
                <w:color w:val="auto"/>
                <w:sz w:val="21"/>
                <w:szCs w:val="21"/>
              </w:rPr>
              <w:t>采购产品</w:t>
            </w:r>
            <w:r>
              <w:rPr>
                <w:rFonts w:hint="eastAsia" w:ascii="宋体" w:hAnsi="宋体" w:eastAsia="宋体" w:cs="宋体"/>
                <w:b/>
                <w:bCs/>
                <w:color w:val="auto"/>
                <w:sz w:val="21"/>
                <w:szCs w:val="21"/>
                <w:lang w:val="en-US" w:eastAsia="zh-CN"/>
              </w:rPr>
              <w:t>[心电图机</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中频电疗仪、低频电子脉冲治疗仪（配台车）、痉挛肌电刺激治疗仪、超短波治疗机、红外热辐射治疗仪、磁振热治疗仪、电动牵引床（颈腰一体）]</w:t>
            </w:r>
            <w:r>
              <w:rPr>
                <w:rFonts w:hint="eastAsia" w:ascii="宋体" w:hAnsi="宋体" w:eastAsia="宋体" w:cs="宋体"/>
                <w:b/>
                <w:bCs/>
                <w:color w:val="auto"/>
                <w:sz w:val="21"/>
                <w:szCs w:val="21"/>
              </w:rPr>
              <w:t>属于第二类医疗器械，</w:t>
            </w:r>
            <w:r>
              <w:rPr>
                <w:rFonts w:hint="eastAsia" w:ascii="宋体" w:hAnsi="宋体" w:eastAsia="宋体" w:cs="宋体"/>
                <w:b/>
                <w:bCs/>
                <w:color w:val="auto"/>
                <w:sz w:val="21"/>
                <w:szCs w:val="21"/>
                <w:lang w:eastAsia="zh-CN"/>
              </w:rPr>
              <w:t>供应商</w:t>
            </w:r>
            <w:r>
              <w:rPr>
                <w:rFonts w:hint="eastAsia" w:ascii="宋体" w:hAnsi="宋体" w:eastAsia="宋体" w:cs="宋体"/>
                <w:b/>
                <w:bCs/>
                <w:color w:val="auto"/>
                <w:sz w:val="21"/>
                <w:szCs w:val="21"/>
              </w:rPr>
              <w:t>于</w:t>
            </w:r>
            <w:r>
              <w:rPr>
                <w:rFonts w:hint="eastAsia" w:ascii="宋体" w:hAnsi="宋体" w:eastAsia="宋体" w:cs="宋体"/>
                <w:b/>
                <w:bCs/>
                <w:color w:val="auto"/>
                <w:sz w:val="21"/>
                <w:szCs w:val="21"/>
                <w:lang w:val="en-US" w:eastAsia="zh-CN"/>
              </w:rPr>
              <w:t>首次</w:t>
            </w:r>
            <w:r>
              <w:rPr>
                <w:rFonts w:hint="eastAsia" w:ascii="宋体" w:hAnsi="宋体" w:eastAsia="宋体" w:cs="宋体"/>
                <w:b/>
                <w:bCs/>
                <w:color w:val="auto"/>
                <w:sz w:val="21"/>
                <w:szCs w:val="21"/>
                <w:lang w:eastAsia="zh-CN"/>
              </w:rPr>
              <w:t>响应文件</w:t>
            </w:r>
            <w:r>
              <w:rPr>
                <w:rFonts w:hint="eastAsia" w:ascii="宋体" w:hAnsi="宋体" w:eastAsia="宋体" w:cs="宋体"/>
                <w:b/>
                <w:bCs/>
                <w:color w:val="auto"/>
                <w:sz w:val="21"/>
                <w:szCs w:val="21"/>
              </w:rPr>
              <w:t>中必须提供所投产品相应有效的中华人民共和国医疗器械注册证复印件。（必须提供，否则响应文件作无效响应处理）</w:t>
            </w:r>
          </w:p>
        </w:tc>
      </w:tr>
      <w:tr w14:paraId="69BEB5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376314EE">
            <w:pPr>
              <w:jc w:val="center"/>
              <w:rPr>
                <w:rFonts w:hint="eastAsia" w:ascii="宋体" w:hAnsi="宋体" w:eastAsia="宋体" w:cs="宋体"/>
                <w:color w:val="auto"/>
                <w:highlight w:val="none"/>
              </w:rPr>
            </w:pPr>
          </w:p>
          <w:p w14:paraId="28AD7D24">
            <w:pPr>
              <w:jc w:val="center"/>
              <w:rPr>
                <w:rFonts w:hint="eastAsia" w:ascii="宋体" w:hAnsi="宋体" w:eastAsia="宋体" w:cs="宋体"/>
                <w:b/>
                <w:bCs/>
                <w:color w:val="auto"/>
                <w:sz w:val="28"/>
                <w:szCs w:val="32"/>
                <w:highlight w:val="none"/>
              </w:rPr>
            </w:pPr>
            <w:r>
              <w:rPr>
                <w:rFonts w:hint="eastAsia" w:ascii="宋体" w:hAnsi="宋体" w:eastAsia="宋体" w:cs="宋体"/>
                <w:color w:val="auto"/>
                <w:sz w:val="21"/>
                <w:szCs w:val="21"/>
                <w:highlight w:val="none"/>
              </w:rPr>
              <w:t>▲</w:t>
            </w:r>
          </w:p>
          <w:p w14:paraId="2401215E">
            <w:pPr>
              <w:jc w:val="center"/>
              <w:rPr>
                <w:rFonts w:hint="eastAsia" w:ascii="宋体" w:hAnsi="宋体" w:eastAsia="宋体" w:cs="宋体"/>
                <w:color w:val="auto"/>
                <w:highlight w:val="none"/>
              </w:rPr>
            </w:pPr>
            <w:r>
              <w:rPr>
                <w:rFonts w:hint="eastAsia" w:ascii="宋体" w:hAnsi="宋体" w:eastAsia="宋体" w:cs="宋体"/>
                <w:b/>
                <w:bCs/>
                <w:color w:val="auto"/>
                <w:sz w:val="28"/>
                <w:szCs w:val="32"/>
                <w:highlight w:val="none"/>
              </w:rPr>
              <w:t>商务条款</w:t>
            </w:r>
          </w:p>
        </w:tc>
        <w:tc>
          <w:tcPr>
            <w:tcW w:w="9576" w:type="dxa"/>
            <w:gridSpan w:val="5"/>
            <w:tcBorders>
              <w:top w:val="single" w:color="auto" w:sz="4" w:space="0"/>
              <w:left w:val="single" w:color="auto" w:sz="4" w:space="0"/>
              <w:bottom w:val="single" w:color="auto" w:sz="4" w:space="0"/>
              <w:right w:val="single" w:color="auto" w:sz="4" w:space="0"/>
            </w:tcBorders>
            <w:noWrap w:val="0"/>
            <w:vAlign w:val="top"/>
          </w:tcPr>
          <w:p w14:paraId="748D481A">
            <w:pPr>
              <w:widowControl/>
              <w:shd w:val="clear" w:color="auto" w:fill="FFFFFF"/>
              <w:spacing w:line="360" w:lineRule="auto"/>
              <w:jc w:val="left"/>
              <w:rPr>
                <w:rFonts w:hint="eastAsia" w:ascii="宋体" w:hAnsi="宋体" w:eastAsia="宋体" w:cs="宋体"/>
                <w:color w:val="auto"/>
                <w:highlight w:val="none"/>
                <w:lang w:eastAsia="zh-CN"/>
              </w:rPr>
            </w:pPr>
            <w:r>
              <w:rPr>
                <w:rFonts w:hint="eastAsia" w:ascii="宋体" w:hAnsi="宋体" w:eastAsia="宋体" w:cs="宋体"/>
                <w:b/>
                <w:bCs/>
                <w:color w:val="auto"/>
                <w:highlight w:val="none"/>
                <w:lang w:val="en-US" w:eastAsia="zh-CN"/>
              </w:rPr>
              <w:t>1.</w:t>
            </w:r>
            <w:r>
              <w:rPr>
                <w:rFonts w:hint="eastAsia" w:ascii="宋体" w:hAnsi="宋体" w:eastAsia="宋体" w:cs="宋体"/>
                <w:b/>
                <w:bCs/>
                <w:color w:val="auto"/>
                <w:szCs w:val="21"/>
                <w:highlight w:val="none"/>
              </w:rPr>
              <w:t>合同签订期</w:t>
            </w:r>
            <w:r>
              <w:rPr>
                <w:rFonts w:hint="eastAsia" w:ascii="宋体" w:hAnsi="宋体" w:eastAsia="宋体" w:cs="宋体"/>
                <w:color w:val="auto"/>
                <w:szCs w:val="21"/>
                <w:highlight w:val="none"/>
              </w:rPr>
              <w:t>：自</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通知书发出之日起</w:t>
            </w:r>
            <w:r>
              <w:rPr>
                <w:rFonts w:hint="eastAsia" w:ascii="宋体" w:hAnsi="宋体" w:eastAsia="宋体" w:cs="宋体"/>
                <w:color w:val="auto"/>
                <w:sz w:val="21"/>
                <w:szCs w:val="21"/>
                <w:highlight w:val="none"/>
                <w:lang w:val="en-US" w:eastAsia="zh-CN"/>
              </w:rPr>
              <w:t>8个工作</w:t>
            </w:r>
            <w:r>
              <w:rPr>
                <w:rFonts w:hint="eastAsia" w:ascii="宋体" w:hAnsi="宋体" w:eastAsia="宋体" w:cs="宋体"/>
                <w:color w:val="auto"/>
                <w:sz w:val="21"/>
                <w:szCs w:val="21"/>
                <w:highlight w:val="none"/>
              </w:rPr>
              <w:t>日内</w:t>
            </w:r>
            <w:r>
              <w:rPr>
                <w:rFonts w:hint="eastAsia" w:ascii="宋体" w:hAnsi="宋体" w:eastAsia="宋体" w:cs="宋体"/>
                <w:color w:val="auto"/>
                <w:highlight w:val="none"/>
                <w:lang w:eastAsia="zh-CN"/>
              </w:rPr>
              <w:t>。</w:t>
            </w:r>
          </w:p>
          <w:p w14:paraId="70C73632">
            <w:pPr>
              <w:widowControl/>
              <w:numPr>
                <w:ilvl w:val="0"/>
                <w:numId w:val="0"/>
              </w:numPr>
              <w:shd w:val="clear" w:color="auto" w:fill="FFFFFF"/>
              <w:spacing w:line="360" w:lineRule="auto"/>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lang w:eastAsia="zh-CN"/>
              </w:rPr>
              <w:t>交付</w:t>
            </w:r>
            <w:r>
              <w:rPr>
                <w:rFonts w:hint="eastAsia" w:ascii="宋体" w:hAnsi="宋体" w:eastAsia="宋体" w:cs="宋体"/>
                <w:b/>
                <w:bCs/>
                <w:color w:val="auto"/>
                <w:szCs w:val="21"/>
                <w:highlight w:val="none"/>
              </w:rPr>
              <w:t>时间</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合同签订后15天内通过验收合格并交付使用。</w:t>
            </w:r>
          </w:p>
          <w:p w14:paraId="4F29058B">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Cs w:val="21"/>
                <w:highlight w:val="none"/>
                <w:lang w:val="en-US" w:eastAsia="zh-CN"/>
              </w:rPr>
              <w:t>3.</w:t>
            </w:r>
            <w:r>
              <w:rPr>
                <w:rFonts w:hint="eastAsia" w:ascii="宋体" w:hAnsi="宋体" w:eastAsia="宋体" w:cs="宋体"/>
                <w:b/>
                <w:bCs/>
                <w:color w:val="auto"/>
                <w:szCs w:val="21"/>
                <w:highlight w:val="none"/>
                <w:lang w:eastAsia="zh-CN"/>
              </w:rPr>
              <w:t>交付</w:t>
            </w:r>
            <w:r>
              <w:rPr>
                <w:rFonts w:hint="eastAsia" w:ascii="宋体" w:hAnsi="宋体" w:eastAsia="宋体" w:cs="宋体"/>
                <w:b/>
                <w:bCs/>
                <w:color w:val="auto"/>
                <w:szCs w:val="21"/>
                <w:highlight w:val="none"/>
              </w:rPr>
              <w:t>地点</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采购人</w:t>
            </w:r>
            <w:r>
              <w:rPr>
                <w:rFonts w:hint="eastAsia" w:ascii="宋体" w:hAnsi="宋体" w:eastAsia="宋体" w:cs="宋体"/>
                <w:color w:val="auto"/>
                <w:sz w:val="21"/>
                <w:szCs w:val="21"/>
                <w:highlight w:val="none"/>
                <w:lang w:val="en-US" w:eastAsia="zh-CN"/>
              </w:rPr>
              <w:t>单位内</w:t>
            </w:r>
            <w:r>
              <w:rPr>
                <w:rFonts w:hint="eastAsia" w:ascii="宋体" w:hAnsi="宋体" w:eastAsia="宋体" w:cs="宋体"/>
                <w:color w:val="auto"/>
                <w:szCs w:val="21"/>
                <w:highlight w:val="none"/>
                <w:lang w:val="en-US" w:eastAsia="zh-CN"/>
              </w:rPr>
              <w:t>。</w:t>
            </w:r>
          </w:p>
          <w:p w14:paraId="148CBB3A">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4.付款方式：</w:t>
            </w:r>
          </w:p>
          <w:p w14:paraId="2030E69C">
            <w:pPr>
              <w:pStyle w:val="16"/>
              <w:rPr>
                <w:rFonts w:hint="eastAsia" w:ascii="宋体" w:hAnsi="宋体" w:cs="宋体"/>
                <w:color w:val="auto"/>
                <w:szCs w:val="21"/>
                <w:highlight w:val="none"/>
                <w:lang w:val="en-US"/>
              </w:rPr>
            </w:pPr>
            <w:r>
              <w:rPr>
                <w:rFonts w:hint="eastAsia" w:ascii="宋体" w:hAnsi="宋体" w:eastAsia="宋体" w:cs="宋体"/>
                <w:color w:val="auto"/>
                <w:sz w:val="21"/>
                <w:szCs w:val="21"/>
                <w:highlight w:val="none"/>
                <w:lang w:val="en-US"/>
              </w:rPr>
              <w:t>无预付款。货物到货安装完成并通过采购人整体验收合格，</w:t>
            </w:r>
            <w:r>
              <w:rPr>
                <w:rFonts w:hint="eastAsia" w:ascii="宋体" w:hAnsi="宋体" w:eastAsia="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val="en-US"/>
              </w:rPr>
              <w:t>提供完整结算资料及有效发票，采购人一次性付清全部货款。</w:t>
            </w:r>
          </w:p>
          <w:p w14:paraId="0E3F139C">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发票要求：</w:t>
            </w:r>
            <w:r>
              <w:rPr>
                <w:rFonts w:hint="eastAsia" w:ascii="宋体" w:hAnsi="宋体" w:eastAsia="宋体" w:cs="宋体"/>
                <w:color w:val="auto"/>
                <w:sz w:val="21"/>
                <w:szCs w:val="21"/>
                <w:highlight w:val="none"/>
              </w:rPr>
              <w:t>成交供应商必须按照采购人要求提供真实、有效、合法的正式专用发票。一旦发现成交供应商提供虚假发票，除须向采购人补开合法发票外，须赔偿采购人发票票面金额一倍的违约金，且采购人有权终止合同，成交供应商不得提出异议，因终止合同而产生的一切损失均由成交供应商承担。</w:t>
            </w:r>
          </w:p>
          <w:p w14:paraId="6AB430C0">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.质保期：</w:t>
            </w:r>
          </w:p>
          <w:p w14:paraId="247562A3">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按国家有关规定实行产品“三包”，货物（易耗品除外）质保期不少于一年，分项设备有质保期要求的按其要求。保修期自安装调试验收合格，并以双方最终验收报告签字日开始计算。保修期内，</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将负责处理并解决故障，并更换有故障的零、部件，一切费用由</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负责。</w:t>
            </w:r>
          </w:p>
          <w:p w14:paraId="3A291126">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.售后服务要求：</w:t>
            </w:r>
          </w:p>
          <w:p w14:paraId="18C0ED64">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（1）售后技术服务包括送货上门、安装调试、现场培训2～3名相关人员至掌握设备操作及日常维护等，</w:t>
            </w:r>
            <w:r>
              <w:rPr>
                <w:rFonts w:hint="eastAsia"/>
                <w:lang w:val="en-US" w:eastAsia="zh-CN"/>
              </w:rPr>
              <w:t>响应</w:t>
            </w:r>
            <w:r>
              <w:rPr>
                <w:rFonts w:hint="eastAsia" w:ascii="宋体" w:hAnsi="宋体" w:eastAsia="宋体" w:cs="宋体"/>
                <w:color w:val="auto"/>
                <w:sz w:val="21"/>
                <w:szCs w:val="21"/>
                <w:highlight w:val="none"/>
              </w:rPr>
              <w:t>报价应包含为实施项目所必须的售后技术服务。分项设备要求产品生产厂家提供技术人员培训的，按其要求执行。</w:t>
            </w:r>
          </w:p>
          <w:p w14:paraId="18A0B0B5">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（2）设备出现故障后，</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负责需要2小时内做出响应，24小时内派工程师到现场进行故障排除，48小时内故障无法修复的，需要立即提供与原设备技术参数要求相同或高于原设备技术参数要求的备用产品，以保证采购人的正常工作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成交供应商需进行定期维护</w:t>
            </w:r>
            <w:r>
              <w:rPr>
                <w:rFonts w:hint="eastAsia" w:ascii="宋体" w:hAnsi="宋体" w:eastAsia="宋体" w:cs="宋体"/>
                <w:color w:val="auto"/>
                <w:sz w:val="21"/>
                <w:szCs w:val="21"/>
                <w:highlight w:val="none"/>
              </w:rPr>
              <w:t>。</w:t>
            </w:r>
          </w:p>
          <w:p w14:paraId="2C99396A">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（3）软件在维保期内维修及完善性升级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费用由成交供应商承担。</w:t>
            </w:r>
          </w:p>
          <w:p w14:paraId="38121E8F">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提供培训方案，培训内容、培训措施符合项目实施的实际情况。</w:t>
            </w:r>
          </w:p>
          <w:p w14:paraId="1BF47A83">
            <w:pPr>
              <w:tabs>
                <w:tab w:val="left" w:pos="180"/>
                <w:tab w:val="left" w:pos="1620"/>
              </w:tabs>
              <w:spacing w:line="40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color w:val="auto"/>
              </w:rPr>
              <w:t>本政府采购项目现执行的有关政策、法律及法规，如与国家最新发布的政策、法律及法规相抵触时，</w:t>
            </w:r>
            <w:r>
              <w:rPr>
                <w:rFonts w:hint="eastAsia" w:eastAsia="宋体"/>
                <w:color w:val="auto"/>
                <w:lang w:eastAsia="zh-CN"/>
              </w:rPr>
              <w:t>供应商</w:t>
            </w:r>
            <w:r>
              <w:rPr>
                <w:rFonts w:hint="eastAsia"/>
                <w:color w:val="auto"/>
              </w:rPr>
              <w:t>必须无条件按照最新规定执行，且造成的损失均由</w:t>
            </w:r>
            <w:r>
              <w:rPr>
                <w:rFonts w:hint="eastAsia" w:eastAsia="宋体"/>
                <w:color w:val="auto"/>
                <w:lang w:eastAsia="zh-CN"/>
              </w:rPr>
              <w:t>供应商</w:t>
            </w:r>
            <w:r>
              <w:rPr>
                <w:rFonts w:hint="eastAsia"/>
                <w:color w:val="auto"/>
              </w:rPr>
              <w:t>自行承担。</w:t>
            </w:r>
          </w:p>
          <w:p w14:paraId="4496A0FA">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.报价要求：</w:t>
            </w:r>
            <w:bookmarkStart w:id="52" w:name="OLE_LINK32"/>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报价为采购人指定地点的现场交货价，包括：</w:t>
            </w:r>
          </w:p>
          <w:p w14:paraId="199D4F6C">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（1）货物的价格：包括货款、安装调试费、验收费（含检定、校准费，如有）；</w:t>
            </w:r>
          </w:p>
          <w:p w14:paraId="3678BA0D">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（2）货物的标准附件、备品备件、专用工具的价格。</w:t>
            </w:r>
          </w:p>
          <w:p w14:paraId="3E9CC26A">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（3）运输、装卸、调试、培训、技术支持、售后服务费。</w:t>
            </w:r>
          </w:p>
          <w:bookmarkEnd w:id="52"/>
          <w:p w14:paraId="721239AA">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.验收标准：</w:t>
            </w:r>
          </w:p>
          <w:p w14:paraId="4BA91601">
            <w:pPr>
              <w:tabs>
                <w:tab w:val="left" w:pos="180"/>
                <w:tab w:val="left" w:pos="1620"/>
              </w:tabs>
              <w:spacing w:line="400" w:lineRule="exact"/>
              <w:jc w:val="left"/>
              <w:rPr>
                <w:rFonts w:hint="eastAsia" w:ascii="宋体" w:hAnsi="宋体" w:cs="宋体"/>
                <w:color w:val="auto"/>
                <w:szCs w:val="21"/>
              </w:rPr>
            </w:pPr>
            <w:r>
              <w:rPr>
                <w:rFonts w:hint="eastAsia" w:ascii="宋体" w:hAnsi="宋体" w:eastAsia="宋体" w:cs="宋体"/>
                <w:color w:val="auto"/>
                <w:sz w:val="21"/>
                <w:szCs w:val="21"/>
                <w:highlight w:val="none"/>
              </w:rPr>
              <w:t>（1）</w:t>
            </w:r>
            <w:r>
              <w:rPr>
                <w:rFonts w:hint="eastAsia" w:ascii="宋体" w:hAnsi="宋体" w:eastAsia="宋体" w:cs="宋体"/>
                <w:color w:val="auto"/>
                <w:szCs w:val="21"/>
                <w:lang w:eastAsia="zh-CN"/>
              </w:rPr>
              <w:t>成交供应商</w:t>
            </w:r>
            <w:r>
              <w:rPr>
                <w:rFonts w:hint="eastAsia" w:ascii="宋体" w:hAnsi="宋体" w:cs="宋体"/>
                <w:color w:val="auto"/>
                <w:szCs w:val="21"/>
              </w:rPr>
              <w:t>向采购人提供的货物必须是全新的原装产品。第二类医疗器械产品供货时，</w:t>
            </w:r>
            <w:r>
              <w:rPr>
                <w:rFonts w:hint="eastAsia" w:ascii="宋体" w:hAnsi="宋体" w:eastAsia="宋体" w:cs="宋体"/>
                <w:color w:val="auto"/>
                <w:szCs w:val="21"/>
                <w:lang w:eastAsia="zh-CN"/>
              </w:rPr>
              <w:t>成交供应商</w:t>
            </w:r>
            <w:r>
              <w:rPr>
                <w:rFonts w:hint="eastAsia" w:ascii="宋体" w:hAnsi="宋体" w:cs="宋体"/>
                <w:color w:val="auto"/>
                <w:szCs w:val="21"/>
              </w:rPr>
              <w:t>如为经营企业，则必须提供有效的第二类医疗器械经营备案证明复印件，否则采购人不予以验收通过。（注：如</w:t>
            </w:r>
            <w:r>
              <w:rPr>
                <w:rFonts w:hint="eastAsia" w:ascii="宋体" w:hAnsi="宋体" w:eastAsia="宋体" w:cs="宋体"/>
                <w:color w:val="auto"/>
                <w:szCs w:val="21"/>
                <w:lang w:eastAsia="zh-CN"/>
              </w:rPr>
              <w:t>成交供应商</w:t>
            </w:r>
            <w:r>
              <w:rPr>
                <w:rFonts w:hint="eastAsia" w:ascii="宋体" w:hAnsi="宋体" w:cs="宋体"/>
                <w:color w:val="auto"/>
                <w:szCs w:val="21"/>
              </w:rPr>
              <w:t>为所提供产品的注册人或备案人，且在其住所或者生产地址销售其注册、备案的第二类医疗器械，且符合有关规定的经营条件的，则不需要提供经营备案证明）</w:t>
            </w:r>
          </w:p>
          <w:p w14:paraId="643D9DEF">
            <w:pPr>
              <w:tabs>
                <w:tab w:val="left" w:pos="180"/>
                <w:tab w:val="left" w:pos="1620"/>
              </w:tabs>
              <w:spacing w:line="400" w:lineRule="exact"/>
              <w:jc w:val="left"/>
              <w:rPr>
                <w:rFonts w:hint="eastAsia" w:ascii="宋体" w:hAnsi="宋体" w:cs="宋体"/>
                <w:color w:val="auto"/>
                <w:szCs w:val="21"/>
              </w:rPr>
            </w:pPr>
            <w:r>
              <w:rPr>
                <w:rFonts w:hint="eastAsia" w:ascii="宋体" w:hAnsi="宋体" w:eastAsia="宋体" w:cs="宋体"/>
                <w:color w:val="auto"/>
                <w:sz w:val="21"/>
                <w:szCs w:val="21"/>
                <w:highlight w:val="none"/>
              </w:rPr>
              <w:t>（2）</w:t>
            </w:r>
            <w:r>
              <w:rPr>
                <w:rFonts w:hint="eastAsia" w:ascii="宋体" w:hAnsi="宋体" w:cs="宋体"/>
                <w:color w:val="auto"/>
                <w:szCs w:val="21"/>
              </w:rPr>
              <w:t>验收过程中所产生的一切费用均由</w:t>
            </w:r>
            <w:r>
              <w:rPr>
                <w:rFonts w:hint="eastAsia" w:ascii="宋体" w:hAnsi="宋体" w:eastAsia="宋体" w:cs="宋体"/>
                <w:color w:val="auto"/>
                <w:szCs w:val="21"/>
                <w:lang w:eastAsia="zh-CN"/>
              </w:rPr>
              <w:t>成交供应商</w:t>
            </w:r>
            <w:r>
              <w:rPr>
                <w:rFonts w:hint="eastAsia" w:ascii="宋体" w:hAnsi="宋体" w:cs="宋体"/>
                <w:color w:val="auto"/>
                <w:szCs w:val="21"/>
              </w:rPr>
              <w:t>承担，报价时应考虑相关费用。</w:t>
            </w:r>
          </w:p>
          <w:p w14:paraId="51FA8F8A">
            <w:pPr>
              <w:tabs>
                <w:tab w:val="left" w:pos="180"/>
                <w:tab w:val="left" w:pos="1620"/>
              </w:tabs>
              <w:spacing w:line="400" w:lineRule="exact"/>
              <w:jc w:val="left"/>
              <w:rPr>
                <w:rFonts w:hint="eastAsia" w:ascii="宋体" w:hAnsi="宋体" w:cs="宋体"/>
                <w:color w:val="auto"/>
                <w:szCs w:val="21"/>
              </w:rPr>
            </w:pPr>
            <w:r>
              <w:rPr>
                <w:rFonts w:hint="eastAsia" w:ascii="宋体" w:hAnsi="宋体" w:eastAsia="宋体" w:cs="宋体"/>
                <w:color w:val="auto"/>
                <w:sz w:val="21"/>
                <w:szCs w:val="21"/>
                <w:highlight w:val="none"/>
              </w:rPr>
              <w:t>（3）</w:t>
            </w:r>
            <w:r>
              <w:rPr>
                <w:rFonts w:hint="eastAsia" w:ascii="宋体" w:hAnsi="宋体" w:eastAsia="宋体" w:cs="宋体"/>
                <w:color w:val="auto"/>
                <w:szCs w:val="21"/>
                <w:lang w:eastAsia="zh-CN"/>
              </w:rPr>
              <w:t>成交供应商</w:t>
            </w:r>
            <w:r>
              <w:rPr>
                <w:rFonts w:hint="eastAsia" w:ascii="宋体" w:hAnsi="宋体" w:cs="宋体"/>
                <w:color w:val="auto"/>
                <w:szCs w:val="21"/>
              </w:rPr>
              <w:t>在货物验收时由采购单位对照</w:t>
            </w:r>
            <w:r>
              <w:rPr>
                <w:rFonts w:hint="eastAsia" w:ascii="宋体" w:hAnsi="宋体" w:eastAsia="宋体" w:cs="宋体"/>
                <w:color w:val="auto"/>
                <w:szCs w:val="21"/>
                <w:lang w:eastAsia="zh-CN"/>
              </w:rPr>
              <w:t>竞争性谈判文件</w:t>
            </w:r>
            <w:r>
              <w:rPr>
                <w:rFonts w:hint="eastAsia" w:ascii="宋体" w:hAnsi="宋体" w:cs="宋体"/>
                <w:color w:val="auto"/>
                <w:szCs w:val="21"/>
              </w:rPr>
              <w:t>的功能目标及技术指标全面核对检验，对所有要求出具的证明文件的原件进行核查，如不符合</w:t>
            </w:r>
            <w:r>
              <w:rPr>
                <w:rFonts w:hint="eastAsia" w:ascii="宋体" w:hAnsi="宋体" w:eastAsia="宋体" w:cs="宋体"/>
                <w:color w:val="auto"/>
                <w:szCs w:val="21"/>
                <w:lang w:eastAsia="zh-CN"/>
              </w:rPr>
              <w:t>竞争性谈判文件</w:t>
            </w:r>
            <w:r>
              <w:rPr>
                <w:rFonts w:hint="eastAsia" w:ascii="宋体" w:hAnsi="宋体" w:cs="宋体"/>
                <w:color w:val="auto"/>
                <w:szCs w:val="21"/>
              </w:rPr>
              <w:t>的技术需求及要求以及提供虚假承诺的，按相关规定做退货处理及违约处理，</w:t>
            </w:r>
            <w:r>
              <w:rPr>
                <w:rFonts w:hint="eastAsia" w:ascii="宋体" w:hAnsi="宋体" w:eastAsia="宋体" w:cs="宋体"/>
                <w:color w:val="auto"/>
                <w:szCs w:val="21"/>
                <w:lang w:eastAsia="zh-CN"/>
              </w:rPr>
              <w:t>成交供应商</w:t>
            </w:r>
            <w:r>
              <w:rPr>
                <w:rFonts w:hint="eastAsia" w:ascii="宋体" w:hAnsi="宋体" w:cs="宋体"/>
                <w:color w:val="auto"/>
                <w:szCs w:val="21"/>
              </w:rPr>
              <w:t>承担所有责任和费用，采购人保留进一步追究责任的权利。</w:t>
            </w:r>
          </w:p>
          <w:p w14:paraId="11EA20D2">
            <w:pPr>
              <w:tabs>
                <w:tab w:val="left" w:pos="180"/>
                <w:tab w:val="left" w:pos="1620"/>
              </w:tabs>
              <w:spacing w:line="400" w:lineRule="exact"/>
              <w:jc w:val="left"/>
              <w:rPr>
                <w:rFonts w:hint="eastAsia" w:ascii="宋体" w:hAnsi="宋体" w:cs="宋体"/>
                <w:color w:val="auto"/>
                <w:szCs w:val="21"/>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cs="宋体"/>
                <w:color w:val="auto"/>
                <w:szCs w:val="21"/>
              </w:rPr>
              <w:t>本采购文件的相关要求。</w:t>
            </w:r>
          </w:p>
          <w:p w14:paraId="6B1CFEA1">
            <w:pPr>
              <w:tabs>
                <w:tab w:val="left" w:pos="180"/>
                <w:tab w:val="left" w:pos="1620"/>
              </w:tabs>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cs="宋体"/>
                <w:color w:val="auto"/>
                <w:szCs w:val="21"/>
              </w:rPr>
              <w:t>国家相关法律、法规、标准和规范等。</w:t>
            </w:r>
          </w:p>
        </w:tc>
      </w:tr>
      <w:tr w14:paraId="680E16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01500D4C">
            <w:pPr>
              <w:jc w:val="center"/>
              <w:rPr>
                <w:rFonts w:hint="eastAsia" w:ascii="宋体" w:hAnsi="宋体" w:eastAsia="宋体" w:cs="宋体"/>
                <w:color w:val="auto"/>
                <w:highlight w:val="none"/>
              </w:rPr>
            </w:pPr>
            <w:r>
              <w:rPr>
                <w:rFonts w:hint="eastAsia" w:ascii="宋体" w:hAnsi="宋体" w:eastAsia="宋体" w:cs="宋体"/>
                <w:color w:val="auto"/>
                <w:highlight w:val="none"/>
              </w:rPr>
              <w:t>其他说明</w:t>
            </w:r>
          </w:p>
        </w:tc>
        <w:tc>
          <w:tcPr>
            <w:tcW w:w="9576" w:type="dxa"/>
            <w:gridSpan w:val="5"/>
            <w:tcBorders>
              <w:top w:val="single" w:color="auto" w:sz="4" w:space="0"/>
              <w:left w:val="single" w:color="auto" w:sz="4" w:space="0"/>
              <w:bottom w:val="single" w:color="auto" w:sz="4" w:space="0"/>
              <w:right w:val="single" w:color="auto" w:sz="4" w:space="0"/>
            </w:tcBorders>
            <w:noWrap w:val="0"/>
            <w:vAlign w:val="top"/>
          </w:tcPr>
          <w:p w14:paraId="337F6D18">
            <w:pPr>
              <w:widowControl/>
              <w:shd w:val="clear"/>
              <w:spacing w:line="360" w:lineRule="exact"/>
              <w:jc w:val="left"/>
              <w:rPr>
                <w:rFonts w:hint="eastAsia" w:ascii="宋体" w:hAnsi="宋体" w:eastAsia="宋体" w:cs="宋体"/>
                <w:color w:val="auto"/>
                <w:highlight w:val="none"/>
              </w:rPr>
            </w:pPr>
            <w:r>
              <w:rPr>
                <w:rFonts w:hint="eastAsia" w:ascii="宋体" w:hAnsi="宋体" w:eastAsia="宋体" w:cs="宋体"/>
                <w:color w:val="auto"/>
                <w:highlight w:val="none"/>
              </w:rPr>
              <w:t>一、进口产品说明</w:t>
            </w:r>
            <w:r>
              <w:rPr>
                <w:rFonts w:hint="eastAsia" w:ascii="宋体" w:hAnsi="宋体" w:eastAsia="宋体" w:cs="宋体"/>
                <w:color w:val="auto"/>
                <w:highlight w:val="none"/>
                <w:lang w:eastAsia="zh-CN"/>
              </w:rPr>
              <w:t>：</w:t>
            </w:r>
          </w:p>
          <w:p w14:paraId="1807DA50">
            <w:pPr>
              <w:spacing w:line="360" w:lineRule="exact"/>
              <w:ind w:firstLine="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货物所涉及的货物不接受进口产品（即通过中国海关报关验放进入中国境内且产自关境外的产品）参与</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w:t>
            </w:r>
            <w:r>
              <w:rPr>
                <w:rFonts w:hint="eastAsia" w:ascii="宋体" w:hAnsi="宋体" w:eastAsia="宋体" w:cs="宋体"/>
                <w:b/>
                <w:color w:val="auto"/>
                <w:szCs w:val="21"/>
                <w:highlight w:val="none"/>
              </w:rPr>
              <w:t>如有进口产品参与</w:t>
            </w:r>
            <w:r>
              <w:rPr>
                <w:rFonts w:hint="eastAsia" w:ascii="宋体" w:hAnsi="宋体" w:eastAsia="宋体" w:cs="宋体"/>
                <w:b/>
                <w:color w:val="auto"/>
                <w:szCs w:val="21"/>
                <w:highlight w:val="none"/>
                <w:lang w:eastAsia="zh-CN"/>
              </w:rPr>
              <w:t>竞</w:t>
            </w:r>
            <w:r>
              <w:rPr>
                <w:rFonts w:hint="eastAsia" w:ascii="宋体" w:hAnsi="宋体" w:eastAsia="宋体" w:cs="宋体"/>
                <w:b/>
                <w:color w:val="auto"/>
                <w:szCs w:val="21"/>
                <w:highlight w:val="none"/>
              </w:rPr>
              <w:t>标的作无效</w:t>
            </w:r>
            <w:r>
              <w:rPr>
                <w:rFonts w:hint="eastAsia" w:ascii="宋体" w:hAnsi="宋体" w:eastAsia="宋体" w:cs="宋体"/>
                <w:b/>
                <w:color w:val="auto"/>
                <w:szCs w:val="21"/>
                <w:highlight w:val="none"/>
                <w:lang w:val="en-US" w:eastAsia="zh-CN"/>
              </w:rPr>
              <w:t>竞</w:t>
            </w:r>
            <w:r>
              <w:rPr>
                <w:rFonts w:hint="eastAsia" w:ascii="宋体" w:hAnsi="宋体" w:eastAsia="宋体" w:cs="宋体"/>
                <w:b/>
                <w:color w:val="auto"/>
                <w:szCs w:val="21"/>
                <w:highlight w:val="none"/>
              </w:rPr>
              <w:t>标处理</w:t>
            </w:r>
            <w:r>
              <w:rPr>
                <w:rFonts w:hint="eastAsia" w:ascii="宋体" w:hAnsi="宋体" w:eastAsia="宋体" w:cs="宋体"/>
                <w:color w:val="auto"/>
                <w:szCs w:val="21"/>
                <w:highlight w:val="none"/>
              </w:rPr>
              <w:t>。</w:t>
            </w:r>
          </w:p>
          <w:p w14:paraId="6D20595A">
            <w:pPr>
              <w:spacing w:line="360" w:lineRule="exact"/>
              <w:ind w:firstLine="0"/>
              <w:jc w:val="left"/>
              <w:rPr>
                <w:rFonts w:hint="eastAsia" w:ascii="宋体" w:hAnsi="宋体" w:eastAsia="宋体" w:cs="宋体"/>
                <w:i w:val="0"/>
                <w:iCs w:val="0"/>
                <w:caps w:val="0"/>
                <w:color w:val="auto"/>
                <w:spacing w:val="0"/>
                <w:sz w:val="21"/>
                <w:szCs w:val="21"/>
                <w:highlight w:val="none"/>
                <w:shd w:val="clear" w:color="auto" w:fill="auto"/>
              </w:rPr>
            </w:pPr>
            <w:r>
              <w:rPr>
                <w:rFonts w:hint="eastAsia" w:ascii="宋体" w:hAnsi="宋体" w:eastAsia="宋体" w:cs="宋体"/>
                <w:color w:val="auto"/>
                <w:szCs w:val="21"/>
                <w:highlight w:val="none"/>
                <w:lang w:val="en-US" w:eastAsia="zh-CN"/>
              </w:rPr>
              <w:t>根据 《国务院办公厅关于在政府采购中实施本国产品标准及相关政策的通知》（国办发</w:t>
            </w: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号）的规定</w:t>
            </w:r>
            <w:r>
              <w:rPr>
                <w:rFonts w:hint="eastAsia" w:ascii="宋体" w:hAnsi="宋体" w:eastAsia="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FFFFFF"/>
              </w:rPr>
              <w:t>政府采购活动中既有本国产品又有非本国产品参与竞争的，依法对</w:t>
            </w:r>
            <w:r>
              <w:rPr>
                <w:rFonts w:hint="eastAsia" w:ascii="宋体" w:hAnsi="宋体" w:eastAsia="宋体" w:cs="宋体"/>
                <w:i w:val="0"/>
                <w:iCs w:val="0"/>
                <w:caps w:val="0"/>
                <w:color w:val="auto"/>
                <w:spacing w:val="0"/>
                <w:sz w:val="21"/>
                <w:szCs w:val="21"/>
                <w:highlight w:val="none"/>
                <w:shd w:val="clear" w:color="auto" w:fill="FFFFFF"/>
                <w:lang w:val="en-US" w:eastAsia="zh-CN"/>
              </w:rPr>
              <w:t>符合政策要求的</w:t>
            </w:r>
            <w:r>
              <w:rPr>
                <w:rFonts w:hint="eastAsia" w:ascii="宋体" w:hAnsi="宋体" w:eastAsia="宋体" w:cs="宋体"/>
                <w:i w:val="0"/>
                <w:iCs w:val="0"/>
                <w:caps w:val="0"/>
                <w:color w:val="auto"/>
                <w:spacing w:val="0"/>
                <w:sz w:val="21"/>
                <w:szCs w:val="21"/>
                <w:highlight w:val="none"/>
                <w:shd w:val="clear" w:color="auto" w:fill="FFFFFF"/>
              </w:rPr>
              <w:t>本国产品给予价格评审优惠</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b/>
                <w:bCs/>
                <w:color w:val="auto"/>
                <w:szCs w:val="21"/>
                <w:highlight w:val="none"/>
              </w:rPr>
              <w:t xml:space="preserve">具体详见“第四章 </w:t>
            </w:r>
            <w:r>
              <w:rPr>
                <w:rFonts w:hint="eastAsia" w:ascii="宋体" w:hAnsi="宋体" w:eastAsia="宋体" w:cs="宋体"/>
                <w:b/>
                <w:bCs/>
                <w:color w:val="auto"/>
                <w:szCs w:val="21"/>
                <w:highlight w:val="none"/>
                <w:lang w:val="en-US" w:eastAsia="zh-CN"/>
              </w:rPr>
              <w:t>评审程序、</w:t>
            </w:r>
            <w:r>
              <w:rPr>
                <w:rFonts w:hint="eastAsia" w:ascii="宋体" w:hAnsi="宋体" w:eastAsia="宋体" w:cs="宋体"/>
                <w:b/>
                <w:bCs/>
                <w:color w:val="auto"/>
                <w:szCs w:val="21"/>
                <w:highlight w:val="none"/>
                <w:lang w:eastAsia="zh-CN"/>
              </w:rPr>
              <w:t>评</w:t>
            </w:r>
            <w:r>
              <w:rPr>
                <w:rFonts w:hint="eastAsia" w:ascii="宋体" w:hAnsi="宋体" w:eastAsia="宋体" w:cs="宋体"/>
                <w:b/>
                <w:bCs/>
                <w:color w:val="auto"/>
                <w:szCs w:val="21"/>
                <w:highlight w:val="none"/>
                <w:lang w:val="en-US" w:eastAsia="zh-CN"/>
              </w:rPr>
              <w:t>审</w:t>
            </w:r>
            <w:r>
              <w:rPr>
                <w:rFonts w:hint="eastAsia" w:ascii="宋体" w:hAnsi="宋体" w:eastAsia="宋体" w:cs="宋体"/>
                <w:b/>
                <w:bCs/>
                <w:color w:val="auto"/>
                <w:szCs w:val="21"/>
                <w:highlight w:val="none"/>
                <w:lang w:eastAsia="zh-CN"/>
              </w:rPr>
              <w:t>方法和</w:t>
            </w:r>
            <w:r>
              <w:rPr>
                <w:rFonts w:hint="eastAsia" w:ascii="宋体" w:hAnsi="宋体" w:eastAsia="宋体" w:cs="宋体"/>
                <w:b/>
                <w:bCs/>
                <w:color w:val="auto"/>
                <w:szCs w:val="21"/>
                <w:highlight w:val="none"/>
                <w:lang w:val="en-US" w:eastAsia="zh-CN"/>
              </w:rPr>
              <w:t>成交</w:t>
            </w:r>
            <w:r>
              <w:rPr>
                <w:rFonts w:hint="eastAsia" w:ascii="宋体" w:hAnsi="宋体" w:eastAsia="宋体" w:cs="宋体"/>
                <w:b/>
                <w:bCs/>
                <w:color w:val="auto"/>
                <w:szCs w:val="21"/>
                <w:highlight w:val="none"/>
                <w:lang w:eastAsia="zh-CN"/>
              </w:rPr>
              <w:t>标准</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auto"/>
              </w:rPr>
              <w:t>产品在中国境内生产的组件成本，按照《中国境内生产的组件成本核算基本规则》（见附件</w:t>
            </w:r>
            <w:r>
              <w:rPr>
                <w:rFonts w:hint="eastAsia" w:ascii="宋体" w:hAnsi="宋体" w:eastAsia="宋体" w:cs="宋体"/>
                <w:i w:val="0"/>
                <w:iCs w:val="0"/>
                <w:caps w:val="0"/>
                <w:color w:val="auto"/>
                <w:spacing w:val="0"/>
                <w:sz w:val="21"/>
                <w:szCs w:val="21"/>
                <w:highlight w:val="none"/>
                <w:shd w:val="clear" w:color="auto" w:fill="auto"/>
                <w:lang w:val="en-US" w:eastAsia="zh-CN"/>
              </w:rPr>
              <w:t>3</w:t>
            </w:r>
            <w:r>
              <w:rPr>
                <w:rFonts w:hint="eastAsia" w:ascii="宋体" w:hAnsi="宋体" w:eastAsia="宋体" w:cs="宋体"/>
                <w:i w:val="0"/>
                <w:iCs w:val="0"/>
                <w:caps w:val="0"/>
                <w:color w:val="auto"/>
                <w:spacing w:val="0"/>
                <w:sz w:val="21"/>
                <w:szCs w:val="21"/>
                <w:highlight w:val="none"/>
                <w:shd w:val="clear" w:color="auto" w:fill="auto"/>
              </w:rPr>
              <w:t>）计算。</w:t>
            </w:r>
            <w:bookmarkEnd w:id="51"/>
          </w:p>
          <w:p w14:paraId="2D4D7E48">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、核心产品：</w:t>
            </w:r>
          </w:p>
          <w:p w14:paraId="652FE5D8">
            <w:pPr>
              <w:spacing w:line="360" w:lineRule="exact"/>
              <w:ind w:firstLine="0"/>
              <w:jc w:val="left"/>
              <w:rPr>
                <w:rFonts w:hint="eastAsia" w:ascii="宋体" w:hAnsi="宋体" w:eastAsia="宋体" w:cs="宋体"/>
                <w:i w:val="0"/>
                <w:iCs w:val="0"/>
                <w:caps w:val="0"/>
                <w:color w:val="auto"/>
                <w:spacing w:val="0"/>
                <w:sz w:val="21"/>
                <w:szCs w:val="21"/>
                <w:highlight w:val="none"/>
                <w:shd w:val="clear" w:color="auto" w:fill="auto"/>
                <w:lang w:val="en-US" w:eastAsia="zh-CN"/>
              </w:rPr>
            </w:pPr>
            <w:r>
              <w:rPr>
                <w:rFonts w:hint="eastAsia" w:ascii="宋体" w:hAnsi="宋体" w:eastAsia="宋体" w:cs="宋体"/>
                <w:color w:val="auto"/>
                <w:sz w:val="21"/>
                <w:szCs w:val="21"/>
                <w:highlight w:val="none"/>
              </w:rPr>
              <w:t>本项目的核心产品为“需求一览表”中第</w:t>
            </w:r>
            <w:r>
              <w:rPr>
                <w:rFonts w:hint="eastAsia" w:ascii="宋体" w:hAnsi="宋体" w:eastAsia="宋体" w:cs="宋体"/>
                <w:color w:val="auto"/>
                <w:sz w:val="21"/>
                <w:szCs w:val="21"/>
                <w:highlight w:val="none"/>
                <w:u w:val="single"/>
                <w:lang w:val="en-US" w:eastAsia="zh-CN"/>
              </w:rPr>
              <w:t xml:space="preserve">  13   </w:t>
            </w:r>
            <w:r>
              <w:rPr>
                <w:rFonts w:hint="eastAsia" w:ascii="宋体" w:hAnsi="宋体" w:eastAsia="宋体" w:cs="宋体"/>
                <w:color w:val="auto"/>
                <w:sz w:val="21"/>
                <w:szCs w:val="21"/>
                <w:highlight w:val="none"/>
              </w:rPr>
              <w:t>项产品：“</w:t>
            </w:r>
            <w:r>
              <w:rPr>
                <w:rFonts w:hint="eastAsia" w:ascii="宋体" w:hAnsi="宋体" w:eastAsia="宋体" w:cs="宋体"/>
                <w:color w:val="auto"/>
                <w:sz w:val="21"/>
                <w:szCs w:val="21"/>
                <w:highlight w:val="none"/>
                <w:u w:val="single"/>
                <w:lang w:val="en-US" w:eastAsia="zh-CN"/>
              </w:rPr>
              <w:t xml:space="preserve">  </w:t>
            </w:r>
            <w:bookmarkStart w:id="53" w:name="OLE_LINK2"/>
            <w:r>
              <w:rPr>
                <w:rFonts w:hint="eastAsia" w:ascii="宋体" w:hAnsi="宋体" w:eastAsia="宋体" w:cs="宋体"/>
                <w:color w:val="auto"/>
                <w:sz w:val="21"/>
                <w:szCs w:val="21"/>
                <w:highlight w:val="none"/>
                <w:u w:val="single"/>
                <w:lang w:val="en-US" w:eastAsia="zh-CN"/>
              </w:rPr>
              <w:t>电动牵引床</w:t>
            </w:r>
            <w:bookmarkEnd w:id="53"/>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tc>
      </w:tr>
    </w:tbl>
    <w:p w14:paraId="70EFD3B7">
      <w:pPr>
        <w:spacing w:line="428" w:lineRule="exact"/>
        <w:rPr>
          <w:rFonts w:hint="eastAsia" w:ascii="宋体" w:hAnsi="宋体" w:eastAsia="宋体" w:cs="宋体"/>
          <w:color w:val="auto"/>
          <w:szCs w:val="24"/>
          <w:highlight w:val="none"/>
        </w:rPr>
      </w:pPr>
    </w:p>
    <w:p w14:paraId="2E52DFAF">
      <w:pPr>
        <w:spacing w:line="240" w:lineRule="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clear="all"/>
      </w:r>
    </w:p>
    <w:p w14:paraId="4A7EBFB0">
      <w:pPr>
        <w:spacing w:line="528" w:lineRule="exact"/>
        <w:jc w:val="left"/>
        <w:rPr>
          <w:rFonts w:hint="eastAsia" w:ascii="宋体" w:hAnsi="宋体" w:eastAsia="宋体" w:cs="宋体"/>
          <w:color w:val="auto"/>
          <w:highlight w:val="none"/>
        </w:rPr>
      </w:pPr>
      <w:r>
        <w:rPr>
          <w:rFonts w:hint="eastAsia" w:ascii="宋体" w:hAnsi="宋体" w:eastAsia="宋体" w:cs="宋体"/>
          <w:color w:val="auto"/>
          <w:sz w:val="32"/>
          <w:szCs w:val="32"/>
          <w:highlight w:val="none"/>
        </w:rPr>
        <w:t>附件1</w:t>
      </w:r>
    </w:p>
    <w:p w14:paraId="53BD68B3">
      <w:pPr>
        <w:spacing w:line="528" w:lineRule="exact"/>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116"/>
        <w:gridCol w:w="1516"/>
        <w:gridCol w:w="1612"/>
        <w:gridCol w:w="4335"/>
      </w:tblGrid>
      <w:tr w14:paraId="40C7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1" w:type="dxa"/>
            <w:noWrap w:val="0"/>
            <w:vAlign w:val="top"/>
          </w:tcPr>
          <w:p w14:paraId="2C6B8AE0">
            <w:pPr>
              <w:widowControl/>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品目序号</w:t>
            </w:r>
          </w:p>
        </w:tc>
        <w:tc>
          <w:tcPr>
            <w:tcW w:w="4244" w:type="dxa"/>
            <w:gridSpan w:val="3"/>
            <w:noWrap w:val="0"/>
            <w:vAlign w:val="center"/>
          </w:tcPr>
          <w:p w14:paraId="188DC2A9">
            <w:pPr>
              <w:widowControl/>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名称</w:t>
            </w:r>
          </w:p>
        </w:tc>
        <w:tc>
          <w:tcPr>
            <w:tcW w:w="4335" w:type="dxa"/>
            <w:noWrap w:val="0"/>
            <w:vAlign w:val="center"/>
          </w:tcPr>
          <w:p w14:paraId="13C816A6">
            <w:pPr>
              <w:widowControl/>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依据的标准</w:t>
            </w:r>
          </w:p>
        </w:tc>
      </w:tr>
      <w:tr w14:paraId="251F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03B72F0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116" w:type="dxa"/>
            <w:vMerge w:val="restart"/>
            <w:noWrap w:val="0"/>
            <w:vAlign w:val="center"/>
          </w:tcPr>
          <w:p w14:paraId="40B4A544">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A020101计算机设备</w:t>
            </w:r>
          </w:p>
        </w:tc>
        <w:tc>
          <w:tcPr>
            <w:tcW w:w="1516" w:type="dxa"/>
            <w:noWrap w:val="0"/>
            <w:vAlign w:val="center"/>
          </w:tcPr>
          <w:p w14:paraId="6CAC506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★A02010104台式计算机</w:t>
            </w:r>
          </w:p>
        </w:tc>
        <w:tc>
          <w:tcPr>
            <w:tcW w:w="1612" w:type="dxa"/>
            <w:noWrap w:val="0"/>
            <w:vAlign w:val="center"/>
          </w:tcPr>
          <w:p w14:paraId="02717F55">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2F8D2424">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《微型计算机能效限定值及能效等级》（GB28380）</w:t>
            </w:r>
          </w:p>
        </w:tc>
      </w:tr>
      <w:tr w14:paraId="0E0D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3A374D29">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5F8E0B9F">
            <w:pPr>
              <w:widowControl/>
              <w:jc w:val="left"/>
              <w:rPr>
                <w:rFonts w:hint="eastAsia" w:ascii="宋体" w:hAnsi="宋体" w:eastAsia="宋体" w:cs="宋体"/>
                <w:color w:val="auto"/>
                <w:sz w:val="20"/>
                <w:szCs w:val="20"/>
                <w:highlight w:val="none"/>
              </w:rPr>
            </w:pPr>
          </w:p>
        </w:tc>
        <w:tc>
          <w:tcPr>
            <w:tcW w:w="1516" w:type="dxa"/>
            <w:noWrap w:val="0"/>
            <w:vAlign w:val="center"/>
          </w:tcPr>
          <w:p w14:paraId="0E43C85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★A02010105便携式计算机</w:t>
            </w:r>
          </w:p>
        </w:tc>
        <w:tc>
          <w:tcPr>
            <w:tcW w:w="1612" w:type="dxa"/>
            <w:noWrap w:val="0"/>
            <w:vAlign w:val="center"/>
          </w:tcPr>
          <w:p w14:paraId="7D07C8B3">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42A9FBE2">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《微型计算机能效限定值及能效等级》（GB28380）</w:t>
            </w:r>
          </w:p>
        </w:tc>
      </w:tr>
      <w:tr w14:paraId="05D1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6B01EFD8">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7487729A">
            <w:pPr>
              <w:widowControl/>
              <w:jc w:val="left"/>
              <w:rPr>
                <w:rFonts w:hint="eastAsia" w:ascii="宋体" w:hAnsi="宋体" w:eastAsia="宋体" w:cs="宋体"/>
                <w:color w:val="auto"/>
                <w:sz w:val="20"/>
                <w:szCs w:val="20"/>
                <w:highlight w:val="none"/>
              </w:rPr>
            </w:pPr>
          </w:p>
        </w:tc>
        <w:tc>
          <w:tcPr>
            <w:tcW w:w="1516" w:type="dxa"/>
            <w:noWrap w:val="0"/>
            <w:vAlign w:val="center"/>
          </w:tcPr>
          <w:p w14:paraId="5777799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★A02010107平板式微型计算机</w:t>
            </w:r>
          </w:p>
        </w:tc>
        <w:tc>
          <w:tcPr>
            <w:tcW w:w="1612" w:type="dxa"/>
            <w:noWrap w:val="0"/>
            <w:vAlign w:val="center"/>
          </w:tcPr>
          <w:p w14:paraId="7803FE9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4E6259B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《微型计算机能效限定值及能效等级》（GB28380）</w:t>
            </w:r>
          </w:p>
        </w:tc>
      </w:tr>
      <w:tr w14:paraId="1804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4DC9C73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1116" w:type="dxa"/>
            <w:vMerge w:val="restart"/>
            <w:noWrap w:val="0"/>
            <w:vAlign w:val="center"/>
          </w:tcPr>
          <w:p w14:paraId="49E153B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A020106输入输出设备</w:t>
            </w:r>
          </w:p>
        </w:tc>
        <w:tc>
          <w:tcPr>
            <w:tcW w:w="1516" w:type="dxa"/>
            <w:vMerge w:val="restart"/>
            <w:noWrap w:val="0"/>
            <w:vAlign w:val="center"/>
          </w:tcPr>
          <w:p w14:paraId="0D5BBA07">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A02010601打印设备</w:t>
            </w:r>
          </w:p>
        </w:tc>
        <w:tc>
          <w:tcPr>
            <w:tcW w:w="1612" w:type="dxa"/>
            <w:noWrap w:val="0"/>
            <w:vAlign w:val="center"/>
          </w:tcPr>
          <w:p w14:paraId="36B9D3AE">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A0201060101喷墨打印机</w:t>
            </w:r>
          </w:p>
        </w:tc>
        <w:tc>
          <w:tcPr>
            <w:tcW w:w="4335" w:type="dxa"/>
            <w:noWrap w:val="0"/>
            <w:vAlign w:val="center"/>
          </w:tcPr>
          <w:p w14:paraId="37B9C22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《复印机、打印机和传真机能效限定值及能效等级》（GB21521）</w:t>
            </w:r>
          </w:p>
        </w:tc>
      </w:tr>
      <w:tr w14:paraId="75BE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7611241F">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4F749EB6">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6FD291DD">
            <w:pPr>
              <w:widowControl/>
              <w:jc w:val="left"/>
              <w:rPr>
                <w:rFonts w:hint="eastAsia" w:ascii="宋体" w:hAnsi="宋体" w:eastAsia="宋体" w:cs="宋体"/>
                <w:color w:val="auto"/>
                <w:sz w:val="20"/>
                <w:szCs w:val="20"/>
                <w:highlight w:val="none"/>
              </w:rPr>
            </w:pPr>
          </w:p>
        </w:tc>
        <w:tc>
          <w:tcPr>
            <w:tcW w:w="1612" w:type="dxa"/>
            <w:noWrap w:val="0"/>
            <w:vAlign w:val="center"/>
          </w:tcPr>
          <w:p w14:paraId="57098B1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★A0201060102激光打印机</w:t>
            </w:r>
          </w:p>
        </w:tc>
        <w:tc>
          <w:tcPr>
            <w:tcW w:w="4335" w:type="dxa"/>
            <w:noWrap w:val="0"/>
            <w:vAlign w:val="center"/>
          </w:tcPr>
          <w:p w14:paraId="121BEB77">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《复印机、打印机和传真机能效限定值及能效等级》（GB21521）</w:t>
            </w:r>
          </w:p>
        </w:tc>
      </w:tr>
      <w:tr w14:paraId="381D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FB4D2DF">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19E488E7">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503821BA">
            <w:pPr>
              <w:widowControl/>
              <w:jc w:val="left"/>
              <w:rPr>
                <w:rFonts w:hint="eastAsia" w:ascii="宋体" w:hAnsi="宋体" w:eastAsia="宋体" w:cs="宋体"/>
                <w:color w:val="auto"/>
                <w:sz w:val="20"/>
                <w:szCs w:val="20"/>
                <w:highlight w:val="none"/>
              </w:rPr>
            </w:pPr>
          </w:p>
        </w:tc>
        <w:tc>
          <w:tcPr>
            <w:tcW w:w="1612" w:type="dxa"/>
            <w:noWrap w:val="0"/>
            <w:vAlign w:val="center"/>
          </w:tcPr>
          <w:p w14:paraId="26F17E2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★A0201060104针式打印机</w:t>
            </w:r>
          </w:p>
        </w:tc>
        <w:tc>
          <w:tcPr>
            <w:tcW w:w="4335" w:type="dxa"/>
            <w:noWrap w:val="0"/>
            <w:vAlign w:val="center"/>
          </w:tcPr>
          <w:p w14:paraId="679B83D6">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《复印机、打印机和传真机能效限定值及能效等级》（GB21521）</w:t>
            </w:r>
          </w:p>
        </w:tc>
      </w:tr>
      <w:tr w14:paraId="6A59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74A05A5A">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4AEE6084">
            <w:pPr>
              <w:widowControl/>
              <w:jc w:val="left"/>
              <w:rPr>
                <w:rFonts w:hint="eastAsia" w:ascii="宋体" w:hAnsi="宋体" w:eastAsia="宋体" w:cs="宋体"/>
                <w:color w:val="auto"/>
                <w:sz w:val="20"/>
                <w:szCs w:val="20"/>
                <w:highlight w:val="none"/>
              </w:rPr>
            </w:pPr>
          </w:p>
        </w:tc>
        <w:tc>
          <w:tcPr>
            <w:tcW w:w="1516" w:type="dxa"/>
            <w:noWrap w:val="0"/>
            <w:vAlign w:val="center"/>
          </w:tcPr>
          <w:p w14:paraId="049170BF">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A02010604显示设备</w:t>
            </w:r>
          </w:p>
        </w:tc>
        <w:tc>
          <w:tcPr>
            <w:tcW w:w="1612" w:type="dxa"/>
            <w:noWrap w:val="0"/>
            <w:vAlign w:val="center"/>
          </w:tcPr>
          <w:p w14:paraId="77A230F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★A0201060401液晶显示器</w:t>
            </w:r>
          </w:p>
        </w:tc>
        <w:tc>
          <w:tcPr>
            <w:tcW w:w="4335" w:type="dxa"/>
            <w:noWrap w:val="0"/>
            <w:vAlign w:val="center"/>
          </w:tcPr>
          <w:p w14:paraId="1776FB0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《计算机显示器能效限定值及能效等级》（GB21520）</w:t>
            </w:r>
          </w:p>
        </w:tc>
      </w:tr>
      <w:tr w14:paraId="02F8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noWrap w:val="0"/>
            <w:vAlign w:val="center"/>
          </w:tcPr>
          <w:p w14:paraId="3E0277CF">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6FBAE2DA">
            <w:pPr>
              <w:widowControl/>
              <w:jc w:val="left"/>
              <w:rPr>
                <w:rFonts w:hint="eastAsia" w:ascii="宋体" w:hAnsi="宋体" w:eastAsia="宋体" w:cs="宋体"/>
                <w:color w:val="auto"/>
                <w:sz w:val="20"/>
                <w:szCs w:val="20"/>
                <w:highlight w:val="none"/>
              </w:rPr>
            </w:pPr>
          </w:p>
        </w:tc>
        <w:tc>
          <w:tcPr>
            <w:tcW w:w="1516" w:type="dxa"/>
            <w:noWrap w:val="0"/>
            <w:vAlign w:val="center"/>
          </w:tcPr>
          <w:p w14:paraId="6D81565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A02010609图形图像输入设备</w:t>
            </w:r>
          </w:p>
        </w:tc>
        <w:tc>
          <w:tcPr>
            <w:tcW w:w="1612" w:type="dxa"/>
            <w:noWrap w:val="0"/>
            <w:vAlign w:val="center"/>
          </w:tcPr>
          <w:p w14:paraId="064E8A7F">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A0201060901扫描仪</w:t>
            </w:r>
          </w:p>
        </w:tc>
        <w:tc>
          <w:tcPr>
            <w:tcW w:w="4335" w:type="dxa"/>
            <w:noWrap w:val="0"/>
            <w:vAlign w:val="center"/>
          </w:tcPr>
          <w:p w14:paraId="70294EED">
            <w:pPr>
              <w:widowControl/>
              <w:jc w:val="left"/>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参照《复印机、打印机和传真机能效限定值及能效等级》（GB21521</w:t>
            </w:r>
            <w:r>
              <w:rPr>
                <w:rFonts w:hint="eastAsia" w:ascii="宋体" w:hAnsi="宋体" w:eastAsia="宋体" w:cs="宋体"/>
                <w:color w:val="auto"/>
                <w:sz w:val="20"/>
                <w:szCs w:val="20"/>
                <w:highlight w:val="none"/>
                <w:lang w:eastAsia="zh-CN"/>
              </w:rPr>
              <w:t>）中打印速度为15页/分的针式打印机相关要求</w:t>
            </w:r>
          </w:p>
        </w:tc>
      </w:tr>
      <w:tr w14:paraId="1A48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6C72B01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w:t>
            </w:r>
          </w:p>
        </w:tc>
        <w:tc>
          <w:tcPr>
            <w:tcW w:w="1116" w:type="dxa"/>
            <w:noWrap w:val="0"/>
            <w:vAlign w:val="center"/>
          </w:tcPr>
          <w:p w14:paraId="5A145993">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A020202投影仪</w:t>
            </w:r>
          </w:p>
        </w:tc>
        <w:tc>
          <w:tcPr>
            <w:tcW w:w="1516" w:type="dxa"/>
            <w:noWrap w:val="0"/>
            <w:vAlign w:val="center"/>
          </w:tcPr>
          <w:p w14:paraId="78D1326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noWrap w:val="0"/>
            <w:vAlign w:val="center"/>
          </w:tcPr>
          <w:p w14:paraId="1743177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16C7CC09">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《投影机能效限定值及能效等级》（GB32028）</w:t>
            </w:r>
          </w:p>
        </w:tc>
      </w:tr>
      <w:tr w14:paraId="076E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51733C0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w:t>
            </w:r>
          </w:p>
        </w:tc>
        <w:tc>
          <w:tcPr>
            <w:tcW w:w="1116" w:type="dxa"/>
            <w:noWrap w:val="0"/>
            <w:vAlign w:val="center"/>
          </w:tcPr>
          <w:p w14:paraId="2C8AA09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A020204多功能一体机</w:t>
            </w:r>
          </w:p>
        </w:tc>
        <w:tc>
          <w:tcPr>
            <w:tcW w:w="1516" w:type="dxa"/>
            <w:noWrap w:val="0"/>
            <w:vAlign w:val="center"/>
          </w:tcPr>
          <w:p w14:paraId="110FA501">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noWrap w:val="0"/>
            <w:vAlign w:val="center"/>
          </w:tcPr>
          <w:p w14:paraId="5E9E703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737F2081">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《复印机、打印机和传真机能效限定值及能效等级》（GB21521）</w:t>
            </w:r>
          </w:p>
        </w:tc>
      </w:tr>
      <w:tr w14:paraId="30B6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568323F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5</w:t>
            </w:r>
          </w:p>
        </w:tc>
        <w:tc>
          <w:tcPr>
            <w:tcW w:w="1116" w:type="dxa"/>
            <w:noWrap w:val="0"/>
            <w:vAlign w:val="center"/>
          </w:tcPr>
          <w:p w14:paraId="089031A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A020519泵</w:t>
            </w:r>
          </w:p>
        </w:tc>
        <w:tc>
          <w:tcPr>
            <w:tcW w:w="1516" w:type="dxa"/>
            <w:noWrap w:val="0"/>
            <w:vAlign w:val="center"/>
          </w:tcPr>
          <w:p w14:paraId="634242B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A02051901离心泵</w:t>
            </w:r>
          </w:p>
        </w:tc>
        <w:tc>
          <w:tcPr>
            <w:tcW w:w="1612" w:type="dxa"/>
            <w:noWrap w:val="0"/>
            <w:vAlign w:val="center"/>
          </w:tcPr>
          <w:p w14:paraId="265BC8C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3CCA2381">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《清水离心泵能效限定值及节能评价值》（GB19762）</w:t>
            </w:r>
          </w:p>
        </w:tc>
      </w:tr>
      <w:tr w14:paraId="5EFD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restart"/>
            <w:noWrap w:val="0"/>
            <w:vAlign w:val="center"/>
          </w:tcPr>
          <w:p w14:paraId="5756A577">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6</w:t>
            </w:r>
          </w:p>
        </w:tc>
        <w:tc>
          <w:tcPr>
            <w:tcW w:w="1116" w:type="dxa"/>
            <w:vMerge w:val="restart"/>
            <w:noWrap w:val="0"/>
            <w:vAlign w:val="center"/>
          </w:tcPr>
          <w:p w14:paraId="6FE73E6F">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A020523制冷空调设备</w:t>
            </w:r>
          </w:p>
        </w:tc>
        <w:tc>
          <w:tcPr>
            <w:tcW w:w="1516" w:type="dxa"/>
            <w:vMerge w:val="restart"/>
            <w:noWrap w:val="0"/>
            <w:vAlign w:val="center"/>
          </w:tcPr>
          <w:p w14:paraId="6AD91197">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★A02052301制冷压缩机</w:t>
            </w:r>
          </w:p>
        </w:tc>
        <w:tc>
          <w:tcPr>
            <w:tcW w:w="1612" w:type="dxa"/>
            <w:noWrap w:val="0"/>
            <w:vAlign w:val="center"/>
          </w:tcPr>
          <w:p w14:paraId="04A25A9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冷水机组</w:t>
            </w:r>
          </w:p>
        </w:tc>
        <w:tc>
          <w:tcPr>
            <w:tcW w:w="4335" w:type="dxa"/>
            <w:noWrap w:val="0"/>
            <w:vAlign w:val="center"/>
          </w:tcPr>
          <w:p w14:paraId="14995154">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《冷水机组能效限定值及能效等级》（GB19577），《低环境温度空气源热泵（冷水）机组能效限定值及能效等级》（GB37480）</w:t>
            </w:r>
          </w:p>
        </w:tc>
      </w:tr>
      <w:tr w14:paraId="7FC3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45A03CA3">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46A54D7D">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7BF096A8">
            <w:pPr>
              <w:widowControl/>
              <w:jc w:val="left"/>
              <w:rPr>
                <w:rFonts w:hint="eastAsia" w:ascii="宋体" w:hAnsi="宋体" w:eastAsia="宋体" w:cs="宋体"/>
                <w:color w:val="auto"/>
                <w:sz w:val="20"/>
                <w:szCs w:val="20"/>
                <w:highlight w:val="none"/>
              </w:rPr>
            </w:pPr>
          </w:p>
        </w:tc>
        <w:tc>
          <w:tcPr>
            <w:tcW w:w="1612" w:type="dxa"/>
            <w:noWrap w:val="0"/>
            <w:vAlign w:val="center"/>
          </w:tcPr>
          <w:p w14:paraId="4F2835FA">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水源热泵机组</w:t>
            </w:r>
          </w:p>
        </w:tc>
        <w:tc>
          <w:tcPr>
            <w:tcW w:w="4335" w:type="dxa"/>
            <w:noWrap w:val="0"/>
            <w:vAlign w:val="center"/>
          </w:tcPr>
          <w:p w14:paraId="58FCE64C">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《水（地）源热泵机组能效限定值及能效等级》（GB30721）</w:t>
            </w:r>
          </w:p>
        </w:tc>
      </w:tr>
      <w:tr w14:paraId="0113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2978D693">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06184470">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44DA01AB">
            <w:pPr>
              <w:widowControl/>
              <w:jc w:val="left"/>
              <w:rPr>
                <w:rFonts w:hint="eastAsia" w:ascii="宋体" w:hAnsi="宋体" w:eastAsia="宋体" w:cs="宋体"/>
                <w:color w:val="auto"/>
                <w:sz w:val="20"/>
                <w:szCs w:val="20"/>
                <w:highlight w:val="none"/>
              </w:rPr>
            </w:pPr>
          </w:p>
        </w:tc>
        <w:tc>
          <w:tcPr>
            <w:tcW w:w="1612" w:type="dxa"/>
            <w:noWrap w:val="0"/>
            <w:vAlign w:val="center"/>
          </w:tcPr>
          <w:p w14:paraId="16EEEFF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溴化锂吸收式冷水机组</w:t>
            </w:r>
          </w:p>
        </w:tc>
        <w:tc>
          <w:tcPr>
            <w:tcW w:w="4335" w:type="dxa"/>
            <w:noWrap w:val="0"/>
            <w:vAlign w:val="center"/>
          </w:tcPr>
          <w:p w14:paraId="0E948C3E">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《溴化锂吸收式冷水机组能效限定值及能效等级》（GB29540）</w:t>
            </w:r>
          </w:p>
        </w:tc>
      </w:tr>
      <w:tr w14:paraId="577A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4911766B">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377B8104">
            <w:pPr>
              <w:widowControl/>
              <w:jc w:val="left"/>
              <w:rPr>
                <w:rFonts w:hint="eastAsia" w:ascii="宋体" w:hAnsi="宋体" w:eastAsia="宋体" w:cs="宋体"/>
                <w:color w:val="auto"/>
                <w:sz w:val="20"/>
                <w:szCs w:val="20"/>
                <w:highlight w:val="none"/>
              </w:rPr>
            </w:pPr>
          </w:p>
        </w:tc>
        <w:tc>
          <w:tcPr>
            <w:tcW w:w="1516" w:type="dxa"/>
            <w:vMerge w:val="restart"/>
            <w:noWrap w:val="0"/>
            <w:vAlign w:val="center"/>
          </w:tcPr>
          <w:p w14:paraId="32CAC727">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★A02052305空调机组</w:t>
            </w:r>
          </w:p>
        </w:tc>
        <w:tc>
          <w:tcPr>
            <w:tcW w:w="1612" w:type="dxa"/>
            <w:noWrap w:val="0"/>
            <w:vAlign w:val="center"/>
          </w:tcPr>
          <w:p w14:paraId="7B5FAC8A">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多联式空调（热泵）机组(制冷量&gt;14000W)</w:t>
            </w:r>
          </w:p>
        </w:tc>
        <w:tc>
          <w:tcPr>
            <w:tcW w:w="4335" w:type="dxa"/>
            <w:noWrap w:val="0"/>
            <w:vAlign w:val="center"/>
          </w:tcPr>
          <w:p w14:paraId="47AEAAE2">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《多联式空调（热泵）机组能效限定值及能源效率等级》（GB21454）</w:t>
            </w:r>
          </w:p>
        </w:tc>
      </w:tr>
      <w:tr w14:paraId="5FE3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2A9D3E56">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541553FB">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7B46D13A">
            <w:pPr>
              <w:widowControl/>
              <w:jc w:val="left"/>
              <w:rPr>
                <w:rFonts w:hint="eastAsia" w:ascii="宋体" w:hAnsi="宋体" w:eastAsia="宋体" w:cs="宋体"/>
                <w:color w:val="auto"/>
                <w:sz w:val="20"/>
                <w:szCs w:val="20"/>
                <w:highlight w:val="none"/>
              </w:rPr>
            </w:pPr>
          </w:p>
        </w:tc>
        <w:tc>
          <w:tcPr>
            <w:tcW w:w="1612" w:type="dxa"/>
            <w:noWrap w:val="0"/>
            <w:vAlign w:val="center"/>
          </w:tcPr>
          <w:p w14:paraId="0B0C4707">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单元式空气调节机(制冷量&gt;14000W</w:t>
            </w:r>
          </w:p>
        </w:tc>
        <w:tc>
          <w:tcPr>
            <w:tcW w:w="4335" w:type="dxa"/>
            <w:noWrap w:val="0"/>
            <w:vAlign w:val="center"/>
          </w:tcPr>
          <w:p w14:paraId="21437BC2">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《单元式空气调节机能效限定值及能效等级》（GB19576）《风管送风式空调机组能效限定值及能效等级》（GB37479）</w:t>
            </w:r>
          </w:p>
        </w:tc>
      </w:tr>
      <w:tr w14:paraId="5F5C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2772F1EC">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612CBA15">
            <w:pPr>
              <w:widowControl/>
              <w:jc w:val="left"/>
              <w:rPr>
                <w:rFonts w:hint="eastAsia" w:ascii="宋体" w:hAnsi="宋体" w:eastAsia="宋体" w:cs="宋体"/>
                <w:color w:val="auto"/>
                <w:sz w:val="20"/>
                <w:szCs w:val="20"/>
                <w:highlight w:val="none"/>
              </w:rPr>
            </w:pPr>
          </w:p>
        </w:tc>
        <w:tc>
          <w:tcPr>
            <w:tcW w:w="1516" w:type="dxa"/>
            <w:noWrap w:val="0"/>
            <w:vAlign w:val="center"/>
          </w:tcPr>
          <w:p w14:paraId="39B6F4E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★A02052309专用制冷、空调设备</w:t>
            </w:r>
          </w:p>
        </w:tc>
        <w:tc>
          <w:tcPr>
            <w:tcW w:w="1612" w:type="dxa"/>
            <w:noWrap w:val="0"/>
            <w:vAlign w:val="center"/>
          </w:tcPr>
          <w:p w14:paraId="0346F9B5">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机房空调</w:t>
            </w:r>
          </w:p>
        </w:tc>
        <w:tc>
          <w:tcPr>
            <w:tcW w:w="4335" w:type="dxa"/>
            <w:noWrap w:val="0"/>
            <w:vAlign w:val="center"/>
          </w:tcPr>
          <w:p w14:paraId="2112687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《单元式空气调节机能效限定值及能效等级》（GB19576）</w:t>
            </w:r>
          </w:p>
        </w:tc>
      </w:tr>
      <w:tr w14:paraId="7C96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481FADBE">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420D5179">
            <w:pPr>
              <w:widowControl/>
              <w:jc w:val="left"/>
              <w:rPr>
                <w:rFonts w:hint="eastAsia" w:ascii="宋体" w:hAnsi="宋体" w:eastAsia="宋体" w:cs="宋体"/>
                <w:color w:val="auto"/>
                <w:sz w:val="20"/>
                <w:szCs w:val="20"/>
                <w:highlight w:val="none"/>
              </w:rPr>
            </w:pPr>
          </w:p>
        </w:tc>
        <w:tc>
          <w:tcPr>
            <w:tcW w:w="1516" w:type="dxa"/>
            <w:noWrap w:val="0"/>
            <w:vAlign w:val="center"/>
          </w:tcPr>
          <w:p w14:paraId="203119A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A02052399其他制冷空调设备</w:t>
            </w:r>
          </w:p>
        </w:tc>
        <w:tc>
          <w:tcPr>
            <w:tcW w:w="1612" w:type="dxa"/>
            <w:noWrap w:val="0"/>
            <w:vAlign w:val="center"/>
          </w:tcPr>
          <w:p w14:paraId="5D6D221C">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冷却塔</w:t>
            </w:r>
          </w:p>
        </w:tc>
        <w:tc>
          <w:tcPr>
            <w:tcW w:w="4335" w:type="dxa"/>
            <w:noWrap w:val="0"/>
            <w:vAlign w:val="center"/>
          </w:tcPr>
          <w:p w14:paraId="2AFD5BC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《机械通风冷却塔第1部分：中小型开式冷却塔》（GB/T7190.1）；《机械通风冷却塔第2部分：大型开式冷却塔》（GB/T7190.2）</w:t>
            </w:r>
          </w:p>
        </w:tc>
      </w:tr>
      <w:tr w14:paraId="06DE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45C4FC9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7</w:t>
            </w:r>
          </w:p>
        </w:tc>
        <w:tc>
          <w:tcPr>
            <w:tcW w:w="1116" w:type="dxa"/>
            <w:noWrap w:val="0"/>
            <w:vAlign w:val="center"/>
          </w:tcPr>
          <w:p w14:paraId="48CB92D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A020601电机</w:t>
            </w:r>
          </w:p>
        </w:tc>
        <w:tc>
          <w:tcPr>
            <w:tcW w:w="1516" w:type="dxa"/>
            <w:noWrap w:val="0"/>
            <w:vAlign w:val="center"/>
          </w:tcPr>
          <w:p w14:paraId="0CD216D4">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noWrap w:val="0"/>
            <w:vAlign w:val="center"/>
          </w:tcPr>
          <w:p w14:paraId="5474CA5A">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023B124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《中小型三相异步电动机能效限定值及能效等级》（GB18613）</w:t>
            </w:r>
          </w:p>
        </w:tc>
      </w:tr>
      <w:tr w14:paraId="0687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1AF74FF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8</w:t>
            </w:r>
          </w:p>
        </w:tc>
        <w:tc>
          <w:tcPr>
            <w:tcW w:w="1116" w:type="dxa"/>
            <w:noWrap w:val="0"/>
            <w:vAlign w:val="center"/>
          </w:tcPr>
          <w:p w14:paraId="0B5D395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A020602变压器</w:t>
            </w:r>
          </w:p>
        </w:tc>
        <w:tc>
          <w:tcPr>
            <w:tcW w:w="1516" w:type="dxa"/>
            <w:noWrap w:val="0"/>
            <w:vAlign w:val="center"/>
          </w:tcPr>
          <w:p w14:paraId="2E07486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配电变压器</w:t>
            </w:r>
          </w:p>
        </w:tc>
        <w:tc>
          <w:tcPr>
            <w:tcW w:w="1612" w:type="dxa"/>
            <w:noWrap w:val="0"/>
            <w:vAlign w:val="center"/>
          </w:tcPr>
          <w:p w14:paraId="6523EFB1">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2B0B7F98">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《三相配电变压器能效限定值及能效等级》（GB20052）</w:t>
            </w:r>
          </w:p>
        </w:tc>
      </w:tr>
      <w:tr w14:paraId="3C09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08939AF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9</w:t>
            </w:r>
          </w:p>
        </w:tc>
        <w:tc>
          <w:tcPr>
            <w:tcW w:w="1116" w:type="dxa"/>
            <w:noWrap w:val="0"/>
            <w:vAlign w:val="center"/>
          </w:tcPr>
          <w:p w14:paraId="5512D904">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★A020609镇流器</w:t>
            </w:r>
          </w:p>
        </w:tc>
        <w:tc>
          <w:tcPr>
            <w:tcW w:w="1516" w:type="dxa"/>
            <w:noWrap w:val="0"/>
            <w:vAlign w:val="center"/>
          </w:tcPr>
          <w:p w14:paraId="6B4B087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管型荧光灯镇流器</w:t>
            </w:r>
          </w:p>
        </w:tc>
        <w:tc>
          <w:tcPr>
            <w:tcW w:w="1612" w:type="dxa"/>
            <w:noWrap w:val="0"/>
            <w:vAlign w:val="center"/>
          </w:tcPr>
          <w:p w14:paraId="5C000A7A">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20C55BC7">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《管形荧光灯镇流器能效限定值及能效等级》（GB17896）</w:t>
            </w:r>
          </w:p>
        </w:tc>
      </w:tr>
      <w:tr w14:paraId="75CF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3C53DA0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10</w:t>
            </w:r>
          </w:p>
        </w:tc>
        <w:tc>
          <w:tcPr>
            <w:tcW w:w="1116" w:type="dxa"/>
            <w:vMerge w:val="restart"/>
            <w:noWrap w:val="0"/>
            <w:vAlign w:val="center"/>
          </w:tcPr>
          <w:p w14:paraId="2F0EAD2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A020618生活用电器</w:t>
            </w:r>
          </w:p>
        </w:tc>
        <w:tc>
          <w:tcPr>
            <w:tcW w:w="1516" w:type="dxa"/>
            <w:noWrap w:val="0"/>
            <w:vAlign w:val="center"/>
          </w:tcPr>
          <w:p w14:paraId="543F98E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A0206180101电冰箱</w:t>
            </w:r>
          </w:p>
        </w:tc>
        <w:tc>
          <w:tcPr>
            <w:tcW w:w="1612" w:type="dxa"/>
            <w:noWrap w:val="0"/>
            <w:vAlign w:val="center"/>
          </w:tcPr>
          <w:p w14:paraId="7AC0516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3B0BC5C5">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《家用电冰箱耗电量限定值及能效等级》（GB 12021.2）</w:t>
            </w:r>
          </w:p>
        </w:tc>
      </w:tr>
      <w:tr w14:paraId="0D9C1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noWrap w:val="0"/>
            <w:vAlign w:val="center"/>
          </w:tcPr>
          <w:p w14:paraId="72D5540C">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2838474C">
            <w:pPr>
              <w:widowControl/>
              <w:jc w:val="left"/>
              <w:rPr>
                <w:rFonts w:hint="eastAsia" w:ascii="宋体" w:hAnsi="宋体" w:eastAsia="宋体" w:cs="宋体"/>
                <w:color w:val="auto"/>
                <w:sz w:val="20"/>
                <w:szCs w:val="20"/>
                <w:highlight w:val="none"/>
              </w:rPr>
            </w:pPr>
          </w:p>
        </w:tc>
        <w:tc>
          <w:tcPr>
            <w:tcW w:w="1516" w:type="dxa"/>
            <w:vMerge w:val="restart"/>
            <w:noWrap w:val="0"/>
            <w:vAlign w:val="center"/>
          </w:tcPr>
          <w:p w14:paraId="53AF3AA3">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★A0206180203空调机</w:t>
            </w:r>
          </w:p>
        </w:tc>
        <w:tc>
          <w:tcPr>
            <w:tcW w:w="1612" w:type="dxa"/>
            <w:noWrap w:val="0"/>
            <w:vAlign w:val="center"/>
          </w:tcPr>
          <w:p w14:paraId="24BAE2A1">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房间空气调节器</w:t>
            </w:r>
          </w:p>
        </w:tc>
        <w:tc>
          <w:tcPr>
            <w:tcW w:w="4335" w:type="dxa"/>
            <w:noWrap w:val="0"/>
            <w:vAlign w:val="center"/>
          </w:tcPr>
          <w:p w14:paraId="05E7416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《转速可控型房间空气调节器能效限定值及能效等级》（GB21455-2013），待2019年修订发布后，按《房间空气调节器能效限定值及能效等级》（GB21455-2019实施。</w:t>
            </w:r>
          </w:p>
        </w:tc>
      </w:tr>
      <w:tr w14:paraId="44FA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68B83540">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7A719051">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442DD277">
            <w:pPr>
              <w:widowControl/>
              <w:jc w:val="left"/>
              <w:rPr>
                <w:rFonts w:hint="eastAsia" w:ascii="宋体" w:hAnsi="宋体" w:eastAsia="宋体" w:cs="宋体"/>
                <w:color w:val="auto"/>
                <w:sz w:val="20"/>
                <w:szCs w:val="20"/>
                <w:highlight w:val="none"/>
              </w:rPr>
            </w:pPr>
          </w:p>
        </w:tc>
        <w:tc>
          <w:tcPr>
            <w:tcW w:w="1612" w:type="dxa"/>
            <w:noWrap w:val="0"/>
            <w:vAlign w:val="center"/>
          </w:tcPr>
          <w:p w14:paraId="32CDB19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多联式空调（热泵）机组（制冷量≤ 14000W）</w:t>
            </w:r>
          </w:p>
        </w:tc>
        <w:tc>
          <w:tcPr>
            <w:tcW w:w="4335" w:type="dxa"/>
            <w:noWrap w:val="0"/>
            <w:vAlign w:val="center"/>
          </w:tcPr>
          <w:p w14:paraId="54E22889">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《多联式空调（热泵）机组能效限定值及能源效率等级》（GB21454）</w:t>
            </w:r>
          </w:p>
        </w:tc>
      </w:tr>
      <w:tr w14:paraId="4BD2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70453212">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59F6F4E2">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50949D9B">
            <w:pPr>
              <w:widowControl/>
              <w:jc w:val="left"/>
              <w:rPr>
                <w:rFonts w:hint="eastAsia" w:ascii="宋体" w:hAnsi="宋体" w:eastAsia="宋体" w:cs="宋体"/>
                <w:color w:val="auto"/>
                <w:sz w:val="20"/>
                <w:szCs w:val="20"/>
                <w:highlight w:val="none"/>
              </w:rPr>
            </w:pPr>
          </w:p>
        </w:tc>
        <w:tc>
          <w:tcPr>
            <w:tcW w:w="1612" w:type="dxa"/>
            <w:noWrap w:val="0"/>
            <w:vAlign w:val="center"/>
          </w:tcPr>
          <w:p w14:paraId="41E6749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单元式空气调节机(制冷量≤14000W)</w:t>
            </w:r>
          </w:p>
        </w:tc>
        <w:tc>
          <w:tcPr>
            <w:tcW w:w="4335" w:type="dxa"/>
            <w:noWrap w:val="0"/>
            <w:vAlign w:val="center"/>
          </w:tcPr>
          <w:p w14:paraId="5E35A1F2">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《单元式空气调节机能效限定值及能源效率等级》（GB19576）《风管送风式空调机组能效限定值及能效等级》（GB37479）</w:t>
            </w:r>
          </w:p>
        </w:tc>
      </w:tr>
      <w:tr w14:paraId="4133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46723AC5">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1EB74696">
            <w:pPr>
              <w:widowControl/>
              <w:jc w:val="left"/>
              <w:rPr>
                <w:rFonts w:hint="eastAsia" w:ascii="宋体" w:hAnsi="宋体" w:eastAsia="宋体" w:cs="宋体"/>
                <w:color w:val="auto"/>
                <w:sz w:val="20"/>
                <w:szCs w:val="20"/>
                <w:highlight w:val="none"/>
              </w:rPr>
            </w:pPr>
          </w:p>
        </w:tc>
        <w:tc>
          <w:tcPr>
            <w:tcW w:w="1516" w:type="dxa"/>
            <w:noWrap w:val="0"/>
            <w:vAlign w:val="center"/>
          </w:tcPr>
          <w:p w14:paraId="4C33B71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A0206180301洗衣机</w:t>
            </w:r>
          </w:p>
        </w:tc>
        <w:tc>
          <w:tcPr>
            <w:tcW w:w="1612" w:type="dxa"/>
            <w:noWrap w:val="0"/>
            <w:vAlign w:val="center"/>
          </w:tcPr>
          <w:p w14:paraId="481D61C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73E3DC25">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《电动洗衣机能效水效限定值及等级》（GB12021.4）</w:t>
            </w:r>
          </w:p>
        </w:tc>
      </w:tr>
      <w:tr w14:paraId="4908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2FFB0320">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34806194">
            <w:pPr>
              <w:widowControl/>
              <w:jc w:val="left"/>
              <w:rPr>
                <w:rFonts w:hint="eastAsia" w:ascii="宋体" w:hAnsi="宋体" w:eastAsia="宋体" w:cs="宋体"/>
                <w:color w:val="auto"/>
                <w:sz w:val="20"/>
                <w:szCs w:val="20"/>
                <w:highlight w:val="none"/>
              </w:rPr>
            </w:pPr>
          </w:p>
        </w:tc>
        <w:tc>
          <w:tcPr>
            <w:tcW w:w="1516" w:type="dxa"/>
            <w:vMerge w:val="restart"/>
            <w:noWrap w:val="0"/>
            <w:vAlign w:val="center"/>
          </w:tcPr>
          <w:p w14:paraId="01EB262F">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A02061808热水器</w:t>
            </w:r>
          </w:p>
        </w:tc>
        <w:tc>
          <w:tcPr>
            <w:tcW w:w="1612" w:type="dxa"/>
            <w:noWrap w:val="0"/>
            <w:vAlign w:val="center"/>
          </w:tcPr>
          <w:p w14:paraId="4C9CE14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★电热水器</w:t>
            </w:r>
          </w:p>
        </w:tc>
        <w:tc>
          <w:tcPr>
            <w:tcW w:w="4335" w:type="dxa"/>
            <w:noWrap w:val="0"/>
            <w:vAlign w:val="center"/>
          </w:tcPr>
          <w:p w14:paraId="47FB6E4C">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《储水式电热水器能效限定值及能效等级》（GB21519）</w:t>
            </w:r>
          </w:p>
        </w:tc>
      </w:tr>
      <w:tr w14:paraId="3291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F590AE4">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6B7ABC7A">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7A73B52A">
            <w:pPr>
              <w:widowControl/>
              <w:jc w:val="left"/>
              <w:rPr>
                <w:rFonts w:hint="eastAsia" w:ascii="宋体" w:hAnsi="宋体" w:eastAsia="宋体" w:cs="宋体"/>
                <w:color w:val="auto"/>
                <w:sz w:val="20"/>
                <w:szCs w:val="20"/>
                <w:highlight w:val="none"/>
              </w:rPr>
            </w:pPr>
          </w:p>
        </w:tc>
        <w:tc>
          <w:tcPr>
            <w:tcW w:w="1612" w:type="dxa"/>
            <w:noWrap w:val="0"/>
            <w:vAlign w:val="center"/>
          </w:tcPr>
          <w:p w14:paraId="1394715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燃气热水器</w:t>
            </w:r>
          </w:p>
        </w:tc>
        <w:tc>
          <w:tcPr>
            <w:tcW w:w="4335" w:type="dxa"/>
            <w:noWrap w:val="0"/>
            <w:vAlign w:val="center"/>
          </w:tcPr>
          <w:p w14:paraId="7B6BFE0C">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《家用燃气快速热水器和燃气采暖热水炉能效限定值及能效等级》（GB20665）</w:t>
            </w:r>
          </w:p>
        </w:tc>
      </w:tr>
      <w:tr w14:paraId="2E69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6943AC75">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26E89C60">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6001A478">
            <w:pPr>
              <w:widowControl/>
              <w:jc w:val="left"/>
              <w:rPr>
                <w:rFonts w:hint="eastAsia" w:ascii="宋体" w:hAnsi="宋体" w:eastAsia="宋体" w:cs="宋体"/>
                <w:color w:val="auto"/>
                <w:sz w:val="20"/>
                <w:szCs w:val="20"/>
                <w:highlight w:val="none"/>
              </w:rPr>
            </w:pPr>
          </w:p>
        </w:tc>
        <w:tc>
          <w:tcPr>
            <w:tcW w:w="1612" w:type="dxa"/>
            <w:noWrap w:val="0"/>
            <w:vAlign w:val="center"/>
          </w:tcPr>
          <w:p w14:paraId="1F332A34">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热泵热水器</w:t>
            </w:r>
          </w:p>
        </w:tc>
        <w:tc>
          <w:tcPr>
            <w:tcW w:w="4335" w:type="dxa"/>
            <w:noWrap w:val="0"/>
            <w:vAlign w:val="center"/>
          </w:tcPr>
          <w:p w14:paraId="61889A85">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《热泵热水机（器）能效限定值及能效等级》（GB29541）</w:t>
            </w:r>
          </w:p>
        </w:tc>
      </w:tr>
      <w:tr w14:paraId="21F6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53FF8F78">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1434F4D2">
            <w:pPr>
              <w:widowControl/>
              <w:jc w:val="left"/>
              <w:rPr>
                <w:rFonts w:hint="eastAsia" w:ascii="宋体" w:hAnsi="宋体" w:eastAsia="宋体" w:cs="宋体"/>
                <w:color w:val="auto"/>
                <w:sz w:val="20"/>
                <w:szCs w:val="20"/>
                <w:highlight w:val="none"/>
              </w:rPr>
            </w:pPr>
          </w:p>
        </w:tc>
        <w:tc>
          <w:tcPr>
            <w:tcW w:w="1516" w:type="dxa"/>
            <w:vMerge w:val="continue"/>
            <w:noWrap w:val="0"/>
            <w:vAlign w:val="center"/>
          </w:tcPr>
          <w:p w14:paraId="71AADE4A">
            <w:pPr>
              <w:widowControl/>
              <w:jc w:val="left"/>
              <w:rPr>
                <w:rFonts w:hint="eastAsia" w:ascii="宋体" w:hAnsi="宋体" w:eastAsia="宋体" w:cs="宋体"/>
                <w:color w:val="auto"/>
                <w:sz w:val="20"/>
                <w:szCs w:val="20"/>
                <w:highlight w:val="none"/>
              </w:rPr>
            </w:pPr>
          </w:p>
        </w:tc>
        <w:tc>
          <w:tcPr>
            <w:tcW w:w="1612" w:type="dxa"/>
            <w:noWrap w:val="0"/>
            <w:vAlign w:val="center"/>
          </w:tcPr>
          <w:p w14:paraId="3A4CAC73">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太阳能热水系统</w:t>
            </w:r>
          </w:p>
        </w:tc>
        <w:tc>
          <w:tcPr>
            <w:tcW w:w="4335" w:type="dxa"/>
            <w:noWrap w:val="0"/>
            <w:vAlign w:val="center"/>
          </w:tcPr>
          <w:p w14:paraId="14A094EB">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《家用太阳能热水系统能效限定值及能效等级》（GB26969）</w:t>
            </w:r>
          </w:p>
        </w:tc>
      </w:tr>
      <w:tr w14:paraId="7A37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2485208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11</w:t>
            </w:r>
          </w:p>
        </w:tc>
        <w:tc>
          <w:tcPr>
            <w:tcW w:w="1116" w:type="dxa"/>
            <w:vMerge w:val="restart"/>
            <w:noWrap w:val="0"/>
            <w:vAlign w:val="center"/>
          </w:tcPr>
          <w:p w14:paraId="75DBB3E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A020619照明设备</w:t>
            </w:r>
          </w:p>
        </w:tc>
        <w:tc>
          <w:tcPr>
            <w:tcW w:w="1516" w:type="dxa"/>
            <w:noWrap w:val="0"/>
            <w:vAlign w:val="center"/>
          </w:tcPr>
          <w:p w14:paraId="20ACF90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★普通照明用双端荧光灯</w:t>
            </w:r>
          </w:p>
        </w:tc>
        <w:tc>
          <w:tcPr>
            <w:tcW w:w="1612" w:type="dxa"/>
            <w:noWrap w:val="0"/>
            <w:vAlign w:val="center"/>
          </w:tcPr>
          <w:p w14:paraId="2251AF9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1A493A98">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《普通照明用双端荧光灯能效限定值及能效等级》（GB19043）</w:t>
            </w:r>
          </w:p>
        </w:tc>
      </w:tr>
      <w:tr w14:paraId="62B7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2B0D512A">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7747245F">
            <w:pPr>
              <w:widowControl/>
              <w:jc w:val="left"/>
              <w:rPr>
                <w:rFonts w:hint="eastAsia" w:ascii="宋体" w:hAnsi="宋体" w:eastAsia="宋体" w:cs="宋体"/>
                <w:color w:val="auto"/>
                <w:sz w:val="20"/>
                <w:szCs w:val="20"/>
                <w:highlight w:val="none"/>
              </w:rPr>
            </w:pPr>
          </w:p>
        </w:tc>
        <w:tc>
          <w:tcPr>
            <w:tcW w:w="1516" w:type="dxa"/>
            <w:noWrap w:val="0"/>
            <w:vAlign w:val="center"/>
          </w:tcPr>
          <w:p w14:paraId="61B32A8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LED道路/隧道照明产品</w:t>
            </w:r>
          </w:p>
        </w:tc>
        <w:tc>
          <w:tcPr>
            <w:tcW w:w="1612" w:type="dxa"/>
            <w:noWrap w:val="0"/>
            <w:vAlign w:val="center"/>
          </w:tcPr>
          <w:p w14:paraId="0BEADE0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1FD29834">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《道路和隧道照明用LED灯具能效限定值及能效等级》（GB37478）</w:t>
            </w:r>
          </w:p>
        </w:tc>
      </w:tr>
      <w:tr w14:paraId="52BFC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8FE5A84">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5F59F918">
            <w:pPr>
              <w:widowControl/>
              <w:jc w:val="left"/>
              <w:rPr>
                <w:rFonts w:hint="eastAsia" w:ascii="宋体" w:hAnsi="宋体" w:eastAsia="宋体" w:cs="宋体"/>
                <w:color w:val="auto"/>
                <w:sz w:val="20"/>
                <w:szCs w:val="20"/>
                <w:highlight w:val="none"/>
              </w:rPr>
            </w:pPr>
          </w:p>
        </w:tc>
        <w:tc>
          <w:tcPr>
            <w:tcW w:w="1516" w:type="dxa"/>
            <w:noWrap w:val="0"/>
            <w:vAlign w:val="center"/>
          </w:tcPr>
          <w:p w14:paraId="25D388E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LED筒灯</w:t>
            </w:r>
          </w:p>
        </w:tc>
        <w:tc>
          <w:tcPr>
            <w:tcW w:w="1612" w:type="dxa"/>
            <w:noWrap w:val="0"/>
            <w:vAlign w:val="center"/>
          </w:tcPr>
          <w:p w14:paraId="3517FB87">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50AE807D">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《室内照明用LED产品能效限定值及能效等级》（GB30255）</w:t>
            </w:r>
          </w:p>
        </w:tc>
      </w:tr>
      <w:tr w14:paraId="4D1A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3F08D117">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2A8A23C9">
            <w:pPr>
              <w:widowControl/>
              <w:jc w:val="left"/>
              <w:rPr>
                <w:rFonts w:hint="eastAsia" w:ascii="宋体" w:hAnsi="宋体" w:eastAsia="宋体" w:cs="宋体"/>
                <w:color w:val="auto"/>
                <w:sz w:val="20"/>
                <w:szCs w:val="20"/>
                <w:highlight w:val="none"/>
              </w:rPr>
            </w:pPr>
          </w:p>
        </w:tc>
        <w:tc>
          <w:tcPr>
            <w:tcW w:w="1516" w:type="dxa"/>
            <w:noWrap w:val="0"/>
            <w:vAlign w:val="center"/>
          </w:tcPr>
          <w:p w14:paraId="6857853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普通照明用非定向自镇流LED灯</w:t>
            </w:r>
          </w:p>
        </w:tc>
        <w:tc>
          <w:tcPr>
            <w:tcW w:w="1612" w:type="dxa"/>
            <w:noWrap w:val="0"/>
            <w:vAlign w:val="center"/>
          </w:tcPr>
          <w:p w14:paraId="5D9B807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33D8D035">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《室内照明用LED产品能效限定值及能效等级》（GB30255）</w:t>
            </w:r>
          </w:p>
        </w:tc>
      </w:tr>
      <w:tr w14:paraId="6615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noWrap w:val="0"/>
            <w:vAlign w:val="center"/>
          </w:tcPr>
          <w:p w14:paraId="2B54E633">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12</w:t>
            </w:r>
          </w:p>
        </w:tc>
        <w:tc>
          <w:tcPr>
            <w:tcW w:w="1116" w:type="dxa"/>
            <w:noWrap w:val="0"/>
            <w:vAlign w:val="center"/>
          </w:tcPr>
          <w:p w14:paraId="5721BD0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★A020910电视设备</w:t>
            </w:r>
          </w:p>
        </w:tc>
        <w:tc>
          <w:tcPr>
            <w:tcW w:w="1516" w:type="dxa"/>
            <w:noWrap w:val="0"/>
            <w:vAlign w:val="center"/>
          </w:tcPr>
          <w:p w14:paraId="2158EF0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A02091001普通电视设备（电视机）</w:t>
            </w:r>
          </w:p>
        </w:tc>
        <w:tc>
          <w:tcPr>
            <w:tcW w:w="1612" w:type="dxa"/>
            <w:noWrap w:val="0"/>
            <w:vAlign w:val="center"/>
          </w:tcPr>
          <w:p w14:paraId="7557A54F">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119A4D80">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《平板电视能效限定值及能效等级》（GB24850）</w:t>
            </w:r>
          </w:p>
        </w:tc>
      </w:tr>
      <w:tr w14:paraId="1049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noWrap w:val="0"/>
            <w:vAlign w:val="center"/>
          </w:tcPr>
          <w:p w14:paraId="398AF7DE">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p>
        </w:tc>
        <w:tc>
          <w:tcPr>
            <w:tcW w:w="1116" w:type="dxa"/>
            <w:noWrap w:val="0"/>
            <w:vAlign w:val="center"/>
          </w:tcPr>
          <w:p w14:paraId="0AE9F21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★A020911视频设备</w:t>
            </w:r>
          </w:p>
        </w:tc>
        <w:tc>
          <w:tcPr>
            <w:tcW w:w="1516" w:type="dxa"/>
            <w:noWrap w:val="0"/>
            <w:vAlign w:val="center"/>
          </w:tcPr>
          <w:p w14:paraId="5E3A69BE">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A02091107视频监控设备</w:t>
            </w:r>
          </w:p>
        </w:tc>
        <w:tc>
          <w:tcPr>
            <w:tcW w:w="1612" w:type="dxa"/>
            <w:noWrap w:val="0"/>
            <w:vAlign w:val="center"/>
          </w:tcPr>
          <w:p w14:paraId="4D7935B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监视器</w:t>
            </w:r>
          </w:p>
        </w:tc>
        <w:tc>
          <w:tcPr>
            <w:tcW w:w="4335" w:type="dxa"/>
            <w:noWrap w:val="0"/>
            <w:vAlign w:val="center"/>
          </w:tcPr>
          <w:p w14:paraId="3CF12A95">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15D6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45EE6B3C">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14</w:t>
            </w:r>
          </w:p>
        </w:tc>
        <w:tc>
          <w:tcPr>
            <w:tcW w:w="1116" w:type="dxa"/>
            <w:noWrap w:val="0"/>
            <w:vAlign w:val="center"/>
          </w:tcPr>
          <w:p w14:paraId="68BBB2A1">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A031210饮食炊事机械</w:t>
            </w:r>
          </w:p>
        </w:tc>
        <w:tc>
          <w:tcPr>
            <w:tcW w:w="1516" w:type="dxa"/>
            <w:noWrap w:val="0"/>
            <w:vAlign w:val="center"/>
          </w:tcPr>
          <w:p w14:paraId="3DB5D415">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商用燃气灶具</w:t>
            </w:r>
          </w:p>
        </w:tc>
        <w:tc>
          <w:tcPr>
            <w:tcW w:w="1612" w:type="dxa"/>
            <w:noWrap w:val="0"/>
            <w:vAlign w:val="center"/>
          </w:tcPr>
          <w:p w14:paraId="20425FC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07A15EB3">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《商用燃气灶具能效限定值及能效等级》（GB30531）</w:t>
            </w:r>
          </w:p>
        </w:tc>
      </w:tr>
      <w:tr w14:paraId="589C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41" w:type="dxa"/>
            <w:vMerge w:val="restart"/>
            <w:noWrap w:val="0"/>
            <w:vAlign w:val="center"/>
          </w:tcPr>
          <w:p w14:paraId="1E81BF6E">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w:t>
            </w:r>
          </w:p>
        </w:tc>
        <w:tc>
          <w:tcPr>
            <w:tcW w:w="1116" w:type="dxa"/>
            <w:vMerge w:val="restart"/>
            <w:noWrap w:val="0"/>
            <w:vAlign w:val="center"/>
          </w:tcPr>
          <w:p w14:paraId="227A984C">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★A060805便器</w:t>
            </w:r>
          </w:p>
        </w:tc>
        <w:tc>
          <w:tcPr>
            <w:tcW w:w="1516" w:type="dxa"/>
            <w:noWrap w:val="0"/>
            <w:vAlign w:val="center"/>
          </w:tcPr>
          <w:p w14:paraId="1A4EC04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坐便器</w:t>
            </w:r>
          </w:p>
        </w:tc>
        <w:tc>
          <w:tcPr>
            <w:tcW w:w="1612" w:type="dxa"/>
            <w:noWrap w:val="0"/>
            <w:vAlign w:val="center"/>
          </w:tcPr>
          <w:p w14:paraId="50B0154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41B10D69">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《坐便器水效限定值及水效等级》（GB25502）</w:t>
            </w:r>
          </w:p>
        </w:tc>
      </w:tr>
      <w:tr w14:paraId="5102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7EA97F1">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3ABEF261">
            <w:pPr>
              <w:widowControl/>
              <w:jc w:val="left"/>
              <w:rPr>
                <w:rFonts w:hint="eastAsia" w:ascii="宋体" w:hAnsi="宋体" w:eastAsia="宋体" w:cs="宋体"/>
                <w:color w:val="auto"/>
                <w:sz w:val="20"/>
                <w:szCs w:val="20"/>
                <w:highlight w:val="none"/>
              </w:rPr>
            </w:pPr>
          </w:p>
        </w:tc>
        <w:tc>
          <w:tcPr>
            <w:tcW w:w="1516" w:type="dxa"/>
            <w:noWrap w:val="0"/>
            <w:vAlign w:val="center"/>
          </w:tcPr>
          <w:p w14:paraId="664FD43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蹲便器</w:t>
            </w:r>
          </w:p>
        </w:tc>
        <w:tc>
          <w:tcPr>
            <w:tcW w:w="1612" w:type="dxa"/>
            <w:noWrap w:val="0"/>
            <w:vAlign w:val="center"/>
          </w:tcPr>
          <w:p w14:paraId="28D1C218">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5CC82166">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《蹲便器用水效率限定值及用水效率等级》（GB30717）</w:t>
            </w:r>
          </w:p>
        </w:tc>
      </w:tr>
      <w:tr w14:paraId="0E09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593CE84">
            <w:pPr>
              <w:widowControl/>
              <w:jc w:val="left"/>
              <w:rPr>
                <w:rFonts w:hint="eastAsia" w:ascii="宋体" w:hAnsi="宋体" w:eastAsia="宋体" w:cs="宋体"/>
                <w:color w:val="auto"/>
                <w:sz w:val="20"/>
                <w:szCs w:val="20"/>
                <w:highlight w:val="none"/>
              </w:rPr>
            </w:pPr>
          </w:p>
        </w:tc>
        <w:tc>
          <w:tcPr>
            <w:tcW w:w="1116" w:type="dxa"/>
            <w:vMerge w:val="continue"/>
            <w:noWrap w:val="0"/>
            <w:vAlign w:val="center"/>
          </w:tcPr>
          <w:p w14:paraId="68DC5565">
            <w:pPr>
              <w:widowControl/>
              <w:jc w:val="left"/>
              <w:rPr>
                <w:rFonts w:hint="eastAsia" w:ascii="宋体" w:hAnsi="宋体" w:eastAsia="宋体" w:cs="宋体"/>
                <w:color w:val="auto"/>
                <w:sz w:val="20"/>
                <w:szCs w:val="20"/>
                <w:highlight w:val="none"/>
              </w:rPr>
            </w:pPr>
          </w:p>
        </w:tc>
        <w:tc>
          <w:tcPr>
            <w:tcW w:w="1516" w:type="dxa"/>
            <w:noWrap w:val="0"/>
            <w:vAlign w:val="center"/>
          </w:tcPr>
          <w:p w14:paraId="402666D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小便器</w:t>
            </w:r>
          </w:p>
        </w:tc>
        <w:tc>
          <w:tcPr>
            <w:tcW w:w="1612" w:type="dxa"/>
            <w:noWrap w:val="0"/>
            <w:vAlign w:val="center"/>
          </w:tcPr>
          <w:p w14:paraId="478F73C2">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754EEBA4">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《小便器用水效率限定值及用水效率等级》（GB28377）</w:t>
            </w:r>
          </w:p>
        </w:tc>
      </w:tr>
      <w:tr w14:paraId="4571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286025A0">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16</w:t>
            </w:r>
          </w:p>
        </w:tc>
        <w:tc>
          <w:tcPr>
            <w:tcW w:w="1116" w:type="dxa"/>
            <w:noWrap w:val="0"/>
            <w:vAlign w:val="center"/>
          </w:tcPr>
          <w:p w14:paraId="272BF831">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★A060806水嘴</w:t>
            </w:r>
          </w:p>
        </w:tc>
        <w:tc>
          <w:tcPr>
            <w:tcW w:w="1516" w:type="dxa"/>
            <w:noWrap w:val="0"/>
            <w:vAlign w:val="center"/>
          </w:tcPr>
          <w:p w14:paraId="450CBDE7">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noWrap w:val="0"/>
            <w:vAlign w:val="center"/>
          </w:tcPr>
          <w:p w14:paraId="1FEF55E1">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1F4CB503">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《水嘴用水效率限定值及用水效率等级》（GB 25501）</w:t>
            </w:r>
          </w:p>
        </w:tc>
      </w:tr>
      <w:tr w14:paraId="5E5E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469C2C25">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17</w:t>
            </w:r>
          </w:p>
        </w:tc>
        <w:tc>
          <w:tcPr>
            <w:tcW w:w="1116" w:type="dxa"/>
            <w:noWrap w:val="0"/>
            <w:vAlign w:val="center"/>
          </w:tcPr>
          <w:p w14:paraId="5BE25F16">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A060807便器冲洗阀</w:t>
            </w:r>
          </w:p>
        </w:tc>
        <w:tc>
          <w:tcPr>
            <w:tcW w:w="1516" w:type="dxa"/>
            <w:noWrap w:val="0"/>
            <w:vAlign w:val="center"/>
          </w:tcPr>
          <w:p w14:paraId="63B98A89">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noWrap w:val="0"/>
            <w:vAlign w:val="center"/>
          </w:tcPr>
          <w:p w14:paraId="69CA7AA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5950E2F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《便器冲洗阀用水效率限定值及用水效率等级》（GB28379）</w:t>
            </w:r>
          </w:p>
        </w:tc>
      </w:tr>
      <w:tr w14:paraId="4CBF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6C0CF14D">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18</w:t>
            </w:r>
          </w:p>
        </w:tc>
        <w:tc>
          <w:tcPr>
            <w:tcW w:w="1116" w:type="dxa"/>
            <w:noWrap w:val="0"/>
            <w:vAlign w:val="center"/>
          </w:tcPr>
          <w:p w14:paraId="176573FE">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A060810淋浴器</w:t>
            </w:r>
          </w:p>
        </w:tc>
        <w:tc>
          <w:tcPr>
            <w:tcW w:w="1516" w:type="dxa"/>
            <w:noWrap w:val="0"/>
            <w:vAlign w:val="center"/>
          </w:tcPr>
          <w:p w14:paraId="56EBBBEB">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1612" w:type="dxa"/>
            <w:noWrap w:val="0"/>
            <w:vAlign w:val="center"/>
          </w:tcPr>
          <w:p w14:paraId="1C891CA4">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4335" w:type="dxa"/>
            <w:noWrap w:val="0"/>
            <w:vAlign w:val="center"/>
          </w:tcPr>
          <w:p w14:paraId="7B3FE3C4">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《淋浴器用水效率限定值及用水效率等级》（GB28378）</w:t>
            </w:r>
          </w:p>
        </w:tc>
      </w:tr>
    </w:tbl>
    <w:p w14:paraId="0E87FD10">
      <w:pPr>
        <w:spacing w:after="120" w:line="360" w:lineRule="auto"/>
        <w:rPr>
          <w:rFonts w:hint="eastAsia" w:ascii="宋体" w:hAnsi="宋体" w:eastAsia="宋体" w:cs="宋体"/>
          <w:color w:val="auto"/>
          <w:spacing w:val="-3"/>
          <w:szCs w:val="21"/>
          <w:highlight w:val="none"/>
        </w:rPr>
      </w:pPr>
    </w:p>
    <w:p w14:paraId="1C4A8CDB">
      <w:pPr>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6EEC39EC">
      <w:pPr>
        <w:spacing w:after="120"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 xml:space="preserve">    2</w:t>
      </w:r>
      <w:r>
        <w:rPr>
          <w:rFonts w:hint="eastAsia" w:ascii="宋体" w:hAnsi="宋体" w:eastAsia="宋体" w:cs="宋体"/>
          <w:b/>
          <w:bCs/>
          <w:color w:val="auto"/>
          <w:szCs w:val="21"/>
          <w:highlight w:val="none"/>
        </w:rPr>
        <w:t>.以“★”标注的为政府强制采购产品。</w:t>
      </w:r>
    </w:p>
    <w:p w14:paraId="34E1DF42">
      <w:pPr>
        <w:spacing w:line="428" w:lineRule="exact"/>
        <w:rPr>
          <w:rFonts w:hint="eastAsia" w:ascii="宋体" w:hAnsi="宋体" w:eastAsia="宋体" w:cs="宋体"/>
          <w:color w:val="auto"/>
          <w:sz w:val="32"/>
          <w:szCs w:val="32"/>
          <w:highlight w:val="none"/>
        </w:rPr>
      </w:pPr>
    </w:p>
    <w:p w14:paraId="698846F7">
      <w:pPr>
        <w:spacing w:line="428" w:lineRule="exact"/>
        <w:rPr>
          <w:rFonts w:hint="eastAsia" w:ascii="宋体" w:hAnsi="宋体" w:eastAsia="宋体" w:cs="宋体"/>
          <w:color w:val="auto"/>
          <w:sz w:val="32"/>
          <w:szCs w:val="32"/>
          <w:highlight w:val="none"/>
        </w:rPr>
      </w:pPr>
    </w:p>
    <w:p w14:paraId="3E884AB1">
      <w:pPr>
        <w:spacing w:line="428" w:lineRule="exact"/>
        <w:rPr>
          <w:rFonts w:hint="eastAsia" w:ascii="宋体" w:hAnsi="宋体" w:eastAsia="宋体" w:cs="宋体"/>
          <w:color w:val="auto"/>
          <w:sz w:val="32"/>
          <w:szCs w:val="32"/>
          <w:highlight w:val="none"/>
        </w:rPr>
      </w:pPr>
    </w:p>
    <w:p w14:paraId="02A020EA">
      <w:pPr>
        <w:spacing w:line="428" w:lineRule="exact"/>
        <w:rPr>
          <w:rFonts w:hint="eastAsia" w:ascii="宋体" w:hAnsi="宋体" w:eastAsia="宋体" w:cs="宋体"/>
          <w:color w:val="auto"/>
          <w:sz w:val="32"/>
          <w:szCs w:val="32"/>
          <w:highlight w:val="none"/>
        </w:rPr>
      </w:pPr>
    </w:p>
    <w:p w14:paraId="5B2789FF">
      <w:pPr>
        <w:spacing w:line="428" w:lineRule="exact"/>
        <w:rPr>
          <w:rFonts w:hint="eastAsia" w:ascii="宋体" w:hAnsi="宋体" w:eastAsia="宋体" w:cs="宋体"/>
          <w:color w:val="auto"/>
          <w:sz w:val="32"/>
          <w:szCs w:val="32"/>
          <w:highlight w:val="none"/>
        </w:rPr>
      </w:pPr>
    </w:p>
    <w:p w14:paraId="6008FE82">
      <w:pPr>
        <w:spacing w:line="428" w:lineRule="exact"/>
        <w:rPr>
          <w:rFonts w:hint="eastAsia" w:ascii="宋体" w:hAnsi="宋体" w:eastAsia="宋体" w:cs="宋体"/>
          <w:color w:val="auto"/>
          <w:sz w:val="32"/>
          <w:szCs w:val="32"/>
          <w:highlight w:val="none"/>
        </w:rPr>
      </w:pPr>
    </w:p>
    <w:p w14:paraId="3E90DBCB">
      <w:pPr>
        <w:spacing w:line="428" w:lineRule="exact"/>
        <w:rPr>
          <w:rFonts w:hint="eastAsia" w:ascii="宋体" w:hAnsi="宋体" w:eastAsia="宋体" w:cs="宋体"/>
          <w:color w:val="auto"/>
          <w:sz w:val="32"/>
          <w:szCs w:val="32"/>
          <w:highlight w:val="none"/>
        </w:rPr>
      </w:pPr>
    </w:p>
    <w:p w14:paraId="309C51EF">
      <w:pPr>
        <w:spacing w:line="428" w:lineRule="exact"/>
        <w:rPr>
          <w:rFonts w:hint="eastAsia" w:ascii="宋体" w:hAnsi="宋体" w:eastAsia="宋体" w:cs="宋体"/>
          <w:color w:val="auto"/>
          <w:sz w:val="32"/>
          <w:szCs w:val="32"/>
          <w:highlight w:val="none"/>
        </w:rPr>
      </w:pPr>
    </w:p>
    <w:p w14:paraId="057B3DFE">
      <w:pPr>
        <w:spacing w:line="428" w:lineRule="exact"/>
        <w:rPr>
          <w:rFonts w:hint="eastAsia" w:ascii="宋体" w:hAnsi="宋体" w:eastAsia="宋体" w:cs="宋体"/>
          <w:color w:val="auto"/>
          <w:sz w:val="32"/>
          <w:szCs w:val="32"/>
          <w:highlight w:val="none"/>
        </w:rPr>
      </w:pPr>
    </w:p>
    <w:p w14:paraId="1097B2D6">
      <w:pPr>
        <w:spacing w:line="428" w:lineRule="exact"/>
        <w:rPr>
          <w:rFonts w:hint="eastAsia" w:ascii="宋体" w:hAnsi="宋体" w:eastAsia="宋体" w:cs="宋体"/>
          <w:color w:val="auto"/>
          <w:sz w:val="32"/>
          <w:szCs w:val="32"/>
          <w:highlight w:val="none"/>
        </w:rPr>
      </w:pPr>
    </w:p>
    <w:p w14:paraId="0B968BA9">
      <w:pPr>
        <w:spacing w:line="428" w:lineRule="exact"/>
        <w:rPr>
          <w:rFonts w:hint="eastAsia" w:ascii="宋体" w:hAnsi="宋体" w:eastAsia="宋体" w:cs="宋体"/>
          <w:color w:val="auto"/>
          <w:sz w:val="32"/>
          <w:szCs w:val="32"/>
          <w:highlight w:val="none"/>
        </w:rPr>
      </w:pPr>
    </w:p>
    <w:p w14:paraId="638CAD7B">
      <w:pPr>
        <w:spacing w:line="428" w:lineRule="exact"/>
        <w:rPr>
          <w:rFonts w:hint="eastAsia" w:ascii="宋体" w:hAnsi="宋体" w:eastAsia="宋体" w:cs="宋体"/>
          <w:color w:val="auto"/>
          <w:sz w:val="32"/>
          <w:szCs w:val="32"/>
          <w:highlight w:val="none"/>
        </w:rPr>
      </w:pPr>
    </w:p>
    <w:p w14:paraId="6E088D60">
      <w:pPr>
        <w:spacing w:line="428" w:lineRule="exact"/>
        <w:rPr>
          <w:rFonts w:hint="eastAsia" w:ascii="宋体" w:hAnsi="宋体" w:eastAsia="宋体" w:cs="宋体"/>
          <w:color w:val="auto"/>
          <w:sz w:val="32"/>
          <w:szCs w:val="32"/>
          <w:highlight w:val="none"/>
        </w:rPr>
      </w:pPr>
    </w:p>
    <w:p w14:paraId="42F66E3A">
      <w:pPr>
        <w:spacing w:line="428" w:lineRule="exact"/>
        <w:rPr>
          <w:rFonts w:hint="eastAsia" w:ascii="宋体" w:hAnsi="宋体" w:eastAsia="宋体" w:cs="宋体"/>
          <w:color w:val="auto"/>
          <w:sz w:val="32"/>
          <w:szCs w:val="32"/>
          <w:highlight w:val="none"/>
        </w:rPr>
      </w:pPr>
    </w:p>
    <w:p w14:paraId="7370A9C3">
      <w:pPr>
        <w:spacing w:line="428" w:lineRule="exact"/>
        <w:rPr>
          <w:rFonts w:hint="eastAsia" w:ascii="宋体" w:hAnsi="宋体" w:eastAsia="宋体" w:cs="宋体"/>
          <w:color w:val="auto"/>
          <w:sz w:val="32"/>
          <w:szCs w:val="32"/>
          <w:highlight w:val="none"/>
        </w:rPr>
      </w:pPr>
    </w:p>
    <w:p w14:paraId="29CE356D">
      <w:pPr>
        <w:spacing w:line="428" w:lineRule="exact"/>
        <w:rPr>
          <w:rFonts w:hint="eastAsia" w:ascii="宋体" w:hAnsi="宋体" w:eastAsia="宋体" w:cs="宋体"/>
          <w:color w:val="auto"/>
          <w:sz w:val="32"/>
          <w:szCs w:val="32"/>
          <w:highlight w:val="none"/>
        </w:rPr>
      </w:pPr>
    </w:p>
    <w:p w14:paraId="41075484">
      <w:pPr>
        <w:spacing w:line="428" w:lineRule="exact"/>
        <w:rPr>
          <w:rFonts w:hint="eastAsia" w:ascii="宋体" w:hAnsi="宋体" w:eastAsia="宋体" w:cs="宋体"/>
          <w:color w:val="auto"/>
          <w:sz w:val="32"/>
          <w:szCs w:val="32"/>
          <w:highlight w:val="none"/>
        </w:rPr>
      </w:pPr>
    </w:p>
    <w:p w14:paraId="58D95498">
      <w:pPr>
        <w:spacing w:line="428" w:lineRule="exact"/>
        <w:rPr>
          <w:rFonts w:hint="eastAsia" w:ascii="宋体" w:hAnsi="宋体" w:eastAsia="宋体" w:cs="宋体"/>
          <w:color w:val="auto"/>
          <w:sz w:val="32"/>
          <w:szCs w:val="32"/>
          <w:highlight w:val="none"/>
        </w:rPr>
      </w:pPr>
    </w:p>
    <w:p w14:paraId="3BF62288">
      <w:pPr>
        <w:spacing w:line="428" w:lineRule="exact"/>
        <w:rPr>
          <w:rFonts w:hint="eastAsia" w:ascii="宋体" w:hAnsi="宋体" w:eastAsia="宋体" w:cs="宋体"/>
          <w:color w:val="auto"/>
          <w:sz w:val="32"/>
          <w:szCs w:val="32"/>
          <w:highlight w:val="none"/>
        </w:rPr>
      </w:pPr>
    </w:p>
    <w:p w14:paraId="0FE50C71">
      <w:pPr>
        <w:spacing w:line="428" w:lineRule="exact"/>
        <w:rPr>
          <w:rFonts w:hint="eastAsia" w:ascii="宋体" w:hAnsi="宋体" w:eastAsia="宋体" w:cs="宋体"/>
          <w:color w:val="auto"/>
          <w:sz w:val="32"/>
          <w:szCs w:val="32"/>
          <w:highlight w:val="none"/>
        </w:rPr>
      </w:pPr>
    </w:p>
    <w:p w14:paraId="338BC078">
      <w:pPr>
        <w:spacing w:line="428" w:lineRule="exact"/>
        <w:rPr>
          <w:rFonts w:hint="eastAsia" w:ascii="宋体" w:hAnsi="宋体" w:eastAsia="宋体" w:cs="宋体"/>
          <w:color w:val="auto"/>
          <w:sz w:val="32"/>
          <w:szCs w:val="32"/>
          <w:highlight w:val="none"/>
        </w:rPr>
      </w:pPr>
    </w:p>
    <w:p w14:paraId="65826ED1">
      <w:pPr>
        <w:spacing w:line="428" w:lineRule="exact"/>
        <w:rPr>
          <w:rFonts w:hint="eastAsia" w:ascii="宋体" w:hAnsi="宋体" w:eastAsia="宋体" w:cs="宋体"/>
          <w:color w:val="auto"/>
          <w:sz w:val="32"/>
          <w:szCs w:val="32"/>
          <w:highlight w:val="none"/>
        </w:rPr>
      </w:pPr>
    </w:p>
    <w:p w14:paraId="05EB4FF7">
      <w:pPr>
        <w:spacing w:line="428" w:lineRule="exact"/>
        <w:rPr>
          <w:rFonts w:hint="eastAsia" w:ascii="宋体" w:hAnsi="宋体" w:eastAsia="宋体" w:cs="宋体"/>
          <w:color w:val="auto"/>
          <w:sz w:val="32"/>
          <w:szCs w:val="32"/>
          <w:highlight w:val="none"/>
        </w:rPr>
      </w:pPr>
    </w:p>
    <w:p w14:paraId="747C481B">
      <w:pPr>
        <w:spacing w:line="428" w:lineRule="exact"/>
        <w:rPr>
          <w:rFonts w:hint="eastAsia" w:ascii="宋体" w:hAnsi="宋体" w:eastAsia="宋体" w:cs="宋体"/>
          <w:color w:val="auto"/>
          <w:sz w:val="32"/>
          <w:szCs w:val="32"/>
          <w:highlight w:val="none"/>
        </w:rPr>
      </w:pPr>
    </w:p>
    <w:p w14:paraId="133C29EB">
      <w:pPr>
        <w:spacing w:line="428" w:lineRule="exact"/>
        <w:rPr>
          <w:rFonts w:hint="eastAsia" w:ascii="宋体" w:hAnsi="宋体" w:eastAsia="宋体" w:cs="宋体"/>
          <w:color w:val="auto"/>
          <w:sz w:val="32"/>
          <w:szCs w:val="32"/>
          <w:highlight w:val="none"/>
        </w:rPr>
      </w:pPr>
    </w:p>
    <w:p w14:paraId="6B417DD0">
      <w:pPr>
        <w:spacing w:line="428" w:lineRule="exact"/>
        <w:rPr>
          <w:rFonts w:hint="eastAsia" w:ascii="宋体" w:hAnsi="宋体" w:eastAsia="宋体" w:cs="宋体"/>
          <w:color w:val="auto"/>
          <w:sz w:val="32"/>
          <w:szCs w:val="32"/>
          <w:highlight w:val="none"/>
        </w:rPr>
      </w:pPr>
    </w:p>
    <w:p w14:paraId="51BF14FE">
      <w:pPr>
        <w:spacing w:line="428" w:lineRule="exact"/>
        <w:rPr>
          <w:rFonts w:hint="eastAsia" w:ascii="宋体" w:hAnsi="宋体" w:eastAsia="宋体" w:cs="宋体"/>
          <w:color w:val="auto"/>
          <w:sz w:val="32"/>
          <w:szCs w:val="32"/>
          <w:highlight w:val="none"/>
        </w:rPr>
      </w:pPr>
    </w:p>
    <w:p w14:paraId="37B65AB7">
      <w:pPr>
        <w:spacing w:line="428" w:lineRule="exact"/>
        <w:rPr>
          <w:rFonts w:hint="eastAsia" w:ascii="宋体" w:hAnsi="宋体" w:eastAsia="宋体" w:cs="宋体"/>
          <w:color w:val="auto"/>
          <w:sz w:val="32"/>
          <w:szCs w:val="32"/>
          <w:highlight w:val="none"/>
        </w:rPr>
      </w:pPr>
    </w:p>
    <w:p w14:paraId="4DE4A302">
      <w:pPr>
        <w:spacing w:line="428" w:lineRule="exact"/>
        <w:rPr>
          <w:rFonts w:hint="eastAsia" w:ascii="宋体" w:hAnsi="宋体" w:eastAsia="宋体" w:cs="宋体"/>
          <w:color w:val="auto"/>
          <w:sz w:val="32"/>
          <w:szCs w:val="32"/>
          <w:highlight w:val="none"/>
        </w:rPr>
      </w:pPr>
    </w:p>
    <w:p w14:paraId="0CC29C9D">
      <w:pPr>
        <w:spacing w:line="428" w:lineRule="exact"/>
        <w:rPr>
          <w:rFonts w:hint="eastAsia" w:ascii="宋体" w:hAnsi="宋体" w:eastAsia="宋体" w:cs="宋体"/>
          <w:color w:val="auto"/>
          <w:sz w:val="17"/>
          <w:szCs w:val="17"/>
          <w:highlight w:val="none"/>
        </w:rPr>
      </w:pPr>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2</w:t>
      </w:r>
    </w:p>
    <w:p w14:paraId="085CA9E6">
      <w:pPr>
        <w:widowControl/>
        <w:spacing w:before="156" w:after="156" w:line="280" w:lineRule="exact"/>
        <w:jc w:val="center"/>
        <w:rPr>
          <w:rFonts w:hint="eastAsia" w:ascii="宋体" w:hAnsi="宋体" w:eastAsia="宋体" w:cs="宋体"/>
          <w:b/>
          <w:bCs/>
          <w:color w:val="auto"/>
          <w:sz w:val="30"/>
          <w:szCs w:val="30"/>
          <w:highlight w:val="none"/>
        </w:rPr>
      </w:pPr>
      <w:bookmarkStart w:id="54" w:name="_Toc28361_WPSOffice_Level2"/>
      <w:bookmarkStart w:id="55" w:name="_Toc20724"/>
      <w:bookmarkStart w:id="56" w:name="_Toc80205922"/>
      <w:r>
        <w:rPr>
          <w:rFonts w:hint="eastAsia" w:ascii="宋体" w:hAnsi="宋体" w:eastAsia="宋体" w:cs="宋体"/>
          <w:b/>
          <w:bCs/>
          <w:color w:val="auto"/>
          <w:sz w:val="30"/>
          <w:szCs w:val="30"/>
          <w:highlight w:val="none"/>
        </w:rPr>
        <w:t>统计上大中小微型企业划分标准</w:t>
      </w:r>
      <w:bookmarkEnd w:id="54"/>
    </w:p>
    <w:tbl>
      <w:tblPr>
        <w:tblStyle w:val="44"/>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222E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58D9EF2E">
            <w:pPr>
              <w:widowControl/>
              <w:spacing w:line="280" w:lineRule="exact"/>
              <w:jc w:val="center"/>
              <w:rPr>
                <w:rFonts w:hint="eastAsia" w:ascii="宋体" w:hAnsi="宋体" w:eastAsia="宋体" w:cs="宋体"/>
                <w:b/>
                <w:bCs/>
                <w:color w:val="auto"/>
                <w:sz w:val="18"/>
                <w:szCs w:val="21"/>
                <w:highlight w:val="none"/>
              </w:rPr>
            </w:pPr>
            <w:r>
              <w:rPr>
                <w:rFonts w:hint="eastAsia" w:ascii="宋体" w:hAnsi="宋体" w:eastAsia="宋体" w:cs="宋体"/>
                <w:b/>
                <w:bCs/>
                <w:color w:val="auto"/>
                <w:sz w:val="18"/>
                <w:szCs w:val="21"/>
                <w:highlight w:val="none"/>
              </w:rPr>
              <w:t>行业名称</w:t>
            </w:r>
          </w:p>
        </w:tc>
        <w:tc>
          <w:tcPr>
            <w:tcW w:w="1369" w:type="dxa"/>
            <w:shd w:val="clear" w:color="auto" w:fill="8DB3E2"/>
            <w:noWrap w:val="0"/>
            <w:vAlign w:val="center"/>
          </w:tcPr>
          <w:p w14:paraId="0F94579A">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指标名称</w:t>
            </w:r>
          </w:p>
        </w:tc>
        <w:tc>
          <w:tcPr>
            <w:tcW w:w="709" w:type="dxa"/>
            <w:shd w:val="clear" w:color="auto" w:fill="8DB3E2"/>
            <w:noWrap w:val="0"/>
            <w:vAlign w:val="center"/>
          </w:tcPr>
          <w:p w14:paraId="6874C7C2">
            <w:pPr>
              <w:widowControl/>
              <w:spacing w:line="280" w:lineRule="exact"/>
              <w:jc w:val="center"/>
              <w:rPr>
                <w:rFonts w:hint="eastAsia" w:ascii="宋体" w:hAnsi="宋体" w:eastAsia="宋体" w:cs="宋体"/>
                <w:b/>
                <w:bCs/>
                <w:color w:val="auto"/>
                <w:sz w:val="18"/>
                <w:szCs w:val="18"/>
                <w:highlight w:val="none"/>
                <w:lang w:eastAsia="zh-CN"/>
              </w:rPr>
            </w:pPr>
            <w:r>
              <w:rPr>
                <w:rFonts w:hint="eastAsia" w:ascii="宋体" w:hAnsi="宋体" w:eastAsia="宋体" w:cs="宋体"/>
                <w:b/>
                <w:bCs/>
                <w:color w:val="auto"/>
                <w:sz w:val="18"/>
                <w:szCs w:val="18"/>
                <w:highlight w:val="none"/>
              </w:rPr>
              <w:t>计量</w:t>
            </w:r>
          </w:p>
          <w:p w14:paraId="543FA634">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单位</w:t>
            </w:r>
          </w:p>
        </w:tc>
        <w:tc>
          <w:tcPr>
            <w:tcW w:w="1125" w:type="dxa"/>
            <w:shd w:val="clear" w:color="auto" w:fill="8DB3E2"/>
            <w:noWrap w:val="0"/>
            <w:vAlign w:val="center"/>
          </w:tcPr>
          <w:p w14:paraId="551816BB">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大型</w:t>
            </w:r>
          </w:p>
        </w:tc>
        <w:tc>
          <w:tcPr>
            <w:tcW w:w="1701" w:type="dxa"/>
            <w:shd w:val="clear" w:color="auto" w:fill="8DB3E2"/>
            <w:noWrap w:val="0"/>
            <w:vAlign w:val="center"/>
          </w:tcPr>
          <w:p w14:paraId="38033F23">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中型</w:t>
            </w:r>
          </w:p>
        </w:tc>
        <w:tc>
          <w:tcPr>
            <w:tcW w:w="1426" w:type="dxa"/>
            <w:shd w:val="clear" w:color="auto" w:fill="8DB3E2"/>
            <w:noWrap w:val="0"/>
            <w:vAlign w:val="center"/>
          </w:tcPr>
          <w:p w14:paraId="08D20B49">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小型</w:t>
            </w:r>
          </w:p>
        </w:tc>
        <w:tc>
          <w:tcPr>
            <w:tcW w:w="992" w:type="dxa"/>
            <w:shd w:val="clear" w:color="auto" w:fill="8DB3E2"/>
            <w:noWrap w:val="0"/>
            <w:vAlign w:val="center"/>
          </w:tcPr>
          <w:p w14:paraId="4A24E7EA">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微型</w:t>
            </w:r>
          </w:p>
        </w:tc>
      </w:tr>
      <w:tr w14:paraId="3BAE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52D4FBCA">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农、林、牧、渔业</w:t>
            </w:r>
          </w:p>
        </w:tc>
        <w:tc>
          <w:tcPr>
            <w:tcW w:w="1369" w:type="dxa"/>
            <w:noWrap w:val="0"/>
            <w:vAlign w:val="center"/>
          </w:tcPr>
          <w:p w14:paraId="49CFC39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2B714CC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63D0E0D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Y≥20000</w:t>
            </w:r>
          </w:p>
        </w:tc>
        <w:tc>
          <w:tcPr>
            <w:tcW w:w="1701" w:type="dxa"/>
            <w:noWrap w:val="0"/>
            <w:vAlign w:val="center"/>
          </w:tcPr>
          <w:p w14:paraId="7D77EE5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500≤Y＜20000</w:t>
            </w:r>
          </w:p>
        </w:tc>
        <w:tc>
          <w:tcPr>
            <w:tcW w:w="1426" w:type="dxa"/>
            <w:noWrap w:val="0"/>
            <w:vAlign w:val="center"/>
          </w:tcPr>
          <w:p w14:paraId="5CCAE16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50≤Y＜500</w:t>
            </w:r>
          </w:p>
        </w:tc>
        <w:tc>
          <w:tcPr>
            <w:tcW w:w="992" w:type="dxa"/>
            <w:noWrap w:val="0"/>
            <w:vAlign w:val="center"/>
          </w:tcPr>
          <w:p w14:paraId="329A284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w:t>
            </w:r>
          </w:p>
        </w:tc>
      </w:tr>
      <w:tr w14:paraId="6661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8EDD3D5">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工业 *</w:t>
            </w:r>
          </w:p>
        </w:tc>
        <w:tc>
          <w:tcPr>
            <w:tcW w:w="1369" w:type="dxa"/>
            <w:noWrap w:val="0"/>
            <w:vAlign w:val="center"/>
          </w:tcPr>
          <w:p w14:paraId="2A81E62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7AE3CF4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5F131E3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noWrap w:val="0"/>
            <w:vAlign w:val="center"/>
          </w:tcPr>
          <w:p w14:paraId="4EF4165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noWrap w:val="0"/>
            <w:vAlign w:val="center"/>
          </w:tcPr>
          <w:p w14:paraId="059AD53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992" w:type="dxa"/>
            <w:noWrap w:val="0"/>
            <w:vAlign w:val="center"/>
          </w:tcPr>
          <w:p w14:paraId="0671FED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759A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FBA4338">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363F037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6633F08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7C624F7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Y≥40000</w:t>
            </w:r>
          </w:p>
        </w:tc>
        <w:tc>
          <w:tcPr>
            <w:tcW w:w="1701" w:type="dxa"/>
            <w:noWrap w:val="0"/>
            <w:vAlign w:val="center"/>
          </w:tcPr>
          <w:p w14:paraId="346838C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2000≤Y＜40000</w:t>
            </w:r>
          </w:p>
        </w:tc>
        <w:tc>
          <w:tcPr>
            <w:tcW w:w="1426" w:type="dxa"/>
            <w:noWrap w:val="0"/>
            <w:vAlign w:val="center"/>
          </w:tcPr>
          <w:p w14:paraId="55E7F49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300≤Y＜2000</w:t>
            </w:r>
          </w:p>
        </w:tc>
        <w:tc>
          <w:tcPr>
            <w:tcW w:w="992" w:type="dxa"/>
            <w:noWrap w:val="0"/>
            <w:vAlign w:val="center"/>
          </w:tcPr>
          <w:p w14:paraId="68FC50A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w:t>
            </w:r>
          </w:p>
        </w:tc>
      </w:tr>
      <w:tr w14:paraId="6AC1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90D55E0">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建筑业</w:t>
            </w:r>
          </w:p>
        </w:tc>
        <w:tc>
          <w:tcPr>
            <w:tcW w:w="1369" w:type="dxa"/>
            <w:noWrap w:val="0"/>
            <w:vAlign w:val="center"/>
          </w:tcPr>
          <w:p w14:paraId="44B9E6A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5B50059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6DCF876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Y≥80000</w:t>
            </w:r>
          </w:p>
        </w:tc>
        <w:tc>
          <w:tcPr>
            <w:tcW w:w="1701" w:type="dxa"/>
            <w:noWrap w:val="0"/>
            <w:vAlign w:val="center"/>
          </w:tcPr>
          <w:p w14:paraId="465CE36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6000≤Y＜80000</w:t>
            </w:r>
          </w:p>
        </w:tc>
        <w:tc>
          <w:tcPr>
            <w:tcW w:w="1426" w:type="dxa"/>
            <w:noWrap w:val="0"/>
            <w:vAlign w:val="center"/>
          </w:tcPr>
          <w:p w14:paraId="164CC7A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300≤Y＜6000</w:t>
            </w:r>
          </w:p>
        </w:tc>
        <w:tc>
          <w:tcPr>
            <w:tcW w:w="992" w:type="dxa"/>
            <w:noWrap w:val="0"/>
            <w:vAlign w:val="center"/>
          </w:tcPr>
          <w:p w14:paraId="15E77C4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w:t>
            </w:r>
          </w:p>
        </w:tc>
      </w:tr>
      <w:tr w14:paraId="250E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AC0402A">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68F7E39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709" w:type="dxa"/>
            <w:noWrap w:val="0"/>
            <w:vAlign w:val="center"/>
          </w:tcPr>
          <w:p w14:paraId="0D94A46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16B2E46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Z≥80000</w:t>
            </w:r>
          </w:p>
        </w:tc>
        <w:tc>
          <w:tcPr>
            <w:tcW w:w="1701" w:type="dxa"/>
            <w:noWrap w:val="0"/>
            <w:vAlign w:val="center"/>
          </w:tcPr>
          <w:p w14:paraId="441F5FB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5000≤Z＜80000</w:t>
            </w:r>
          </w:p>
        </w:tc>
        <w:tc>
          <w:tcPr>
            <w:tcW w:w="1426" w:type="dxa"/>
            <w:noWrap w:val="0"/>
            <w:vAlign w:val="center"/>
          </w:tcPr>
          <w:p w14:paraId="4832D39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300≤Z＜5000</w:t>
            </w:r>
          </w:p>
        </w:tc>
        <w:tc>
          <w:tcPr>
            <w:tcW w:w="992" w:type="dxa"/>
            <w:noWrap w:val="0"/>
            <w:vAlign w:val="center"/>
          </w:tcPr>
          <w:p w14:paraId="3648FED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Z＜300</w:t>
            </w:r>
          </w:p>
        </w:tc>
      </w:tr>
      <w:tr w14:paraId="6772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D87570F">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批发业</w:t>
            </w:r>
          </w:p>
        </w:tc>
        <w:tc>
          <w:tcPr>
            <w:tcW w:w="1369" w:type="dxa"/>
            <w:noWrap w:val="0"/>
            <w:vAlign w:val="center"/>
          </w:tcPr>
          <w:p w14:paraId="2864605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19D921B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130F1E7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X≥200</w:t>
            </w:r>
          </w:p>
        </w:tc>
        <w:tc>
          <w:tcPr>
            <w:tcW w:w="1701" w:type="dxa"/>
            <w:noWrap w:val="0"/>
            <w:vAlign w:val="center"/>
          </w:tcPr>
          <w:p w14:paraId="2B26DEB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20≤X＜200</w:t>
            </w:r>
          </w:p>
        </w:tc>
        <w:tc>
          <w:tcPr>
            <w:tcW w:w="1426" w:type="dxa"/>
            <w:noWrap w:val="0"/>
            <w:vAlign w:val="center"/>
          </w:tcPr>
          <w:p w14:paraId="577A5DA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5≤X＜20</w:t>
            </w:r>
          </w:p>
        </w:tc>
        <w:tc>
          <w:tcPr>
            <w:tcW w:w="992" w:type="dxa"/>
            <w:noWrap w:val="0"/>
            <w:vAlign w:val="center"/>
          </w:tcPr>
          <w:p w14:paraId="22FA7A6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X＜5</w:t>
            </w:r>
          </w:p>
        </w:tc>
      </w:tr>
      <w:tr w14:paraId="4521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D06540F">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2C369DD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2120863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37D18AD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Y≥40000</w:t>
            </w:r>
          </w:p>
        </w:tc>
        <w:tc>
          <w:tcPr>
            <w:tcW w:w="1701" w:type="dxa"/>
            <w:noWrap w:val="0"/>
            <w:vAlign w:val="center"/>
          </w:tcPr>
          <w:p w14:paraId="6FB6850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5000≤Y＜40000</w:t>
            </w:r>
          </w:p>
        </w:tc>
        <w:tc>
          <w:tcPr>
            <w:tcW w:w="1426" w:type="dxa"/>
            <w:noWrap w:val="0"/>
            <w:vAlign w:val="center"/>
          </w:tcPr>
          <w:p w14:paraId="75BC0489">
            <w:pPr>
              <w:widowControl/>
              <w:spacing w:line="280" w:lineRule="exact"/>
              <w:ind w:left="-1" w:hanging="1"/>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1000≤Y＜5000</w:t>
            </w:r>
          </w:p>
        </w:tc>
        <w:tc>
          <w:tcPr>
            <w:tcW w:w="992" w:type="dxa"/>
            <w:noWrap w:val="0"/>
            <w:vAlign w:val="center"/>
          </w:tcPr>
          <w:p w14:paraId="3C5047F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w:t>
            </w:r>
          </w:p>
        </w:tc>
      </w:tr>
      <w:tr w14:paraId="10C6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1B6A755">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零售业</w:t>
            </w:r>
          </w:p>
        </w:tc>
        <w:tc>
          <w:tcPr>
            <w:tcW w:w="1369" w:type="dxa"/>
            <w:noWrap w:val="0"/>
            <w:vAlign w:val="center"/>
          </w:tcPr>
          <w:p w14:paraId="38828D8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208A73D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25DCE05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603D20E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50≤X＜300</w:t>
            </w:r>
          </w:p>
        </w:tc>
        <w:tc>
          <w:tcPr>
            <w:tcW w:w="1426" w:type="dxa"/>
            <w:noWrap w:val="0"/>
            <w:vAlign w:val="center"/>
          </w:tcPr>
          <w:p w14:paraId="6040D764">
            <w:pPr>
              <w:widowControl/>
              <w:spacing w:line="280" w:lineRule="exact"/>
              <w:ind w:left="-1" w:hanging="1"/>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10≤X＜50 </w:t>
            </w:r>
          </w:p>
        </w:tc>
        <w:tc>
          <w:tcPr>
            <w:tcW w:w="992" w:type="dxa"/>
            <w:noWrap w:val="0"/>
            <w:vAlign w:val="center"/>
          </w:tcPr>
          <w:p w14:paraId="6706E18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79B3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4BEE60F">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5664666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77A2126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6BB2CC4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Y≥20000</w:t>
            </w:r>
          </w:p>
        </w:tc>
        <w:tc>
          <w:tcPr>
            <w:tcW w:w="1701" w:type="dxa"/>
            <w:noWrap w:val="0"/>
            <w:vAlign w:val="center"/>
          </w:tcPr>
          <w:p w14:paraId="65C3F03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500≤Y＜20000</w:t>
            </w:r>
          </w:p>
        </w:tc>
        <w:tc>
          <w:tcPr>
            <w:tcW w:w="1426" w:type="dxa"/>
            <w:noWrap w:val="0"/>
            <w:vAlign w:val="center"/>
          </w:tcPr>
          <w:p w14:paraId="61CC4353">
            <w:pPr>
              <w:widowControl/>
              <w:spacing w:line="280" w:lineRule="exact"/>
              <w:ind w:left="-1" w:hanging="1"/>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100≤Y＜500</w:t>
            </w:r>
          </w:p>
        </w:tc>
        <w:tc>
          <w:tcPr>
            <w:tcW w:w="992" w:type="dxa"/>
            <w:noWrap w:val="0"/>
            <w:vAlign w:val="center"/>
          </w:tcPr>
          <w:p w14:paraId="1DA8532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211D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2E4157D">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交通运输业 *</w:t>
            </w:r>
          </w:p>
        </w:tc>
        <w:tc>
          <w:tcPr>
            <w:tcW w:w="1369" w:type="dxa"/>
            <w:noWrap w:val="0"/>
            <w:vAlign w:val="center"/>
          </w:tcPr>
          <w:p w14:paraId="3B0F81C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46EDEC6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7CE69A2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noWrap w:val="0"/>
            <w:vAlign w:val="center"/>
          </w:tcPr>
          <w:p w14:paraId="33CB61D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noWrap w:val="0"/>
            <w:vAlign w:val="center"/>
          </w:tcPr>
          <w:p w14:paraId="020C92B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992" w:type="dxa"/>
            <w:noWrap w:val="0"/>
            <w:vAlign w:val="center"/>
          </w:tcPr>
          <w:p w14:paraId="2E0FAC1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7451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CCB46B2">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1A8A7ED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167D0B3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1362724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Y≥30000</w:t>
            </w:r>
          </w:p>
        </w:tc>
        <w:tc>
          <w:tcPr>
            <w:tcW w:w="1701" w:type="dxa"/>
            <w:noWrap w:val="0"/>
            <w:vAlign w:val="center"/>
          </w:tcPr>
          <w:p w14:paraId="0430B15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3000≤Y＜30000</w:t>
            </w:r>
          </w:p>
        </w:tc>
        <w:tc>
          <w:tcPr>
            <w:tcW w:w="1426" w:type="dxa"/>
            <w:noWrap w:val="0"/>
            <w:vAlign w:val="center"/>
          </w:tcPr>
          <w:p w14:paraId="67DD475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200≤Y＜3000</w:t>
            </w:r>
          </w:p>
        </w:tc>
        <w:tc>
          <w:tcPr>
            <w:tcW w:w="992" w:type="dxa"/>
            <w:noWrap w:val="0"/>
            <w:vAlign w:val="center"/>
          </w:tcPr>
          <w:p w14:paraId="5151598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Y＜200</w:t>
            </w:r>
          </w:p>
        </w:tc>
      </w:tr>
      <w:tr w14:paraId="5CD0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8D69DA9">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仓储业*</w:t>
            </w:r>
          </w:p>
        </w:tc>
        <w:tc>
          <w:tcPr>
            <w:tcW w:w="1369" w:type="dxa"/>
            <w:noWrap w:val="0"/>
            <w:vAlign w:val="center"/>
          </w:tcPr>
          <w:p w14:paraId="0E6CCCC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03AD8CA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647B8AF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X≥200</w:t>
            </w:r>
          </w:p>
        </w:tc>
        <w:tc>
          <w:tcPr>
            <w:tcW w:w="1701" w:type="dxa"/>
            <w:noWrap w:val="0"/>
            <w:vAlign w:val="center"/>
          </w:tcPr>
          <w:p w14:paraId="1B2535C5">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100≤X＜200</w:t>
            </w:r>
          </w:p>
        </w:tc>
        <w:tc>
          <w:tcPr>
            <w:tcW w:w="1426" w:type="dxa"/>
            <w:noWrap w:val="0"/>
            <w:vAlign w:val="center"/>
          </w:tcPr>
          <w:p w14:paraId="56FF11B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20≤X＜100</w:t>
            </w:r>
          </w:p>
        </w:tc>
        <w:tc>
          <w:tcPr>
            <w:tcW w:w="992" w:type="dxa"/>
            <w:noWrap w:val="0"/>
            <w:vAlign w:val="center"/>
          </w:tcPr>
          <w:p w14:paraId="77E79CC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2713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9F43A9F">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125F243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682B759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3D24FFB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Y≥30000</w:t>
            </w:r>
          </w:p>
        </w:tc>
        <w:tc>
          <w:tcPr>
            <w:tcW w:w="1701" w:type="dxa"/>
            <w:noWrap w:val="0"/>
            <w:vAlign w:val="center"/>
          </w:tcPr>
          <w:p w14:paraId="2F16A64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1000≤Y＜30000</w:t>
            </w:r>
          </w:p>
        </w:tc>
        <w:tc>
          <w:tcPr>
            <w:tcW w:w="1426" w:type="dxa"/>
            <w:noWrap w:val="0"/>
            <w:vAlign w:val="center"/>
          </w:tcPr>
          <w:p w14:paraId="7D16928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100≤Y＜1000</w:t>
            </w:r>
          </w:p>
        </w:tc>
        <w:tc>
          <w:tcPr>
            <w:tcW w:w="992" w:type="dxa"/>
            <w:noWrap w:val="0"/>
            <w:vAlign w:val="center"/>
          </w:tcPr>
          <w:p w14:paraId="04F5916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2A0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F052E73">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邮政业</w:t>
            </w:r>
          </w:p>
        </w:tc>
        <w:tc>
          <w:tcPr>
            <w:tcW w:w="1369" w:type="dxa"/>
            <w:noWrap w:val="0"/>
            <w:vAlign w:val="center"/>
          </w:tcPr>
          <w:p w14:paraId="5614746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1C0E701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5475DAA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noWrap w:val="0"/>
            <w:vAlign w:val="center"/>
          </w:tcPr>
          <w:p w14:paraId="2296B42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noWrap w:val="0"/>
            <w:vAlign w:val="center"/>
          </w:tcPr>
          <w:p w14:paraId="55094BA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992" w:type="dxa"/>
            <w:noWrap w:val="0"/>
            <w:vAlign w:val="center"/>
          </w:tcPr>
          <w:p w14:paraId="0CE3EFC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483C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DB47C59">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609D339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3C1A5E2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02E28D7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Y≥30000</w:t>
            </w:r>
          </w:p>
        </w:tc>
        <w:tc>
          <w:tcPr>
            <w:tcW w:w="1701" w:type="dxa"/>
            <w:noWrap w:val="0"/>
            <w:vAlign w:val="center"/>
          </w:tcPr>
          <w:p w14:paraId="3E4E76A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2000≤Y＜30000</w:t>
            </w:r>
          </w:p>
        </w:tc>
        <w:tc>
          <w:tcPr>
            <w:tcW w:w="1426" w:type="dxa"/>
            <w:noWrap w:val="0"/>
            <w:vAlign w:val="center"/>
          </w:tcPr>
          <w:p w14:paraId="1E5A7BA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992" w:type="dxa"/>
            <w:noWrap w:val="0"/>
            <w:vAlign w:val="center"/>
          </w:tcPr>
          <w:p w14:paraId="0C41F72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7482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507426E">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住宿业</w:t>
            </w:r>
          </w:p>
        </w:tc>
        <w:tc>
          <w:tcPr>
            <w:tcW w:w="1369" w:type="dxa"/>
            <w:noWrap w:val="0"/>
            <w:vAlign w:val="center"/>
          </w:tcPr>
          <w:p w14:paraId="13CB71A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66DDC0B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5A22737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67D43631">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426" w:type="dxa"/>
            <w:noWrap w:val="0"/>
            <w:vAlign w:val="center"/>
          </w:tcPr>
          <w:p w14:paraId="160377A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5142702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46FE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2B32060">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4C3186B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370C988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6479D58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Y≥10000</w:t>
            </w:r>
          </w:p>
        </w:tc>
        <w:tc>
          <w:tcPr>
            <w:tcW w:w="1701" w:type="dxa"/>
            <w:noWrap w:val="0"/>
            <w:vAlign w:val="center"/>
          </w:tcPr>
          <w:p w14:paraId="0401548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2000≤Y＜10000</w:t>
            </w:r>
          </w:p>
        </w:tc>
        <w:tc>
          <w:tcPr>
            <w:tcW w:w="1426" w:type="dxa"/>
            <w:noWrap w:val="0"/>
            <w:vAlign w:val="center"/>
          </w:tcPr>
          <w:p w14:paraId="31B9698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992" w:type="dxa"/>
            <w:noWrap w:val="0"/>
            <w:vAlign w:val="center"/>
          </w:tcPr>
          <w:p w14:paraId="27D3752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156B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492B778">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餐饮业</w:t>
            </w:r>
          </w:p>
        </w:tc>
        <w:tc>
          <w:tcPr>
            <w:tcW w:w="1369" w:type="dxa"/>
            <w:noWrap w:val="0"/>
            <w:vAlign w:val="center"/>
          </w:tcPr>
          <w:p w14:paraId="128F983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5B79A62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2EC2400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42B16FF0">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100≤X＜300 </w:t>
            </w:r>
          </w:p>
        </w:tc>
        <w:tc>
          <w:tcPr>
            <w:tcW w:w="1426" w:type="dxa"/>
            <w:noWrap w:val="0"/>
            <w:vAlign w:val="center"/>
          </w:tcPr>
          <w:p w14:paraId="2DB082F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536E0D7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1632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E725A30">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0108E01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591EA7E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651F2BC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Y≥10000</w:t>
            </w:r>
          </w:p>
        </w:tc>
        <w:tc>
          <w:tcPr>
            <w:tcW w:w="1701" w:type="dxa"/>
            <w:noWrap w:val="0"/>
            <w:vAlign w:val="center"/>
          </w:tcPr>
          <w:p w14:paraId="3BDE0A8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2000≤Y＜10000</w:t>
            </w:r>
          </w:p>
        </w:tc>
        <w:tc>
          <w:tcPr>
            <w:tcW w:w="1426" w:type="dxa"/>
            <w:noWrap w:val="0"/>
            <w:vAlign w:val="center"/>
          </w:tcPr>
          <w:p w14:paraId="720345D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992" w:type="dxa"/>
            <w:noWrap w:val="0"/>
            <w:vAlign w:val="center"/>
          </w:tcPr>
          <w:p w14:paraId="024DD44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5AA5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A9ACDB5">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信息传输业 *</w:t>
            </w:r>
          </w:p>
        </w:tc>
        <w:tc>
          <w:tcPr>
            <w:tcW w:w="1369" w:type="dxa"/>
            <w:noWrap w:val="0"/>
            <w:vAlign w:val="center"/>
          </w:tcPr>
          <w:p w14:paraId="2E83BD2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537A18C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7AA8FFA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X≥2000</w:t>
            </w:r>
          </w:p>
        </w:tc>
        <w:tc>
          <w:tcPr>
            <w:tcW w:w="1701" w:type="dxa"/>
            <w:noWrap w:val="0"/>
            <w:vAlign w:val="center"/>
          </w:tcPr>
          <w:p w14:paraId="0D139E0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100≤X＜2000</w:t>
            </w:r>
          </w:p>
        </w:tc>
        <w:tc>
          <w:tcPr>
            <w:tcW w:w="1426" w:type="dxa"/>
            <w:noWrap w:val="0"/>
            <w:vAlign w:val="center"/>
          </w:tcPr>
          <w:p w14:paraId="3330165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45605F8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189D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95DF378">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53FACA5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6202AE7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3DD676F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Y≥100000</w:t>
            </w:r>
          </w:p>
        </w:tc>
        <w:tc>
          <w:tcPr>
            <w:tcW w:w="1701" w:type="dxa"/>
            <w:noWrap w:val="0"/>
            <w:vAlign w:val="center"/>
          </w:tcPr>
          <w:p w14:paraId="29DAEF3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1000≤Y＜100000</w:t>
            </w:r>
          </w:p>
        </w:tc>
        <w:tc>
          <w:tcPr>
            <w:tcW w:w="1426" w:type="dxa"/>
            <w:noWrap w:val="0"/>
            <w:vAlign w:val="center"/>
          </w:tcPr>
          <w:p w14:paraId="3730EDD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100≤Y＜1000</w:t>
            </w:r>
          </w:p>
        </w:tc>
        <w:tc>
          <w:tcPr>
            <w:tcW w:w="992" w:type="dxa"/>
            <w:noWrap w:val="0"/>
            <w:vAlign w:val="center"/>
          </w:tcPr>
          <w:p w14:paraId="40A1308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2065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1C262AD1">
            <w:pPr>
              <w:widowControl/>
              <w:spacing w:line="280" w:lineRule="exact"/>
              <w:jc w:val="left"/>
              <w:rPr>
                <w:rFonts w:hint="eastAsia" w:ascii="宋体" w:hAnsi="宋体" w:eastAsia="宋体" w:cs="宋体"/>
                <w:color w:val="auto"/>
                <w:spacing w:val="-12"/>
                <w:sz w:val="18"/>
                <w:szCs w:val="18"/>
                <w:highlight w:val="none"/>
              </w:rPr>
            </w:pPr>
            <w:r>
              <w:rPr>
                <w:rFonts w:hint="eastAsia" w:ascii="宋体" w:hAnsi="宋体" w:eastAsia="宋体" w:cs="宋体"/>
                <w:color w:val="auto"/>
                <w:spacing w:val="-12"/>
                <w:sz w:val="18"/>
                <w:szCs w:val="18"/>
                <w:highlight w:val="none"/>
              </w:rPr>
              <w:t>软件和信息技术服</w:t>
            </w:r>
            <w:r>
              <w:rPr>
                <w:rFonts w:hint="eastAsia" w:ascii="宋体" w:hAnsi="宋体" w:eastAsia="宋体" w:cs="宋体"/>
                <w:color w:val="auto"/>
                <w:sz w:val="18"/>
                <w:szCs w:val="18"/>
                <w:highlight w:val="none"/>
              </w:rPr>
              <w:t>务业</w:t>
            </w:r>
          </w:p>
        </w:tc>
        <w:tc>
          <w:tcPr>
            <w:tcW w:w="1369" w:type="dxa"/>
            <w:noWrap w:val="0"/>
            <w:vAlign w:val="center"/>
          </w:tcPr>
          <w:p w14:paraId="2225A82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10C61A8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56937A5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07736514">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100≤X＜300 </w:t>
            </w:r>
          </w:p>
        </w:tc>
        <w:tc>
          <w:tcPr>
            <w:tcW w:w="1426" w:type="dxa"/>
            <w:noWrap w:val="0"/>
            <w:vAlign w:val="center"/>
          </w:tcPr>
          <w:p w14:paraId="430024C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55A1808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1472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1FC1F68D">
            <w:pPr>
              <w:widowControl/>
              <w:spacing w:line="280" w:lineRule="exact"/>
              <w:jc w:val="left"/>
              <w:rPr>
                <w:rFonts w:hint="eastAsia" w:ascii="宋体" w:hAnsi="宋体" w:eastAsia="宋体" w:cs="宋体"/>
                <w:color w:val="auto"/>
                <w:spacing w:val="-12"/>
                <w:sz w:val="18"/>
                <w:szCs w:val="18"/>
                <w:highlight w:val="none"/>
              </w:rPr>
            </w:pPr>
          </w:p>
        </w:tc>
        <w:tc>
          <w:tcPr>
            <w:tcW w:w="1369" w:type="dxa"/>
            <w:noWrap w:val="0"/>
            <w:vAlign w:val="center"/>
          </w:tcPr>
          <w:p w14:paraId="268872A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3A879DC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37CD5AF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Y≥10000</w:t>
            </w:r>
          </w:p>
        </w:tc>
        <w:tc>
          <w:tcPr>
            <w:tcW w:w="1701" w:type="dxa"/>
            <w:noWrap w:val="0"/>
            <w:vAlign w:val="center"/>
          </w:tcPr>
          <w:p w14:paraId="22FEF33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1000≤Y＜10000</w:t>
            </w:r>
          </w:p>
        </w:tc>
        <w:tc>
          <w:tcPr>
            <w:tcW w:w="1426" w:type="dxa"/>
            <w:noWrap w:val="0"/>
            <w:vAlign w:val="center"/>
          </w:tcPr>
          <w:p w14:paraId="4A7A77E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50≤Y＜1000</w:t>
            </w:r>
          </w:p>
        </w:tc>
        <w:tc>
          <w:tcPr>
            <w:tcW w:w="992" w:type="dxa"/>
            <w:noWrap w:val="0"/>
            <w:vAlign w:val="center"/>
          </w:tcPr>
          <w:p w14:paraId="55ED8C6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w:t>
            </w:r>
          </w:p>
        </w:tc>
      </w:tr>
      <w:tr w14:paraId="2C2A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5B21DB5">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房地产开发经营</w:t>
            </w:r>
          </w:p>
        </w:tc>
        <w:tc>
          <w:tcPr>
            <w:tcW w:w="1369" w:type="dxa"/>
            <w:noWrap w:val="0"/>
            <w:vAlign w:val="center"/>
          </w:tcPr>
          <w:p w14:paraId="2238D35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53CE29F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645F0EF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Y≥200000</w:t>
            </w:r>
          </w:p>
        </w:tc>
        <w:tc>
          <w:tcPr>
            <w:tcW w:w="1701" w:type="dxa"/>
            <w:noWrap w:val="0"/>
            <w:vAlign w:val="center"/>
          </w:tcPr>
          <w:p w14:paraId="50F63A5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1000≤Y＜200000</w:t>
            </w:r>
          </w:p>
        </w:tc>
        <w:tc>
          <w:tcPr>
            <w:tcW w:w="1426" w:type="dxa"/>
            <w:noWrap w:val="0"/>
            <w:vAlign w:val="center"/>
          </w:tcPr>
          <w:p w14:paraId="6E3964B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100≤Y＜1000</w:t>
            </w:r>
          </w:p>
        </w:tc>
        <w:tc>
          <w:tcPr>
            <w:tcW w:w="992" w:type="dxa"/>
            <w:noWrap w:val="0"/>
            <w:vAlign w:val="center"/>
          </w:tcPr>
          <w:p w14:paraId="32B7FFE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5378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66A596A5">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759181A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709" w:type="dxa"/>
            <w:noWrap w:val="0"/>
            <w:vAlign w:val="center"/>
          </w:tcPr>
          <w:p w14:paraId="3BF9D99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7BFBC03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Z≥10000</w:t>
            </w:r>
          </w:p>
        </w:tc>
        <w:tc>
          <w:tcPr>
            <w:tcW w:w="1701" w:type="dxa"/>
            <w:noWrap w:val="0"/>
            <w:vAlign w:val="center"/>
          </w:tcPr>
          <w:p w14:paraId="4CF4BE5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5000≤Z＜10000</w:t>
            </w:r>
          </w:p>
        </w:tc>
        <w:tc>
          <w:tcPr>
            <w:tcW w:w="1426" w:type="dxa"/>
            <w:noWrap w:val="0"/>
            <w:vAlign w:val="center"/>
          </w:tcPr>
          <w:p w14:paraId="4C9863B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2000≤Z＜5000</w:t>
            </w:r>
          </w:p>
        </w:tc>
        <w:tc>
          <w:tcPr>
            <w:tcW w:w="992" w:type="dxa"/>
            <w:noWrap w:val="0"/>
            <w:vAlign w:val="center"/>
          </w:tcPr>
          <w:p w14:paraId="526C323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Z＜2000</w:t>
            </w:r>
          </w:p>
        </w:tc>
      </w:tr>
      <w:tr w14:paraId="079A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1A44B31">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物业管理</w:t>
            </w:r>
          </w:p>
        </w:tc>
        <w:tc>
          <w:tcPr>
            <w:tcW w:w="1369" w:type="dxa"/>
            <w:noWrap w:val="0"/>
            <w:vAlign w:val="center"/>
          </w:tcPr>
          <w:p w14:paraId="448D259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665D5E6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5276194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noWrap w:val="0"/>
            <w:vAlign w:val="center"/>
          </w:tcPr>
          <w:p w14:paraId="1D40497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noWrap w:val="0"/>
            <w:vAlign w:val="center"/>
          </w:tcPr>
          <w:p w14:paraId="4D9596A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992" w:type="dxa"/>
            <w:noWrap w:val="0"/>
            <w:vAlign w:val="center"/>
          </w:tcPr>
          <w:p w14:paraId="245560B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w:t>
            </w:r>
          </w:p>
        </w:tc>
      </w:tr>
      <w:tr w14:paraId="0EC4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04C10E4F">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4CCB6F7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4802CFE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340CAE0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Y≥5000</w:t>
            </w:r>
          </w:p>
        </w:tc>
        <w:tc>
          <w:tcPr>
            <w:tcW w:w="1701" w:type="dxa"/>
            <w:noWrap w:val="0"/>
            <w:vAlign w:val="center"/>
          </w:tcPr>
          <w:p w14:paraId="6A0794F9">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1000≤Y＜5000</w:t>
            </w:r>
          </w:p>
        </w:tc>
        <w:tc>
          <w:tcPr>
            <w:tcW w:w="1426" w:type="dxa"/>
            <w:noWrap w:val="0"/>
            <w:vAlign w:val="center"/>
          </w:tcPr>
          <w:p w14:paraId="296FA1F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500≤Y＜1000</w:t>
            </w:r>
          </w:p>
        </w:tc>
        <w:tc>
          <w:tcPr>
            <w:tcW w:w="992" w:type="dxa"/>
            <w:noWrap w:val="0"/>
            <w:vAlign w:val="center"/>
          </w:tcPr>
          <w:p w14:paraId="25E4412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Y＜500</w:t>
            </w:r>
          </w:p>
        </w:tc>
      </w:tr>
      <w:tr w14:paraId="79BC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2853C576">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租赁和商务服务业</w:t>
            </w:r>
          </w:p>
        </w:tc>
        <w:tc>
          <w:tcPr>
            <w:tcW w:w="1369" w:type="dxa"/>
            <w:noWrap w:val="0"/>
            <w:vAlign w:val="center"/>
          </w:tcPr>
          <w:p w14:paraId="19BE282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00AEE26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43EC243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2167CCE2">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426" w:type="dxa"/>
            <w:noWrap w:val="0"/>
            <w:vAlign w:val="center"/>
          </w:tcPr>
          <w:p w14:paraId="5D78A84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019AF59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11F6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8E2A7D4">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6AFCE9C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709" w:type="dxa"/>
            <w:noWrap w:val="0"/>
            <w:vAlign w:val="center"/>
          </w:tcPr>
          <w:p w14:paraId="6B73435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60311A1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Z≥120000</w:t>
            </w:r>
          </w:p>
        </w:tc>
        <w:tc>
          <w:tcPr>
            <w:tcW w:w="1701" w:type="dxa"/>
            <w:noWrap w:val="0"/>
            <w:vAlign w:val="center"/>
          </w:tcPr>
          <w:p w14:paraId="5EB56C4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8000≤Z＜120000</w:t>
            </w:r>
          </w:p>
        </w:tc>
        <w:tc>
          <w:tcPr>
            <w:tcW w:w="1426" w:type="dxa"/>
            <w:noWrap w:val="0"/>
            <w:vAlign w:val="center"/>
          </w:tcPr>
          <w:p w14:paraId="1EBF199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100≤Z＜8000</w:t>
            </w:r>
          </w:p>
        </w:tc>
        <w:tc>
          <w:tcPr>
            <w:tcW w:w="992" w:type="dxa"/>
            <w:noWrap w:val="0"/>
            <w:vAlign w:val="center"/>
          </w:tcPr>
          <w:p w14:paraId="5491EA6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Z＜100</w:t>
            </w:r>
          </w:p>
        </w:tc>
      </w:tr>
      <w:tr w14:paraId="06FE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6117746A">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其他未列明行业 *</w:t>
            </w:r>
          </w:p>
        </w:tc>
        <w:tc>
          <w:tcPr>
            <w:tcW w:w="1369" w:type="dxa"/>
            <w:noWrap w:val="0"/>
            <w:vAlign w:val="center"/>
          </w:tcPr>
          <w:p w14:paraId="10B545F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0877264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2568705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79C4D776">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426" w:type="dxa"/>
            <w:noWrap w:val="0"/>
            <w:vAlign w:val="center"/>
          </w:tcPr>
          <w:p w14:paraId="7D9C1EB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0F0C075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bl>
    <w:p w14:paraId="0D7EE5B7">
      <w:pPr>
        <w:widowControl/>
        <w:spacing w:line="280" w:lineRule="exact"/>
        <w:rPr>
          <w:rFonts w:hint="eastAsia" w:ascii="宋体" w:hAnsi="宋体" w:eastAsia="宋体" w:cs="宋体"/>
          <w:color w:val="auto"/>
          <w:spacing w:val="8"/>
          <w:sz w:val="24"/>
          <w:highlight w:val="none"/>
        </w:rPr>
      </w:pPr>
    </w:p>
    <w:p w14:paraId="580F3E4D">
      <w:pPr>
        <w:widowControl/>
        <w:spacing w:line="360" w:lineRule="auto"/>
        <w:rPr>
          <w:rFonts w:hint="eastAsia"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说明：</w:t>
      </w:r>
    </w:p>
    <w:p w14:paraId="3BDC84E4">
      <w:pPr>
        <w:pStyle w:val="24"/>
        <w:spacing w:line="360" w:lineRule="auto"/>
        <w:ind w:firstLine="452"/>
        <w:contextualSpacing/>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1.大型、中型和小型企业须同时满足所列指标的下限，否则下划一档；微型企业只须满足所列指标中的一项即可。</w:t>
      </w:r>
    </w:p>
    <w:p w14:paraId="3D0EE320">
      <w:pPr>
        <w:pStyle w:val="24"/>
        <w:spacing w:line="360" w:lineRule="auto"/>
        <w:ind w:firstLine="452"/>
        <w:contextualSpacing/>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DC4D2C4">
      <w:pPr>
        <w:pStyle w:val="24"/>
        <w:spacing w:line="360" w:lineRule="auto"/>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0CE7AA5">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08F830EE">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6C14A416">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0FD99BD">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001C41E">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6285AC4A">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084C34F6">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FCEADCF">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474A663">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6E4E016C">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179332C">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B052DB4">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59D13670">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5DE2C41">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039AE7AF">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A0399A1">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22E212AA">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6723156">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0DB55161">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6128074B">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highlight w:val="none"/>
          <w:lang w:val="en-US" w:eastAsia="zh-CN"/>
        </w:rPr>
      </w:pPr>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3</w:t>
      </w:r>
    </w:p>
    <w:p w14:paraId="71C7E0B8">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center"/>
        <w:rPr>
          <w:rFonts w:hint="eastAsia" w:ascii="宋体" w:hAnsi="宋体" w:eastAsia="宋体" w:cs="宋体"/>
          <w:b/>
          <w:i w:val="0"/>
          <w:iCs w:val="0"/>
          <w:caps w:val="0"/>
          <w:color w:val="auto"/>
          <w:spacing w:val="0"/>
          <w:sz w:val="30"/>
          <w:szCs w:val="30"/>
          <w:highlight w:val="none"/>
          <w:shd w:val="clear" w:color="auto" w:fill="auto"/>
        </w:rPr>
      </w:pPr>
    </w:p>
    <w:p w14:paraId="0F3FDB36">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center"/>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b/>
          <w:i w:val="0"/>
          <w:iCs w:val="0"/>
          <w:caps w:val="0"/>
          <w:color w:val="auto"/>
          <w:spacing w:val="0"/>
          <w:sz w:val="30"/>
          <w:szCs w:val="30"/>
          <w:highlight w:val="none"/>
          <w:shd w:val="clear" w:color="auto" w:fill="auto"/>
        </w:rPr>
        <w:t>中国境内生产的组件成本核算基本规则</w:t>
      </w:r>
    </w:p>
    <w:p w14:paraId="09AF4220">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3B21F280">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一、产品的一级组件是指直接组成产品的组件。产品的二级组件是指直接组成产品一级组件的组件。一级组件不可分解的，视同二级组件。</w:t>
      </w:r>
    </w:p>
    <w:p w14:paraId="4C69EC23">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二、二级组件在中国境内生产的，其全部成本计入中国境内生产的组件成本；二级组件不在中国境内生产的，其成本不计入中国境内生产的组件成本。</w:t>
      </w:r>
    </w:p>
    <w:p w14:paraId="7D49BC68">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三、产品总成本和组件成本以相关会计核算数据、采购合同、进货记录等为基础进行计算。</w:t>
      </w:r>
    </w:p>
    <w:p w14:paraId="3590A5AB">
      <w:pPr>
        <w:keepNext/>
        <w:keepLines/>
        <w:spacing w:before="340" w:after="330" w:line="360" w:lineRule="auto"/>
        <w:ind w:firstLine="420"/>
        <w:jc w:val="center"/>
        <w:outlineLvl w:val="0"/>
        <w:rPr>
          <w:rFonts w:hint="eastAsia" w:ascii="宋体" w:hAnsi="宋体" w:eastAsia="宋体" w:cs="宋体"/>
          <w:b/>
          <w:bCs/>
          <w:color w:val="auto"/>
          <w:sz w:val="44"/>
          <w:szCs w:val="44"/>
          <w:highlight w:val="none"/>
          <w:lang w:val="zh-CN" w:eastAsia="zh-CN"/>
        </w:rPr>
      </w:pPr>
      <w:r>
        <w:rPr>
          <w:rFonts w:hint="eastAsia" w:ascii="宋体" w:hAnsi="宋体" w:eastAsia="宋体" w:cs="宋体"/>
          <w:i w:val="0"/>
          <w:iCs w:val="0"/>
          <w:caps w:val="0"/>
          <w:color w:val="auto"/>
          <w:spacing w:val="0"/>
          <w:sz w:val="21"/>
          <w:szCs w:val="21"/>
          <w:highlight w:val="none"/>
          <w:shd w:val="clear" w:color="auto" w:fill="auto"/>
        </w:rPr>
        <w:t>四、需要对成本核算规则予以进一步明确的其他有关事项，由财政部会同有关部门另行规定。</w:t>
      </w:r>
      <w:r>
        <w:rPr>
          <w:rFonts w:hint="eastAsia" w:ascii="宋体" w:hAnsi="宋体" w:eastAsia="宋体" w:cs="宋体"/>
          <w:color w:val="auto"/>
          <w:szCs w:val="21"/>
          <w:highlight w:val="none"/>
        </w:rPr>
        <w:br w:type="page" w:clear="all"/>
      </w:r>
      <w:bookmarkStart w:id="57" w:name="_Toc382"/>
      <w:bookmarkStart w:id="58" w:name="_Toc2044"/>
      <w:bookmarkStart w:id="59" w:name="_Toc10873"/>
      <w:bookmarkStart w:id="60" w:name="_Toc16363"/>
      <w:bookmarkStart w:id="61" w:name="_Toc25569"/>
      <w:bookmarkStart w:id="62" w:name="_Toc1222"/>
      <w:bookmarkStart w:id="63" w:name="_Toc9409"/>
      <w:r>
        <w:rPr>
          <w:rFonts w:hint="eastAsia" w:ascii="宋体" w:hAnsi="宋体" w:eastAsia="宋体" w:cs="宋体"/>
          <w:b/>
          <w:color w:val="auto"/>
          <w:sz w:val="32"/>
          <w:szCs w:val="32"/>
          <w:highlight w:val="none"/>
          <w:lang w:val="zh-CN" w:eastAsia="zh-CN"/>
        </w:rPr>
        <w:t>第三章 供应商须知</w:t>
      </w:r>
      <w:bookmarkEnd w:id="55"/>
      <w:bookmarkEnd w:id="56"/>
      <w:bookmarkEnd w:id="57"/>
      <w:bookmarkEnd w:id="58"/>
      <w:bookmarkEnd w:id="59"/>
      <w:bookmarkEnd w:id="60"/>
      <w:bookmarkEnd w:id="61"/>
      <w:bookmarkEnd w:id="62"/>
      <w:bookmarkEnd w:id="63"/>
    </w:p>
    <w:p w14:paraId="3E1B9D51">
      <w:pPr>
        <w:keepNext/>
        <w:keepLines/>
        <w:spacing w:before="260" w:after="260" w:line="416" w:lineRule="auto"/>
        <w:jc w:val="center"/>
        <w:outlineLvl w:val="1"/>
        <w:rPr>
          <w:rFonts w:hint="eastAsia" w:ascii="宋体" w:hAnsi="宋体" w:eastAsia="宋体" w:cs="宋体"/>
          <w:b/>
          <w:color w:val="auto"/>
          <w:sz w:val="32"/>
          <w:szCs w:val="32"/>
          <w:highlight w:val="none"/>
        </w:rPr>
      </w:pPr>
      <w:bookmarkStart w:id="64" w:name="_Toc28658"/>
      <w:bookmarkStart w:id="65" w:name="_Toc10590"/>
      <w:bookmarkStart w:id="66" w:name="_Toc80205923"/>
      <w:r>
        <w:rPr>
          <w:rFonts w:hint="eastAsia" w:ascii="宋体" w:hAnsi="宋体" w:eastAsia="宋体" w:cs="宋体"/>
          <w:bCs/>
          <w:color w:val="auto"/>
          <w:sz w:val="32"/>
          <w:szCs w:val="32"/>
          <w:highlight w:val="none"/>
          <w:lang w:val="zh-CN" w:eastAsia="zh-CN"/>
        </w:rPr>
        <w:t>第一节 供应商须知前附表</w:t>
      </w:r>
      <w:bookmarkEnd w:id="64"/>
      <w:bookmarkEnd w:id="65"/>
      <w:bookmarkEnd w:id="66"/>
    </w:p>
    <w:tbl>
      <w:tblPr>
        <w:tblStyle w:val="44"/>
        <w:tblW w:w="99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2382"/>
        <w:gridCol w:w="6586"/>
      </w:tblGrid>
      <w:tr w14:paraId="50C28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noWrap w:val="0"/>
          </w:tcPr>
          <w:p w14:paraId="149F919B">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382" w:type="dxa"/>
            <w:noWrap w:val="0"/>
            <w:vAlign w:val="center"/>
          </w:tcPr>
          <w:p w14:paraId="0D71001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586" w:type="dxa"/>
            <w:noWrap w:val="0"/>
          </w:tcPr>
          <w:p w14:paraId="457BB8A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6A787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noWrap w:val="0"/>
          </w:tcPr>
          <w:p w14:paraId="3EE88EF7">
            <w:pPr>
              <w:spacing w:line="360" w:lineRule="auto"/>
              <w:jc w:val="center"/>
              <w:rPr>
                <w:rFonts w:hint="eastAsia" w:ascii="宋体" w:hAnsi="宋体" w:eastAsia="宋体" w:cs="宋体"/>
                <w:b w:val="0"/>
                <w:color w:val="auto"/>
                <w:szCs w:val="21"/>
                <w:highlight w:val="none"/>
                <w:lang w:val="en-US" w:eastAsia="zh-CN"/>
              </w:rPr>
            </w:pPr>
          </w:p>
          <w:p w14:paraId="70F0CDF2">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val="0"/>
                <w:color w:val="auto"/>
                <w:szCs w:val="21"/>
                <w:highlight w:val="none"/>
                <w:lang w:val="en-US" w:eastAsia="zh-CN"/>
              </w:rPr>
              <w:t>2.9</w:t>
            </w:r>
          </w:p>
        </w:tc>
        <w:tc>
          <w:tcPr>
            <w:tcW w:w="2382" w:type="dxa"/>
            <w:noWrap w:val="0"/>
            <w:vAlign w:val="center"/>
          </w:tcPr>
          <w:p w14:paraId="7C3B059C">
            <w:pPr>
              <w:spacing w:line="360" w:lineRule="auto"/>
              <w:jc w:val="center"/>
              <w:rPr>
                <w:rFonts w:hint="eastAsia" w:ascii="宋体" w:hAnsi="宋体" w:eastAsia="宋体" w:cs="宋体"/>
                <w:b w:val="0"/>
                <w:color w:val="auto"/>
                <w:szCs w:val="21"/>
                <w:highlight w:val="none"/>
              </w:rPr>
            </w:pPr>
            <w:r>
              <w:rPr>
                <w:rFonts w:hint="eastAsia" w:ascii="宋体" w:hAnsi="宋体" w:eastAsia="宋体" w:cs="宋体"/>
                <w:b w:val="0"/>
                <w:color w:val="auto"/>
                <w:szCs w:val="21"/>
                <w:highlight w:val="none"/>
              </w:rPr>
              <w:t>实质性要求</w:t>
            </w:r>
          </w:p>
        </w:tc>
        <w:tc>
          <w:tcPr>
            <w:tcW w:w="6586" w:type="dxa"/>
            <w:noWrap w:val="0"/>
          </w:tcPr>
          <w:p w14:paraId="6D086758">
            <w:pPr>
              <w:spacing w:line="360" w:lineRule="auto"/>
              <w:jc w:val="left"/>
              <w:rPr>
                <w:rFonts w:hint="eastAsia" w:ascii="宋体" w:hAnsi="宋体" w:eastAsia="宋体" w:cs="宋体"/>
                <w:b w:val="0"/>
                <w:color w:val="auto"/>
                <w:szCs w:val="21"/>
                <w:highlight w:val="none"/>
              </w:rPr>
            </w:pPr>
            <w:r>
              <w:rPr>
                <w:rFonts w:hint="eastAsia" w:ascii="宋体" w:hAnsi="宋体" w:eastAsia="宋体" w:cs="宋体"/>
                <w:b w:val="0"/>
                <w:color w:val="auto"/>
                <w:szCs w:val="21"/>
                <w:highlight w:val="none"/>
              </w:rPr>
              <w:t>指竞争性谈判文件中已经指明不提供或不满足则响应文件作无效响应处理的条款，或者采购需求</w:t>
            </w:r>
            <w:r>
              <w:rPr>
                <w:rFonts w:hint="eastAsia" w:ascii="宋体" w:hAnsi="宋体" w:eastAsia="宋体" w:cs="宋体"/>
                <w:b w:val="0"/>
                <w:color w:val="auto"/>
                <w:szCs w:val="21"/>
                <w:highlight w:val="none"/>
                <w:lang w:eastAsia="zh-CN"/>
              </w:rPr>
              <w:t>及响应文件格式</w:t>
            </w:r>
            <w:r>
              <w:rPr>
                <w:rFonts w:hint="eastAsia" w:ascii="宋体" w:hAnsi="宋体" w:eastAsia="宋体" w:cs="宋体"/>
                <w:b w:val="0"/>
                <w:color w:val="auto"/>
                <w:szCs w:val="21"/>
                <w:highlight w:val="none"/>
              </w:rPr>
              <w:t>中带“▲”的条款。</w:t>
            </w:r>
          </w:p>
        </w:tc>
      </w:tr>
      <w:tr w14:paraId="3DB58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noWrap w:val="0"/>
            <w:vAlign w:val="center"/>
          </w:tcPr>
          <w:p w14:paraId="3AE039F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382" w:type="dxa"/>
            <w:noWrap w:val="0"/>
            <w:vAlign w:val="center"/>
          </w:tcPr>
          <w:p w14:paraId="25BD45C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586" w:type="dxa"/>
            <w:noWrap w:val="0"/>
          </w:tcPr>
          <w:p w14:paraId="7CFA23B7">
            <w:pPr>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供应商资格条件要求详见</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公告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tc>
      </w:tr>
      <w:tr w14:paraId="1E977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978ECE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382" w:type="dxa"/>
            <w:noWrap w:val="0"/>
            <w:vAlign w:val="center"/>
          </w:tcPr>
          <w:p w14:paraId="1AA3923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586" w:type="dxa"/>
            <w:noWrap w:val="0"/>
            <w:vAlign w:val="center"/>
          </w:tcPr>
          <w:p w14:paraId="25D07F0D">
            <w:pPr>
              <w:spacing w:line="360" w:lineRule="auto"/>
              <w:rPr>
                <w:rFonts w:hint="eastAsia" w:ascii="宋体" w:hAnsi="宋体" w:eastAsia="宋体" w:cs="宋体"/>
                <w:color w:val="auto"/>
                <w:szCs w:val="21"/>
                <w:highlight w:val="none"/>
              </w:rPr>
            </w:pPr>
            <w:bookmarkStart w:id="67" w:name="PO_3000001871_PM007_1"/>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公告</w:t>
            </w:r>
            <w:bookmarkEnd w:id="67"/>
            <w:r>
              <w:rPr>
                <w:rFonts w:hint="eastAsia" w:ascii="宋体" w:hAnsi="宋体" w:eastAsia="宋体" w:cs="宋体"/>
                <w:color w:val="auto"/>
                <w:szCs w:val="21"/>
                <w:highlight w:val="none"/>
              </w:rPr>
              <w:t>。</w:t>
            </w:r>
          </w:p>
        </w:tc>
      </w:tr>
      <w:tr w14:paraId="6D4E3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F569C4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382" w:type="dxa"/>
            <w:noWrap w:val="0"/>
            <w:vAlign w:val="center"/>
          </w:tcPr>
          <w:p w14:paraId="3B3F826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586" w:type="dxa"/>
            <w:noWrap w:val="0"/>
            <w:vAlign w:val="center"/>
          </w:tcPr>
          <w:p w14:paraId="683D17E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不接受联合体。</w:t>
            </w:r>
          </w:p>
        </w:tc>
      </w:tr>
      <w:tr w14:paraId="643B4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3293B9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2</w:t>
            </w:r>
          </w:p>
        </w:tc>
        <w:tc>
          <w:tcPr>
            <w:tcW w:w="2382" w:type="dxa"/>
            <w:noWrap w:val="0"/>
            <w:vAlign w:val="center"/>
          </w:tcPr>
          <w:p w14:paraId="1C95E39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586" w:type="dxa"/>
            <w:noWrap w:val="0"/>
            <w:vAlign w:val="center"/>
          </w:tcPr>
          <w:p w14:paraId="2EC6DB47">
            <w:pPr>
              <w:spacing w:line="360" w:lineRule="auto"/>
              <w:jc w:val="left"/>
              <w:rPr>
                <w:rFonts w:hint="eastAsia" w:ascii="宋体" w:hAnsi="宋体" w:eastAsia="宋体" w:cs="宋体"/>
                <w:color w:val="auto"/>
                <w:szCs w:val="21"/>
                <w:highlight w:val="none"/>
              </w:rPr>
            </w:pPr>
            <w:bookmarkStart w:id="68" w:name="PO_3000001871_PM044"/>
            <w:r>
              <w:rPr>
                <w:rFonts w:hint="eastAsia" w:ascii="宋体" w:hAnsi="宋体" w:eastAsia="宋体" w:cs="宋体"/>
                <w:color w:val="auto"/>
                <w:highlight w:val="none"/>
                <w:lang w:val="en-US" w:eastAsia="zh-CN"/>
              </w:rPr>
              <w:t>☑</w:t>
            </w:r>
            <w:r>
              <w:rPr>
                <w:rFonts w:hint="eastAsia" w:ascii="宋体" w:hAnsi="宋体" w:eastAsia="宋体" w:cs="宋体"/>
                <w:color w:val="auto"/>
                <w:szCs w:val="21"/>
                <w:highlight w:val="none"/>
              </w:rPr>
              <w:t>不允许分包</w:t>
            </w:r>
            <w:bookmarkEnd w:id="68"/>
          </w:p>
          <w:p w14:paraId="0F29E396">
            <w:pPr>
              <w:pStyle w:val="16"/>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□允许分包</w:t>
            </w:r>
          </w:p>
          <w:p w14:paraId="1E9C585D">
            <w:pPr>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分包内容：</w:t>
            </w:r>
            <w:r>
              <w:rPr>
                <w:rFonts w:hint="eastAsia" w:ascii="宋体" w:hAnsi="宋体" w:eastAsia="宋体" w:cs="宋体"/>
                <w:color w:val="auto"/>
                <w:szCs w:val="21"/>
                <w:highlight w:val="none"/>
                <w:u w:val="single"/>
              </w:rPr>
              <w:t xml:space="preserve">                                     。</w:t>
            </w:r>
          </w:p>
          <w:p w14:paraId="551B480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分包金额或者比例：</w:t>
            </w:r>
            <w:r>
              <w:rPr>
                <w:rFonts w:hint="eastAsia" w:ascii="宋体" w:hAnsi="宋体" w:eastAsia="宋体" w:cs="宋体"/>
                <w:color w:val="auto"/>
                <w:szCs w:val="21"/>
                <w:highlight w:val="none"/>
                <w:u w:val="single"/>
              </w:rPr>
              <w:t xml:space="preserve">                                     。</w:t>
            </w:r>
          </w:p>
        </w:tc>
      </w:tr>
      <w:tr w14:paraId="20FF7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0FE914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382" w:type="dxa"/>
            <w:noWrap w:val="0"/>
            <w:vAlign w:val="center"/>
          </w:tcPr>
          <w:p w14:paraId="74480350">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资格文件组成</w:t>
            </w:r>
          </w:p>
          <w:p w14:paraId="48D3444E">
            <w:pPr>
              <w:spacing w:line="360" w:lineRule="auto"/>
              <w:jc w:val="center"/>
              <w:rPr>
                <w:rFonts w:hint="eastAsia" w:ascii="宋体" w:hAnsi="宋体" w:eastAsia="宋体" w:cs="宋体"/>
                <w:color w:val="auto"/>
                <w:szCs w:val="21"/>
                <w:highlight w:val="none"/>
              </w:rPr>
            </w:pPr>
          </w:p>
        </w:tc>
        <w:tc>
          <w:tcPr>
            <w:tcW w:w="6586" w:type="dxa"/>
            <w:noWrap w:val="0"/>
            <w:vAlign w:val="center"/>
          </w:tcPr>
          <w:p w14:paraId="2667F2D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1.供应商为法人或者其他组织的，提供营业执照等证明文件复印件（如营业执照或者事业单位法人证书或者执业许可证等），供应商为自然人的，提供有效身份证正反面复印件；银行、保险、石油石化、电力、电信等有行业特殊情况的，法人的分支机构经法人授权后可以分支机构的身份参加政府采购。如供应商为分支机构的，必须在响应文件中同时提供经法人授权供应商以分支机构名义参加竞标的</w:t>
            </w:r>
            <w:r>
              <w:rPr>
                <w:rFonts w:hint="eastAsia" w:ascii="宋体" w:hAnsi="宋体" w:eastAsia="宋体" w:cs="宋体"/>
                <w:color w:val="auto"/>
                <w:sz w:val="21"/>
                <w:szCs w:val="21"/>
                <w:highlight w:val="none"/>
                <w:lang w:val="en-US" w:eastAsia="zh-CN"/>
              </w:rPr>
              <w:t>授权委托书、法人营业执照及分支机构营业执照的复印件</w:t>
            </w:r>
            <w:r>
              <w:rPr>
                <w:rFonts w:hint="eastAsia" w:ascii="宋体" w:hAnsi="宋体" w:eastAsia="宋体" w:cs="宋体"/>
                <w:color w:val="auto"/>
                <w:highlight w:val="none"/>
                <w:lang w:val="en-US" w:eastAsia="zh-CN"/>
              </w:rPr>
              <w:t>。</w:t>
            </w:r>
            <w:r>
              <w:rPr>
                <w:rFonts w:hint="eastAsia" w:ascii="宋体" w:hAnsi="宋体" w:eastAsia="宋体" w:cs="宋体"/>
                <w:b/>
                <w:bCs/>
                <w:color w:val="auto"/>
                <w:highlight w:val="none"/>
                <w:lang w:val="en-US" w:eastAsia="zh-CN"/>
              </w:rPr>
              <w:t>（必须提供，否则作无效响应处理）</w:t>
            </w:r>
          </w:p>
          <w:p w14:paraId="4C1CCA4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2.供应商依法缴纳税收的相关材料（</w:t>
            </w:r>
            <w:r>
              <w:rPr>
                <w:rFonts w:hint="eastAsia" w:ascii="宋体" w:hAnsi="宋体" w:eastAsia="宋体" w:cs="宋体"/>
                <w:color w:val="auto"/>
                <w:szCs w:val="21"/>
                <w:highlight w:val="none"/>
                <w:u w:val="none"/>
                <w:lang w:val="en-US" w:eastAsia="zh-CN"/>
              </w:rPr>
              <w:t>提供税款所属时期为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lang w:val="en-US" w:eastAsia="zh-CN"/>
              </w:rPr>
              <w:t>首次响应</w:t>
            </w:r>
            <w:r>
              <w:rPr>
                <w:rFonts w:hint="eastAsia" w:ascii="宋体" w:hAnsi="宋体" w:eastAsia="宋体" w:cs="宋体"/>
                <w:color w:val="auto"/>
                <w:sz w:val="21"/>
                <w:szCs w:val="21"/>
                <w:highlight w:val="none"/>
              </w:rPr>
              <w:t>文件提交截止时间止</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个月的依法缴纳税收的凭据复印件；</w:t>
            </w:r>
            <w:r>
              <w:rPr>
                <w:rFonts w:hint="eastAsia" w:ascii="宋体" w:hAnsi="宋体" w:eastAsia="宋体" w:cs="宋体"/>
                <w:color w:val="auto"/>
                <w:highlight w:val="none"/>
              </w:rPr>
              <w:t>依法免税的</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，必须提供相应文件证明其依法免税。</w:t>
            </w:r>
            <w:r>
              <w:rPr>
                <w:rFonts w:hint="eastAsia" w:ascii="宋体" w:hAnsi="宋体" w:eastAsia="宋体" w:cs="宋体"/>
                <w:color w:val="auto"/>
                <w:szCs w:val="21"/>
                <w:highlight w:val="none"/>
              </w:rPr>
              <w:t>从取得营业执照时间起到首次响应文件提交截止时间为止不足要求月数的，只需提供从取得营业执照起的依法缴纳税收</w:t>
            </w:r>
            <w:r>
              <w:rPr>
                <w:rFonts w:hint="eastAsia" w:ascii="宋体" w:hAnsi="宋体" w:eastAsia="宋体" w:cs="宋体"/>
                <w:color w:val="auto"/>
                <w:highlight w:val="none"/>
              </w:rPr>
              <w:t>相应证明文件</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6A8B822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3.供应商依法缴纳社会保障资金的相关材料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none"/>
                <w:lang w:val="en-US" w:eastAsia="zh-CN"/>
              </w:rPr>
              <w:t>提供税款所属时期或缴费起始时间为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lang w:val="en-US" w:eastAsia="zh-CN"/>
              </w:rPr>
              <w:t>首次响应</w:t>
            </w:r>
            <w:r>
              <w:rPr>
                <w:rFonts w:hint="eastAsia" w:ascii="宋体" w:hAnsi="宋体" w:eastAsia="宋体" w:cs="宋体"/>
                <w:color w:val="auto"/>
                <w:sz w:val="21"/>
                <w:szCs w:val="21"/>
                <w:highlight w:val="none"/>
              </w:rPr>
              <w:t>文件提交截止时间止</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个月的依法缴纳社会保障资金的缴费凭证复印件；</w:t>
            </w:r>
            <w:r>
              <w:rPr>
                <w:rFonts w:hint="eastAsia" w:ascii="宋体" w:hAnsi="宋体" w:eastAsia="宋体" w:cs="宋体"/>
                <w:color w:val="auto"/>
                <w:highlight w:val="none"/>
              </w:rPr>
              <w:t>依法不需要缴纳社会保障资金的</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，必须提供相应文件证明不需要缴纳社会保障资金。</w:t>
            </w:r>
            <w:r>
              <w:rPr>
                <w:rFonts w:hint="eastAsia" w:ascii="宋体" w:hAnsi="宋体" w:eastAsia="宋体" w:cs="宋体"/>
                <w:color w:val="auto"/>
                <w:szCs w:val="21"/>
                <w:highlight w:val="none"/>
              </w:rPr>
              <w:t>从取得营业执照时间起到首次响应文件提交截止时间为止不足要求月数的只需提供从取得营业执照起的依法缴纳社会保障资金的</w:t>
            </w:r>
            <w:r>
              <w:rPr>
                <w:rFonts w:hint="eastAsia" w:ascii="宋体" w:hAnsi="宋体" w:eastAsia="宋体" w:cs="宋体"/>
                <w:color w:val="auto"/>
                <w:highlight w:val="none"/>
              </w:rPr>
              <w:t>相应证明文件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7021C4B4">
            <w:pPr>
              <w:spacing w:line="360" w:lineRule="auto"/>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4.供应商财务状况报告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提供</w:t>
            </w:r>
            <w:r>
              <w:rPr>
                <w:rFonts w:hint="eastAsia" w:ascii="宋体" w:hAnsi="宋体" w:eastAsia="宋体" w:cs="宋体"/>
                <w:color w:val="auto"/>
                <w:szCs w:val="21"/>
                <w:highlight w:val="none"/>
                <w:u w:val="single"/>
                <w:lang w:val="en-US" w:eastAsia="zh-CN"/>
              </w:rPr>
              <w:t xml:space="preserve"> 2025 </w:t>
            </w:r>
            <w:r>
              <w:rPr>
                <w:rFonts w:hint="eastAsia" w:ascii="宋体" w:hAnsi="宋体" w:eastAsia="宋体" w:cs="宋体"/>
                <w:color w:val="auto"/>
                <w:szCs w:val="21"/>
                <w:highlight w:val="none"/>
              </w:rPr>
              <w:t>年度经审计的财务报告</w:t>
            </w:r>
            <w:r>
              <w:rPr>
                <w:rFonts w:hint="eastAsia" w:ascii="宋体" w:hAnsi="宋体" w:eastAsia="宋体" w:cs="宋体"/>
                <w:color w:val="auto"/>
                <w:szCs w:val="21"/>
                <w:highlight w:val="none"/>
                <w:lang w:eastAsia="zh-CN"/>
              </w:rPr>
              <w:t>复印件</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者首次响应文件提交截止</w:t>
            </w:r>
            <w:r>
              <w:rPr>
                <w:rFonts w:hint="eastAsia" w:ascii="宋体" w:hAnsi="宋体" w:eastAsia="宋体" w:cs="宋体"/>
                <w:color w:val="auto"/>
                <w:szCs w:val="21"/>
                <w:highlight w:val="none"/>
              </w:rPr>
              <w:t>时间前半年内至少一个月能反映财务状况的报表或</w:t>
            </w:r>
            <w:r>
              <w:rPr>
                <w:rFonts w:hint="eastAsia" w:ascii="宋体" w:hAnsi="宋体" w:eastAsia="宋体" w:cs="宋体"/>
                <w:color w:val="auto"/>
                <w:szCs w:val="21"/>
                <w:highlight w:val="none"/>
                <w:lang w:eastAsia="zh-CN"/>
              </w:rPr>
              <w:t>者供应商</w:t>
            </w:r>
            <w:r>
              <w:rPr>
                <w:rFonts w:hint="eastAsia" w:ascii="宋体" w:hAnsi="宋体" w:eastAsia="宋体" w:cs="宋体"/>
                <w:color w:val="auto"/>
                <w:szCs w:val="21"/>
                <w:highlight w:val="none"/>
              </w:rPr>
              <w:t>自拟的</w:t>
            </w:r>
            <w:r>
              <w:rPr>
                <w:rFonts w:hint="eastAsia" w:ascii="宋体" w:hAnsi="宋体" w:eastAsia="宋体" w:cs="宋体"/>
                <w:color w:val="auto"/>
                <w:szCs w:val="21"/>
                <w:highlight w:val="none"/>
                <w:lang w:eastAsia="zh-CN"/>
              </w:rPr>
              <w:t>首次响应文件提交截止</w:t>
            </w:r>
            <w:r>
              <w:rPr>
                <w:rFonts w:hint="eastAsia" w:ascii="宋体" w:hAnsi="宋体" w:eastAsia="宋体" w:cs="宋体"/>
                <w:color w:val="auto"/>
                <w:szCs w:val="21"/>
                <w:highlight w:val="none"/>
              </w:rPr>
              <w:t>前半年内至少一个月的财务情况说明</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bCs/>
                <w:color w:val="auto"/>
                <w:szCs w:val="21"/>
                <w:highlight w:val="none"/>
              </w:rPr>
              <w:t>）</w:t>
            </w:r>
          </w:p>
          <w:p w14:paraId="59243A2A">
            <w:pPr>
              <w:numPr>
                <w:ilvl w:val="0"/>
                <w:numId w:val="0"/>
              </w:numPr>
              <w:spacing w:line="360" w:lineRule="auto"/>
              <w:ind w:left="0" w:firstLine="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5.供应商</w:t>
            </w:r>
            <w:r>
              <w:rPr>
                <w:rFonts w:hint="eastAsia" w:ascii="宋体" w:hAnsi="宋体" w:eastAsia="宋体" w:cs="宋体"/>
                <w:color w:val="auto"/>
                <w:szCs w:val="21"/>
                <w:highlight w:val="none"/>
              </w:rPr>
              <w:t>直接控股股东信息表（格式后附）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处理</w:t>
            </w:r>
            <w:r>
              <w:rPr>
                <w:rFonts w:hint="eastAsia" w:ascii="宋体" w:hAnsi="宋体" w:eastAsia="宋体" w:cs="宋体"/>
                <w:color w:val="auto"/>
                <w:szCs w:val="21"/>
                <w:highlight w:val="none"/>
              </w:rPr>
              <w:t>）</w:t>
            </w:r>
          </w:p>
          <w:p w14:paraId="680F6BA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6.供应商</w:t>
            </w:r>
            <w:r>
              <w:rPr>
                <w:rFonts w:hint="eastAsia" w:ascii="宋体" w:hAnsi="宋体" w:eastAsia="宋体" w:cs="宋体"/>
                <w:color w:val="auto"/>
                <w:szCs w:val="21"/>
                <w:highlight w:val="none"/>
              </w:rPr>
              <w:t>直接管理关系信息表（格式后附）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处理</w:t>
            </w:r>
            <w:r>
              <w:rPr>
                <w:rFonts w:hint="eastAsia" w:ascii="宋体" w:hAnsi="宋体" w:eastAsia="宋体" w:cs="宋体"/>
                <w:color w:val="auto"/>
                <w:szCs w:val="21"/>
                <w:highlight w:val="none"/>
              </w:rPr>
              <w:t>）</w:t>
            </w:r>
          </w:p>
          <w:p w14:paraId="0174F6B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.声明函（格式后附）；（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71E85D1A">
            <w:pPr>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w:t>
            </w:r>
            <w:r>
              <w:rPr>
                <w:rFonts w:hint="eastAsia" w:ascii="宋体" w:hAnsi="宋体" w:eastAsia="宋体" w:cs="宋体"/>
                <w:i w:val="0"/>
                <w:iCs w:val="0"/>
                <w:color w:val="auto"/>
                <w:sz w:val="21"/>
                <w:szCs w:val="21"/>
                <w:highlight w:val="none"/>
                <w:lang w:eastAsia="zh-CN"/>
              </w:rPr>
              <w:t>本项目为专门面向中小企业采购的项目。供应商</w:t>
            </w:r>
            <w:r>
              <w:rPr>
                <w:rFonts w:hint="eastAsia" w:ascii="宋体" w:hAnsi="宋体" w:cs="宋体"/>
                <w:i w:val="0"/>
                <w:iCs w:val="0"/>
                <w:color w:val="auto"/>
                <w:sz w:val="21"/>
                <w:szCs w:val="21"/>
                <w:highlight w:val="none"/>
                <w:lang w:val="en-US" w:eastAsia="zh-CN"/>
              </w:rPr>
              <w:t>必须</w:t>
            </w:r>
            <w:r>
              <w:rPr>
                <w:rFonts w:hint="eastAsia" w:ascii="宋体" w:hAnsi="宋体" w:eastAsia="宋体" w:cs="宋体"/>
                <w:i w:val="0"/>
                <w:iCs w:val="0"/>
                <w:color w:val="auto"/>
                <w:sz w:val="21"/>
                <w:szCs w:val="21"/>
                <w:highlight w:val="none"/>
                <w:lang w:eastAsia="zh-CN"/>
              </w:rPr>
              <w:t>提供中小企业声明函或者残疾人福利性单位声明函（格式后附）或者供应商属于监狱企业的需提供由省级以上监狱管理局、戒毒管理局（含新疆生产建设兵团）出具的属于监狱企业的证明文件。</w:t>
            </w:r>
            <w:r>
              <w:rPr>
                <w:rFonts w:hint="eastAsia" w:ascii="宋体" w:hAnsi="宋体" w:eastAsia="宋体" w:cs="宋体"/>
                <w:b/>
                <w:i w:val="0"/>
                <w:iCs w:val="0"/>
                <w:color w:val="auto"/>
                <w:sz w:val="21"/>
                <w:szCs w:val="21"/>
                <w:highlight w:val="none"/>
              </w:rPr>
              <w:t>（必须提供，否则响应文件</w:t>
            </w:r>
            <w:r>
              <w:rPr>
                <w:rFonts w:hint="eastAsia" w:ascii="宋体" w:hAnsi="宋体" w:eastAsia="宋体" w:cs="宋体"/>
                <w:b/>
                <w:i w:val="0"/>
                <w:iCs w:val="0"/>
                <w:color w:val="auto"/>
                <w:sz w:val="21"/>
                <w:szCs w:val="21"/>
                <w:highlight w:val="none"/>
                <w:lang w:val="en-US" w:eastAsia="zh-CN"/>
              </w:rPr>
              <w:t>作</w:t>
            </w:r>
            <w:r>
              <w:rPr>
                <w:rFonts w:hint="eastAsia" w:ascii="宋体" w:hAnsi="宋体" w:eastAsia="宋体" w:cs="宋体"/>
                <w:b/>
                <w:i w:val="0"/>
                <w:iCs w:val="0"/>
                <w:color w:val="auto"/>
                <w:sz w:val="21"/>
                <w:szCs w:val="21"/>
                <w:highlight w:val="none"/>
              </w:rPr>
              <w:t>无效响应处理）</w:t>
            </w:r>
          </w:p>
          <w:p w14:paraId="4C81C9B8">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.联合体竞标协议书（格式后附）；（</w:t>
            </w:r>
            <w:r>
              <w:rPr>
                <w:rFonts w:hint="eastAsia" w:ascii="宋体" w:hAnsi="宋体" w:eastAsia="宋体" w:cs="宋体"/>
                <w:b/>
                <w:color w:val="auto"/>
                <w:szCs w:val="21"/>
                <w:highlight w:val="none"/>
              </w:rPr>
              <w:t>联合体竞标时必须提供，否则响应文件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12891EB6">
            <w:pPr>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.除谈判文件规定必须提供以外，供应商认为需要提供的其他证明材料（格式自拟）</w:t>
            </w:r>
            <w:r>
              <w:rPr>
                <w:rFonts w:hint="eastAsia" w:ascii="宋体" w:hAnsi="宋体" w:eastAsia="宋体" w:cs="宋体"/>
                <w:color w:val="auto"/>
                <w:szCs w:val="21"/>
                <w:highlight w:val="none"/>
                <w:lang w:eastAsia="zh-CN"/>
              </w:rPr>
              <w:t>。</w:t>
            </w:r>
          </w:p>
          <w:p w14:paraId="00E482AB">
            <w:pPr>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0A9893EA">
            <w:pPr>
              <w:spacing w:line="360" w:lineRule="auto"/>
              <w:ind w:firstLine="413"/>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31386D4D">
            <w:pPr>
              <w:spacing w:line="360" w:lineRule="auto"/>
              <w:ind w:firstLine="422"/>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2.联合体竞标时，第1-</w:t>
            </w:r>
            <w:r>
              <w:rPr>
                <w:rFonts w:hint="eastAsia" w:ascii="宋体" w:hAnsi="宋体" w:eastAsia="宋体" w:cs="宋体"/>
                <w:b/>
                <w:color w:val="auto"/>
                <w:szCs w:val="21"/>
                <w:highlight w:val="none"/>
                <w:lang w:val="en-US" w:eastAsia="zh-CN"/>
              </w:rPr>
              <w:t>6</w:t>
            </w:r>
            <w:r>
              <w:rPr>
                <w:rFonts w:hint="eastAsia" w:ascii="宋体" w:hAnsi="宋体" w:eastAsia="宋体" w:cs="宋体"/>
                <w:b/>
                <w:color w:val="auto"/>
                <w:szCs w:val="21"/>
                <w:highlight w:val="none"/>
              </w:rPr>
              <w:t>项资格文件联合体各方均必须分别提供，联合体各方分别盖章，否则响应文件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4D516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noWrap w:val="0"/>
            <w:vAlign w:val="center"/>
          </w:tcPr>
          <w:p w14:paraId="2031192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382" w:type="dxa"/>
            <w:noWrap w:val="0"/>
            <w:vAlign w:val="center"/>
          </w:tcPr>
          <w:p w14:paraId="0D44632A">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586" w:type="dxa"/>
            <w:noWrap w:val="0"/>
            <w:vAlign w:val="center"/>
          </w:tcPr>
          <w:p w14:paraId="37E8F2F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09729AD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2.法定代表人身份证明及法定代表人有效身份证正反面复印件（格式后附）；（</w:t>
            </w:r>
            <w:r>
              <w:rPr>
                <w:rFonts w:hint="eastAsia" w:ascii="宋体" w:hAnsi="宋体" w:eastAsia="宋体" w:cs="宋体"/>
                <w:b/>
                <w:bCs/>
                <w:color w:val="auto"/>
                <w:szCs w:val="21"/>
                <w:highlight w:val="none"/>
              </w:rPr>
              <w:t>除自然人竞标外</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54FE51D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3.法定代表人授权委托书及委托代理人有效身份证正反面复印件（格式后附）；（</w:t>
            </w:r>
            <w:r>
              <w:rPr>
                <w:rFonts w:hint="eastAsia" w:ascii="宋体" w:hAnsi="宋体" w:eastAsia="宋体" w:cs="宋体"/>
                <w:b/>
                <w:color w:val="auto"/>
                <w:szCs w:val="21"/>
                <w:highlight w:val="none"/>
              </w:rPr>
              <w:t>委托时必须提供，否则响应文件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0ACAFE4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.商务条款偏离表（格式后附）；（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6A048DF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情况介绍（格式自拟）；</w:t>
            </w:r>
          </w:p>
          <w:p w14:paraId="4698BFE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.对应采购需求的商务条款提供的其他文件资料（格式自拟）；</w:t>
            </w:r>
          </w:p>
          <w:p w14:paraId="63BF569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供应商认为需要提供的其他有关资料（格式自拟）。</w:t>
            </w:r>
          </w:p>
          <w:p w14:paraId="24B79D33">
            <w:pPr>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注： </w:t>
            </w:r>
          </w:p>
          <w:p w14:paraId="7867D508">
            <w:pPr>
              <w:spacing w:line="360" w:lineRule="auto"/>
              <w:ind w:firstLine="413"/>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4002961E">
            <w:pPr>
              <w:spacing w:line="360" w:lineRule="auto"/>
              <w:ind w:firstLine="413"/>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588A9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11F2608C">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5CE86CF7">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586" w:type="dxa"/>
            <w:noWrap w:val="0"/>
            <w:vAlign w:val="center"/>
          </w:tcPr>
          <w:p w14:paraId="2067A38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技术</w:t>
            </w:r>
            <w:r>
              <w:rPr>
                <w:rFonts w:hint="eastAsia" w:ascii="宋体" w:hAnsi="宋体" w:eastAsia="宋体" w:cs="宋体"/>
                <w:color w:val="auto"/>
                <w:szCs w:val="21"/>
                <w:highlight w:val="none"/>
              </w:rPr>
              <w:t>需求偏离表（格式后附）；（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1F7E0093">
            <w:pPr>
              <w:spacing w:line="360" w:lineRule="auto"/>
              <w:jc w:val="left"/>
              <w:rPr>
                <w:rFonts w:hint="eastAsia" w:ascii="宋体" w:hAnsi="宋体" w:eastAsia="宋体" w:cs="宋体"/>
                <w:b/>
                <w:i/>
                <w:iCs/>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项目实施方案</w:t>
            </w:r>
            <w:r>
              <w:rPr>
                <w:rFonts w:hint="eastAsia" w:ascii="宋体" w:hAnsi="宋体" w:eastAsia="宋体" w:cs="宋体"/>
                <w:color w:val="auto"/>
                <w:szCs w:val="21"/>
                <w:highlight w:val="none"/>
                <w:lang w:eastAsia="zh-CN"/>
              </w:rPr>
              <w:t>（包括但不限于拟投入实施人员</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售后服务承诺、</w:t>
            </w:r>
            <w:r>
              <w:rPr>
                <w:rFonts w:hint="eastAsia" w:ascii="宋体" w:hAnsi="宋体" w:eastAsia="宋体" w:cs="宋体"/>
                <w:color w:val="auto"/>
                <w:szCs w:val="21"/>
                <w:highlight w:val="none"/>
              </w:rPr>
              <w:t>技术培训</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）（格式自拟）；（</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48DA59E3">
            <w:pPr>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竞标产品技术证明资料（包括但不限于竞标</w:t>
            </w:r>
            <w:r>
              <w:rPr>
                <w:rFonts w:hint="eastAsia" w:ascii="宋体" w:hAnsi="宋体" w:eastAsia="宋体" w:cs="宋体"/>
                <w:color w:val="auto"/>
                <w:szCs w:val="21"/>
                <w:highlight w:val="none"/>
              </w:rPr>
              <w:t>产品</w:t>
            </w:r>
            <w:r>
              <w:rPr>
                <w:rFonts w:hint="eastAsia" w:ascii="宋体" w:hAnsi="宋体" w:eastAsia="宋体" w:cs="宋体"/>
                <w:color w:val="auto"/>
                <w:szCs w:val="21"/>
                <w:highlight w:val="none"/>
                <w:lang w:eastAsia="zh-CN"/>
              </w:rPr>
              <w:t>说明书、</w:t>
            </w:r>
            <w:r>
              <w:rPr>
                <w:rFonts w:hint="eastAsia" w:ascii="宋体" w:hAnsi="宋体" w:eastAsia="宋体" w:cs="宋体"/>
                <w:color w:val="auto"/>
                <w:szCs w:val="21"/>
                <w:highlight w:val="none"/>
              </w:rPr>
              <w:t>出厂标准、质量检测报告</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（格式自拟）</w:t>
            </w:r>
            <w:r>
              <w:rPr>
                <w:rFonts w:hint="eastAsia" w:ascii="宋体" w:hAnsi="宋体" w:eastAsia="宋体" w:cs="宋体"/>
                <w:color w:val="auto"/>
                <w:szCs w:val="21"/>
                <w:highlight w:val="none"/>
                <w:lang w:eastAsia="zh-CN"/>
              </w:rPr>
              <w:t>；</w:t>
            </w:r>
          </w:p>
          <w:p w14:paraId="0CA71D99">
            <w:pPr>
              <w:tabs>
                <w:tab w:val="center" w:pos="4153"/>
                <w:tab w:val="right" w:pos="8306"/>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4.竞标产品销售业绩或使用情况及证明资料</w:t>
            </w:r>
            <w:r>
              <w:rPr>
                <w:rFonts w:hint="eastAsia" w:ascii="宋体" w:hAnsi="宋体" w:eastAsia="宋体" w:cs="宋体"/>
                <w:color w:val="auto"/>
                <w:szCs w:val="21"/>
                <w:highlight w:val="none"/>
              </w:rPr>
              <w:t>（格式自拟）</w:t>
            </w:r>
            <w:r>
              <w:rPr>
                <w:rFonts w:hint="eastAsia" w:ascii="宋体" w:hAnsi="宋体" w:eastAsia="宋体" w:cs="宋体"/>
                <w:color w:val="auto"/>
                <w:szCs w:val="21"/>
                <w:highlight w:val="none"/>
                <w:lang w:eastAsia="zh-CN"/>
              </w:rPr>
              <w:t>；</w:t>
            </w:r>
          </w:p>
          <w:p w14:paraId="57D4DE0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对本项目的合理化建议（格式自拟）；</w:t>
            </w:r>
          </w:p>
          <w:p w14:paraId="5E6BF7C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除</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文件规定必须提供以外，</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需要说明的其他文件和说明（格式自拟）。</w:t>
            </w:r>
          </w:p>
          <w:p w14:paraId="52EE64A9">
            <w:pPr>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04B1A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1C263C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w:t>
            </w:r>
          </w:p>
        </w:tc>
        <w:tc>
          <w:tcPr>
            <w:tcW w:w="2382" w:type="dxa"/>
            <w:noWrap w:val="0"/>
            <w:vAlign w:val="center"/>
          </w:tcPr>
          <w:p w14:paraId="1B3355F3">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586" w:type="dxa"/>
            <w:noWrap w:val="0"/>
            <w:vAlign w:val="center"/>
          </w:tcPr>
          <w:p w14:paraId="38D0B2F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614C2C18">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Cs w:val="21"/>
                <w:highlight w:val="none"/>
              </w:rPr>
              <w:t>响应报价表（格式后附）；（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7AB50DBE">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关于符合本国产品标准的声明函</w:t>
            </w:r>
            <w:r>
              <w:rPr>
                <w:rFonts w:hint="eastAsia" w:ascii="宋体" w:hAnsi="宋体" w:eastAsia="宋体" w:cs="宋体"/>
                <w:color w:val="auto"/>
                <w:szCs w:val="21"/>
                <w:highlight w:val="none"/>
              </w:rPr>
              <w:t>（格式后附）</w:t>
            </w:r>
            <w:r>
              <w:rPr>
                <w:rFonts w:hint="eastAsia" w:ascii="宋体" w:hAnsi="宋体" w:eastAsia="宋体" w:cs="宋体"/>
                <w:color w:val="auto"/>
                <w:szCs w:val="21"/>
                <w:highlight w:val="none"/>
                <w:lang w:eastAsia="zh-CN"/>
              </w:rPr>
              <w:t>或</w:t>
            </w:r>
            <w:r>
              <w:rPr>
                <w:rFonts w:hint="eastAsia" w:ascii="宋体" w:hAnsi="宋体" w:eastAsia="宋体" w:cs="宋体"/>
                <w:i w:val="0"/>
                <w:iCs w:val="0"/>
                <w:caps w:val="0"/>
                <w:color w:val="auto"/>
                <w:spacing w:val="0"/>
                <w:sz w:val="21"/>
                <w:szCs w:val="24"/>
                <w:highlight w:val="none"/>
                <w:shd w:val="clear" w:color="auto" w:fill="auto"/>
              </w:rPr>
              <w:t>财政部会同有关部门规定的有关证明文件</w:t>
            </w:r>
            <w:r>
              <w:rPr>
                <w:rFonts w:hint="eastAsia" w:ascii="宋体" w:hAnsi="宋体" w:eastAsia="宋体" w:cs="宋体"/>
                <w:color w:val="auto"/>
                <w:szCs w:val="24"/>
                <w:highlight w:val="none"/>
                <w:lang w:eastAsia="zh-CN"/>
              </w:rPr>
              <w:t>；</w:t>
            </w:r>
            <w:r>
              <w:rPr>
                <w:rFonts w:hint="eastAsia" w:ascii="宋体" w:hAnsi="宋体" w:eastAsia="宋体" w:cs="宋体"/>
                <w:color w:val="auto"/>
                <w:highlight w:val="none"/>
                <w:lang w:eastAsia="zh-CN"/>
              </w:rPr>
              <w:t>（如有请提供）</w:t>
            </w:r>
          </w:p>
          <w:p w14:paraId="161DA73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4.供应商</w:t>
            </w:r>
            <w:r>
              <w:rPr>
                <w:rFonts w:hint="eastAsia" w:ascii="宋体" w:hAnsi="宋体" w:eastAsia="宋体" w:cs="宋体"/>
                <w:color w:val="auto"/>
                <w:szCs w:val="21"/>
                <w:highlight w:val="none"/>
              </w:rPr>
              <w:t>针对报价需要说明的其他文件和说明（格式自拟）。</w:t>
            </w:r>
          </w:p>
          <w:p w14:paraId="4C724424">
            <w:pPr>
              <w:pStyle w:val="56"/>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注：以上标明“必须提供”的材料属于复印件的扫描件的，必须加盖</w:t>
            </w:r>
          </w:p>
          <w:p w14:paraId="667399A6">
            <w:pPr>
              <w:pStyle w:val="56"/>
              <w:spacing w:line="360" w:lineRule="auto"/>
              <w:jc w:val="both"/>
              <w:rPr>
                <w:rFonts w:hint="eastAsia"/>
                <w:lang w:eastAsia="zh-CN"/>
              </w:rPr>
            </w:pPr>
            <w:r>
              <w:rPr>
                <w:rFonts w:hint="eastAsia" w:ascii="宋体" w:hAnsi="宋体" w:eastAsia="宋体" w:cs="宋体"/>
                <w:sz w:val="21"/>
                <w:szCs w:val="21"/>
                <w:lang w:eastAsia="zh-CN"/>
              </w:rPr>
              <w:t>供应商公章，否则响应文件作无效响应处理。</w:t>
            </w:r>
          </w:p>
        </w:tc>
      </w:tr>
      <w:tr w14:paraId="09BAB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AFE06A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382" w:type="dxa"/>
            <w:noWrap w:val="0"/>
            <w:vAlign w:val="center"/>
          </w:tcPr>
          <w:p w14:paraId="5A34C93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586" w:type="dxa"/>
            <w:noWrap w:val="0"/>
            <w:vAlign w:val="center"/>
          </w:tcPr>
          <w:p w14:paraId="0C5F70B3">
            <w:pPr>
              <w:pStyle w:val="16"/>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w:t>
            </w:r>
            <w:r>
              <w:rPr>
                <w:rFonts w:hint="eastAsia" w:ascii="宋体" w:hAnsi="宋体" w:eastAsia="宋体" w:cs="宋体"/>
                <w:color w:val="auto"/>
                <w:szCs w:val="21"/>
                <w:highlight w:val="none"/>
                <w:lang w:val="en-US" w:eastAsia="zh-CN"/>
              </w:rPr>
              <w:t>竞争性谈判</w:t>
            </w:r>
            <w:r>
              <w:rPr>
                <w:rFonts w:hint="eastAsia" w:ascii="宋体" w:hAnsi="宋体" w:eastAsia="宋体" w:cs="宋体"/>
                <w:color w:val="auto"/>
                <w:szCs w:val="21"/>
                <w:highlight w:val="none"/>
              </w:rPr>
              <w:t>文件“第五章 响应文件格式”编写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第五章未附格式的，由供应商自行拟定。</w:t>
            </w:r>
          </w:p>
          <w:p w14:paraId="2753B8D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w:t>
            </w:r>
            <w:r>
              <w:rPr>
                <w:rFonts w:hint="eastAsia" w:ascii="宋体" w:hAnsi="宋体" w:eastAsia="宋体" w:cs="宋体"/>
                <w:color w:val="auto"/>
                <w:szCs w:val="21"/>
                <w:highlight w:val="none"/>
                <w:lang w:eastAsia="zh-CN"/>
              </w:rPr>
              <w:t>加密提交</w:t>
            </w:r>
            <w:r>
              <w:rPr>
                <w:rFonts w:hint="eastAsia" w:ascii="宋体" w:hAnsi="宋体" w:eastAsia="宋体" w:cs="宋体"/>
                <w:color w:val="auto"/>
                <w:szCs w:val="21"/>
                <w:highlight w:val="none"/>
              </w:rPr>
              <w:t>方式：</w:t>
            </w:r>
            <w:r>
              <w:rPr>
                <w:rFonts w:hint="eastAsia" w:ascii="宋体" w:hAnsi="宋体" w:eastAsia="宋体" w:cs="宋体"/>
                <w:color w:val="auto"/>
                <w:szCs w:val="21"/>
                <w:highlight w:val="none"/>
                <w:lang w:eastAsia="zh-CN"/>
              </w:rPr>
              <w:t>电子版响应文件</w:t>
            </w:r>
            <w:r>
              <w:rPr>
                <w:rFonts w:hint="eastAsia" w:ascii="宋体" w:hAnsi="宋体" w:eastAsia="宋体" w:cs="宋体"/>
                <w:color w:val="auto"/>
                <w:szCs w:val="21"/>
                <w:highlight w:val="none"/>
              </w:rPr>
              <w:t>通过平台有效CA加密后在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eastAsia="zh-CN"/>
              </w:rPr>
              <w:t>上传</w:t>
            </w:r>
            <w:r>
              <w:rPr>
                <w:rFonts w:hint="eastAsia" w:ascii="宋体" w:hAnsi="宋体" w:eastAsia="宋体" w:cs="宋体"/>
                <w:color w:val="auto"/>
                <w:szCs w:val="21"/>
                <w:highlight w:val="none"/>
              </w:rPr>
              <w:t>。</w:t>
            </w:r>
          </w:p>
        </w:tc>
      </w:tr>
      <w:tr w14:paraId="6F845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4885BA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382" w:type="dxa"/>
            <w:noWrap w:val="0"/>
            <w:vAlign w:val="center"/>
          </w:tcPr>
          <w:p w14:paraId="714D340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586" w:type="dxa"/>
            <w:noWrap w:val="0"/>
            <w:vAlign w:val="center"/>
          </w:tcPr>
          <w:p w14:paraId="3B08C8E3">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highlight w:val="none"/>
              </w:rPr>
              <w:t>响应报价必须包含</w:t>
            </w:r>
            <w:r>
              <w:rPr>
                <w:rFonts w:hint="eastAsia" w:ascii="宋体" w:hAnsi="宋体" w:eastAsia="宋体" w:cs="宋体"/>
                <w:color w:val="auto"/>
                <w:sz w:val="21"/>
                <w:szCs w:val="21"/>
                <w:highlight w:val="none"/>
              </w:rPr>
              <w:t>采购人指定地点的现场交货价，包括：</w:t>
            </w:r>
          </w:p>
          <w:p w14:paraId="3BCE57A6">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（1）货物的价格：包括货款、安装调试费、验收费（含检定、校准费，如有）；</w:t>
            </w:r>
          </w:p>
          <w:p w14:paraId="27AC58D3">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（2）货物的标准附件、备品备件、专用工具的价格。</w:t>
            </w:r>
          </w:p>
          <w:p w14:paraId="7F070B48">
            <w:pPr>
              <w:spacing w:line="360" w:lineRule="auto"/>
              <w:jc w:val="left"/>
              <w:rPr>
                <w:rFonts w:hint="eastAsia" w:ascii="宋体" w:hAnsi="宋体" w:eastAsia="宋体" w:cs="宋体"/>
                <w:color w:val="auto"/>
                <w:highlight w:val="none"/>
              </w:rPr>
            </w:pPr>
            <w:r>
              <w:rPr>
                <w:rFonts w:hint="eastAsia" w:ascii="宋体" w:hAnsi="宋体" w:eastAsia="宋体" w:cs="宋体"/>
                <w:color w:val="auto"/>
                <w:sz w:val="21"/>
                <w:szCs w:val="21"/>
                <w:highlight w:val="none"/>
              </w:rPr>
              <w:t>（3）运输、装卸、调试、培训、技术支持、售后服务费。</w:t>
            </w:r>
            <w:r>
              <w:rPr>
                <w:rFonts w:hint="eastAsia" w:ascii="宋体" w:hAnsi="宋体" w:eastAsia="宋体" w:cs="宋体"/>
                <w:color w:val="auto"/>
                <w:highlight w:val="none"/>
              </w:rPr>
              <w:t>（采购需求另有约定的，从其约定。）。</w:t>
            </w:r>
          </w:p>
          <w:p w14:paraId="1BF39967">
            <w:pPr>
              <w:pStyle w:val="18"/>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☑响应</w:t>
            </w:r>
            <w:r>
              <w:rPr>
                <w:rFonts w:hint="eastAsia" w:ascii="宋体" w:hAnsi="宋体" w:eastAsia="宋体" w:cs="宋体"/>
                <w:b/>
                <w:bCs/>
                <w:color w:val="auto"/>
                <w:highlight w:val="none"/>
              </w:rPr>
              <w:t>报价包含验收费用</w:t>
            </w:r>
          </w:p>
          <w:p w14:paraId="198B3702">
            <w:pPr>
              <w:pStyle w:val="18"/>
              <w:spacing w:line="360" w:lineRule="auto"/>
              <w:rPr>
                <w:rFonts w:hint="eastAsia" w:ascii="宋体" w:hAnsi="宋体" w:eastAsia="宋体" w:cs="宋体"/>
                <w:color w:val="auto"/>
                <w:highlight w:val="none"/>
              </w:rPr>
            </w:pPr>
            <w:r>
              <w:rPr>
                <w:rFonts w:hint="eastAsia" w:ascii="宋体" w:hAnsi="宋体" w:eastAsia="宋体" w:cs="宋体"/>
                <w:b/>
                <w:bCs/>
                <w:color w:val="auto"/>
                <w:highlight w:val="none"/>
              </w:rPr>
              <w:t>□</w:t>
            </w:r>
            <w:r>
              <w:rPr>
                <w:rFonts w:hint="eastAsia" w:ascii="宋体" w:hAnsi="宋体" w:eastAsia="宋体" w:cs="宋体"/>
                <w:b/>
                <w:bCs/>
                <w:color w:val="auto"/>
                <w:highlight w:val="none"/>
                <w:lang w:eastAsia="zh-CN"/>
              </w:rPr>
              <w:t>响应</w:t>
            </w:r>
            <w:r>
              <w:rPr>
                <w:rFonts w:hint="eastAsia" w:ascii="宋体" w:hAnsi="宋体" w:eastAsia="宋体" w:cs="宋体"/>
                <w:b/>
                <w:bCs/>
                <w:color w:val="auto"/>
                <w:highlight w:val="none"/>
              </w:rPr>
              <w:t>报价不包含验收费用</w:t>
            </w:r>
          </w:p>
        </w:tc>
      </w:tr>
      <w:tr w14:paraId="6B75D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0068C4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382" w:type="dxa"/>
            <w:noWrap w:val="0"/>
            <w:vAlign w:val="center"/>
          </w:tcPr>
          <w:p w14:paraId="32CFD38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586" w:type="dxa"/>
            <w:noWrap w:val="0"/>
            <w:vAlign w:val="center"/>
          </w:tcPr>
          <w:p w14:paraId="08378414">
            <w:pPr>
              <w:tabs>
                <w:tab w:val="left" w:pos="720"/>
                <w:tab w:val="left" w:pos="840"/>
              </w:tabs>
              <w:spacing w:after="50" w:line="360" w:lineRule="auto"/>
              <w:ind w:left="283" w:hanging="28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自首次响应文件提交截止之日起</w:t>
            </w:r>
            <w:bookmarkStart w:id="69" w:name="PO_3000001871_PM046"/>
            <w:r>
              <w:rPr>
                <w:rFonts w:hint="eastAsia" w:ascii="宋体" w:hAnsi="宋体" w:eastAsia="宋体" w:cs="宋体"/>
                <w:color w:val="auto"/>
                <w:szCs w:val="21"/>
                <w:highlight w:val="none"/>
                <w:u w:val="single"/>
                <w:lang w:val="en-US" w:eastAsia="zh-CN"/>
              </w:rPr>
              <w:t xml:space="preserve"> </w:t>
            </w:r>
            <w:bookmarkEnd w:id="69"/>
            <w:r>
              <w:rPr>
                <w:rFonts w:hint="eastAsia" w:ascii="宋体" w:hAnsi="宋体" w:eastAsia="宋体" w:cs="宋体"/>
                <w:color w:val="auto"/>
                <w:szCs w:val="21"/>
                <w:highlight w:val="none"/>
                <w:u w:val="single"/>
                <w:lang w:val="en-US" w:eastAsia="zh-CN"/>
              </w:rPr>
              <w:t>90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tc>
      </w:tr>
      <w:tr w14:paraId="70AEF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BC8A2D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382" w:type="dxa"/>
            <w:noWrap w:val="0"/>
            <w:vAlign w:val="center"/>
          </w:tcPr>
          <w:p w14:paraId="02CAC11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谈判保证金</w:t>
            </w:r>
          </w:p>
        </w:tc>
        <w:tc>
          <w:tcPr>
            <w:tcW w:w="6586" w:type="dxa"/>
            <w:noWrap w:val="0"/>
            <w:vAlign w:val="center"/>
          </w:tcPr>
          <w:p w14:paraId="787EB6FD">
            <w:pPr>
              <w:spacing w:line="360" w:lineRule="auto"/>
              <w:ind w:firstLine="0"/>
              <w:rPr>
                <w:rFonts w:hint="eastAsia" w:ascii="宋体" w:hAnsi="宋体" w:eastAsia="宋体" w:cs="宋体"/>
                <w:b/>
                <w:bCs/>
                <w:color w:val="auto"/>
                <w:szCs w:val="21"/>
                <w:highlight w:val="none"/>
                <w:lang w:eastAsia="zh-CN"/>
              </w:rPr>
            </w:pPr>
            <w:r>
              <w:rPr>
                <w:rFonts w:hint="eastAsia" w:ascii="宋体" w:hAnsi="宋体" w:eastAsia="宋体" w:cs="宋体"/>
                <w:b/>
                <w:bCs/>
                <w:color w:val="auto"/>
                <w:highlight w:val="none"/>
                <w:lang w:eastAsia="zh-CN"/>
              </w:rPr>
              <w:t>☑</w:t>
            </w:r>
            <w:r>
              <w:rPr>
                <w:rFonts w:hint="eastAsia" w:ascii="宋体" w:hAnsi="宋体" w:eastAsia="宋体" w:cs="宋体"/>
                <w:b/>
                <w:bCs/>
                <w:color w:val="auto"/>
                <w:szCs w:val="21"/>
                <w:highlight w:val="none"/>
                <w:lang w:eastAsia="zh-CN"/>
              </w:rPr>
              <w:t>本项目不需要缴</w:t>
            </w:r>
            <w:r>
              <w:rPr>
                <w:rFonts w:hint="eastAsia" w:ascii="宋体" w:hAnsi="宋体" w:eastAsia="宋体" w:cs="宋体"/>
                <w:b/>
                <w:bCs/>
                <w:color w:val="auto"/>
                <w:szCs w:val="21"/>
                <w:highlight w:val="none"/>
              </w:rPr>
              <w:t>纳谈判</w:t>
            </w:r>
            <w:r>
              <w:rPr>
                <w:rFonts w:hint="eastAsia" w:ascii="宋体" w:hAnsi="宋体" w:eastAsia="宋体" w:cs="宋体"/>
                <w:b/>
                <w:bCs/>
                <w:color w:val="auto"/>
                <w:szCs w:val="21"/>
                <w:highlight w:val="none"/>
                <w:lang w:eastAsia="zh-CN"/>
              </w:rPr>
              <w:t>保证金。</w:t>
            </w:r>
          </w:p>
          <w:p w14:paraId="015225C1">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本项目需要缴</w:t>
            </w:r>
            <w:r>
              <w:rPr>
                <w:rFonts w:hint="eastAsia" w:ascii="宋体" w:hAnsi="宋体" w:eastAsia="宋体" w:cs="宋体"/>
                <w:b/>
                <w:bCs/>
                <w:color w:val="auto"/>
                <w:szCs w:val="21"/>
                <w:highlight w:val="none"/>
              </w:rPr>
              <w:t>纳谈判</w:t>
            </w:r>
            <w:r>
              <w:rPr>
                <w:rFonts w:hint="eastAsia" w:ascii="宋体" w:hAnsi="宋体" w:eastAsia="宋体" w:cs="宋体"/>
                <w:b/>
                <w:bCs/>
                <w:color w:val="auto"/>
                <w:szCs w:val="21"/>
                <w:highlight w:val="none"/>
                <w:lang w:eastAsia="zh-CN"/>
              </w:rPr>
              <w:t>保证金，</w:t>
            </w:r>
            <w:r>
              <w:rPr>
                <w:rFonts w:hint="eastAsia" w:ascii="宋体" w:hAnsi="宋体" w:eastAsia="宋体" w:cs="宋体"/>
                <w:b/>
                <w:bCs/>
                <w:color w:val="auto"/>
                <w:szCs w:val="21"/>
                <w:highlight w:val="none"/>
              </w:rPr>
              <w:t>相关要求</w:t>
            </w:r>
            <w:r>
              <w:rPr>
                <w:rFonts w:hint="eastAsia" w:ascii="宋体" w:hAnsi="宋体" w:eastAsia="宋体" w:cs="宋体"/>
                <w:b/>
                <w:bCs/>
                <w:color w:val="auto"/>
                <w:szCs w:val="21"/>
                <w:highlight w:val="none"/>
                <w:lang w:eastAsia="zh-CN"/>
              </w:rPr>
              <w:t>如下</w:t>
            </w:r>
            <w:r>
              <w:rPr>
                <w:rFonts w:hint="eastAsia" w:ascii="宋体" w:hAnsi="宋体" w:eastAsia="宋体" w:cs="宋体"/>
                <w:b/>
                <w:bCs/>
                <w:color w:val="auto"/>
                <w:szCs w:val="21"/>
                <w:highlight w:val="none"/>
              </w:rPr>
              <w:t>：</w:t>
            </w:r>
          </w:p>
          <w:p w14:paraId="0339B5A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方式：详见竞争性谈判公告。</w:t>
            </w:r>
          </w:p>
          <w:p w14:paraId="3804186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的金额：详见竞争性谈判公告。</w:t>
            </w:r>
          </w:p>
          <w:p w14:paraId="58EA60B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采用银行转账</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方式的，在首次响应文件提交截止时间前交至采购代理机构指定账户并且到账，供应商应将银行转账底单的复印件作为</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提交凭证，放置于商务文件中，</w:t>
            </w:r>
            <w:r>
              <w:rPr>
                <w:rFonts w:hint="eastAsia" w:ascii="宋体" w:hAnsi="宋体" w:eastAsia="宋体" w:cs="宋体"/>
                <w:b/>
                <w:color w:val="auto"/>
                <w:szCs w:val="21"/>
                <w:highlight w:val="none"/>
              </w:rPr>
              <w:t>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4C07E7D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采用支票、汇票、本票或者金融机构、担保机构出具的保函</w:t>
            </w:r>
            <w:r>
              <w:rPr>
                <w:rFonts w:hint="eastAsia" w:ascii="宋体" w:hAnsi="宋体" w:eastAsia="宋体" w:cs="宋体"/>
                <w:color w:val="auto"/>
                <w:szCs w:val="21"/>
                <w:highlight w:val="none"/>
                <w:lang w:eastAsia="zh-CN"/>
              </w:rPr>
              <w:t>等缴纳</w:t>
            </w:r>
            <w:r>
              <w:rPr>
                <w:rFonts w:hint="eastAsia" w:ascii="宋体" w:hAnsi="宋体" w:eastAsia="宋体" w:cs="宋体"/>
                <w:color w:val="auto"/>
                <w:szCs w:val="21"/>
                <w:highlight w:val="none"/>
              </w:rPr>
              <w:t>方式的，供应商应将支票、汇票、本票或者金融机构、担保机构出具的保函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的复印件或者金融</w:t>
            </w:r>
            <w:r>
              <w:rPr>
                <w:rFonts w:hint="eastAsia" w:ascii="宋体" w:hAnsi="宋体" w:eastAsia="宋体" w:cs="宋体"/>
                <w:color w:val="auto"/>
                <w:szCs w:val="21"/>
                <w:highlight w:val="none"/>
                <w:lang w:eastAsia="zh-CN"/>
              </w:rPr>
              <w:t>机构</w:t>
            </w:r>
            <w:r>
              <w:rPr>
                <w:rFonts w:hint="eastAsia" w:ascii="宋体" w:hAnsi="宋体" w:eastAsia="宋体" w:cs="宋体"/>
                <w:color w:val="auto"/>
                <w:szCs w:val="21"/>
                <w:highlight w:val="none"/>
              </w:rPr>
              <w:t>、担保机构出具的</w:t>
            </w:r>
            <w:r>
              <w:rPr>
                <w:rFonts w:hint="eastAsia" w:ascii="宋体" w:hAnsi="宋体" w:eastAsia="宋体" w:cs="宋体"/>
                <w:color w:val="auto"/>
                <w:szCs w:val="21"/>
                <w:highlight w:val="none"/>
                <w:lang w:val="en-US" w:eastAsia="zh-CN"/>
              </w:rPr>
              <w:t>电子保函</w:t>
            </w:r>
            <w:r>
              <w:rPr>
                <w:rFonts w:hint="eastAsia" w:ascii="宋体" w:hAnsi="宋体" w:eastAsia="宋体" w:cs="宋体"/>
                <w:color w:val="auto"/>
                <w:szCs w:val="21"/>
                <w:highlight w:val="none"/>
              </w:rPr>
              <w:t>作为</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提交凭证，放置于商务文件中，</w:t>
            </w:r>
            <w:r>
              <w:rPr>
                <w:rFonts w:hint="eastAsia" w:ascii="宋体" w:hAnsi="宋体" w:eastAsia="宋体" w:cs="宋体"/>
                <w:b/>
                <w:color w:val="auto"/>
                <w:szCs w:val="21"/>
                <w:highlight w:val="none"/>
              </w:rPr>
              <w:t>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。供应商必须在首次响应文件提交截止时间</w:t>
            </w:r>
            <w:r>
              <w:rPr>
                <w:rFonts w:hint="eastAsia" w:ascii="宋体" w:hAnsi="宋体" w:eastAsia="宋体" w:cs="宋体"/>
                <w:color w:val="auto"/>
                <w:szCs w:val="21"/>
                <w:highlight w:val="none"/>
                <w:lang w:eastAsia="zh-CN"/>
              </w:rPr>
              <w:t>前</w:t>
            </w:r>
            <w:r>
              <w:rPr>
                <w:rFonts w:hint="eastAsia" w:ascii="宋体" w:hAnsi="宋体" w:eastAsia="宋体" w:cs="宋体"/>
                <w:color w:val="auto"/>
                <w:szCs w:val="21"/>
                <w:highlight w:val="none"/>
              </w:rPr>
              <w:t>将支票、汇票、本票或者金融机构、担保机构出具的保函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电子保函除外</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原件提交给采购代理机构，由采购代理机构向供应商出具回执，并妥善保管。</w:t>
            </w:r>
          </w:p>
          <w:p w14:paraId="6A0EC48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指定</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户：详见竞争性谈判公告。</w:t>
            </w:r>
          </w:p>
          <w:p w14:paraId="420AF787">
            <w:pPr>
              <w:pStyle w:val="16"/>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.供应商为联合体的，可以由联合体中的一方或者多方共同</w:t>
            </w:r>
            <w:r>
              <w:rPr>
                <w:rFonts w:hint="eastAsia" w:ascii="宋体" w:hAnsi="宋体" w:eastAsia="宋体" w:cs="宋体"/>
                <w:color w:val="auto"/>
                <w:szCs w:val="21"/>
                <w:highlight w:val="none"/>
                <w:lang w:eastAsia="zh-CN"/>
              </w:rPr>
              <w:t>缴纳</w:t>
            </w:r>
            <w:r>
              <w:rPr>
                <w:rFonts w:hint="eastAsia" w:ascii="宋体" w:hAnsi="宋体" w:eastAsia="宋体" w:cs="宋体"/>
                <w:color w:val="auto"/>
                <w:highlight w:val="none"/>
                <w:lang w:eastAsia="zh-CN"/>
              </w:rPr>
              <w:t>谈判保证金</w:t>
            </w:r>
            <w:r>
              <w:rPr>
                <w:rFonts w:hint="eastAsia" w:ascii="宋体" w:hAnsi="宋体" w:eastAsia="宋体" w:cs="宋体"/>
                <w:color w:val="auto"/>
                <w:szCs w:val="21"/>
                <w:highlight w:val="none"/>
              </w:rPr>
              <w:t>，其</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对联合体各方均具有约束力。</w:t>
            </w:r>
          </w:p>
          <w:p w14:paraId="66C3B86F">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备注： </w:t>
            </w:r>
          </w:p>
          <w:p w14:paraId="5D03144C">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首次响应文件提交截止时间后提交的，或者未足额</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的，或者保函额度不足的，视为无效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5136ADE5">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2.供应商采用现</w:t>
            </w:r>
            <w:r>
              <w:rPr>
                <w:rFonts w:hint="eastAsia" w:ascii="宋体" w:hAnsi="宋体" w:eastAsia="宋体" w:cs="宋体"/>
                <w:b/>
                <w:color w:val="auto"/>
                <w:szCs w:val="21"/>
                <w:highlight w:val="none"/>
                <w:lang w:eastAsia="zh-CN"/>
              </w:rPr>
              <w:t>金</w:t>
            </w:r>
            <w:r>
              <w:rPr>
                <w:rFonts w:hint="eastAsia" w:ascii="宋体" w:hAnsi="宋体" w:eastAsia="宋体" w:cs="宋体"/>
                <w:b/>
                <w:color w:val="auto"/>
                <w:szCs w:val="21"/>
                <w:highlight w:val="none"/>
              </w:rPr>
              <w:t>方式或者从个人账户（自然人竞标除外）转出的</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185C5B0C">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3B64E4ED">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4.保函有效期低于竞标有效期的，视为无效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25BFD8BF">
            <w:pPr>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5.</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采用金融、担保机构出具的保函为有条件保函的，视为无效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color w:val="auto"/>
                <w:szCs w:val="21"/>
                <w:highlight w:val="none"/>
              </w:rPr>
              <w:t>。</w:t>
            </w:r>
          </w:p>
        </w:tc>
      </w:tr>
      <w:tr w14:paraId="4B1C7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restart"/>
            <w:noWrap w:val="0"/>
            <w:vAlign w:val="center"/>
          </w:tcPr>
          <w:p w14:paraId="26C4B65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382" w:type="dxa"/>
            <w:noWrap w:val="0"/>
            <w:vAlign w:val="center"/>
          </w:tcPr>
          <w:p w14:paraId="384D514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w:t>
            </w:r>
            <w:r>
              <w:rPr>
                <w:rFonts w:hint="eastAsia" w:ascii="宋体" w:hAnsi="宋体" w:eastAsia="宋体" w:cs="宋体"/>
                <w:color w:val="auto"/>
                <w:szCs w:val="21"/>
                <w:highlight w:val="none"/>
                <w:lang w:eastAsia="zh-CN"/>
              </w:rPr>
              <w:t>截</w:t>
            </w:r>
            <w:r>
              <w:rPr>
                <w:rFonts w:hint="eastAsia" w:ascii="宋体" w:hAnsi="宋体" w:eastAsia="宋体" w:cs="宋体"/>
                <w:color w:val="auto"/>
                <w:szCs w:val="21"/>
                <w:highlight w:val="none"/>
              </w:rPr>
              <w:t>止时间</w:t>
            </w:r>
          </w:p>
        </w:tc>
        <w:tc>
          <w:tcPr>
            <w:tcW w:w="6586" w:type="dxa"/>
            <w:noWrap w:val="0"/>
            <w:vAlign w:val="center"/>
          </w:tcPr>
          <w:p w14:paraId="760C8033">
            <w:pPr>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14:paraId="41CE5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continue"/>
            <w:noWrap w:val="0"/>
            <w:vAlign w:val="center"/>
          </w:tcPr>
          <w:p w14:paraId="673E12DC">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1EFD3A6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w:t>
            </w:r>
            <w:r>
              <w:rPr>
                <w:rFonts w:hint="eastAsia" w:ascii="宋体" w:hAnsi="宋体" w:eastAsia="宋体" w:cs="宋体"/>
                <w:color w:val="auto"/>
                <w:szCs w:val="21"/>
                <w:highlight w:val="none"/>
                <w:lang w:eastAsia="zh-CN"/>
              </w:rPr>
              <w:t>开启</w:t>
            </w:r>
            <w:r>
              <w:rPr>
                <w:rFonts w:hint="eastAsia" w:ascii="宋体" w:hAnsi="宋体" w:eastAsia="宋体" w:cs="宋体"/>
                <w:color w:val="auto"/>
                <w:szCs w:val="21"/>
                <w:highlight w:val="none"/>
              </w:rPr>
              <w:t>时间</w:t>
            </w:r>
          </w:p>
        </w:tc>
        <w:tc>
          <w:tcPr>
            <w:tcW w:w="6586" w:type="dxa"/>
            <w:noWrap w:val="0"/>
            <w:vAlign w:val="center"/>
          </w:tcPr>
          <w:p w14:paraId="37FA3C4B">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详见竞争性谈判公告。</w:t>
            </w:r>
          </w:p>
        </w:tc>
      </w:tr>
      <w:tr w14:paraId="4394F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Merge w:val="continue"/>
            <w:noWrap w:val="0"/>
            <w:vAlign w:val="center"/>
          </w:tcPr>
          <w:p w14:paraId="559EC286">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2523D2A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586" w:type="dxa"/>
            <w:noWrap w:val="0"/>
            <w:vAlign w:val="center"/>
          </w:tcPr>
          <w:p w14:paraId="13E97852">
            <w:pPr>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14:paraId="0807E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noWrap w:val="0"/>
            <w:vAlign w:val="center"/>
          </w:tcPr>
          <w:p w14:paraId="12FC65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382" w:type="dxa"/>
            <w:noWrap w:val="0"/>
            <w:vAlign w:val="center"/>
          </w:tcPr>
          <w:p w14:paraId="78F2DDB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586" w:type="dxa"/>
            <w:noWrap w:val="0"/>
            <w:vAlign w:val="center"/>
          </w:tcPr>
          <w:p w14:paraId="4CBAC3B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5A52E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noWrap w:val="0"/>
            <w:vAlign w:val="center"/>
          </w:tcPr>
          <w:p w14:paraId="7FD68FFE">
            <w:pPr>
              <w:spacing w:line="360" w:lineRule="auto"/>
              <w:jc w:val="center"/>
              <w:rPr>
                <w:rFonts w:hint="eastAsia" w:ascii="宋体" w:hAnsi="宋体" w:eastAsia="宋体" w:cs="宋体"/>
                <w:color w:val="auto"/>
                <w:szCs w:val="21"/>
                <w:highlight w:val="none"/>
              </w:rPr>
            </w:pPr>
            <w:r>
              <w:rPr>
                <w:rFonts w:hint="eastAsia" w:ascii="宋体" w:hAnsi="宋体" w:eastAsia="宋体" w:cs="宋体"/>
                <w:szCs w:val="21"/>
              </w:rPr>
              <w:t>2</w:t>
            </w:r>
            <w:r>
              <w:rPr>
                <w:rFonts w:hint="default" w:ascii="宋体" w:hAnsi="宋体" w:eastAsia="宋体" w:cs="宋体"/>
                <w:szCs w:val="21"/>
                <w:lang w:val="en-US"/>
              </w:rPr>
              <w:t>1</w:t>
            </w:r>
          </w:p>
        </w:tc>
        <w:tc>
          <w:tcPr>
            <w:tcW w:w="2382" w:type="dxa"/>
            <w:noWrap w:val="0"/>
            <w:vAlign w:val="center"/>
          </w:tcPr>
          <w:p w14:paraId="702A70EE">
            <w:pPr>
              <w:spacing w:line="360" w:lineRule="auto"/>
              <w:jc w:val="center"/>
              <w:rPr>
                <w:rFonts w:hint="eastAsia" w:ascii="宋体" w:hAnsi="宋体" w:eastAsia="宋体" w:cs="宋体"/>
                <w:color w:val="auto"/>
                <w:szCs w:val="21"/>
                <w:highlight w:val="none"/>
              </w:rPr>
            </w:pPr>
            <w:r>
              <w:rPr>
                <w:rFonts w:hint="eastAsia" w:ascii="宋体" w:hAnsi="宋体" w:eastAsia="宋体" w:cs="宋体"/>
                <w:szCs w:val="21"/>
              </w:rPr>
              <w:t>首次响应文件的</w:t>
            </w:r>
            <w:r>
              <w:rPr>
                <w:rFonts w:hint="eastAsia" w:ascii="宋体" w:hAnsi="宋体" w:eastAsia="宋体" w:cs="宋体"/>
                <w:b w:val="0"/>
                <w:bCs w:val="0"/>
                <w:sz w:val="21"/>
                <w:szCs w:val="21"/>
              </w:rPr>
              <w:t>补充、修改与撤回</w:t>
            </w:r>
          </w:p>
        </w:tc>
        <w:tc>
          <w:tcPr>
            <w:tcW w:w="6586" w:type="dxa"/>
            <w:noWrap w:val="0"/>
            <w:vAlign w:val="center"/>
          </w:tcPr>
          <w:p w14:paraId="67CE12CC">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szCs w:val="21"/>
              </w:rPr>
              <w:t>详见</w:t>
            </w:r>
            <w:r>
              <w:rPr>
                <w:rFonts w:hint="eastAsia" w:ascii="宋体" w:hAnsi="宋体"/>
                <w:b w:val="0"/>
                <w:bCs/>
                <w:color w:val="auto"/>
                <w:highlight w:val="none"/>
              </w:rPr>
              <w:t>供应商须知正文</w:t>
            </w:r>
            <w:r>
              <w:rPr>
                <w:rFonts w:hint="eastAsia" w:ascii="宋体" w:hAnsi="宋体" w:eastAsia="宋体" w:cs="宋体"/>
                <w:szCs w:val="21"/>
              </w:rPr>
              <w:t>。</w:t>
            </w:r>
          </w:p>
        </w:tc>
      </w:tr>
      <w:tr w14:paraId="5113F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noWrap w:val="0"/>
            <w:vAlign w:val="center"/>
          </w:tcPr>
          <w:p w14:paraId="573A3923">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25.1</w:t>
            </w:r>
          </w:p>
        </w:tc>
        <w:tc>
          <w:tcPr>
            <w:tcW w:w="2382" w:type="dxa"/>
            <w:noWrap w:val="0"/>
            <w:vAlign w:val="center"/>
          </w:tcPr>
          <w:p w14:paraId="60775FD5">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评审方法</w:t>
            </w:r>
          </w:p>
        </w:tc>
        <w:tc>
          <w:tcPr>
            <w:tcW w:w="6586" w:type="dxa"/>
            <w:noWrap w:val="0"/>
            <w:vAlign w:val="center"/>
          </w:tcPr>
          <w:p w14:paraId="62C521D6">
            <w:pP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本项目采用</w:t>
            </w:r>
            <w:r>
              <w:rPr>
                <w:rFonts w:hint="eastAsia" w:ascii="宋体" w:hAnsi="宋体" w:eastAsia="宋体" w:cs="宋体"/>
                <w:color w:val="auto"/>
                <w:highlight w:val="none"/>
              </w:rPr>
              <w:t>最低评标价法</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最低评标价法是指</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文件满足</w:t>
            </w:r>
            <w:r>
              <w:rPr>
                <w:rFonts w:hint="eastAsia" w:ascii="宋体" w:hAnsi="宋体" w:eastAsia="宋体" w:cs="宋体"/>
                <w:color w:val="auto"/>
                <w:highlight w:val="none"/>
                <w:lang w:val="en-US" w:eastAsia="zh-CN"/>
              </w:rPr>
              <w:t>竞争性谈判</w:t>
            </w:r>
            <w:r>
              <w:rPr>
                <w:rFonts w:hint="eastAsia" w:ascii="宋体" w:hAnsi="宋体" w:eastAsia="宋体" w:cs="宋体"/>
                <w:color w:val="auto"/>
                <w:highlight w:val="none"/>
              </w:rPr>
              <w:t>文件全部实质性要求且</w:t>
            </w:r>
            <w:r>
              <w:rPr>
                <w:rFonts w:hint="eastAsia" w:ascii="宋体" w:hAnsi="宋体" w:eastAsia="宋体" w:cs="宋体"/>
                <w:color w:val="auto"/>
                <w:highlight w:val="none"/>
                <w:lang w:val="en-US" w:eastAsia="zh-CN"/>
              </w:rPr>
              <w:t>评</w:t>
            </w:r>
            <w:r>
              <w:rPr>
                <w:rFonts w:hint="eastAsia" w:ascii="宋体" w:hAnsi="宋体" w:eastAsia="宋体" w:cs="宋体"/>
                <w:color w:val="auto"/>
                <w:szCs w:val="21"/>
                <w:highlight w:val="none"/>
              </w:rPr>
              <w:t>审价</w:t>
            </w:r>
            <w:r>
              <w:rPr>
                <w:rFonts w:hint="eastAsia" w:ascii="宋体" w:hAnsi="宋体" w:eastAsia="宋体" w:cs="宋体"/>
                <w:color w:val="auto"/>
                <w:highlight w:val="none"/>
              </w:rPr>
              <w:t>最低的供应商为</w:t>
            </w:r>
            <w:r>
              <w:rPr>
                <w:rFonts w:hint="eastAsia" w:ascii="宋体" w:hAnsi="宋体" w:eastAsia="宋体" w:cs="宋体"/>
                <w:color w:val="auto"/>
                <w:highlight w:val="none"/>
                <w:lang w:val="en-US" w:eastAsia="zh-CN"/>
              </w:rPr>
              <w:t>成交</w:t>
            </w:r>
            <w:r>
              <w:rPr>
                <w:rFonts w:hint="eastAsia" w:ascii="宋体" w:hAnsi="宋体" w:eastAsia="宋体" w:cs="宋体"/>
                <w:color w:val="auto"/>
                <w:highlight w:val="none"/>
              </w:rPr>
              <w:t>候选人的</w:t>
            </w:r>
            <w:r>
              <w:rPr>
                <w:rFonts w:hint="eastAsia" w:ascii="宋体" w:hAnsi="宋体" w:eastAsia="宋体" w:cs="宋体"/>
                <w:color w:val="auto"/>
                <w:highlight w:val="none"/>
                <w:lang w:eastAsia="zh-CN"/>
              </w:rPr>
              <w:t>评审方法</w:t>
            </w:r>
            <w:r>
              <w:rPr>
                <w:rFonts w:hint="eastAsia" w:ascii="宋体" w:hAnsi="宋体" w:eastAsia="宋体" w:cs="宋体"/>
                <w:color w:val="auto"/>
                <w:highlight w:val="none"/>
              </w:rPr>
              <w:t>。</w:t>
            </w:r>
          </w:p>
        </w:tc>
      </w:tr>
      <w:tr w14:paraId="0349C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656345DF">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495EA99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评审价相同时成交原则</w:t>
            </w:r>
          </w:p>
        </w:tc>
        <w:tc>
          <w:tcPr>
            <w:tcW w:w="6586" w:type="dxa"/>
            <w:noWrap w:val="0"/>
            <w:vAlign w:val="center"/>
          </w:tcPr>
          <w:p w14:paraId="466F315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评审价相同时，按照最后报价由低到高顺序依次推荐；最后报价相同时，按以下原则确定成交候选人的顺序：</w:t>
            </w:r>
          </w:p>
          <w:p w14:paraId="4726903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依次按节能、环保产品累计</w:t>
            </w:r>
            <w:r>
              <w:rPr>
                <w:rFonts w:hint="eastAsia" w:ascii="宋体" w:hAnsi="宋体" w:eastAsia="宋体" w:cs="宋体"/>
                <w:color w:val="auto"/>
                <w:szCs w:val="21"/>
                <w:highlight w:val="none"/>
                <w:lang w:eastAsia="zh-CN"/>
              </w:rPr>
              <w:t>项数</w:t>
            </w:r>
            <w:r>
              <w:rPr>
                <w:rFonts w:hint="eastAsia" w:ascii="宋体" w:hAnsi="宋体" w:eastAsia="宋体" w:cs="宋体"/>
                <w:color w:val="auto"/>
                <w:szCs w:val="21"/>
                <w:highlight w:val="none"/>
              </w:rPr>
              <w:t>多的优先、带“▲”的实质性要求正偏离项数多的优先、均无正偏离或者正偏离项数一致时质量保证期长优先、</w:t>
            </w:r>
            <w:r>
              <w:rPr>
                <w:rFonts w:hint="eastAsia" w:ascii="宋体" w:hAnsi="宋体" w:eastAsia="宋体" w:cs="宋体"/>
                <w:color w:val="auto"/>
                <w:szCs w:val="21"/>
                <w:highlight w:val="none"/>
                <w:lang w:eastAsia="zh-CN"/>
              </w:rPr>
              <w:t>交付时间</w:t>
            </w:r>
            <w:r>
              <w:rPr>
                <w:rFonts w:hint="eastAsia" w:ascii="宋体" w:hAnsi="宋体" w:eastAsia="宋体" w:cs="宋体"/>
                <w:color w:val="auto"/>
                <w:szCs w:val="21"/>
                <w:highlight w:val="none"/>
              </w:rPr>
              <w:t>短优先、故障响应时间短优先的顺序排列。</w:t>
            </w:r>
          </w:p>
          <w:p w14:paraId="6343DED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□由谈判小组推荐代表随机抽取。</w:t>
            </w:r>
          </w:p>
        </w:tc>
      </w:tr>
      <w:tr w14:paraId="7E4DE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F997B06">
            <w:pPr>
              <w:spacing w:line="360" w:lineRule="auto"/>
              <w:jc w:val="center"/>
              <w:rPr>
                <w:rFonts w:hint="eastAsia" w:ascii="宋体" w:hAnsi="宋体" w:eastAsia="宋体" w:cs="宋体"/>
                <w:color w:val="auto"/>
                <w:szCs w:val="21"/>
                <w:highlight w:val="none"/>
              </w:rPr>
            </w:pPr>
            <w:r>
              <w:rPr>
                <w:rFonts w:hint="eastAsia" w:ascii="宋体" w:hAnsi="宋体" w:eastAsia="宋体" w:cs="宋体"/>
                <w:szCs w:val="21"/>
                <w:lang w:val="en-US" w:eastAsia="zh-CN"/>
              </w:rPr>
              <w:t>25.2</w:t>
            </w:r>
          </w:p>
        </w:tc>
        <w:tc>
          <w:tcPr>
            <w:tcW w:w="2382" w:type="dxa"/>
            <w:noWrap w:val="0"/>
            <w:vAlign w:val="center"/>
          </w:tcPr>
          <w:p w14:paraId="0A2E04DA">
            <w:pPr>
              <w:spacing w:line="360" w:lineRule="auto"/>
              <w:jc w:val="center"/>
              <w:rPr>
                <w:rFonts w:hint="eastAsia" w:ascii="宋体" w:hAnsi="宋体" w:eastAsia="宋体" w:cs="宋体"/>
                <w:color w:val="auto"/>
                <w:szCs w:val="21"/>
                <w:highlight w:val="none"/>
              </w:rPr>
            </w:pPr>
            <w:r>
              <w:rPr>
                <w:rFonts w:hint="eastAsia" w:ascii="宋体" w:hAnsi="宋体" w:eastAsia="宋体" w:cs="宋体"/>
                <w:szCs w:val="21"/>
              </w:rPr>
              <w:t>谈判的顺序</w:t>
            </w:r>
          </w:p>
        </w:tc>
        <w:tc>
          <w:tcPr>
            <w:tcW w:w="6586" w:type="dxa"/>
            <w:noWrap w:val="0"/>
            <w:vAlign w:val="center"/>
          </w:tcPr>
          <w:p w14:paraId="55D57CBD">
            <w:pPr>
              <w:snapToGrid w:val="0"/>
              <w:spacing w:line="360" w:lineRule="auto"/>
              <w:rPr>
                <w:rFonts w:hint="eastAsia" w:ascii="宋体" w:hAnsi="宋体" w:eastAsia="宋体" w:cs="宋体"/>
                <w:color w:val="auto"/>
                <w:szCs w:val="21"/>
                <w:highlight w:val="none"/>
              </w:rPr>
            </w:pPr>
            <w:r>
              <w:rPr>
                <w:rFonts w:hint="eastAsia" w:ascii="宋体" w:hAnsi="宋体" w:eastAsia="宋体" w:cs="宋体"/>
                <w:szCs w:val="21"/>
              </w:rPr>
              <w:t>系统自动提取的顺序</w:t>
            </w:r>
          </w:p>
        </w:tc>
      </w:tr>
      <w:tr w14:paraId="400A4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A7E4137">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7.1</w:t>
            </w:r>
          </w:p>
        </w:tc>
        <w:tc>
          <w:tcPr>
            <w:tcW w:w="2382" w:type="dxa"/>
            <w:noWrap w:val="0"/>
            <w:vAlign w:val="center"/>
          </w:tcPr>
          <w:p w14:paraId="710A084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586" w:type="dxa"/>
            <w:noWrap w:val="0"/>
            <w:vAlign w:val="center"/>
          </w:tcPr>
          <w:p w14:paraId="5B216A89">
            <w:pPr>
              <w:spacing w:line="400" w:lineRule="exact"/>
              <w:rPr>
                <w:rFonts w:ascii="Times New Roman" w:hAnsi="Times New Roman"/>
                <w:b/>
                <w:bCs/>
                <w:color w:val="auto"/>
                <w:szCs w:val="21"/>
              </w:rPr>
            </w:pPr>
            <w:r>
              <w:rPr>
                <w:rFonts w:hint="eastAsia" w:ascii="Times New Roman" w:hAnsi="Times New Roman" w:eastAsia="宋体"/>
                <w:b/>
                <w:bCs/>
                <w:color w:val="auto"/>
                <w:szCs w:val="21"/>
                <w:lang w:eastAsia="zh-CN"/>
              </w:rPr>
              <w:t>☑</w:t>
            </w:r>
            <w:r>
              <w:rPr>
                <w:rFonts w:hint="eastAsia" w:ascii="Times New Roman" w:hAnsi="Times New Roman"/>
                <w:b/>
                <w:bCs/>
                <w:color w:val="auto"/>
                <w:szCs w:val="21"/>
              </w:rPr>
              <w:t xml:space="preserve"> 本项目不需要</w:t>
            </w:r>
            <w:r>
              <w:rPr>
                <w:rFonts w:hint="eastAsia" w:ascii="Times New Roman" w:hAnsi="Times New Roman" w:cs="宋体"/>
                <w:b/>
                <w:bCs/>
                <w:color w:val="auto"/>
                <w:szCs w:val="21"/>
              </w:rPr>
              <w:t>缴</w:t>
            </w:r>
            <w:r>
              <w:rPr>
                <w:rFonts w:hint="eastAsia" w:ascii="Times New Roman" w:hAnsi="Times New Roman" w:cs="宋体"/>
                <w:b/>
                <w:bCs/>
                <w:color w:val="auto"/>
                <w:kern w:val="0"/>
                <w:szCs w:val="21"/>
              </w:rPr>
              <w:t>纳</w:t>
            </w:r>
            <w:r>
              <w:rPr>
                <w:rFonts w:hint="eastAsia" w:ascii="Times New Roman" w:hAnsi="Times New Roman" w:cs="宋体"/>
                <w:b/>
                <w:bCs/>
                <w:color w:val="auto"/>
                <w:szCs w:val="21"/>
              </w:rPr>
              <w:t>履约</w:t>
            </w:r>
            <w:r>
              <w:rPr>
                <w:rFonts w:hint="eastAsia" w:ascii="Times New Roman" w:hAnsi="Times New Roman"/>
                <w:b/>
                <w:bCs/>
                <w:color w:val="auto"/>
                <w:szCs w:val="21"/>
              </w:rPr>
              <w:t>保证金。</w:t>
            </w:r>
          </w:p>
          <w:p w14:paraId="2379DDE6">
            <w:pPr>
              <w:spacing w:line="400" w:lineRule="exact"/>
              <w:rPr>
                <w:rFonts w:ascii="Times New Roman" w:hAnsi="Times New Roman" w:cs="宋体"/>
                <w:b/>
                <w:bCs/>
                <w:color w:val="auto"/>
                <w:szCs w:val="21"/>
              </w:rPr>
            </w:pPr>
            <w:r>
              <w:rPr>
                <w:rFonts w:hint="eastAsia" w:ascii="Times New Roman" w:hAnsi="Times New Roman" w:eastAsia="宋体"/>
                <w:b/>
                <w:bCs/>
                <w:color w:val="auto"/>
                <w:szCs w:val="21"/>
                <w:lang w:eastAsia="zh-CN"/>
              </w:rPr>
              <w:t>□</w:t>
            </w:r>
            <w:r>
              <w:rPr>
                <w:rFonts w:hint="eastAsia" w:ascii="Times New Roman" w:hAnsi="Times New Roman"/>
                <w:b/>
                <w:bCs/>
                <w:color w:val="auto"/>
                <w:szCs w:val="21"/>
              </w:rPr>
              <w:t xml:space="preserve"> 本项目需要</w:t>
            </w:r>
            <w:r>
              <w:rPr>
                <w:rFonts w:hint="eastAsia" w:ascii="Times New Roman" w:hAnsi="Times New Roman" w:cs="宋体"/>
                <w:b/>
                <w:bCs/>
                <w:color w:val="auto"/>
                <w:szCs w:val="21"/>
              </w:rPr>
              <w:t>缴</w:t>
            </w:r>
            <w:r>
              <w:rPr>
                <w:rFonts w:hint="eastAsia" w:ascii="Times New Roman" w:hAnsi="Times New Roman" w:cs="宋体"/>
                <w:b/>
                <w:bCs/>
                <w:color w:val="auto"/>
                <w:kern w:val="0"/>
                <w:szCs w:val="21"/>
              </w:rPr>
              <w:t>纳</w:t>
            </w:r>
            <w:r>
              <w:rPr>
                <w:rFonts w:hint="eastAsia" w:ascii="Times New Roman" w:hAnsi="Times New Roman" w:cs="宋体"/>
                <w:b/>
                <w:bCs/>
                <w:color w:val="auto"/>
                <w:szCs w:val="21"/>
              </w:rPr>
              <w:t>履约</w:t>
            </w:r>
            <w:r>
              <w:rPr>
                <w:rFonts w:hint="eastAsia" w:ascii="Times New Roman" w:hAnsi="Times New Roman"/>
                <w:b/>
                <w:bCs/>
                <w:color w:val="auto"/>
                <w:szCs w:val="21"/>
              </w:rPr>
              <w:t>保证金，</w:t>
            </w:r>
            <w:r>
              <w:rPr>
                <w:rFonts w:hint="eastAsia" w:ascii="Times New Roman" w:hAnsi="Times New Roman" w:cs="宋体"/>
                <w:b/>
                <w:bCs/>
                <w:color w:val="auto"/>
                <w:szCs w:val="21"/>
              </w:rPr>
              <w:t>相关要求如下：</w:t>
            </w:r>
          </w:p>
          <w:p w14:paraId="23227A1A">
            <w:pPr>
              <w:snapToGrid w:val="0"/>
              <w:spacing w:line="400" w:lineRule="exact"/>
              <w:rPr>
                <w:rFonts w:ascii="Times New Roman" w:hAnsi="Times New Roman" w:cs="宋体"/>
                <w:i/>
                <w:iCs/>
                <w:color w:val="auto"/>
                <w:szCs w:val="21"/>
              </w:rPr>
            </w:pPr>
            <w:r>
              <w:rPr>
                <w:rFonts w:hint="eastAsia" w:ascii="Times New Roman" w:hAnsi="Times New Roman" w:cs="宋体"/>
                <w:b/>
                <w:bCs/>
                <w:color w:val="auto"/>
                <w:szCs w:val="21"/>
              </w:rPr>
              <w:t>1.履约保证金金额：</w:t>
            </w:r>
            <w:r>
              <w:rPr>
                <w:rFonts w:hint="eastAsia" w:ascii="Times New Roman" w:hAnsi="Times New Roman" w:cs="宋体"/>
                <w:color w:val="auto"/>
                <w:szCs w:val="21"/>
              </w:rPr>
              <w:t>按项目成交总金额的</w:t>
            </w:r>
            <w:r>
              <w:rPr>
                <w:rFonts w:hint="eastAsia" w:ascii="Times New Roman" w:hAnsi="Times New Roman" w:eastAsia="宋体" w:cs="宋体"/>
                <w:color w:val="auto"/>
                <w:szCs w:val="21"/>
                <w:u w:val="single"/>
                <w:lang w:eastAsia="zh-CN"/>
              </w:rPr>
              <w:t xml:space="preserve"> </w:t>
            </w:r>
            <w:r>
              <w:rPr>
                <w:rFonts w:hint="eastAsia" w:ascii="Times New Roman" w:hAnsi="Times New Roman" w:eastAsia="宋体" w:cs="宋体"/>
                <w:color w:val="auto"/>
                <w:szCs w:val="21"/>
                <w:u w:val="single"/>
                <w:lang w:val="en-US" w:eastAsia="zh-CN"/>
              </w:rPr>
              <w:t xml:space="preserve"> </w:t>
            </w:r>
            <w:r>
              <w:rPr>
                <w:rFonts w:hint="eastAsia" w:ascii="Times New Roman" w:hAnsi="Times New Roman" w:cs="宋体"/>
                <w:color w:val="auto"/>
                <w:szCs w:val="21"/>
              </w:rPr>
              <w:t>%。（如成交供应商为中小微企业的，按项目成交总金额的</w:t>
            </w:r>
            <w:r>
              <w:rPr>
                <w:rFonts w:hint="eastAsia" w:ascii="Times New Roman" w:hAnsi="Times New Roman" w:eastAsia="宋体" w:cs="宋体"/>
                <w:color w:val="auto"/>
                <w:szCs w:val="21"/>
                <w:lang w:val="en-US" w:eastAsia="zh-CN"/>
              </w:rPr>
              <w:t xml:space="preserve">  </w:t>
            </w:r>
            <w:r>
              <w:rPr>
                <w:rFonts w:hint="eastAsia" w:ascii="Times New Roman" w:hAnsi="Times New Roman" w:cs="宋体"/>
                <w:color w:val="auto"/>
                <w:szCs w:val="21"/>
              </w:rPr>
              <w:t>%收取）</w:t>
            </w:r>
          </w:p>
          <w:p w14:paraId="5DEAB39F">
            <w:pPr>
              <w:autoSpaceDE w:val="0"/>
              <w:autoSpaceDN w:val="0"/>
              <w:snapToGrid w:val="0"/>
              <w:spacing w:line="400" w:lineRule="exact"/>
              <w:rPr>
                <w:rFonts w:ascii="Times New Roman" w:hAnsi="Times New Roman" w:cs="宋体"/>
                <w:color w:val="auto"/>
                <w:szCs w:val="21"/>
              </w:rPr>
            </w:pPr>
            <w:r>
              <w:rPr>
                <w:rFonts w:hint="eastAsia" w:ascii="Times New Roman" w:hAnsi="Times New Roman" w:cs="宋体"/>
                <w:b/>
                <w:bCs/>
                <w:color w:val="auto"/>
                <w:szCs w:val="21"/>
              </w:rPr>
              <w:t>2.履约保证金递交方式：</w:t>
            </w:r>
            <w:r>
              <w:rPr>
                <w:rFonts w:hint="eastAsia" w:ascii="Times New Roman" w:hAnsi="Times New Roman" w:cs="宋体"/>
                <w:color w:val="auto"/>
                <w:szCs w:val="21"/>
              </w:rPr>
              <w:t>成交供应商在</w:t>
            </w:r>
            <w:r>
              <w:rPr>
                <w:rFonts w:hint="eastAsia" w:ascii="Times New Roman" w:hAnsi="Times New Roman" w:cs="宋体"/>
                <w:color w:val="auto"/>
                <w:kern w:val="0"/>
                <w:szCs w:val="21"/>
                <w:u w:val="single"/>
              </w:rPr>
              <w:t>签订合同</w:t>
            </w:r>
            <w:r>
              <w:rPr>
                <w:rFonts w:hint="eastAsia" w:ascii="Times New Roman" w:hAnsi="Times New Roman" w:cs="宋体"/>
                <w:color w:val="auto"/>
                <w:szCs w:val="21"/>
                <w:u w:val="single"/>
              </w:rPr>
              <w:t>前</w:t>
            </w:r>
            <w:r>
              <w:rPr>
                <w:rFonts w:hint="eastAsia" w:ascii="Times New Roman" w:hAnsi="Times New Roman" w:cs="宋体"/>
                <w:color w:val="auto"/>
                <w:szCs w:val="21"/>
              </w:rPr>
              <w:t>以银行转账、支票、汇票、本票或者金融机构、担保机构出具的保函等非现金方式向</w:t>
            </w:r>
            <w:r>
              <w:rPr>
                <w:rFonts w:hint="eastAsia" w:ascii="Times New Roman" w:hAnsi="Times New Roman" w:cs="宋体"/>
                <w:color w:val="auto"/>
                <w:szCs w:val="21"/>
                <w:u w:val="single"/>
              </w:rPr>
              <w:t>采购人</w:t>
            </w:r>
            <w:r>
              <w:rPr>
                <w:rFonts w:hint="eastAsia" w:ascii="Times New Roman" w:hAnsi="Times New Roman" w:cs="宋体"/>
                <w:color w:val="auto"/>
                <w:szCs w:val="21"/>
              </w:rPr>
              <w:t>提交。</w:t>
            </w:r>
          </w:p>
          <w:p w14:paraId="3725695E">
            <w:pPr>
              <w:autoSpaceDE w:val="0"/>
              <w:autoSpaceDN w:val="0"/>
              <w:snapToGrid w:val="0"/>
              <w:spacing w:line="400" w:lineRule="exact"/>
              <w:rPr>
                <w:rFonts w:ascii="Times New Roman" w:hAnsi="Times New Roman" w:cs="宋体"/>
                <w:color w:val="auto"/>
                <w:szCs w:val="21"/>
              </w:rPr>
            </w:pPr>
            <w:r>
              <w:rPr>
                <w:rFonts w:hint="eastAsia" w:ascii="Times New Roman" w:hAnsi="Times New Roman" w:cs="宋体"/>
                <w:color w:val="auto"/>
                <w:szCs w:val="21"/>
              </w:rPr>
              <w:t>（1）履约保证金采用银行转账交纳方式的，成交供应商在签订合同前交至采购人指定账户并且到账。</w:t>
            </w:r>
          </w:p>
          <w:p w14:paraId="298F5B1B">
            <w:pPr>
              <w:autoSpaceDE w:val="0"/>
              <w:autoSpaceDN w:val="0"/>
              <w:snapToGrid w:val="0"/>
              <w:spacing w:line="400" w:lineRule="exact"/>
              <w:rPr>
                <w:rFonts w:ascii="Times New Roman" w:hAnsi="Times New Roman" w:cs="宋体"/>
                <w:color w:val="auto"/>
                <w:szCs w:val="21"/>
              </w:rPr>
            </w:pPr>
            <w:r>
              <w:rPr>
                <w:rFonts w:hint="eastAsia" w:ascii="Times New Roman" w:hAnsi="Times New Roman" w:cs="宋体"/>
                <w:color w:val="auto"/>
                <w:szCs w:val="21"/>
              </w:rPr>
              <w:t>（2）履约保证金采用支票、汇票或本票交纳方式的，成交供应商在签订合同前，向采购人提交支票、汇票或本票原件。</w:t>
            </w:r>
          </w:p>
          <w:p w14:paraId="45A27461">
            <w:pPr>
              <w:autoSpaceDE w:val="0"/>
              <w:autoSpaceDN w:val="0"/>
              <w:snapToGrid w:val="0"/>
              <w:spacing w:line="400" w:lineRule="exact"/>
              <w:rPr>
                <w:rFonts w:ascii="Times New Roman" w:hAnsi="Times New Roman" w:cs="宋体"/>
                <w:color w:val="auto"/>
                <w:szCs w:val="21"/>
              </w:rPr>
            </w:pPr>
            <w:r>
              <w:rPr>
                <w:rFonts w:hint="eastAsia" w:ascii="Times New Roman" w:hAnsi="Times New Roman" w:cs="宋体"/>
                <w:color w:val="auto"/>
                <w:szCs w:val="21"/>
              </w:rPr>
              <w:t>（3）履约保证金采用银行、保险机构出具的保函交纳方式的，成交供应商在签订合同前，向采购人提交保函原件。</w:t>
            </w:r>
          </w:p>
          <w:p w14:paraId="13329149">
            <w:pPr>
              <w:snapToGrid w:val="0"/>
              <w:spacing w:line="400" w:lineRule="exact"/>
              <w:rPr>
                <w:rFonts w:ascii="Times New Roman" w:hAnsi="Times New Roman" w:cs="宋体"/>
                <w:color w:val="auto"/>
                <w:szCs w:val="21"/>
              </w:rPr>
            </w:pPr>
            <w:r>
              <w:rPr>
                <w:rFonts w:hint="eastAsia" w:ascii="Times New Roman" w:hAnsi="Times New Roman" w:cs="宋体"/>
                <w:color w:val="auto"/>
                <w:szCs w:val="21"/>
              </w:rPr>
              <w:t>（4）履约保证金指定账户</w:t>
            </w:r>
          </w:p>
          <w:p w14:paraId="2425FC64">
            <w:pPr>
              <w:snapToGrid w:val="0"/>
              <w:spacing w:line="400" w:lineRule="exact"/>
              <w:ind w:firstLine="630" w:firstLineChars="300"/>
              <w:rPr>
                <w:rFonts w:hint="eastAsia" w:ascii="Times New Roman" w:hAnsi="Times New Roman" w:eastAsia="宋体" w:cs="宋体"/>
                <w:color w:val="auto"/>
                <w:szCs w:val="21"/>
                <w:lang w:eastAsia="zh-CN"/>
              </w:rPr>
            </w:pPr>
            <w:r>
              <w:rPr>
                <w:rFonts w:ascii="Times New Roman" w:hAnsi="Times New Roman" w:cs="宋体"/>
                <w:color w:val="auto"/>
                <w:szCs w:val="21"/>
              </w:rPr>
              <w:t>开户名称：</w:t>
            </w:r>
          </w:p>
          <w:p w14:paraId="1490F718">
            <w:pPr>
              <w:snapToGrid w:val="0"/>
              <w:spacing w:line="400" w:lineRule="exact"/>
              <w:ind w:firstLine="630" w:firstLineChars="300"/>
              <w:rPr>
                <w:rFonts w:ascii="Times New Roman" w:hAnsi="Times New Roman" w:cs="宋体"/>
                <w:color w:val="auto"/>
                <w:szCs w:val="21"/>
              </w:rPr>
            </w:pPr>
            <w:r>
              <w:rPr>
                <w:rFonts w:ascii="Times New Roman" w:hAnsi="Times New Roman" w:cs="宋体"/>
                <w:color w:val="auto"/>
                <w:szCs w:val="21"/>
              </w:rPr>
              <w:t>开户银行：</w:t>
            </w:r>
          </w:p>
          <w:p w14:paraId="3FAB3FA0">
            <w:pPr>
              <w:snapToGrid w:val="0"/>
              <w:spacing w:line="400" w:lineRule="exact"/>
              <w:ind w:firstLine="630" w:firstLineChars="300"/>
              <w:rPr>
                <w:rFonts w:ascii="Times New Roman" w:hAnsi="Times New Roman" w:cs="宋体"/>
                <w:color w:val="auto"/>
                <w:szCs w:val="21"/>
              </w:rPr>
            </w:pPr>
            <w:r>
              <w:rPr>
                <w:rFonts w:ascii="Times New Roman" w:hAnsi="Times New Roman" w:cs="宋体"/>
                <w:color w:val="auto"/>
                <w:szCs w:val="21"/>
              </w:rPr>
              <w:t>账    号：</w:t>
            </w:r>
          </w:p>
          <w:p w14:paraId="50E18A3A">
            <w:pPr>
              <w:autoSpaceDE w:val="0"/>
              <w:autoSpaceDN w:val="0"/>
              <w:snapToGrid w:val="0"/>
              <w:spacing w:line="400" w:lineRule="exact"/>
              <w:rPr>
                <w:rFonts w:ascii="Times New Roman" w:hAnsi="Times New Roman" w:cs="宋体"/>
                <w:color w:val="auto"/>
                <w:szCs w:val="21"/>
              </w:rPr>
            </w:pPr>
            <w:r>
              <w:rPr>
                <w:rFonts w:hint="eastAsia" w:ascii="Times New Roman" w:hAnsi="Times New Roman" w:cs="宋体"/>
                <w:b/>
                <w:bCs/>
                <w:color w:val="auto"/>
                <w:szCs w:val="21"/>
              </w:rPr>
              <w:t>3.履约保证金退付方式、时间及条件：</w:t>
            </w:r>
          </w:p>
          <w:p w14:paraId="4D6AB52E">
            <w:pPr>
              <w:snapToGrid w:val="0"/>
              <w:spacing w:line="400" w:lineRule="exact"/>
              <w:rPr>
                <w:rFonts w:ascii="Times New Roman" w:hAnsi="Times New Roman" w:cs="宋体"/>
                <w:color w:val="auto"/>
                <w:szCs w:val="21"/>
              </w:rPr>
            </w:pPr>
            <w:r>
              <w:rPr>
                <w:rFonts w:hint="eastAsia" w:ascii="Times New Roman" w:hAnsi="Times New Roman" w:cs="宋体"/>
                <w:color w:val="auto"/>
                <w:szCs w:val="21"/>
              </w:rPr>
              <w:t>（1）</w:t>
            </w:r>
            <w:r>
              <w:rPr>
                <w:rStyle w:val="53"/>
                <w:rFonts w:hint="eastAsia" w:ascii="Times New Roman" w:hAnsi="Times New Roman"/>
                <w:color w:val="auto"/>
              </w:rPr>
              <w:t>履约保证金在成交供应商履行完合同约定的权利义务（包括免费保修服务等）事项后7个工作日内，由成交供应商凭履约保证金的申请表向采购人申请办理履约保证金退还手续，采购人在收到合格材料后5个工作日内</w:t>
            </w:r>
            <w:r>
              <w:rPr>
                <w:rStyle w:val="53"/>
                <w:rFonts w:hint="eastAsia" w:ascii="Times New Roman" w:hAnsi="Times New Roman"/>
                <w:color w:val="auto"/>
                <w:lang w:eastAsia="zh-CN"/>
              </w:rPr>
              <w:t>办理履约保证金退付手续</w:t>
            </w:r>
            <w:r>
              <w:rPr>
                <w:rStyle w:val="53"/>
                <w:rFonts w:hint="eastAsia" w:ascii="Times New Roman" w:hAnsi="Times New Roman"/>
                <w:color w:val="auto"/>
              </w:rPr>
              <w:t>（不计利息）。</w:t>
            </w:r>
          </w:p>
          <w:p w14:paraId="52A73785">
            <w:pPr>
              <w:snapToGrid w:val="0"/>
              <w:spacing w:line="400" w:lineRule="exact"/>
              <w:rPr>
                <w:rFonts w:ascii="Times New Roman" w:hAnsi="Times New Roman" w:cs="宋体"/>
                <w:color w:val="auto"/>
                <w:szCs w:val="21"/>
              </w:rPr>
            </w:pPr>
            <w:r>
              <w:rPr>
                <w:rFonts w:hint="eastAsia" w:ascii="Times New Roman" w:hAnsi="Times New Roman" w:cs="宋体"/>
                <w:color w:val="auto"/>
                <w:szCs w:val="21"/>
              </w:rPr>
              <w:t>（2）成交供应商在签订合同后存在违约情形的，履约保证金或保函原件不予退还。保函形式的采购人按相关规定由出具保函的银行、保险机构承担成交供应商违约赔付责任，履约保证金不足以赔偿损失的，按实际损失赔偿。</w:t>
            </w:r>
          </w:p>
          <w:p w14:paraId="303B4EFF">
            <w:pPr>
              <w:autoSpaceDE w:val="0"/>
              <w:autoSpaceDN w:val="0"/>
              <w:snapToGrid w:val="0"/>
              <w:spacing w:line="400" w:lineRule="exact"/>
              <w:rPr>
                <w:rFonts w:ascii="Times New Roman" w:hAnsi="Times New Roman" w:cs="宋体"/>
                <w:color w:val="auto"/>
                <w:szCs w:val="21"/>
              </w:rPr>
            </w:pPr>
            <w:r>
              <w:rPr>
                <w:rFonts w:hint="eastAsia" w:ascii="Times New Roman" w:hAnsi="Times New Roman" w:cs="宋体"/>
                <w:color w:val="auto"/>
                <w:szCs w:val="21"/>
              </w:rPr>
              <w:t>（3）在履约保证金退还日期前，若成交供应商的开户名称、开户银行、账号有变动的，请以书面形式通知履约保证金收取单位，否则由此产生的后果由成交供应商自负。</w:t>
            </w:r>
          </w:p>
          <w:p w14:paraId="1DEEDBBE">
            <w:pPr>
              <w:spacing w:line="400" w:lineRule="exact"/>
              <w:rPr>
                <w:rFonts w:ascii="Times New Roman" w:hAnsi="Times New Roman" w:cs="宋体"/>
                <w:bCs/>
                <w:color w:val="auto"/>
                <w:szCs w:val="21"/>
              </w:rPr>
            </w:pPr>
            <w:r>
              <w:rPr>
                <w:rFonts w:hint="eastAsia" w:ascii="Times New Roman" w:hAnsi="Times New Roman" w:cs="Arial"/>
                <w:bCs/>
                <w:color w:val="auto"/>
                <w:szCs w:val="21"/>
              </w:rPr>
              <w:t>（4）履约</w:t>
            </w:r>
            <w:r>
              <w:rPr>
                <w:rFonts w:ascii="Times New Roman" w:hAnsi="Times New Roman" w:cs="Arial"/>
                <w:bCs/>
                <w:color w:val="auto"/>
                <w:szCs w:val="21"/>
              </w:rPr>
              <w:t>保证金采用保函形式缴纳的，采购人在保证期限届满后及时对收取的保证金进行核实和结算。</w:t>
            </w:r>
          </w:p>
          <w:p w14:paraId="2D51C2F1">
            <w:pPr>
              <w:spacing w:line="400" w:lineRule="exact"/>
              <w:rPr>
                <w:rFonts w:ascii="Times New Roman" w:hAnsi="Times New Roman" w:cs="宋体"/>
                <w:b/>
                <w:bCs/>
                <w:color w:val="auto"/>
                <w:szCs w:val="21"/>
              </w:rPr>
            </w:pPr>
            <w:r>
              <w:rPr>
                <w:rFonts w:hint="eastAsia" w:ascii="Times New Roman" w:hAnsi="Times New Roman" w:cs="宋体"/>
                <w:b/>
                <w:bCs/>
                <w:color w:val="auto"/>
                <w:szCs w:val="21"/>
              </w:rPr>
              <w:t>备注：</w:t>
            </w:r>
          </w:p>
          <w:p w14:paraId="2E6BEEAB">
            <w:pPr>
              <w:spacing w:line="400" w:lineRule="exact"/>
              <w:rPr>
                <w:rFonts w:ascii="Times New Roman" w:hAnsi="Times New Roman" w:cs="宋体"/>
                <w:b/>
                <w:color w:val="auto"/>
                <w:szCs w:val="21"/>
              </w:rPr>
            </w:pPr>
            <w:r>
              <w:rPr>
                <w:rFonts w:hint="eastAsia" w:ascii="Times New Roman" w:hAnsi="Times New Roman" w:cs="宋体"/>
                <w:b/>
                <w:color w:val="auto"/>
                <w:szCs w:val="21"/>
                <w:lang w:val="en-US" w:eastAsia="zh-CN"/>
              </w:rPr>
              <w:t>1</w:t>
            </w:r>
            <w:r>
              <w:rPr>
                <w:rFonts w:hint="eastAsia" w:ascii="Times New Roman" w:hAnsi="Times New Roman" w:cs="宋体"/>
                <w:b/>
                <w:color w:val="auto"/>
                <w:szCs w:val="21"/>
              </w:rPr>
              <w:t>.</w:t>
            </w:r>
            <w:r>
              <w:rPr>
                <w:rFonts w:hint="eastAsia" w:ascii="Times New Roman" w:hAnsi="Times New Roman" w:cs="宋体"/>
                <w:color w:val="auto"/>
                <w:szCs w:val="21"/>
              </w:rPr>
              <w:t xml:space="preserve"> </w:t>
            </w:r>
            <w:r>
              <w:rPr>
                <w:rFonts w:hint="eastAsia" w:ascii="Times New Roman" w:hAnsi="Times New Roman" w:cs="宋体"/>
                <w:b/>
                <w:color w:val="auto"/>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0698202D">
            <w:pPr>
              <w:snapToGrid w:val="0"/>
              <w:spacing w:line="400" w:lineRule="exact"/>
              <w:rPr>
                <w:rFonts w:hint="eastAsia" w:ascii="宋体" w:hAnsi="宋体" w:eastAsia="宋体" w:cs="宋体"/>
                <w:color w:val="auto"/>
                <w:szCs w:val="21"/>
                <w:highlight w:val="none"/>
              </w:rPr>
            </w:pPr>
            <w:r>
              <w:rPr>
                <w:rFonts w:hint="eastAsia" w:ascii="Times New Roman" w:hAnsi="Times New Roman" w:cs="宋体"/>
                <w:b/>
                <w:color w:val="auto"/>
                <w:szCs w:val="21"/>
                <w:lang w:val="en-US" w:eastAsia="zh-CN"/>
              </w:rPr>
              <w:t>2</w:t>
            </w:r>
            <w:r>
              <w:rPr>
                <w:rFonts w:hint="eastAsia" w:ascii="Times New Roman" w:hAnsi="Times New Roman" w:cs="宋体"/>
                <w:b/>
                <w:color w:val="auto"/>
                <w:szCs w:val="21"/>
              </w:rPr>
              <w:t>采用金融、担保机构出具的保函的，必须为无条件保函，否则不予签订合同。</w:t>
            </w:r>
          </w:p>
        </w:tc>
      </w:tr>
      <w:tr w14:paraId="5DE8E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F013DD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.5</w:t>
            </w:r>
          </w:p>
        </w:tc>
        <w:tc>
          <w:tcPr>
            <w:tcW w:w="2382" w:type="dxa"/>
            <w:noWrap w:val="0"/>
            <w:vAlign w:val="center"/>
          </w:tcPr>
          <w:p w14:paraId="59D76CB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586" w:type="dxa"/>
            <w:noWrap w:val="0"/>
            <w:vAlign w:val="center"/>
          </w:tcPr>
          <w:p w14:paraId="3E787A9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w:t>
            </w:r>
            <w:r>
              <w:rPr>
                <w:rFonts w:hint="eastAsia" w:ascii="宋体" w:hAnsi="宋体" w:eastAsia="宋体" w:cs="宋体"/>
                <w:color w:val="auto"/>
                <w:szCs w:val="21"/>
                <w:highlight w:val="none"/>
                <w:lang w:eastAsia="zh-CN"/>
              </w:rPr>
              <w:t>有效的法定代表人</w:t>
            </w:r>
            <w:r>
              <w:rPr>
                <w:rFonts w:hint="eastAsia" w:ascii="宋体" w:hAnsi="宋体" w:eastAsia="宋体" w:cs="宋体"/>
                <w:color w:val="auto"/>
                <w:szCs w:val="21"/>
                <w:highlight w:val="none"/>
              </w:rPr>
              <w:t>授权委托书及</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委托代理人身份证原件等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资格证件。</w:t>
            </w:r>
          </w:p>
          <w:p w14:paraId="4920CF37">
            <w:pPr>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法定代表人负责签订合同的，须携带法定代表人身份证明原件及身份证原件等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证明材料。</w:t>
            </w:r>
          </w:p>
        </w:tc>
      </w:tr>
      <w:tr w14:paraId="049F7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noWrap w:val="0"/>
            <w:vAlign w:val="center"/>
          </w:tcPr>
          <w:p w14:paraId="24585C8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w:t>
            </w:r>
          </w:p>
        </w:tc>
        <w:tc>
          <w:tcPr>
            <w:tcW w:w="2382" w:type="dxa"/>
            <w:noWrap w:val="0"/>
            <w:vAlign w:val="center"/>
          </w:tcPr>
          <w:p w14:paraId="306A67C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586" w:type="dxa"/>
            <w:noWrap w:val="0"/>
            <w:vAlign w:val="center"/>
          </w:tcPr>
          <w:p w14:paraId="659B698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78D53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71A934DC">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2D6BA6C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586" w:type="dxa"/>
            <w:noWrap w:val="0"/>
            <w:vAlign w:val="center"/>
          </w:tcPr>
          <w:p w14:paraId="6832724E">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名称：荔浦市残疾人联合会</w:t>
            </w:r>
          </w:p>
          <w:p w14:paraId="16E7DDB4">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eastAsia="zh-CN"/>
              </w:rPr>
              <w:t>陈家慧</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0773-7238385</w:t>
            </w:r>
            <w:r>
              <w:rPr>
                <w:rFonts w:hint="eastAsia" w:ascii="宋体" w:hAnsi="宋体" w:eastAsia="宋体" w:cs="宋体"/>
                <w:color w:val="auto"/>
                <w:szCs w:val="21"/>
                <w:highlight w:val="none"/>
                <w:lang w:val="en-US" w:eastAsia="zh-CN"/>
              </w:rPr>
              <w:t xml:space="preserve"> </w:t>
            </w:r>
          </w:p>
          <w:p w14:paraId="4D292D6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通讯地址：</w:t>
            </w:r>
            <w:r>
              <w:rPr>
                <w:rFonts w:hint="eastAsia" w:ascii="宋体" w:hAnsi="宋体" w:eastAsia="宋体" w:cs="宋体"/>
                <w:color w:val="auto"/>
                <w:szCs w:val="21"/>
                <w:highlight w:val="none"/>
                <w:lang w:eastAsia="zh-CN"/>
              </w:rPr>
              <w:t>广西桂林市荔浦市荔城镇荔柳路72号</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w:t>
            </w:r>
          </w:p>
          <w:p w14:paraId="19EBF54C">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名称：</w:t>
            </w:r>
            <w:r>
              <w:rPr>
                <w:rFonts w:hint="eastAsia" w:ascii="宋体" w:hAnsi="宋体" w:eastAsia="宋体" w:cs="宋体"/>
                <w:color w:val="auto"/>
                <w:szCs w:val="21"/>
                <w:highlight w:val="none"/>
              </w:rPr>
              <w:t>广西科联招标中心有限公司</w:t>
            </w:r>
          </w:p>
          <w:p w14:paraId="43E7DA3F">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联系电话：0773-5442932</w:t>
            </w:r>
          </w:p>
          <w:p w14:paraId="1DB457E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通讯地址：桂林市七星区东江路28号28-8栋 </w:t>
            </w:r>
          </w:p>
        </w:tc>
      </w:tr>
      <w:tr w14:paraId="5C29C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3DFB4729">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3178D82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4"/>
                <w:highlight w:val="none"/>
              </w:rPr>
              <w:t>现场提交质疑办理业务时间</w:t>
            </w:r>
          </w:p>
        </w:tc>
        <w:tc>
          <w:tcPr>
            <w:tcW w:w="6586" w:type="dxa"/>
            <w:noWrap w:val="0"/>
            <w:vAlign w:val="center"/>
          </w:tcPr>
          <w:p w14:paraId="0B3531B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4"/>
                <w:highlight w:val="none"/>
              </w:rPr>
              <w:t>质疑期内每个工作日</w:t>
            </w:r>
            <w:r>
              <w:rPr>
                <w:rFonts w:hint="eastAsia" w:ascii="宋体" w:hAnsi="宋体" w:eastAsia="宋体" w:cs="宋体"/>
                <w:color w:val="auto"/>
                <w:sz w:val="21"/>
                <w:highlight w:val="none"/>
                <w:lang w:val="en-US" w:eastAsia="zh-CN"/>
              </w:rPr>
              <w:t>（北京时间）</w:t>
            </w:r>
            <w:r>
              <w:rPr>
                <w:rFonts w:hint="eastAsia" w:ascii="宋体" w:hAnsi="宋体" w:eastAsia="宋体" w:cs="宋体"/>
                <w:color w:val="auto"/>
                <w:highlight w:val="none"/>
              </w:rPr>
              <w:t>上午</w:t>
            </w:r>
            <w:r>
              <w:rPr>
                <w:rFonts w:hint="eastAsia" w:ascii="宋体" w:hAnsi="宋体" w:eastAsia="宋体" w:cs="宋体"/>
                <w:color w:val="auto"/>
                <w:highlight w:val="none"/>
                <w:u w:val="single"/>
                <w:lang w:val="en-US"/>
              </w:rPr>
              <w:t>8</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lang w:val="en-US"/>
              </w:rPr>
              <w:t>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rPr>
              <w:t>00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下午</w:t>
            </w:r>
            <w:r>
              <w:rPr>
                <w:rFonts w:hint="eastAsia" w:ascii="宋体" w:hAnsi="宋体" w:eastAsia="宋体" w:cs="宋体"/>
                <w:color w:val="auto"/>
                <w:highlight w:val="none"/>
                <w:u w:val="single"/>
                <w:lang w:val="en-US"/>
              </w:rPr>
              <w:t>1</w:t>
            </w:r>
            <w:r>
              <w:rPr>
                <w:rFonts w:hint="eastAsia" w:ascii="宋体" w:hAnsi="宋体" w:eastAsia="宋体" w:cs="宋体"/>
                <w:color w:val="auto"/>
                <w:highlight w:val="none"/>
                <w:u w:val="single"/>
                <w:lang w:val="en-US" w:eastAsia="zh-CN"/>
              </w:rPr>
              <w:t>4</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w:t>
            </w:r>
            <w:r>
              <w:rPr>
                <w:rFonts w:hint="eastAsia" w:ascii="宋体" w:hAnsi="宋体" w:eastAsia="宋体" w:cs="宋体"/>
                <w:color w:val="auto"/>
                <w:highlight w:val="none"/>
                <w:u w:val="single"/>
                <w:lang w:val="en-US" w:eastAsia="zh-CN"/>
              </w:rPr>
              <w:t>7</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tc>
      </w:tr>
      <w:tr w14:paraId="4E419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7F0BAF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.6</w:t>
            </w:r>
          </w:p>
        </w:tc>
        <w:tc>
          <w:tcPr>
            <w:tcW w:w="2382" w:type="dxa"/>
            <w:noWrap w:val="0"/>
            <w:vAlign w:val="center"/>
          </w:tcPr>
          <w:p w14:paraId="5C71DAC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586" w:type="dxa"/>
            <w:noWrap w:val="0"/>
            <w:vAlign w:val="center"/>
          </w:tcPr>
          <w:p w14:paraId="4268B47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1、受理方式：纸质方式受理，投诉书正、副本（经过质疑的事项才可投诉）。</w:t>
            </w:r>
          </w:p>
          <w:p w14:paraId="7B68929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通讯方式</w:t>
            </w:r>
          </w:p>
          <w:p w14:paraId="328B3A9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荔浦市财政局</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w:t>
            </w:r>
          </w:p>
          <w:p w14:paraId="65ACA3A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bookmarkStart w:id="70" w:name="PO_3000001871_PM039"/>
            <w:r>
              <w:rPr>
                <w:rFonts w:hint="eastAsia" w:ascii="宋体" w:hAnsi="宋体" w:eastAsia="宋体" w:cs="宋体"/>
                <w:color w:val="auto"/>
                <w:szCs w:val="21"/>
                <w:highlight w:val="none"/>
                <w:lang w:eastAsia="zh-CN"/>
              </w:rPr>
              <w:t>广西桂林市荔浦市荔城镇滨江南岸9号</w:t>
            </w:r>
            <w:r>
              <w:rPr>
                <w:rFonts w:hint="eastAsia" w:ascii="宋体" w:hAnsi="宋体" w:eastAsia="宋体" w:cs="宋体"/>
                <w:color w:val="auto"/>
                <w:szCs w:val="21"/>
                <w:highlight w:val="none"/>
              </w:rPr>
              <w:t xml:space="preserve"> </w:t>
            </w:r>
            <w:bookmarkEnd w:id="70"/>
            <w:r>
              <w:rPr>
                <w:rFonts w:hint="eastAsia" w:ascii="宋体" w:hAnsi="宋体" w:eastAsia="宋体" w:cs="宋体"/>
                <w:color w:val="auto"/>
                <w:szCs w:val="21"/>
                <w:highlight w:val="none"/>
              </w:rPr>
              <w:t xml:space="preserve"> </w:t>
            </w:r>
          </w:p>
          <w:p w14:paraId="4C182E3A">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eastAsia="zh-CN"/>
              </w:rPr>
              <w:t>0773-7233366</w:t>
            </w:r>
            <w:r>
              <w:rPr>
                <w:rFonts w:hint="eastAsia" w:ascii="宋体" w:hAnsi="宋体" w:eastAsia="宋体" w:cs="宋体"/>
                <w:color w:val="auto"/>
                <w:szCs w:val="21"/>
                <w:highlight w:val="none"/>
                <w:lang w:val="en-US" w:eastAsia="zh-CN"/>
              </w:rPr>
              <w:t xml:space="preserve"> </w:t>
            </w:r>
          </w:p>
        </w:tc>
      </w:tr>
      <w:tr w14:paraId="15EDC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21790AB">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2</w:t>
            </w:r>
          </w:p>
        </w:tc>
        <w:tc>
          <w:tcPr>
            <w:tcW w:w="2382" w:type="dxa"/>
            <w:noWrap w:val="0"/>
            <w:vAlign w:val="center"/>
          </w:tcPr>
          <w:p w14:paraId="6B98C8A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w:t>
            </w:r>
          </w:p>
        </w:tc>
        <w:tc>
          <w:tcPr>
            <w:tcW w:w="6586" w:type="dxa"/>
            <w:noWrap w:val="0"/>
            <w:vAlign w:val="center"/>
          </w:tcPr>
          <w:p w14:paraId="34508AA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是否收取采购代理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w:t>
            </w:r>
          </w:p>
          <w:p w14:paraId="0B0FDBB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是    □ 否</w:t>
            </w:r>
          </w:p>
          <w:p w14:paraId="0927E7B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费支付方式：</w:t>
            </w:r>
          </w:p>
          <w:p w14:paraId="06795C4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费由</w:t>
            </w:r>
            <w:r>
              <w:rPr>
                <w:rFonts w:hint="eastAsia" w:ascii="宋体" w:hAnsi="宋体" w:eastAsia="宋体" w:cs="宋体"/>
                <w:color w:val="auto"/>
                <w:szCs w:val="21"/>
                <w:highlight w:val="none"/>
                <w:u w:val="single"/>
                <w:lang w:val="en-US"/>
              </w:rPr>
              <w:t>成交供应商</w:t>
            </w:r>
            <w:r>
              <w:rPr>
                <w:rFonts w:hint="eastAsia" w:ascii="宋体" w:hAnsi="宋体" w:eastAsia="宋体" w:cs="宋体"/>
                <w:color w:val="auto"/>
                <w:szCs w:val="21"/>
                <w:highlight w:val="none"/>
                <w:u w:val="none"/>
              </w:rPr>
              <w:t>在签订合同前</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 w:val="21"/>
                <w:highlight w:val="none"/>
                <w:u w:val="none"/>
                <w:lang w:val="en-US" w:eastAsia="zh-CN"/>
              </w:rPr>
              <w:t>以银行转账、电汇等方式</w:t>
            </w:r>
            <w:r>
              <w:rPr>
                <w:rFonts w:hint="eastAsia" w:ascii="宋体" w:hAnsi="宋体" w:eastAsia="宋体" w:cs="宋体"/>
                <w:color w:val="auto"/>
                <w:szCs w:val="21"/>
                <w:highlight w:val="none"/>
              </w:rPr>
              <w:t>一次性向采购代理机构支付。</w:t>
            </w:r>
          </w:p>
          <w:p w14:paraId="6214871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□采购人支付</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i/>
                <w:iCs/>
                <w:color w:val="auto"/>
                <w:sz w:val="21"/>
                <w:highlight w:val="none"/>
                <w:u w:val="single"/>
                <w:lang w:val="en-US" w:eastAsia="zh-CN"/>
              </w:rPr>
              <w:t>。</w:t>
            </w:r>
          </w:p>
          <w:p w14:paraId="658DF35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3.采购代理费收取标准：</w:t>
            </w:r>
          </w:p>
          <w:p w14:paraId="122A11A9">
            <w:pPr>
              <w:spacing w:line="360" w:lineRule="auto"/>
              <w:rPr>
                <w:rFonts w:hint="eastAsia" w:ascii="宋体" w:hAnsi="宋体" w:eastAsia="宋体" w:cs="宋体"/>
                <w:color w:val="auto"/>
                <w:szCs w:val="21"/>
                <w:highlight w:val="none"/>
              </w:rPr>
            </w:pPr>
            <w:bookmarkStart w:id="71" w:name="PO_3000001871_PM025"/>
            <w:r>
              <w:rPr>
                <w:rFonts w:hint="eastAsia" w:hAnsi="宋体" w:cs="宋体"/>
                <w:color w:val="auto"/>
                <w:highlight w:val="none"/>
              </w:rPr>
              <w:t>以</w:t>
            </w:r>
            <w:r>
              <w:rPr>
                <w:rFonts w:hint="eastAsia" w:hAnsi="宋体" w:cs="宋体"/>
                <w:color w:val="auto"/>
                <w:highlight w:val="none"/>
                <w:lang w:eastAsia="zh-CN"/>
              </w:rPr>
              <w:t>项目</w:t>
            </w:r>
            <w:r>
              <w:rPr>
                <w:rFonts w:hint="eastAsia" w:hAnsi="宋体" w:cs="宋体"/>
                <w:color w:val="auto"/>
                <w:highlight w:val="none"/>
              </w:rPr>
              <w:t>（</w:t>
            </w:r>
            <w:r>
              <w:rPr>
                <w:rFonts w:hint="eastAsia" w:hAnsi="宋体" w:cs="宋体"/>
                <w:color w:val="auto"/>
                <w:highlight w:val="none"/>
                <w:lang w:eastAsia="zh-CN"/>
              </w:rPr>
              <w:t>☑</w:t>
            </w:r>
            <w:r>
              <w:rPr>
                <w:rFonts w:hint="eastAsia" w:hAnsi="宋体" w:cs="宋体"/>
                <w:color w:val="auto"/>
                <w:highlight w:val="none"/>
              </w:rPr>
              <w:t>成交</w:t>
            </w:r>
            <w:r>
              <w:rPr>
                <w:rFonts w:hint="eastAsia" w:hAnsi="宋体" w:cs="宋体"/>
                <w:color w:val="auto"/>
                <w:highlight w:val="none"/>
                <w:lang w:eastAsia="zh-CN"/>
              </w:rPr>
              <w:t>总</w:t>
            </w:r>
            <w:r>
              <w:rPr>
                <w:rFonts w:hint="eastAsia" w:hAnsi="宋体" w:cs="宋体"/>
                <w:color w:val="auto"/>
                <w:highlight w:val="none"/>
              </w:rPr>
              <w:t>金额/□采购预算/</w:t>
            </w:r>
            <w:r>
              <w:rPr>
                <w:rFonts w:hint="eastAsia" w:hAnsi="宋体" w:cs="宋体"/>
                <w:color w:val="auto"/>
                <w:highlight w:val="none"/>
                <w:lang w:eastAsia="zh-CN"/>
              </w:rPr>
              <w:t>□</w:t>
            </w:r>
            <w:r>
              <w:rPr>
                <w:rFonts w:hint="eastAsia" w:hAnsi="宋体" w:cs="宋体"/>
                <w:color w:val="auto"/>
                <w:highlight w:val="none"/>
              </w:rPr>
              <w:t>暂定成交金额/□其他 ）为计费额，按</w:t>
            </w:r>
            <w:r>
              <w:rPr>
                <w:rFonts w:hint="eastAsia" w:hAnsi="宋体" w:cs="宋体"/>
                <w:color w:val="auto"/>
                <w:highlight w:val="none"/>
                <w:lang w:val="en-US" w:eastAsia="zh-CN"/>
              </w:rPr>
              <w:t>本须知正文第32.2条规定的收费计算标准（</w:t>
            </w:r>
            <w:r>
              <w:rPr>
                <w:rFonts w:hint="eastAsia" w:hAnsi="宋体" w:cs="宋体"/>
                <w:color w:val="auto"/>
                <w:highlight w:val="none"/>
                <w:lang w:eastAsia="zh-CN"/>
              </w:rPr>
              <w:t>货物</w:t>
            </w:r>
            <w:r>
              <w:rPr>
                <w:rFonts w:hint="eastAsia" w:hAnsi="宋体" w:cs="宋体"/>
                <w:color w:val="auto"/>
                <w:highlight w:val="none"/>
              </w:rPr>
              <w:t>类</w:t>
            </w:r>
            <w:r>
              <w:rPr>
                <w:rFonts w:hint="eastAsia" w:hAnsi="宋体" w:cs="宋体"/>
                <w:color w:val="auto"/>
                <w:highlight w:val="none"/>
                <w:lang w:val="en-US" w:eastAsia="zh-CN"/>
              </w:rPr>
              <w:t>）</w:t>
            </w:r>
            <w:r>
              <w:rPr>
                <w:rFonts w:hint="eastAsia" w:hAnsi="宋体" w:cs="宋体"/>
                <w:color w:val="auto"/>
                <w:highlight w:val="none"/>
              </w:rPr>
              <w:t>采用差额定率累进法计算出收费基准价格，采购代理</w:t>
            </w:r>
            <w:r>
              <w:rPr>
                <w:rFonts w:hint="eastAsia" w:hAnsi="宋体" w:cs="宋体"/>
                <w:color w:val="auto"/>
                <w:highlight w:val="none"/>
                <w:lang w:eastAsia="zh-CN"/>
              </w:rPr>
              <w:t>机构</w:t>
            </w:r>
            <w:r>
              <w:rPr>
                <w:rFonts w:hint="eastAsia" w:hAnsi="宋体" w:cs="宋体"/>
                <w:color w:val="auto"/>
                <w:highlight w:val="none"/>
              </w:rPr>
              <w:t>收费以（</w:t>
            </w:r>
            <w:r>
              <w:rPr>
                <w:rFonts w:hint="eastAsia" w:hAnsi="宋体" w:cs="宋体"/>
                <w:color w:val="auto"/>
                <w:highlight w:val="none"/>
                <w:lang w:eastAsia="zh-CN"/>
              </w:rPr>
              <w:t>☑</w:t>
            </w:r>
            <w:r>
              <w:rPr>
                <w:rFonts w:hint="eastAsia" w:hAnsi="宋体" w:cs="宋体"/>
                <w:color w:val="auto"/>
                <w:highlight w:val="none"/>
              </w:rPr>
              <w:t>收费基准价格/□收费基准价格下浮  %/□收费基准价格上浮   %）收取，</w:t>
            </w:r>
            <w:r>
              <w:rPr>
                <w:rFonts w:hint="default"/>
                <w:lang w:val="en-US" w:eastAsia="zh-CN"/>
              </w:rPr>
              <w:t>如按前述标准计算出来的采购代理服务费不足人民币伍仟元整的，按人民币伍仟元整收取</w:t>
            </w:r>
            <w:r>
              <w:rPr>
                <w:rFonts w:hint="eastAsia" w:ascii="宋体" w:hAnsi="宋体" w:eastAsia="宋体" w:cs="宋体"/>
                <w:color w:val="auto"/>
                <w:szCs w:val="21"/>
                <w:highlight w:val="none"/>
              </w:rPr>
              <w:t>。</w:t>
            </w:r>
            <w:bookmarkEnd w:id="71"/>
          </w:p>
          <w:p w14:paraId="776923E0">
            <w:pPr>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固定采购代理收费：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7CC6CD25">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 采购代理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费收取银行账户</w:t>
            </w:r>
            <w:r>
              <w:rPr>
                <w:rFonts w:hint="eastAsia" w:ascii="宋体" w:hAnsi="宋体" w:eastAsia="宋体" w:cs="宋体"/>
                <w:color w:val="auto"/>
                <w:szCs w:val="21"/>
                <w:highlight w:val="none"/>
                <w:lang w:eastAsia="zh-CN"/>
              </w:rPr>
              <w:t>的信息</w:t>
            </w:r>
          </w:p>
          <w:p w14:paraId="2EA963A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账户名称：广西科联招标中心有限公司桂林分公司</w:t>
            </w:r>
          </w:p>
          <w:p w14:paraId="69C2B9B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开户银行：中国工商银行股份有限公司桂林市桂湖支行</w:t>
            </w:r>
          </w:p>
          <w:p w14:paraId="7D6875A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银行账号：2103260229201002537</w:t>
            </w:r>
          </w:p>
          <w:p w14:paraId="771C768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开户行行号：102617026027 </w:t>
            </w:r>
          </w:p>
        </w:tc>
      </w:tr>
      <w:tr w14:paraId="1CE1E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54BA24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w:t>
            </w:r>
          </w:p>
        </w:tc>
        <w:tc>
          <w:tcPr>
            <w:tcW w:w="2382" w:type="dxa"/>
            <w:noWrap w:val="0"/>
            <w:vAlign w:val="center"/>
          </w:tcPr>
          <w:p w14:paraId="57B3642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4"/>
                <w:highlight w:val="none"/>
              </w:rPr>
              <w:t>解释</w:t>
            </w:r>
          </w:p>
        </w:tc>
        <w:tc>
          <w:tcPr>
            <w:tcW w:w="6586" w:type="dxa"/>
            <w:noWrap w:val="0"/>
            <w:vAlign w:val="center"/>
          </w:tcPr>
          <w:p w14:paraId="54232436">
            <w:pPr>
              <w:tabs>
                <w:tab w:val="left" w:pos="1080"/>
              </w:tabs>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解释：</w:t>
            </w:r>
            <w:r>
              <w:rPr>
                <w:rFonts w:hint="eastAsia" w:ascii="宋体" w:hAnsi="宋体" w:eastAsia="宋体" w:cs="宋体"/>
                <w:color w:val="auto"/>
                <w:szCs w:val="21"/>
                <w:highlight w:val="none"/>
              </w:rPr>
              <w:t>构成本谈判文件的各个组成文件应互为解释，互为说明；除谈判文件中有特别规定外，仅适用于竞标阶段的规定，按更正公告（澄清公告）、竞争性谈判公告、采购需求、供应商须知、</w:t>
            </w:r>
            <w:r>
              <w:rPr>
                <w:rFonts w:hint="eastAsia" w:ascii="宋体" w:hAnsi="宋体" w:eastAsia="宋体" w:cs="宋体"/>
                <w:bCs/>
                <w:color w:val="auto"/>
                <w:szCs w:val="44"/>
                <w:highlight w:val="none"/>
                <w:lang w:val="zh-CN" w:eastAsia="zh-CN"/>
              </w:rPr>
              <w:t>评审程序、评审方法和成交标准</w:t>
            </w:r>
            <w:r>
              <w:rPr>
                <w:rFonts w:hint="eastAsia" w:ascii="宋体" w:hAnsi="宋体" w:eastAsia="宋体" w:cs="宋体"/>
                <w:color w:val="auto"/>
                <w:szCs w:val="21"/>
                <w:highlight w:val="none"/>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color w:val="auto"/>
                <w:szCs w:val="21"/>
                <w:highlight w:val="none"/>
              </w:rPr>
              <w:t>由采购人或者采购代理机构负责解释。</w:t>
            </w:r>
          </w:p>
          <w:p w14:paraId="1D0400E5">
            <w:pPr>
              <w:tabs>
                <w:tab w:val="left" w:pos="1080"/>
              </w:tabs>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法律责任：</w:t>
            </w:r>
          </w:p>
          <w:p w14:paraId="6191AA09">
            <w:pPr>
              <w:tabs>
                <w:tab w:val="left" w:pos="1080"/>
              </w:tabs>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1"/>
                <w:highlight w:val="none"/>
              </w:rPr>
              <w:t>本采购文件根据《中华人民共和国政府采购法》、《中华人民共和国民法典》</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《中华人民共和国政府采购法实施条例》、《政府采购非招标采购方式管理办法》等有关法律、法规编制，参与本项目的各政府采购当事人依法享有上述法律法规所赋予的权利与义务。</w:t>
            </w:r>
          </w:p>
        </w:tc>
      </w:tr>
      <w:tr w14:paraId="0E243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74794C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w:t>
            </w:r>
          </w:p>
        </w:tc>
        <w:tc>
          <w:tcPr>
            <w:tcW w:w="2382" w:type="dxa"/>
            <w:noWrap w:val="0"/>
            <w:vAlign w:val="center"/>
          </w:tcPr>
          <w:p w14:paraId="33C040E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586" w:type="dxa"/>
            <w:noWrap w:val="0"/>
            <w:vAlign w:val="center"/>
          </w:tcPr>
          <w:p w14:paraId="5473144C">
            <w:pPr>
              <w:pStyle w:val="16"/>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中描述</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的“公章”是指根据我国对公章的管理规定，用</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法定主体行为名称制作的</w:t>
            </w:r>
            <w:r>
              <w:rPr>
                <w:rFonts w:hint="eastAsia" w:ascii="宋体" w:hAnsi="宋体" w:eastAsia="宋体" w:cs="宋体"/>
                <w:color w:val="auto"/>
                <w:szCs w:val="21"/>
                <w:highlight w:val="none"/>
                <w:lang w:eastAsia="zh-CN"/>
              </w:rPr>
              <w:t>实物</w:t>
            </w:r>
            <w:r>
              <w:rPr>
                <w:rFonts w:hint="eastAsia" w:ascii="宋体" w:hAnsi="宋体" w:eastAsia="宋体" w:cs="宋体"/>
                <w:color w:val="auto"/>
                <w:szCs w:val="21"/>
                <w:highlight w:val="none"/>
              </w:rPr>
              <w:t>印章</w:t>
            </w:r>
            <w:r>
              <w:rPr>
                <w:rFonts w:hint="eastAsia" w:ascii="宋体" w:hAnsi="宋体" w:eastAsia="宋体" w:cs="宋体"/>
                <w:color w:val="auto"/>
                <w:szCs w:val="21"/>
                <w:highlight w:val="none"/>
                <w:lang w:eastAsia="zh-CN"/>
              </w:rPr>
              <w:t>或供应商</w:t>
            </w:r>
            <w:r>
              <w:rPr>
                <w:rFonts w:hint="eastAsia" w:ascii="宋体" w:hAnsi="宋体" w:eastAsia="宋体" w:cs="宋体"/>
                <w:color w:val="auto"/>
                <w:szCs w:val="21"/>
                <w:highlight w:val="none"/>
              </w:rPr>
              <w:t>通过指定电子化政府采购平台办理数字证书（CA认证）获得的以法定主体行为名称制作的电子印章。除</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有特殊规定外，</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的财务章、部门章、分公司章、工会章、合同章、</w:t>
            </w:r>
            <w:r>
              <w:rPr>
                <w:rFonts w:hint="eastAsia" w:ascii="宋体" w:hAnsi="宋体" w:eastAsia="宋体" w:cs="宋体"/>
                <w:color w:val="auto"/>
                <w:szCs w:val="21"/>
                <w:highlight w:val="none"/>
                <w:lang w:eastAsia="zh-CN"/>
              </w:rPr>
              <w:t>竞标</w:t>
            </w:r>
            <w:r>
              <w:rPr>
                <w:rFonts w:hint="eastAsia" w:ascii="宋体" w:hAnsi="宋体" w:eastAsia="宋体" w:cs="宋体"/>
                <w:color w:val="auto"/>
                <w:szCs w:val="21"/>
                <w:highlight w:val="none"/>
              </w:rPr>
              <w:t>专用章、业务专用章及银行的转账章、现金收讫章、现金付讫章等其他形式印章均不能代替公章。</w:t>
            </w:r>
          </w:p>
          <w:p w14:paraId="373DDA2F">
            <w:pPr>
              <w:pStyle w:val="16"/>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中描述</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的“签字”是指</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通过指定电子化政府采购平台办理数字证书（CA认证）获得的以</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法定代表人或者委托代理人姓名制作的电子印章或手写签字。</w:t>
            </w:r>
          </w:p>
          <w:p w14:paraId="63962AD6">
            <w:pPr>
              <w:pStyle w:val="16"/>
              <w:tabs>
                <w:tab w:val="center" w:pos="4153"/>
                <w:tab w:val="right" w:pos="8306"/>
              </w:tabs>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3.本竞争性谈判文件所称的“电子签章”“电子签名”，是指经</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val="en-US" w:eastAsia="zh-CN"/>
              </w:rPr>
              <w:t>认可的CA认证的电子签名数据为表现形式的印章，可用于签署电子版响应文件，电子印章与实物印章具有同等法律效力，不因其采用电子化表现形式而否定其法律效力。</w:t>
            </w:r>
          </w:p>
          <w:p w14:paraId="2BA7D378">
            <w:pPr>
              <w:pStyle w:val="16"/>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为其他组织或者自然人时，</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规定的法定代表人指负责人或者自然人。</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所称负责人是指参加</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标的其他组织营业执照上的负责人，</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所称自然人指参与</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标的自然人本人。</w:t>
            </w:r>
          </w:p>
          <w:p w14:paraId="19EA60B5">
            <w:pPr>
              <w:pStyle w:val="16"/>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标的，</w:t>
            </w:r>
            <w:r>
              <w:rPr>
                <w:rFonts w:hint="eastAsia" w:ascii="宋体" w:hAnsi="宋体" w:eastAsia="宋体" w:cs="宋体"/>
                <w:color w:val="auto"/>
                <w:szCs w:val="21"/>
                <w:highlight w:val="none"/>
                <w:lang w:eastAsia="zh-CN"/>
              </w:rPr>
              <w:t>竞争性谈判文件</w:t>
            </w:r>
            <w:r>
              <w:rPr>
                <w:rFonts w:hint="eastAsia" w:ascii="宋体" w:hAnsi="宋体" w:eastAsia="宋体" w:cs="宋体"/>
                <w:color w:val="auto"/>
                <w:szCs w:val="21"/>
                <w:highlight w:val="none"/>
              </w:rPr>
              <w:t>规定盖公章处由自然人摁手指指印。</w:t>
            </w:r>
          </w:p>
          <w:p w14:paraId="0D1126F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6.</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所称的“以上”“以下”“以内”“届满”，包括本数；所称的“不满”“超过”“以外”，不包括本数。</w:t>
            </w:r>
          </w:p>
        </w:tc>
      </w:tr>
    </w:tbl>
    <w:p w14:paraId="19963F50">
      <w:pPr>
        <w:keepNext/>
        <w:keepLines/>
        <w:spacing w:before="260" w:after="260" w:line="420" w:lineRule="exact"/>
        <w:jc w:val="center"/>
        <w:outlineLvl w:val="1"/>
        <w:rPr>
          <w:rFonts w:hint="eastAsia" w:ascii="宋体" w:hAnsi="宋体" w:eastAsia="宋体" w:cs="宋体"/>
          <w:bCs/>
          <w:color w:val="auto"/>
          <w:sz w:val="32"/>
          <w:szCs w:val="32"/>
          <w:highlight w:val="none"/>
          <w:lang w:val="zh-CN" w:eastAsia="zh-CN"/>
        </w:rPr>
      </w:pPr>
      <w:r>
        <w:rPr>
          <w:rFonts w:hint="eastAsia" w:ascii="宋体" w:hAnsi="宋体" w:eastAsia="宋体" w:cs="宋体"/>
          <w:bCs/>
          <w:color w:val="auto"/>
          <w:sz w:val="32"/>
          <w:szCs w:val="32"/>
          <w:highlight w:val="none"/>
          <w:lang w:val="zh-CN" w:eastAsia="zh-CN"/>
        </w:rPr>
        <w:br w:type="page" w:clear="all"/>
      </w:r>
      <w:bookmarkStart w:id="72" w:name="_Toc29286"/>
      <w:bookmarkStart w:id="73" w:name="_Toc20165"/>
      <w:bookmarkStart w:id="74" w:name="_Toc80205924"/>
      <w:r>
        <w:rPr>
          <w:rFonts w:hint="eastAsia" w:ascii="宋体" w:hAnsi="宋体" w:eastAsia="宋体" w:cs="宋体"/>
          <w:bCs/>
          <w:color w:val="auto"/>
          <w:sz w:val="32"/>
          <w:szCs w:val="32"/>
          <w:highlight w:val="none"/>
          <w:lang w:val="zh-CN" w:eastAsia="zh-CN"/>
        </w:rPr>
        <w:t>第二节 供应商须知正文</w:t>
      </w:r>
      <w:bookmarkEnd w:id="72"/>
      <w:bookmarkEnd w:id="73"/>
      <w:bookmarkEnd w:id="74"/>
    </w:p>
    <w:p w14:paraId="3CECA610">
      <w:pPr>
        <w:keepNext/>
        <w:keepLines/>
        <w:spacing w:line="360" w:lineRule="auto"/>
        <w:ind w:firstLine="640"/>
        <w:outlineLvl w:val="2"/>
        <w:rPr>
          <w:rFonts w:hint="eastAsia" w:ascii="宋体" w:hAnsi="宋体" w:eastAsia="宋体" w:cs="宋体"/>
          <w:bCs/>
          <w:color w:val="auto"/>
          <w:sz w:val="32"/>
          <w:szCs w:val="32"/>
          <w:highlight w:val="none"/>
          <w:lang w:val="zh-CN" w:eastAsia="zh-CN"/>
        </w:rPr>
      </w:pPr>
      <w:bookmarkStart w:id="75" w:name="_Toc80205925"/>
      <w:bookmarkStart w:id="76" w:name="_Toc18711"/>
      <w:bookmarkStart w:id="77" w:name="_Toc27704"/>
      <w:r>
        <w:rPr>
          <w:rFonts w:hint="eastAsia" w:ascii="宋体" w:hAnsi="宋体" w:eastAsia="宋体" w:cs="宋体"/>
          <w:bCs/>
          <w:color w:val="auto"/>
          <w:sz w:val="32"/>
          <w:szCs w:val="32"/>
          <w:highlight w:val="none"/>
          <w:lang w:val="zh-CN" w:eastAsia="zh-CN"/>
        </w:rPr>
        <w:t>一、总则</w:t>
      </w:r>
      <w:bookmarkEnd w:id="75"/>
      <w:bookmarkEnd w:id="76"/>
      <w:bookmarkEnd w:id="77"/>
    </w:p>
    <w:p w14:paraId="77ABDC32">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1.适用范围</w:t>
      </w:r>
    </w:p>
    <w:p w14:paraId="4FBC5CD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3660E1E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本竞争性谈判文件（以下简称谈判文件）适用于本项目的所有采购程序和环节（法律、法规另有规定的，从其规定）。</w:t>
      </w:r>
    </w:p>
    <w:p w14:paraId="5F06A345">
      <w:pPr>
        <w:spacing w:line="360" w:lineRule="auto"/>
        <w:ind w:firstLine="482"/>
        <w:rPr>
          <w:rFonts w:hint="eastAsia" w:ascii="宋体" w:hAnsi="宋体" w:eastAsia="宋体" w:cs="宋体"/>
          <w:color w:val="auto"/>
          <w:szCs w:val="21"/>
          <w:highlight w:val="none"/>
        </w:rPr>
      </w:pPr>
      <w:r>
        <w:rPr>
          <w:rFonts w:hint="eastAsia" w:ascii="宋体" w:hAnsi="宋体" w:eastAsia="宋体" w:cs="宋体"/>
          <w:b/>
          <w:bCs/>
          <w:color w:val="auto"/>
          <w:sz w:val="24"/>
          <w:szCs w:val="24"/>
          <w:highlight w:val="none"/>
        </w:rPr>
        <w:t>2.定义</w:t>
      </w:r>
    </w:p>
    <w:p w14:paraId="3CADAF8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2.1“采购人”是指依法进行采购的国家机关、事业单位、团体组织。</w:t>
      </w:r>
    </w:p>
    <w:p w14:paraId="248F2126">
      <w:pPr>
        <w:spacing w:line="360" w:lineRule="auto"/>
        <w:ind w:firstLine="42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2.2“采购代理机构”是指政府采购集中采购机构和集中采购机构以外的采购代理机构。</w:t>
      </w:r>
    </w:p>
    <w:p w14:paraId="700882F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5CF66E4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14:paraId="1F34A98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2.5“竞标”是指按照本项目竞争性谈判公告规定的方式供应商获取谈判文件、提交响应文件并希望获得标的的行为。</w:t>
      </w:r>
    </w:p>
    <w:p w14:paraId="1216916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2.6“售后服务” 是指包含但不限于供应商须承担的备品备件、包装、运输、装卸、保险、货到就位以及安装、调试、培训、保修和其他类似的义务。</w:t>
      </w:r>
    </w:p>
    <w:p w14:paraId="140740F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2.7“书面形式”是指合同书、信件和数据电文（包括电报、电传、传真、电子数据交换和电子邮件）等可以有形地表现所载内容的形式。</w:t>
      </w:r>
    </w:p>
    <w:p w14:paraId="36EA844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2.8“响应文件”</w:t>
      </w:r>
      <w:r>
        <w:rPr>
          <w:rFonts w:hint="eastAsia" w:ascii="宋体" w:hAnsi="宋体" w:eastAsia="宋体" w:cs="宋体"/>
          <w:color w:val="auto"/>
          <w:spacing w:val="-6"/>
          <w:szCs w:val="21"/>
          <w:highlight w:val="none"/>
        </w:rPr>
        <w:t>是指供应商根据本文件要求，编制包含报价、技术和货物等所有内容的文件。</w:t>
      </w:r>
    </w:p>
    <w:p w14:paraId="612EE55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 “实质性要求”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49FAD83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2.10“正偏离”是指响应文件对谈判文件“采购需求”中有关条款作出优于条款要求并有利于采购人的响应情形；</w:t>
      </w:r>
    </w:p>
    <w:p w14:paraId="3C70560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2.11“负偏离”是指响应文件对谈判文件“采购需求”中有关条款作出的响应不满足条款要求，导致采购人要求不能得到满足的情形。</w:t>
      </w:r>
    </w:p>
    <w:p w14:paraId="58CB211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“首次报价”是指供应商提交的首次响应文件中的</w:t>
      </w:r>
      <w:r>
        <w:rPr>
          <w:rFonts w:hint="eastAsia" w:ascii="宋体" w:hAnsi="宋体" w:eastAsia="宋体" w:cs="宋体"/>
          <w:color w:val="auto"/>
          <w:szCs w:val="21"/>
          <w:highlight w:val="none"/>
          <w:lang w:eastAsia="zh-CN"/>
        </w:rPr>
        <w:t>响应报价</w:t>
      </w:r>
      <w:r>
        <w:rPr>
          <w:rFonts w:hint="eastAsia" w:ascii="宋体" w:hAnsi="宋体" w:eastAsia="宋体" w:cs="宋体"/>
          <w:color w:val="auto"/>
          <w:szCs w:val="21"/>
          <w:highlight w:val="none"/>
        </w:rPr>
        <w:t>。</w:t>
      </w:r>
    </w:p>
    <w:p w14:paraId="7BE33E40">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“评审价”是指供应商提交的最后报价并经修正和政策功能价格扣除后的价格。</w:t>
      </w:r>
    </w:p>
    <w:p w14:paraId="2E739118">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3.供应商的资格条件</w:t>
      </w:r>
    </w:p>
    <w:p w14:paraId="40A7A3A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74E1E070">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4.谈判费用</w:t>
      </w:r>
    </w:p>
    <w:p w14:paraId="7C83123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供应商应承担参与本次采购活动有关的所有费用，包括但不限于勘查现场、编制和提交响应文件、参加谈判与应答、签订合同等，不论竞标结果如何，均应自行承担。</w:t>
      </w:r>
    </w:p>
    <w:p w14:paraId="2D6C2BFB">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5.联合体竞标</w:t>
      </w:r>
    </w:p>
    <w:p w14:paraId="7335B66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28D0FF8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szCs w:val="24"/>
          <w:highlight w:val="none"/>
        </w:rPr>
        <w:t>如接受联合体竞标，</w:t>
      </w:r>
      <w:r>
        <w:rPr>
          <w:rFonts w:hint="eastAsia" w:ascii="宋体" w:hAnsi="宋体" w:eastAsia="宋体" w:cs="宋体"/>
          <w:color w:val="auto"/>
          <w:szCs w:val="21"/>
          <w:highlight w:val="none"/>
        </w:rPr>
        <w:t>联合体竞标要求详见“供应商须知前附表”。</w:t>
      </w:r>
    </w:p>
    <w:p w14:paraId="5946B250">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6.转包与分包             </w:t>
      </w:r>
    </w:p>
    <w:p w14:paraId="3A141DB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6.1本项目不允许转包。</w:t>
      </w:r>
    </w:p>
    <w:p w14:paraId="3C7BDDA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本项目是否允许分包详见“供应商须知前附表”，本项目不允许违法分包。</w:t>
      </w:r>
    </w:p>
    <w:p w14:paraId="44F30334">
      <w:pPr>
        <w:spacing w:line="360" w:lineRule="auto"/>
        <w:ind w:firstLine="482"/>
        <w:rPr>
          <w:rFonts w:hint="eastAsia" w:ascii="宋体" w:hAnsi="宋体" w:eastAsia="宋体" w:cs="宋体"/>
          <w:b/>
          <w:bCs/>
          <w:color w:val="auto"/>
          <w:sz w:val="24"/>
          <w:szCs w:val="24"/>
          <w:highlight w:val="none"/>
        </w:rPr>
      </w:pPr>
      <w:bookmarkStart w:id="78" w:name="_Toc254970673"/>
      <w:bookmarkStart w:id="79" w:name="_Toc254970532"/>
      <w:r>
        <w:rPr>
          <w:rFonts w:hint="eastAsia" w:ascii="宋体" w:hAnsi="宋体" w:eastAsia="宋体" w:cs="宋体"/>
          <w:b/>
          <w:bCs/>
          <w:color w:val="auto"/>
          <w:sz w:val="24"/>
          <w:szCs w:val="24"/>
          <w:highlight w:val="none"/>
        </w:rPr>
        <w:t>7.特别说明</w:t>
      </w:r>
      <w:bookmarkEnd w:id="78"/>
      <w:bookmarkEnd w:id="79"/>
    </w:p>
    <w:p w14:paraId="43618C39">
      <w:pPr>
        <w:spacing w:line="360" w:lineRule="auto"/>
        <w:ind w:firstLine="420"/>
        <w:rPr>
          <w:rFonts w:hint="eastAsia" w:ascii="宋体" w:hAnsi="宋体" w:eastAsia="宋体" w:cs="宋体"/>
          <w:color w:val="auto"/>
          <w:szCs w:val="21"/>
          <w:highlight w:val="none"/>
        </w:rPr>
      </w:pPr>
      <w:bookmarkStart w:id="80" w:name="_8.1提供相同品牌产品且通过资格审查、符合性审查的不同投标人参加同一合"/>
      <w:bookmarkEnd w:id="80"/>
      <w:r>
        <w:rPr>
          <w:rFonts w:hint="eastAsia" w:ascii="宋体" w:hAnsi="宋体" w:eastAsia="宋体" w:cs="宋体"/>
          <w:color w:val="auto"/>
          <w:szCs w:val="21"/>
          <w:highlight w:val="none"/>
        </w:rPr>
        <w:t>7.1如果本谈判文件要求提供供应商或制造商的资格、信誉、荣誉、业绩与企业认证等材料的，资格、信誉、荣誉、业绩与企业认证等必须为供应商或者制造商所拥有或自身获得 。</w:t>
      </w:r>
    </w:p>
    <w:p w14:paraId="43EF098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7.2供应商应仔细阅读谈判文件的所有内容，按照谈判文件的要求提交响应文件，并对所提供的全部资料的真实性承担法律责任。</w:t>
      </w:r>
    </w:p>
    <w:p w14:paraId="48F1752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7.3供应商在竞标活动中提供任何虚假材料,</w:t>
      </w:r>
      <w:r>
        <w:rPr>
          <w:rFonts w:hint="eastAsia" w:ascii="宋体" w:hAnsi="宋体" w:eastAsia="宋体" w:cs="宋体"/>
          <w:b w:val="0"/>
          <w:bCs w:val="0"/>
          <w:color w:val="auto"/>
          <w:szCs w:val="21"/>
          <w:highlight w:val="none"/>
        </w:rPr>
        <w:t>其响应文件作无效处理</w:t>
      </w:r>
      <w:r>
        <w:rPr>
          <w:rFonts w:hint="eastAsia" w:ascii="宋体" w:hAnsi="宋体" w:eastAsia="宋体" w:cs="宋体"/>
          <w:color w:val="auto"/>
          <w:szCs w:val="21"/>
          <w:highlight w:val="none"/>
        </w:rPr>
        <w:t>，并报监管部门查处；签订合同后发现的,成交供应商须依照《中华人民共和国</w:t>
      </w:r>
      <w:r>
        <w:rPr>
          <w:rFonts w:hint="eastAsia" w:ascii="宋体" w:hAnsi="宋体" w:eastAsia="宋体" w:cs="宋体"/>
          <w:color w:val="auto"/>
          <w:szCs w:val="21"/>
          <w:highlight w:val="none"/>
          <w:lang w:val="en-US" w:eastAsia="zh-CN"/>
        </w:rPr>
        <w:t>民法典</w:t>
      </w:r>
      <w:r>
        <w:rPr>
          <w:rFonts w:hint="eastAsia" w:ascii="宋体" w:hAnsi="宋体" w:eastAsia="宋体" w:cs="宋体"/>
          <w:color w:val="auto"/>
          <w:szCs w:val="21"/>
          <w:highlight w:val="none"/>
        </w:rPr>
        <w:t>》规定赔偿采购人，且民事赔偿并不免除违法供应商的行政与刑事责任。</w:t>
      </w:r>
    </w:p>
    <w:p w14:paraId="030E5B0E">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7.4在政府采购活动中，采购人员及相关人员与供应商有下列利害关系之一的，应当回避：</w:t>
      </w:r>
    </w:p>
    <w:p w14:paraId="36CAA76C">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（1）参加采购活动前3年内与供应商存在劳动关系；</w:t>
      </w:r>
    </w:p>
    <w:p w14:paraId="7489CA63">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（2）参加采购活动前3年内担任供应商的董事、监事；</w:t>
      </w:r>
    </w:p>
    <w:p w14:paraId="77468E28">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（3）参加采购活动前3年内是供应商的控股股东或者实际控制人；</w:t>
      </w:r>
    </w:p>
    <w:p w14:paraId="73B881F8">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（4）与供应商的法定代表人或者负责人有夫妻、直系血亲、三代以内旁系血亲或者近姻亲关系；</w:t>
      </w:r>
    </w:p>
    <w:p w14:paraId="1175A582">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（5）与供应商有其他可能影响政府采购活动公平、公正进行的关系。</w:t>
      </w:r>
    </w:p>
    <w:p w14:paraId="2F3A7B68">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ED5B80F">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7.5有下列情形之一的视为供应商相互串通竞标，响应文件将被视为无效：</w:t>
      </w:r>
    </w:p>
    <w:p w14:paraId="4DB3DE83">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（1）不同供应商的响应文件由同一单位或者个人编制；或不同</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Cs w:val="21"/>
          <w:highlight w:val="none"/>
        </w:rPr>
        <w:t>报名的IP地址一致的；</w:t>
      </w:r>
    </w:p>
    <w:p w14:paraId="61357356">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（2）不同供应商委托同一单位或者个人办理竞标事宜；</w:t>
      </w:r>
    </w:p>
    <w:p w14:paraId="14E35EF2">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（3）不同的供应商的响应文件载明的项目管理员为同一个人；</w:t>
      </w:r>
    </w:p>
    <w:p w14:paraId="5A312E8A">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（4）不同供应商的响应文件异常一致或者报价呈规律性差异；</w:t>
      </w:r>
    </w:p>
    <w:p w14:paraId="2700FF55">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（5）不同供应商的响应文件相互混装；</w:t>
      </w:r>
    </w:p>
    <w:p w14:paraId="1D9C9427">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（6）不同供应商的</w:t>
      </w:r>
      <w:r>
        <w:rPr>
          <w:rFonts w:hint="eastAsia" w:ascii="宋体" w:hAnsi="宋体" w:eastAsia="宋体" w:cs="宋体"/>
          <w:b/>
          <w:bCs/>
          <w:color w:val="auto"/>
          <w:szCs w:val="21"/>
          <w:highlight w:val="none"/>
          <w:lang w:eastAsia="zh-CN"/>
        </w:rPr>
        <w:t>谈判保证金</w:t>
      </w:r>
      <w:r>
        <w:rPr>
          <w:rFonts w:hint="eastAsia" w:ascii="宋体" w:hAnsi="宋体" w:eastAsia="宋体" w:cs="宋体"/>
          <w:b/>
          <w:bCs/>
          <w:color w:val="auto"/>
          <w:szCs w:val="21"/>
          <w:highlight w:val="none"/>
        </w:rPr>
        <w:t>从同一单位或者个人账户转出。</w:t>
      </w:r>
    </w:p>
    <w:p w14:paraId="78D433D8">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7.6供应商有下列情形之一的，属于恶意串通行为</w:t>
      </w:r>
      <w:bookmarkStart w:id="81" w:name="_Hlk54682620"/>
      <w:r>
        <w:rPr>
          <w:rFonts w:hint="eastAsia" w:ascii="宋体" w:hAnsi="宋体" w:eastAsia="宋体" w:cs="宋体"/>
          <w:b/>
          <w:bCs/>
          <w:color w:val="auto"/>
          <w:szCs w:val="21"/>
          <w:highlight w:val="none"/>
        </w:rPr>
        <w:t>，将报同级监督管理部门</w:t>
      </w:r>
      <w:bookmarkEnd w:id="81"/>
      <w:r>
        <w:rPr>
          <w:rFonts w:hint="eastAsia" w:ascii="宋体" w:hAnsi="宋体" w:eastAsia="宋体" w:cs="宋体"/>
          <w:b/>
          <w:bCs/>
          <w:color w:val="auto"/>
          <w:szCs w:val="21"/>
          <w:highlight w:val="none"/>
        </w:rPr>
        <w:t>：</w:t>
      </w:r>
    </w:p>
    <w:p w14:paraId="1464E43E">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（1）供应商直接或者间接从采购人或者采购代理机构处获得其他供应商的相关信息并修改其响应文件；</w:t>
      </w:r>
    </w:p>
    <w:p w14:paraId="6AEDE5A6">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（2）供应商按照采购人或者采购代理机构的授意撤换、修改响应文件；</w:t>
      </w:r>
    </w:p>
    <w:p w14:paraId="41D7377D">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（3）供应商之间协商报价、技术方案等响应文件的实质性内容；</w:t>
      </w:r>
    </w:p>
    <w:p w14:paraId="19E8C96E">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（4）属于同一集团、协会、商会等组织成员的供应商按照该组织要求协同参加政府采购活动；</w:t>
      </w:r>
    </w:p>
    <w:p w14:paraId="7D1BA406">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0D5A153A">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（6）供应商之间商定部分供应商放弃参加政府采购活动或者放弃成交；</w:t>
      </w:r>
    </w:p>
    <w:p w14:paraId="12E65BEE">
      <w:pPr>
        <w:spacing w:line="360" w:lineRule="auto"/>
        <w:ind w:firstLine="422"/>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（7）供应商与采购人或者采购代理机构之间、供应商相互之间，为谋求特定供应商成交或者排斥其他供应商的其他串通行为。</w:t>
      </w:r>
      <w:bookmarkStart w:id="82" w:name="_Toc254970675"/>
      <w:bookmarkStart w:id="83" w:name="_Toc254970534"/>
    </w:p>
    <w:p w14:paraId="1C1C6C47">
      <w:pPr>
        <w:spacing w:line="360" w:lineRule="auto"/>
        <w:ind w:firstLine="422" w:firstLineChars="200"/>
        <w:rPr>
          <w:rFonts w:hint="eastAsia" w:ascii="宋体" w:hAnsi="宋体" w:eastAsia="宋体" w:cs="宋体"/>
          <w:b/>
          <w:bCs/>
          <w:color w:val="000000"/>
          <w:szCs w:val="21"/>
        </w:rPr>
      </w:pPr>
      <w:r>
        <w:rPr>
          <w:rFonts w:hint="eastAsia" w:ascii="宋体" w:hAnsi="宋体" w:eastAsia="宋体" w:cs="宋体"/>
          <w:b/>
          <w:bCs/>
          <w:szCs w:val="24"/>
          <w:lang w:val="en-US" w:eastAsia="zh-CN"/>
        </w:rPr>
        <w:t>7.7</w:t>
      </w:r>
      <w:r>
        <w:rPr>
          <w:rFonts w:hint="eastAsia" w:ascii="宋体" w:hAnsi="宋体" w:eastAsia="宋体" w:cs="宋体"/>
          <w:b/>
          <w:bCs/>
          <w:color w:val="000000"/>
          <w:szCs w:val="21"/>
          <w:lang w:val="en-US" w:eastAsia="zh-CN"/>
        </w:rPr>
        <w:t>单一产品</w:t>
      </w:r>
      <w:r>
        <w:rPr>
          <w:rFonts w:hint="eastAsia" w:ascii="宋体" w:hAnsi="宋体" w:eastAsia="宋体" w:cs="宋体"/>
          <w:b/>
          <w:bCs/>
          <w:color w:val="000000"/>
          <w:szCs w:val="21"/>
        </w:rPr>
        <w:t>采购项目</w:t>
      </w:r>
      <w:r>
        <w:rPr>
          <w:rFonts w:hint="eastAsia" w:ascii="宋体" w:hAnsi="宋体" w:eastAsia="宋体" w:cs="宋体"/>
          <w:b/>
          <w:bCs/>
          <w:color w:val="000000"/>
          <w:szCs w:val="21"/>
          <w:lang w:eastAsia="zh-CN"/>
        </w:rPr>
        <w:t>，</w:t>
      </w:r>
      <w:r>
        <w:rPr>
          <w:rFonts w:hint="eastAsia" w:ascii="宋体" w:hAnsi="宋体" w:eastAsia="宋体" w:cs="宋体"/>
          <w:b/>
          <w:bCs/>
          <w:color w:val="000000"/>
          <w:szCs w:val="21"/>
        </w:rPr>
        <w:t>提供相同品牌产品的不同供应商参加同一合同项下竞标的，以其中通过资格审查、符合性审查、谈判且最后报价最低的参加评审；最后报价相同的，由采购人或者采购人委托谈判小组按照竞争性谈判文件规定的方式确定一个参加评审的供应商，竞争性谈判文件未规定的采取随机抽取方式确定，</w:t>
      </w:r>
      <w:r>
        <w:rPr>
          <w:rFonts w:hint="eastAsia" w:ascii="宋体" w:hAnsi="宋体" w:eastAsia="宋体" w:cs="宋体"/>
          <w:b/>
          <w:bCs/>
          <w:kern w:val="0"/>
          <w:sz w:val="21"/>
          <w:szCs w:val="21"/>
        </w:rPr>
        <w:t>其他</w:t>
      </w:r>
      <w:r>
        <w:rPr>
          <w:rFonts w:hint="eastAsia" w:ascii="宋体" w:hAnsi="宋体" w:eastAsia="宋体" w:cs="宋体"/>
          <w:b/>
          <w:bCs/>
          <w:kern w:val="0"/>
          <w:sz w:val="21"/>
          <w:szCs w:val="21"/>
          <w:lang w:eastAsia="zh-CN"/>
        </w:rPr>
        <w:t>竞</w:t>
      </w:r>
      <w:r>
        <w:rPr>
          <w:rFonts w:hint="eastAsia" w:ascii="宋体" w:hAnsi="宋体" w:eastAsia="宋体" w:cs="宋体"/>
          <w:b/>
          <w:bCs/>
          <w:kern w:val="0"/>
          <w:sz w:val="21"/>
          <w:szCs w:val="21"/>
        </w:rPr>
        <w:t>标无效</w:t>
      </w:r>
      <w:r>
        <w:rPr>
          <w:rFonts w:hint="eastAsia" w:ascii="宋体" w:hAnsi="宋体" w:eastAsia="宋体" w:cs="宋体"/>
          <w:b/>
          <w:bCs/>
          <w:color w:val="000000"/>
          <w:szCs w:val="21"/>
        </w:rPr>
        <w:t>。</w:t>
      </w:r>
    </w:p>
    <w:p w14:paraId="1A09D454">
      <w:pPr>
        <w:spacing w:line="360" w:lineRule="auto"/>
        <w:ind w:firstLine="422"/>
        <w:rPr>
          <w:rFonts w:hint="eastAsia" w:ascii="宋体" w:hAnsi="宋体" w:eastAsia="宋体" w:cs="宋体"/>
          <w:b/>
          <w:bCs/>
          <w:color w:val="auto"/>
          <w:szCs w:val="24"/>
          <w:highlight w:val="none"/>
        </w:rPr>
      </w:pPr>
      <w:r>
        <w:rPr>
          <w:rFonts w:hint="eastAsia" w:ascii="宋体" w:hAnsi="宋体" w:eastAsia="宋体" w:cs="宋体"/>
          <w:b/>
          <w:bCs/>
          <w:color w:val="000000"/>
          <w:szCs w:val="21"/>
        </w:rPr>
        <w:t>非单一产品采购项目，多家供应商提供的核心产品品牌相同的，按前款规定处理。</w:t>
      </w:r>
    </w:p>
    <w:p w14:paraId="79D3202B">
      <w:pPr>
        <w:keepNext/>
        <w:keepLines/>
        <w:spacing w:line="360" w:lineRule="auto"/>
        <w:ind w:firstLine="640"/>
        <w:outlineLvl w:val="2"/>
        <w:rPr>
          <w:rFonts w:hint="eastAsia" w:ascii="宋体" w:hAnsi="宋体" w:eastAsia="宋体" w:cs="宋体"/>
          <w:color w:val="auto"/>
          <w:sz w:val="32"/>
          <w:szCs w:val="32"/>
          <w:highlight w:val="none"/>
          <w:lang w:val="zh-CN" w:eastAsia="zh-CN"/>
        </w:rPr>
      </w:pPr>
      <w:bookmarkStart w:id="84" w:name="_Toc80205926"/>
      <w:bookmarkStart w:id="85" w:name="_Toc30516"/>
      <w:bookmarkStart w:id="86" w:name="_Toc10931"/>
      <w:r>
        <w:rPr>
          <w:rFonts w:hint="eastAsia" w:ascii="宋体" w:hAnsi="宋体" w:eastAsia="宋体" w:cs="宋体"/>
          <w:color w:val="auto"/>
          <w:sz w:val="32"/>
          <w:szCs w:val="32"/>
          <w:highlight w:val="none"/>
          <w:lang w:val="zh-CN" w:eastAsia="zh-CN"/>
        </w:rPr>
        <w:t>二、谈判文件</w:t>
      </w:r>
      <w:bookmarkEnd w:id="82"/>
      <w:bookmarkEnd w:id="83"/>
      <w:bookmarkEnd w:id="84"/>
      <w:bookmarkEnd w:id="85"/>
      <w:bookmarkEnd w:id="86"/>
    </w:p>
    <w:p w14:paraId="0F139DFC">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8.谈判文件的构成</w:t>
      </w:r>
    </w:p>
    <w:p w14:paraId="1A2A5592">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竞争性谈判公告；</w:t>
      </w:r>
    </w:p>
    <w:p w14:paraId="0732F841">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252DED1C">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7969E5A4">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评审程序、评审方法和成交标准；</w:t>
      </w:r>
    </w:p>
    <w:p w14:paraId="42E9265A">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69F7905C">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4BEC3215">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第七章 质疑、投诉材料格式。</w:t>
      </w:r>
    </w:p>
    <w:p w14:paraId="4474E93B">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9.供应商的询问</w:t>
      </w:r>
    </w:p>
    <w:p w14:paraId="5866D6E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供应商应认真阅读谈判文件的采购需求，如供应商对谈判文件有疑问的，如要求采购人作出澄清或者修改的，供应商尽应在提交首次响应文件截止之日前，以书面形式向采购人、采购代理机构提出。</w:t>
      </w:r>
    </w:p>
    <w:p w14:paraId="5B0FB70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10.谈判文件的澄清和修改</w:t>
      </w:r>
    </w:p>
    <w:p w14:paraId="12895ED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09B9897F">
      <w:p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14D5B87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w:t>
      </w:r>
      <w:r>
        <w:rPr>
          <w:rFonts w:hint="eastAsia" w:ascii="宋体" w:hAnsi="宋体" w:eastAsia="宋体" w:cs="宋体"/>
          <w:color w:val="auto"/>
          <w:szCs w:val="21"/>
          <w:highlight w:val="none"/>
          <w:lang w:eastAsia="zh-CN"/>
        </w:rPr>
        <w:t>接收</w:t>
      </w:r>
      <w:r>
        <w:rPr>
          <w:rFonts w:hint="eastAsia" w:ascii="宋体" w:hAnsi="宋体" w:eastAsia="宋体" w:cs="宋体"/>
          <w:color w:val="auto"/>
          <w:szCs w:val="21"/>
          <w:highlight w:val="none"/>
        </w:rPr>
        <w:t>谈判文件的供应商，不足3个工作日的，应当顺延提交首次响应文件截止之日。澄清或者更正公告在</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公告发布媒体上发布，一经发布，视作已以书面形式通知所有接收谈判文件的潜在供应商，不再另行通知，所有潜在供应商应密切关注竞争性谈判公告发布媒体，因未能及时获知，由此产生的后果均应自行承担。</w:t>
      </w:r>
    </w:p>
    <w:p w14:paraId="62A6E4F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szCs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0DF0CAF5">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10.5  采购人和采购代理机构可以视采购具体情况，变更提交首次响应文件截止时间和竞谈时间，将变更时间将在“</w:t>
      </w:r>
      <w:r>
        <w:rPr>
          <w:rFonts w:hint="eastAsia" w:ascii="宋体" w:hAnsi="宋体" w:eastAsia="宋体" w:cs="宋体"/>
          <w:color w:val="auto"/>
          <w:szCs w:val="24"/>
          <w:highlight w:val="none"/>
          <w:lang w:eastAsia="zh-CN"/>
        </w:rPr>
        <w:t>竞争性谈判</w:t>
      </w:r>
      <w:r>
        <w:rPr>
          <w:rFonts w:hint="eastAsia" w:ascii="宋体" w:hAnsi="宋体" w:eastAsia="宋体" w:cs="宋体"/>
          <w:color w:val="auto"/>
          <w:szCs w:val="24"/>
          <w:highlight w:val="none"/>
        </w:rPr>
        <w:t>公告”中“七、其他补充事宜</w:t>
      </w:r>
      <w:r>
        <w:rPr>
          <w:rFonts w:hint="eastAsia" w:ascii="宋体" w:hAnsi="宋体" w:eastAsia="宋体" w:cs="宋体"/>
          <w:color w:val="auto"/>
          <w:szCs w:val="21"/>
          <w:highlight w:val="none"/>
          <w:lang w:val="en-US"/>
        </w:rPr>
        <w:t>（</w:t>
      </w: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lang w:val="en-US"/>
        </w:rPr>
        <w:t>）</w:t>
      </w:r>
      <w:r>
        <w:rPr>
          <w:rFonts w:hint="eastAsia" w:ascii="宋体" w:hAnsi="宋体" w:eastAsia="宋体" w:cs="宋体"/>
          <w:color w:val="auto"/>
          <w:szCs w:val="24"/>
          <w:highlight w:val="none"/>
        </w:rPr>
        <w:t>网上查询地址”规定的政府采购信息发布媒体上发布更正公告。</w:t>
      </w:r>
    </w:p>
    <w:p w14:paraId="75F3D794">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响应文件未按谈判文件的澄清、修改的内容编制，又不符合实质性要求的，其响应文件作无效处理。</w:t>
      </w:r>
    </w:p>
    <w:p w14:paraId="49E0E294">
      <w:pPr>
        <w:keepNext/>
        <w:keepLines/>
        <w:spacing w:line="360" w:lineRule="auto"/>
        <w:ind w:firstLine="640"/>
        <w:outlineLvl w:val="2"/>
        <w:rPr>
          <w:rFonts w:hint="eastAsia" w:ascii="宋体" w:hAnsi="宋体" w:eastAsia="宋体" w:cs="宋体"/>
          <w:color w:val="auto"/>
          <w:sz w:val="32"/>
          <w:szCs w:val="32"/>
          <w:highlight w:val="none"/>
          <w:lang w:val="zh-CN" w:eastAsia="zh-CN"/>
        </w:rPr>
      </w:pPr>
      <w:r>
        <w:rPr>
          <w:rFonts w:hint="eastAsia" w:ascii="宋体" w:hAnsi="宋体" w:eastAsia="宋体" w:cs="宋体"/>
          <w:color w:val="auto"/>
          <w:sz w:val="32"/>
          <w:szCs w:val="32"/>
          <w:highlight w:val="none"/>
          <w:lang w:val="zh-CN" w:eastAsia="zh-CN"/>
        </w:rPr>
        <w:t xml:space="preserve">  </w:t>
      </w:r>
      <w:bookmarkStart w:id="87" w:name="_Toc12627"/>
      <w:bookmarkStart w:id="88" w:name="_Toc80205927"/>
      <w:bookmarkStart w:id="89" w:name="_Toc11107"/>
      <w:r>
        <w:rPr>
          <w:rFonts w:hint="eastAsia" w:ascii="宋体" w:hAnsi="宋体" w:eastAsia="宋体" w:cs="宋体"/>
          <w:color w:val="auto"/>
          <w:sz w:val="32"/>
          <w:szCs w:val="32"/>
          <w:highlight w:val="none"/>
          <w:lang w:val="zh-CN" w:eastAsia="zh-CN"/>
        </w:rPr>
        <w:t>三、响应文件的编制</w:t>
      </w:r>
      <w:bookmarkEnd w:id="87"/>
      <w:bookmarkEnd w:id="88"/>
      <w:bookmarkEnd w:id="89"/>
    </w:p>
    <w:p w14:paraId="748CA9FF">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11.响应文件的编制原则</w:t>
      </w:r>
    </w:p>
    <w:p w14:paraId="27333C8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供应商必须按照谈判文件的要求编制响应文件，并对其提交的响应文件的真实性、合法性承担法律责任。响应文件必须对谈判文件作出实质性响应。</w:t>
      </w:r>
    </w:p>
    <w:p w14:paraId="295F5F0D">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12.响应文件的组成</w:t>
      </w:r>
    </w:p>
    <w:p w14:paraId="6E06BF8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12.1响应文件由资格文件、报价文件、商务技术文件三部分组成。</w:t>
      </w:r>
    </w:p>
    <w:p w14:paraId="0090C670">
      <w:pPr>
        <w:spacing w:line="360" w:lineRule="auto"/>
        <w:ind w:left="0"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5C079C19">
      <w:pPr>
        <w:spacing w:line="360" w:lineRule="auto"/>
        <w:ind w:left="0"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79F95433">
      <w:pPr>
        <w:spacing w:line="360" w:lineRule="auto"/>
        <w:ind w:left="0"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12B53589">
      <w:pPr>
        <w:spacing w:line="360" w:lineRule="auto"/>
        <w:ind w:left="0"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w:t>
      </w:r>
      <w:r>
        <w:rPr>
          <w:rFonts w:hint="eastAsia"/>
          <w:lang w:val="en-US" w:eastAsia="zh-CN"/>
        </w:rPr>
        <w:t>要求</w:t>
      </w: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129B31DA">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13.计量单位</w:t>
      </w:r>
    </w:p>
    <w:p w14:paraId="1A2C181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2D88929D">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14.竞标的风险</w:t>
      </w:r>
    </w:p>
    <w:p w14:paraId="421AC94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供应商没有按照谈判文件要求提供全部资料，或者供应商没有对谈判文件在各方面作出实质性响应可能导致其响应无效，是供应商应当考虑的风险。</w:t>
      </w:r>
    </w:p>
    <w:p w14:paraId="32AFFAB1">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15.响应报价要求和构成</w:t>
      </w:r>
    </w:p>
    <w:p w14:paraId="56B73CCD">
      <w:pPr>
        <w:tabs>
          <w:tab w:val="left" w:pos="2492"/>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0FDDB6DD">
      <w:pPr>
        <w:tabs>
          <w:tab w:val="left" w:pos="2492"/>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0AEBCD4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7D077DA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7A12AEB9">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每个分标的全部内容分别作完整唯一总价报价，不得存在漏项报价；</w:t>
      </w:r>
    </w:p>
    <w:p w14:paraId="6FA7057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分标的单项内容作唯一报价。</w:t>
      </w:r>
    </w:p>
    <w:p w14:paraId="5E79D75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分标规定的采购预算金额或者最高限价的（如本项目公布了最高限价），其响应文件将作无效处理。</w:t>
      </w:r>
    </w:p>
    <w:p w14:paraId="6C06ACC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90" w:name="_Hlk42592874"/>
      <w:r>
        <w:rPr>
          <w:rFonts w:hint="eastAsia" w:ascii="宋体" w:hAnsi="宋体" w:eastAsia="宋体" w:cs="宋体"/>
          <w:color w:val="auto"/>
          <w:szCs w:val="21"/>
          <w:highlight w:val="none"/>
        </w:rPr>
        <w:t>响应报价（包含首次报价、最后报价）超过分项采购预算金额或者最高限价的（如本项目公布了最高限价），其响应文件将作无效处理。</w:t>
      </w:r>
      <w:bookmarkEnd w:id="90"/>
    </w:p>
    <w:p w14:paraId="4F7E040A">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16.竞标有效期</w:t>
      </w:r>
    </w:p>
    <w:p w14:paraId="279671E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1794E0C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41141ED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2AE75DA7">
      <w:pPr>
        <w:spacing w:line="360" w:lineRule="auto"/>
        <w:ind w:firstLine="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17.谈判保证金</w:t>
      </w:r>
    </w:p>
    <w:p w14:paraId="6B8697D3">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w:t>
      </w:r>
    </w:p>
    <w:p w14:paraId="7E42C7F3">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的退还</w:t>
      </w:r>
    </w:p>
    <w:p w14:paraId="0B36183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17.2.1未</w:t>
      </w:r>
      <w:r>
        <w:rPr>
          <w:rFonts w:hint="eastAsia" w:ascii="宋体" w:hAnsi="宋体" w:eastAsia="宋体" w:cs="宋体"/>
          <w:color w:val="auto"/>
          <w:spacing w:val="-6"/>
          <w:szCs w:val="21"/>
          <w:highlight w:val="none"/>
        </w:rPr>
        <w:t>成交供应商的</w:t>
      </w:r>
      <w:r>
        <w:rPr>
          <w:rFonts w:hint="eastAsia" w:ascii="宋体" w:hAnsi="宋体" w:eastAsia="宋体" w:cs="宋体"/>
          <w:color w:val="auto"/>
          <w:spacing w:val="-6"/>
          <w:szCs w:val="21"/>
          <w:highlight w:val="none"/>
          <w:lang w:eastAsia="zh-CN"/>
        </w:rPr>
        <w:t>谈判保证金</w:t>
      </w:r>
      <w:r>
        <w:rPr>
          <w:rFonts w:hint="eastAsia" w:ascii="宋体" w:hAnsi="宋体" w:eastAsia="宋体" w:cs="宋体"/>
          <w:color w:val="auto"/>
          <w:spacing w:val="-6"/>
          <w:szCs w:val="21"/>
          <w:highlight w:val="none"/>
        </w:rPr>
        <w:t>自成交通知书发出之日起</w:t>
      </w:r>
      <w:r>
        <w:rPr>
          <w:rFonts w:hint="eastAsia" w:ascii="宋体" w:hAnsi="宋体" w:eastAsia="宋体" w:cs="宋体"/>
          <w:color w:val="auto"/>
          <w:spacing w:val="-6"/>
          <w:szCs w:val="21"/>
          <w:highlight w:val="none"/>
          <w:lang w:val="en-US" w:eastAsia="zh-CN"/>
        </w:rPr>
        <w:t>5</w:t>
      </w:r>
      <w:r>
        <w:rPr>
          <w:rFonts w:hint="eastAsia" w:ascii="宋体" w:hAnsi="宋体" w:eastAsia="宋体" w:cs="宋体"/>
          <w:color w:val="auto"/>
          <w:spacing w:val="-6"/>
          <w:szCs w:val="21"/>
          <w:highlight w:val="none"/>
        </w:rPr>
        <w:t>个工作日内退还，退还方式如下：</w:t>
      </w:r>
    </w:p>
    <w:p w14:paraId="406C903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（1）采用银行转账方式的，以转账方式退回到供应商银行账户。</w:t>
      </w:r>
    </w:p>
    <w:p w14:paraId="70E9922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方式的，由供应商代表持相关授权证明材料至采购代理机构办理支票、汇票、本票或者金融机构、担保机构出具的保函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原件退还手续。</w:t>
      </w:r>
    </w:p>
    <w:p w14:paraId="4136991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17.2.2成交供应商的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自签订合同之日起</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个工作日内退还，退还方式同未成交供应商的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 xml:space="preserve">的退还方式。 </w:t>
      </w:r>
    </w:p>
    <w:p w14:paraId="1E874892">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17.3</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不计息。</w:t>
      </w:r>
    </w:p>
    <w:p w14:paraId="5E623724">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17.4供应商有下列情形之一的，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 xml:space="preserve">将不予退还： </w:t>
      </w:r>
    </w:p>
    <w:p w14:paraId="1FDD9661">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14:paraId="40B13937">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（2）供应商在响应文件中提供虚假材料的；</w:t>
      </w:r>
    </w:p>
    <w:p w14:paraId="320A1BF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（3）除因不可抗力或者</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谈判文件认可的情形以外，成交供应商不与采购人签订合同的；</w:t>
      </w:r>
    </w:p>
    <w:p w14:paraId="724D3F8A">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（4）供应商与采购人、</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供应商或者采购代理机构恶意串通的；</w:t>
      </w:r>
    </w:p>
    <w:p w14:paraId="0983230F">
      <w:pPr>
        <w:spacing w:line="360" w:lineRule="auto"/>
        <w:ind w:left="420" w:firstLine="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谈判文件规定的</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情形。</w:t>
      </w:r>
    </w:p>
    <w:p w14:paraId="7B7B0F6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18.响应文件编制的要求</w:t>
      </w:r>
    </w:p>
    <w:p w14:paraId="002A286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color w:val="auto"/>
          <w:szCs w:val="24"/>
          <w:highlight w:val="none"/>
        </w:rPr>
        <w:t>由此引发的</w:t>
      </w:r>
      <w:r>
        <w:rPr>
          <w:rFonts w:hint="eastAsia" w:ascii="宋体" w:hAnsi="宋体" w:eastAsia="宋体" w:cs="宋体"/>
          <w:color w:val="auto"/>
          <w:szCs w:val="21"/>
          <w:highlight w:val="none"/>
        </w:rPr>
        <w:t>后果由供应商承担。</w:t>
      </w:r>
    </w:p>
    <w:p w14:paraId="51586CA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w:t>
      </w:r>
      <w:r>
        <w:rPr>
          <w:rFonts w:hint="eastAsia" w:ascii="宋体" w:hAnsi="宋体" w:eastAsia="宋体" w:cs="宋体"/>
          <w:color w:val="auto"/>
          <w:szCs w:val="21"/>
          <w:highlight w:val="none"/>
          <w:lang w:eastAsia="zh-CN"/>
        </w:rPr>
        <w:t>文件与</w:t>
      </w:r>
      <w:r>
        <w:rPr>
          <w:rFonts w:hint="eastAsia" w:ascii="宋体" w:hAnsi="宋体" w:eastAsia="宋体" w:cs="宋体"/>
          <w:color w:val="auto"/>
          <w:szCs w:val="21"/>
          <w:highlight w:val="none"/>
        </w:rPr>
        <w:t>技术文件合并编制，本谈判只接收电子版响应文件，要求见本章“12.2响应文件电子版要求”。</w:t>
      </w:r>
    </w:p>
    <w:p w14:paraId="50A4637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91" w:name="_Hlk65832699"/>
      <w:r>
        <w:rPr>
          <w:rFonts w:hint="eastAsia" w:ascii="宋体" w:hAnsi="宋体" w:eastAsia="宋体" w:cs="宋体"/>
          <w:color w:val="auto"/>
          <w:szCs w:val="21"/>
          <w:highlight w:val="none"/>
        </w:rPr>
        <w:t>3响应文件须由供应商</w:t>
      </w:r>
      <w:r>
        <w:rPr>
          <w:rFonts w:hint="eastAsia" w:ascii="宋体" w:hAnsi="宋体" w:eastAsia="宋体" w:cs="宋体"/>
          <w:color w:val="auto"/>
          <w:szCs w:val="21"/>
          <w:highlight w:val="none"/>
          <w:lang w:eastAsia="zh-CN"/>
        </w:rPr>
        <w:t>按</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eastAsia="zh-CN"/>
        </w:rPr>
        <w:t>要求</w:t>
      </w:r>
      <w:r>
        <w:rPr>
          <w:rFonts w:hint="eastAsia" w:ascii="宋体" w:hAnsi="宋体" w:eastAsia="宋体" w:cs="宋体"/>
          <w:color w:val="auto"/>
          <w:szCs w:val="21"/>
          <w:highlight w:val="none"/>
        </w:rPr>
        <w:t>进行签署、盖章</w:t>
      </w:r>
      <w:bookmarkEnd w:id="91"/>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否则其响应文件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p>
    <w:p w14:paraId="3F76BAA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18.4响应文件中标注的供应商名称应与营业执照（事业单位法人证书、执业许可证、自然人身份证）及公章一致，</w:t>
      </w:r>
      <w:r>
        <w:rPr>
          <w:rFonts w:hint="eastAsia" w:ascii="宋体" w:hAnsi="宋体" w:eastAsia="宋体" w:cs="宋体"/>
          <w:b/>
          <w:bCs/>
          <w:color w:val="auto"/>
          <w:szCs w:val="21"/>
          <w:highlight w:val="none"/>
        </w:rPr>
        <w:t>否则其响应文件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r>
        <w:rPr>
          <w:rFonts w:hint="eastAsia" w:ascii="宋体" w:hAnsi="宋体" w:eastAsia="宋体" w:cs="宋体"/>
          <w:color w:val="auto"/>
          <w:szCs w:val="21"/>
          <w:highlight w:val="none"/>
        </w:rPr>
        <w:t>。</w:t>
      </w:r>
    </w:p>
    <w:p w14:paraId="0D3C7A9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w:t>
      </w:r>
    </w:p>
    <w:p w14:paraId="75597955">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19.响应文件的</w:t>
      </w:r>
      <w:r>
        <w:rPr>
          <w:rFonts w:hint="eastAsia" w:ascii="宋体" w:hAnsi="宋体" w:eastAsia="宋体" w:cs="宋体"/>
          <w:b/>
          <w:bCs/>
          <w:color w:val="auto"/>
          <w:sz w:val="24"/>
          <w:szCs w:val="24"/>
          <w:highlight w:val="none"/>
          <w:lang w:eastAsia="zh-CN"/>
        </w:rPr>
        <w:t>加密</w:t>
      </w:r>
    </w:p>
    <w:p w14:paraId="453ED5A2">
      <w:pPr>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19.1供应商进行电子交易应安装客户端软件—“</w:t>
      </w:r>
      <w:r>
        <w:rPr>
          <w:rFonts w:hint="eastAsia" w:ascii="宋体" w:hAnsi="宋体" w:eastAsia="宋体" w:cs="宋体"/>
          <w:b w:val="0"/>
          <w:bCs w:val="0"/>
          <w:color w:val="auto"/>
          <w:sz w:val="21"/>
          <w:szCs w:val="21"/>
          <w:highlight w:val="none"/>
          <w:lang w:val="en-US" w:eastAsia="zh-CN"/>
        </w:rPr>
        <w:t>广西政府采购云平台新版客户端</w:t>
      </w:r>
      <w:r>
        <w:rPr>
          <w:rFonts w:hint="eastAsia" w:ascii="宋体" w:hAnsi="宋体" w:eastAsia="宋体" w:cs="宋体"/>
          <w:color w:val="auto"/>
          <w:szCs w:val="21"/>
          <w:highlight w:val="none"/>
          <w:lang w:val="zh-CN"/>
        </w:rPr>
        <w:t>”，并按照谈判文件和电子交易平台的要求编制并加密响应文件。供应商未按规定加密的响应文件，电子交易平台将拒收并提示。</w:t>
      </w:r>
    </w:p>
    <w:p w14:paraId="22BD7966">
      <w:pPr>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19.2使用“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val="zh-CN"/>
        </w:rPr>
        <w:t>电子交易客户端”需要提前申领CA数字证书。</w:t>
      </w:r>
    </w:p>
    <w:p w14:paraId="2F86C0EB">
      <w:pPr>
        <w:spacing w:line="360" w:lineRule="auto"/>
        <w:ind w:firstLine="420"/>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19.3为确保网上操作合法、有效和安全，供应商应当在响应文件提交截止时间前完成在“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val="zh-CN" w:eastAsia="zh-CN"/>
        </w:rPr>
        <w:t>”的身份认证，确保在电子交易过程中能够对相关数据电文进行加密和使用电子签名。</w:t>
      </w:r>
    </w:p>
    <w:p w14:paraId="1F8A2493">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20.响应文件的提交</w:t>
      </w:r>
    </w:p>
    <w:p w14:paraId="2A411AB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5158432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47F5860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650B372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48AD434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454FD89E">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详见“供应商须知前附表”。</w:t>
      </w:r>
    </w:p>
    <w:p w14:paraId="0E7E421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21.首次响应文件的补充、修改与撤回</w:t>
      </w:r>
    </w:p>
    <w:p w14:paraId="0821AF7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09362ADA">
      <w:pPr>
        <w:spacing w:line="360" w:lineRule="auto"/>
        <w:ind w:firstLine="482"/>
        <w:rPr>
          <w:rFonts w:hint="eastAsia" w:ascii="宋体" w:hAnsi="宋体" w:eastAsia="宋体" w:cs="宋体"/>
          <w:b/>
          <w:bCs/>
          <w:color w:val="auto"/>
          <w:sz w:val="24"/>
          <w:szCs w:val="24"/>
          <w:highlight w:val="none"/>
        </w:rPr>
      </w:pPr>
      <w:bookmarkStart w:id="92" w:name="_Hlk45702405"/>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 截止时间后的撤回</w:t>
      </w:r>
      <w:bookmarkEnd w:id="92"/>
    </w:p>
    <w:p w14:paraId="6C9A98FA">
      <w:pPr>
        <w:pStyle w:val="18"/>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供应商在首次响应文件提交截止时间后向采购人、采购代理机构书面申请撤回响应文件的，将根据本须知正文第17.4条的规定不予退还其</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p>
    <w:p w14:paraId="67525128">
      <w:pPr>
        <w:keepNext/>
        <w:keepLines/>
        <w:spacing w:line="360" w:lineRule="auto"/>
        <w:ind w:firstLine="640"/>
        <w:outlineLvl w:val="2"/>
        <w:rPr>
          <w:rFonts w:hint="eastAsia" w:ascii="宋体" w:hAnsi="宋体" w:eastAsia="宋体" w:cs="宋体"/>
          <w:color w:val="auto"/>
          <w:sz w:val="32"/>
          <w:szCs w:val="32"/>
          <w:highlight w:val="none"/>
          <w:lang w:val="zh-CN" w:eastAsia="zh-CN"/>
        </w:rPr>
      </w:pPr>
      <w:r>
        <w:rPr>
          <w:rFonts w:hint="eastAsia" w:ascii="宋体" w:hAnsi="宋体" w:eastAsia="宋体" w:cs="宋体"/>
          <w:color w:val="auto"/>
          <w:sz w:val="32"/>
          <w:szCs w:val="32"/>
          <w:highlight w:val="none"/>
          <w:lang w:val="zh-CN" w:eastAsia="zh-CN"/>
        </w:rPr>
        <w:t xml:space="preserve">  </w:t>
      </w:r>
      <w:bookmarkStart w:id="93" w:name="_Toc8836"/>
      <w:bookmarkStart w:id="94" w:name="_Toc80205928"/>
      <w:bookmarkStart w:id="95" w:name="_Toc29978"/>
      <w:r>
        <w:rPr>
          <w:rFonts w:hint="eastAsia" w:ascii="宋体" w:hAnsi="宋体" w:eastAsia="宋体" w:cs="宋体"/>
          <w:color w:val="auto"/>
          <w:sz w:val="32"/>
          <w:szCs w:val="32"/>
          <w:highlight w:val="none"/>
          <w:lang w:val="zh-CN" w:eastAsia="zh-CN"/>
        </w:rPr>
        <w:t>四、评审及谈判</w:t>
      </w:r>
      <w:bookmarkEnd w:id="93"/>
      <w:bookmarkEnd w:id="94"/>
      <w:bookmarkEnd w:id="95"/>
    </w:p>
    <w:p w14:paraId="3B293DE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.谈判小组成立</w:t>
      </w:r>
    </w:p>
    <w:p w14:paraId="03AFA04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4312E3E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.2评审专家应当从政府采购评审专家库内相关专业的专家名单中随机抽取。</w:t>
      </w:r>
    </w:p>
    <w:p w14:paraId="6C4B2CD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.首次响应文件的开启</w:t>
      </w:r>
    </w:p>
    <w:p w14:paraId="1245E1E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.1首次响应文件由谈判小组或者采购代理机构在“供应商须知前附表”规定的时间开启。</w:t>
      </w:r>
    </w:p>
    <w:p w14:paraId="6C8AA130">
      <w:pPr>
        <w:spacing w:line="360" w:lineRule="auto"/>
        <w:ind w:firstLine="400"/>
        <w:rPr>
          <w:rFonts w:hint="eastAsia" w:ascii="宋体" w:hAnsi="宋体" w:eastAsia="宋体" w:cs="宋体"/>
          <w:bCs/>
          <w:color w:val="auto"/>
          <w:sz w:val="20"/>
          <w:szCs w:val="21"/>
          <w:highlight w:val="none"/>
          <w:lang w:val="zh-CN" w:eastAsia="zh-CN"/>
        </w:rPr>
      </w:pPr>
      <w:r>
        <w:rPr>
          <w:rFonts w:hint="eastAsia" w:ascii="宋体" w:hAnsi="宋体" w:eastAsia="宋体" w:cs="宋体"/>
          <w:color w:val="auto"/>
          <w:sz w:val="20"/>
          <w:szCs w:val="21"/>
          <w:highlight w:val="none"/>
          <w:lang w:val="zh-CN" w:eastAsia="zh-CN"/>
        </w:rPr>
        <w:t>2</w:t>
      </w:r>
      <w:r>
        <w:rPr>
          <w:rFonts w:hint="eastAsia" w:ascii="宋体" w:hAnsi="宋体" w:eastAsia="宋体" w:cs="宋体"/>
          <w:color w:val="auto"/>
          <w:sz w:val="20"/>
          <w:szCs w:val="21"/>
          <w:highlight w:val="none"/>
          <w:lang w:val="en-US" w:eastAsia="zh-CN"/>
        </w:rPr>
        <w:t>4</w:t>
      </w:r>
      <w:r>
        <w:rPr>
          <w:rFonts w:hint="eastAsia" w:ascii="宋体" w:hAnsi="宋体" w:eastAsia="宋体" w:cs="宋体"/>
          <w:color w:val="auto"/>
          <w:sz w:val="20"/>
          <w:szCs w:val="21"/>
          <w:highlight w:val="none"/>
          <w:lang w:val="zh-CN" w:eastAsia="zh-CN"/>
        </w:rPr>
        <w:t xml:space="preserve">.2 </w:t>
      </w:r>
      <w:r>
        <w:rPr>
          <w:rFonts w:hint="eastAsia" w:ascii="宋体" w:hAnsi="宋体" w:eastAsia="宋体" w:cs="宋体"/>
          <w:bCs/>
          <w:color w:val="auto"/>
          <w:sz w:val="20"/>
          <w:szCs w:val="21"/>
          <w:highlight w:val="none"/>
          <w:lang w:val="zh-CN" w:eastAsia="zh-CN"/>
        </w:rPr>
        <w:t>响应文件解密</w:t>
      </w:r>
    </w:p>
    <w:p w14:paraId="3EF46EC1">
      <w:pPr>
        <w:spacing w:line="360" w:lineRule="auto"/>
        <w:ind w:firstLine="420"/>
        <w:rPr>
          <w:rFonts w:hint="eastAsia" w:ascii="宋体" w:hAnsi="宋体" w:eastAsia="宋体" w:cs="宋体"/>
          <w:color w:val="auto"/>
          <w:szCs w:val="21"/>
          <w:highlight w:val="none"/>
          <w:lang w:val="zh-CN" w:eastAsia="zh-CN"/>
        </w:rPr>
      </w:pPr>
      <w:r>
        <w:rPr>
          <w:rFonts w:hint="eastAsia" w:ascii="宋体" w:hAnsi="宋体" w:eastAsia="宋体" w:cs="宋体"/>
          <w:bCs/>
          <w:color w:val="auto"/>
          <w:szCs w:val="21"/>
          <w:highlight w:val="none"/>
          <w:lang w:val="zh-CN" w:eastAsia="zh-CN"/>
        </w:rPr>
        <w:t>采购代理机构将在“供应商须知前附表”规定的时</w:t>
      </w:r>
      <w:r>
        <w:rPr>
          <w:rFonts w:hint="eastAsia" w:ascii="宋体" w:hAnsi="宋体" w:eastAsia="宋体" w:cs="宋体"/>
          <w:color w:val="auto"/>
          <w:szCs w:val="21"/>
          <w:highlight w:val="none"/>
          <w:lang w:val="zh-CN" w:eastAsia="zh-CN"/>
        </w:rPr>
        <w:t>间通过电子交易平台组织响应文件开启，采购机构依托电子交易平台发起开始解密指令，供应商的法定代表人或其委托代理人</w:t>
      </w:r>
      <w:r>
        <w:rPr>
          <w:rFonts w:hint="eastAsia" w:ascii="宋体" w:hAnsi="宋体" w:eastAsia="宋体" w:cs="宋体"/>
          <w:b/>
          <w:color w:val="auto"/>
          <w:szCs w:val="21"/>
          <w:highlight w:val="none"/>
          <w:lang w:val="zh-CN" w:eastAsia="zh-CN"/>
        </w:rPr>
        <w:t>须携带加密时所用的CA锁按平台提示和采购文件的规定登录到</w:t>
      </w:r>
      <w:r>
        <w:rPr>
          <w:rFonts w:hint="eastAsia" w:ascii="宋体" w:hAnsi="宋体" w:eastAsia="宋体" w:cs="宋体"/>
          <w:b/>
          <w:bCs w:val="0"/>
          <w:color w:val="auto"/>
          <w:sz w:val="21"/>
          <w:szCs w:val="21"/>
          <w:highlight w:val="none"/>
          <w:lang w:val="zh-CN" w:eastAsia="zh-CN"/>
        </w:rPr>
        <w:t>广西政府采购云平台</w:t>
      </w:r>
      <w:r>
        <w:rPr>
          <w:rFonts w:hint="eastAsia" w:ascii="宋体" w:hAnsi="宋体" w:eastAsia="宋体" w:cs="宋体"/>
          <w:b/>
          <w:color w:val="auto"/>
          <w:szCs w:val="21"/>
          <w:highlight w:val="none"/>
          <w:lang w:val="zh-CN" w:eastAsia="zh-CN"/>
        </w:rPr>
        <w:t>电子开标大厅签到并在发起解密指令之时起在</w:t>
      </w:r>
      <w:r>
        <w:rPr>
          <w:rFonts w:hint="eastAsia" w:ascii="宋体" w:hAnsi="宋体" w:eastAsia="宋体" w:cs="宋体"/>
          <w:b/>
          <w:color w:val="auto"/>
          <w:szCs w:val="21"/>
          <w:highlight w:val="none"/>
        </w:rPr>
        <w:t>规定的时间</w:t>
      </w:r>
      <w:r>
        <w:rPr>
          <w:rFonts w:hint="eastAsia" w:ascii="宋体" w:hAnsi="宋体" w:eastAsia="宋体" w:cs="宋体"/>
          <w:b/>
          <w:color w:val="auto"/>
          <w:szCs w:val="21"/>
          <w:highlight w:val="none"/>
          <w:lang w:eastAsia="zh-CN"/>
        </w:rPr>
        <w:t>内</w:t>
      </w:r>
      <w:r>
        <w:rPr>
          <w:rFonts w:hint="eastAsia" w:ascii="宋体" w:hAnsi="宋体" w:eastAsia="宋体" w:cs="宋体"/>
          <w:b/>
          <w:color w:val="auto"/>
          <w:szCs w:val="21"/>
          <w:highlight w:val="none"/>
          <w:lang w:val="zh-CN" w:eastAsia="zh-CN"/>
        </w:rPr>
        <w:t>完成对电子版响应文件在线解密</w:t>
      </w:r>
      <w:r>
        <w:rPr>
          <w:rFonts w:hint="eastAsia" w:ascii="宋体" w:hAnsi="宋体" w:eastAsia="宋体" w:cs="宋体"/>
          <w:color w:val="auto"/>
          <w:szCs w:val="21"/>
          <w:highlight w:val="none"/>
          <w:lang w:val="zh-CN" w:eastAsia="zh-CN"/>
        </w:rPr>
        <w:t>。</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文件未按时</w:t>
      </w:r>
      <w:r>
        <w:rPr>
          <w:rFonts w:hint="eastAsia" w:ascii="宋体" w:hAnsi="宋体" w:eastAsia="宋体" w:cs="宋体"/>
          <w:color w:val="auto"/>
          <w:szCs w:val="21"/>
          <w:highlight w:val="none"/>
          <w:lang w:val="zh-CN" w:eastAsia="zh-CN"/>
        </w:rPr>
        <w:t>解密的，</w:t>
      </w:r>
      <w:r>
        <w:rPr>
          <w:rFonts w:hint="eastAsia" w:ascii="宋体" w:hAnsi="宋体" w:eastAsia="宋体" w:cs="宋体"/>
          <w:b/>
          <w:color w:val="auto"/>
          <w:szCs w:val="21"/>
          <w:highlight w:val="none"/>
          <w:lang w:val="zh-CN" w:eastAsia="zh-CN"/>
        </w:rPr>
        <w:t>视为响应文件无效。</w:t>
      </w:r>
      <w:r>
        <w:rPr>
          <w:rFonts w:hint="eastAsia" w:ascii="宋体" w:hAnsi="宋体" w:eastAsia="宋体" w:cs="宋体"/>
          <w:color w:val="auto"/>
          <w:szCs w:val="21"/>
          <w:highlight w:val="none"/>
          <w:lang w:val="zh-CN" w:eastAsia="zh-CN"/>
        </w:rPr>
        <w:t>（解密</w:t>
      </w:r>
      <w:r>
        <w:rPr>
          <w:rFonts w:hint="eastAsia" w:ascii="宋体" w:hAnsi="宋体" w:eastAsia="宋体" w:cs="宋体"/>
          <w:bCs/>
          <w:color w:val="auto"/>
          <w:szCs w:val="21"/>
          <w:highlight w:val="none"/>
          <w:lang w:val="zh-CN" w:eastAsia="zh-CN"/>
        </w:rPr>
        <w:t>异常情况处理：详见本章</w:t>
      </w:r>
      <w:r>
        <w:rPr>
          <w:rFonts w:hint="eastAsia" w:ascii="宋体" w:hAnsi="宋体" w:eastAsia="宋体" w:cs="宋体"/>
          <w:color w:val="auto"/>
          <w:szCs w:val="21"/>
          <w:highlight w:val="none"/>
          <w:lang w:val="zh-CN" w:eastAsia="zh-CN"/>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val="zh-CN" w:eastAsia="zh-CN"/>
        </w:rPr>
        <w:t>.3 电子交易活动的中止。）</w:t>
      </w:r>
    </w:p>
    <w:p w14:paraId="1E1640EC">
      <w:pPr>
        <w:spacing w:line="360" w:lineRule="auto"/>
        <w:ind w:firstLine="420"/>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如</w:t>
      </w:r>
      <w:r>
        <w:rPr>
          <w:rFonts w:hint="eastAsia" w:ascii="宋体" w:hAnsi="宋体" w:eastAsia="宋体" w:cs="宋体"/>
          <w:bCs/>
          <w:color w:val="auto"/>
          <w:szCs w:val="21"/>
          <w:highlight w:val="none"/>
          <w:lang w:val="zh-CN" w:eastAsia="zh-CN"/>
        </w:rPr>
        <w:t>供应商成功解密响应文件，但未在“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bCs/>
          <w:color w:val="auto"/>
          <w:szCs w:val="21"/>
          <w:highlight w:val="none"/>
          <w:lang w:val="zh-CN" w:eastAsia="zh-CN"/>
        </w:rPr>
        <w:t>”电子开标大厅参加谈判的，视同认可谈判过程和结果，</w:t>
      </w:r>
      <w:r>
        <w:rPr>
          <w:rFonts w:hint="eastAsia" w:ascii="宋体" w:hAnsi="宋体" w:eastAsia="宋体" w:cs="宋体"/>
          <w:color w:val="auto"/>
          <w:szCs w:val="21"/>
          <w:highlight w:val="none"/>
          <w:lang w:val="zh-CN" w:eastAsia="zh-CN"/>
        </w:rPr>
        <w:t>由此产生的后果由供应商自行负责。 参与谈判的供应商不足3家的，不得谈判。</w:t>
      </w:r>
    </w:p>
    <w:p w14:paraId="41136351">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.评审程序、评审方法和成交标准</w:t>
      </w:r>
    </w:p>
    <w:p w14:paraId="2B96222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w:t>
      </w:r>
      <w:r>
        <w:rPr>
          <w:rFonts w:hint="eastAsia" w:ascii="宋体" w:hAnsi="宋体" w:eastAsia="宋体" w:cs="宋体"/>
          <w:color w:val="auto"/>
          <w:highlight w:val="none"/>
        </w:rPr>
        <w:t>本项目的</w:t>
      </w:r>
      <w:r>
        <w:rPr>
          <w:rFonts w:hint="eastAsia" w:ascii="宋体" w:hAnsi="宋体" w:eastAsia="宋体" w:cs="宋体"/>
          <w:color w:val="auto"/>
          <w:highlight w:val="none"/>
          <w:lang w:eastAsia="zh-CN"/>
        </w:rPr>
        <w:t>评审方法</w:t>
      </w:r>
      <w:r>
        <w:rPr>
          <w:rFonts w:hint="eastAsia" w:ascii="宋体" w:hAnsi="宋体" w:eastAsia="宋体" w:cs="宋体"/>
          <w:color w:val="auto"/>
          <w:highlight w:val="none"/>
        </w:rPr>
        <w:t>详见“</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须知前附表”</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rPr>
        <w:t>谈判小组按照“第四章 评审程序、评审方法和成交标准”规定的方法、评审因素、标准和程序对响应文件进行评审。</w:t>
      </w:r>
    </w:p>
    <w:p w14:paraId="3CAD20F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.2 谈判顺序详见 “供应商须知前附表”。</w:t>
      </w:r>
    </w:p>
    <w:p w14:paraId="6EFFE4C2">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.3电子交易活动的中止。采购过程中出现以下情形，导致电子交易平台无法正常运行，或者无法保证电子交易的公平、公正和安全时，采购机构可中止电子交易活动：</w:t>
      </w:r>
    </w:p>
    <w:p w14:paraId="698AA1AD">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（1）电子交易平台发生故障而无法登录访问的； </w:t>
      </w:r>
    </w:p>
    <w:p w14:paraId="18625215">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（2）电子交易平台应用或数据库出现错误，不能进行正常操作的；</w:t>
      </w:r>
    </w:p>
    <w:p w14:paraId="16403E29">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（3）电子交易平台发现严重安全漏洞，有潜在泄密危险的；</w:t>
      </w:r>
    </w:p>
    <w:p w14:paraId="7B82280E">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（4）病毒发作导致不能进行正常操作的； </w:t>
      </w:r>
    </w:p>
    <w:p w14:paraId="4BB86EF7">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）其他无法保证电子交易的公平、公正和安全的情况。</w:t>
      </w:r>
    </w:p>
    <w:p w14:paraId="7457567B">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4EF565F">
      <w:pPr>
        <w:keepNext/>
        <w:keepLines/>
        <w:spacing w:line="360" w:lineRule="auto"/>
        <w:ind w:firstLine="640"/>
        <w:outlineLvl w:val="2"/>
        <w:rPr>
          <w:rFonts w:hint="eastAsia" w:ascii="宋体" w:hAnsi="宋体" w:eastAsia="宋体" w:cs="宋体"/>
          <w:color w:val="auto"/>
          <w:sz w:val="32"/>
          <w:szCs w:val="32"/>
          <w:highlight w:val="none"/>
          <w:lang w:val="zh-CN" w:eastAsia="zh-CN"/>
        </w:rPr>
      </w:pPr>
      <w:bookmarkStart w:id="96" w:name="_Toc80205929"/>
      <w:bookmarkStart w:id="97" w:name="_Toc29707"/>
      <w:bookmarkStart w:id="98" w:name="_Toc27003"/>
      <w:r>
        <w:rPr>
          <w:rFonts w:hint="eastAsia" w:ascii="宋体" w:hAnsi="宋体" w:eastAsia="宋体" w:cs="宋体"/>
          <w:color w:val="auto"/>
          <w:sz w:val="32"/>
          <w:szCs w:val="32"/>
          <w:highlight w:val="none"/>
          <w:lang w:val="zh-CN" w:eastAsia="zh-CN"/>
        </w:rPr>
        <w:t>五、成交及合同</w:t>
      </w:r>
      <w:bookmarkEnd w:id="96"/>
      <w:bookmarkEnd w:id="97"/>
      <w:bookmarkEnd w:id="98"/>
    </w:p>
    <w:p w14:paraId="713DD76C">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.确定成交供应商及结果公告</w:t>
      </w:r>
    </w:p>
    <w:p w14:paraId="764F1E8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val="en-US" w:eastAsia="zh-CN"/>
        </w:rPr>
        <w:t>26.1确定成交供应商。</w:t>
      </w:r>
      <w:r>
        <w:rPr>
          <w:rFonts w:hint="eastAsia" w:ascii="宋体" w:hAnsi="宋体" w:eastAsia="宋体" w:cs="宋体"/>
          <w:color w:val="auto"/>
          <w:szCs w:val="21"/>
          <w:highlight w:val="none"/>
        </w:rPr>
        <w:t>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7D8E6D8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.2成交通知及成交结果公告。采购代理机构应当在成交供应商确定后2个工作日内，在省级以上财政部门指定的媒体上公告成交结果，同时向成交供应商发出成交通知书。</w:t>
      </w:r>
    </w:p>
    <w:p w14:paraId="4DCAEF0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.3采购人或者采购代理机构发出成交通知书前，应当对成交供应商信用进行查询核实，对列入失信被执行人、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、政府采购严重违法失信行为记录名单及其他不符合《中华人民共和国政府采购法》第二十二条规定条件的供应商，取消其成交资格，并</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确定排名第二的成交候选人为成交供应商。排名第二的成交候选人因上述规定的同样原因被取消成交资格的，采购人可以</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确定排名第三的成交候选人为成交供应商，以此类推。以上信息查询记录及相关证据与谈判文件一并保存。</w:t>
      </w:r>
      <w:bookmarkStart w:id="99" w:name="_Hlk66782294"/>
      <w:r>
        <w:rPr>
          <w:rFonts w:hint="eastAsia" w:ascii="宋体" w:hAnsi="宋体" w:eastAsia="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99"/>
    </w:p>
    <w:p w14:paraId="58BFC64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DF6FF8A">
      <w:pPr>
        <w:spacing w:line="360" w:lineRule="auto"/>
        <w:ind w:firstLine="42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.5排名第一的成交候选人放弃成交，</w:t>
      </w:r>
      <w:r>
        <w:rPr>
          <w:rFonts w:hint="eastAsia" w:ascii="宋体" w:hAnsi="宋体" w:eastAsia="宋体" w:cs="宋体"/>
          <w:b w:val="0"/>
          <w:bCs/>
          <w:color w:val="auto"/>
          <w:sz w:val="21"/>
          <w:szCs w:val="21"/>
          <w:highlight w:val="none"/>
        </w:rPr>
        <w:t>采购人可以按照评审报告推荐的</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b w:val="0"/>
          <w:bCs/>
          <w:color w:val="auto"/>
          <w:sz w:val="21"/>
          <w:szCs w:val="21"/>
          <w:highlight w:val="none"/>
        </w:rPr>
        <w:t>候选人名单排序，</w:t>
      </w:r>
      <w:r>
        <w:rPr>
          <w:rFonts w:hint="eastAsia" w:ascii="宋体" w:hAnsi="宋体" w:eastAsia="宋体" w:cs="宋体"/>
          <w:b w:val="0"/>
          <w:bCs/>
          <w:color w:val="auto"/>
          <w:sz w:val="21"/>
          <w:szCs w:val="21"/>
          <w:highlight w:val="none"/>
          <w:lang w:eastAsia="zh-CN"/>
        </w:rPr>
        <w:t>依法</w:t>
      </w:r>
      <w:r>
        <w:rPr>
          <w:rFonts w:hint="eastAsia" w:ascii="宋体" w:hAnsi="宋体" w:eastAsia="宋体" w:cs="宋体"/>
          <w:b w:val="0"/>
          <w:bCs/>
          <w:color w:val="auto"/>
          <w:sz w:val="21"/>
          <w:szCs w:val="21"/>
          <w:highlight w:val="none"/>
        </w:rPr>
        <w:t>确定下一候选人为</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color w:val="auto"/>
          <w:szCs w:val="21"/>
          <w:highlight w:val="none"/>
        </w:rPr>
        <w:t>供应商</w:t>
      </w:r>
      <w:r>
        <w:rPr>
          <w:rFonts w:hint="eastAsia" w:ascii="宋体" w:hAnsi="宋体" w:eastAsia="宋体" w:cs="宋体"/>
          <w:b w:val="0"/>
          <w:bCs/>
          <w:color w:val="auto"/>
          <w:sz w:val="21"/>
          <w:szCs w:val="21"/>
          <w:highlight w:val="none"/>
        </w:rPr>
        <w:t>，也可以重新开展政府采购活动</w:t>
      </w:r>
      <w:r>
        <w:rPr>
          <w:rFonts w:hint="eastAsia" w:ascii="宋体" w:hAnsi="宋体" w:eastAsia="宋体" w:cs="宋体"/>
          <w:bCs/>
          <w:color w:val="auto"/>
          <w:szCs w:val="21"/>
          <w:highlight w:val="none"/>
        </w:rPr>
        <w:t>。</w:t>
      </w:r>
    </w:p>
    <w:p w14:paraId="3F224D01">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.履约保证金</w:t>
      </w:r>
    </w:p>
    <w:p w14:paraId="54DA6F3A">
      <w:pPr>
        <w:pStyle w:val="16"/>
        <w:spacing w:line="360" w:lineRule="auto"/>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.1履约保证金的金额、提交方式、退付的时间和条件详见 “供应商须知前附表”。成交供应商未按规定提交履约保证金的，视为拒绝</w:t>
      </w:r>
      <w:r>
        <w:rPr>
          <w:rFonts w:hint="eastAsia" w:ascii="宋体" w:hAnsi="宋体" w:eastAsia="宋体" w:cs="宋体"/>
          <w:color w:val="auto"/>
          <w:highlight w:val="none"/>
        </w:rPr>
        <w:t>与采购人</w:t>
      </w:r>
      <w:r>
        <w:rPr>
          <w:rFonts w:hint="eastAsia" w:ascii="宋体" w:hAnsi="宋体" w:eastAsia="宋体" w:cs="宋体"/>
          <w:color w:val="auto"/>
          <w:szCs w:val="21"/>
          <w:highlight w:val="none"/>
        </w:rPr>
        <w:t>签订合同，采购人可以按照评审报告推荐的成交候选人名单排序，</w:t>
      </w:r>
      <w:r>
        <w:rPr>
          <w:rFonts w:hint="eastAsia" w:ascii="宋体" w:hAnsi="宋体" w:eastAsia="宋体" w:cs="宋体"/>
          <w:color w:val="auto"/>
          <w:szCs w:val="21"/>
          <w:highlight w:val="none"/>
          <w:lang w:val="en-US" w:eastAsia="zh-CN"/>
        </w:rPr>
        <w:t>依法</w:t>
      </w:r>
      <w:r>
        <w:rPr>
          <w:rFonts w:hint="eastAsia" w:ascii="宋体" w:hAnsi="宋体" w:eastAsia="宋体" w:cs="宋体"/>
          <w:color w:val="auto"/>
          <w:szCs w:val="21"/>
          <w:highlight w:val="none"/>
        </w:rPr>
        <w:t>确定下一候选人为成交供应商，也可以重新开展政府采购活动。</w:t>
      </w:r>
    </w:p>
    <w:p w14:paraId="728E4AE3">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.2签订合同后，如成交供应商不按双方签订的合同规定履约，则没收其全部履约保证金，履约保证金不足以赔偿损失的，按实际损失赔偿。</w:t>
      </w:r>
    </w:p>
    <w:p w14:paraId="4023781D">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.3在履约保证金退还日期前，若成交供应商的开户名称、开户银行、</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号有变动的，请以书面形式通知履约保证金收取单位，否则由此产生的后果由成交供应商自负。</w:t>
      </w:r>
    </w:p>
    <w:p w14:paraId="314DF791">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.签订合同</w:t>
      </w:r>
    </w:p>
    <w:p w14:paraId="328DF695">
      <w:pPr>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color w:val="auto"/>
          <w:szCs w:val="21"/>
          <w:highlight w:val="none"/>
          <w:lang w:val="zh-CN"/>
        </w:rPr>
        <w:t>如成交供应商为联合体的，由联合体成员各方法定代表人或其授权代表与采购人代表签订合同。</w:t>
      </w:r>
    </w:p>
    <w:p w14:paraId="6EDB785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0707370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.3成交供应商拒绝签订政府采购合同的，采购人可以按照评审报告推荐的成交候选人名单排序，</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确定下一候选人为成交供应商，也可以重新开展采购活动。拒绝签订政府采购合同的成交供应商不得参加对该项目重新开展的采购活动。</w:t>
      </w:r>
    </w:p>
    <w:p w14:paraId="6053EBB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.4如签订合同并生效后，供应商无故拒绝或延期，除按照合同条款处理外，列入不良行为记录，并给予通报。</w:t>
      </w:r>
    </w:p>
    <w:p w14:paraId="3F0E1A2F">
      <w:pPr>
        <w:spacing w:line="360" w:lineRule="auto"/>
        <w:ind w:firstLine="420"/>
        <w:rPr>
          <w:rFonts w:hint="eastAsia" w:ascii="宋体" w:hAnsi="宋体" w:eastAsia="宋体" w:cs="宋体"/>
          <w:b/>
          <w:bCs/>
          <w:i/>
          <w:iCs/>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.5采购合同由采购人与成交供应商根据谈判文件、响应文件等内容签订</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成交供应商</w:t>
      </w:r>
      <w:r>
        <w:rPr>
          <w:rFonts w:hint="eastAsia" w:ascii="宋体" w:hAnsi="宋体" w:eastAsia="宋体" w:cs="宋体"/>
          <w:color w:val="auto"/>
          <w:sz w:val="21"/>
          <w:szCs w:val="21"/>
          <w:highlight w:val="none"/>
        </w:rPr>
        <w:t>应当在签订合同时</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须知前附表规定向采购人出示相关证明材料，经采购人核验合格后方可签订合同</w:t>
      </w:r>
      <w:r>
        <w:rPr>
          <w:rFonts w:hint="eastAsia" w:ascii="宋体" w:hAnsi="宋体" w:eastAsia="宋体" w:cs="宋体"/>
          <w:color w:val="auto"/>
          <w:szCs w:val="21"/>
          <w:highlight w:val="none"/>
          <w:lang w:eastAsia="zh-CN"/>
        </w:rPr>
        <w:t>。</w:t>
      </w:r>
      <w:r>
        <w:rPr>
          <w:rFonts w:hint="eastAsia" w:ascii="宋体" w:hAnsi="宋体" w:eastAsia="宋体" w:cs="宋体"/>
          <w:b/>
          <w:bCs/>
          <w:i/>
          <w:iCs/>
          <w:color w:val="auto"/>
          <w:szCs w:val="21"/>
          <w:highlight w:val="none"/>
          <w:lang w:eastAsia="zh-CN"/>
        </w:rPr>
        <w:t>（适用于</w:t>
      </w:r>
      <w:r>
        <w:rPr>
          <w:rFonts w:hint="eastAsia" w:ascii="宋体" w:hAnsi="宋体" w:eastAsia="宋体" w:cs="宋体"/>
          <w:b/>
          <w:bCs/>
          <w:i/>
          <w:iCs/>
          <w:color w:val="auto"/>
          <w:szCs w:val="21"/>
          <w:highlight w:val="none"/>
        </w:rPr>
        <w:t>签订</w:t>
      </w:r>
      <w:r>
        <w:rPr>
          <w:rFonts w:hint="eastAsia" w:ascii="宋体" w:hAnsi="宋体" w:eastAsia="宋体" w:cs="宋体"/>
          <w:b/>
          <w:bCs/>
          <w:i/>
          <w:iCs/>
          <w:color w:val="auto"/>
          <w:szCs w:val="21"/>
          <w:highlight w:val="none"/>
          <w:lang w:eastAsia="zh-CN"/>
        </w:rPr>
        <w:t>纸质</w:t>
      </w:r>
      <w:r>
        <w:rPr>
          <w:rFonts w:hint="eastAsia" w:ascii="宋体" w:hAnsi="宋体" w:eastAsia="宋体" w:cs="宋体"/>
          <w:b/>
          <w:bCs/>
          <w:i/>
          <w:iCs/>
          <w:color w:val="auto"/>
          <w:szCs w:val="21"/>
          <w:highlight w:val="none"/>
        </w:rPr>
        <w:t>合同</w:t>
      </w:r>
      <w:r>
        <w:rPr>
          <w:rFonts w:hint="eastAsia" w:ascii="宋体" w:hAnsi="宋体" w:eastAsia="宋体" w:cs="宋体"/>
          <w:b/>
          <w:bCs/>
          <w:i/>
          <w:iCs/>
          <w:color w:val="auto"/>
          <w:szCs w:val="21"/>
          <w:highlight w:val="none"/>
          <w:lang w:eastAsia="zh-CN"/>
        </w:rPr>
        <w:t>的情形）</w:t>
      </w:r>
    </w:p>
    <w:p w14:paraId="6EA5BCA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29</w:t>
      </w:r>
      <w:r>
        <w:rPr>
          <w:rFonts w:hint="eastAsia" w:ascii="宋体" w:hAnsi="宋体" w:eastAsia="宋体" w:cs="宋体"/>
          <w:b/>
          <w:bCs/>
          <w:color w:val="auto"/>
          <w:sz w:val="24"/>
          <w:szCs w:val="24"/>
          <w:highlight w:val="none"/>
        </w:rPr>
        <w:t>.政府采购合同公告</w:t>
      </w:r>
    </w:p>
    <w:p w14:paraId="7DCEDF5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06259B9">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0</w:t>
      </w:r>
      <w:r>
        <w:rPr>
          <w:rFonts w:hint="eastAsia" w:ascii="宋体" w:hAnsi="宋体" w:eastAsia="宋体" w:cs="宋体"/>
          <w:b/>
          <w:bCs/>
          <w:color w:val="auto"/>
          <w:sz w:val="24"/>
          <w:szCs w:val="24"/>
          <w:highlight w:val="none"/>
        </w:rPr>
        <w:t>. 询问、质疑和投诉</w:t>
      </w:r>
    </w:p>
    <w:p w14:paraId="15173120">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.1供应商对政府采购活动事项有疑问的，可以向采购人</w:t>
      </w:r>
      <w:r>
        <w:rPr>
          <w:rFonts w:hint="eastAsia" w:ascii="宋体" w:hAnsi="宋体" w:eastAsia="宋体" w:cs="宋体"/>
          <w:color w:val="auto"/>
          <w:szCs w:val="24"/>
          <w:highlight w:val="none"/>
          <w:lang w:eastAsia="zh-CN"/>
        </w:rPr>
        <w:t>或者</w:t>
      </w:r>
      <w:r>
        <w:rPr>
          <w:rFonts w:hint="eastAsia" w:ascii="宋体" w:hAnsi="宋体" w:eastAsia="宋体" w:cs="宋体"/>
          <w:color w:val="auto"/>
          <w:szCs w:val="24"/>
          <w:highlight w:val="none"/>
        </w:rPr>
        <w:t>采购代理机构提出询问，采购人或者采购代理机构应当在3个工作日内对供应商依法提出的询问作出答复。</w:t>
      </w:r>
    </w:p>
    <w:p w14:paraId="7C9073E6">
      <w:pPr>
        <w:spacing w:line="360" w:lineRule="auto"/>
        <w:ind w:firstLine="420"/>
        <w:rPr>
          <w:rFonts w:hint="eastAsia" w:ascii="宋体" w:hAnsi="宋体" w:eastAsia="宋体" w:cs="宋体"/>
          <w:b/>
          <w:color w:val="auto"/>
          <w:szCs w:val="21"/>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.2供应商认为谈判文件、采购过程或者成交结果使自己的合法权益受到损害的，应当在知道或者应知其权益受到损害之日起7个工作日内，以书面形式向采购人</w:t>
      </w:r>
      <w:r>
        <w:rPr>
          <w:rFonts w:hint="eastAsia" w:ascii="宋体" w:hAnsi="宋体" w:eastAsia="宋体" w:cs="宋体"/>
          <w:color w:val="auto"/>
          <w:szCs w:val="24"/>
          <w:highlight w:val="none"/>
          <w:lang w:eastAsia="zh-CN"/>
        </w:rPr>
        <w:t>或者</w:t>
      </w:r>
      <w:r>
        <w:rPr>
          <w:rFonts w:hint="eastAsia" w:ascii="宋体" w:hAnsi="宋体" w:eastAsia="宋体" w:cs="宋体"/>
          <w:color w:val="auto"/>
          <w:szCs w:val="24"/>
          <w:highlight w:val="none"/>
        </w:rPr>
        <w:t>采购代理机构提出质疑，采购人或者采购代理机构应当在</w:t>
      </w:r>
      <w:r>
        <w:rPr>
          <w:rFonts w:hint="eastAsia" w:ascii="宋体" w:hAnsi="宋体" w:eastAsia="宋体" w:cs="宋体"/>
          <w:color w:val="auto"/>
          <w:szCs w:val="24"/>
          <w:highlight w:val="none"/>
          <w:lang w:val="en-US" w:eastAsia="zh-CN"/>
        </w:rPr>
        <w:t>7</w:t>
      </w:r>
      <w:r>
        <w:rPr>
          <w:rFonts w:hint="eastAsia" w:ascii="宋体" w:hAnsi="宋体" w:eastAsia="宋体" w:cs="宋体"/>
          <w:color w:val="auto"/>
          <w:szCs w:val="24"/>
          <w:highlight w:val="none"/>
        </w:rPr>
        <w:t>个工作日内对供应商依法提出的</w:t>
      </w:r>
      <w:r>
        <w:rPr>
          <w:rFonts w:hint="eastAsia" w:ascii="宋体" w:hAnsi="宋体" w:eastAsia="宋体" w:cs="宋体"/>
          <w:color w:val="auto"/>
          <w:szCs w:val="24"/>
          <w:highlight w:val="none"/>
          <w:lang w:eastAsia="zh-CN"/>
        </w:rPr>
        <w:t>质疑</w:t>
      </w:r>
      <w:r>
        <w:rPr>
          <w:rFonts w:hint="eastAsia" w:ascii="宋体" w:hAnsi="宋体" w:eastAsia="宋体" w:cs="宋体"/>
          <w:color w:val="auto"/>
          <w:szCs w:val="24"/>
          <w:highlight w:val="none"/>
        </w:rPr>
        <w:t>作出答复。</w:t>
      </w:r>
      <w:r>
        <w:rPr>
          <w:rFonts w:hint="eastAsia" w:ascii="宋体" w:hAnsi="宋体" w:eastAsia="宋体" w:cs="宋体"/>
          <w:color w:val="auto"/>
          <w:szCs w:val="24"/>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szCs w:val="24"/>
          <w:highlight w:val="none"/>
        </w:rPr>
        <w:t>。</w:t>
      </w:r>
      <w:r>
        <w:rPr>
          <w:rFonts w:hint="eastAsia" w:ascii="宋体" w:hAnsi="宋体" w:eastAsia="宋体" w:cs="宋体"/>
          <w:b/>
          <w:color w:val="auto"/>
          <w:szCs w:val="21"/>
          <w:highlight w:val="none"/>
        </w:rPr>
        <w:t xml:space="preserve">具体质疑起算时间及处理方式如下： </w:t>
      </w:r>
    </w:p>
    <w:p w14:paraId="54A4AA64">
      <w:pPr>
        <w:spacing w:line="360" w:lineRule="auto"/>
        <w:ind w:firstLine="42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（1）潜在供应商依法获取采购文件后，认为采购文件使自己的权益受到损害的，应当在竞争性谈判文件公告期限届满之日起7个工作日内提出质疑。</w:t>
      </w:r>
    </w:p>
    <w:p w14:paraId="5C9F221C">
      <w:pPr>
        <w:spacing w:line="360" w:lineRule="auto"/>
        <w:ind w:firstLine="42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宋体" w:hAnsi="宋体" w:eastAsia="宋体" w:cs="宋体"/>
          <w:bCs/>
          <w:color w:val="auto"/>
          <w:szCs w:val="24"/>
          <w:highlight w:val="none"/>
          <w:lang w:eastAsia="zh-CN"/>
        </w:rPr>
        <w:t>者采购</w:t>
      </w:r>
      <w:r>
        <w:rPr>
          <w:rFonts w:hint="eastAsia" w:ascii="宋体" w:hAnsi="宋体" w:eastAsia="宋体" w:cs="宋体"/>
          <w:bCs/>
          <w:color w:val="auto"/>
          <w:szCs w:val="24"/>
          <w:highlight w:val="none"/>
        </w:rPr>
        <w:t>代理机构提出，由采购人或</w:t>
      </w:r>
      <w:r>
        <w:rPr>
          <w:rFonts w:hint="eastAsia" w:ascii="宋体" w:hAnsi="宋体" w:eastAsia="宋体" w:cs="宋体"/>
          <w:bCs/>
          <w:color w:val="auto"/>
          <w:szCs w:val="24"/>
          <w:highlight w:val="none"/>
          <w:lang w:eastAsia="zh-CN"/>
        </w:rPr>
        <w:t>者采购</w:t>
      </w:r>
      <w:r>
        <w:rPr>
          <w:rFonts w:hint="eastAsia" w:ascii="宋体" w:hAnsi="宋体" w:eastAsia="宋体" w:cs="宋体"/>
          <w:bCs/>
          <w:color w:val="auto"/>
          <w:szCs w:val="24"/>
          <w:highlight w:val="none"/>
        </w:rPr>
        <w:t>代理机构受理并负责答复；对采购过程中采购执行程序的质疑由采购代理机构受理并负责答复。</w:t>
      </w:r>
    </w:p>
    <w:p w14:paraId="501B6E12">
      <w:pPr>
        <w:spacing w:line="360" w:lineRule="auto"/>
        <w:ind w:firstLine="42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（3）供应商认为成交结果使自己的权益受到损害的，应当在成交结果公告期限届满之日起7个工作日内提出质疑，由采购人受理并负责答复。</w:t>
      </w:r>
    </w:p>
    <w:p w14:paraId="7D665F2E">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559311F0">
      <w:pPr>
        <w:spacing w:line="360" w:lineRule="auto"/>
        <w:ind w:firstLine="422"/>
        <w:rPr>
          <w:rFonts w:hint="eastAsia" w:ascii="宋体" w:hAnsi="宋体" w:eastAsia="宋体" w:cs="宋体"/>
          <w:color w:val="auto"/>
          <w:szCs w:val="24"/>
          <w:highlight w:val="none"/>
        </w:rPr>
      </w:pPr>
      <w:r>
        <w:rPr>
          <w:rFonts w:hint="eastAsia" w:ascii="宋体" w:hAnsi="宋体" w:eastAsia="宋体" w:cs="宋体"/>
          <w:b/>
          <w:bCs/>
          <w:color w:val="auto"/>
          <w:szCs w:val="24"/>
          <w:highlight w:val="none"/>
        </w:rPr>
        <w:t>3</w:t>
      </w:r>
      <w:r>
        <w:rPr>
          <w:rFonts w:hint="eastAsia" w:ascii="宋体" w:hAnsi="宋体" w:eastAsia="宋体" w:cs="宋体"/>
          <w:b/>
          <w:bCs/>
          <w:color w:val="auto"/>
          <w:szCs w:val="24"/>
          <w:highlight w:val="none"/>
          <w:lang w:val="en-US" w:eastAsia="zh-CN"/>
        </w:rPr>
        <w:t>0</w:t>
      </w:r>
      <w:r>
        <w:rPr>
          <w:rFonts w:hint="eastAsia" w:ascii="宋体" w:hAnsi="宋体" w:eastAsia="宋体" w:cs="宋体"/>
          <w:b/>
          <w:bCs/>
          <w:color w:val="auto"/>
          <w:szCs w:val="24"/>
          <w:highlight w:val="none"/>
        </w:rPr>
        <w:t>.4 供应商提出质疑应当提交质疑函和必要的证明材料，针对同一采购程序环节的质疑必须在法定质疑期内一次性提出。质疑函应当包括下列内容（质疑函格式后附）：</w:t>
      </w:r>
    </w:p>
    <w:p w14:paraId="4F0D4C51">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（1）供应商的姓名或者名称、地址、邮编、联系人及联系电话；</w:t>
      </w:r>
    </w:p>
    <w:p w14:paraId="30782CEC">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（2）质疑项目的名称、编号；</w:t>
      </w:r>
    </w:p>
    <w:p w14:paraId="3B5797BB">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（3）具体、明确的质疑事项和与质疑事项相关的请求；</w:t>
      </w:r>
    </w:p>
    <w:p w14:paraId="75722DBB">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（4）事实依据；</w:t>
      </w:r>
    </w:p>
    <w:p w14:paraId="14EFE4DD">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（5）必要的法律依据；</w:t>
      </w:r>
    </w:p>
    <w:p w14:paraId="040F78DD">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（6）提出质疑的日期。</w:t>
      </w:r>
    </w:p>
    <w:p w14:paraId="2B68FC74">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供应商为自然人的，应当由本人签字；供应商为法人或者其他组织的，应当由法定代表人、主要负责人，或者其委托代理人签字或者盖章，并加盖公章。</w:t>
      </w:r>
    </w:p>
    <w:p w14:paraId="0B5D71DF">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.5采购人、采购代理机构认为供应商质疑不成立，或者成立但未对成交结果构成影响的，继续开展采购活动；认为供应商质疑成立且影响或者可能影响成交结果的，按照下列情况处理：</w:t>
      </w:r>
    </w:p>
    <w:p w14:paraId="3E6A08FD">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（一）对采购文件提出的质疑，依法通过澄清或者修改可以继续开展采购活动的，澄清或者修改采购文件后继续开展采购活动；否则应当修改采购文件后重新开展采购活动。</w:t>
      </w:r>
    </w:p>
    <w:p w14:paraId="544EB450">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4A7559E9">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质疑答复导致成交结果改变的，采购人或者采购代理机构应当将有关情况书面报告本级财政部门。</w:t>
      </w:r>
    </w:p>
    <w:p w14:paraId="2DE6C7D2">
      <w:pPr>
        <w:spacing w:line="360" w:lineRule="auto"/>
        <w:ind w:firstLine="422"/>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3</w:t>
      </w:r>
      <w:r>
        <w:rPr>
          <w:rFonts w:hint="eastAsia" w:ascii="宋体" w:hAnsi="宋体" w:eastAsia="宋体" w:cs="宋体"/>
          <w:b/>
          <w:bCs/>
          <w:color w:val="auto"/>
          <w:szCs w:val="24"/>
          <w:highlight w:val="none"/>
          <w:lang w:val="en-US" w:eastAsia="zh-CN"/>
        </w:rPr>
        <w:t>0</w:t>
      </w:r>
      <w:r>
        <w:rPr>
          <w:rFonts w:hint="eastAsia" w:ascii="宋体" w:hAnsi="宋体" w:eastAsia="宋体" w:cs="宋体"/>
          <w:b/>
          <w:bCs/>
          <w:color w:val="auto"/>
          <w:szCs w:val="24"/>
          <w:highlight w:val="none"/>
        </w:rPr>
        <w:t>.6投诉的权利。质疑供应商对采购人</w:t>
      </w:r>
      <w:r>
        <w:rPr>
          <w:rFonts w:hint="eastAsia" w:ascii="宋体" w:hAnsi="宋体" w:eastAsia="宋体" w:cs="宋体"/>
          <w:b/>
          <w:bCs/>
          <w:color w:val="auto"/>
          <w:szCs w:val="24"/>
          <w:highlight w:val="none"/>
          <w:lang w:eastAsia="zh-CN"/>
        </w:rPr>
        <w:t>或</w:t>
      </w:r>
      <w:r>
        <w:rPr>
          <w:rFonts w:hint="eastAsia" w:ascii="宋体" w:hAnsi="宋体" w:eastAsia="宋体" w:cs="宋体"/>
          <w:b/>
          <w:bCs/>
          <w:color w:val="auto"/>
          <w:szCs w:val="24"/>
          <w:highlight w:val="none"/>
        </w:rPr>
        <w:t>采购代理机构的答复不满意，或者采购人</w:t>
      </w:r>
      <w:r>
        <w:rPr>
          <w:rFonts w:hint="eastAsia" w:ascii="宋体" w:hAnsi="宋体" w:eastAsia="宋体" w:cs="宋体"/>
          <w:b/>
          <w:bCs/>
          <w:color w:val="auto"/>
          <w:szCs w:val="24"/>
          <w:highlight w:val="none"/>
          <w:lang w:eastAsia="zh-CN"/>
        </w:rPr>
        <w:t>或</w:t>
      </w:r>
      <w:r>
        <w:rPr>
          <w:rFonts w:hint="eastAsia" w:ascii="宋体" w:hAnsi="宋体" w:eastAsia="宋体" w:cs="宋体"/>
          <w:b/>
          <w:bCs/>
          <w:color w:val="auto"/>
          <w:szCs w:val="24"/>
          <w:highlight w:val="none"/>
        </w:rPr>
        <w:t>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63F5D2EE">
      <w:pPr>
        <w:keepNext/>
        <w:keepLines/>
        <w:spacing w:line="360" w:lineRule="auto"/>
        <w:ind w:firstLine="643"/>
        <w:outlineLvl w:val="2"/>
        <w:rPr>
          <w:rFonts w:hint="eastAsia" w:ascii="宋体" w:hAnsi="宋体" w:eastAsia="宋体" w:cs="宋体"/>
          <w:bCs/>
          <w:color w:val="auto"/>
          <w:sz w:val="32"/>
          <w:szCs w:val="32"/>
          <w:highlight w:val="none"/>
          <w:lang w:val="zh-CN" w:eastAsia="zh-CN"/>
        </w:rPr>
      </w:pPr>
      <w:bookmarkStart w:id="100" w:name="_Toc25772"/>
      <w:bookmarkStart w:id="101" w:name="_Toc80205930"/>
      <w:bookmarkStart w:id="102" w:name="_Toc6502"/>
      <w:r>
        <w:rPr>
          <w:rFonts w:hint="eastAsia" w:ascii="宋体" w:hAnsi="宋体" w:eastAsia="宋体" w:cs="宋体"/>
          <w:b/>
          <w:bCs/>
          <w:color w:val="auto"/>
          <w:sz w:val="32"/>
          <w:szCs w:val="32"/>
          <w:highlight w:val="none"/>
          <w:lang w:val="zh-CN" w:eastAsia="zh-CN"/>
        </w:rPr>
        <w:t>六</w:t>
      </w:r>
      <w:r>
        <w:rPr>
          <w:rFonts w:hint="eastAsia" w:ascii="宋体" w:hAnsi="宋体" w:eastAsia="宋体" w:cs="宋体"/>
          <w:bCs/>
          <w:color w:val="auto"/>
          <w:sz w:val="32"/>
          <w:szCs w:val="32"/>
          <w:highlight w:val="none"/>
          <w:lang w:val="zh-CN" w:eastAsia="zh-CN"/>
        </w:rPr>
        <w:t>、验收</w:t>
      </w:r>
      <w:bookmarkEnd w:id="100"/>
      <w:bookmarkEnd w:id="101"/>
      <w:bookmarkEnd w:id="102"/>
    </w:p>
    <w:p w14:paraId="557584B4">
      <w:pPr>
        <w:tabs>
          <w:tab w:val="left" w:pos="0"/>
        </w:tabs>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.验收</w:t>
      </w:r>
    </w:p>
    <w:p w14:paraId="782ECC6A">
      <w:pPr>
        <w:tabs>
          <w:tab w:val="left" w:pos="0"/>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290218D">
      <w:pPr>
        <w:tabs>
          <w:tab w:val="left" w:pos="0"/>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.2采购人可以邀请参加本项目的其他供应商或者第三方机构参与验收。参与验收的供应商或者第三方机构的意见作为验收书的参考资料一并存档。</w:t>
      </w:r>
    </w:p>
    <w:p w14:paraId="4DC5C710">
      <w:pPr>
        <w:tabs>
          <w:tab w:val="left" w:pos="0"/>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返还条件挂钩。履约验收的各项资料应当存档备查。</w:t>
      </w:r>
    </w:p>
    <w:p w14:paraId="668246FE">
      <w:pPr>
        <w:tabs>
          <w:tab w:val="left" w:pos="0"/>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3153668">
      <w:pPr>
        <w:keepNext/>
        <w:keepLines/>
        <w:spacing w:line="360" w:lineRule="auto"/>
        <w:ind w:firstLine="640"/>
        <w:outlineLvl w:val="2"/>
        <w:rPr>
          <w:rFonts w:hint="eastAsia" w:ascii="宋体" w:hAnsi="宋体" w:eastAsia="宋体" w:cs="宋体"/>
          <w:color w:val="auto"/>
          <w:sz w:val="32"/>
          <w:szCs w:val="32"/>
          <w:highlight w:val="none"/>
          <w:lang w:val="zh-CN" w:eastAsia="zh-CN"/>
        </w:rPr>
      </w:pPr>
      <w:bookmarkStart w:id="103" w:name="_Toc1379"/>
      <w:bookmarkStart w:id="104" w:name="_Toc15842"/>
      <w:bookmarkStart w:id="105" w:name="_Toc80205931"/>
      <w:r>
        <w:rPr>
          <w:rFonts w:hint="eastAsia" w:ascii="宋体" w:hAnsi="宋体" w:eastAsia="宋体" w:cs="宋体"/>
          <w:color w:val="auto"/>
          <w:sz w:val="32"/>
          <w:szCs w:val="32"/>
          <w:highlight w:val="none"/>
          <w:lang w:val="zh-CN" w:eastAsia="zh-CN"/>
        </w:rPr>
        <w:t>七、其他事项</w:t>
      </w:r>
      <w:bookmarkEnd w:id="103"/>
      <w:bookmarkEnd w:id="104"/>
      <w:bookmarkEnd w:id="105"/>
    </w:p>
    <w:p w14:paraId="47E433CD">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采购</w:t>
      </w:r>
      <w:r>
        <w:rPr>
          <w:rFonts w:hint="eastAsia" w:ascii="宋体" w:hAnsi="宋体" w:eastAsia="宋体" w:cs="宋体"/>
          <w:b/>
          <w:bCs/>
          <w:color w:val="auto"/>
          <w:sz w:val="24"/>
          <w:szCs w:val="24"/>
          <w:highlight w:val="none"/>
        </w:rPr>
        <w:t>代理</w:t>
      </w:r>
      <w:r>
        <w:rPr>
          <w:rFonts w:hint="eastAsia" w:ascii="宋体" w:hAnsi="宋体" w:eastAsia="宋体" w:cs="宋体"/>
          <w:b/>
          <w:bCs/>
          <w:color w:val="auto"/>
          <w:sz w:val="24"/>
          <w:szCs w:val="24"/>
          <w:highlight w:val="none"/>
          <w:lang w:eastAsia="zh-CN"/>
        </w:rPr>
        <w:t>服务</w:t>
      </w:r>
      <w:r>
        <w:rPr>
          <w:rFonts w:hint="eastAsia" w:ascii="宋体" w:hAnsi="宋体" w:eastAsia="宋体" w:cs="宋体"/>
          <w:b/>
          <w:bCs/>
          <w:color w:val="auto"/>
          <w:sz w:val="24"/>
          <w:szCs w:val="24"/>
          <w:highlight w:val="none"/>
        </w:rPr>
        <w:t>费</w:t>
      </w:r>
    </w:p>
    <w:p w14:paraId="400740FC">
      <w:pPr>
        <w:tabs>
          <w:tab w:val="left" w:pos="2835"/>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32.1</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代理</w:t>
      </w:r>
      <w:r>
        <w:rPr>
          <w:rFonts w:hint="eastAsia" w:ascii="宋体" w:hAnsi="宋体" w:eastAsia="宋体" w:cs="宋体"/>
          <w:color w:val="auto"/>
          <w:szCs w:val="21"/>
          <w:highlight w:val="none"/>
          <w:lang w:eastAsia="zh-CN"/>
        </w:rPr>
        <w:t>服务费</w:t>
      </w:r>
      <w:r>
        <w:rPr>
          <w:rFonts w:hint="eastAsia" w:ascii="宋体" w:hAnsi="宋体" w:eastAsia="宋体" w:cs="宋体"/>
          <w:color w:val="auto"/>
          <w:szCs w:val="21"/>
          <w:highlight w:val="none"/>
        </w:rPr>
        <w:t>收费标准及缴费账户详见“供应商须知前附表”，供应商为联合体的，可以由联合体中的一方或者多方共同缴纳采购代理服务费。</w:t>
      </w:r>
    </w:p>
    <w:p w14:paraId="69DE640A">
      <w:pPr>
        <w:pStyle w:val="18"/>
        <w:ind w:firstLine="420" w:firstLineChars="200"/>
        <w:rPr>
          <w:rFonts w:hint="eastAsia" w:ascii="宋体" w:hAnsi="宋体" w:eastAsia="宋体" w:cs="宋体"/>
          <w:lang w:val="en-US" w:eastAsia="zh-CN"/>
        </w:rPr>
      </w:pPr>
      <w:r>
        <w:rPr>
          <w:rFonts w:hint="eastAsia" w:ascii="宋体" w:hAnsi="宋体" w:eastAsia="宋体" w:cs="宋体"/>
          <w:color w:val="auto"/>
          <w:highlight w:val="none"/>
          <w:lang w:val="en-US" w:eastAsia="zh-CN"/>
        </w:rPr>
        <w:t>32.2</w:t>
      </w:r>
      <w:r>
        <w:rPr>
          <w:rFonts w:hint="eastAsia" w:ascii="宋体" w:hAnsi="宋体" w:eastAsia="宋体" w:cs="宋体"/>
          <w:lang w:val="en-US" w:eastAsia="zh-CN"/>
        </w:rPr>
        <w:t>采购代理服务费收费计算标准：</w:t>
      </w:r>
    </w:p>
    <w:tbl>
      <w:tblPr>
        <w:tblStyle w:val="44"/>
        <w:tblW w:w="8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8B4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noWrap w:val="0"/>
            <w:vAlign w:val="top"/>
          </w:tcPr>
          <w:p w14:paraId="22D5E726">
            <w:pPr>
              <w:spacing w:line="360" w:lineRule="auto"/>
              <w:rPr>
                <w:rFonts w:hint="eastAsia" w:ascii="宋体" w:hAnsi="宋体" w:eastAsia="宋体" w:cs="宋体"/>
                <w:color w:val="000000"/>
                <w:szCs w:val="21"/>
              </w:rPr>
            </w:pPr>
            <w:r>
              <w:rPr>
                <w:rFonts w:hint="eastAsia" w:ascii="宋体" w:hAnsi="宋体" w:eastAsia="宋体" w:cs="宋体"/>
                <w:color w:val="000000"/>
                <w:szCs w:val="21"/>
              </w:rPr>
              <w:t xml:space="preserve">               费率</w:t>
            </w:r>
          </w:p>
          <w:p w14:paraId="20643113">
            <w:pPr>
              <w:spacing w:line="360" w:lineRule="auto"/>
              <w:rPr>
                <w:rFonts w:hint="eastAsia" w:ascii="宋体" w:hAnsi="宋体" w:eastAsia="宋体" w:cs="宋体"/>
                <w:color w:val="000000"/>
                <w:szCs w:val="21"/>
              </w:rPr>
            </w:pPr>
            <w:r>
              <w:rPr>
                <w:rFonts w:hint="eastAsia" w:ascii="宋体" w:hAnsi="宋体" w:eastAsia="宋体" w:cs="宋体"/>
                <w:color w:val="000000"/>
                <w:szCs w:val="21"/>
              </w:rPr>
              <w:t>金额</w:t>
            </w:r>
          </w:p>
        </w:tc>
        <w:tc>
          <w:tcPr>
            <w:tcW w:w="1659" w:type="dxa"/>
            <w:noWrap w:val="0"/>
            <w:vAlign w:val="center"/>
          </w:tcPr>
          <w:p w14:paraId="3436144B">
            <w:pPr>
              <w:spacing w:line="360" w:lineRule="auto"/>
              <w:ind w:firstLine="105" w:firstLineChars="50"/>
              <w:jc w:val="center"/>
              <w:rPr>
                <w:rFonts w:hint="eastAsia" w:ascii="宋体" w:hAnsi="宋体" w:eastAsia="宋体" w:cs="宋体"/>
                <w:color w:val="000000"/>
                <w:szCs w:val="21"/>
              </w:rPr>
            </w:pPr>
            <w:r>
              <w:rPr>
                <w:rFonts w:hint="eastAsia" w:ascii="宋体" w:hAnsi="宋体" w:eastAsia="宋体" w:cs="宋体"/>
                <w:color w:val="000000"/>
                <w:szCs w:val="21"/>
              </w:rPr>
              <w:t>货物类</w:t>
            </w:r>
          </w:p>
        </w:tc>
        <w:tc>
          <w:tcPr>
            <w:tcW w:w="1532" w:type="dxa"/>
            <w:noWrap w:val="0"/>
            <w:vAlign w:val="center"/>
          </w:tcPr>
          <w:p w14:paraId="0B66AE42">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服务类</w:t>
            </w:r>
          </w:p>
        </w:tc>
        <w:tc>
          <w:tcPr>
            <w:tcW w:w="1546" w:type="dxa"/>
            <w:noWrap w:val="0"/>
            <w:vAlign w:val="center"/>
          </w:tcPr>
          <w:p w14:paraId="38EF9E08">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工程类</w:t>
            </w:r>
          </w:p>
        </w:tc>
      </w:tr>
      <w:tr w14:paraId="4790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BF15815">
            <w:pPr>
              <w:spacing w:line="360" w:lineRule="auto"/>
              <w:rPr>
                <w:rFonts w:hint="eastAsia" w:ascii="宋体" w:hAnsi="宋体" w:eastAsia="宋体" w:cs="宋体"/>
                <w:color w:val="000000"/>
                <w:szCs w:val="21"/>
              </w:rPr>
            </w:pPr>
            <w:r>
              <w:rPr>
                <w:rFonts w:hint="eastAsia" w:ascii="宋体" w:hAnsi="宋体" w:eastAsia="宋体" w:cs="宋体"/>
                <w:color w:val="000000"/>
                <w:szCs w:val="21"/>
              </w:rPr>
              <w:t>100万元以下</w:t>
            </w:r>
          </w:p>
        </w:tc>
        <w:tc>
          <w:tcPr>
            <w:tcW w:w="1659" w:type="dxa"/>
            <w:noWrap w:val="0"/>
            <w:vAlign w:val="top"/>
          </w:tcPr>
          <w:p w14:paraId="0A5F6695">
            <w:pPr>
              <w:spacing w:line="360" w:lineRule="auto"/>
              <w:rPr>
                <w:rFonts w:hint="eastAsia" w:ascii="宋体" w:hAnsi="宋体" w:eastAsia="宋体" w:cs="宋体"/>
                <w:color w:val="000000"/>
                <w:szCs w:val="21"/>
              </w:rPr>
            </w:pPr>
            <w:r>
              <w:rPr>
                <w:rFonts w:hint="eastAsia" w:ascii="宋体" w:hAnsi="宋体" w:eastAsia="宋体" w:cs="宋体"/>
                <w:color w:val="000000"/>
                <w:kern w:val="0"/>
                <w:szCs w:val="21"/>
              </w:rPr>
              <w:t xml:space="preserve">  1.5%                </w:t>
            </w:r>
          </w:p>
        </w:tc>
        <w:tc>
          <w:tcPr>
            <w:tcW w:w="1532" w:type="dxa"/>
            <w:noWrap w:val="0"/>
            <w:vAlign w:val="top"/>
          </w:tcPr>
          <w:p w14:paraId="57FA4A88">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1.5%</w:t>
            </w:r>
          </w:p>
        </w:tc>
        <w:tc>
          <w:tcPr>
            <w:tcW w:w="1546" w:type="dxa"/>
            <w:noWrap w:val="0"/>
            <w:vAlign w:val="top"/>
          </w:tcPr>
          <w:p w14:paraId="7787C451">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 xml:space="preserve">1.0% </w:t>
            </w:r>
          </w:p>
        </w:tc>
      </w:tr>
      <w:tr w14:paraId="00C1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073437AC">
            <w:pPr>
              <w:spacing w:line="360" w:lineRule="auto"/>
              <w:rPr>
                <w:rFonts w:hint="eastAsia" w:ascii="宋体" w:hAnsi="宋体" w:eastAsia="宋体" w:cs="宋体"/>
                <w:color w:val="000000"/>
                <w:szCs w:val="21"/>
              </w:rPr>
            </w:pPr>
            <w:r>
              <w:rPr>
                <w:rFonts w:hint="eastAsia" w:ascii="宋体" w:hAnsi="宋体" w:eastAsia="宋体" w:cs="宋体"/>
                <w:color w:val="000000"/>
                <w:szCs w:val="21"/>
              </w:rPr>
              <w:t>100～500万元</w:t>
            </w:r>
          </w:p>
        </w:tc>
        <w:tc>
          <w:tcPr>
            <w:tcW w:w="1659" w:type="dxa"/>
            <w:noWrap w:val="0"/>
            <w:vAlign w:val="top"/>
          </w:tcPr>
          <w:p w14:paraId="7ECF7DC8">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 xml:space="preserve">1.1%                 </w:t>
            </w:r>
          </w:p>
        </w:tc>
        <w:tc>
          <w:tcPr>
            <w:tcW w:w="1532" w:type="dxa"/>
            <w:noWrap w:val="0"/>
            <w:vAlign w:val="top"/>
          </w:tcPr>
          <w:p w14:paraId="3B241909">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0.8%</w:t>
            </w:r>
          </w:p>
        </w:tc>
        <w:tc>
          <w:tcPr>
            <w:tcW w:w="1546" w:type="dxa"/>
            <w:noWrap w:val="0"/>
            <w:vAlign w:val="top"/>
          </w:tcPr>
          <w:p w14:paraId="56883B22">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 xml:space="preserve">0.7% </w:t>
            </w:r>
          </w:p>
        </w:tc>
      </w:tr>
      <w:tr w14:paraId="79FB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87D0949">
            <w:pPr>
              <w:spacing w:line="360" w:lineRule="auto"/>
              <w:rPr>
                <w:rFonts w:hint="eastAsia" w:ascii="宋体" w:hAnsi="宋体" w:eastAsia="宋体" w:cs="宋体"/>
                <w:color w:val="000000"/>
                <w:szCs w:val="21"/>
              </w:rPr>
            </w:pPr>
            <w:r>
              <w:rPr>
                <w:rFonts w:hint="eastAsia" w:ascii="宋体" w:hAnsi="宋体" w:eastAsia="宋体" w:cs="宋体"/>
                <w:color w:val="000000"/>
                <w:szCs w:val="21"/>
              </w:rPr>
              <w:t>500～1000万元</w:t>
            </w:r>
          </w:p>
        </w:tc>
        <w:tc>
          <w:tcPr>
            <w:tcW w:w="1659" w:type="dxa"/>
            <w:noWrap w:val="0"/>
            <w:vAlign w:val="top"/>
          </w:tcPr>
          <w:p w14:paraId="73D7202D">
            <w:pPr>
              <w:spacing w:line="360" w:lineRule="auto"/>
              <w:rPr>
                <w:rFonts w:hint="eastAsia" w:ascii="宋体" w:hAnsi="宋体" w:eastAsia="宋体" w:cs="宋体"/>
                <w:color w:val="000000"/>
                <w:szCs w:val="21"/>
              </w:rPr>
            </w:pPr>
            <w:r>
              <w:rPr>
                <w:rFonts w:hint="eastAsia" w:ascii="宋体" w:hAnsi="宋体" w:eastAsia="宋体" w:cs="宋体"/>
                <w:color w:val="000000"/>
                <w:kern w:val="0"/>
                <w:szCs w:val="21"/>
              </w:rPr>
              <w:t xml:space="preserve">  0.8%                </w:t>
            </w:r>
          </w:p>
        </w:tc>
        <w:tc>
          <w:tcPr>
            <w:tcW w:w="1532" w:type="dxa"/>
            <w:noWrap w:val="0"/>
            <w:vAlign w:val="top"/>
          </w:tcPr>
          <w:p w14:paraId="65462F50">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0.45%</w:t>
            </w:r>
          </w:p>
        </w:tc>
        <w:tc>
          <w:tcPr>
            <w:tcW w:w="1546" w:type="dxa"/>
            <w:noWrap w:val="0"/>
            <w:vAlign w:val="top"/>
          </w:tcPr>
          <w:p w14:paraId="6885D5FB">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0.55%</w:t>
            </w:r>
          </w:p>
        </w:tc>
      </w:tr>
      <w:tr w14:paraId="125F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756F1FC">
            <w:pPr>
              <w:spacing w:line="360" w:lineRule="auto"/>
              <w:rPr>
                <w:rFonts w:hint="eastAsia" w:ascii="宋体" w:hAnsi="宋体" w:eastAsia="宋体" w:cs="宋体"/>
                <w:color w:val="000000"/>
                <w:szCs w:val="21"/>
              </w:rPr>
            </w:pPr>
            <w:r>
              <w:rPr>
                <w:rFonts w:hint="eastAsia" w:ascii="宋体" w:hAnsi="宋体" w:eastAsia="宋体" w:cs="宋体"/>
                <w:color w:val="000000"/>
                <w:szCs w:val="21"/>
              </w:rPr>
              <w:t>1000～5000万元</w:t>
            </w:r>
          </w:p>
        </w:tc>
        <w:tc>
          <w:tcPr>
            <w:tcW w:w="1659" w:type="dxa"/>
            <w:noWrap w:val="0"/>
            <w:vAlign w:val="top"/>
          </w:tcPr>
          <w:p w14:paraId="6C749F55">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 xml:space="preserve">0.5%                </w:t>
            </w:r>
          </w:p>
        </w:tc>
        <w:tc>
          <w:tcPr>
            <w:tcW w:w="1532" w:type="dxa"/>
            <w:noWrap w:val="0"/>
            <w:vAlign w:val="top"/>
          </w:tcPr>
          <w:p w14:paraId="3891287A">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0.25%</w:t>
            </w:r>
          </w:p>
        </w:tc>
        <w:tc>
          <w:tcPr>
            <w:tcW w:w="1546" w:type="dxa"/>
            <w:noWrap w:val="0"/>
            <w:vAlign w:val="top"/>
          </w:tcPr>
          <w:p w14:paraId="12E80343">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 xml:space="preserve">0.35% </w:t>
            </w:r>
          </w:p>
        </w:tc>
      </w:tr>
      <w:tr w14:paraId="4A53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4ADC878E">
            <w:pPr>
              <w:spacing w:line="360" w:lineRule="auto"/>
              <w:rPr>
                <w:rFonts w:hint="eastAsia" w:ascii="宋体" w:hAnsi="宋体" w:eastAsia="宋体" w:cs="宋体"/>
                <w:color w:val="000000"/>
                <w:szCs w:val="21"/>
              </w:rPr>
            </w:pPr>
            <w:r>
              <w:rPr>
                <w:rFonts w:hint="eastAsia" w:ascii="宋体" w:hAnsi="宋体" w:eastAsia="宋体" w:cs="宋体"/>
                <w:color w:val="000000"/>
                <w:szCs w:val="21"/>
              </w:rPr>
              <w:t>5000万元～1亿元</w:t>
            </w:r>
          </w:p>
        </w:tc>
        <w:tc>
          <w:tcPr>
            <w:tcW w:w="1659" w:type="dxa"/>
            <w:noWrap w:val="0"/>
            <w:vAlign w:val="top"/>
          </w:tcPr>
          <w:p w14:paraId="6FCEFC95">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 xml:space="preserve">0.25%                 </w:t>
            </w:r>
          </w:p>
        </w:tc>
        <w:tc>
          <w:tcPr>
            <w:tcW w:w="1532" w:type="dxa"/>
            <w:noWrap w:val="0"/>
            <w:vAlign w:val="top"/>
          </w:tcPr>
          <w:p w14:paraId="57C50592">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0.1%</w:t>
            </w:r>
          </w:p>
        </w:tc>
        <w:tc>
          <w:tcPr>
            <w:tcW w:w="1546" w:type="dxa"/>
            <w:noWrap w:val="0"/>
            <w:vAlign w:val="top"/>
          </w:tcPr>
          <w:p w14:paraId="6F131708">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0.2%</w:t>
            </w:r>
          </w:p>
        </w:tc>
      </w:tr>
      <w:tr w14:paraId="3F2C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4703D36">
            <w:pPr>
              <w:spacing w:line="360" w:lineRule="auto"/>
              <w:rPr>
                <w:rFonts w:hint="eastAsia" w:ascii="宋体" w:hAnsi="宋体" w:eastAsia="宋体" w:cs="宋体"/>
                <w:color w:val="000000"/>
                <w:szCs w:val="21"/>
              </w:rPr>
            </w:pPr>
            <w:r>
              <w:rPr>
                <w:rFonts w:hint="eastAsia" w:ascii="宋体" w:hAnsi="宋体" w:eastAsia="宋体" w:cs="宋体"/>
                <w:color w:val="000000"/>
                <w:szCs w:val="21"/>
              </w:rPr>
              <w:t>1～5亿元</w:t>
            </w:r>
          </w:p>
        </w:tc>
        <w:tc>
          <w:tcPr>
            <w:tcW w:w="1659" w:type="dxa"/>
            <w:noWrap w:val="0"/>
            <w:vAlign w:val="top"/>
          </w:tcPr>
          <w:p w14:paraId="43200880">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szCs w:val="21"/>
              </w:rPr>
              <w:t>0.05%</w:t>
            </w:r>
          </w:p>
        </w:tc>
        <w:tc>
          <w:tcPr>
            <w:tcW w:w="1532" w:type="dxa"/>
            <w:noWrap w:val="0"/>
            <w:vAlign w:val="top"/>
          </w:tcPr>
          <w:p w14:paraId="16EA660E">
            <w:pPr>
              <w:spacing w:line="360" w:lineRule="auto"/>
              <w:rPr>
                <w:rFonts w:hint="eastAsia" w:ascii="宋体" w:hAnsi="宋体" w:eastAsia="宋体" w:cs="宋体"/>
                <w:color w:val="000000"/>
                <w:szCs w:val="21"/>
              </w:rPr>
            </w:pPr>
            <w:r>
              <w:rPr>
                <w:rFonts w:hint="eastAsia" w:ascii="宋体" w:hAnsi="宋体" w:eastAsia="宋体" w:cs="宋体"/>
                <w:color w:val="000000"/>
                <w:szCs w:val="21"/>
              </w:rPr>
              <w:t xml:space="preserve">  0.05%</w:t>
            </w:r>
          </w:p>
        </w:tc>
        <w:tc>
          <w:tcPr>
            <w:tcW w:w="1546" w:type="dxa"/>
            <w:noWrap w:val="0"/>
            <w:vAlign w:val="top"/>
          </w:tcPr>
          <w:p w14:paraId="09F3B294">
            <w:pPr>
              <w:spacing w:line="360" w:lineRule="auto"/>
              <w:rPr>
                <w:rFonts w:hint="eastAsia" w:ascii="宋体" w:hAnsi="宋体" w:eastAsia="宋体" w:cs="宋体"/>
                <w:color w:val="000000"/>
                <w:szCs w:val="21"/>
              </w:rPr>
            </w:pPr>
            <w:r>
              <w:rPr>
                <w:rFonts w:hint="eastAsia" w:ascii="宋体" w:hAnsi="宋体" w:eastAsia="宋体" w:cs="宋体"/>
                <w:color w:val="000000"/>
                <w:szCs w:val="21"/>
              </w:rPr>
              <w:t xml:space="preserve">  0.05%</w:t>
            </w:r>
          </w:p>
        </w:tc>
      </w:tr>
      <w:tr w14:paraId="4F1D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1B85406">
            <w:pPr>
              <w:spacing w:line="360" w:lineRule="auto"/>
              <w:rPr>
                <w:rFonts w:hint="eastAsia" w:ascii="宋体" w:hAnsi="宋体" w:eastAsia="宋体" w:cs="宋体"/>
                <w:color w:val="000000"/>
                <w:szCs w:val="21"/>
              </w:rPr>
            </w:pPr>
            <w:r>
              <w:rPr>
                <w:rFonts w:hint="eastAsia" w:ascii="宋体" w:hAnsi="宋体" w:eastAsia="宋体" w:cs="宋体"/>
                <w:color w:val="000000"/>
                <w:szCs w:val="21"/>
              </w:rPr>
              <w:t>5～10亿元</w:t>
            </w:r>
          </w:p>
        </w:tc>
        <w:tc>
          <w:tcPr>
            <w:tcW w:w="1659" w:type="dxa"/>
            <w:noWrap w:val="0"/>
            <w:vAlign w:val="top"/>
          </w:tcPr>
          <w:p w14:paraId="464EEE9B">
            <w:pPr>
              <w:spacing w:line="360" w:lineRule="auto"/>
              <w:ind w:firstLine="105" w:firstLineChars="50"/>
              <w:rPr>
                <w:rFonts w:hint="eastAsia" w:ascii="宋体" w:hAnsi="宋体" w:eastAsia="宋体" w:cs="宋体"/>
                <w:color w:val="000000"/>
                <w:szCs w:val="21"/>
              </w:rPr>
            </w:pPr>
            <w:r>
              <w:rPr>
                <w:rFonts w:hint="eastAsia" w:ascii="宋体" w:hAnsi="宋体" w:eastAsia="宋体" w:cs="宋体"/>
                <w:color w:val="000000"/>
                <w:szCs w:val="21"/>
              </w:rPr>
              <w:t>0.035%</w:t>
            </w:r>
          </w:p>
        </w:tc>
        <w:tc>
          <w:tcPr>
            <w:tcW w:w="1532" w:type="dxa"/>
            <w:noWrap w:val="0"/>
            <w:vAlign w:val="top"/>
          </w:tcPr>
          <w:p w14:paraId="0E82DB41">
            <w:pPr>
              <w:spacing w:line="360" w:lineRule="auto"/>
              <w:rPr>
                <w:rFonts w:hint="eastAsia" w:ascii="宋体" w:hAnsi="宋体" w:eastAsia="宋体" w:cs="宋体"/>
                <w:color w:val="000000"/>
                <w:szCs w:val="21"/>
              </w:rPr>
            </w:pPr>
            <w:r>
              <w:rPr>
                <w:rFonts w:hint="eastAsia" w:ascii="宋体" w:hAnsi="宋体" w:eastAsia="宋体" w:cs="宋体"/>
                <w:color w:val="000000"/>
                <w:szCs w:val="21"/>
              </w:rPr>
              <w:t xml:space="preserve">  0.035%</w:t>
            </w:r>
          </w:p>
        </w:tc>
        <w:tc>
          <w:tcPr>
            <w:tcW w:w="1546" w:type="dxa"/>
            <w:noWrap w:val="0"/>
            <w:vAlign w:val="top"/>
          </w:tcPr>
          <w:p w14:paraId="13AFAA5E">
            <w:pPr>
              <w:spacing w:line="360" w:lineRule="auto"/>
              <w:ind w:firstLine="105" w:firstLineChars="50"/>
              <w:rPr>
                <w:rFonts w:hint="eastAsia" w:ascii="宋体" w:hAnsi="宋体" w:eastAsia="宋体" w:cs="宋体"/>
                <w:color w:val="000000"/>
                <w:szCs w:val="21"/>
              </w:rPr>
            </w:pPr>
            <w:r>
              <w:rPr>
                <w:rFonts w:hint="eastAsia" w:ascii="宋体" w:hAnsi="宋体" w:eastAsia="宋体" w:cs="宋体"/>
                <w:color w:val="000000"/>
                <w:szCs w:val="21"/>
              </w:rPr>
              <w:t>0.035%</w:t>
            </w:r>
          </w:p>
        </w:tc>
      </w:tr>
      <w:tr w14:paraId="3276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541CEA9">
            <w:pPr>
              <w:spacing w:line="360" w:lineRule="auto"/>
              <w:rPr>
                <w:rFonts w:hint="eastAsia" w:ascii="宋体" w:hAnsi="宋体" w:eastAsia="宋体" w:cs="宋体"/>
                <w:color w:val="000000"/>
                <w:szCs w:val="21"/>
              </w:rPr>
            </w:pPr>
            <w:r>
              <w:rPr>
                <w:rFonts w:hint="eastAsia" w:ascii="宋体" w:hAnsi="宋体" w:eastAsia="宋体" w:cs="宋体"/>
                <w:color w:val="000000"/>
                <w:szCs w:val="21"/>
              </w:rPr>
              <w:t>10～50亿元</w:t>
            </w:r>
          </w:p>
        </w:tc>
        <w:tc>
          <w:tcPr>
            <w:tcW w:w="1659" w:type="dxa"/>
            <w:noWrap w:val="0"/>
            <w:vAlign w:val="top"/>
          </w:tcPr>
          <w:p w14:paraId="0DFE1268">
            <w:pPr>
              <w:spacing w:line="360" w:lineRule="auto"/>
              <w:ind w:firstLine="105" w:firstLineChars="50"/>
              <w:rPr>
                <w:rFonts w:hint="eastAsia" w:ascii="宋体" w:hAnsi="宋体" w:eastAsia="宋体" w:cs="宋体"/>
                <w:color w:val="000000"/>
                <w:szCs w:val="21"/>
              </w:rPr>
            </w:pPr>
            <w:r>
              <w:rPr>
                <w:rFonts w:hint="eastAsia" w:ascii="宋体" w:hAnsi="宋体" w:eastAsia="宋体" w:cs="宋体"/>
                <w:color w:val="000000"/>
                <w:szCs w:val="21"/>
              </w:rPr>
              <w:t>0.008%</w:t>
            </w:r>
          </w:p>
        </w:tc>
        <w:tc>
          <w:tcPr>
            <w:tcW w:w="1532" w:type="dxa"/>
            <w:noWrap w:val="0"/>
            <w:vAlign w:val="top"/>
          </w:tcPr>
          <w:p w14:paraId="1C7FE228">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szCs w:val="21"/>
              </w:rPr>
              <w:t>0.008%</w:t>
            </w:r>
          </w:p>
        </w:tc>
        <w:tc>
          <w:tcPr>
            <w:tcW w:w="1546" w:type="dxa"/>
            <w:noWrap w:val="0"/>
            <w:vAlign w:val="top"/>
          </w:tcPr>
          <w:p w14:paraId="00FE565F">
            <w:pPr>
              <w:spacing w:line="360" w:lineRule="auto"/>
              <w:ind w:firstLine="105" w:firstLineChars="50"/>
              <w:rPr>
                <w:rFonts w:hint="eastAsia" w:ascii="宋体" w:hAnsi="宋体" w:eastAsia="宋体" w:cs="宋体"/>
                <w:color w:val="000000"/>
                <w:szCs w:val="21"/>
              </w:rPr>
            </w:pPr>
            <w:r>
              <w:rPr>
                <w:rFonts w:hint="eastAsia" w:ascii="宋体" w:hAnsi="宋体" w:eastAsia="宋体" w:cs="宋体"/>
                <w:color w:val="000000"/>
                <w:szCs w:val="21"/>
              </w:rPr>
              <w:t>0.008%</w:t>
            </w:r>
          </w:p>
        </w:tc>
      </w:tr>
      <w:tr w14:paraId="6CFA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4BEB5C9F">
            <w:pPr>
              <w:spacing w:line="360" w:lineRule="auto"/>
              <w:rPr>
                <w:rFonts w:hint="eastAsia" w:ascii="宋体" w:hAnsi="宋体" w:eastAsia="宋体" w:cs="宋体"/>
                <w:color w:val="000000"/>
                <w:szCs w:val="21"/>
              </w:rPr>
            </w:pPr>
            <w:r>
              <w:rPr>
                <w:rFonts w:hint="eastAsia" w:ascii="宋体" w:hAnsi="宋体" w:eastAsia="宋体" w:cs="宋体"/>
                <w:color w:val="000000"/>
                <w:szCs w:val="21"/>
              </w:rPr>
              <w:t>50～100亿元</w:t>
            </w:r>
          </w:p>
        </w:tc>
        <w:tc>
          <w:tcPr>
            <w:tcW w:w="1659" w:type="dxa"/>
            <w:noWrap w:val="0"/>
            <w:vAlign w:val="top"/>
          </w:tcPr>
          <w:p w14:paraId="13527AA5">
            <w:pPr>
              <w:spacing w:line="360" w:lineRule="auto"/>
              <w:rPr>
                <w:rFonts w:hint="eastAsia" w:ascii="宋体" w:hAnsi="宋体" w:eastAsia="宋体" w:cs="宋体"/>
                <w:color w:val="000000"/>
                <w:szCs w:val="21"/>
              </w:rPr>
            </w:pPr>
            <w:r>
              <w:rPr>
                <w:rFonts w:hint="eastAsia" w:ascii="宋体" w:hAnsi="宋体" w:eastAsia="宋体" w:cs="宋体"/>
                <w:color w:val="000000"/>
                <w:szCs w:val="21"/>
              </w:rPr>
              <w:t xml:space="preserve"> 0.006%</w:t>
            </w:r>
          </w:p>
        </w:tc>
        <w:tc>
          <w:tcPr>
            <w:tcW w:w="1532" w:type="dxa"/>
            <w:noWrap w:val="0"/>
            <w:vAlign w:val="top"/>
          </w:tcPr>
          <w:p w14:paraId="1FC7EEAA">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szCs w:val="21"/>
              </w:rPr>
              <w:t>0.006%</w:t>
            </w:r>
          </w:p>
        </w:tc>
        <w:tc>
          <w:tcPr>
            <w:tcW w:w="1546" w:type="dxa"/>
            <w:noWrap w:val="0"/>
            <w:vAlign w:val="top"/>
          </w:tcPr>
          <w:p w14:paraId="736BD6C0">
            <w:pPr>
              <w:spacing w:line="360" w:lineRule="auto"/>
              <w:ind w:firstLine="105" w:firstLineChars="50"/>
              <w:rPr>
                <w:rFonts w:hint="eastAsia" w:ascii="宋体" w:hAnsi="宋体" w:eastAsia="宋体" w:cs="宋体"/>
                <w:color w:val="000000"/>
                <w:szCs w:val="21"/>
              </w:rPr>
            </w:pPr>
            <w:r>
              <w:rPr>
                <w:rFonts w:hint="eastAsia" w:ascii="宋体" w:hAnsi="宋体" w:eastAsia="宋体" w:cs="宋体"/>
                <w:color w:val="000000"/>
                <w:szCs w:val="21"/>
              </w:rPr>
              <w:t>0.006%</w:t>
            </w:r>
          </w:p>
        </w:tc>
      </w:tr>
      <w:tr w14:paraId="7A46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82F3283">
            <w:pPr>
              <w:spacing w:line="360" w:lineRule="auto"/>
              <w:rPr>
                <w:rFonts w:hint="eastAsia" w:ascii="宋体" w:hAnsi="宋体" w:eastAsia="宋体" w:cs="宋体"/>
                <w:color w:val="000000"/>
                <w:szCs w:val="21"/>
              </w:rPr>
            </w:pPr>
            <w:r>
              <w:rPr>
                <w:rFonts w:hint="eastAsia" w:ascii="宋体" w:hAnsi="宋体" w:eastAsia="宋体" w:cs="宋体"/>
                <w:color w:val="000000"/>
                <w:szCs w:val="21"/>
              </w:rPr>
              <w:t>100亿</w:t>
            </w:r>
            <w:r>
              <w:rPr>
                <w:rFonts w:hint="eastAsia" w:ascii="宋体" w:hAnsi="宋体" w:eastAsia="宋体" w:cs="宋体"/>
                <w:color w:val="000000"/>
                <w:szCs w:val="21"/>
                <w:lang w:val="en-US" w:eastAsia="zh-CN"/>
              </w:rPr>
              <w:t>元</w:t>
            </w:r>
            <w:r>
              <w:rPr>
                <w:rFonts w:hint="eastAsia" w:ascii="宋体" w:hAnsi="宋体" w:eastAsia="宋体" w:cs="宋体"/>
                <w:color w:val="000000"/>
                <w:szCs w:val="21"/>
              </w:rPr>
              <w:t>以上</w:t>
            </w:r>
          </w:p>
        </w:tc>
        <w:tc>
          <w:tcPr>
            <w:tcW w:w="1659" w:type="dxa"/>
            <w:noWrap w:val="0"/>
            <w:vAlign w:val="top"/>
          </w:tcPr>
          <w:p w14:paraId="47D6EFA8">
            <w:pPr>
              <w:spacing w:line="360" w:lineRule="auto"/>
              <w:rPr>
                <w:rFonts w:hint="eastAsia" w:ascii="宋体" w:hAnsi="宋体" w:eastAsia="宋体" w:cs="宋体"/>
                <w:color w:val="000000"/>
                <w:szCs w:val="21"/>
              </w:rPr>
            </w:pPr>
            <w:r>
              <w:rPr>
                <w:rFonts w:hint="eastAsia" w:ascii="宋体" w:hAnsi="宋体" w:eastAsia="宋体" w:cs="宋体"/>
                <w:color w:val="000000"/>
                <w:szCs w:val="21"/>
              </w:rPr>
              <w:t xml:space="preserve"> 0.004%</w:t>
            </w:r>
          </w:p>
        </w:tc>
        <w:tc>
          <w:tcPr>
            <w:tcW w:w="1532" w:type="dxa"/>
            <w:noWrap w:val="0"/>
            <w:vAlign w:val="top"/>
          </w:tcPr>
          <w:p w14:paraId="61C49534">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szCs w:val="21"/>
              </w:rPr>
              <w:t>0.004%</w:t>
            </w:r>
          </w:p>
        </w:tc>
        <w:tc>
          <w:tcPr>
            <w:tcW w:w="1546" w:type="dxa"/>
            <w:noWrap w:val="0"/>
            <w:vAlign w:val="top"/>
          </w:tcPr>
          <w:p w14:paraId="01AB4C8C">
            <w:pPr>
              <w:spacing w:line="360" w:lineRule="auto"/>
              <w:ind w:firstLine="105" w:firstLineChars="50"/>
              <w:rPr>
                <w:rFonts w:hint="eastAsia" w:ascii="宋体" w:hAnsi="宋体" w:eastAsia="宋体" w:cs="宋体"/>
                <w:color w:val="000000"/>
                <w:szCs w:val="21"/>
              </w:rPr>
            </w:pPr>
            <w:r>
              <w:rPr>
                <w:rFonts w:hint="eastAsia" w:ascii="宋体" w:hAnsi="宋体" w:eastAsia="宋体" w:cs="宋体"/>
                <w:color w:val="000000"/>
                <w:szCs w:val="21"/>
              </w:rPr>
              <w:t>0.004%</w:t>
            </w:r>
          </w:p>
        </w:tc>
      </w:tr>
    </w:tbl>
    <w:p w14:paraId="526EA534">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 xml:space="preserve">注： </w:t>
      </w:r>
    </w:p>
    <w:p w14:paraId="76255021">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（1）按本表费率计算的收费为采购代理的收费基准价格；</w:t>
      </w:r>
    </w:p>
    <w:p w14:paraId="64F97847">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（2）采购代理收费按差额定率累进法计算。</w:t>
      </w:r>
    </w:p>
    <w:p w14:paraId="6E687137">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例如：某货物采购代理业务成交金额或者暂定价为150万元，计算采购代理收费额如下：</w:t>
      </w:r>
    </w:p>
    <w:p w14:paraId="7E1E9AAF">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100 万元 ×l.5 ％＝ 1.5 万元</w:t>
      </w:r>
    </w:p>
    <w:p w14:paraId="551AD1FA">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 150 － 100 ）万元 ×1.1％＝ 0.55 万元</w:t>
      </w:r>
    </w:p>
    <w:p w14:paraId="5559F252">
      <w:pPr>
        <w:spacing w:line="360" w:lineRule="auto"/>
        <w:ind w:firstLine="420" w:firstLineChars="200"/>
        <w:rPr>
          <w:rFonts w:hint="eastAsia" w:ascii="宋体" w:hAnsi="宋体" w:eastAsia="宋体" w:cs="宋体"/>
          <w:lang w:val="en-US" w:eastAsia="zh-CN"/>
        </w:rPr>
      </w:pPr>
      <w:r>
        <w:rPr>
          <w:rFonts w:hint="eastAsia" w:ascii="宋体" w:hAnsi="宋体" w:eastAsia="宋体" w:cs="宋体"/>
          <w:color w:val="000000"/>
        </w:rPr>
        <w:t>合计收费＝ 1.5 ＋ 0.55＝ 2.05 （万元）</w:t>
      </w:r>
    </w:p>
    <w:p w14:paraId="72E441D2">
      <w:pPr>
        <w:spacing w:line="360" w:lineRule="auto"/>
        <w:ind w:firstLine="420" w:firstLineChars="200"/>
        <w:rPr>
          <w:rFonts w:hint="eastAsia" w:ascii="宋体" w:hAnsi="宋体" w:eastAsia="宋体" w:cs="宋体"/>
          <w:color w:val="auto"/>
          <w:kern w:val="2"/>
          <w:sz w:val="21"/>
          <w:szCs w:val="21"/>
          <w:highlight w:val="none"/>
        </w:rPr>
      </w:pPr>
    </w:p>
    <w:p w14:paraId="45B9A574">
      <w:pPr>
        <w:spacing w:line="360" w:lineRule="auto"/>
        <w:ind w:firstLine="420"/>
        <w:rPr>
          <w:rFonts w:hint="eastAsia" w:ascii="宋体" w:hAnsi="宋体" w:eastAsia="宋体" w:cs="宋体"/>
          <w:color w:val="auto"/>
          <w:highlight w:val="none"/>
          <w:lang w:val="en-US" w:eastAsia="zh-CN"/>
        </w:rPr>
      </w:pPr>
    </w:p>
    <w:p w14:paraId="1058D67A">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.需要补充的其他内容</w:t>
      </w:r>
    </w:p>
    <w:p w14:paraId="03F4DD67">
      <w:pPr>
        <w:spacing w:line="360" w:lineRule="auto"/>
        <w:ind w:firstLine="420"/>
        <w:contextualSpacing/>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eastAsia="zh-CN"/>
        </w:rPr>
        <w:t>.1本谈判文件解释规则详见“供应商须知前附表”。</w:t>
      </w:r>
    </w:p>
    <w:p w14:paraId="0211A58C">
      <w:pPr>
        <w:spacing w:line="360" w:lineRule="auto"/>
        <w:ind w:firstLine="420"/>
        <w:contextualSpacing/>
        <w:rPr>
          <w:rFonts w:hint="eastAsia" w:ascii="宋体" w:hAnsi="宋体" w:eastAsia="宋体" w:cs="宋体"/>
          <w:color w:val="auto"/>
          <w:szCs w:val="24"/>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 其他事</w:t>
      </w:r>
      <w:r>
        <w:rPr>
          <w:rFonts w:hint="eastAsia" w:ascii="宋体" w:hAnsi="宋体" w:eastAsia="宋体" w:cs="宋体"/>
          <w:color w:val="auto"/>
          <w:szCs w:val="24"/>
          <w:highlight w:val="none"/>
        </w:rPr>
        <w:t>项详见“供应商须知前附表”。</w:t>
      </w:r>
    </w:p>
    <w:p w14:paraId="195AE4F9">
      <w:pPr>
        <w:spacing w:line="360" w:lineRule="auto"/>
        <w:ind w:firstLine="420"/>
        <w:contextualSpacing/>
        <w:rPr>
          <w:rFonts w:hint="eastAsia" w:ascii="宋体" w:hAnsi="宋体" w:eastAsia="宋体" w:cs="宋体"/>
          <w:color w:val="auto"/>
          <w:sz w:val="21"/>
          <w:highlight w:val="none"/>
        </w:rPr>
      </w:pPr>
      <w:r>
        <w:rPr>
          <w:rFonts w:hint="eastAsia" w:ascii="宋体" w:hAnsi="宋体" w:eastAsia="宋体" w:cs="宋体"/>
          <w:color w:val="auto"/>
          <w:sz w:val="21"/>
          <w:szCs w:val="21"/>
          <w:highlight w:val="none"/>
          <w:lang w:val="zh-CN" w:eastAsia="zh-CN"/>
        </w:rPr>
        <w:t>3</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.3</w:t>
      </w:r>
      <w:bookmarkStart w:id="106" w:name="_Hlk65857140"/>
      <w:r>
        <w:rPr>
          <w:rFonts w:hint="eastAsia" w:ascii="宋体" w:hAnsi="宋体" w:eastAsia="宋体" w:cs="宋体"/>
          <w:color w:val="auto"/>
          <w:sz w:val="21"/>
          <w:szCs w:val="21"/>
          <w:highlight w:val="none"/>
          <w:lang w:val="zh-CN" w:eastAsia="zh-CN"/>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ascii="宋体" w:hAnsi="宋体" w:eastAsia="宋体" w:cs="宋体"/>
          <w:color w:val="auto"/>
          <w:sz w:val="21"/>
          <w:highlight w:val="none"/>
        </w:rPr>
        <w:t>在政府采购活动中，</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提供的货物由中小企业制造，即货物由中小企业生产且使用该中小企业商号或者注册商标，不对其中涉及的工程承建商和服务的承接商作出要求的，享受本文件规定的中小企业扶持政策。</w:t>
      </w:r>
    </w:p>
    <w:p w14:paraId="42E124A9">
      <w:pPr>
        <w:pStyle w:val="24"/>
        <w:spacing w:before="0" w:after="0" w:line="360" w:lineRule="auto"/>
        <w:ind w:firstLine="42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highlight w:val="none"/>
        </w:rPr>
        <w:t>在货物采购项目中，</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提供的货物既有中小企业制造货物，也有大型企业制造货物的，不享受本文件规定的中小企业扶持政策。</w:t>
      </w:r>
      <w:r>
        <w:rPr>
          <w:rFonts w:hint="eastAsia" w:ascii="宋体" w:hAnsi="宋体" w:eastAsia="宋体" w:cs="宋体"/>
          <w:color w:val="auto"/>
          <w:sz w:val="21"/>
          <w:szCs w:val="21"/>
          <w:highlight w:val="none"/>
        </w:rPr>
        <w:t>以联合体形式参加政府采购活动，联合体各方均为中小企业的，联合体视同中小企业。其中，联合体各方均为小微企业的，联合体视同小微企业。</w:t>
      </w:r>
    </w:p>
    <w:p w14:paraId="68EA458D">
      <w:pPr>
        <w:spacing w:line="360" w:lineRule="auto"/>
        <w:ind w:firstLine="420"/>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依据本文件规定享受扶持政策获得政府采购合同的，小微企业不得将合同分包给大中型企业，中型企业不得将合同分包给大型企业。</w:t>
      </w:r>
      <w:bookmarkEnd w:id="106"/>
    </w:p>
    <w:p w14:paraId="55A7B347">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33.4</w:t>
      </w:r>
      <w:r>
        <w:rPr>
          <w:rFonts w:hint="eastAsia" w:ascii="宋体" w:hAnsi="宋体" w:eastAsia="宋体" w:cs="宋体"/>
          <w:i w:val="0"/>
          <w:iCs w:val="0"/>
          <w:caps w:val="0"/>
          <w:color w:val="auto"/>
          <w:spacing w:val="0"/>
          <w:sz w:val="21"/>
          <w:szCs w:val="20"/>
          <w:highlight w:val="none"/>
          <w:shd w:val="clear" w:color="auto" w:fill="auto"/>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D0DFDA0">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highlight w:val="none"/>
        </w:rPr>
        <w:t>广西线上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政采贷</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szCs w:val="24"/>
          <w:highlight w:val="none"/>
        </w:rPr>
        <w:t>政策告知函</w:t>
      </w:r>
    </w:p>
    <w:p w14:paraId="3075508E">
      <w:pPr>
        <w:spacing w:line="58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广西线上“政采贷”政策告知函</w:t>
      </w:r>
    </w:p>
    <w:p w14:paraId="2F87926E">
      <w:pPr>
        <w:spacing w:line="580" w:lineRule="exact"/>
        <w:ind w:firstLine="420"/>
        <w:rPr>
          <w:rFonts w:hint="eastAsia" w:ascii="宋体" w:hAnsi="宋体" w:eastAsia="宋体" w:cs="宋体"/>
          <w:color w:val="auto"/>
          <w:szCs w:val="32"/>
          <w:highlight w:val="none"/>
        </w:rPr>
      </w:pPr>
    </w:p>
    <w:p w14:paraId="0EA80C47">
      <w:pPr>
        <w:spacing w:line="5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各供应商：</w:t>
      </w:r>
    </w:p>
    <w:p w14:paraId="7ECB27CA">
      <w:pPr>
        <w:spacing w:line="58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欢迎贵公司参与广西政府采购活动！</w:t>
      </w:r>
    </w:p>
    <w:p w14:paraId="58E0753C">
      <w:pPr>
        <w:spacing w:line="58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sz w:val="21"/>
          <w:szCs w:val="21"/>
          <w:highlight w:val="none"/>
          <w:lang w:val="en-US" w:eastAsia="zh-CN" w:bidi="ar-SA"/>
        </w:rPr>
        <w:t>银行业金融机构</w:t>
      </w:r>
      <w:r>
        <w:rPr>
          <w:rFonts w:hint="eastAsia" w:ascii="宋体" w:hAnsi="宋体" w:eastAsia="宋体" w:cs="宋体"/>
          <w:color w:val="auto"/>
          <w:szCs w:val="21"/>
          <w:highlight w:val="none"/>
        </w:rPr>
        <w:t>申请贷款，融资机构将根据《中国人民银行南宁中心支行 广西壮族自治区财政厅关于推广线上“政采贷”融资模式的通知》（南宁银发〔2021〕</w:t>
      </w:r>
      <w:r>
        <w:rPr>
          <w:rFonts w:hint="eastAsia" w:ascii="宋体" w:hAnsi="宋体" w:eastAsia="宋体" w:cs="宋体"/>
          <w:color w:val="auto"/>
          <w:szCs w:val="21"/>
          <w:highlight w:val="none"/>
          <w:lang w:val="en-US" w:eastAsia="zh-CN"/>
        </w:rPr>
        <w:t>258</w:t>
      </w:r>
      <w:r>
        <w:rPr>
          <w:rFonts w:hint="eastAsia" w:ascii="宋体" w:hAnsi="宋体" w:eastAsia="宋体" w:cs="宋体"/>
          <w:color w:val="auto"/>
          <w:szCs w:val="21"/>
          <w:highlight w:val="none"/>
        </w:rPr>
        <w:t>号），按照双方自愿的原则提供便捷、优惠的贷款服务。</w:t>
      </w:r>
    </w:p>
    <w:p w14:paraId="27A0E017">
      <w:pPr>
        <w:spacing w:line="580" w:lineRule="exact"/>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相关金融产品和</w:t>
      </w:r>
      <w:r>
        <w:rPr>
          <w:rFonts w:hint="eastAsia" w:ascii="宋体" w:hAnsi="宋体" w:eastAsia="宋体" w:cs="宋体"/>
          <w:color w:val="auto"/>
          <w:sz w:val="21"/>
          <w:szCs w:val="21"/>
          <w:highlight w:val="none"/>
          <w:lang w:val="en-US" w:eastAsia="zh-CN" w:bidi="ar-SA"/>
        </w:rPr>
        <w:t>银行业金融机构</w:t>
      </w:r>
      <w:r>
        <w:rPr>
          <w:rFonts w:hint="eastAsia" w:ascii="宋体" w:hAnsi="宋体" w:eastAsia="宋体" w:cs="宋体"/>
          <w:color w:val="auto"/>
          <w:szCs w:val="21"/>
          <w:highlight w:val="none"/>
        </w:rPr>
        <w:t>联系方式，可在中征应收账款融资服务平台查询</w:t>
      </w:r>
      <w:r>
        <w:rPr>
          <w:rFonts w:hint="eastAsia" w:ascii="宋体" w:hAnsi="宋体" w:eastAsia="宋体" w:cs="宋体"/>
          <w:color w:val="auto"/>
          <w:szCs w:val="21"/>
          <w:highlight w:val="none"/>
          <w:lang w:eastAsia="zh-CN"/>
        </w:rPr>
        <w:t>（网址：</w:t>
      </w:r>
      <w:r>
        <w:rPr>
          <w:rFonts w:hint="eastAsia" w:ascii="宋体" w:hAnsi="宋体" w:eastAsia="宋体" w:cs="宋体"/>
          <w:color w:val="auto"/>
          <w:szCs w:val="21"/>
          <w:highlight w:val="none"/>
          <w:lang w:eastAsia="zh-CN"/>
        </w:rPr>
        <w:fldChar w:fldCharType="begin"/>
      </w:r>
      <w:r>
        <w:rPr>
          <w:rFonts w:hint="eastAsia" w:ascii="宋体" w:hAnsi="宋体" w:eastAsia="宋体" w:cs="宋体"/>
          <w:color w:val="auto"/>
          <w:szCs w:val="21"/>
          <w:highlight w:val="none"/>
          <w:lang w:eastAsia="zh-CN"/>
        </w:rPr>
        <w:instrText xml:space="preserve"> HYPERLINK "https://www.crcrfsp.com/" </w:instrText>
      </w:r>
      <w:r>
        <w:rPr>
          <w:rFonts w:hint="eastAsia" w:ascii="宋体" w:hAnsi="宋体" w:eastAsia="宋体" w:cs="宋体"/>
          <w:color w:val="auto"/>
          <w:szCs w:val="21"/>
          <w:highlight w:val="none"/>
          <w:lang w:eastAsia="zh-CN"/>
        </w:rPr>
        <w:fldChar w:fldCharType="separate"/>
      </w:r>
      <w:r>
        <w:rPr>
          <w:rStyle w:val="50"/>
          <w:rFonts w:hint="eastAsia" w:ascii="宋体" w:hAnsi="宋体" w:eastAsia="宋体" w:cs="宋体"/>
          <w:color w:val="auto"/>
          <w:szCs w:val="21"/>
          <w:highlight w:val="none"/>
          <w:lang w:eastAsia="zh-CN"/>
        </w:rPr>
        <w:t>https://www.crcrfsp.com/</w:t>
      </w:r>
      <w:r>
        <w:rPr>
          <w:rFonts w:hint="eastAsia" w:ascii="宋体" w:hAnsi="宋体" w:eastAsia="宋体" w:cs="宋体"/>
          <w:color w:val="auto"/>
          <w:szCs w:val="21"/>
          <w:highlight w:val="none"/>
          <w:lang w:eastAsia="zh-CN"/>
        </w:rPr>
        <w:fldChar w:fldCharType="end"/>
      </w:r>
      <w:r>
        <w:rPr>
          <w:rFonts w:hint="eastAsia" w:ascii="宋体" w:hAnsi="宋体" w:eastAsia="宋体" w:cs="宋体"/>
          <w:color w:val="auto"/>
          <w:szCs w:val="21"/>
          <w:highlight w:val="none"/>
          <w:lang w:eastAsia="zh-CN"/>
        </w:rPr>
        <w:t>，客服电话：</w:t>
      </w:r>
      <w:r>
        <w:rPr>
          <w:rFonts w:hint="eastAsia" w:ascii="宋体" w:hAnsi="宋体" w:eastAsia="宋体" w:cs="宋体"/>
          <w:color w:val="auto"/>
          <w:szCs w:val="21"/>
          <w:highlight w:val="none"/>
          <w:lang w:val="en-US" w:eastAsia="zh-CN"/>
        </w:rPr>
        <w:t>400-009-0001</w:t>
      </w:r>
      <w:r>
        <w:rPr>
          <w:rFonts w:hint="eastAsia" w:ascii="宋体" w:hAnsi="宋体" w:eastAsia="宋体" w:cs="宋体"/>
          <w:color w:val="auto"/>
          <w:szCs w:val="21"/>
          <w:highlight w:val="none"/>
          <w:lang w:eastAsia="zh-CN"/>
        </w:rPr>
        <w:t>）。</w:t>
      </w:r>
    </w:p>
    <w:p w14:paraId="2D25FADB">
      <w:pPr>
        <w:spacing w:line="360" w:lineRule="auto"/>
        <w:ind w:firstLine="402"/>
        <w:contextualSpacing/>
        <w:rPr>
          <w:rFonts w:hint="eastAsia" w:ascii="宋体" w:hAnsi="宋体" w:eastAsia="宋体" w:cs="宋体"/>
          <w:b/>
          <w:color w:val="auto"/>
          <w:sz w:val="20"/>
          <w:szCs w:val="21"/>
          <w:highlight w:val="none"/>
          <w:lang w:val="zh-CN" w:eastAsia="zh-CN"/>
        </w:rPr>
      </w:pPr>
    </w:p>
    <w:p w14:paraId="165FECFC">
      <w:pPr>
        <w:spacing w:line="240" w:lineRule="auto"/>
        <w:ind w:firstLine="0"/>
        <w:contextualSpacing w:val="0"/>
        <w:rPr>
          <w:rFonts w:hint="eastAsia" w:ascii="宋体" w:hAnsi="宋体" w:eastAsia="宋体" w:cs="宋体"/>
          <w:b/>
          <w:color w:val="auto"/>
          <w:sz w:val="20"/>
          <w:szCs w:val="21"/>
          <w:highlight w:val="none"/>
          <w:lang w:val="zh-CN" w:eastAsia="zh-CN"/>
        </w:rPr>
      </w:pPr>
      <w:r>
        <w:rPr>
          <w:rFonts w:hint="eastAsia" w:ascii="宋体" w:hAnsi="宋体" w:eastAsia="宋体" w:cs="宋体"/>
          <w:b/>
          <w:color w:val="auto"/>
          <w:sz w:val="20"/>
          <w:szCs w:val="21"/>
          <w:highlight w:val="none"/>
          <w:lang w:val="zh-CN" w:eastAsia="zh-CN"/>
        </w:rPr>
        <w:br w:type="page" w:clear="all"/>
      </w:r>
    </w:p>
    <w:p w14:paraId="0578E361">
      <w:pPr>
        <w:pStyle w:val="2"/>
        <w:spacing w:line="360" w:lineRule="auto"/>
        <w:ind w:firstLine="1325"/>
        <w:rPr>
          <w:rFonts w:hint="eastAsia" w:ascii="宋体" w:hAnsi="宋体" w:eastAsia="宋体" w:cs="宋体"/>
          <w:color w:val="auto"/>
          <w:highlight w:val="none"/>
          <w:lang w:val="zh-CN" w:eastAsia="zh-CN"/>
        </w:rPr>
      </w:pPr>
      <w:bookmarkStart w:id="107" w:name="_Toc80205932"/>
      <w:bookmarkStart w:id="108" w:name="_Toc17139"/>
      <w:bookmarkStart w:id="109" w:name="_Toc23199"/>
      <w:bookmarkStart w:id="110" w:name="_Toc11174"/>
      <w:r>
        <w:rPr>
          <w:rFonts w:hint="eastAsia" w:ascii="宋体" w:hAnsi="宋体" w:eastAsia="宋体" w:cs="宋体"/>
          <w:color w:val="auto"/>
          <w:highlight w:val="none"/>
          <w:lang w:val="zh-CN" w:eastAsia="zh-CN"/>
        </w:rPr>
        <w:t>第四章 评审程序、评审方法和成交标准</w:t>
      </w:r>
      <w:bookmarkEnd w:id="107"/>
      <w:bookmarkEnd w:id="108"/>
      <w:bookmarkEnd w:id="109"/>
      <w:bookmarkEnd w:id="110"/>
    </w:p>
    <w:p w14:paraId="0AEFD81F">
      <w:pPr>
        <w:keepNext/>
        <w:keepLines/>
        <w:spacing w:line="360" w:lineRule="auto"/>
        <w:ind w:firstLine="640"/>
        <w:jc w:val="center"/>
        <w:outlineLvl w:val="1"/>
        <w:rPr>
          <w:rFonts w:hint="eastAsia" w:ascii="宋体" w:hAnsi="宋体" w:eastAsia="宋体" w:cs="宋体"/>
          <w:bCs/>
          <w:color w:val="auto"/>
          <w:sz w:val="32"/>
          <w:szCs w:val="32"/>
          <w:highlight w:val="none"/>
          <w:lang w:val="zh-CN" w:eastAsia="zh-CN"/>
        </w:rPr>
      </w:pPr>
      <w:bookmarkStart w:id="111" w:name="_Toc18230"/>
      <w:bookmarkStart w:id="112" w:name="_Toc80205933"/>
      <w:bookmarkStart w:id="113" w:name="_Toc10464"/>
      <w:r>
        <w:rPr>
          <w:rFonts w:hint="eastAsia" w:ascii="宋体" w:hAnsi="宋体" w:eastAsia="宋体" w:cs="宋体"/>
          <w:bCs/>
          <w:color w:val="auto"/>
          <w:sz w:val="32"/>
          <w:szCs w:val="32"/>
          <w:highlight w:val="none"/>
          <w:lang w:val="zh-CN" w:eastAsia="zh-CN"/>
        </w:rPr>
        <w:t>第一节 评审程序和评审方法</w:t>
      </w:r>
      <w:bookmarkEnd w:id="111"/>
      <w:bookmarkEnd w:id="112"/>
      <w:bookmarkEnd w:id="113"/>
    </w:p>
    <w:p w14:paraId="2B66054E">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1.确认谈判文件</w:t>
      </w:r>
    </w:p>
    <w:p w14:paraId="5710978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由谈判小组确认谈判文件。</w:t>
      </w:r>
    </w:p>
    <w:p w14:paraId="11F320B5">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2.资格审查</w:t>
      </w:r>
    </w:p>
    <w:p w14:paraId="7538D2A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2.1响应文件开启后，谈判小组依法对供应商的资格文件进行审查。</w:t>
      </w:r>
    </w:p>
    <w:p w14:paraId="048F0F5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41068949">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u w:val="single"/>
        </w:rPr>
        <w:t>www.creditchina.gov.cn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u w:val="single"/>
        </w:rPr>
        <w:t>www.ccgp.gov.cn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)链接入口。</w:t>
      </w:r>
    </w:p>
    <w:p w14:paraId="1911AD4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31CBFE5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w:t>
      </w:r>
      <w:r>
        <w:rPr>
          <w:rFonts w:hint="eastAsia" w:ascii="宋体" w:hAnsi="宋体" w:eastAsia="宋体" w:cs="宋体"/>
          <w:color w:val="auto"/>
          <w:sz w:val="22"/>
          <w:highlight w:val="none"/>
        </w:rPr>
        <w:t>在查询网站中直接查询，并将查询结果存为电子文档，作为评审资料保存。</w:t>
      </w:r>
    </w:p>
    <w:p w14:paraId="28EB9C3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（3）信用信息使用规则：对在“信用中国”网站(www.creditchina.gov.cn) 、中国政府采购网(www.ccgp.gov.cn)被列入失信被执行人、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511933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2.2资格审查标准为本谈判文件中载明对供应商资格要求的条件。资格审查采用合格制，凡符合谈判文件规定的供应商资格要求的响应文件均通过资格审查。</w:t>
      </w:r>
    </w:p>
    <w:p w14:paraId="2AB662D7">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2.3供应商有下列情形之一的，资格审查不通过，其响应文件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p>
    <w:p w14:paraId="029754C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（1）不具备谈判文件中规定的资格要求的；</w:t>
      </w:r>
    </w:p>
    <w:p w14:paraId="0885D6A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（2）响应文件未提供任一项“供应商须知前附表”资格文件规定的“必须提供”的文件资料的；</w:t>
      </w:r>
    </w:p>
    <w:p w14:paraId="10E8D85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（3）响应文件提供的资格文件出现任一项不符合“供应商须知前附表”资格文件规定的“必须提供”的文件资料要求或者无效的。</w:t>
      </w:r>
    </w:p>
    <w:p w14:paraId="28E70641">
      <w:pPr>
        <w:spacing w:line="360" w:lineRule="auto"/>
        <w:ind w:firstLine="420"/>
        <w:rPr>
          <w:rFonts w:hint="eastAsia" w:ascii="宋体" w:hAnsi="宋体" w:eastAsia="宋体" w:cs="宋体"/>
          <w:color w:val="auto"/>
          <w:szCs w:val="21"/>
          <w:highlight w:val="none"/>
        </w:rPr>
      </w:pPr>
      <w:bookmarkStart w:id="114"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的。</w:t>
      </w:r>
      <w:bookmarkEnd w:id="114"/>
    </w:p>
    <w:p w14:paraId="1F161AE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0478008F">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3.符合性审查</w:t>
      </w:r>
    </w:p>
    <w:p w14:paraId="2C787B19">
      <w:pPr>
        <w:spacing w:line="360" w:lineRule="auto"/>
        <w:ind w:firstLine="420"/>
        <w:rPr>
          <w:rFonts w:hint="eastAsia" w:ascii="宋体" w:hAnsi="宋体" w:eastAsia="宋体" w:cs="宋体"/>
          <w:color w:val="auto"/>
          <w:szCs w:val="21"/>
          <w:highlight w:val="none"/>
        </w:rPr>
      </w:pPr>
      <w:bookmarkStart w:id="115" w:name="_Hlk42528882"/>
      <w:r>
        <w:rPr>
          <w:rFonts w:hint="eastAsia" w:ascii="宋体" w:hAnsi="宋体" w:eastAsia="宋体" w:cs="宋体"/>
          <w:color w:val="auto"/>
          <w:szCs w:val="21"/>
          <w:highlight w:val="none"/>
        </w:rPr>
        <w:t>3.1由谈判小组对通过资格审查的合格供应商的响应文件的响应报价、商务、技术等实质性要求进行符合性审查，以确定其是否满足谈判文件的实质性要求。</w:t>
      </w:r>
      <w:bookmarkEnd w:id="115"/>
    </w:p>
    <w:p w14:paraId="4494902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4559D36">
      <w:pPr>
        <w:spacing w:line="360" w:lineRule="auto"/>
        <w:ind w:firstLine="42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3.3谈判小组要求供应商澄清、说明或者更正响应文件应当以电子澄清函形式作出。供应商的澄清、说明或者更正应当</w:t>
      </w:r>
      <w:r>
        <w:rPr>
          <w:rFonts w:hint="eastAsia" w:ascii="宋体" w:hAnsi="宋体" w:eastAsia="宋体" w:cs="宋体"/>
          <w:color w:val="auto"/>
          <w:szCs w:val="21"/>
          <w:highlight w:val="none"/>
          <w:lang w:eastAsia="zh-CN"/>
        </w:rPr>
        <w:t>以</w:t>
      </w:r>
      <w:r>
        <w:rPr>
          <w:rFonts w:hint="eastAsia" w:ascii="宋体" w:hAnsi="宋体" w:eastAsia="宋体" w:cs="宋体"/>
          <w:color w:val="auto"/>
          <w:szCs w:val="21"/>
          <w:highlight w:val="none"/>
        </w:rPr>
        <w:t>电子回函形式按照谈判小组的要求作出明确的澄清、说明或者更正，未按谈判小组的要求作出明确澄清、说明或者更正的供应商的响应文件将按照有利于采购人的原则由谈判小组进行判定。供应商的澄清、说明或者更正必须</w:t>
      </w:r>
      <w:r>
        <w:rPr>
          <w:rFonts w:hint="eastAsia" w:ascii="宋体" w:hAnsi="宋体" w:eastAsia="宋体" w:cs="宋体"/>
          <w:b w:val="0"/>
          <w:bCs w:val="0"/>
          <w:color w:val="auto"/>
          <w:sz w:val="21"/>
          <w:szCs w:val="21"/>
          <w:highlight w:val="none"/>
        </w:rPr>
        <w:t>由法定代表人或其授权代表签字或者</w:t>
      </w:r>
      <w:r>
        <w:rPr>
          <w:rFonts w:hint="eastAsia" w:ascii="宋体" w:hAnsi="宋体" w:eastAsia="宋体" w:cs="宋体"/>
          <w:color w:val="auto"/>
          <w:szCs w:val="21"/>
          <w:highlight w:val="none"/>
        </w:rPr>
        <w:t>加盖公章</w:t>
      </w:r>
      <w:r>
        <w:rPr>
          <w:rFonts w:hint="eastAsia" w:ascii="宋体" w:hAnsi="宋体" w:eastAsia="宋体" w:cs="宋体"/>
          <w:color w:val="auto"/>
          <w:spacing w:val="-6"/>
          <w:szCs w:val="21"/>
          <w:highlight w:val="none"/>
        </w:rPr>
        <w:t>。供应商为自然人的，必须由本人签字并附身份证明。</w:t>
      </w:r>
    </w:p>
    <w:p w14:paraId="7CFCAC6D">
      <w:pPr>
        <w:spacing w:line="360" w:lineRule="auto"/>
        <w:ind w:firstLine="396"/>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响应报价出现前后不一致的，按照下列规定修正： </w:t>
      </w:r>
    </w:p>
    <w:p w14:paraId="55CECC4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报价表内容与响应文件中相应内容不一致的，以响应报价表为准；</w:t>
      </w:r>
    </w:p>
    <w:p w14:paraId="3AC9E14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543E6A9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报价表的总价为准，并修改单价；</w:t>
      </w:r>
    </w:p>
    <w:p w14:paraId="26E437E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42568ED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0A27AAF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0DD7921C">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在评审时，如发现下列情形之一的，将被视为响应文件无效处理：</w:t>
      </w:r>
    </w:p>
    <w:p w14:paraId="11EDB15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62C3C4C4">
      <w:pPr>
        <w:tabs>
          <w:tab w:val="left" w:pos="399"/>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1）响应文件未按谈判文件要求签署、盖章；</w:t>
      </w:r>
    </w:p>
    <w:p w14:paraId="35FEB88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78F181F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）未对竞标有效期作出响应或者响应文件承诺的竞标有效期不满足谈判文件要求；</w:t>
      </w:r>
    </w:p>
    <w:p w14:paraId="41A337F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）响应文件的实质性内容未使用中文表述、使用计量单位不符合谈判文件要求；</w:t>
      </w:r>
    </w:p>
    <w:p w14:paraId="1BF361E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）响应文件中的文件资料因填写不齐全或者内容虚假或者出现其他情形而导致被谈判小组认定无效；</w:t>
      </w:r>
    </w:p>
    <w:p w14:paraId="5CE060F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）响应文件含有采购人不能接受的附加条件；</w:t>
      </w:r>
    </w:p>
    <w:p w14:paraId="06C2FA2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）属于“供应商须知正文”第7.5条情形；</w:t>
      </w:r>
    </w:p>
    <w:p w14:paraId="4D74944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）虚假竞标，或者出现其他情形而导致被谈判小组认定无效；</w:t>
      </w:r>
    </w:p>
    <w:p w14:paraId="2467B77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）竞标技术方案不明确，谈判文件未允许但响应文件中存在一个或者一个以上备选（替代）竞标方案；</w:t>
      </w:r>
    </w:p>
    <w:p w14:paraId="712918B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）响应文件标注的项目名称或者项目编号与竞争性谈判文件标注的项目名称或者项目编号不一致的；</w:t>
      </w:r>
    </w:p>
    <w:p w14:paraId="374E32D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）未响应谈判文件实质性要求</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w:t>
      </w:r>
    </w:p>
    <w:p w14:paraId="545F70FD">
      <w:pPr>
        <w:pStyle w:val="18"/>
        <w:ind w:firstLine="420"/>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）提交的</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保证金无效或者未按照</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谈判文件规定提交</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w:t>
      </w:r>
      <w:r>
        <w:rPr>
          <w:rFonts w:hint="eastAsia" w:ascii="宋体" w:hAnsi="宋体" w:eastAsia="宋体" w:cs="宋体"/>
          <w:color w:val="auto"/>
          <w:szCs w:val="21"/>
          <w:highlight w:val="none"/>
          <w:lang w:eastAsia="zh-CN"/>
        </w:rPr>
        <w:t>；</w:t>
      </w:r>
    </w:p>
    <w:p w14:paraId="0CC68E6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）法律、法规和谈判文件规定的其他无效情形。</w:t>
      </w:r>
    </w:p>
    <w:p w14:paraId="652F1E1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09D9660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4A7D3A9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2）未采用人民币报价或者未按照谈判文件标明的币种报价；</w:t>
      </w:r>
    </w:p>
    <w:p w14:paraId="0716ED2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分标进行报价或者存在漏项报价；供应商未就所竞标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分标的单项内容作唯一报价；供应商未就所竞标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分标的全部内容作唯一总价报价；供应商响应文件中存在有选择、有条件报价的（谈判文件允许有备选方案或者其他约定的除外）；</w:t>
      </w:r>
    </w:p>
    <w:p w14:paraId="36C6163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分标规定的采购预算金额或者最高限价的（如本项目公布了最高限价）；</w:t>
      </w:r>
      <w:bookmarkStart w:id="116" w:name="_Hlk42596405"/>
      <w:r>
        <w:rPr>
          <w:rFonts w:hint="eastAsia" w:ascii="宋体" w:hAnsi="宋体" w:eastAsia="宋体" w:cs="宋体"/>
          <w:color w:val="auto"/>
          <w:szCs w:val="21"/>
          <w:highlight w:val="none"/>
        </w:rPr>
        <w:t>响应报价（包含首次报价、最后报价）</w:t>
      </w:r>
      <w:bookmarkEnd w:id="116"/>
      <w:bookmarkStart w:id="117" w:name="_Hlk42596276"/>
      <w:r>
        <w:rPr>
          <w:rFonts w:hint="eastAsia" w:ascii="宋体" w:hAnsi="宋体" w:eastAsia="宋体" w:cs="宋体"/>
          <w:color w:val="auto"/>
          <w:szCs w:val="21"/>
          <w:highlight w:val="none"/>
        </w:rPr>
        <w:t>超过谈判文件分项采购预算金额或者最高限价的</w:t>
      </w:r>
      <w:bookmarkEnd w:id="117"/>
      <w:r>
        <w:rPr>
          <w:rFonts w:hint="eastAsia" w:ascii="宋体" w:hAnsi="宋体" w:eastAsia="宋体" w:cs="宋体"/>
          <w:color w:val="auto"/>
          <w:szCs w:val="21"/>
          <w:highlight w:val="none"/>
        </w:rPr>
        <w:t>（如本项目公布了最高限价）；</w:t>
      </w:r>
    </w:p>
    <w:p w14:paraId="224C068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如本项目公布了最高限价）；或者经供应商确认修正后响应报价（包含首次报价、最后报价）超过谈判文件分项采购预算金额或者最高限价的（如本项目公布了最高限价）。</w:t>
      </w:r>
    </w:p>
    <w:p w14:paraId="56565DC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6）响应文件响应的标的数量及单位与竞争性谈判文件要求实质性不一致的。</w:t>
      </w:r>
    </w:p>
    <w:p w14:paraId="2E5AD6E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3.6谈判小组对响应文件进行评审，未实质性响应谈判文件的响应文件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处理。谈判小组应当将资格和符合性不通过的情况告知有关供应商。谈判小组从符合谈判文件规定的相应资格条件的供应商名单中确定不少于3家的供应商参加谈判。</w:t>
      </w:r>
    </w:p>
    <w:p w14:paraId="143C4B9A">
      <w:pPr>
        <w:widowControl/>
        <w:pBdr>
          <w:top w:val="none" w:color="000000" w:sz="0" w:space="0"/>
          <w:left w:val="none" w:color="000000" w:sz="0" w:space="0"/>
          <w:bottom w:val="none" w:color="000000" w:sz="0" w:space="0"/>
          <w:right w:val="none" w:color="000000" w:sz="0" w:space="0"/>
        </w:pBd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3.7通过符合性审查的合格供应商不足3家的，不得进入谈判环节，应当重新开展采购活动。</w:t>
      </w:r>
    </w:p>
    <w:p w14:paraId="6C72AEE8">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4.谈判程序</w:t>
      </w:r>
    </w:p>
    <w:p w14:paraId="49F5781A">
      <w:pPr>
        <w:spacing w:line="360" w:lineRule="auto"/>
        <w:ind w:firstLine="42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4.1谈判小组按照“供应商须知前附表” 确定的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auto"/>
          <w:szCs w:val="21"/>
          <w:highlight w:val="none"/>
        </w:rPr>
        <w:t>其响应文件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6D34A14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712B33A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4.3对谈判文件作出的实质性变动是谈判文件的有效组成部分，由谈判小组及时以电子澄清函形式同时通知所有参加谈判的供应商。</w:t>
      </w:r>
    </w:p>
    <w:p w14:paraId="06A65D4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4.4供应商必须按照谈判文件的变动情况和谈判小组的要求以回函的形式重新提交响应文件，并加盖</w:t>
      </w:r>
      <w:r>
        <w:rPr>
          <w:rFonts w:hint="eastAsia" w:ascii="宋体" w:hAnsi="宋体" w:eastAsia="宋体" w:cs="宋体"/>
          <w:color w:val="auto"/>
          <w:szCs w:val="21"/>
          <w:highlight w:val="none"/>
          <w:lang w:eastAsia="zh-CN"/>
        </w:rPr>
        <w:t>供应商公章</w:t>
      </w:r>
      <w:r>
        <w:rPr>
          <w:rFonts w:hint="eastAsia" w:ascii="宋体" w:hAnsi="宋体" w:eastAsia="宋体" w:cs="宋体"/>
          <w:color w:val="auto"/>
          <w:szCs w:val="21"/>
          <w:highlight w:val="none"/>
        </w:rPr>
        <w:t>。供应商为自然人的，必须由本人签字并附身份证明。参加谈判的供应商未在规定时间内重新提交响应文件的，视同退出谈判。</w:t>
      </w:r>
    </w:p>
    <w:p w14:paraId="2F68CEC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4.5谈判中，</w:t>
      </w:r>
      <w:r>
        <w:rPr>
          <w:rFonts w:hint="eastAsia" w:ascii="宋体" w:hAnsi="宋体" w:eastAsia="宋体" w:cs="宋体"/>
          <w:color w:val="auto"/>
          <w:spacing w:val="-6"/>
          <w:szCs w:val="21"/>
          <w:highlight w:val="none"/>
        </w:rPr>
        <w:t>谈判的任何一方不得透露与谈判有关的其他供应商的技术资料、价格和其他信息。</w:t>
      </w:r>
    </w:p>
    <w:p w14:paraId="1EF782D7">
      <w:pPr>
        <w:spacing w:line="360" w:lineRule="auto"/>
        <w:ind w:firstLine="42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4.6谈判小组应对谈判过程和重要谈判内容进行记录，作为评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报告一部分，谈判小组在记录上签字确认。</w:t>
      </w:r>
    </w:p>
    <w:p w14:paraId="45704405">
      <w:pPr>
        <w:widowControl/>
        <w:tabs>
          <w:tab w:val="left" w:pos="540"/>
        </w:tabs>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4.7谈判过程中重新提交的响应文件，供应商可以在开启前补充、修改。</w:t>
      </w:r>
    </w:p>
    <w:p w14:paraId="380C2AE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4.8对谈判过程提交的响应文件进行有效性、完整性和响应程度审查，通过审查的合格供应商不足3家的，采购人或者采购代理机构应当重新开展采购活动。</w:t>
      </w:r>
    </w:p>
    <w:p w14:paraId="54997A4E">
      <w:pPr>
        <w:spacing w:line="360" w:lineRule="auto"/>
        <w:ind w:firstLine="482"/>
        <w:rPr>
          <w:rFonts w:hint="eastAsia" w:ascii="宋体" w:hAnsi="宋体" w:eastAsia="宋体" w:cs="宋体"/>
          <w:color w:val="auto"/>
          <w:szCs w:val="21"/>
          <w:highlight w:val="none"/>
        </w:rPr>
      </w:pPr>
      <w:r>
        <w:rPr>
          <w:rFonts w:hint="eastAsia" w:ascii="宋体" w:hAnsi="宋体" w:eastAsia="宋体" w:cs="宋体"/>
          <w:b/>
          <w:bCs/>
          <w:color w:val="auto"/>
          <w:sz w:val="24"/>
          <w:szCs w:val="24"/>
          <w:highlight w:val="none"/>
        </w:rPr>
        <w:t>5. 最后报价</w:t>
      </w:r>
    </w:p>
    <w:p w14:paraId="6D7318A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5.1谈判文件能够详细列明采购标的的技术、货物要求的，谈判结束后，由谈判小组要求所有继续参加谈判的供应商在规定时间内提交最后报价，提交最后报价的供应商不得少于3家，否则必须重新采购。</w:t>
      </w:r>
    </w:p>
    <w:p w14:paraId="24829B4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远程不见面开标大厅响应最后报价。</w:t>
      </w:r>
    </w:p>
    <w:p w14:paraId="5C4972B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w:t>
      </w:r>
    </w:p>
    <w:p w14:paraId="53E034A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5.4已经提交响应文件的供应商，在提交最后报价之前，可以根据谈判情况退出谈判，退出谈判的供应商的响应文件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2214C94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w:t>
      </w:r>
      <w:r>
        <w:rPr>
          <w:rFonts w:hint="eastAsia" w:ascii="宋体" w:hAnsi="宋体" w:eastAsia="宋体" w:cs="宋体"/>
          <w:b/>
          <w:color w:val="auto"/>
          <w:szCs w:val="21"/>
          <w:highlight w:val="none"/>
        </w:rPr>
        <w:t>，视同放弃报价权利退出谈判。</w:t>
      </w:r>
    </w:p>
    <w:p w14:paraId="459A25D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5.6最终响应文件的报价出现前后不一致的，按照本章第3.4条的规定修正。 </w:t>
      </w:r>
    </w:p>
    <w:p w14:paraId="2FCEA49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5.7修正后的最</w:t>
      </w:r>
      <w:r>
        <w:rPr>
          <w:rFonts w:hint="eastAsia" w:ascii="宋体" w:hAnsi="宋体" w:eastAsia="宋体" w:cs="宋体"/>
          <w:color w:val="auto"/>
          <w:szCs w:val="21"/>
          <w:highlight w:val="none"/>
          <w:lang w:eastAsia="zh-CN"/>
        </w:rPr>
        <w:t>后</w:t>
      </w:r>
      <w:r>
        <w:rPr>
          <w:rFonts w:hint="eastAsia" w:ascii="宋体" w:hAnsi="宋体" w:eastAsia="宋体" w:cs="宋体"/>
          <w:color w:val="auto"/>
          <w:szCs w:val="21"/>
          <w:highlight w:val="none"/>
        </w:rPr>
        <w:t>报价出现下列情形的，</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08171A1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45245B4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分标规定的采购预算金额或者最高限价的（如本项目公布了最高限价）（全流程电子化评标多轮报价设置了上</w:t>
      </w:r>
      <w:r>
        <w:rPr>
          <w:rFonts w:hint="eastAsia" w:ascii="宋体" w:hAnsi="宋体" w:eastAsia="宋体" w:cs="宋体"/>
          <w:color w:val="auto"/>
          <w:szCs w:val="21"/>
          <w:highlight w:val="none"/>
          <w:lang w:val="en-US" w:eastAsia="zh-CN"/>
        </w:rPr>
        <w:t>限</w:t>
      </w:r>
      <w:r>
        <w:rPr>
          <w:rFonts w:hint="eastAsia" w:ascii="宋体" w:hAnsi="宋体" w:eastAsia="宋体" w:cs="宋体"/>
          <w:color w:val="auto"/>
          <w:szCs w:val="21"/>
          <w:highlight w:val="none"/>
        </w:rPr>
        <w:t>控制价，即预算价）；</w:t>
      </w:r>
    </w:p>
    <w:p w14:paraId="3D9E2CC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03206AC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5.8经供应商确认修正后的最后报价作为评审及签订合同的依据。</w:t>
      </w:r>
    </w:p>
    <w:p w14:paraId="159B3C5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5.9供应商出现最后报价</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响应处理或者响应文件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处理时</w:t>
      </w:r>
      <w:r>
        <w:rPr>
          <w:rFonts w:hint="eastAsia" w:ascii="宋体" w:hAnsi="宋体" w:eastAsia="宋体" w:cs="宋体"/>
          <w:color w:val="auto"/>
          <w:sz w:val="22"/>
          <w:highlight w:val="none"/>
        </w:rPr>
        <w:t>，</w:t>
      </w:r>
      <w:r>
        <w:rPr>
          <w:rFonts w:hint="eastAsia" w:ascii="宋体" w:hAnsi="宋体" w:eastAsia="宋体" w:cs="宋体"/>
          <w:b/>
          <w:bCs/>
          <w:color w:val="auto"/>
          <w:sz w:val="22"/>
          <w:highlight w:val="none"/>
        </w:rPr>
        <w:t>谈判小组应当告知有关供应商</w:t>
      </w:r>
      <w:r>
        <w:rPr>
          <w:rFonts w:hint="eastAsia" w:ascii="宋体" w:hAnsi="宋体" w:eastAsia="宋体" w:cs="宋体"/>
          <w:color w:val="auto"/>
          <w:szCs w:val="21"/>
          <w:highlight w:val="none"/>
        </w:rPr>
        <w:t>。</w:t>
      </w:r>
    </w:p>
    <w:p w14:paraId="4906FE7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5.10最后报价结束后，谈判小组不得再与供应商进行任何形式的商谈。</w:t>
      </w:r>
    </w:p>
    <w:p w14:paraId="066FCF1E">
      <w:pPr>
        <w:keepNext w:val="0"/>
        <w:keepLines w:val="0"/>
        <w:pageBreakBefore w:val="0"/>
        <w:widowControl/>
        <w:pBdr>
          <w:top w:val="none" w:color="000000" w:sz="0" w:space="0"/>
          <w:left w:val="none" w:color="000000" w:sz="0" w:space="0"/>
          <w:bottom w:val="none" w:color="000000" w:sz="0" w:space="0"/>
          <w:right w:val="none" w:color="000000" w:sz="0" w:space="0"/>
        </w:pBd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5.11</w:t>
      </w:r>
      <w:r>
        <w:rPr>
          <w:rFonts w:hint="eastAsia" w:ascii="宋体" w:hAnsi="宋体" w:eastAsia="宋体" w:cs="宋体"/>
          <w:i w:val="0"/>
          <w:iCs w:val="0"/>
          <w:caps w:val="0"/>
          <w:color w:val="auto"/>
          <w:spacing w:val="0"/>
          <w:sz w:val="21"/>
          <w:szCs w:val="21"/>
          <w:highlight w:val="none"/>
          <w:shd w:val="clear" w:color="auto" w:fill="FFFFFF"/>
        </w:rPr>
        <w:t>采购评审中出现下列情形之一的，</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应当启动异常低价</w:t>
      </w:r>
      <w:r>
        <w:rPr>
          <w:rFonts w:hint="eastAsia" w:ascii="宋体" w:hAnsi="宋体" w:eastAsia="宋体" w:cs="宋体"/>
          <w:i w:val="0"/>
          <w:iCs w:val="0"/>
          <w:caps w:val="0"/>
          <w:color w:val="auto"/>
          <w:spacing w:val="0"/>
          <w:sz w:val="21"/>
          <w:szCs w:val="21"/>
          <w:highlight w:val="none"/>
          <w:shd w:val="clear" w:color="auto" w:fill="FFFFFF"/>
          <w:lang w:val="en-US" w:eastAsia="zh-CN"/>
        </w:rPr>
        <w:t>响应</w:t>
      </w:r>
      <w:r>
        <w:rPr>
          <w:rFonts w:hint="eastAsia" w:ascii="宋体" w:hAnsi="宋体" w:eastAsia="宋体" w:cs="宋体"/>
          <w:i w:val="0"/>
          <w:iCs w:val="0"/>
          <w:caps w:val="0"/>
          <w:color w:val="auto"/>
          <w:spacing w:val="0"/>
          <w:sz w:val="21"/>
          <w:szCs w:val="21"/>
          <w:highlight w:val="none"/>
          <w:shd w:val="clear" w:color="auto" w:fill="FFFFFF"/>
        </w:rPr>
        <w:t>审查程序：</w:t>
      </w:r>
    </w:p>
    <w:p w14:paraId="15F80CD2">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A.最后报价</w:t>
      </w:r>
      <w:r>
        <w:rPr>
          <w:rFonts w:hint="eastAsia" w:ascii="宋体" w:hAnsi="宋体" w:eastAsia="宋体" w:cs="宋体"/>
          <w:i w:val="0"/>
          <w:iCs w:val="0"/>
          <w:caps w:val="0"/>
          <w:color w:val="auto"/>
          <w:spacing w:val="0"/>
          <w:sz w:val="21"/>
          <w:szCs w:val="21"/>
          <w:highlight w:val="none"/>
          <w:shd w:val="clear" w:color="auto" w:fill="FFFFFF"/>
        </w:rPr>
        <w:t>低于全部通过符合性审查</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平均值</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的，即</w:t>
      </w:r>
      <w:bookmarkStart w:id="118" w:name="OLE_LINK1"/>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w:t>
      </w:r>
      <w:bookmarkEnd w:id="118"/>
      <w:r>
        <w:rPr>
          <w:rFonts w:hint="eastAsia" w:ascii="宋体" w:hAnsi="宋体" w:eastAsia="宋体" w:cs="宋体"/>
          <w:i w:val="0"/>
          <w:iCs w:val="0"/>
          <w:caps w:val="0"/>
          <w:color w:val="auto"/>
          <w:spacing w:val="0"/>
          <w:sz w:val="21"/>
          <w:szCs w:val="21"/>
          <w:highlight w:val="none"/>
          <w:shd w:val="clear" w:color="auto" w:fill="FFFFFF"/>
        </w:rPr>
        <w:t>全部通过符合性审查</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平均值×</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 xml:space="preserve">； </w:t>
      </w:r>
    </w:p>
    <w:p w14:paraId="65177846">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B.</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低于通过符合性审查的次低报价</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的，即</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＜通过符合性审查的次低报价</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 xml:space="preserve">； </w:t>
      </w:r>
    </w:p>
    <w:p w14:paraId="12E5DA20">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C.</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低于采购项目最高限价</w:t>
      </w:r>
      <w:r>
        <w:rPr>
          <w:rFonts w:hint="eastAsia" w:ascii="宋体" w:hAnsi="宋体" w:eastAsia="宋体" w:cs="宋体"/>
          <w:i w:val="0"/>
          <w:iCs w:val="0"/>
          <w:caps w:val="0"/>
          <w:color w:val="auto"/>
          <w:spacing w:val="0"/>
          <w:sz w:val="21"/>
          <w:szCs w:val="21"/>
          <w:highlight w:val="none"/>
          <w:u w:val="single"/>
          <w:shd w:val="clear" w:color="auto" w:fill="FFFFFF"/>
        </w:rPr>
        <w:t>45%</w:t>
      </w:r>
      <w:r>
        <w:rPr>
          <w:rFonts w:hint="eastAsia" w:ascii="宋体" w:hAnsi="宋体" w:eastAsia="宋体" w:cs="宋体"/>
          <w:i w:val="0"/>
          <w:iCs w:val="0"/>
          <w:caps w:val="0"/>
          <w:color w:val="auto"/>
          <w:spacing w:val="0"/>
          <w:sz w:val="21"/>
          <w:szCs w:val="21"/>
          <w:highlight w:val="none"/>
          <w:shd w:val="clear" w:color="auto" w:fill="FFFFFF"/>
        </w:rPr>
        <w:t>的，即</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＜采购项目最高限价×</w:t>
      </w:r>
      <w:r>
        <w:rPr>
          <w:rFonts w:hint="eastAsia" w:ascii="宋体" w:hAnsi="宋体" w:eastAsia="宋体" w:cs="宋体"/>
          <w:i w:val="0"/>
          <w:iCs w:val="0"/>
          <w:caps w:val="0"/>
          <w:color w:val="auto"/>
          <w:spacing w:val="0"/>
          <w:sz w:val="21"/>
          <w:szCs w:val="21"/>
          <w:highlight w:val="none"/>
          <w:u w:val="single"/>
          <w:shd w:val="clear" w:color="auto" w:fill="FFFFFF"/>
        </w:rPr>
        <w:t>45%</w:t>
      </w:r>
      <w:r>
        <w:rPr>
          <w:rFonts w:hint="eastAsia" w:ascii="宋体" w:hAnsi="宋体" w:eastAsia="宋体" w:cs="宋体"/>
          <w:i w:val="0"/>
          <w:iCs w:val="0"/>
          <w:caps w:val="0"/>
          <w:color w:val="auto"/>
          <w:spacing w:val="0"/>
          <w:sz w:val="21"/>
          <w:szCs w:val="21"/>
          <w:highlight w:val="none"/>
          <w:shd w:val="clear" w:color="auto" w:fill="FFFFFF"/>
        </w:rPr>
        <w:t>；</w:t>
      </w:r>
    </w:p>
    <w:p w14:paraId="66D3244D">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D.</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基于专业判断，认为</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报价过低，有可能影响产品质量或者不能诚信履约的其他情形。</w:t>
      </w:r>
    </w:p>
    <w:p w14:paraId="75656AA0">
      <w:pPr>
        <w:keepNext w:val="0"/>
        <w:keepLines w:val="0"/>
        <w:pageBreakBefore w:val="0"/>
        <w:widowControl w:val="0"/>
        <w:numPr>
          <w:ilvl w:val="0"/>
          <w:numId w:val="0"/>
        </w:numPr>
        <w:bidi w:val="0"/>
        <w:spacing w:line="360" w:lineRule="auto"/>
        <w:ind w:left="0"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相关法律法规对</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报价有规定的，从其规定。</w:t>
      </w:r>
    </w:p>
    <w:p w14:paraId="173952D6">
      <w:pPr>
        <w:keepNext w:val="0"/>
        <w:keepLines w:val="0"/>
        <w:pageBreakBefore w:val="0"/>
        <w:widowControl w:val="0"/>
        <w:numPr>
          <w:ilvl w:val="0"/>
          <w:numId w:val="0"/>
        </w:numPr>
        <w:bidi w:val="0"/>
        <w:spacing w:line="360" w:lineRule="auto"/>
        <w:ind w:left="105"/>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 xml:space="preserve"> </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启动异常低价</w:t>
      </w:r>
      <w:r>
        <w:rPr>
          <w:rFonts w:hint="eastAsia" w:ascii="宋体" w:hAnsi="宋体" w:eastAsia="宋体" w:cs="宋体"/>
          <w:i w:val="0"/>
          <w:iCs w:val="0"/>
          <w:caps w:val="0"/>
          <w:color w:val="auto"/>
          <w:spacing w:val="0"/>
          <w:sz w:val="21"/>
          <w:szCs w:val="21"/>
          <w:highlight w:val="none"/>
          <w:shd w:val="clear" w:color="auto" w:fill="FFFFFF"/>
          <w:lang w:val="en-US" w:eastAsia="zh-CN"/>
        </w:rPr>
        <w:t>响应</w:t>
      </w:r>
      <w:r>
        <w:rPr>
          <w:rFonts w:hint="eastAsia" w:ascii="宋体" w:hAnsi="宋体" w:eastAsia="宋体" w:cs="宋体"/>
          <w:i w:val="0"/>
          <w:iCs w:val="0"/>
          <w:caps w:val="0"/>
          <w:color w:val="auto"/>
          <w:spacing w:val="0"/>
          <w:sz w:val="21"/>
          <w:szCs w:val="21"/>
          <w:highlight w:val="none"/>
          <w:shd w:val="clear" w:color="auto" w:fill="FFFFFF"/>
        </w:rPr>
        <w:t>审查后，属于上述A项至D项情形的，应当要求相关</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在</w:t>
      </w:r>
      <w:r>
        <w:rPr>
          <w:rFonts w:hint="eastAsia" w:ascii="宋体" w:hAnsi="宋体" w:eastAsia="宋体" w:cs="宋体"/>
          <w:i w:val="0"/>
          <w:iCs w:val="0"/>
          <w:caps w:val="0"/>
          <w:color w:val="auto"/>
          <w:spacing w:val="0"/>
          <w:sz w:val="21"/>
          <w:szCs w:val="21"/>
          <w:highlight w:val="none"/>
          <w:shd w:val="clear" w:color="auto" w:fill="FFFFFF"/>
          <w:lang w:eastAsia="zh-CN"/>
        </w:rPr>
        <w:t>评审</w:t>
      </w:r>
      <w:r>
        <w:rPr>
          <w:rFonts w:hint="eastAsia" w:ascii="宋体" w:hAnsi="宋体" w:eastAsia="宋体" w:cs="宋体"/>
          <w:i w:val="0"/>
          <w:iCs w:val="0"/>
          <w:caps w:val="0"/>
          <w:color w:val="auto"/>
          <w:spacing w:val="0"/>
          <w:sz w:val="21"/>
          <w:szCs w:val="21"/>
          <w:highlight w:val="none"/>
          <w:shd w:val="clear" w:color="auto" w:fill="FFFFFF"/>
        </w:rPr>
        <w:t>现场合理的时间内对</w:t>
      </w:r>
      <w:r>
        <w:rPr>
          <w:rFonts w:hint="eastAsia" w:ascii="宋体" w:hAnsi="宋体" w:eastAsia="宋体" w:cs="宋体"/>
          <w:i w:val="0"/>
          <w:iCs w:val="0"/>
          <w:caps w:val="0"/>
          <w:color w:val="auto"/>
          <w:spacing w:val="0"/>
          <w:sz w:val="21"/>
          <w:szCs w:val="21"/>
          <w:highlight w:val="none"/>
          <w:shd w:val="clear" w:color="auto" w:fill="FFFFFF"/>
          <w:lang w:eastAsia="zh-CN"/>
        </w:rPr>
        <w:t>响应</w:t>
      </w:r>
      <w:r>
        <w:rPr>
          <w:rFonts w:hint="eastAsia" w:ascii="宋体" w:hAnsi="宋体" w:eastAsia="宋体" w:cs="宋体"/>
          <w:i w:val="0"/>
          <w:iCs w:val="0"/>
          <w:caps w:val="0"/>
          <w:color w:val="auto"/>
          <w:spacing w:val="0"/>
          <w:sz w:val="21"/>
          <w:szCs w:val="21"/>
          <w:highlight w:val="none"/>
          <w:shd w:val="clear" w:color="auto" w:fill="FFFFFF"/>
        </w:rPr>
        <w:t>价格作出解释，提供项目具体成本测算等与报价合理性相关的书面说明及必要的证明材料，包括但不限于原材料成本、人工成本、制造费用等，给予相关</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的合理时间一般不少于30分钟。其中，属于上述C项情形，</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已随</w:t>
      </w:r>
      <w:r>
        <w:rPr>
          <w:rFonts w:hint="eastAsia" w:ascii="宋体" w:hAnsi="宋体" w:eastAsia="宋体" w:cs="宋体"/>
          <w:i w:val="0"/>
          <w:iCs w:val="0"/>
          <w:caps w:val="0"/>
          <w:color w:val="auto"/>
          <w:spacing w:val="0"/>
          <w:sz w:val="21"/>
          <w:szCs w:val="21"/>
          <w:highlight w:val="none"/>
          <w:shd w:val="clear" w:color="auto" w:fill="FFFFFF"/>
          <w:lang w:eastAsia="zh-CN"/>
        </w:rPr>
        <w:t>响应文件</w:t>
      </w:r>
      <w:r>
        <w:rPr>
          <w:rFonts w:hint="eastAsia" w:ascii="宋体" w:hAnsi="宋体" w:eastAsia="宋体" w:cs="宋体"/>
          <w:i w:val="0"/>
          <w:iCs w:val="0"/>
          <w:caps w:val="0"/>
          <w:color w:val="auto"/>
          <w:spacing w:val="0"/>
          <w:sz w:val="21"/>
          <w:szCs w:val="21"/>
          <w:highlight w:val="none"/>
          <w:shd w:val="clear" w:color="auto" w:fill="FFFFFF"/>
        </w:rPr>
        <w:t>一并提交相关书面说明及必要的证明材料的，在</w:t>
      </w:r>
      <w:r>
        <w:rPr>
          <w:rFonts w:hint="eastAsia" w:ascii="宋体" w:hAnsi="宋体" w:eastAsia="宋体" w:cs="宋体"/>
          <w:i w:val="0"/>
          <w:iCs w:val="0"/>
          <w:caps w:val="0"/>
          <w:color w:val="auto"/>
          <w:spacing w:val="0"/>
          <w:sz w:val="21"/>
          <w:szCs w:val="21"/>
          <w:highlight w:val="none"/>
          <w:shd w:val="clear" w:color="auto" w:fill="FFFFFF"/>
          <w:lang w:eastAsia="zh-CN"/>
        </w:rPr>
        <w:t>评审</w:t>
      </w:r>
      <w:r>
        <w:rPr>
          <w:rFonts w:hint="eastAsia" w:ascii="宋体" w:hAnsi="宋体" w:eastAsia="宋体" w:cs="宋体"/>
          <w:i w:val="0"/>
          <w:iCs w:val="0"/>
          <w:caps w:val="0"/>
          <w:color w:val="auto"/>
          <w:spacing w:val="0"/>
          <w:sz w:val="21"/>
          <w:szCs w:val="21"/>
          <w:highlight w:val="none"/>
          <w:shd w:val="clear" w:color="auto" w:fill="FFFFFF"/>
        </w:rPr>
        <w:t>现场可不再重复提交。</w:t>
      </w:r>
    </w:p>
    <w:p w14:paraId="614AB64C">
      <w:pPr>
        <w:spacing w:line="360" w:lineRule="auto"/>
        <w:ind w:firstLine="420"/>
        <w:rPr>
          <w:rFonts w:hint="eastAsia" w:ascii="宋体" w:hAnsi="宋体" w:eastAsia="宋体" w:cs="宋体"/>
          <w:color w:val="auto"/>
          <w:highlight w:val="none"/>
        </w:rPr>
      </w:pP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i w:val="0"/>
          <w:iCs w:val="0"/>
          <w:caps w:val="0"/>
          <w:color w:val="auto"/>
          <w:spacing w:val="0"/>
          <w:sz w:val="21"/>
          <w:szCs w:val="21"/>
          <w:highlight w:val="none"/>
          <w:shd w:val="clear" w:color="auto" w:fill="FFFFFF"/>
          <w:lang w:eastAsia="zh-CN"/>
        </w:rPr>
        <w:t>供应商</w:t>
      </w:r>
      <w:r>
        <w:rPr>
          <w:rFonts w:hint="eastAsia" w:ascii="宋体" w:hAnsi="宋体" w:eastAsia="宋体" w:cs="宋体"/>
          <w:b/>
          <w:bCs/>
          <w:i w:val="0"/>
          <w:iCs w:val="0"/>
          <w:caps w:val="0"/>
          <w:color w:val="auto"/>
          <w:spacing w:val="0"/>
          <w:sz w:val="21"/>
          <w:szCs w:val="21"/>
          <w:highlight w:val="none"/>
          <w:shd w:val="clear" w:color="auto" w:fill="FFFFFF"/>
        </w:rPr>
        <w:t>不能提供书面说明、证明材料，或者提供的书面说明、证明材料不能证明其报价合理性的，</w:t>
      </w:r>
      <w:r>
        <w:rPr>
          <w:rFonts w:hint="eastAsia" w:ascii="宋体" w:hAnsi="宋体" w:eastAsia="宋体" w:cs="宋体"/>
          <w:b/>
          <w:bCs/>
          <w:i w:val="0"/>
          <w:iCs w:val="0"/>
          <w:caps w:val="0"/>
          <w:color w:val="auto"/>
          <w:spacing w:val="0"/>
          <w:sz w:val="21"/>
          <w:szCs w:val="21"/>
          <w:highlight w:val="none"/>
          <w:shd w:val="clear" w:color="auto" w:fill="FFFFFF"/>
          <w:lang w:eastAsia="zh-CN"/>
        </w:rPr>
        <w:t>谈判小组</w:t>
      </w:r>
      <w:r>
        <w:rPr>
          <w:rFonts w:hint="eastAsia" w:ascii="宋体" w:hAnsi="宋体" w:eastAsia="宋体" w:cs="宋体"/>
          <w:b/>
          <w:bCs/>
          <w:i w:val="0"/>
          <w:iCs w:val="0"/>
          <w:caps w:val="0"/>
          <w:color w:val="auto"/>
          <w:spacing w:val="0"/>
          <w:sz w:val="21"/>
          <w:szCs w:val="21"/>
          <w:highlight w:val="none"/>
          <w:shd w:val="clear" w:color="auto" w:fill="FFFFFF"/>
        </w:rPr>
        <w:t>应当将其作为无效</w:t>
      </w:r>
      <w:r>
        <w:rPr>
          <w:rFonts w:hint="eastAsia" w:ascii="宋体" w:hAnsi="宋体" w:eastAsia="宋体" w:cs="宋体"/>
          <w:b/>
          <w:bCs/>
          <w:i w:val="0"/>
          <w:iCs w:val="0"/>
          <w:caps w:val="0"/>
          <w:color w:val="auto"/>
          <w:spacing w:val="0"/>
          <w:sz w:val="21"/>
          <w:szCs w:val="21"/>
          <w:highlight w:val="none"/>
          <w:shd w:val="clear" w:color="auto" w:fill="FFFFFF"/>
          <w:lang w:eastAsia="zh-CN"/>
        </w:rPr>
        <w:t>响应</w:t>
      </w:r>
      <w:r>
        <w:rPr>
          <w:rFonts w:hint="eastAsia" w:ascii="宋体" w:hAnsi="宋体" w:eastAsia="宋体" w:cs="宋体"/>
          <w:b/>
          <w:bCs/>
          <w:i w:val="0"/>
          <w:iCs w:val="0"/>
          <w:caps w:val="0"/>
          <w:color w:val="auto"/>
          <w:spacing w:val="0"/>
          <w:sz w:val="21"/>
          <w:szCs w:val="21"/>
          <w:highlight w:val="none"/>
          <w:shd w:val="clear" w:color="auto" w:fill="FFFFFF"/>
        </w:rPr>
        <w:t>处理。</w:t>
      </w:r>
    </w:p>
    <w:p w14:paraId="6B7D3E47">
      <w:pPr>
        <w:pStyle w:val="29"/>
        <w:rPr>
          <w:rFonts w:hint="eastAsia" w:ascii="宋体" w:hAnsi="宋体" w:eastAsia="宋体" w:cs="宋体"/>
          <w:b/>
          <w:bCs/>
          <w:color w:val="auto"/>
          <w:highlight w:val="none"/>
          <w:lang w:eastAsia="zh-CN"/>
        </w:rPr>
      </w:pPr>
    </w:p>
    <w:p w14:paraId="4A40EA09">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 最后报价政府采购政策性扣除</w:t>
      </w:r>
    </w:p>
    <w:p w14:paraId="44878A0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6.1评审价为供应商最后报价进行政策性扣除后的价格，评审价只是作为评审时使用。最终成交供应商的成交金额等于最后报价（如有修正，以确认修正后的最后报价为准）。</w:t>
      </w:r>
    </w:p>
    <w:p w14:paraId="09A426A0">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政策性扣除计算方法。</w:t>
      </w:r>
    </w:p>
    <w:p w14:paraId="24788336">
      <w:pPr>
        <w:spacing w:line="360" w:lineRule="auto"/>
        <w:ind w:firstLine="422"/>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6.2.1对小微企业的</w:t>
      </w:r>
      <w:r>
        <w:rPr>
          <w:rFonts w:hint="eastAsia" w:ascii="宋体" w:hAnsi="宋体" w:eastAsia="宋体" w:cs="宋体"/>
          <w:b/>
          <w:bCs/>
          <w:color w:val="auto"/>
          <w:szCs w:val="21"/>
          <w:highlight w:val="none"/>
        </w:rPr>
        <w:t>价格评审</w:t>
      </w:r>
      <w:r>
        <w:rPr>
          <w:rFonts w:hint="eastAsia" w:ascii="宋体" w:hAnsi="宋体" w:eastAsia="宋体" w:cs="宋体"/>
          <w:b/>
          <w:bCs/>
          <w:color w:val="auto"/>
          <w:szCs w:val="21"/>
          <w:highlight w:val="none"/>
          <w:lang w:val="en-US" w:eastAsia="zh-CN"/>
        </w:rPr>
        <w:t>优惠</w:t>
      </w:r>
    </w:p>
    <w:p w14:paraId="0D453183">
      <w:pPr>
        <w:spacing w:line="360" w:lineRule="auto"/>
        <w:ind w:firstLine="420"/>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eastAsia="zh-CN"/>
        </w:rPr>
        <w:t>□适用于非专门面向中小企业采购项目</w:t>
      </w:r>
    </w:p>
    <w:p w14:paraId="40A2F19A">
      <w:pPr>
        <w:spacing w:line="360" w:lineRule="auto"/>
        <w:ind w:firstLine="420"/>
        <w:rPr>
          <w:rFonts w:hint="eastAsia" w:ascii="宋体" w:hAnsi="宋体" w:eastAsia="宋体" w:cs="宋体"/>
          <w:color w:val="auto"/>
          <w:highlight w:val="none"/>
        </w:rPr>
      </w:pPr>
      <w:r>
        <w:rPr>
          <w:rFonts w:hint="eastAsia" w:ascii="宋体" w:hAnsi="宋体" w:eastAsia="宋体" w:cs="宋体"/>
          <w:bCs/>
          <w:color w:val="auto"/>
          <w:szCs w:val="21"/>
          <w:highlight w:val="none"/>
          <w:lang w:eastAsia="zh-CN"/>
        </w:rPr>
        <w:t>供应商</w:t>
      </w:r>
      <w:r>
        <w:rPr>
          <w:rFonts w:hint="eastAsia" w:ascii="宋体" w:hAnsi="宋体" w:eastAsia="宋体" w:cs="宋体"/>
          <w:color w:val="auto"/>
          <w:szCs w:val="21"/>
          <w:highlight w:val="none"/>
        </w:rPr>
        <w:t>被评定为</w:t>
      </w:r>
      <w:r>
        <w:rPr>
          <w:rFonts w:hint="eastAsia" w:ascii="宋体" w:hAnsi="宋体" w:eastAsia="宋体" w:cs="宋体"/>
          <w:bCs/>
          <w:color w:val="auto"/>
          <w:szCs w:val="21"/>
          <w:highlight w:val="none"/>
        </w:rPr>
        <w:t>监狱企业或者残疾人福利性单位或者</w:t>
      </w:r>
      <w:r>
        <w:rPr>
          <w:rFonts w:hint="eastAsia" w:ascii="宋体" w:hAnsi="宋体" w:eastAsia="宋体" w:cs="宋体"/>
          <w:bCs/>
          <w:color w:val="auto"/>
          <w:szCs w:val="21"/>
          <w:highlight w:val="none"/>
          <w:lang w:eastAsia="zh-CN"/>
        </w:rPr>
        <w:t>其</w:t>
      </w:r>
      <w:r>
        <w:rPr>
          <w:rFonts w:hint="eastAsia" w:ascii="宋体" w:hAnsi="宋体" w:eastAsia="宋体" w:cs="宋体"/>
          <w:color w:val="auto"/>
          <w:szCs w:val="21"/>
          <w:highlight w:val="none"/>
        </w:rPr>
        <w:t>提供的货物全部由符合政策要求的小</w:t>
      </w:r>
      <w:r>
        <w:rPr>
          <w:rFonts w:hint="eastAsia" w:ascii="宋体" w:hAnsi="宋体" w:eastAsia="宋体" w:cs="宋体"/>
          <w:color w:val="auto"/>
          <w:szCs w:val="21"/>
          <w:highlight w:val="none"/>
          <w:lang w:eastAsia="zh-CN"/>
        </w:rPr>
        <w:t>型、微型</w:t>
      </w:r>
      <w:r>
        <w:rPr>
          <w:rFonts w:hint="eastAsia" w:ascii="宋体" w:hAnsi="宋体" w:eastAsia="宋体" w:cs="宋体"/>
          <w:color w:val="auto"/>
          <w:szCs w:val="21"/>
          <w:highlight w:val="none"/>
        </w:rPr>
        <w:t>企业制造</w:t>
      </w:r>
      <w:r>
        <w:rPr>
          <w:rFonts w:hint="eastAsia" w:ascii="宋体" w:hAnsi="宋体" w:eastAsia="宋体" w:cs="宋体"/>
          <w:color w:val="auto"/>
          <w:szCs w:val="21"/>
          <w:highlight w:val="none"/>
          <w:lang w:eastAsia="zh-CN"/>
        </w:rPr>
        <w:t>，即货物由小型、微型企业生产且使用该</w:t>
      </w:r>
      <w:r>
        <w:rPr>
          <w:rFonts w:hint="eastAsia" w:ascii="宋体" w:hAnsi="宋体" w:eastAsia="宋体" w:cs="宋体"/>
          <w:color w:val="auto"/>
          <w:szCs w:val="21"/>
          <w:highlight w:val="none"/>
        </w:rPr>
        <w:t>小</w:t>
      </w:r>
      <w:r>
        <w:rPr>
          <w:rFonts w:hint="eastAsia" w:ascii="宋体" w:hAnsi="宋体" w:eastAsia="宋体" w:cs="宋体"/>
          <w:color w:val="auto"/>
          <w:szCs w:val="21"/>
          <w:highlight w:val="none"/>
          <w:lang w:eastAsia="zh-CN"/>
        </w:rPr>
        <w:t>型、微型企业商号或者注册商标的</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该</w:t>
      </w:r>
      <w:r>
        <w:rPr>
          <w:rFonts w:hint="eastAsia" w:ascii="宋体" w:hAnsi="宋体" w:eastAsia="宋体" w:cs="宋体"/>
          <w:bCs/>
          <w:color w:val="auto"/>
          <w:szCs w:val="21"/>
          <w:highlight w:val="none"/>
          <w:lang w:eastAsia="zh-CN"/>
        </w:rPr>
        <w:t>供应商</w:t>
      </w:r>
      <w:r>
        <w:rPr>
          <w:rFonts w:hint="eastAsia" w:ascii="宋体" w:hAnsi="宋体" w:eastAsia="宋体" w:cs="宋体"/>
          <w:bCs/>
          <w:color w:val="auto"/>
          <w:szCs w:val="21"/>
          <w:highlight w:val="none"/>
        </w:rPr>
        <w:t>的</w:t>
      </w:r>
      <w:r>
        <w:rPr>
          <w:rFonts w:hint="eastAsia" w:ascii="宋体" w:hAnsi="宋体" w:eastAsia="宋体" w:cs="宋体"/>
          <w:bCs/>
          <w:color w:val="auto"/>
          <w:szCs w:val="21"/>
          <w:highlight w:val="none"/>
          <w:lang w:eastAsia="zh-CN"/>
        </w:rPr>
        <w:t>最后报价</w:t>
      </w:r>
      <w:r>
        <w:rPr>
          <w:rFonts w:hint="eastAsia" w:ascii="宋体" w:hAnsi="宋体" w:eastAsia="宋体" w:cs="宋体"/>
          <w:color w:val="auto"/>
          <w:szCs w:val="21"/>
          <w:highlight w:val="none"/>
        </w:rPr>
        <w:t>给予</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b w:val="0"/>
          <w:bCs w:val="0"/>
          <w:color w:val="auto"/>
          <w:szCs w:val="21"/>
          <w:highlight w:val="none"/>
          <w:u w:val="single"/>
          <w:lang w:val="en-US" w:eastAsia="zh-CN"/>
        </w:rPr>
        <w:t>2</w:t>
      </w:r>
      <w:r>
        <w:rPr>
          <w:rFonts w:hint="eastAsia" w:ascii="宋体" w:hAnsi="宋体" w:eastAsia="宋体" w:cs="宋体"/>
          <w:b w:val="0"/>
          <w:bCs w:val="0"/>
          <w:color w:val="auto"/>
          <w:highlight w:val="none"/>
          <w:u w:val="single"/>
          <w:lang w:val="en-US" w:eastAsia="zh-CN"/>
        </w:rPr>
        <w:t>0%</w:t>
      </w:r>
      <w:r>
        <w:rPr>
          <w:rFonts w:hint="eastAsia" w:ascii="宋体" w:hAnsi="宋体" w:eastAsia="宋体" w:cs="宋体"/>
          <w:color w:val="auto"/>
          <w:szCs w:val="21"/>
          <w:highlight w:val="none"/>
        </w:rPr>
        <w:t>的扣除</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扣除后的价格为评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价，即评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w:t>
      </w:r>
      <w:r>
        <w:rPr>
          <w:rFonts w:hint="eastAsia" w:ascii="宋体" w:hAnsi="宋体" w:eastAsia="宋体" w:cs="宋体"/>
          <w:color w:val="auto"/>
          <w:szCs w:val="21"/>
          <w:highlight w:val="none"/>
          <w:lang w:eastAsia="zh-CN"/>
        </w:rPr>
        <w:t>最后报价</w:t>
      </w:r>
      <w:r>
        <w:rPr>
          <w:rFonts w:hint="eastAsia" w:ascii="宋体" w:hAnsi="宋体" w:eastAsia="宋体" w:cs="宋体"/>
          <w:color w:val="auto"/>
          <w:szCs w:val="21"/>
          <w:highlight w:val="none"/>
        </w:rPr>
        <w:t>×（1-</w:t>
      </w:r>
      <w:r>
        <w:rPr>
          <w:rFonts w:hint="eastAsia" w:ascii="宋体" w:hAnsi="宋体" w:eastAsia="宋体" w:cs="宋体"/>
          <w:b w:val="0"/>
          <w:bCs w:val="0"/>
          <w:color w:val="auto"/>
          <w:highlight w:val="none"/>
          <w:u w:val="single"/>
          <w:lang w:val="en-US" w:eastAsia="zh-CN"/>
        </w:rPr>
        <w:t>20%</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接受大中型企业与小微企业组成联合体或者允许大中型企业向一家或者多家小微企业分包的采购项目，对</w:t>
      </w:r>
      <w:r>
        <w:rPr>
          <w:rFonts w:hint="eastAsia" w:ascii="宋体" w:hAnsi="宋体" w:eastAsia="宋体" w:cs="宋体"/>
          <w:color w:val="auto"/>
          <w:sz w:val="21"/>
          <w:szCs w:val="21"/>
          <w:highlight w:val="none"/>
          <w:lang w:eastAsia="zh-CN"/>
        </w:rPr>
        <w:t>于</w:t>
      </w:r>
      <w:r>
        <w:rPr>
          <w:rFonts w:hint="eastAsia" w:ascii="宋体" w:hAnsi="宋体" w:eastAsia="宋体" w:cs="宋体"/>
          <w:color w:val="auto"/>
          <w:sz w:val="21"/>
          <w:szCs w:val="21"/>
          <w:highlight w:val="none"/>
        </w:rPr>
        <w:t>联合协议或者分包意向协议约定小微企业的合同份额占到合同总金额 30%以上的，对联合体或者大中型企业的</w:t>
      </w:r>
      <w:r>
        <w:rPr>
          <w:rFonts w:hint="eastAsia" w:ascii="宋体" w:hAnsi="宋体" w:eastAsia="宋体" w:cs="宋体"/>
          <w:color w:val="auto"/>
          <w:sz w:val="21"/>
          <w:szCs w:val="21"/>
          <w:highlight w:val="none"/>
          <w:lang w:eastAsia="zh-CN"/>
        </w:rPr>
        <w:t>最后</w:t>
      </w:r>
      <w:r>
        <w:rPr>
          <w:rFonts w:hint="eastAsia" w:ascii="宋体" w:hAnsi="宋体" w:eastAsia="宋体" w:cs="宋体"/>
          <w:color w:val="auto"/>
          <w:sz w:val="21"/>
          <w:szCs w:val="21"/>
          <w:highlight w:val="none"/>
        </w:rPr>
        <w:t>报价给予</w:t>
      </w:r>
      <w:r>
        <w:rPr>
          <w:rFonts w:hint="eastAsia" w:ascii="宋体" w:hAnsi="宋体" w:eastAsia="宋体" w:cs="宋体"/>
          <w:b w:val="0"/>
          <w:bCs w:val="0"/>
          <w:color w:val="auto"/>
          <w:sz w:val="21"/>
          <w:szCs w:val="21"/>
          <w:highlight w:val="none"/>
        </w:rPr>
        <w:t xml:space="preserve"> </w:t>
      </w:r>
      <w:r>
        <w:rPr>
          <w:rFonts w:hint="eastAsia" w:ascii="宋体" w:hAnsi="宋体" w:eastAsia="宋体" w:cs="宋体"/>
          <w:b w:val="0"/>
          <w:bCs w:val="0"/>
          <w:color w:val="auto"/>
          <w:highlight w:val="none"/>
          <w:u w:val="single"/>
          <w:lang w:val="en-US" w:eastAsia="zh-CN"/>
        </w:rPr>
        <w:t>6%</w:t>
      </w:r>
      <w:r>
        <w:rPr>
          <w:rFonts w:hint="eastAsia" w:ascii="宋体" w:hAnsi="宋体" w:eastAsia="宋体" w:cs="宋体"/>
          <w:color w:val="auto"/>
          <w:sz w:val="21"/>
          <w:szCs w:val="21"/>
          <w:highlight w:val="none"/>
        </w:rPr>
        <w:t>的扣除，用扣除后的价格参加评审</w:t>
      </w:r>
      <w:r>
        <w:rPr>
          <w:rFonts w:hint="eastAsia" w:ascii="宋体" w:hAnsi="宋体" w:eastAsia="宋体" w:cs="宋体"/>
          <w:color w:val="auto"/>
          <w:szCs w:val="21"/>
          <w:highlight w:val="none"/>
        </w:rPr>
        <w:t>，扣除后的价格为评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价，即评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w:t>
      </w:r>
      <w:r>
        <w:rPr>
          <w:rFonts w:hint="eastAsia" w:ascii="宋体" w:hAnsi="宋体" w:eastAsia="宋体" w:cs="宋体"/>
          <w:color w:val="auto"/>
          <w:szCs w:val="21"/>
          <w:highlight w:val="none"/>
          <w:lang w:eastAsia="zh-CN"/>
        </w:rPr>
        <w:t>最后报价</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b w:val="0"/>
          <w:bCs w:val="0"/>
          <w:color w:val="auto"/>
          <w:highlight w:val="none"/>
          <w:u w:val="singl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p>
    <w:p w14:paraId="14EC61F3">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☑适用于专门面向中小企业采购项目</w:t>
      </w:r>
    </w:p>
    <w:p w14:paraId="23D9F439">
      <w:pPr>
        <w:spacing w:line="360" w:lineRule="auto"/>
        <w:ind w:firstLine="420"/>
        <w:rPr>
          <w:rFonts w:hint="eastAsia" w:ascii="宋体" w:hAnsi="宋体" w:eastAsia="宋体" w:cs="宋体"/>
          <w:i w:val="0"/>
          <w:iCs w:val="0"/>
          <w:color w:val="auto"/>
          <w:szCs w:val="21"/>
          <w:highlight w:val="none"/>
          <w:lang w:eastAsia="zh-CN"/>
        </w:rPr>
      </w:pPr>
      <w:r>
        <w:rPr>
          <w:rFonts w:hint="eastAsia" w:ascii="宋体" w:hAnsi="宋体" w:eastAsia="宋体" w:cs="宋体"/>
          <w:i w:val="0"/>
          <w:iCs w:val="0"/>
          <w:color w:val="auto"/>
          <w:szCs w:val="21"/>
          <w:highlight w:val="none"/>
          <w:lang w:eastAsia="zh-CN"/>
        </w:rPr>
        <w:t>按照《政府采购促进中小企业发展管理办法》（财库〔2020〕46号）的规定，对小微企业的</w:t>
      </w:r>
      <w:r>
        <w:rPr>
          <w:rFonts w:hint="eastAsia" w:ascii="宋体" w:hAnsi="宋体" w:eastAsia="宋体" w:cs="宋体"/>
          <w:i w:val="0"/>
          <w:iCs w:val="0"/>
          <w:color w:val="auto"/>
          <w:szCs w:val="21"/>
          <w:highlight w:val="none"/>
          <w:lang w:val="en-US" w:eastAsia="zh-CN"/>
        </w:rPr>
        <w:t>最后</w:t>
      </w:r>
      <w:r>
        <w:rPr>
          <w:rFonts w:hint="eastAsia" w:ascii="宋体" w:hAnsi="宋体" w:eastAsia="宋体" w:cs="宋体"/>
          <w:i w:val="0"/>
          <w:iCs w:val="0"/>
          <w:color w:val="auto"/>
          <w:szCs w:val="21"/>
          <w:highlight w:val="none"/>
          <w:lang w:eastAsia="zh-CN"/>
        </w:rPr>
        <w:t>报价不再执行价格评审优惠的扶持政策。</w:t>
      </w:r>
    </w:p>
    <w:p w14:paraId="7A3F9270">
      <w:pPr>
        <w:spacing w:line="360" w:lineRule="auto"/>
        <w:ind w:firstLine="422"/>
        <w:rPr>
          <w:rFonts w:hint="eastAsia" w:ascii="宋体" w:hAnsi="宋体" w:eastAsia="宋体" w:cs="宋体"/>
          <w:color w:val="auto"/>
          <w:highlight w:val="none"/>
          <w:lang w:val="en-US" w:eastAsia="zh-CN"/>
        </w:rPr>
      </w:pPr>
      <w:r>
        <w:rPr>
          <w:rFonts w:hint="eastAsia" w:ascii="宋体" w:hAnsi="宋体" w:eastAsia="宋体" w:cs="宋体"/>
          <w:b/>
          <w:bCs/>
          <w:color w:val="auto"/>
          <w:szCs w:val="21"/>
          <w:highlight w:val="none"/>
          <w:lang w:val="en-US" w:eastAsia="zh-CN"/>
        </w:rPr>
        <w:t>6.2.2</w:t>
      </w:r>
      <w:r>
        <w:rPr>
          <w:rFonts w:hint="eastAsia" w:ascii="宋体" w:hAnsi="宋体" w:eastAsia="宋体" w:cs="宋体"/>
          <w:b/>
          <w:bCs/>
          <w:color w:val="auto"/>
          <w:szCs w:val="21"/>
          <w:highlight w:val="none"/>
        </w:rPr>
        <w:t>对本国产品的价格评审</w:t>
      </w:r>
      <w:r>
        <w:rPr>
          <w:rFonts w:hint="eastAsia" w:ascii="宋体" w:hAnsi="宋体" w:eastAsia="宋体" w:cs="宋体"/>
          <w:b/>
          <w:bCs/>
          <w:color w:val="auto"/>
          <w:szCs w:val="21"/>
          <w:highlight w:val="none"/>
          <w:lang w:val="en-US" w:eastAsia="zh-CN"/>
        </w:rPr>
        <w:t>优惠</w:t>
      </w:r>
    </w:p>
    <w:p w14:paraId="46E1CEC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对本国产品的支持政策：</w:t>
      </w:r>
      <w:r>
        <w:rPr>
          <w:rFonts w:hint="eastAsia" w:ascii="宋体" w:hAnsi="宋体" w:eastAsia="宋体" w:cs="宋体"/>
          <w:color w:val="auto"/>
          <w:szCs w:val="21"/>
          <w:highlight w:val="none"/>
        </w:rPr>
        <w:t>政府采购活动中既有本国产品又有非本国产品参与竞争的，依法对本国产品给予价格评审优惠，对本国产品的</w:t>
      </w:r>
      <w:r>
        <w:rPr>
          <w:rFonts w:hint="eastAsia" w:ascii="宋体" w:hAnsi="宋体" w:eastAsia="宋体" w:cs="宋体"/>
          <w:color w:val="auto"/>
          <w:szCs w:val="21"/>
          <w:highlight w:val="none"/>
          <w:lang w:val="en-US" w:eastAsia="zh-CN"/>
        </w:rPr>
        <w:t>最后</w:t>
      </w:r>
      <w:r>
        <w:rPr>
          <w:rFonts w:hint="eastAsia" w:ascii="宋体" w:hAnsi="宋体" w:eastAsia="宋体" w:cs="宋体"/>
          <w:color w:val="auto"/>
          <w:szCs w:val="21"/>
          <w:highlight w:val="none"/>
        </w:rPr>
        <w:t>报价给予20%的价格扣除，用扣除后的价格参与评审。</w:t>
      </w:r>
    </w:p>
    <w:p w14:paraId="578B650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当采购项目或者采购包中含有多种产品，</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为该采购项目或者采购包提供的符合本国产品标准的产品成本之和占该</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提供的全部产品成本之和的比例达到80%以上时，依法对该</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提供的全部产品给予价格评审优惠，即对该</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提供的全部产品的</w:t>
      </w:r>
      <w:r>
        <w:rPr>
          <w:rFonts w:hint="eastAsia" w:ascii="宋体" w:hAnsi="宋体" w:eastAsia="宋体" w:cs="宋体"/>
          <w:color w:val="auto"/>
          <w:szCs w:val="21"/>
          <w:highlight w:val="none"/>
          <w:lang w:eastAsia="zh-CN"/>
        </w:rPr>
        <w:t>最后</w:t>
      </w:r>
      <w:r>
        <w:rPr>
          <w:rFonts w:hint="eastAsia" w:ascii="宋体" w:hAnsi="宋体" w:eastAsia="宋体" w:cs="宋体"/>
          <w:color w:val="auto"/>
          <w:szCs w:val="21"/>
          <w:highlight w:val="none"/>
        </w:rPr>
        <w:t>总报价给予20%的价格扣除，用扣除后的价格参与评审。</w:t>
      </w:r>
    </w:p>
    <w:p w14:paraId="49A50041">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除上述情况外，评审价＝最后报价。</w:t>
      </w:r>
    </w:p>
    <w:p w14:paraId="5343F334">
      <w:pPr>
        <w:widowControl/>
        <w:spacing w:line="360" w:lineRule="auto"/>
        <w:ind w:firstLine="420"/>
        <w:jc w:val="left"/>
        <w:rPr>
          <w:rFonts w:hint="eastAsia" w:ascii="宋体" w:hAnsi="宋体" w:eastAsia="宋体" w:cs="宋体"/>
          <w:color w:val="auto"/>
          <w:szCs w:val="21"/>
          <w:highlight w:val="none"/>
        </w:rPr>
      </w:pPr>
    </w:p>
    <w:p w14:paraId="16D643BF">
      <w:pPr>
        <w:keepNext/>
        <w:keepLines/>
        <w:spacing w:line="360" w:lineRule="auto"/>
        <w:ind w:firstLine="640"/>
        <w:jc w:val="center"/>
        <w:outlineLvl w:val="1"/>
        <w:rPr>
          <w:rFonts w:hint="eastAsia" w:ascii="宋体" w:hAnsi="宋体" w:eastAsia="宋体" w:cs="宋体"/>
          <w:bCs/>
          <w:color w:val="auto"/>
          <w:sz w:val="32"/>
          <w:szCs w:val="32"/>
          <w:highlight w:val="none"/>
          <w:lang w:val="zh-CN" w:eastAsia="zh-CN"/>
        </w:rPr>
      </w:pPr>
      <w:bookmarkStart w:id="119" w:name="_Toc80205934"/>
      <w:bookmarkStart w:id="120" w:name="_Toc5389"/>
      <w:bookmarkStart w:id="121" w:name="_Toc17730"/>
      <w:r>
        <w:rPr>
          <w:rFonts w:hint="eastAsia" w:ascii="宋体" w:hAnsi="宋体" w:eastAsia="宋体" w:cs="宋体"/>
          <w:bCs/>
          <w:color w:val="auto"/>
          <w:sz w:val="32"/>
          <w:szCs w:val="32"/>
          <w:highlight w:val="none"/>
          <w:lang w:val="zh-CN" w:eastAsia="zh-CN"/>
        </w:rPr>
        <w:t>第二节 评审原则</w:t>
      </w:r>
      <w:bookmarkEnd w:id="119"/>
      <w:bookmarkEnd w:id="120"/>
      <w:bookmarkEnd w:id="121"/>
    </w:p>
    <w:p w14:paraId="6575B75C">
      <w:pPr>
        <w:spacing w:line="360" w:lineRule="auto"/>
        <w:ind w:firstLine="480"/>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1.评审原则</w:t>
      </w:r>
    </w:p>
    <w:p w14:paraId="28EF9AA1">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55D8A764">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1.2根据《政府采购非招标采购方式管理办法》（财政部令第74号）第二十一条规定，</w:t>
      </w:r>
      <w:r>
        <w:rPr>
          <w:rFonts w:hint="eastAsia" w:ascii="宋体" w:hAnsi="宋体" w:eastAsia="宋体" w:cs="宋体"/>
          <w:color w:val="auto"/>
          <w:sz w:val="21"/>
          <w:szCs w:val="21"/>
          <w:highlight w:val="none"/>
        </w:rPr>
        <w:t>除资格性审查认定错误和价格计算错误外，采购人或者采购代理机构不得以任何理由组织重新评审。采购人、采购代理机构发现谈判小组未按照竞争性谈判文件规定的评定成交的标准进行评审的，应当重新开展采购活动，并同时书面报告本级财政部门</w:t>
      </w:r>
      <w:r>
        <w:rPr>
          <w:rFonts w:hint="eastAsia" w:ascii="宋体" w:hAnsi="宋体" w:eastAsia="宋体" w:cs="宋体"/>
          <w:color w:val="auto"/>
          <w:szCs w:val="24"/>
          <w:highlight w:val="none"/>
        </w:rPr>
        <w:t>。</w:t>
      </w:r>
      <w:bookmarkStart w:id="122" w:name="_Toc432194885"/>
      <w:bookmarkEnd w:id="122"/>
      <w:bookmarkStart w:id="123" w:name="_Toc432106535"/>
      <w:bookmarkEnd w:id="123"/>
      <w:bookmarkStart w:id="124" w:name="_Toc321836413"/>
      <w:bookmarkEnd w:id="124"/>
    </w:p>
    <w:p w14:paraId="6823EDBE">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0E97D6B8">
      <w:pPr>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2.终止竞争性谈判采购活动</w:t>
      </w:r>
    </w:p>
    <w:p w14:paraId="2F657AF7">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出现下列情形之一的，采购人或者采购代理机构应当终止竞争性谈判采购活动，发布项目终止公告并说明原因，重新开展采购活动：</w:t>
      </w:r>
    </w:p>
    <w:p w14:paraId="5D324802">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（1）因情况变化，不再符合规定的竞争性谈判采购方式适用情形的； </w:t>
      </w:r>
    </w:p>
    <w:p w14:paraId="27E0C9A1">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（2）出现影响采购公正的违法、违规行为的；</w:t>
      </w:r>
    </w:p>
    <w:p w14:paraId="3786A2B7">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（3）在采购过程中符合竞争要求的供应商或者报价未超过采购预算的供应商不足3家的，但《政府采购非招标采购方式管理办法》第二十七条第二款规定的情形除外。</w:t>
      </w:r>
    </w:p>
    <w:p w14:paraId="01FD6F77">
      <w:pPr>
        <w:keepNext/>
        <w:keepLines/>
        <w:spacing w:line="360" w:lineRule="auto"/>
        <w:ind w:firstLine="640"/>
        <w:jc w:val="center"/>
        <w:outlineLvl w:val="1"/>
        <w:rPr>
          <w:rFonts w:hint="eastAsia" w:ascii="宋体" w:hAnsi="宋体" w:eastAsia="宋体" w:cs="宋体"/>
          <w:bCs/>
          <w:color w:val="auto"/>
          <w:sz w:val="32"/>
          <w:szCs w:val="32"/>
          <w:highlight w:val="none"/>
          <w:lang w:val="zh-CN" w:eastAsia="zh-CN"/>
        </w:rPr>
      </w:pPr>
      <w:bookmarkStart w:id="125" w:name="_Toc16039"/>
      <w:bookmarkStart w:id="126" w:name="_Toc80205935"/>
      <w:bookmarkStart w:id="127" w:name="_Toc9627"/>
      <w:r>
        <w:rPr>
          <w:rFonts w:hint="eastAsia" w:ascii="宋体" w:hAnsi="宋体" w:eastAsia="宋体" w:cs="宋体"/>
          <w:bCs/>
          <w:color w:val="auto"/>
          <w:sz w:val="32"/>
          <w:szCs w:val="32"/>
          <w:highlight w:val="none"/>
          <w:lang w:val="zh-CN" w:eastAsia="zh-CN"/>
        </w:rPr>
        <w:t>第三节 评审报告</w:t>
      </w:r>
      <w:bookmarkEnd w:id="125"/>
      <w:bookmarkEnd w:id="126"/>
      <w:bookmarkEnd w:id="127"/>
    </w:p>
    <w:p w14:paraId="4AB932ED">
      <w:pPr>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28F159BE">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Cs w:val="24"/>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w:t>
      </w:r>
      <w:r>
        <w:rPr>
          <w:rFonts w:hint="eastAsia" w:ascii="宋体" w:hAnsi="宋体" w:eastAsia="宋体" w:cs="宋体"/>
          <w:color w:val="auto"/>
          <w:szCs w:val="24"/>
          <w:highlight w:val="none"/>
          <w:lang w:val="en-US" w:eastAsia="zh-CN"/>
        </w:rPr>
        <w:t>25.1</w:t>
      </w:r>
      <w:r>
        <w:rPr>
          <w:rFonts w:hint="eastAsia" w:ascii="宋体" w:hAnsi="宋体" w:eastAsia="宋体" w:cs="宋体"/>
          <w:color w:val="auto"/>
          <w:szCs w:val="24"/>
          <w:highlight w:val="none"/>
        </w:rPr>
        <w:t>条规定的顺序推荐）,并在线编写电子评审报告。</w:t>
      </w:r>
    </w:p>
    <w:p w14:paraId="017C3F8E">
      <w:pPr>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lang w:eastAsia="zh-CN"/>
        </w:rPr>
        <w:t>评审</w:t>
      </w:r>
      <w:r>
        <w:rPr>
          <w:rFonts w:hint="eastAsia" w:ascii="宋体" w:hAnsi="宋体" w:eastAsia="宋体" w:cs="宋体"/>
          <w:color w:val="auto"/>
          <w:sz w:val="24"/>
          <w:szCs w:val="32"/>
          <w:highlight w:val="none"/>
        </w:rPr>
        <w:t>争议事项处理</w:t>
      </w:r>
    </w:p>
    <w:p w14:paraId="510C8FEB">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谈判小组成员对需要共同认定的事项存在争议的，应当按照少数服从多数的原则作出结论。持不同意见的谈判小组成员应当在评</w:t>
      </w:r>
      <w:r>
        <w:rPr>
          <w:rFonts w:hint="eastAsia" w:ascii="宋体" w:hAnsi="宋体" w:eastAsia="宋体" w:cs="宋体"/>
          <w:color w:val="auto"/>
          <w:szCs w:val="24"/>
          <w:highlight w:val="none"/>
          <w:lang w:eastAsia="zh-CN"/>
        </w:rPr>
        <w:t>审</w:t>
      </w:r>
      <w:r>
        <w:rPr>
          <w:rFonts w:hint="eastAsia" w:ascii="宋体" w:hAnsi="宋体" w:eastAsia="宋体" w:cs="宋体"/>
          <w:color w:val="auto"/>
          <w:szCs w:val="24"/>
          <w:highlight w:val="none"/>
        </w:rPr>
        <w:t>报告上签署不同意见及理由，否则视为同意评</w:t>
      </w:r>
      <w:r>
        <w:rPr>
          <w:rFonts w:hint="eastAsia" w:ascii="宋体" w:hAnsi="宋体" w:eastAsia="宋体" w:cs="宋体"/>
          <w:color w:val="auto"/>
          <w:szCs w:val="24"/>
          <w:highlight w:val="none"/>
          <w:lang w:eastAsia="zh-CN"/>
        </w:rPr>
        <w:t>审</w:t>
      </w:r>
      <w:r>
        <w:rPr>
          <w:rFonts w:hint="eastAsia" w:ascii="宋体" w:hAnsi="宋体" w:eastAsia="宋体" w:cs="宋体"/>
          <w:color w:val="auto"/>
          <w:szCs w:val="24"/>
          <w:highlight w:val="none"/>
        </w:rPr>
        <w:t>报告。</w:t>
      </w:r>
    </w:p>
    <w:p w14:paraId="00DC1067">
      <w:pPr>
        <w:keepNext/>
        <w:keepLines/>
        <w:spacing w:line="360" w:lineRule="auto"/>
        <w:ind w:firstLine="640"/>
        <w:jc w:val="center"/>
        <w:outlineLvl w:val="1"/>
        <w:rPr>
          <w:rFonts w:hint="eastAsia" w:ascii="宋体" w:hAnsi="宋体" w:eastAsia="宋体" w:cs="宋体"/>
          <w:bCs/>
          <w:color w:val="auto"/>
          <w:sz w:val="32"/>
          <w:szCs w:val="32"/>
          <w:highlight w:val="none"/>
          <w:lang w:val="zh-CN" w:eastAsia="zh-CN"/>
        </w:rPr>
      </w:pPr>
      <w:bookmarkStart w:id="128" w:name="_Toc17221"/>
      <w:bookmarkStart w:id="129" w:name="_Toc80205936"/>
      <w:bookmarkStart w:id="130" w:name="_Toc27241"/>
      <w:r>
        <w:rPr>
          <w:rFonts w:hint="eastAsia" w:ascii="宋体" w:hAnsi="宋体" w:eastAsia="宋体" w:cs="宋体"/>
          <w:bCs/>
          <w:color w:val="auto"/>
          <w:sz w:val="32"/>
          <w:szCs w:val="32"/>
          <w:highlight w:val="none"/>
          <w:lang w:val="zh-CN" w:eastAsia="zh-CN"/>
        </w:rPr>
        <w:t>第四节 评审过程的保密与录像</w:t>
      </w:r>
      <w:bookmarkEnd w:id="128"/>
      <w:bookmarkEnd w:id="129"/>
      <w:bookmarkEnd w:id="130"/>
    </w:p>
    <w:p w14:paraId="3B2EA386">
      <w:pPr>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5DC48C03">
      <w:pPr>
        <w:widowControl/>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评审活动在严格保密的情况下进行。评审过程中凡是与采购响应文件评审和比较、中标成交供应商推荐等评审有关的情况，以及涉及国家秘密和商业秘密等信息，</w:t>
      </w:r>
      <w:r>
        <w:rPr>
          <w:rFonts w:hint="eastAsia" w:ascii="宋体" w:hAnsi="宋体" w:eastAsia="宋体" w:cs="宋体"/>
          <w:color w:val="auto"/>
          <w:szCs w:val="24"/>
          <w:highlight w:val="none"/>
          <w:lang w:eastAsia="zh-CN"/>
        </w:rPr>
        <w:t>谈判小组</w:t>
      </w:r>
      <w:r>
        <w:rPr>
          <w:rFonts w:hint="eastAsia" w:ascii="宋体" w:hAnsi="宋体" w:eastAsia="宋体" w:cs="宋体"/>
          <w:color w:val="auto"/>
          <w:szCs w:val="24"/>
          <w:highlight w:val="none"/>
        </w:rPr>
        <w:t>成员、采购人和采购机构工作人员、相关监督人员等与评审有关的人员应当予以保密。</w:t>
      </w:r>
    </w:p>
    <w:p w14:paraId="05FCE0B1">
      <w:pPr>
        <w:widowControl/>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5EAB7881">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采购代理机构对评审工作现场及操作屏幕进行全过程录音录像，录音录像资料作为采购项目文件随其他文件一并存档。</w:t>
      </w:r>
      <w:r>
        <w:rPr>
          <w:rFonts w:hint="eastAsia" w:ascii="宋体" w:hAnsi="宋体" w:eastAsia="宋体" w:cs="宋体"/>
          <w:color w:val="auto"/>
          <w:szCs w:val="24"/>
          <w:highlight w:val="none"/>
        </w:rPr>
        <w:br w:type="page" w:clear="all"/>
      </w:r>
    </w:p>
    <w:p w14:paraId="1A3BC85C">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18B9E7B9">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0523DA5A">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67C36EB0">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19E6D4B1">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2AE95233">
      <w:pPr>
        <w:pStyle w:val="19"/>
        <w:rPr>
          <w:rFonts w:hint="eastAsia" w:ascii="宋体" w:hAnsi="宋体" w:eastAsia="宋体" w:cs="宋体"/>
          <w:color w:val="auto"/>
          <w:highlight w:val="none"/>
          <w:lang w:val="zh-CN" w:eastAsia="zh-CN"/>
        </w:rPr>
      </w:pPr>
    </w:p>
    <w:p w14:paraId="5144A3B7">
      <w:pPr>
        <w:keepNext/>
        <w:keepLines/>
        <w:spacing w:before="340" w:after="330" w:line="578" w:lineRule="auto"/>
        <w:jc w:val="center"/>
        <w:outlineLvl w:val="0"/>
        <w:rPr>
          <w:rFonts w:hint="eastAsia" w:ascii="宋体" w:hAnsi="宋体" w:eastAsia="宋体" w:cs="宋体"/>
          <w:b/>
          <w:bCs/>
          <w:color w:val="auto"/>
          <w:sz w:val="44"/>
          <w:szCs w:val="44"/>
          <w:highlight w:val="none"/>
          <w:lang w:val="zh-CN" w:eastAsia="zh-CN"/>
        </w:rPr>
      </w:pPr>
      <w:bookmarkStart w:id="131" w:name="_Toc80205937"/>
      <w:bookmarkStart w:id="132" w:name="_Toc30615"/>
      <w:bookmarkStart w:id="133" w:name="_Toc71"/>
      <w:bookmarkStart w:id="134" w:name="_Toc25678"/>
      <w:bookmarkStart w:id="135" w:name="_Toc28917"/>
      <w:bookmarkStart w:id="136" w:name="_Toc9300"/>
      <w:bookmarkStart w:id="137" w:name="_Toc4187"/>
      <w:bookmarkStart w:id="138" w:name="_Toc916"/>
      <w:bookmarkStart w:id="139" w:name="_Toc21666"/>
      <w:r>
        <w:rPr>
          <w:rFonts w:hint="eastAsia" w:ascii="宋体" w:hAnsi="宋体" w:eastAsia="宋体" w:cs="宋体"/>
          <w:b/>
          <w:bCs/>
          <w:color w:val="auto"/>
          <w:sz w:val="44"/>
          <w:szCs w:val="44"/>
          <w:highlight w:val="none"/>
          <w:lang w:val="zh-CN" w:eastAsia="zh-CN"/>
        </w:rPr>
        <w:t>第五章 响应文件格式</w:t>
      </w:r>
      <w:bookmarkEnd w:id="131"/>
      <w:r>
        <w:rPr>
          <w:rFonts w:hint="eastAsia" w:ascii="宋体" w:hAnsi="宋体" w:eastAsia="宋体" w:cs="宋体"/>
          <w:b/>
          <w:bCs/>
          <w:color w:val="auto"/>
          <w:sz w:val="44"/>
          <w:szCs w:val="44"/>
          <w:highlight w:val="none"/>
          <w:lang w:val="zh-CN" w:eastAsia="zh-CN"/>
        </w:rPr>
        <w:br w:type="page" w:clear="all"/>
      </w:r>
      <w:bookmarkEnd w:id="132"/>
      <w:bookmarkEnd w:id="133"/>
      <w:bookmarkEnd w:id="134"/>
      <w:bookmarkEnd w:id="135"/>
      <w:bookmarkEnd w:id="136"/>
      <w:bookmarkEnd w:id="137"/>
      <w:bookmarkEnd w:id="138"/>
      <w:bookmarkEnd w:id="139"/>
    </w:p>
    <w:p w14:paraId="30A162FB">
      <w:pPr>
        <w:spacing w:line="240" w:lineRule="atLeast"/>
        <w:rPr>
          <w:rFonts w:hint="eastAsia" w:ascii="宋体" w:hAnsi="宋体" w:eastAsia="宋体" w:cs="宋体"/>
          <w:b/>
          <w:bCs/>
          <w:color w:val="auto"/>
          <w:szCs w:val="24"/>
          <w:highlight w:val="none"/>
        </w:rPr>
      </w:pPr>
    </w:p>
    <w:p w14:paraId="1DE2D7E8">
      <w:pPr>
        <w:spacing w:before="120" w:after="50" w:line="360" w:lineRule="auto"/>
        <w:jc w:val="center"/>
        <w:outlineLvl w:val="1"/>
        <w:rPr>
          <w:rFonts w:hint="eastAsia" w:ascii="宋体" w:hAnsi="宋体" w:eastAsia="宋体" w:cs="宋体"/>
          <w:bCs/>
          <w:color w:val="auto"/>
          <w:sz w:val="32"/>
          <w:szCs w:val="32"/>
          <w:highlight w:val="none"/>
        </w:rPr>
      </w:pPr>
      <w:bookmarkStart w:id="140" w:name="_Toc80205939"/>
      <w:bookmarkStart w:id="141" w:name="_Toc17254"/>
      <w:bookmarkStart w:id="142" w:name="_Toc10486"/>
      <w:r>
        <w:rPr>
          <w:rFonts w:hint="eastAsia" w:ascii="宋体" w:hAnsi="宋体" w:eastAsia="宋体" w:cs="宋体"/>
          <w:bCs/>
          <w:color w:val="auto"/>
          <w:sz w:val="32"/>
          <w:szCs w:val="32"/>
          <w:highlight w:val="none"/>
        </w:rPr>
        <w:t>第</w:t>
      </w:r>
      <w:r>
        <w:rPr>
          <w:rFonts w:hint="eastAsia" w:ascii="宋体" w:hAnsi="宋体" w:eastAsia="宋体" w:cs="宋体"/>
          <w:bCs/>
          <w:color w:val="auto"/>
          <w:sz w:val="32"/>
          <w:szCs w:val="32"/>
          <w:highlight w:val="none"/>
          <w:lang w:eastAsia="zh-CN"/>
        </w:rPr>
        <w:t>一</w:t>
      </w:r>
      <w:r>
        <w:rPr>
          <w:rFonts w:hint="eastAsia" w:ascii="宋体" w:hAnsi="宋体" w:eastAsia="宋体" w:cs="宋体"/>
          <w:bCs/>
          <w:color w:val="auto"/>
          <w:sz w:val="32"/>
          <w:szCs w:val="32"/>
          <w:highlight w:val="none"/>
        </w:rPr>
        <w:t>节 资格文件格式</w:t>
      </w:r>
      <w:bookmarkEnd w:id="140"/>
      <w:bookmarkEnd w:id="141"/>
      <w:bookmarkEnd w:id="142"/>
    </w:p>
    <w:p w14:paraId="1718E040">
      <w:pPr>
        <w:pStyle w:val="29"/>
        <w:rPr>
          <w:rFonts w:hint="eastAsia" w:ascii="宋体" w:hAnsi="宋体" w:eastAsia="宋体" w:cs="宋体"/>
          <w:b/>
          <w:bCs/>
          <w:color w:val="auto"/>
          <w:sz w:val="28"/>
          <w:szCs w:val="28"/>
          <w:highlight w:val="none"/>
        </w:rPr>
      </w:pPr>
    </w:p>
    <w:p w14:paraId="31187011">
      <w:pPr>
        <w:pStyle w:val="2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1.资格文件封面</w:t>
      </w:r>
      <w:r>
        <w:rPr>
          <w:rFonts w:hint="eastAsia" w:ascii="宋体" w:hAnsi="宋体" w:eastAsia="宋体" w:cs="宋体"/>
          <w:b/>
          <w:bCs/>
          <w:color w:val="auto"/>
          <w:sz w:val="28"/>
          <w:szCs w:val="28"/>
          <w:highlight w:val="none"/>
          <w:lang w:eastAsia="zh-CN"/>
        </w:rPr>
        <w:t>的</w:t>
      </w:r>
      <w:r>
        <w:rPr>
          <w:rFonts w:hint="eastAsia" w:ascii="宋体" w:hAnsi="宋体" w:eastAsia="宋体" w:cs="宋体"/>
          <w:b/>
          <w:bCs/>
          <w:color w:val="auto"/>
          <w:sz w:val="28"/>
          <w:szCs w:val="28"/>
          <w:highlight w:val="none"/>
        </w:rPr>
        <w:t>格式（参照此格式自拟）：</w:t>
      </w:r>
    </w:p>
    <w:p w14:paraId="4266AFF5">
      <w:pPr>
        <w:spacing w:before="120" w:after="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AB10AED">
      <w:pPr>
        <w:spacing w:before="120" w:after="50"/>
        <w:ind w:firstLine="5760"/>
        <w:rPr>
          <w:rFonts w:hint="eastAsia" w:ascii="宋体" w:hAnsi="宋体" w:eastAsia="宋体" w:cs="宋体"/>
          <w:bCs/>
          <w:color w:val="auto"/>
          <w:sz w:val="32"/>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Cs w:val="24"/>
          <w:highlight w:val="none"/>
        </w:rPr>
        <w:t>全流程电子文件</w:t>
      </w:r>
    </w:p>
    <w:p w14:paraId="6C95A7C5">
      <w:pPr>
        <w:spacing w:before="120" w:after="50"/>
        <w:rPr>
          <w:rFonts w:hint="eastAsia" w:ascii="宋体" w:hAnsi="宋体" w:eastAsia="宋体" w:cs="宋体"/>
          <w:color w:val="auto"/>
          <w:sz w:val="24"/>
          <w:szCs w:val="20"/>
          <w:highlight w:val="none"/>
        </w:rPr>
      </w:pPr>
    </w:p>
    <w:p w14:paraId="47B42C0C">
      <w:pPr>
        <w:spacing w:before="120" w:after="50"/>
        <w:rPr>
          <w:rFonts w:hint="eastAsia" w:ascii="宋体" w:hAnsi="宋体" w:eastAsia="宋体" w:cs="宋体"/>
          <w:color w:val="auto"/>
          <w:sz w:val="24"/>
          <w:szCs w:val="20"/>
          <w:highlight w:val="none"/>
        </w:rPr>
      </w:pPr>
    </w:p>
    <w:p w14:paraId="6AF246C1">
      <w:pPr>
        <w:spacing w:before="12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文  件</w:t>
      </w:r>
    </w:p>
    <w:p w14:paraId="7F3CF4A0">
      <w:pPr>
        <w:spacing w:before="120" w:after="50"/>
        <w:rPr>
          <w:rFonts w:hint="eastAsia" w:ascii="宋体" w:hAnsi="宋体" w:eastAsia="宋体" w:cs="宋体"/>
          <w:bCs/>
          <w:color w:val="auto"/>
          <w:sz w:val="24"/>
          <w:szCs w:val="20"/>
          <w:highlight w:val="none"/>
        </w:rPr>
      </w:pPr>
    </w:p>
    <w:p w14:paraId="26D69255">
      <w:pPr>
        <w:spacing w:before="120" w:after="50"/>
        <w:rPr>
          <w:rFonts w:hint="eastAsia" w:ascii="宋体" w:hAnsi="宋体" w:eastAsia="宋体" w:cs="宋体"/>
          <w:bCs/>
          <w:color w:val="auto"/>
          <w:sz w:val="24"/>
          <w:szCs w:val="20"/>
          <w:highlight w:val="none"/>
        </w:rPr>
      </w:pPr>
    </w:p>
    <w:p w14:paraId="5AE83E00">
      <w:pPr>
        <w:spacing w:before="120" w:after="50"/>
        <w:rPr>
          <w:rFonts w:hint="eastAsia" w:ascii="宋体" w:hAnsi="宋体" w:eastAsia="宋体" w:cs="宋体"/>
          <w:bCs/>
          <w:color w:val="auto"/>
          <w:sz w:val="24"/>
          <w:szCs w:val="20"/>
          <w:highlight w:val="none"/>
        </w:rPr>
      </w:pPr>
    </w:p>
    <w:p w14:paraId="5ECF4DA5">
      <w:pPr>
        <w:spacing w:before="120" w:after="50"/>
        <w:rPr>
          <w:rFonts w:hint="eastAsia" w:ascii="宋体" w:hAnsi="宋体" w:eastAsia="宋体" w:cs="宋体"/>
          <w:bCs/>
          <w:color w:val="auto"/>
          <w:sz w:val="24"/>
          <w:szCs w:val="20"/>
          <w:highlight w:val="none"/>
        </w:rPr>
      </w:pPr>
    </w:p>
    <w:p w14:paraId="7A82F483">
      <w:pPr>
        <w:spacing w:before="120" w:after="50"/>
        <w:rPr>
          <w:rFonts w:hint="eastAsia" w:ascii="宋体" w:hAnsi="宋体" w:eastAsia="宋体" w:cs="宋体"/>
          <w:bCs/>
          <w:color w:val="auto"/>
          <w:sz w:val="24"/>
          <w:szCs w:val="20"/>
          <w:highlight w:val="none"/>
        </w:rPr>
      </w:pPr>
    </w:p>
    <w:p w14:paraId="3B8C2AA4">
      <w:pPr>
        <w:spacing w:before="120" w:after="50"/>
        <w:ind w:firstLine="64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eastAsia="宋体" w:cs="宋体"/>
          <w:bCs/>
          <w:color w:val="auto"/>
          <w:sz w:val="32"/>
          <w:szCs w:val="32"/>
          <w:highlight w:val="none"/>
          <w:lang w:val="en-US" w:eastAsia="zh-CN"/>
        </w:rPr>
        <w:t xml:space="preserve"> </w:t>
      </w:r>
    </w:p>
    <w:p w14:paraId="46B4B901">
      <w:pPr>
        <w:spacing w:before="120" w:after="50"/>
        <w:ind w:firstLine="720"/>
        <w:rPr>
          <w:rFonts w:hint="eastAsia" w:ascii="宋体" w:hAnsi="宋体" w:eastAsia="宋体" w:cs="宋体"/>
          <w:bCs/>
          <w:color w:val="auto"/>
          <w:sz w:val="32"/>
          <w:szCs w:val="32"/>
          <w:highlight w:val="none"/>
        </w:rPr>
      </w:pPr>
    </w:p>
    <w:p w14:paraId="0B0C9B18">
      <w:pPr>
        <w:spacing w:before="120" w:after="50"/>
        <w:ind w:firstLine="72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eastAsia="宋体" w:cs="宋体"/>
          <w:bCs/>
          <w:color w:val="auto"/>
          <w:sz w:val="32"/>
          <w:szCs w:val="32"/>
          <w:highlight w:val="none"/>
          <w:lang w:val="en-US" w:eastAsia="zh-CN"/>
        </w:rPr>
        <w:t xml:space="preserve"> </w:t>
      </w:r>
    </w:p>
    <w:p w14:paraId="290B0B43">
      <w:pPr>
        <w:spacing w:before="120"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64236388">
      <w:pPr>
        <w:spacing w:before="120"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7A6F8BDF">
      <w:pPr>
        <w:spacing w:before="120" w:after="50"/>
        <w:ind w:firstLine="720"/>
        <w:rPr>
          <w:rFonts w:hint="eastAsia" w:ascii="宋体" w:hAnsi="宋体" w:eastAsia="宋体" w:cs="宋体"/>
          <w:bCs/>
          <w:color w:val="auto"/>
          <w:sz w:val="32"/>
          <w:szCs w:val="32"/>
          <w:highlight w:val="none"/>
        </w:rPr>
      </w:pPr>
    </w:p>
    <w:p w14:paraId="5FD91591">
      <w:pPr>
        <w:spacing w:before="50"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5D57CA8F">
      <w:pPr>
        <w:spacing w:before="50" w:after="50"/>
        <w:ind w:firstLine="720"/>
        <w:rPr>
          <w:rFonts w:hint="eastAsia" w:ascii="宋体" w:hAnsi="宋体" w:eastAsia="宋体" w:cs="宋体"/>
          <w:bCs/>
          <w:color w:val="auto"/>
          <w:sz w:val="32"/>
          <w:szCs w:val="32"/>
          <w:highlight w:val="none"/>
        </w:rPr>
      </w:pPr>
    </w:p>
    <w:p w14:paraId="173ADF99">
      <w:pPr>
        <w:spacing w:before="50" w:after="50"/>
        <w:ind w:firstLine="720"/>
        <w:rPr>
          <w:rFonts w:hint="eastAsia" w:ascii="宋体" w:hAnsi="宋体" w:eastAsia="宋体" w:cs="宋体"/>
          <w:bCs/>
          <w:color w:val="auto"/>
          <w:sz w:val="32"/>
          <w:szCs w:val="32"/>
          <w:highlight w:val="none"/>
        </w:rPr>
      </w:pPr>
    </w:p>
    <w:p w14:paraId="6F5F1401">
      <w:pPr>
        <w:spacing w:before="50" w:after="50"/>
        <w:ind w:firstLine="720"/>
        <w:rPr>
          <w:rFonts w:hint="eastAsia" w:ascii="宋体" w:hAnsi="宋体" w:eastAsia="宋体" w:cs="宋体"/>
          <w:bCs/>
          <w:color w:val="auto"/>
          <w:sz w:val="32"/>
          <w:szCs w:val="32"/>
          <w:highlight w:val="none"/>
        </w:rPr>
      </w:pPr>
    </w:p>
    <w:p w14:paraId="02E19078">
      <w:pPr>
        <w:spacing w:before="50" w:after="50"/>
        <w:ind w:firstLine="1280"/>
        <w:rPr>
          <w:rFonts w:hint="eastAsia" w:ascii="宋体" w:hAnsi="宋体" w:eastAsia="宋体" w:cs="宋体"/>
          <w:bCs/>
          <w:color w:val="auto"/>
          <w:sz w:val="32"/>
          <w:szCs w:val="32"/>
          <w:highlight w:val="none"/>
        </w:rPr>
      </w:pPr>
    </w:p>
    <w:p w14:paraId="370757E8">
      <w:pPr>
        <w:spacing w:before="12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7B0F264E">
      <w:pPr>
        <w:spacing w:before="156" w:after="50" w:line="360" w:lineRule="auto"/>
        <w:ind w:left="142"/>
        <w:jc w:val="left"/>
        <w:rPr>
          <w:rFonts w:hint="eastAsia" w:ascii="宋体" w:hAnsi="宋体" w:eastAsia="宋体" w:cs="宋体"/>
          <w:b/>
          <w:bCs/>
          <w:color w:val="auto"/>
          <w:sz w:val="28"/>
          <w:szCs w:val="28"/>
          <w:highlight w:val="none"/>
        </w:rPr>
      </w:pPr>
      <w:r>
        <w:rPr>
          <w:rFonts w:hint="eastAsia" w:ascii="宋体" w:hAnsi="宋体" w:eastAsia="宋体" w:cs="宋体"/>
          <w:color w:val="auto"/>
          <w:sz w:val="24"/>
          <w:szCs w:val="24"/>
          <w:highlight w:val="none"/>
        </w:rPr>
        <w:br w:type="page" w:clear="all"/>
      </w:r>
      <w:r>
        <w:rPr>
          <w:rFonts w:hint="eastAsia" w:ascii="宋体" w:hAnsi="宋体" w:eastAsia="宋体" w:cs="宋体"/>
          <w:b/>
          <w:bCs/>
          <w:color w:val="auto"/>
          <w:sz w:val="28"/>
          <w:szCs w:val="28"/>
          <w:highlight w:val="none"/>
        </w:rPr>
        <w:t>2.资格文件目录</w:t>
      </w:r>
    </w:p>
    <w:p w14:paraId="3D4F4A34">
      <w:pPr>
        <w:spacing w:line="360" w:lineRule="auto"/>
        <w:ind w:firstLine="56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8"/>
          <w:szCs w:val="28"/>
          <w:highlight w:val="none"/>
        </w:rPr>
        <w:t>根据竞争性谈判文件规定及供应商提供的材料自行编写目录（部分格式后附）。</w:t>
      </w:r>
      <w:r>
        <w:rPr>
          <w:rFonts w:hint="eastAsia" w:ascii="宋体" w:hAnsi="宋体" w:eastAsia="宋体" w:cs="宋体"/>
          <w:color w:val="auto"/>
          <w:sz w:val="24"/>
          <w:szCs w:val="24"/>
          <w:highlight w:val="none"/>
        </w:rPr>
        <w:br w:type="page" w:clear="all"/>
      </w:r>
    </w:p>
    <w:p w14:paraId="1F63935A">
      <w:pPr>
        <w:spacing w:before="50" w:after="120" w:line="360" w:lineRule="auto"/>
        <w:jc w:val="both"/>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3.</w:t>
      </w:r>
      <w:r>
        <w:rPr>
          <w:rFonts w:hint="eastAsia" w:ascii="宋体" w:hAnsi="宋体" w:eastAsia="宋体" w:cs="宋体"/>
          <w:b/>
          <w:color w:val="auto"/>
          <w:sz w:val="28"/>
          <w:szCs w:val="28"/>
          <w:highlight w:val="none"/>
          <w:lang w:eastAsia="zh-CN"/>
        </w:rPr>
        <w:t>供应商</w:t>
      </w:r>
      <w:r>
        <w:rPr>
          <w:rFonts w:hint="eastAsia" w:ascii="宋体" w:hAnsi="宋体" w:eastAsia="宋体" w:cs="宋体"/>
          <w:b/>
          <w:color w:val="auto"/>
          <w:sz w:val="28"/>
          <w:szCs w:val="28"/>
          <w:highlight w:val="none"/>
        </w:rPr>
        <w:t>直接控股股东信息表</w:t>
      </w:r>
      <w:r>
        <w:rPr>
          <w:rFonts w:hint="eastAsia" w:ascii="宋体" w:hAnsi="宋体" w:eastAsia="宋体" w:cs="宋体"/>
          <w:b/>
          <w:color w:val="auto"/>
          <w:sz w:val="28"/>
          <w:szCs w:val="28"/>
          <w:highlight w:val="none"/>
          <w:lang w:eastAsia="zh-CN"/>
        </w:rPr>
        <w:t>格式</w:t>
      </w:r>
      <w:r>
        <w:rPr>
          <w:rFonts w:hint="eastAsia" w:ascii="宋体" w:hAnsi="宋体" w:eastAsia="宋体" w:cs="宋体"/>
          <w:color w:val="auto"/>
          <w:sz w:val="28"/>
          <w:szCs w:val="28"/>
          <w:highlight w:val="none"/>
          <w:lang w:eastAsia="zh-CN"/>
        </w:rPr>
        <w:t>：</w:t>
      </w:r>
    </w:p>
    <w:p w14:paraId="709E4388">
      <w:pPr>
        <w:spacing w:before="50" w:after="120"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28"/>
          <w:szCs w:val="28"/>
          <w:highlight w:val="none"/>
          <w:lang w:eastAsia="zh-CN"/>
        </w:rPr>
        <w:t>供应商</w:t>
      </w:r>
      <w:r>
        <w:rPr>
          <w:rFonts w:hint="eastAsia" w:ascii="宋体" w:hAnsi="宋体" w:eastAsia="宋体" w:cs="宋体"/>
          <w:b/>
          <w:color w:val="auto"/>
          <w:sz w:val="28"/>
          <w:szCs w:val="28"/>
          <w:highlight w:val="none"/>
        </w:rPr>
        <w:t>直接控股股东信息表</w:t>
      </w:r>
    </w:p>
    <w:tbl>
      <w:tblPr>
        <w:tblStyle w:val="44"/>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1E26B1D1">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311FAE6">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67330C5">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6A3C812">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B3B91D8">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D343028">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r>
      <w:tr w14:paraId="7F923E8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6B3C4B">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409970">
            <w:pPr>
              <w:spacing w:line="360" w:lineRule="auto"/>
              <w:jc w:val="center"/>
              <w:rPr>
                <w:rFonts w:hint="eastAsia"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DC99E9">
            <w:pPr>
              <w:spacing w:line="360" w:lineRule="auto"/>
              <w:jc w:val="center"/>
              <w:rPr>
                <w:rFonts w:hint="eastAsia"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5753521">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960DE4">
            <w:pPr>
              <w:spacing w:line="360" w:lineRule="auto"/>
              <w:jc w:val="center"/>
              <w:rPr>
                <w:rFonts w:hint="eastAsia" w:ascii="宋体" w:hAnsi="宋体" w:eastAsia="宋体" w:cs="宋体"/>
                <w:color w:val="auto"/>
                <w:sz w:val="24"/>
                <w:highlight w:val="none"/>
              </w:rPr>
            </w:pPr>
          </w:p>
        </w:tc>
      </w:tr>
      <w:tr w14:paraId="5840F3E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835DAD">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FB4662">
            <w:pPr>
              <w:spacing w:line="360" w:lineRule="auto"/>
              <w:jc w:val="center"/>
              <w:rPr>
                <w:rFonts w:hint="eastAsia"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C0AB7C">
            <w:pPr>
              <w:spacing w:line="360" w:lineRule="auto"/>
              <w:jc w:val="center"/>
              <w:rPr>
                <w:rFonts w:hint="eastAsia"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11487C">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C59E3A">
            <w:pPr>
              <w:spacing w:line="360" w:lineRule="auto"/>
              <w:jc w:val="center"/>
              <w:rPr>
                <w:rFonts w:hint="eastAsia" w:ascii="宋体" w:hAnsi="宋体" w:eastAsia="宋体" w:cs="宋体"/>
                <w:color w:val="auto"/>
                <w:sz w:val="24"/>
                <w:highlight w:val="none"/>
              </w:rPr>
            </w:pPr>
          </w:p>
        </w:tc>
      </w:tr>
      <w:tr w14:paraId="4671C8D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5FAEA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218AA4">
            <w:pPr>
              <w:spacing w:line="360" w:lineRule="auto"/>
              <w:jc w:val="center"/>
              <w:rPr>
                <w:rFonts w:hint="eastAsia"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ECE3AF">
            <w:pPr>
              <w:spacing w:line="360" w:lineRule="auto"/>
              <w:jc w:val="center"/>
              <w:rPr>
                <w:rFonts w:hint="eastAsia"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78A195">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A2753E">
            <w:pPr>
              <w:spacing w:line="360" w:lineRule="auto"/>
              <w:jc w:val="center"/>
              <w:rPr>
                <w:rFonts w:hint="eastAsia" w:ascii="宋体" w:hAnsi="宋体" w:eastAsia="宋体" w:cs="宋体"/>
                <w:color w:val="auto"/>
                <w:sz w:val="24"/>
                <w:highlight w:val="none"/>
              </w:rPr>
            </w:pPr>
          </w:p>
        </w:tc>
      </w:tr>
      <w:tr w14:paraId="203E00F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DF0D9D">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693E5F">
            <w:pPr>
              <w:spacing w:line="360" w:lineRule="auto"/>
              <w:jc w:val="center"/>
              <w:rPr>
                <w:rFonts w:hint="eastAsia"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2DD41D">
            <w:pPr>
              <w:spacing w:line="360" w:lineRule="auto"/>
              <w:jc w:val="center"/>
              <w:rPr>
                <w:rFonts w:hint="eastAsia"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BE2377">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E7ED9A">
            <w:pPr>
              <w:spacing w:line="360" w:lineRule="auto"/>
              <w:jc w:val="center"/>
              <w:rPr>
                <w:rFonts w:hint="eastAsia" w:ascii="宋体" w:hAnsi="宋体" w:eastAsia="宋体" w:cs="宋体"/>
                <w:color w:val="auto"/>
                <w:sz w:val="24"/>
                <w:highlight w:val="none"/>
              </w:rPr>
            </w:pPr>
          </w:p>
        </w:tc>
      </w:tr>
    </w:tbl>
    <w:p w14:paraId="5890BA26">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76734A69">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E5A6991">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2.本表所指的控股关系仅限于直接控股关系，不包括间接的控股关系。公司实际控制人与公司之间的关系不属于本表所指的直接控股关系。</w:t>
      </w:r>
    </w:p>
    <w:p w14:paraId="5B623C39">
      <w:pPr>
        <w:spacing w:line="360" w:lineRule="auto"/>
        <w:ind w:firstLine="420"/>
        <w:jc w:val="left"/>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3.供应商不存在直接控股股东的，则填“无”。</w:t>
      </w:r>
    </w:p>
    <w:p w14:paraId="48DF56D1">
      <w:pPr>
        <w:spacing w:line="360" w:lineRule="auto"/>
        <w:jc w:val="left"/>
        <w:rPr>
          <w:rFonts w:hint="eastAsia" w:ascii="宋体" w:hAnsi="宋体" w:eastAsia="宋体" w:cs="宋体"/>
          <w:color w:val="auto"/>
          <w:sz w:val="24"/>
          <w:highlight w:val="none"/>
        </w:rPr>
      </w:pPr>
    </w:p>
    <w:p w14:paraId="2C5A87FC">
      <w:pPr>
        <w:spacing w:line="360" w:lineRule="auto"/>
        <w:jc w:val="left"/>
        <w:rPr>
          <w:rFonts w:hint="eastAsia" w:ascii="宋体" w:hAnsi="宋体" w:eastAsia="宋体" w:cs="宋体"/>
          <w:color w:val="auto"/>
          <w:sz w:val="24"/>
          <w:highlight w:val="none"/>
        </w:rPr>
      </w:pPr>
    </w:p>
    <w:p w14:paraId="58D8B977">
      <w:pPr>
        <w:spacing w:line="360" w:lineRule="auto"/>
        <w:ind w:firstLine="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供应商名称(盖公章)：</w:t>
      </w:r>
    </w:p>
    <w:p w14:paraId="3222A987">
      <w:pPr>
        <w:spacing w:line="360" w:lineRule="auto"/>
        <w:ind w:firstLine="0"/>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日期</w:t>
      </w:r>
      <w:r>
        <w:rPr>
          <w:rFonts w:hint="eastAsia" w:ascii="宋体" w:hAnsi="宋体" w:eastAsia="宋体" w:cs="宋体"/>
          <w:color w:val="auto"/>
          <w:sz w:val="24"/>
          <w:highlight w:val="none"/>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w:t>
      </w:r>
    </w:p>
    <w:p w14:paraId="522C50A8">
      <w:pPr>
        <w:jc w:val="both"/>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clear="all"/>
      </w:r>
      <w:r>
        <w:rPr>
          <w:rFonts w:hint="eastAsia" w:ascii="宋体" w:hAnsi="宋体" w:eastAsia="宋体" w:cs="宋体"/>
          <w:b/>
          <w:color w:val="auto"/>
          <w:sz w:val="32"/>
          <w:szCs w:val="32"/>
          <w:highlight w:val="none"/>
          <w:lang w:val="en-US" w:eastAsia="zh-CN"/>
        </w:rPr>
        <w:t>4.</w:t>
      </w:r>
      <w:r>
        <w:rPr>
          <w:rFonts w:hint="eastAsia" w:ascii="宋体" w:hAnsi="宋体" w:eastAsia="宋体" w:cs="宋体"/>
          <w:b/>
          <w:color w:val="auto"/>
          <w:sz w:val="28"/>
          <w:szCs w:val="28"/>
          <w:highlight w:val="none"/>
          <w:lang w:eastAsia="zh-CN"/>
        </w:rPr>
        <w:t>供应商</w:t>
      </w:r>
      <w:r>
        <w:rPr>
          <w:rFonts w:hint="eastAsia" w:ascii="宋体" w:hAnsi="宋体" w:eastAsia="宋体" w:cs="宋体"/>
          <w:b/>
          <w:color w:val="auto"/>
          <w:sz w:val="28"/>
          <w:szCs w:val="28"/>
          <w:highlight w:val="none"/>
        </w:rPr>
        <w:t>直接管理关系信息表</w:t>
      </w:r>
      <w:r>
        <w:rPr>
          <w:rFonts w:hint="eastAsia" w:ascii="宋体" w:hAnsi="宋体" w:eastAsia="宋体" w:cs="宋体"/>
          <w:b/>
          <w:color w:val="auto"/>
          <w:sz w:val="28"/>
          <w:szCs w:val="28"/>
          <w:highlight w:val="none"/>
          <w:lang w:eastAsia="zh-CN"/>
        </w:rPr>
        <w:t>格式</w:t>
      </w:r>
      <w:r>
        <w:rPr>
          <w:rFonts w:hint="eastAsia" w:ascii="宋体" w:hAnsi="宋体" w:eastAsia="宋体" w:cs="宋体"/>
          <w:color w:val="auto"/>
          <w:sz w:val="28"/>
          <w:szCs w:val="28"/>
          <w:highlight w:val="none"/>
          <w:lang w:eastAsia="zh-CN"/>
        </w:rPr>
        <w:t>：</w:t>
      </w:r>
    </w:p>
    <w:p w14:paraId="3EBAF1B2">
      <w:pPr>
        <w:spacing w:line="360" w:lineRule="auto"/>
        <w:jc w:val="center"/>
        <w:rPr>
          <w:rFonts w:hint="eastAsia" w:ascii="宋体" w:hAnsi="宋体" w:eastAsia="宋体" w:cs="宋体"/>
          <w:b/>
          <w:color w:val="auto"/>
          <w:sz w:val="32"/>
          <w:szCs w:val="32"/>
          <w:highlight w:val="none"/>
        </w:rPr>
      </w:pPr>
    </w:p>
    <w:p w14:paraId="78A1ACD0">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b/>
          <w:color w:val="auto"/>
          <w:sz w:val="28"/>
          <w:szCs w:val="28"/>
          <w:highlight w:val="none"/>
          <w:lang w:eastAsia="zh-CN"/>
        </w:rPr>
        <w:t>供应商</w:t>
      </w:r>
      <w:r>
        <w:rPr>
          <w:rFonts w:hint="eastAsia" w:ascii="宋体" w:hAnsi="宋体" w:eastAsia="宋体" w:cs="宋体"/>
          <w:b/>
          <w:color w:val="auto"/>
          <w:sz w:val="28"/>
          <w:szCs w:val="28"/>
          <w:highlight w:val="none"/>
        </w:rPr>
        <w:t>直接管理关系信息表</w:t>
      </w:r>
    </w:p>
    <w:tbl>
      <w:tblPr>
        <w:tblStyle w:val="44"/>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EF51E22">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C7E4B43">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BCC3810">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AF78A35">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6834B4E">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r>
      <w:tr w14:paraId="49FDA14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4E2992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A175EA3">
            <w:pPr>
              <w:spacing w:line="360" w:lineRule="auto"/>
              <w:jc w:val="center"/>
              <w:rPr>
                <w:rFonts w:hint="eastAsia"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6B1439">
            <w:pPr>
              <w:spacing w:line="360" w:lineRule="auto"/>
              <w:jc w:val="center"/>
              <w:rPr>
                <w:rFonts w:hint="eastAsia"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69AB6D">
            <w:pPr>
              <w:spacing w:line="360" w:lineRule="auto"/>
              <w:jc w:val="center"/>
              <w:rPr>
                <w:rFonts w:hint="eastAsia" w:ascii="宋体" w:hAnsi="宋体" w:eastAsia="宋体" w:cs="宋体"/>
                <w:color w:val="auto"/>
                <w:sz w:val="24"/>
                <w:highlight w:val="none"/>
              </w:rPr>
            </w:pPr>
          </w:p>
        </w:tc>
      </w:tr>
      <w:tr w14:paraId="593FA84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92537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2FB43F">
            <w:pPr>
              <w:spacing w:line="360" w:lineRule="auto"/>
              <w:jc w:val="center"/>
              <w:rPr>
                <w:rFonts w:hint="eastAsia"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BFCED4">
            <w:pPr>
              <w:spacing w:line="360" w:lineRule="auto"/>
              <w:jc w:val="center"/>
              <w:rPr>
                <w:rFonts w:hint="eastAsia"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7866BE">
            <w:pPr>
              <w:spacing w:line="360" w:lineRule="auto"/>
              <w:jc w:val="center"/>
              <w:rPr>
                <w:rFonts w:hint="eastAsia" w:ascii="宋体" w:hAnsi="宋体" w:eastAsia="宋体" w:cs="宋体"/>
                <w:color w:val="auto"/>
                <w:sz w:val="24"/>
                <w:highlight w:val="none"/>
              </w:rPr>
            </w:pPr>
          </w:p>
        </w:tc>
      </w:tr>
      <w:tr w14:paraId="4EFF875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C4DE8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D7DDEE">
            <w:pPr>
              <w:spacing w:line="360" w:lineRule="auto"/>
              <w:jc w:val="center"/>
              <w:rPr>
                <w:rFonts w:hint="eastAsia"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B3D45D">
            <w:pPr>
              <w:spacing w:line="360" w:lineRule="auto"/>
              <w:jc w:val="center"/>
              <w:rPr>
                <w:rFonts w:hint="eastAsia"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E8A5BC">
            <w:pPr>
              <w:spacing w:line="360" w:lineRule="auto"/>
              <w:jc w:val="center"/>
              <w:rPr>
                <w:rFonts w:hint="eastAsia" w:ascii="宋体" w:hAnsi="宋体" w:eastAsia="宋体" w:cs="宋体"/>
                <w:color w:val="auto"/>
                <w:sz w:val="24"/>
                <w:highlight w:val="none"/>
              </w:rPr>
            </w:pPr>
          </w:p>
        </w:tc>
      </w:tr>
      <w:tr w14:paraId="7CB6852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D2651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9AE7622">
            <w:pPr>
              <w:spacing w:line="360" w:lineRule="auto"/>
              <w:jc w:val="center"/>
              <w:rPr>
                <w:rFonts w:hint="eastAsia"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2DB375">
            <w:pPr>
              <w:spacing w:line="360" w:lineRule="auto"/>
              <w:jc w:val="center"/>
              <w:rPr>
                <w:rFonts w:hint="eastAsia"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8270B6">
            <w:pPr>
              <w:spacing w:line="360" w:lineRule="auto"/>
              <w:jc w:val="center"/>
              <w:rPr>
                <w:rFonts w:hint="eastAsia" w:ascii="宋体" w:hAnsi="宋体" w:eastAsia="宋体" w:cs="宋体"/>
                <w:color w:val="auto"/>
                <w:sz w:val="24"/>
                <w:highlight w:val="none"/>
              </w:rPr>
            </w:pPr>
          </w:p>
        </w:tc>
      </w:tr>
    </w:tbl>
    <w:p w14:paraId="632A4440">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485F76EA">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1.管理关系：是指不具有出资持股关系的其他单位之间存在的管理与被管理关系，如一些上下级关系的事业单位和团体组织。</w:t>
      </w:r>
    </w:p>
    <w:p w14:paraId="62CE7923">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pacing w:val="-6"/>
          <w:sz w:val="21"/>
          <w:szCs w:val="21"/>
          <w:highlight w:val="none"/>
        </w:rPr>
        <w:t>本表所指的管理关系仅限于直接管理关系，不包括间接的管理关系。</w:t>
      </w:r>
    </w:p>
    <w:p w14:paraId="3A6D9543">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3.供应商不存在直接管理关系的，则填“无”。</w:t>
      </w:r>
    </w:p>
    <w:p w14:paraId="2B73B360">
      <w:pPr>
        <w:spacing w:line="360" w:lineRule="auto"/>
        <w:jc w:val="left"/>
        <w:rPr>
          <w:rFonts w:hint="eastAsia" w:ascii="宋体" w:hAnsi="宋体" w:eastAsia="宋体" w:cs="宋体"/>
          <w:color w:val="auto"/>
          <w:sz w:val="24"/>
          <w:highlight w:val="none"/>
        </w:rPr>
      </w:pPr>
    </w:p>
    <w:p w14:paraId="3C0FF13B">
      <w:pPr>
        <w:spacing w:line="360" w:lineRule="auto"/>
        <w:jc w:val="left"/>
        <w:rPr>
          <w:rFonts w:hint="eastAsia" w:ascii="宋体" w:hAnsi="宋体" w:eastAsia="宋体" w:cs="宋体"/>
          <w:color w:val="auto"/>
          <w:sz w:val="24"/>
          <w:highlight w:val="none"/>
        </w:rPr>
      </w:pPr>
    </w:p>
    <w:p w14:paraId="2827BD44">
      <w:pPr>
        <w:spacing w:line="360" w:lineRule="auto"/>
        <w:jc w:val="left"/>
        <w:rPr>
          <w:rFonts w:hint="eastAsia" w:ascii="宋体" w:hAnsi="宋体" w:eastAsia="宋体" w:cs="宋体"/>
          <w:color w:val="auto"/>
          <w:sz w:val="24"/>
          <w:highlight w:val="none"/>
        </w:rPr>
      </w:pPr>
    </w:p>
    <w:p w14:paraId="7C3FF8CB">
      <w:pPr>
        <w:spacing w:line="360" w:lineRule="auto"/>
        <w:ind w:firstLine="0"/>
        <w:jc w:val="center"/>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zh-CN"/>
        </w:rPr>
        <w:t>供应商名称(盖公章)：</w:t>
      </w:r>
    </w:p>
    <w:p w14:paraId="022697CF">
      <w:pPr>
        <w:spacing w:line="360" w:lineRule="auto"/>
        <w:ind w:firstLine="0"/>
        <w:jc w:val="center"/>
        <w:rPr>
          <w:rFonts w:hint="eastAsia" w:ascii="宋体" w:hAnsi="宋体" w:eastAsia="宋体" w:cs="宋体"/>
          <w:b w:val="0"/>
          <w:bCs w:val="0"/>
          <w:color w:val="auto"/>
          <w:sz w:val="24"/>
          <w:highlight w:val="none"/>
          <w:lang w:val="zh-CN"/>
        </w:rPr>
      </w:pPr>
      <w:r>
        <w:rPr>
          <w:rFonts w:hint="eastAsia" w:ascii="宋体" w:hAnsi="宋体" w:eastAsia="宋体" w:cs="宋体"/>
          <w:b w:val="0"/>
          <w:bCs w:val="0"/>
          <w:color w:val="auto"/>
          <w:sz w:val="24"/>
          <w:highlight w:val="none"/>
          <w:lang w:val="zh-CN"/>
        </w:rPr>
        <w:t>日期</w:t>
      </w:r>
      <w:r>
        <w:rPr>
          <w:rFonts w:hint="eastAsia" w:ascii="宋体" w:hAnsi="宋体" w:eastAsia="宋体" w:cs="宋体"/>
          <w:b w:val="0"/>
          <w:bCs w:val="0"/>
          <w:color w:val="auto"/>
          <w:sz w:val="24"/>
          <w:highlight w:val="none"/>
        </w:rPr>
        <w:t xml:space="preserve">：  年  </w:t>
      </w:r>
      <w:r>
        <w:rPr>
          <w:rFonts w:hint="eastAsia" w:ascii="宋体" w:hAnsi="宋体" w:eastAsia="宋体" w:cs="宋体"/>
          <w:b w:val="0"/>
          <w:bCs w:val="0"/>
          <w:color w:val="auto"/>
          <w:sz w:val="24"/>
          <w:highlight w:val="none"/>
          <w:lang w:val="zh-CN"/>
        </w:rPr>
        <w:t>月</w:t>
      </w:r>
      <w:r>
        <w:rPr>
          <w:rFonts w:hint="eastAsia" w:ascii="宋体" w:hAnsi="宋体" w:eastAsia="宋体" w:cs="宋体"/>
          <w:b w:val="0"/>
          <w:bCs w:val="0"/>
          <w:color w:val="auto"/>
          <w:sz w:val="24"/>
          <w:highlight w:val="none"/>
        </w:rPr>
        <w:t xml:space="preserve">   </w:t>
      </w:r>
      <w:r>
        <w:rPr>
          <w:rFonts w:hint="eastAsia" w:ascii="宋体" w:hAnsi="宋体" w:eastAsia="宋体" w:cs="宋体"/>
          <w:b w:val="0"/>
          <w:bCs w:val="0"/>
          <w:color w:val="auto"/>
          <w:sz w:val="24"/>
          <w:highlight w:val="none"/>
          <w:lang w:val="zh-CN"/>
        </w:rPr>
        <w:t>日</w:t>
      </w:r>
    </w:p>
    <w:p w14:paraId="4BD3F945">
      <w:pPr>
        <w:spacing w:line="320" w:lineRule="exact"/>
        <w:ind w:firstLine="0"/>
        <w:jc w:val="left"/>
        <w:rPr>
          <w:rFonts w:hint="eastAsia" w:ascii="宋体" w:hAnsi="宋体" w:eastAsia="宋体" w:cs="宋体"/>
          <w:b/>
          <w:bCs/>
          <w:color w:val="auto"/>
          <w:sz w:val="28"/>
          <w:szCs w:val="28"/>
          <w:highlight w:val="none"/>
          <w:lang w:val="en-US" w:eastAsia="zh-CN"/>
        </w:rPr>
      </w:pPr>
    </w:p>
    <w:p w14:paraId="25575625">
      <w:pPr>
        <w:spacing w:line="320" w:lineRule="exact"/>
        <w:ind w:firstLine="0"/>
        <w:jc w:val="left"/>
        <w:rPr>
          <w:rFonts w:hint="eastAsia" w:ascii="宋体" w:hAnsi="宋体" w:eastAsia="宋体" w:cs="宋体"/>
          <w:b/>
          <w:bCs/>
          <w:color w:val="auto"/>
          <w:sz w:val="28"/>
          <w:szCs w:val="28"/>
          <w:highlight w:val="none"/>
          <w:lang w:val="en-US" w:eastAsia="zh-CN"/>
        </w:rPr>
      </w:pPr>
    </w:p>
    <w:p w14:paraId="3CE9F47C">
      <w:pPr>
        <w:spacing w:line="320" w:lineRule="exact"/>
        <w:ind w:firstLine="0"/>
        <w:jc w:val="left"/>
        <w:rPr>
          <w:rFonts w:hint="eastAsia" w:ascii="宋体" w:hAnsi="宋体" w:eastAsia="宋体" w:cs="宋体"/>
          <w:b/>
          <w:bCs/>
          <w:color w:val="auto"/>
          <w:sz w:val="28"/>
          <w:szCs w:val="28"/>
          <w:highlight w:val="none"/>
          <w:lang w:val="en-US" w:eastAsia="zh-CN"/>
        </w:rPr>
      </w:pPr>
    </w:p>
    <w:p w14:paraId="7D222059">
      <w:pPr>
        <w:spacing w:line="320" w:lineRule="exact"/>
        <w:ind w:firstLine="0"/>
        <w:jc w:val="left"/>
        <w:rPr>
          <w:rFonts w:hint="eastAsia" w:ascii="宋体" w:hAnsi="宋体" w:eastAsia="宋体" w:cs="宋体"/>
          <w:b/>
          <w:bCs/>
          <w:color w:val="auto"/>
          <w:sz w:val="28"/>
          <w:szCs w:val="28"/>
          <w:highlight w:val="none"/>
          <w:lang w:val="en-US" w:eastAsia="zh-CN"/>
        </w:rPr>
      </w:pPr>
    </w:p>
    <w:p w14:paraId="4A404CD3">
      <w:pPr>
        <w:spacing w:line="320" w:lineRule="exact"/>
        <w:ind w:firstLine="0"/>
        <w:jc w:val="left"/>
        <w:rPr>
          <w:rFonts w:hint="eastAsia" w:ascii="宋体" w:hAnsi="宋体" w:eastAsia="宋体" w:cs="宋体"/>
          <w:b/>
          <w:bCs/>
          <w:color w:val="auto"/>
          <w:sz w:val="28"/>
          <w:szCs w:val="28"/>
          <w:highlight w:val="none"/>
          <w:lang w:val="en-US" w:eastAsia="zh-CN"/>
        </w:rPr>
      </w:pPr>
    </w:p>
    <w:p w14:paraId="056455ED">
      <w:pPr>
        <w:spacing w:line="320" w:lineRule="exact"/>
        <w:ind w:firstLine="0"/>
        <w:jc w:val="left"/>
        <w:rPr>
          <w:rFonts w:hint="eastAsia" w:ascii="宋体" w:hAnsi="宋体" w:eastAsia="宋体" w:cs="宋体"/>
          <w:b/>
          <w:bCs/>
          <w:color w:val="auto"/>
          <w:sz w:val="28"/>
          <w:szCs w:val="28"/>
          <w:highlight w:val="none"/>
          <w:lang w:val="en-US" w:eastAsia="zh-CN"/>
        </w:rPr>
      </w:pPr>
    </w:p>
    <w:p w14:paraId="47EB96AE">
      <w:pPr>
        <w:spacing w:line="320" w:lineRule="exact"/>
        <w:ind w:firstLine="0"/>
        <w:jc w:val="left"/>
        <w:rPr>
          <w:rFonts w:hint="eastAsia" w:ascii="宋体" w:hAnsi="宋体" w:eastAsia="宋体" w:cs="宋体"/>
          <w:b/>
          <w:bCs/>
          <w:color w:val="auto"/>
          <w:sz w:val="28"/>
          <w:szCs w:val="28"/>
          <w:highlight w:val="none"/>
          <w:lang w:val="en-US" w:eastAsia="zh-CN"/>
        </w:rPr>
      </w:pPr>
    </w:p>
    <w:p w14:paraId="4C439E8F">
      <w:pPr>
        <w:spacing w:line="320" w:lineRule="exact"/>
        <w:ind w:firstLine="0"/>
        <w:jc w:val="left"/>
        <w:rPr>
          <w:rFonts w:hint="eastAsia" w:ascii="宋体" w:hAnsi="宋体" w:eastAsia="宋体" w:cs="宋体"/>
          <w:b/>
          <w:bCs/>
          <w:color w:val="auto"/>
          <w:sz w:val="28"/>
          <w:szCs w:val="28"/>
          <w:highlight w:val="none"/>
          <w:lang w:val="en-US" w:eastAsia="zh-CN"/>
        </w:rPr>
      </w:pPr>
    </w:p>
    <w:p w14:paraId="6CB6D7A5">
      <w:pPr>
        <w:spacing w:line="320" w:lineRule="exact"/>
        <w:ind w:firstLine="0"/>
        <w:jc w:val="left"/>
        <w:rPr>
          <w:rFonts w:hint="eastAsia" w:ascii="宋体" w:hAnsi="宋体" w:eastAsia="宋体" w:cs="宋体"/>
          <w:b/>
          <w:bCs/>
          <w:color w:val="auto"/>
          <w:sz w:val="28"/>
          <w:szCs w:val="28"/>
          <w:highlight w:val="none"/>
          <w:lang w:val="en-US" w:eastAsia="zh-CN"/>
        </w:rPr>
      </w:pPr>
    </w:p>
    <w:p w14:paraId="1CEB2699">
      <w:pPr>
        <w:spacing w:line="320" w:lineRule="exact"/>
        <w:ind w:firstLine="0"/>
        <w:jc w:val="left"/>
        <w:rPr>
          <w:rFonts w:hint="eastAsia" w:ascii="宋体" w:hAnsi="宋体" w:eastAsia="宋体" w:cs="宋体"/>
          <w:b/>
          <w:bCs/>
          <w:color w:val="auto"/>
          <w:sz w:val="28"/>
          <w:szCs w:val="28"/>
          <w:highlight w:val="none"/>
          <w:lang w:val="en-US" w:eastAsia="zh-CN"/>
        </w:rPr>
      </w:pPr>
    </w:p>
    <w:p w14:paraId="35E32C17">
      <w:pPr>
        <w:spacing w:line="320" w:lineRule="exact"/>
        <w:ind w:firstLine="0"/>
        <w:jc w:val="left"/>
        <w:rPr>
          <w:rFonts w:hint="eastAsia" w:ascii="宋体" w:hAnsi="宋体" w:eastAsia="宋体" w:cs="宋体"/>
          <w:b/>
          <w:bCs/>
          <w:color w:val="auto"/>
          <w:sz w:val="28"/>
          <w:szCs w:val="28"/>
          <w:highlight w:val="none"/>
          <w:lang w:val="en-US" w:eastAsia="zh-CN"/>
        </w:rPr>
      </w:pPr>
    </w:p>
    <w:p w14:paraId="58C51D16">
      <w:pPr>
        <w:spacing w:line="320" w:lineRule="exact"/>
        <w:ind w:firstLine="0"/>
        <w:jc w:val="left"/>
        <w:rPr>
          <w:rFonts w:hint="eastAsia" w:ascii="宋体" w:hAnsi="宋体" w:eastAsia="宋体" w:cs="宋体"/>
          <w:b/>
          <w:bCs/>
          <w:color w:val="auto"/>
          <w:sz w:val="28"/>
          <w:szCs w:val="28"/>
          <w:highlight w:val="none"/>
          <w:lang w:val="en-US" w:eastAsia="zh-CN"/>
        </w:rPr>
      </w:pPr>
    </w:p>
    <w:p w14:paraId="5F5D8DA7">
      <w:pPr>
        <w:spacing w:line="320" w:lineRule="exact"/>
        <w:ind w:firstLine="0"/>
        <w:jc w:val="left"/>
        <w:rPr>
          <w:rFonts w:hint="eastAsia" w:ascii="宋体" w:hAnsi="宋体" w:eastAsia="宋体" w:cs="宋体"/>
          <w:b/>
          <w:bCs/>
          <w:color w:val="auto"/>
          <w:sz w:val="28"/>
          <w:szCs w:val="28"/>
          <w:highlight w:val="none"/>
          <w:lang w:val="en-US" w:eastAsia="zh-CN"/>
        </w:rPr>
      </w:pPr>
    </w:p>
    <w:p w14:paraId="6736ED91">
      <w:pPr>
        <w:spacing w:line="320" w:lineRule="exact"/>
        <w:ind w:firstLine="0"/>
        <w:jc w:val="left"/>
        <w:rPr>
          <w:rFonts w:hint="eastAsia" w:ascii="宋体" w:hAnsi="宋体" w:eastAsia="宋体" w:cs="宋体"/>
          <w:b/>
          <w:bCs/>
          <w:color w:val="auto"/>
          <w:sz w:val="28"/>
          <w:szCs w:val="28"/>
          <w:highlight w:val="none"/>
          <w:lang w:val="en-US" w:eastAsia="zh-CN"/>
        </w:rPr>
      </w:pPr>
    </w:p>
    <w:p w14:paraId="27ED1B44">
      <w:pPr>
        <w:spacing w:line="320" w:lineRule="exact"/>
        <w:ind w:firstLine="0"/>
        <w:jc w:val="left"/>
        <w:rPr>
          <w:rFonts w:hint="eastAsia" w:ascii="宋体" w:hAnsi="宋体" w:eastAsia="宋体" w:cs="宋体"/>
          <w:b/>
          <w:bCs/>
          <w:color w:val="auto"/>
          <w:sz w:val="28"/>
          <w:szCs w:val="28"/>
          <w:highlight w:val="none"/>
          <w:lang w:val="en-US" w:eastAsia="zh-CN"/>
        </w:rPr>
      </w:pPr>
    </w:p>
    <w:p w14:paraId="1620140A">
      <w:pPr>
        <w:spacing w:line="320" w:lineRule="exact"/>
        <w:ind w:firstLine="0"/>
        <w:jc w:val="left"/>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lang w:val="en-US" w:eastAsia="zh-CN"/>
        </w:rPr>
        <w:t>5</w:t>
      </w:r>
      <w:r>
        <w:rPr>
          <w:rFonts w:hint="eastAsia" w:ascii="宋体" w:hAnsi="宋体" w:eastAsia="宋体" w:cs="宋体"/>
          <w:b/>
          <w:color w:val="auto"/>
          <w:sz w:val="28"/>
          <w:szCs w:val="28"/>
          <w:highlight w:val="none"/>
          <w:lang w:val="en-US" w:eastAsia="zh-CN"/>
        </w:rPr>
        <w:t>.</w:t>
      </w:r>
      <w:r>
        <w:rPr>
          <w:rFonts w:hint="eastAsia" w:ascii="宋体" w:hAnsi="宋体" w:eastAsia="宋体" w:cs="宋体"/>
          <w:b/>
          <w:color w:val="auto"/>
          <w:sz w:val="28"/>
          <w:szCs w:val="28"/>
          <w:highlight w:val="none"/>
        </w:rPr>
        <w:t>声明函</w:t>
      </w:r>
      <w:r>
        <w:rPr>
          <w:rFonts w:hint="eastAsia" w:ascii="宋体" w:hAnsi="宋体" w:eastAsia="宋体" w:cs="宋体"/>
          <w:b/>
          <w:color w:val="auto"/>
          <w:sz w:val="28"/>
          <w:szCs w:val="28"/>
          <w:highlight w:val="none"/>
          <w:lang w:eastAsia="zh-CN"/>
        </w:rPr>
        <w:t>的格式：</w:t>
      </w:r>
    </w:p>
    <w:p w14:paraId="202EF12A">
      <w:pPr>
        <w:spacing w:line="320" w:lineRule="exact"/>
        <w:jc w:val="center"/>
        <w:rPr>
          <w:rFonts w:hint="eastAsia" w:ascii="宋体" w:hAnsi="宋体" w:eastAsia="宋体" w:cs="宋体"/>
          <w:b/>
          <w:color w:val="auto"/>
          <w:sz w:val="32"/>
          <w:szCs w:val="32"/>
          <w:highlight w:val="none"/>
        </w:rPr>
      </w:pPr>
    </w:p>
    <w:p w14:paraId="1720C960">
      <w:pPr>
        <w:spacing w:line="32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声明函</w:t>
      </w:r>
    </w:p>
    <w:p w14:paraId="6D2617DC">
      <w:pPr>
        <w:spacing w:line="320" w:lineRule="exact"/>
        <w:jc w:val="center"/>
        <w:rPr>
          <w:rFonts w:hint="eastAsia" w:ascii="宋体" w:hAnsi="宋体" w:eastAsia="宋体" w:cs="宋体"/>
          <w:color w:val="auto"/>
          <w:sz w:val="24"/>
          <w:szCs w:val="20"/>
          <w:highlight w:val="none"/>
        </w:rPr>
      </w:pPr>
    </w:p>
    <w:p w14:paraId="35BED2F5">
      <w:pPr>
        <w:spacing w:line="360" w:lineRule="exact"/>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bookmarkStart w:id="143" w:name="PO_3000001871_PM031"/>
      <w:r>
        <w:rPr>
          <w:rFonts w:hint="eastAsia" w:ascii="宋体" w:hAnsi="宋体" w:eastAsia="宋体" w:cs="宋体"/>
          <w:color w:val="auto"/>
          <w:sz w:val="24"/>
          <w:szCs w:val="24"/>
          <w:highlight w:val="none"/>
          <w:u w:val="single"/>
        </w:rPr>
        <w:t>广西科联招标中心有限公司</w:t>
      </w:r>
      <w:bookmarkEnd w:id="143"/>
      <w:r>
        <w:rPr>
          <w:rFonts w:hint="eastAsia" w:ascii="宋体" w:hAnsi="宋体" w:eastAsia="宋体" w:cs="宋体"/>
          <w:color w:val="auto"/>
          <w:sz w:val="24"/>
          <w:szCs w:val="24"/>
          <w:highlight w:val="none"/>
        </w:rPr>
        <w:t>：</w:t>
      </w:r>
    </w:p>
    <w:p w14:paraId="194AE657">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系中华人民共和国合法供应商，经营地址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B9A823E">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我方愿意参加贵方组织的</w:t>
      </w:r>
      <w:bookmarkStart w:id="144" w:name="PO_3000001871_PM002_4"/>
      <w:r>
        <w:rPr>
          <w:rFonts w:hint="eastAsia" w:ascii="宋体" w:hAnsi="宋体" w:eastAsia="宋体" w:cs="宋体"/>
          <w:i/>
          <w:iCs/>
          <w:color w:val="auto"/>
          <w:sz w:val="24"/>
          <w:szCs w:val="24"/>
          <w:highlight w:val="none"/>
          <w:lang w:eastAsia="zh-CN"/>
        </w:rPr>
        <w:t>（</w:t>
      </w:r>
      <w:bookmarkEnd w:id="144"/>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i/>
          <w:iCs/>
          <w:color w:val="auto"/>
          <w:sz w:val="24"/>
          <w:szCs w:val="24"/>
          <w:highlight w:val="none"/>
          <w:lang w:eastAsia="zh-CN"/>
        </w:rPr>
        <w:t>）</w:t>
      </w:r>
      <w:r>
        <w:rPr>
          <w:rFonts w:hint="eastAsia" w:ascii="宋体" w:hAnsi="宋体" w:eastAsia="宋体" w:cs="宋体"/>
          <w:color w:val="auto"/>
          <w:sz w:val="24"/>
          <w:szCs w:val="24"/>
          <w:highlight w:val="none"/>
        </w:rPr>
        <w:t>项目的竞标，为便于贵方公正、择优地确定成交供应商及其竞标产品和</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，我方就本次竞标有关事项郑重声明如下：</w:t>
      </w:r>
    </w:p>
    <w:p w14:paraId="5E773D1E">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1.我方向贵方提交的所有响应文件、资料都是准确的和真实的。</w:t>
      </w:r>
    </w:p>
    <w:p w14:paraId="5F2C98AA">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2.我方不是采购人的附属机构；不是为本次采购项目提供整体设计、规范编制或者项目管理、监理、检测等</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的供应商；在获知本项目采购信息后，与采购人聘请的为此项目提供咨询</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的公司及其附属机构没有任何联系。</w:t>
      </w:r>
    </w:p>
    <w:p w14:paraId="6F40DFA5">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3.在此，我方宣布同意如下：</w:t>
      </w:r>
    </w:p>
    <w:p w14:paraId="7E4183D7">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（1）将按谈判文件的约定履行合同责任和义务；</w:t>
      </w:r>
    </w:p>
    <w:p w14:paraId="119CB926">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（2）已详细审查谈判文件</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全部</w:t>
      </w:r>
      <w:r>
        <w:rPr>
          <w:rFonts w:hint="eastAsia" w:ascii="宋体" w:hAnsi="宋体" w:eastAsia="宋体" w:cs="宋体"/>
          <w:color w:val="auto"/>
          <w:sz w:val="24"/>
          <w:szCs w:val="24"/>
          <w:highlight w:val="none"/>
          <w:lang w:val="en-US" w:eastAsia="zh-CN"/>
        </w:rPr>
        <w:t>内容</w:t>
      </w:r>
      <w:r>
        <w:rPr>
          <w:rFonts w:hint="eastAsia" w:ascii="宋体" w:hAnsi="宋体" w:eastAsia="宋体" w:cs="宋体"/>
          <w:color w:val="auto"/>
          <w:sz w:val="24"/>
          <w:szCs w:val="24"/>
          <w:highlight w:val="none"/>
        </w:rPr>
        <w:t>，包括澄清或者更正公告（如有）；</w:t>
      </w:r>
    </w:p>
    <w:p w14:paraId="613D9F09">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（3）同意提供按照贵方可能要求的与谈判有关的一切数据或者资料。</w:t>
      </w:r>
    </w:p>
    <w:p w14:paraId="42641BA6">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eastAsia="宋体" w:cs="宋体"/>
          <w:color w:val="auto"/>
          <w:sz w:val="24"/>
          <w:szCs w:val="24"/>
          <w:highlight w:val="none"/>
          <w:lang w:eastAsia="zh-CN"/>
        </w:rPr>
        <w:t>重大税收违法失信主体</w:t>
      </w:r>
      <w:r>
        <w:rPr>
          <w:rFonts w:hint="eastAsia" w:ascii="宋体" w:hAnsi="宋体" w:eastAsia="宋体" w:cs="宋体"/>
          <w:color w:val="auto"/>
          <w:sz w:val="24"/>
          <w:szCs w:val="24"/>
          <w:highlight w:val="none"/>
        </w:rPr>
        <w:t>、政府采购严重违法失信行为记录名单。</w:t>
      </w:r>
    </w:p>
    <w:p w14:paraId="7DED83FD">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17DF7D14">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□我方本次响应文件内容中未涉及商业秘密；</w:t>
      </w:r>
    </w:p>
    <w:p w14:paraId="3DA5B60A">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□我方本次响应文件涉及商业秘密的内容有：</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4AA55F7">
      <w:pPr>
        <w:tabs>
          <w:tab w:val="left" w:pos="939"/>
        </w:tabs>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.以上事项如有虚假或者隐瞒，我方愿意承担一切后果，并不再寻求任何旨在减轻或者免除法律责任的辩解。</w:t>
      </w:r>
    </w:p>
    <w:p w14:paraId="1055028C">
      <w:pPr>
        <w:tabs>
          <w:tab w:val="left" w:pos="939"/>
        </w:tabs>
        <w:spacing w:line="360" w:lineRule="exact"/>
        <w:ind w:left="141" w:firstLine="36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12303C47">
      <w:pPr>
        <w:tabs>
          <w:tab w:val="left" w:pos="939"/>
        </w:tabs>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注：如为联合体竞标，盖章处须加盖联合体各方公章，否则其响应文件</w:t>
      </w:r>
      <w:r>
        <w:rPr>
          <w:rFonts w:hint="eastAsia" w:ascii="宋体" w:hAnsi="宋体" w:eastAsia="宋体" w:cs="宋体"/>
          <w:color w:val="auto"/>
          <w:sz w:val="24"/>
          <w:szCs w:val="24"/>
          <w:highlight w:val="none"/>
          <w:lang w:eastAsia="zh-CN"/>
        </w:rPr>
        <w:t>作无效</w:t>
      </w:r>
      <w:r>
        <w:rPr>
          <w:rFonts w:hint="eastAsia" w:ascii="宋体" w:hAnsi="宋体" w:eastAsia="宋体" w:cs="宋体"/>
          <w:color w:val="auto"/>
          <w:sz w:val="24"/>
          <w:szCs w:val="24"/>
          <w:highlight w:val="none"/>
        </w:rPr>
        <w:t>响应处理。</w:t>
      </w:r>
    </w:p>
    <w:p w14:paraId="2F5BBD33">
      <w:pPr>
        <w:tabs>
          <w:tab w:val="left" w:pos="939"/>
        </w:tabs>
        <w:spacing w:line="360" w:lineRule="exact"/>
        <w:ind w:firstLine="480"/>
        <w:contextualSpacing/>
        <w:rPr>
          <w:rFonts w:hint="eastAsia" w:ascii="宋体" w:hAnsi="宋体" w:eastAsia="宋体" w:cs="宋体"/>
          <w:color w:val="auto"/>
          <w:sz w:val="24"/>
          <w:szCs w:val="24"/>
          <w:highlight w:val="none"/>
        </w:rPr>
      </w:pPr>
    </w:p>
    <w:p w14:paraId="5E20F04B">
      <w:pPr>
        <w:spacing w:line="360" w:lineRule="exact"/>
        <w:ind w:left="4365" w:hanging="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3AE6414A">
      <w:pPr>
        <w:spacing w:line="360" w:lineRule="exact"/>
        <w:ind w:firstLine="6120"/>
        <w:rPr>
          <w:rFonts w:hint="eastAsia" w:ascii="宋体" w:hAnsi="宋体" w:eastAsia="宋体" w:cs="宋体"/>
          <w:color w:val="auto"/>
          <w:sz w:val="24"/>
          <w:szCs w:val="24"/>
          <w:highlight w:val="none"/>
          <w:lang w:val="zh-CN"/>
        </w:rPr>
        <w:sectPr>
          <w:footerReference r:id="rId9" w:type="default"/>
          <w:pgSz w:w="11910" w:h="16840"/>
          <w:pgMar w:top="1134" w:right="1134" w:bottom="1134" w:left="1134" w:header="720" w:footer="720" w:gutter="0"/>
          <w:cols w:space="720" w:num="1"/>
        </w:sectPr>
      </w:pPr>
      <w:r>
        <w:rPr>
          <w:rFonts w:hint="eastAsia" w:ascii="宋体" w:hAnsi="宋体" w:eastAsia="宋体" w:cs="宋体"/>
          <w:color w:val="auto"/>
          <w:sz w:val="24"/>
          <w:szCs w:val="24"/>
          <w:highlight w:val="none"/>
          <w:lang w:val="zh-CN"/>
        </w:rPr>
        <w:t>日期：  年  月   日</w:t>
      </w:r>
    </w:p>
    <w:p w14:paraId="04435C3E">
      <w:pPr>
        <w:spacing w:line="520" w:lineRule="exact"/>
        <w:rPr>
          <w:rFonts w:hint="eastAsia" w:ascii="宋体" w:hAnsi="宋体" w:eastAsia="宋体" w:cs="宋体"/>
          <w:b/>
          <w:bCs/>
          <w:color w:val="auto"/>
          <w:sz w:val="32"/>
          <w:szCs w:val="32"/>
          <w:highlight w:val="none"/>
        </w:rPr>
      </w:pP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lang w:eastAsia="zh-CN"/>
        </w:rPr>
        <w:t>联合体竞标协议书的格式：</w:t>
      </w:r>
    </w:p>
    <w:p w14:paraId="2B799E6E">
      <w:pPr>
        <w:spacing w:line="600" w:lineRule="exact"/>
        <w:jc w:val="center"/>
        <w:rPr>
          <w:rFonts w:hint="eastAsia" w:ascii="宋体" w:hAnsi="宋体" w:eastAsia="宋体" w:cs="宋体"/>
          <w:color w:val="auto"/>
          <w:sz w:val="44"/>
          <w:szCs w:val="44"/>
          <w:highlight w:val="none"/>
          <w:lang w:val="zh-CN" w:eastAsia="zh-CN"/>
        </w:rPr>
      </w:pPr>
    </w:p>
    <w:p w14:paraId="2C57D217">
      <w:pPr>
        <w:spacing w:line="600" w:lineRule="exact"/>
        <w:jc w:val="center"/>
        <w:rPr>
          <w:rFonts w:hint="eastAsia" w:ascii="宋体" w:hAnsi="宋体" w:eastAsia="宋体" w:cs="宋体"/>
          <w:color w:val="auto"/>
          <w:sz w:val="44"/>
          <w:szCs w:val="44"/>
          <w:highlight w:val="none"/>
          <w:lang w:val="zh-CN" w:eastAsia="zh-CN"/>
        </w:rPr>
      </w:pPr>
      <w:r>
        <w:rPr>
          <w:rFonts w:hint="eastAsia" w:ascii="宋体" w:hAnsi="宋体" w:eastAsia="宋体" w:cs="宋体"/>
          <w:b/>
          <w:bCs/>
          <w:color w:val="auto"/>
          <w:sz w:val="32"/>
          <w:szCs w:val="32"/>
          <w:highlight w:val="none"/>
          <w:lang w:val="zh-CN" w:eastAsia="zh-CN"/>
        </w:rPr>
        <w:t>联合体竞标协议书</w:t>
      </w:r>
    </w:p>
    <w:p w14:paraId="56CAB8AE">
      <w:pPr>
        <w:spacing w:line="360" w:lineRule="auto"/>
        <w:jc w:val="left"/>
        <w:rPr>
          <w:rFonts w:hint="eastAsia" w:ascii="宋体" w:hAnsi="宋体" w:eastAsia="宋体" w:cs="宋体"/>
          <w:color w:val="auto"/>
          <w:szCs w:val="21"/>
          <w:highlight w:val="none"/>
          <w:u w:val="single"/>
        </w:rPr>
      </w:pPr>
    </w:p>
    <w:p w14:paraId="66F36FBE">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（所有成员单位名称）自愿组成联合体，共同参加</w:t>
      </w:r>
      <w:r>
        <w:rPr>
          <w:rFonts w:hint="eastAsia" w:ascii="宋体" w:hAnsi="宋体" w:eastAsia="宋体" w:cs="宋体"/>
          <w:color w:val="auto"/>
          <w:sz w:val="24"/>
          <w:szCs w:val="24"/>
          <w:highlight w:val="none"/>
          <w:u w:val="single"/>
        </w:rPr>
        <w:t xml:space="preserve"> </w:t>
      </w:r>
      <w:bookmarkStart w:id="145" w:name="PO_3000001871_PM031_4"/>
      <w:r>
        <w:rPr>
          <w:rFonts w:hint="eastAsia" w:ascii="宋体" w:hAnsi="宋体" w:eastAsia="宋体" w:cs="宋体"/>
          <w:color w:val="auto"/>
          <w:sz w:val="24"/>
          <w:szCs w:val="24"/>
          <w:highlight w:val="none"/>
          <w:u w:val="single"/>
        </w:rPr>
        <w:t>广西科联招标中心有限公司</w:t>
      </w:r>
      <w:bookmarkEnd w:id="145"/>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 xml:space="preserve"> </w:t>
      </w:r>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（项目编号：</w:t>
      </w:r>
      <w:bookmarkStart w:id="146" w:name="PO_3000001871_PM001_4"/>
      <w:r>
        <w:rPr>
          <w:rFonts w:hint="eastAsia" w:ascii="宋体" w:hAnsi="宋体" w:eastAsia="宋体" w:cs="宋体"/>
          <w:i/>
          <w:iCs/>
          <w:color w:val="auto"/>
          <w:sz w:val="24"/>
          <w:szCs w:val="24"/>
          <w:highlight w:val="none"/>
          <w:lang w:eastAsia="zh-CN"/>
        </w:rPr>
        <w:t>（</w:t>
      </w:r>
      <w:bookmarkEnd w:id="146"/>
      <w:r>
        <w:rPr>
          <w:rFonts w:hint="eastAsia" w:ascii="宋体" w:hAnsi="宋体" w:eastAsia="宋体" w:cs="宋体"/>
          <w:i/>
          <w:iCs/>
          <w:color w:val="auto"/>
          <w:sz w:val="24"/>
          <w:szCs w:val="24"/>
          <w:highlight w:val="none"/>
          <w:u w:val="single"/>
          <w:lang w:eastAsia="zh-CN"/>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）竞争性谈判采购。现就联合体竞标事宜订立如下协议：</w:t>
      </w:r>
    </w:p>
    <w:p w14:paraId="57543E98">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（某成员单位名称）为联合体名称牵头人。</w:t>
      </w:r>
    </w:p>
    <w:p w14:paraId="3D5943B7">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0CF8FBCB">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14:paraId="3AF56326">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4、联合体各成员单位内部的职责分工如下</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AE91AF6">
      <w:pPr>
        <w:spacing w:line="360" w:lineRule="exact"/>
        <w:ind w:firstLine="48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5、本联合体中</w:t>
      </w:r>
      <w:r>
        <w:rPr>
          <w:rFonts w:hint="eastAsia" w:ascii="宋体" w:hAnsi="宋体" w:eastAsia="宋体" w:cs="宋体"/>
          <w:color w:val="auto"/>
          <w:sz w:val="24"/>
          <w:szCs w:val="24"/>
          <w:highlight w:val="none"/>
          <w:u w:val="none"/>
          <w:lang w:val="zh-CN"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zh-CN" w:eastAsia="zh-CN"/>
        </w:rPr>
        <w:t>（某成员单位名称）为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eastAsia="zh-CN"/>
        </w:rPr>
        <w:t>（请填写：中型、小型、微型）企业，其协议合同金额占联合体协议合同总金额的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eastAsia="zh-CN"/>
        </w:rPr>
        <w:t>%。【如联合体成员中有小型、微型企业的，请填写此条，否则无需填写；如联合体成员中有多个小型、微型企业的，请逐一列出。】</w:t>
      </w:r>
    </w:p>
    <w:p w14:paraId="6F363751">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6、本协议书自签署之日起生效，合同履行完毕后自动失效。</w:t>
      </w:r>
    </w:p>
    <w:p w14:paraId="4FE27E49">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7、本协议书一式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份，联合体成员和采购代理机构各执一份。</w:t>
      </w:r>
    </w:p>
    <w:p w14:paraId="0AD48C06">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注：本协议书由法定代表人签字的，应附法定代表人身份证明；本协议书由委托代理人签字的，应附法定代表人授权委托书。</w:t>
      </w:r>
    </w:p>
    <w:p w14:paraId="2221BB03">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（盖公章）</w:t>
      </w:r>
    </w:p>
    <w:p w14:paraId="2E7584B2">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498412C6">
      <w:pPr>
        <w:spacing w:line="360" w:lineRule="exact"/>
        <w:jc w:val="left"/>
        <w:rPr>
          <w:rFonts w:hint="eastAsia" w:ascii="宋体" w:hAnsi="宋体" w:eastAsia="宋体" w:cs="宋体"/>
          <w:color w:val="auto"/>
          <w:sz w:val="24"/>
          <w:szCs w:val="24"/>
          <w:highlight w:val="none"/>
        </w:rPr>
      </w:pPr>
    </w:p>
    <w:p w14:paraId="6A659729">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成员一名称：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（盖公章）</w:t>
      </w:r>
    </w:p>
    <w:p w14:paraId="2F436445">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0E3334CB">
      <w:pPr>
        <w:spacing w:line="360" w:lineRule="exact"/>
        <w:jc w:val="left"/>
        <w:rPr>
          <w:rFonts w:hint="eastAsia" w:ascii="宋体" w:hAnsi="宋体" w:eastAsia="宋体" w:cs="宋体"/>
          <w:color w:val="auto"/>
          <w:szCs w:val="21"/>
          <w:highlight w:val="none"/>
        </w:rPr>
      </w:pPr>
    </w:p>
    <w:p w14:paraId="5D1B91ED">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（盖公章）</w:t>
      </w:r>
    </w:p>
    <w:p w14:paraId="5A74048C">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                         （签字）</w:t>
      </w:r>
    </w:p>
    <w:p w14:paraId="3E90F23C">
      <w:pPr>
        <w:pStyle w:val="7"/>
        <w:spacing w:line="3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56AAD94B">
      <w:pPr>
        <w:spacing w:line="360" w:lineRule="exact"/>
        <w:jc w:val="left"/>
        <w:rPr>
          <w:rFonts w:hint="eastAsia" w:ascii="宋体" w:hAnsi="宋体" w:eastAsia="宋体" w:cs="宋体"/>
          <w:color w:val="auto"/>
          <w:sz w:val="24"/>
          <w:szCs w:val="24"/>
          <w:highlight w:val="none"/>
        </w:rPr>
      </w:pPr>
    </w:p>
    <w:p w14:paraId="4F002E2E">
      <w:pPr>
        <w:spacing w:line="360" w:lineRule="exact"/>
        <w:jc w:val="left"/>
        <w:rPr>
          <w:rFonts w:hint="eastAsia" w:ascii="宋体" w:hAnsi="宋体" w:eastAsia="宋体" w:cs="宋体"/>
          <w:color w:val="auto"/>
          <w:sz w:val="24"/>
          <w:szCs w:val="24"/>
          <w:highlight w:val="none"/>
        </w:rPr>
      </w:pPr>
    </w:p>
    <w:p w14:paraId="0A76E7DB">
      <w:pPr>
        <w:spacing w:line="360" w:lineRule="exact"/>
        <w:ind w:left="4365" w:hanging="480"/>
        <w:rPr>
          <w:rFonts w:hint="eastAsia" w:ascii="宋体" w:hAnsi="宋体" w:eastAsia="宋体" w:cs="宋体"/>
          <w:color w:val="auto"/>
          <w:sz w:val="24"/>
          <w:szCs w:val="24"/>
          <w:highlight w:val="none"/>
        </w:rPr>
      </w:pPr>
    </w:p>
    <w:p w14:paraId="40BB5252">
      <w:pPr>
        <w:spacing w:line="360" w:lineRule="exact"/>
        <w:ind w:firstLine="61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5EA1D0AD">
      <w:pPr>
        <w:spacing w:line="360" w:lineRule="exact"/>
        <w:ind w:firstLine="6120"/>
        <w:rPr>
          <w:rFonts w:hint="eastAsia" w:ascii="宋体" w:hAnsi="宋体" w:eastAsia="宋体" w:cs="宋体"/>
          <w:color w:val="auto"/>
          <w:sz w:val="24"/>
          <w:szCs w:val="24"/>
          <w:highlight w:val="none"/>
          <w:lang w:val="zh-CN"/>
        </w:rPr>
      </w:pPr>
    </w:p>
    <w:p w14:paraId="7BCE56CB">
      <w:pPr>
        <w:spacing w:line="360" w:lineRule="auto"/>
        <w:ind w:firstLine="6120"/>
        <w:rPr>
          <w:rFonts w:hint="eastAsia" w:ascii="宋体" w:hAnsi="宋体" w:eastAsia="宋体" w:cs="宋体"/>
          <w:color w:val="auto"/>
          <w:sz w:val="24"/>
          <w:szCs w:val="24"/>
          <w:highlight w:val="none"/>
          <w:lang w:val="zh-CN"/>
        </w:rPr>
      </w:pPr>
    </w:p>
    <w:p w14:paraId="4F2F435B">
      <w:pPr>
        <w:keepNext/>
        <w:keepLines/>
        <w:spacing w:before="260" w:after="260" w:line="416" w:lineRule="auto"/>
        <w:jc w:val="center"/>
        <w:outlineLvl w:val="1"/>
        <w:rPr>
          <w:rFonts w:hint="eastAsia" w:ascii="宋体" w:hAnsi="宋体" w:eastAsia="宋体" w:cs="宋体"/>
          <w:bCs/>
          <w:color w:val="auto"/>
          <w:sz w:val="32"/>
          <w:szCs w:val="32"/>
          <w:highlight w:val="none"/>
          <w:lang w:val="zh-CN" w:eastAsia="zh-CN"/>
        </w:rPr>
      </w:pPr>
      <w:bookmarkStart w:id="147" w:name="_Toc798"/>
      <w:bookmarkStart w:id="148" w:name="_Toc26899"/>
      <w:bookmarkStart w:id="149" w:name="_Toc80205940"/>
      <w:r>
        <w:rPr>
          <w:rFonts w:hint="eastAsia" w:ascii="宋体" w:hAnsi="宋体" w:eastAsia="宋体" w:cs="宋体"/>
          <w:color w:val="auto"/>
          <w:sz w:val="32"/>
          <w:szCs w:val="32"/>
          <w:highlight w:val="none"/>
          <w:lang w:val="zh-CN" w:eastAsia="zh-CN"/>
        </w:rPr>
        <w:t xml:space="preserve">第二节 </w:t>
      </w:r>
      <w:r>
        <w:rPr>
          <w:rFonts w:hint="eastAsia" w:ascii="宋体" w:hAnsi="宋体" w:eastAsia="宋体" w:cs="宋体"/>
          <w:bCs/>
          <w:color w:val="auto"/>
          <w:sz w:val="32"/>
          <w:szCs w:val="32"/>
          <w:highlight w:val="none"/>
          <w:lang w:val="zh-CN" w:eastAsia="zh-CN"/>
        </w:rPr>
        <w:t>商务技术文件格式</w:t>
      </w:r>
      <w:bookmarkEnd w:id="147"/>
      <w:bookmarkEnd w:id="148"/>
      <w:bookmarkEnd w:id="149"/>
    </w:p>
    <w:p w14:paraId="39BD6F87">
      <w:pPr>
        <w:spacing w:before="120" w:after="50"/>
        <w:rPr>
          <w:rFonts w:hint="eastAsia" w:ascii="宋体" w:hAnsi="宋体" w:eastAsia="宋体" w:cs="宋体"/>
          <w:color w:val="auto"/>
          <w:sz w:val="24"/>
          <w:szCs w:val="24"/>
          <w:highlight w:val="none"/>
        </w:rPr>
      </w:pPr>
      <w:r>
        <w:rPr>
          <w:rFonts w:hint="eastAsia" w:ascii="宋体" w:hAnsi="宋体" w:eastAsia="宋体" w:cs="宋体"/>
          <w:b/>
          <w:color w:val="auto"/>
          <w:sz w:val="28"/>
          <w:szCs w:val="28"/>
          <w:highlight w:val="none"/>
          <w:lang w:val="en-US" w:eastAsia="zh-CN"/>
        </w:rPr>
        <w:t>1.</w:t>
      </w:r>
      <w:r>
        <w:rPr>
          <w:rFonts w:hint="eastAsia" w:ascii="宋体" w:hAnsi="宋体" w:eastAsia="宋体" w:cs="宋体"/>
          <w:b/>
          <w:color w:val="auto"/>
          <w:sz w:val="28"/>
          <w:szCs w:val="28"/>
          <w:highlight w:val="none"/>
        </w:rPr>
        <w:t>商务</w:t>
      </w:r>
      <w:r>
        <w:rPr>
          <w:rFonts w:hint="eastAsia" w:ascii="宋体" w:hAnsi="宋体" w:eastAsia="宋体" w:cs="宋体"/>
          <w:b/>
          <w:color w:val="auto"/>
          <w:sz w:val="28"/>
          <w:szCs w:val="28"/>
          <w:highlight w:val="none"/>
          <w:lang w:eastAsia="zh-CN"/>
        </w:rPr>
        <w:t>技术</w:t>
      </w:r>
      <w:r>
        <w:rPr>
          <w:rFonts w:hint="eastAsia" w:ascii="宋体" w:hAnsi="宋体" w:eastAsia="宋体" w:cs="宋体"/>
          <w:b/>
          <w:color w:val="auto"/>
          <w:sz w:val="28"/>
          <w:szCs w:val="28"/>
          <w:highlight w:val="none"/>
        </w:rPr>
        <w:t>文件封面</w:t>
      </w:r>
      <w:r>
        <w:rPr>
          <w:rFonts w:hint="eastAsia" w:ascii="宋体" w:hAnsi="宋体" w:eastAsia="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eastAsia="宋体" w:cs="宋体"/>
          <w:b/>
          <w:bCs/>
          <w:color w:val="auto"/>
          <w:sz w:val="28"/>
          <w:szCs w:val="28"/>
          <w:highlight w:val="none"/>
        </w:rPr>
        <w:t>（参照此格式自拟）</w:t>
      </w:r>
      <w:r>
        <w:rPr>
          <w:rFonts w:hint="eastAsia" w:ascii="宋体" w:hAnsi="宋体" w:eastAsia="宋体" w:cs="宋体"/>
          <w:b/>
          <w:color w:val="auto"/>
          <w:sz w:val="28"/>
          <w:szCs w:val="28"/>
          <w:highlight w:val="none"/>
        </w:rPr>
        <w:t>：</w:t>
      </w:r>
      <w:r>
        <w:rPr>
          <w:rFonts w:hint="eastAsia" w:ascii="宋体" w:hAnsi="宋体" w:eastAsia="宋体" w:cs="宋体"/>
          <w:color w:val="auto"/>
          <w:sz w:val="24"/>
          <w:szCs w:val="24"/>
          <w:highlight w:val="none"/>
        </w:rPr>
        <w:t xml:space="preserve">                                                   </w:t>
      </w:r>
    </w:p>
    <w:p w14:paraId="1E7C7897">
      <w:pPr>
        <w:spacing w:before="120" w:after="50"/>
        <w:ind w:firstLine="6480"/>
        <w:rPr>
          <w:rFonts w:hint="eastAsia" w:ascii="宋体" w:hAnsi="宋体" w:eastAsia="宋体" w:cs="宋体"/>
          <w:bCs/>
          <w:color w:val="auto"/>
          <w:sz w:val="32"/>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Cs w:val="24"/>
          <w:highlight w:val="none"/>
        </w:rPr>
        <w:t>全流程电子文件</w:t>
      </w:r>
    </w:p>
    <w:p w14:paraId="6197C14D">
      <w:pPr>
        <w:spacing w:before="120" w:after="50"/>
        <w:rPr>
          <w:rFonts w:hint="eastAsia" w:ascii="宋体" w:hAnsi="宋体" w:eastAsia="宋体" w:cs="宋体"/>
          <w:color w:val="auto"/>
          <w:sz w:val="24"/>
          <w:szCs w:val="20"/>
          <w:highlight w:val="none"/>
        </w:rPr>
      </w:pPr>
    </w:p>
    <w:p w14:paraId="309EC721">
      <w:pPr>
        <w:spacing w:before="120" w:after="50"/>
        <w:rPr>
          <w:rFonts w:hint="eastAsia" w:ascii="宋体" w:hAnsi="宋体" w:eastAsia="宋体" w:cs="宋体"/>
          <w:color w:val="auto"/>
          <w:sz w:val="24"/>
          <w:szCs w:val="20"/>
          <w:highlight w:val="none"/>
        </w:rPr>
      </w:pPr>
    </w:p>
    <w:p w14:paraId="54B46E29">
      <w:pPr>
        <w:spacing w:before="120" w:after="50"/>
        <w:rPr>
          <w:rFonts w:hint="eastAsia" w:ascii="宋体" w:hAnsi="宋体" w:eastAsia="宋体" w:cs="宋体"/>
          <w:color w:val="auto"/>
          <w:sz w:val="24"/>
          <w:szCs w:val="20"/>
          <w:highlight w:val="none"/>
        </w:rPr>
      </w:pPr>
    </w:p>
    <w:p w14:paraId="064C9547">
      <w:pPr>
        <w:spacing w:before="12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w:t>
      </w:r>
    </w:p>
    <w:p w14:paraId="5FD54271">
      <w:pPr>
        <w:spacing w:before="120" w:after="50"/>
        <w:rPr>
          <w:rFonts w:hint="eastAsia" w:ascii="宋体" w:hAnsi="宋体" w:eastAsia="宋体" w:cs="宋体"/>
          <w:bCs/>
          <w:color w:val="auto"/>
          <w:sz w:val="24"/>
          <w:szCs w:val="20"/>
          <w:highlight w:val="none"/>
        </w:rPr>
      </w:pPr>
    </w:p>
    <w:p w14:paraId="6A7A828A">
      <w:pPr>
        <w:spacing w:before="120" w:after="50"/>
        <w:rPr>
          <w:rFonts w:hint="eastAsia" w:ascii="宋体" w:hAnsi="宋体" w:eastAsia="宋体" w:cs="宋体"/>
          <w:bCs/>
          <w:color w:val="auto"/>
          <w:sz w:val="24"/>
          <w:szCs w:val="20"/>
          <w:highlight w:val="none"/>
        </w:rPr>
      </w:pPr>
    </w:p>
    <w:p w14:paraId="6FAE3181">
      <w:pPr>
        <w:spacing w:before="120" w:after="50"/>
        <w:rPr>
          <w:rFonts w:hint="eastAsia" w:ascii="宋体" w:hAnsi="宋体" w:eastAsia="宋体" w:cs="宋体"/>
          <w:bCs/>
          <w:color w:val="auto"/>
          <w:sz w:val="24"/>
          <w:szCs w:val="20"/>
          <w:highlight w:val="none"/>
        </w:rPr>
      </w:pPr>
    </w:p>
    <w:p w14:paraId="1BADA859">
      <w:pPr>
        <w:spacing w:before="120" w:after="50"/>
        <w:rPr>
          <w:rFonts w:hint="eastAsia" w:ascii="宋体" w:hAnsi="宋体" w:eastAsia="宋体" w:cs="宋体"/>
          <w:bCs/>
          <w:color w:val="auto"/>
          <w:sz w:val="24"/>
          <w:szCs w:val="20"/>
          <w:highlight w:val="none"/>
        </w:rPr>
      </w:pPr>
    </w:p>
    <w:p w14:paraId="5FD4C0BD">
      <w:pPr>
        <w:spacing w:before="120" w:after="50"/>
        <w:rPr>
          <w:rFonts w:hint="eastAsia" w:ascii="宋体" w:hAnsi="宋体" w:eastAsia="宋体" w:cs="宋体"/>
          <w:bCs/>
          <w:color w:val="auto"/>
          <w:sz w:val="24"/>
          <w:szCs w:val="20"/>
          <w:highlight w:val="none"/>
        </w:rPr>
      </w:pPr>
    </w:p>
    <w:p w14:paraId="3AF1B065">
      <w:pPr>
        <w:spacing w:before="120" w:after="50"/>
        <w:ind w:firstLine="64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eastAsia="宋体" w:cs="宋体"/>
          <w:bCs/>
          <w:color w:val="auto"/>
          <w:sz w:val="32"/>
          <w:szCs w:val="32"/>
          <w:highlight w:val="none"/>
          <w:lang w:val="en-US" w:eastAsia="zh-CN"/>
        </w:rPr>
        <w:t xml:space="preserve"> </w:t>
      </w:r>
    </w:p>
    <w:p w14:paraId="58BAB342">
      <w:pPr>
        <w:spacing w:before="120" w:after="50"/>
        <w:ind w:firstLine="720"/>
        <w:rPr>
          <w:rFonts w:hint="eastAsia" w:ascii="宋体" w:hAnsi="宋体" w:eastAsia="宋体" w:cs="宋体"/>
          <w:bCs/>
          <w:color w:val="auto"/>
          <w:sz w:val="32"/>
          <w:szCs w:val="32"/>
          <w:highlight w:val="none"/>
        </w:rPr>
      </w:pPr>
    </w:p>
    <w:p w14:paraId="6260D438">
      <w:pPr>
        <w:spacing w:before="120" w:after="50"/>
        <w:ind w:firstLine="640"/>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rPr>
        <w:t>项目编号：</w:t>
      </w:r>
      <w:r>
        <w:rPr>
          <w:rFonts w:hint="eastAsia" w:ascii="宋体" w:hAnsi="宋体" w:eastAsia="宋体" w:cs="宋体"/>
          <w:bCs/>
          <w:color w:val="auto"/>
          <w:sz w:val="32"/>
          <w:szCs w:val="32"/>
          <w:highlight w:val="none"/>
          <w:lang w:val="en-US" w:eastAsia="zh-CN"/>
        </w:rPr>
        <w:t xml:space="preserve"> </w:t>
      </w:r>
    </w:p>
    <w:p w14:paraId="4105153B">
      <w:pPr>
        <w:spacing w:before="120"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3A1DDC06">
      <w:pPr>
        <w:spacing w:before="120"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73A89AF0">
      <w:pPr>
        <w:spacing w:before="120" w:after="50"/>
        <w:ind w:firstLine="720"/>
        <w:rPr>
          <w:rFonts w:hint="eastAsia" w:ascii="宋体" w:hAnsi="宋体" w:eastAsia="宋体" w:cs="宋体"/>
          <w:bCs/>
          <w:color w:val="auto"/>
          <w:sz w:val="32"/>
          <w:szCs w:val="32"/>
          <w:highlight w:val="none"/>
        </w:rPr>
      </w:pPr>
    </w:p>
    <w:p w14:paraId="128330F1">
      <w:pPr>
        <w:spacing w:before="50"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D84E5AE">
      <w:pPr>
        <w:spacing w:before="50" w:after="50"/>
        <w:ind w:firstLine="720"/>
        <w:rPr>
          <w:rFonts w:hint="eastAsia" w:ascii="宋体" w:hAnsi="宋体" w:eastAsia="宋体" w:cs="宋体"/>
          <w:bCs/>
          <w:color w:val="auto"/>
          <w:sz w:val="32"/>
          <w:szCs w:val="32"/>
          <w:highlight w:val="none"/>
        </w:rPr>
      </w:pPr>
    </w:p>
    <w:p w14:paraId="4311ED56">
      <w:pPr>
        <w:spacing w:before="50" w:after="50"/>
        <w:ind w:firstLine="720"/>
        <w:rPr>
          <w:rFonts w:hint="eastAsia" w:ascii="宋体" w:hAnsi="宋体" w:eastAsia="宋体" w:cs="宋体"/>
          <w:bCs/>
          <w:color w:val="auto"/>
          <w:sz w:val="32"/>
          <w:szCs w:val="32"/>
          <w:highlight w:val="none"/>
        </w:rPr>
      </w:pPr>
    </w:p>
    <w:p w14:paraId="52505888">
      <w:pPr>
        <w:spacing w:before="50" w:after="50"/>
        <w:ind w:firstLine="1280"/>
        <w:rPr>
          <w:rFonts w:hint="eastAsia" w:ascii="宋体" w:hAnsi="宋体" w:eastAsia="宋体" w:cs="宋体"/>
          <w:bCs/>
          <w:color w:val="auto"/>
          <w:sz w:val="32"/>
          <w:szCs w:val="32"/>
          <w:highlight w:val="none"/>
        </w:rPr>
      </w:pPr>
    </w:p>
    <w:p w14:paraId="16C85F28">
      <w:pPr>
        <w:spacing w:before="12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A30789A">
      <w:pPr>
        <w:spacing w:line="360" w:lineRule="auto"/>
        <w:ind w:right="420"/>
        <w:rPr>
          <w:rFonts w:hint="eastAsia" w:ascii="宋体" w:hAnsi="宋体" w:eastAsia="宋体" w:cs="宋体"/>
          <w:color w:val="auto"/>
          <w:sz w:val="24"/>
          <w:szCs w:val="20"/>
          <w:highlight w:val="none"/>
        </w:rPr>
      </w:pPr>
      <w:r>
        <w:rPr>
          <w:rFonts w:hint="eastAsia" w:ascii="宋体" w:hAnsi="宋体" w:eastAsia="宋体" w:cs="宋体"/>
          <w:color w:val="auto"/>
          <w:sz w:val="24"/>
          <w:szCs w:val="24"/>
          <w:highlight w:val="none"/>
        </w:rPr>
        <w:br w:type="page" w:clear="all"/>
      </w:r>
      <w:r>
        <w:rPr>
          <w:rFonts w:hint="eastAsia" w:ascii="宋体" w:hAnsi="宋体" w:eastAsia="宋体" w:cs="宋体"/>
          <w:b/>
          <w:bCs/>
          <w:color w:val="auto"/>
          <w:sz w:val="28"/>
          <w:szCs w:val="28"/>
          <w:highlight w:val="none"/>
          <w:lang w:val="en-US"/>
        </w:rPr>
        <w:t>2</w:t>
      </w:r>
      <w:r>
        <w:rPr>
          <w:rFonts w:hint="eastAsia" w:ascii="宋体" w:hAnsi="宋体" w:eastAsia="宋体" w:cs="宋体"/>
          <w:b/>
          <w:bCs/>
          <w:color w:val="auto"/>
          <w:sz w:val="28"/>
          <w:szCs w:val="28"/>
          <w:highlight w:val="none"/>
        </w:rPr>
        <w:t>.商务</w:t>
      </w:r>
      <w:r>
        <w:rPr>
          <w:rFonts w:hint="eastAsia" w:ascii="宋体" w:hAnsi="宋体" w:eastAsia="宋体" w:cs="宋体"/>
          <w:b/>
          <w:bCs/>
          <w:color w:val="auto"/>
          <w:sz w:val="28"/>
          <w:szCs w:val="28"/>
          <w:highlight w:val="none"/>
          <w:lang w:eastAsia="zh-CN"/>
        </w:rPr>
        <w:t>技术</w:t>
      </w:r>
      <w:r>
        <w:rPr>
          <w:rFonts w:hint="eastAsia" w:ascii="宋体" w:hAnsi="宋体" w:eastAsia="宋体" w:cs="宋体"/>
          <w:b/>
          <w:bCs/>
          <w:color w:val="auto"/>
          <w:sz w:val="28"/>
          <w:szCs w:val="28"/>
          <w:highlight w:val="none"/>
        </w:rPr>
        <w:t>文件目录</w:t>
      </w:r>
    </w:p>
    <w:p w14:paraId="431D4E9C">
      <w:pPr>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根据竞争性谈判文件规定及</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提供的材料自行编写目录（部分格式后附）。</w:t>
      </w:r>
    </w:p>
    <w:p w14:paraId="225FC3D7">
      <w:pPr>
        <w:spacing w:before="120" w:after="50" w:line="360" w:lineRule="auto"/>
        <w:ind w:left="142" w:firstLine="640"/>
        <w:jc w:val="left"/>
        <w:rPr>
          <w:rFonts w:hint="eastAsia" w:ascii="宋体" w:hAnsi="宋体" w:eastAsia="宋体" w:cs="宋体"/>
          <w:color w:val="auto"/>
          <w:sz w:val="32"/>
          <w:szCs w:val="32"/>
          <w:highlight w:val="none"/>
        </w:rPr>
      </w:pPr>
    </w:p>
    <w:p w14:paraId="5FD0D795">
      <w:pPr>
        <w:spacing w:line="520" w:lineRule="exact"/>
        <w:ind w:firstLine="22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44"/>
          <w:szCs w:val="44"/>
          <w:highlight w:val="none"/>
        </w:rPr>
        <w:br w:type="page" w:clear="all"/>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lang w:eastAsia="zh-CN"/>
        </w:rPr>
        <w:t>无串通竞标行为的承诺函的格式：</w:t>
      </w:r>
    </w:p>
    <w:p w14:paraId="1470CCA4">
      <w:pPr>
        <w:spacing w:line="520" w:lineRule="exact"/>
        <w:jc w:val="center"/>
        <w:rPr>
          <w:rFonts w:hint="eastAsia" w:ascii="宋体" w:hAnsi="宋体" w:eastAsia="宋体" w:cs="宋体"/>
          <w:color w:val="auto"/>
          <w:sz w:val="44"/>
          <w:szCs w:val="44"/>
          <w:highlight w:val="none"/>
        </w:rPr>
      </w:pPr>
    </w:p>
    <w:p w14:paraId="27183D24">
      <w:pPr>
        <w:spacing w:line="520" w:lineRule="exact"/>
        <w:jc w:val="center"/>
        <w:rPr>
          <w:rFonts w:hint="eastAsia" w:ascii="宋体" w:hAnsi="宋体" w:eastAsia="宋体" w:cs="宋体"/>
          <w:color w:val="auto"/>
          <w:sz w:val="36"/>
          <w:szCs w:val="36"/>
          <w:highlight w:val="none"/>
        </w:rPr>
      </w:pPr>
      <w:r>
        <w:rPr>
          <w:rFonts w:hint="eastAsia" w:ascii="宋体" w:hAnsi="宋体" w:eastAsia="宋体" w:cs="宋体"/>
          <w:b/>
          <w:bCs/>
          <w:color w:val="auto"/>
          <w:sz w:val="32"/>
          <w:szCs w:val="32"/>
          <w:highlight w:val="none"/>
        </w:rPr>
        <w:t>无串通竞标行为的承诺函</w:t>
      </w:r>
    </w:p>
    <w:p w14:paraId="1F69627E">
      <w:pPr>
        <w:spacing w:line="400" w:lineRule="exact"/>
        <w:contextualSpacing/>
        <w:rPr>
          <w:rFonts w:hint="eastAsia" w:ascii="宋体" w:hAnsi="宋体" w:eastAsia="宋体" w:cs="宋体"/>
          <w:color w:val="auto"/>
          <w:sz w:val="32"/>
          <w:szCs w:val="32"/>
          <w:highlight w:val="none"/>
        </w:rPr>
      </w:pPr>
    </w:p>
    <w:p w14:paraId="4318E346">
      <w:pPr>
        <w:spacing w:line="400" w:lineRule="exact"/>
        <w:ind w:firstLine="482"/>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一、我方承诺无下列相互串通竞标的情形：</w:t>
      </w:r>
    </w:p>
    <w:p w14:paraId="70777E87">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1.不同供应商的响应文件由同一单位或者个人编制；或不同供应商报名的IP地址一致的；</w:t>
      </w:r>
    </w:p>
    <w:p w14:paraId="7B98E600">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2.不同供应商委托同一单位或者个人办理竞标事宜；</w:t>
      </w:r>
    </w:p>
    <w:p w14:paraId="31708679">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3.不同的供应商的响应文件载明的项目管理员为同一个人；</w:t>
      </w:r>
    </w:p>
    <w:p w14:paraId="2C6BAAA3">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w:t>
      </w:r>
      <w:r>
        <w:rPr>
          <w:rFonts w:hint="eastAsia" w:ascii="宋体" w:hAnsi="宋体" w:eastAsia="宋体" w:cs="宋体"/>
          <w:color w:val="auto"/>
          <w:spacing w:val="-6"/>
          <w:sz w:val="24"/>
          <w:szCs w:val="24"/>
          <w:highlight w:val="none"/>
        </w:rPr>
        <w:t>同供应商的响应文件异常一致或者</w:t>
      </w:r>
      <w:r>
        <w:rPr>
          <w:rFonts w:hint="eastAsia" w:ascii="宋体" w:hAnsi="宋体" w:eastAsia="宋体" w:cs="宋体"/>
          <w:color w:val="auto"/>
          <w:spacing w:val="-6"/>
          <w:sz w:val="24"/>
          <w:szCs w:val="24"/>
          <w:highlight w:val="none"/>
          <w:lang w:eastAsia="zh-CN"/>
        </w:rPr>
        <w:t>响应报价</w:t>
      </w:r>
      <w:r>
        <w:rPr>
          <w:rFonts w:hint="eastAsia" w:ascii="宋体" w:hAnsi="宋体" w:eastAsia="宋体" w:cs="宋体"/>
          <w:color w:val="auto"/>
          <w:spacing w:val="-6"/>
          <w:sz w:val="24"/>
          <w:szCs w:val="24"/>
          <w:highlight w:val="none"/>
        </w:rPr>
        <w:t>呈规律性差异；</w:t>
      </w:r>
    </w:p>
    <w:p w14:paraId="7FE4E639">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5.不同供应商的响应文件相互混装；</w:t>
      </w:r>
    </w:p>
    <w:p w14:paraId="0BCA2F57">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6.不同供应商的</w:t>
      </w:r>
      <w:r>
        <w:rPr>
          <w:rFonts w:hint="eastAsia" w:ascii="宋体" w:hAnsi="宋体" w:eastAsia="宋体" w:cs="宋体"/>
          <w:color w:val="auto"/>
          <w:sz w:val="24"/>
          <w:szCs w:val="24"/>
          <w:highlight w:val="none"/>
          <w:lang w:eastAsia="zh-CN"/>
        </w:rPr>
        <w:t>谈判保证金</w:t>
      </w:r>
      <w:r>
        <w:rPr>
          <w:rFonts w:hint="eastAsia" w:ascii="宋体" w:hAnsi="宋体" w:eastAsia="宋体" w:cs="宋体"/>
          <w:color w:val="auto"/>
          <w:sz w:val="24"/>
          <w:szCs w:val="24"/>
          <w:highlight w:val="none"/>
        </w:rPr>
        <w:t>从同一单位或者个人账户转出。</w:t>
      </w:r>
    </w:p>
    <w:p w14:paraId="46525834">
      <w:pPr>
        <w:spacing w:line="400" w:lineRule="exact"/>
        <w:ind w:firstLine="482"/>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二、我方承诺无下列恶意串通的情形：</w:t>
      </w:r>
    </w:p>
    <w:p w14:paraId="18C98772">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1.供应商直接或者间接从采购人或者采购代理机构处获得其他供应商的相关信息并修改其响应文件；</w:t>
      </w:r>
    </w:p>
    <w:p w14:paraId="2A48992D">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2.供应商按照采购人或者采购代理机构的授意撤换、修改响应文件；</w:t>
      </w:r>
    </w:p>
    <w:p w14:paraId="166FD895">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w:t>
      </w:r>
      <w:r>
        <w:rPr>
          <w:rFonts w:hint="eastAsia" w:ascii="宋体" w:hAnsi="宋体" w:eastAsia="宋体" w:cs="宋体"/>
          <w:color w:val="auto"/>
          <w:spacing w:val="-6"/>
          <w:sz w:val="24"/>
          <w:szCs w:val="24"/>
          <w:highlight w:val="none"/>
        </w:rPr>
        <w:t>应商之间协商报价、技术方案等响应文件的实质性内容；</w:t>
      </w:r>
    </w:p>
    <w:p w14:paraId="6ABCB5A3">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4.属于同一集团、协会、商会等组织成员的供应商按照该组织要求协同参加政府采购活动；</w:t>
      </w:r>
    </w:p>
    <w:p w14:paraId="34C54E5E">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5.供应商之间事先约定一致抬高或者压低</w:t>
      </w:r>
      <w:r>
        <w:rPr>
          <w:rFonts w:hint="eastAsia" w:ascii="宋体" w:hAnsi="宋体" w:eastAsia="宋体" w:cs="宋体"/>
          <w:color w:val="auto"/>
          <w:sz w:val="24"/>
          <w:szCs w:val="24"/>
          <w:highlight w:val="none"/>
          <w:lang w:eastAsia="zh-CN"/>
        </w:rPr>
        <w:t>响应报价</w:t>
      </w:r>
      <w:r>
        <w:rPr>
          <w:rFonts w:hint="eastAsia" w:ascii="宋体" w:hAnsi="宋体" w:eastAsia="宋体" w:cs="宋体"/>
          <w:color w:val="auto"/>
          <w:sz w:val="24"/>
          <w:szCs w:val="24"/>
          <w:highlight w:val="none"/>
        </w:rPr>
        <w:t>,或者在竞争性谈判项目中事先约定轮流以高价位或者低价位成交,或者事先约定由某一特定供应商成交,然后再参加竞标；</w:t>
      </w:r>
    </w:p>
    <w:p w14:paraId="43BB03F9">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6.供应商之间商定部分供应商放弃参加政府采购活动或者放弃成交；</w:t>
      </w:r>
    </w:p>
    <w:p w14:paraId="3F68A7E6">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7.供应商与采购人或者采购代理机构之间、供应商相互之间，为</w:t>
      </w:r>
      <w:r>
        <w:rPr>
          <w:rFonts w:hint="eastAsia" w:ascii="宋体" w:hAnsi="宋体" w:eastAsia="宋体" w:cs="宋体"/>
          <w:color w:val="auto"/>
          <w:spacing w:val="-6"/>
          <w:sz w:val="24"/>
          <w:szCs w:val="24"/>
          <w:highlight w:val="none"/>
        </w:rPr>
        <w:t>谋求特定供应商成交或者排斥其他供应商的其他串通行为。</w:t>
      </w:r>
    </w:p>
    <w:p w14:paraId="7EB485A8">
      <w:pPr>
        <w:spacing w:line="400" w:lineRule="exact"/>
        <w:ind w:firstLine="480"/>
        <w:contextualSpacing/>
        <w:rPr>
          <w:rFonts w:hint="eastAsia" w:ascii="宋体" w:hAnsi="宋体" w:eastAsia="宋体" w:cs="宋体"/>
          <w:color w:val="auto"/>
          <w:sz w:val="24"/>
          <w:szCs w:val="24"/>
          <w:highlight w:val="none"/>
        </w:rPr>
      </w:pPr>
    </w:p>
    <w:p w14:paraId="0737B5A2">
      <w:pPr>
        <w:spacing w:line="400" w:lineRule="exact"/>
        <w:ind w:firstLine="482"/>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以上情形一经核查属实，接受政府采购监管部门对我方认定存在围标串标行为，我方愿意承担一切后果，并不再寻求任何旨在减轻或者免除法律责任的辩解。</w:t>
      </w:r>
    </w:p>
    <w:p w14:paraId="6C78F886">
      <w:pPr>
        <w:pStyle w:val="29"/>
        <w:rPr>
          <w:rFonts w:hint="eastAsia" w:ascii="宋体" w:hAnsi="宋体" w:eastAsia="宋体" w:cs="宋体"/>
          <w:b/>
          <w:bCs/>
          <w:color w:val="auto"/>
          <w:sz w:val="24"/>
          <w:szCs w:val="24"/>
          <w:highlight w:val="none"/>
        </w:rPr>
      </w:pPr>
    </w:p>
    <w:p w14:paraId="52E556F1">
      <w:pPr>
        <w:pStyle w:val="29"/>
        <w:rPr>
          <w:rFonts w:hint="eastAsia" w:ascii="宋体" w:hAnsi="宋体" w:eastAsia="宋体" w:cs="宋体"/>
          <w:b/>
          <w:bCs/>
          <w:color w:val="auto"/>
          <w:sz w:val="24"/>
          <w:szCs w:val="24"/>
          <w:highlight w:val="none"/>
        </w:rPr>
      </w:pPr>
    </w:p>
    <w:p w14:paraId="4CD5FEDA">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774983A9">
      <w:pPr>
        <w:spacing w:line="520" w:lineRule="exact"/>
        <w:ind w:firstLine="6360"/>
        <w:jc w:val="left"/>
        <w:rPr>
          <w:rFonts w:hint="eastAsia" w:ascii="宋体" w:hAnsi="宋体" w:eastAsia="宋体" w:cs="宋体"/>
          <w:b/>
          <w:color w:val="auto"/>
          <w:sz w:val="28"/>
          <w:szCs w:val="28"/>
          <w:highlight w:val="none"/>
          <w:lang w:eastAsia="zh-CN"/>
        </w:rPr>
      </w:pPr>
      <w:r>
        <w:rPr>
          <w:rFonts w:hint="eastAsia" w:ascii="宋体" w:hAnsi="宋体" w:eastAsia="宋体" w:cs="宋体"/>
          <w:color w:val="auto"/>
          <w:sz w:val="24"/>
          <w:szCs w:val="24"/>
          <w:highlight w:val="none"/>
          <w:lang w:val="zh-CN"/>
        </w:rPr>
        <w:t xml:space="preserve">日期：  年  月   日        </w:t>
      </w:r>
      <w:r>
        <w:rPr>
          <w:rFonts w:hint="eastAsia" w:ascii="宋体" w:hAnsi="宋体" w:eastAsia="宋体" w:cs="宋体"/>
          <w:b/>
          <w:bCs/>
          <w:color w:val="auto"/>
          <w:sz w:val="32"/>
          <w:szCs w:val="32"/>
          <w:highlight w:val="none"/>
        </w:rPr>
        <w:br w:type="page" w:clear="all"/>
      </w: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rPr>
        <w:t>法定代表人身份证明</w:t>
      </w:r>
      <w:r>
        <w:rPr>
          <w:rFonts w:hint="eastAsia" w:ascii="宋体" w:hAnsi="宋体" w:eastAsia="宋体" w:cs="宋体"/>
          <w:b/>
          <w:color w:val="auto"/>
          <w:sz w:val="28"/>
          <w:szCs w:val="28"/>
          <w:highlight w:val="none"/>
          <w:lang w:eastAsia="zh-CN"/>
        </w:rPr>
        <w:t>的格式：</w:t>
      </w:r>
    </w:p>
    <w:p w14:paraId="03F36FE2">
      <w:pPr>
        <w:pStyle w:val="29"/>
        <w:rPr>
          <w:rFonts w:hint="eastAsia" w:ascii="宋体" w:hAnsi="宋体" w:eastAsia="宋体" w:cs="宋体"/>
          <w:color w:val="auto"/>
          <w:highlight w:val="none"/>
          <w:lang w:eastAsia="zh-CN"/>
        </w:rPr>
      </w:pPr>
    </w:p>
    <w:p w14:paraId="4B75D850">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b/>
          <w:bCs w:val="0"/>
          <w:color w:val="auto"/>
          <w:sz w:val="32"/>
          <w:szCs w:val="32"/>
          <w:highlight w:val="none"/>
        </w:rPr>
        <w:t>法定代表人</w:t>
      </w:r>
      <w:r>
        <w:rPr>
          <w:rFonts w:hint="eastAsia" w:ascii="宋体" w:hAnsi="宋体" w:eastAsia="宋体" w:cs="宋体"/>
          <w:b/>
          <w:bCs w:val="0"/>
          <w:color w:val="auto"/>
          <w:sz w:val="32"/>
          <w:szCs w:val="32"/>
          <w:highlight w:val="none"/>
          <w:lang w:eastAsia="zh-CN"/>
        </w:rPr>
        <w:t>身份</w:t>
      </w:r>
      <w:r>
        <w:rPr>
          <w:rFonts w:hint="eastAsia" w:ascii="宋体" w:hAnsi="宋体" w:eastAsia="宋体" w:cs="宋体"/>
          <w:b/>
          <w:bCs w:val="0"/>
          <w:color w:val="auto"/>
          <w:sz w:val="32"/>
          <w:szCs w:val="32"/>
          <w:highlight w:val="none"/>
        </w:rPr>
        <w:t>证明</w:t>
      </w:r>
    </w:p>
    <w:p w14:paraId="1DAF9860">
      <w:pPr>
        <w:spacing w:line="360" w:lineRule="auto"/>
        <w:ind w:left="540"/>
        <w:contextualSpacing/>
        <w:rPr>
          <w:rFonts w:hint="eastAsia" w:ascii="宋体" w:hAnsi="宋体" w:eastAsia="宋体" w:cs="宋体"/>
          <w:color w:val="auto"/>
          <w:sz w:val="32"/>
          <w:szCs w:val="32"/>
          <w:highlight w:val="none"/>
        </w:rPr>
      </w:pPr>
    </w:p>
    <w:p w14:paraId="588784B0">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xml:space="preserve">                                                        </w:t>
      </w:r>
    </w:p>
    <w:p w14:paraId="7D66BC68">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14CD2F3A">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     别：</w:t>
      </w:r>
      <w:r>
        <w:rPr>
          <w:rFonts w:hint="eastAsia" w:ascii="宋体" w:hAnsi="宋体" w:eastAsia="宋体" w:cs="宋体"/>
          <w:color w:val="auto"/>
          <w:sz w:val="24"/>
          <w:szCs w:val="24"/>
          <w:highlight w:val="none"/>
          <w:u w:val="single"/>
        </w:rPr>
        <w:t xml:space="preserve">                </w:t>
      </w:r>
    </w:p>
    <w:p w14:paraId="15B050FD">
      <w:pPr>
        <w:spacing w:line="360" w:lineRule="auto"/>
        <w:ind w:left="54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w:t>
      </w:r>
    </w:p>
    <w:p w14:paraId="43FA2794">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624DED25">
      <w:pPr>
        <w:spacing w:line="36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的法定代表人。</w:t>
      </w:r>
    </w:p>
    <w:p w14:paraId="5BED675F">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397574AE">
      <w:pPr>
        <w:spacing w:line="360" w:lineRule="auto"/>
        <w:ind w:left="540"/>
        <w:contextualSpacing/>
        <w:rPr>
          <w:rFonts w:hint="eastAsia" w:ascii="宋体" w:hAnsi="宋体" w:eastAsia="宋体" w:cs="宋体"/>
          <w:color w:val="auto"/>
          <w:sz w:val="24"/>
          <w:szCs w:val="24"/>
          <w:highlight w:val="none"/>
        </w:rPr>
      </w:pPr>
    </w:p>
    <w:p w14:paraId="41E52D1D">
      <w:pPr>
        <w:spacing w:line="360" w:lineRule="auto"/>
        <w:ind w:left="540"/>
        <w:contextualSpacing/>
        <w:rPr>
          <w:rFonts w:hint="eastAsia" w:ascii="宋体" w:hAnsi="宋体" w:eastAsia="宋体" w:cs="宋体"/>
          <w:color w:val="auto"/>
          <w:sz w:val="24"/>
          <w:szCs w:val="24"/>
          <w:highlight w:val="none"/>
        </w:rPr>
      </w:pPr>
    </w:p>
    <w:p w14:paraId="6FFA091F">
      <w:pPr>
        <w:spacing w:line="360" w:lineRule="auto"/>
        <w:ind w:left="540"/>
        <w:contextualSpacing/>
        <w:rPr>
          <w:rFonts w:hint="eastAsia" w:ascii="宋体" w:hAnsi="宋体" w:eastAsia="宋体" w:cs="宋体"/>
          <w:color w:val="auto"/>
          <w:sz w:val="24"/>
          <w:szCs w:val="24"/>
          <w:highlight w:val="none"/>
        </w:rPr>
      </w:pPr>
    </w:p>
    <w:p w14:paraId="5ACFA5DA">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附件：法定代表人有效身份证正反面复印件</w:t>
      </w:r>
    </w:p>
    <w:p w14:paraId="12B13C67">
      <w:pPr>
        <w:spacing w:line="360" w:lineRule="auto"/>
        <w:ind w:left="540"/>
        <w:contextualSpacing/>
        <w:rPr>
          <w:rFonts w:hint="eastAsia" w:ascii="宋体" w:hAnsi="宋体" w:eastAsia="宋体" w:cs="宋体"/>
          <w:color w:val="auto"/>
          <w:sz w:val="24"/>
          <w:szCs w:val="24"/>
          <w:highlight w:val="none"/>
        </w:rPr>
      </w:pPr>
    </w:p>
    <w:p w14:paraId="3E1155CE">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181671CA">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 xml:space="preserve">                                                   日期：  年  月   日</w:t>
      </w:r>
    </w:p>
    <w:p w14:paraId="7A728EC0">
      <w:pPr>
        <w:spacing w:line="360" w:lineRule="auto"/>
        <w:contextualSpacing/>
        <w:jc w:val="left"/>
        <w:rPr>
          <w:rFonts w:hint="eastAsia" w:ascii="宋体" w:hAnsi="宋体" w:eastAsia="宋体" w:cs="宋体"/>
          <w:color w:val="auto"/>
          <w:sz w:val="24"/>
          <w:szCs w:val="24"/>
          <w:highlight w:val="none"/>
        </w:rPr>
      </w:pPr>
    </w:p>
    <w:p w14:paraId="54D79324">
      <w:pPr>
        <w:spacing w:line="36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注：1.自然人竞标的无需提供，联合体竞标的只需牵头人出具。</w:t>
      </w:r>
    </w:p>
    <w:p w14:paraId="1130BBDD">
      <w:pPr>
        <w:spacing w:line="360" w:lineRule="auto"/>
        <w:ind w:firstLine="480"/>
        <w:contextualSpacing/>
        <w:jc w:val="left"/>
        <w:rPr>
          <w:rFonts w:hint="eastAsia" w:ascii="宋体" w:hAnsi="宋体" w:eastAsia="宋体" w:cs="宋体"/>
          <w:color w:val="auto"/>
          <w:sz w:val="24"/>
          <w:szCs w:val="24"/>
          <w:highlight w:val="none"/>
        </w:rPr>
        <w:sectPr>
          <w:pgSz w:w="11910" w:h="16840"/>
          <w:pgMar w:top="1340" w:right="1500" w:bottom="280" w:left="1680" w:header="720" w:footer="720" w:gutter="0"/>
          <w:cols w:space="720" w:num="1"/>
        </w:sect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44"/>
        <w:tblpPr w:leftFromText="180" w:rightFromText="180" w:vertAnchor="text" w:horzAnchor="margin" w:tblpXSpec="left"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7A0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tcPr>
          <w:p w14:paraId="430316E8">
            <w:pPr>
              <w:spacing w:line="360" w:lineRule="auto"/>
              <w:rPr>
                <w:rFonts w:hint="eastAsia" w:ascii="宋体" w:hAnsi="宋体" w:eastAsia="宋体" w:cs="宋体"/>
                <w:b/>
                <w:color w:val="auto"/>
                <w:sz w:val="24"/>
                <w:szCs w:val="24"/>
                <w:highlight w:val="none"/>
              </w:rPr>
            </w:pPr>
          </w:p>
          <w:p w14:paraId="79B08358">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w:t>
            </w:r>
            <w:r>
              <w:rPr>
                <w:rFonts w:hint="eastAsia" w:ascii="宋体" w:hAnsi="宋体" w:eastAsia="宋体" w:cs="宋体"/>
                <w:b/>
                <w:color w:val="auto"/>
                <w:sz w:val="24"/>
                <w:szCs w:val="24"/>
                <w:highlight w:val="none"/>
                <w:lang w:val="en-US" w:eastAsia="zh-CN"/>
              </w:rPr>
              <w:t>人</w:t>
            </w:r>
            <w:r>
              <w:rPr>
                <w:rFonts w:hint="eastAsia" w:ascii="宋体" w:hAnsi="宋体" w:eastAsia="宋体" w:cs="宋体"/>
                <w:b/>
                <w:color w:val="auto"/>
                <w:sz w:val="24"/>
                <w:szCs w:val="24"/>
                <w:highlight w:val="none"/>
              </w:rPr>
              <w:t>身份证复印件粘</w:t>
            </w:r>
            <w:r>
              <w:rPr>
                <w:rFonts w:hint="eastAsia" w:ascii="宋体" w:hAnsi="宋体" w:eastAsia="宋体" w:cs="宋体"/>
                <w:b/>
                <w:color w:val="auto"/>
                <w:sz w:val="24"/>
                <w:szCs w:val="24"/>
                <w:highlight w:val="none"/>
                <w:lang w:eastAsia="zh-CN"/>
              </w:rPr>
              <w:t>贴</w:t>
            </w:r>
            <w:r>
              <w:rPr>
                <w:rFonts w:hint="eastAsia" w:ascii="宋体" w:hAnsi="宋体" w:eastAsia="宋体" w:cs="宋体"/>
                <w:b/>
                <w:color w:val="auto"/>
                <w:sz w:val="24"/>
                <w:szCs w:val="24"/>
                <w:highlight w:val="none"/>
              </w:rPr>
              <w:t>处（正、反面）</w:t>
            </w:r>
          </w:p>
        </w:tc>
      </w:tr>
    </w:tbl>
    <w:p w14:paraId="658DC76F">
      <w:pPr>
        <w:spacing w:line="360" w:lineRule="auto"/>
        <w:ind w:firstLine="482"/>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szCs w:val="24"/>
          <w:highlight w:val="none"/>
        </w:rPr>
        <w:t>附件：</w:t>
      </w:r>
    </w:p>
    <w:p w14:paraId="7D8FEFAF">
      <w:pPr>
        <w:spacing w:line="300" w:lineRule="auto"/>
        <w:jc w:val="left"/>
        <w:rPr>
          <w:rFonts w:hint="eastAsia" w:ascii="宋体" w:hAnsi="宋体" w:eastAsia="宋体" w:cs="宋体"/>
          <w:b/>
          <w:color w:val="auto"/>
          <w:szCs w:val="21"/>
          <w:highlight w:val="none"/>
        </w:rPr>
      </w:pPr>
    </w:p>
    <w:p w14:paraId="60EE1E5D">
      <w:pPr>
        <w:spacing w:line="360" w:lineRule="auto"/>
        <w:ind w:firstLine="0"/>
        <w:jc w:val="left"/>
        <w:rPr>
          <w:rFonts w:hint="eastAsia" w:ascii="宋体" w:hAnsi="宋体" w:eastAsia="宋体" w:cs="宋体"/>
          <w:b/>
          <w:bCs w:val="0"/>
          <w:color w:val="auto"/>
          <w:sz w:val="28"/>
          <w:szCs w:val="28"/>
          <w:highlight w:val="none"/>
        </w:rPr>
      </w:pPr>
      <w:r>
        <w:rPr>
          <w:rFonts w:hint="eastAsia" w:ascii="宋体" w:hAnsi="宋体" w:eastAsia="宋体" w:cs="宋体"/>
          <w:color w:val="auto"/>
          <w:sz w:val="44"/>
          <w:szCs w:val="44"/>
          <w:highlight w:val="none"/>
        </w:rPr>
        <w:br w:type="page" w:clear="all"/>
      </w:r>
      <w:r>
        <w:rPr>
          <w:rFonts w:hint="eastAsia" w:ascii="宋体" w:hAnsi="宋体" w:eastAsia="宋体" w:cs="宋体"/>
          <w:b/>
          <w:bCs w:val="0"/>
          <w:color w:val="auto"/>
          <w:sz w:val="28"/>
          <w:szCs w:val="28"/>
          <w:highlight w:val="none"/>
          <w:lang w:val="en-US" w:eastAsia="zh-CN"/>
        </w:rPr>
        <w:t>5.</w:t>
      </w:r>
      <w:r>
        <w:rPr>
          <w:rFonts w:hint="eastAsia" w:ascii="宋体" w:hAnsi="宋体" w:eastAsia="宋体" w:cs="宋体"/>
          <w:b/>
          <w:bCs w:val="0"/>
          <w:color w:val="auto"/>
          <w:sz w:val="28"/>
          <w:szCs w:val="28"/>
          <w:highlight w:val="none"/>
        </w:rPr>
        <w:t>法定代表人授权委托书</w:t>
      </w:r>
      <w:r>
        <w:rPr>
          <w:rFonts w:hint="eastAsia" w:ascii="宋体" w:hAnsi="宋体" w:eastAsia="宋体" w:cs="宋体"/>
          <w:b/>
          <w:bCs w:val="0"/>
          <w:color w:val="auto"/>
          <w:sz w:val="28"/>
          <w:szCs w:val="28"/>
          <w:highlight w:val="none"/>
          <w:lang w:eastAsia="zh-CN"/>
        </w:rPr>
        <w:t>的格式：</w:t>
      </w:r>
    </w:p>
    <w:p w14:paraId="6F7C5F2E">
      <w:pPr>
        <w:spacing w:line="500" w:lineRule="exact"/>
        <w:jc w:val="center"/>
        <w:rPr>
          <w:rFonts w:hint="eastAsia" w:ascii="宋体" w:hAnsi="宋体" w:eastAsia="宋体" w:cs="宋体"/>
          <w:color w:val="auto"/>
          <w:sz w:val="44"/>
          <w:szCs w:val="44"/>
          <w:highlight w:val="none"/>
        </w:rPr>
      </w:pPr>
    </w:p>
    <w:p w14:paraId="11BA9D29">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授权委托书（非联合体竞标格式）</w:t>
      </w:r>
    </w:p>
    <w:p w14:paraId="742B303E">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14:paraId="5B73BC82">
      <w:pPr>
        <w:spacing w:line="520" w:lineRule="exact"/>
        <w:rPr>
          <w:rFonts w:hint="eastAsia" w:ascii="宋体" w:hAnsi="宋体" w:eastAsia="宋体" w:cs="宋体"/>
          <w:color w:val="auto"/>
          <w:sz w:val="32"/>
          <w:szCs w:val="32"/>
          <w:highlight w:val="none"/>
        </w:rPr>
      </w:pPr>
    </w:p>
    <w:p w14:paraId="276EEFF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bookmarkStart w:id="150" w:name="PO_3000001923_PM031_1"/>
      <w:r>
        <w:rPr>
          <w:rFonts w:hint="eastAsia" w:ascii="宋体" w:hAnsi="宋体" w:eastAsia="宋体" w:cs="宋体"/>
          <w:color w:val="auto"/>
          <w:sz w:val="24"/>
          <w:szCs w:val="24"/>
          <w:highlight w:val="none"/>
          <w:u w:val="single"/>
        </w:rPr>
        <w:t>广西科联招标中心有限公司</w:t>
      </w:r>
      <w:bookmarkEnd w:id="150"/>
      <w:r>
        <w:rPr>
          <w:rFonts w:hint="eastAsia" w:ascii="宋体" w:hAnsi="宋体" w:eastAsia="宋体" w:cs="宋体"/>
          <w:color w:val="auto"/>
          <w:sz w:val="24"/>
          <w:szCs w:val="24"/>
          <w:highlight w:val="none"/>
        </w:rPr>
        <w:t>：</w:t>
      </w:r>
    </w:p>
    <w:p w14:paraId="4497AC93">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□法定代表人/□负责人/□自然人本人</w:t>
      </w:r>
      <w:r>
        <w:rPr>
          <w:rFonts w:hint="eastAsia" w:ascii="宋体" w:hAnsi="宋体" w:eastAsia="宋体" w:cs="宋体"/>
          <w:color w:val="auto"/>
          <w:sz w:val="24"/>
          <w:szCs w:val="24"/>
          <w:highlight w:val="none"/>
        </w:rPr>
        <w:t>），现授权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以我方的名义参加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color w:val="auto"/>
          <w:sz w:val="24"/>
          <w:szCs w:val="24"/>
          <w:highlight w:val="none"/>
        </w:rPr>
        <w:t>项目的竞标活动，并代表我方全权办理针对上述项目的所有采购程序和环节的具体事务和签署相关文件。</w:t>
      </w:r>
    </w:p>
    <w:p w14:paraId="7B1BDA1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我方对委托代理人的签字事项负全部责任。</w:t>
      </w:r>
    </w:p>
    <w:p w14:paraId="4850E494">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6D517492">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14:paraId="2B13DF55">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附：委托代理人有效身份证正反面复印件</w:t>
      </w:r>
    </w:p>
    <w:p w14:paraId="778DBC62">
      <w:pPr>
        <w:spacing w:line="360" w:lineRule="auto"/>
        <w:rPr>
          <w:rFonts w:hint="eastAsia" w:ascii="宋体" w:hAnsi="宋体" w:eastAsia="宋体" w:cs="宋体"/>
          <w:color w:val="auto"/>
          <w:sz w:val="24"/>
          <w:szCs w:val="24"/>
          <w:highlight w:val="none"/>
        </w:rPr>
      </w:pPr>
    </w:p>
    <w:p w14:paraId="4BE9A7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委托代理人（签字）：                 法定代表人（签字）：                    </w:t>
      </w:r>
    </w:p>
    <w:p w14:paraId="60B6CD5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委托代理人身份证号码：                              </w:t>
      </w:r>
    </w:p>
    <w:p w14:paraId="53032A2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ED1542A">
      <w:pPr>
        <w:spacing w:line="360" w:lineRule="auto"/>
        <w:ind w:firstLine="38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257CE3F6">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 xml:space="preserve">                                                   日期：  年  月   日</w:t>
      </w:r>
    </w:p>
    <w:p w14:paraId="20B194C3">
      <w:pPr>
        <w:spacing w:line="360" w:lineRule="auto"/>
        <w:rPr>
          <w:rFonts w:hint="eastAsia" w:ascii="宋体" w:hAnsi="宋体" w:eastAsia="宋体" w:cs="宋体"/>
          <w:color w:val="auto"/>
          <w:sz w:val="24"/>
          <w:szCs w:val="24"/>
          <w:highlight w:val="none"/>
        </w:rPr>
      </w:pPr>
    </w:p>
    <w:p w14:paraId="6A6F272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w:t>
      </w:r>
      <w:r>
        <w:rPr>
          <w:rFonts w:hint="eastAsia" w:ascii="宋体" w:hAnsi="宋体" w:eastAsia="宋体" w:cs="宋体"/>
          <w:b/>
          <w:color w:val="auto"/>
          <w:sz w:val="24"/>
          <w:szCs w:val="24"/>
          <w:highlight w:val="none"/>
          <w:lang w:eastAsia="zh-CN"/>
        </w:rPr>
        <w:t>作无效</w:t>
      </w:r>
      <w:r>
        <w:rPr>
          <w:rFonts w:hint="eastAsia" w:ascii="宋体" w:hAnsi="宋体" w:eastAsia="宋体" w:cs="宋体"/>
          <w:b/>
          <w:color w:val="auto"/>
          <w:sz w:val="24"/>
          <w:szCs w:val="24"/>
          <w:highlight w:val="none"/>
        </w:rPr>
        <w:t>响应处理。</w:t>
      </w:r>
    </w:p>
    <w:p w14:paraId="7F74760D">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3A7A90F">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法人、其他组织竞标时“我方”是指“我单位”，自然人竞标时“我方”是指“本人”。</w:t>
      </w:r>
    </w:p>
    <w:p w14:paraId="687D8A22">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clear="all"/>
      </w:r>
      <w:r>
        <w:rPr>
          <w:rFonts w:hint="eastAsia" w:ascii="宋体" w:hAnsi="宋体" w:eastAsia="宋体" w:cs="宋体"/>
          <w:b/>
          <w:bCs/>
          <w:color w:val="auto"/>
          <w:sz w:val="32"/>
          <w:szCs w:val="32"/>
          <w:highlight w:val="none"/>
        </w:rPr>
        <w:t>授权委托书（联合体竞标格式）</w:t>
      </w:r>
    </w:p>
    <w:p w14:paraId="00036959">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14:paraId="4A4B64B3">
      <w:pPr>
        <w:spacing w:line="500" w:lineRule="exact"/>
        <w:jc w:val="center"/>
        <w:rPr>
          <w:rFonts w:hint="eastAsia" w:ascii="宋体" w:hAnsi="宋体" w:eastAsia="宋体" w:cs="宋体"/>
          <w:color w:val="auto"/>
          <w:sz w:val="44"/>
          <w:szCs w:val="44"/>
          <w:highlight w:val="none"/>
        </w:rPr>
      </w:pPr>
    </w:p>
    <w:p w14:paraId="42EDC83D">
      <w:pPr>
        <w:spacing w:line="500" w:lineRule="exact"/>
        <w:jc w:val="center"/>
        <w:rPr>
          <w:rFonts w:hint="eastAsia" w:ascii="宋体" w:hAnsi="宋体" w:eastAsia="宋体" w:cs="宋体"/>
          <w:color w:val="auto"/>
          <w:sz w:val="32"/>
          <w:szCs w:val="32"/>
          <w:highlight w:val="none"/>
        </w:rPr>
      </w:pPr>
    </w:p>
    <w:p w14:paraId="304C1131">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本授权委托书声明：根据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（牵头人名称）与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（联合体其他成员名称）签订的《联合体竞标协议书》的内容，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（牵头人名称）的法定代表人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rPr>
        <w:t>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rPr>
        <w:t>为联合委托代理人，并代表我方全权办理针对上述项目的所有采购程序和环节的具体事务和签署相关文件。</w:t>
      </w:r>
    </w:p>
    <w:p w14:paraId="477B4368">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我方对委托代理人的签字事项负全部责任。</w:t>
      </w:r>
    </w:p>
    <w:p w14:paraId="0762210F">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11E65DD2">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14:paraId="4EDD500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color w:val="auto"/>
          <w:highlight w:val="none"/>
        </w:rPr>
        <w:t>附：委托代理人有效身份证正反面复印件</w:t>
      </w:r>
    </w:p>
    <w:p w14:paraId="2ECD4C34">
      <w:pPr>
        <w:spacing w:line="360" w:lineRule="auto"/>
        <w:ind w:firstLine="1560"/>
        <w:rPr>
          <w:rFonts w:hint="eastAsia" w:ascii="宋体" w:hAnsi="宋体" w:eastAsia="宋体" w:cs="宋体"/>
          <w:color w:val="auto"/>
          <w:sz w:val="24"/>
          <w:szCs w:val="24"/>
          <w:highlight w:val="none"/>
        </w:rPr>
      </w:pPr>
    </w:p>
    <w:p w14:paraId="2A0A3E44">
      <w:pPr>
        <w:spacing w:line="360" w:lineRule="auto"/>
        <w:ind w:firstLine="1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牵头人法定代表人（签字）：</w:t>
      </w:r>
    </w:p>
    <w:p w14:paraId="077BDDF1">
      <w:pPr>
        <w:spacing w:line="360" w:lineRule="auto"/>
        <w:ind w:firstLine="3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w:t>
      </w: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6EAC38FB">
      <w:pPr>
        <w:spacing w:line="360" w:lineRule="auto"/>
        <w:ind w:firstLine="38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3937AD12">
      <w:pPr>
        <w:spacing w:line="360" w:lineRule="auto"/>
        <w:rPr>
          <w:rFonts w:hint="eastAsia" w:ascii="宋体" w:hAnsi="宋体" w:eastAsia="宋体" w:cs="宋体"/>
          <w:color w:val="auto"/>
          <w:sz w:val="24"/>
          <w:szCs w:val="24"/>
          <w:highlight w:val="none"/>
        </w:rPr>
      </w:pPr>
    </w:p>
    <w:p w14:paraId="24F81B95">
      <w:pPr>
        <w:spacing w:line="360" w:lineRule="auto"/>
        <w:ind w:firstLine="3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p>
    <w:p w14:paraId="14191222">
      <w:pPr>
        <w:spacing w:line="360" w:lineRule="auto"/>
        <w:ind w:firstLine="38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7BB8F5D9">
      <w:pPr>
        <w:spacing w:line="360" w:lineRule="auto"/>
        <w:rPr>
          <w:rFonts w:hint="eastAsia" w:ascii="宋体" w:hAnsi="宋体" w:eastAsia="宋体" w:cs="宋体"/>
          <w:color w:val="auto"/>
          <w:sz w:val="24"/>
          <w:szCs w:val="24"/>
          <w:highlight w:val="none"/>
        </w:rPr>
      </w:pPr>
    </w:p>
    <w:p w14:paraId="55DD9D56">
      <w:pPr>
        <w:spacing w:line="360" w:lineRule="auto"/>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w:t>
      </w:r>
      <w:r>
        <w:rPr>
          <w:rFonts w:hint="eastAsia" w:ascii="宋体" w:hAnsi="宋体" w:eastAsia="宋体" w:cs="宋体"/>
          <w:b/>
          <w:color w:val="auto"/>
          <w:sz w:val="24"/>
          <w:szCs w:val="24"/>
          <w:highlight w:val="none"/>
          <w:lang w:eastAsia="zh-CN"/>
        </w:rPr>
        <w:t>作无效</w:t>
      </w:r>
      <w:r>
        <w:rPr>
          <w:rFonts w:hint="eastAsia" w:ascii="宋体" w:hAnsi="宋体" w:eastAsia="宋体" w:cs="宋体"/>
          <w:b/>
          <w:color w:val="auto"/>
          <w:sz w:val="24"/>
          <w:szCs w:val="24"/>
          <w:highlight w:val="none"/>
        </w:rPr>
        <w:t>响应处理。</w:t>
      </w:r>
    </w:p>
    <w:p w14:paraId="6D723164">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2.本授权委托书应由联合体牵头人的法定代表人按上述规定签署。</w:t>
      </w:r>
    </w:p>
    <w:p w14:paraId="582B5871">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73F346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4.法人、其他组织竞标时“我方”是指“我单位”，自然人竞标时“我方”是指“本人”。</w:t>
      </w:r>
    </w:p>
    <w:p w14:paraId="31FAE9E0">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clear="all"/>
      </w:r>
    </w:p>
    <w:p w14:paraId="658814B8">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w:t>
      </w:r>
    </w:p>
    <w:tbl>
      <w:tblPr>
        <w:tblStyle w:val="44"/>
        <w:tblpPr w:leftFromText="180" w:rightFromText="180" w:vertAnchor="text" w:horzAnchor="margin" w:tblpXSpec="left"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3BBA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val="0"/>
            <w:vAlign w:val="top"/>
          </w:tcPr>
          <w:p w14:paraId="7F601B28">
            <w:pPr>
              <w:spacing w:line="360" w:lineRule="auto"/>
              <w:rPr>
                <w:rFonts w:hint="eastAsia" w:ascii="宋体" w:hAnsi="宋体" w:eastAsia="宋体" w:cs="宋体"/>
                <w:b/>
                <w:color w:val="auto"/>
                <w:sz w:val="24"/>
                <w:highlight w:val="none"/>
              </w:rPr>
            </w:pPr>
          </w:p>
          <w:p w14:paraId="3A6BF312">
            <w:pPr>
              <w:spacing w:line="360" w:lineRule="auto"/>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委托代理人有效</w:t>
            </w:r>
            <w:r>
              <w:rPr>
                <w:rFonts w:hint="eastAsia" w:ascii="宋体" w:hAnsi="宋体" w:eastAsia="宋体" w:cs="宋体"/>
                <w:b/>
                <w:color w:val="auto"/>
                <w:sz w:val="24"/>
                <w:highlight w:val="none"/>
              </w:rPr>
              <w:t>身份证复印件粘</w:t>
            </w:r>
            <w:r>
              <w:rPr>
                <w:rFonts w:hint="eastAsia" w:ascii="宋体" w:hAnsi="宋体" w:eastAsia="宋体" w:cs="宋体"/>
                <w:b/>
                <w:color w:val="auto"/>
                <w:sz w:val="24"/>
                <w:highlight w:val="none"/>
                <w:lang w:val="en-US" w:eastAsia="zh-CN"/>
              </w:rPr>
              <w:t>贴</w:t>
            </w:r>
            <w:r>
              <w:rPr>
                <w:rFonts w:hint="eastAsia" w:ascii="宋体" w:hAnsi="宋体" w:eastAsia="宋体" w:cs="宋体"/>
                <w:b/>
                <w:color w:val="auto"/>
                <w:sz w:val="24"/>
                <w:highlight w:val="none"/>
              </w:rPr>
              <w:t>处（正、反面）</w:t>
            </w:r>
          </w:p>
        </w:tc>
      </w:tr>
    </w:tbl>
    <w:p w14:paraId="26FCA614">
      <w:pPr>
        <w:spacing w:line="360" w:lineRule="auto"/>
        <w:ind w:firstLine="420"/>
        <w:jc w:val="left"/>
        <w:rPr>
          <w:rFonts w:hint="eastAsia" w:ascii="宋体" w:hAnsi="宋体" w:eastAsia="宋体" w:cs="宋体"/>
          <w:color w:val="auto"/>
          <w:szCs w:val="21"/>
          <w:highlight w:val="none"/>
        </w:rPr>
      </w:pPr>
    </w:p>
    <w:p w14:paraId="5B0C24F9">
      <w:pPr>
        <w:spacing w:line="360" w:lineRule="auto"/>
        <w:ind w:firstLine="0"/>
        <w:rPr>
          <w:rFonts w:hint="eastAsia" w:ascii="宋体" w:hAnsi="宋体" w:eastAsia="宋体" w:cs="宋体"/>
          <w:b/>
          <w:bCs/>
          <w:color w:val="auto"/>
          <w:sz w:val="32"/>
          <w:szCs w:val="32"/>
          <w:highlight w:val="none"/>
          <w:lang w:val="en-US" w:eastAsia="zh-CN"/>
        </w:rPr>
      </w:pPr>
      <w:r>
        <w:rPr>
          <w:rFonts w:hint="eastAsia" w:ascii="宋体" w:hAnsi="宋体" w:eastAsia="宋体" w:cs="宋体"/>
          <w:color w:val="auto"/>
          <w:sz w:val="32"/>
          <w:szCs w:val="32"/>
          <w:highlight w:val="none"/>
        </w:rPr>
        <w:br w:type="page" w:clear="all"/>
      </w: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rPr>
        <w:t>商务条款偏离表</w:t>
      </w:r>
      <w:r>
        <w:rPr>
          <w:rFonts w:hint="eastAsia" w:ascii="宋体" w:hAnsi="宋体" w:eastAsia="宋体" w:cs="宋体"/>
          <w:b/>
          <w:color w:val="auto"/>
          <w:sz w:val="28"/>
          <w:szCs w:val="28"/>
          <w:highlight w:val="none"/>
          <w:lang w:eastAsia="zh-CN"/>
        </w:rPr>
        <w:t>的格式：</w:t>
      </w:r>
    </w:p>
    <w:p w14:paraId="4E455153">
      <w:pPr>
        <w:spacing w:line="500" w:lineRule="exact"/>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商务条款偏离表</w:t>
      </w:r>
    </w:p>
    <w:p w14:paraId="0E83B095">
      <w:pPr>
        <w:spacing w:line="360" w:lineRule="auto"/>
        <w:ind w:firstLine="0"/>
        <w:contextualSpacing/>
        <w:rPr>
          <w:rFonts w:hint="eastAsia" w:ascii="宋体" w:hAnsi="宋体" w:eastAsia="宋体" w:cs="宋体"/>
          <w:color w:val="auto"/>
          <w:sz w:val="24"/>
          <w:highlight w:val="none"/>
        </w:rPr>
      </w:pPr>
    </w:p>
    <w:p w14:paraId="6A6E03A1">
      <w:pPr>
        <w:spacing w:line="360" w:lineRule="auto"/>
        <w:ind w:firstLine="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1EA01EB1">
      <w:pPr>
        <w:spacing w:line="360" w:lineRule="auto"/>
        <w:ind w:firstLine="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4DF41753">
      <w:pPr>
        <w:spacing w:line="360" w:lineRule="auto"/>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tbl>
      <w:tblPr>
        <w:tblStyle w:val="44"/>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4CBC5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18579909">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142F061B">
            <w:pPr>
              <w:spacing w:line="3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竞争性谈判文件的商务</w:t>
            </w:r>
            <w:r>
              <w:rPr>
                <w:rFonts w:hint="eastAsia" w:ascii="宋体" w:hAnsi="宋体" w:eastAsia="宋体" w:cs="宋体"/>
                <w:color w:val="auto"/>
                <w:szCs w:val="21"/>
                <w:highlight w:val="none"/>
                <w:lang w:val="en-US" w:eastAsia="zh-CN"/>
              </w:rPr>
              <w:t>条款</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076370FE">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1E9E9DF9">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7F9E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tcPr>
          <w:p w14:paraId="43FE3EF2">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tcPr>
          <w:p w14:paraId="388572D2">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tcPr>
          <w:p w14:paraId="2D0B2141">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tcPr>
          <w:p w14:paraId="5209AD96">
            <w:pPr>
              <w:spacing w:line="300" w:lineRule="exact"/>
              <w:rPr>
                <w:rFonts w:hint="eastAsia" w:ascii="宋体" w:hAnsi="宋体" w:eastAsia="宋体" w:cs="宋体"/>
                <w:color w:val="auto"/>
                <w:szCs w:val="21"/>
                <w:highlight w:val="none"/>
              </w:rPr>
            </w:pPr>
          </w:p>
        </w:tc>
      </w:tr>
      <w:tr w14:paraId="2F55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tcPr>
          <w:p w14:paraId="5715DC6B">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tcPr>
          <w:p w14:paraId="63DB9AAA">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tcPr>
          <w:p w14:paraId="3A4BD506">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tcPr>
          <w:p w14:paraId="7B68CAA7">
            <w:pPr>
              <w:spacing w:line="300" w:lineRule="exact"/>
              <w:rPr>
                <w:rFonts w:hint="eastAsia" w:ascii="宋体" w:hAnsi="宋体" w:eastAsia="宋体" w:cs="宋体"/>
                <w:color w:val="auto"/>
                <w:szCs w:val="21"/>
                <w:highlight w:val="none"/>
              </w:rPr>
            </w:pPr>
          </w:p>
        </w:tc>
      </w:tr>
      <w:tr w14:paraId="5F08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tcPr>
          <w:p w14:paraId="40772F85">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tcPr>
          <w:p w14:paraId="31902736">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tcPr>
          <w:p w14:paraId="4BAB9C8F">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tcPr>
          <w:p w14:paraId="0EDA4125">
            <w:pPr>
              <w:spacing w:line="300" w:lineRule="exact"/>
              <w:rPr>
                <w:rFonts w:hint="eastAsia" w:ascii="宋体" w:hAnsi="宋体" w:eastAsia="宋体" w:cs="宋体"/>
                <w:color w:val="auto"/>
                <w:szCs w:val="21"/>
                <w:highlight w:val="none"/>
              </w:rPr>
            </w:pPr>
          </w:p>
        </w:tc>
      </w:tr>
    </w:tbl>
    <w:p w14:paraId="648EAFC8">
      <w:pPr>
        <w:spacing w:line="400" w:lineRule="exact"/>
        <w:ind w:left="42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注：</w:t>
      </w:r>
    </w:p>
    <w:p w14:paraId="5DE80693">
      <w:pPr>
        <w:spacing w:line="400" w:lineRule="exact"/>
        <w:ind w:left="420" w:firstLine="0"/>
        <w:contextualSpacing/>
        <w:rPr>
          <w:rFonts w:hint="eastAsia" w:ascii="宋体" w:hAnsi="宋体" w:eastAsia="宋体" w:cs="宋体"/>
          <w:color w:val="auto"/>
          <w:highlight w:val="none"/>
          <w:lang w:val="en-US" w:eastAsia="zh-CN"/>
        </w:rPr>
      </w:pPr>
      <w:r>
        <w:rPr>
          <w:rFonts w:hint="eastAsia" w:ascii="宋体" w:hAnsi="宋体" w:eastAsia="宋体" w:cs="宋体"/>
          <w:bCs/>
          <w:color w:val="auto"/>
          <w:highlight w:val="none"/>
        </w:rPr>
        <w:t>▲</w:t>
      </w:r>
      <w:r>
        <w:rPr>
          <w:rFonts w:hint="eastAsia" w:ascii="宋体" w:hAnsi="宋体" w:eastAsia="宋体" w:cs="宋体"/>
          <w:color w:val="auto"/>
          <w:sz w:val="21"/>
          <w:szCs w:val="21"/>
          <w:highlight w:val="none"/>
          <w:lang w:val="zh-CN" w:eastAsia="zh-CN"/>
        </w:rPr>
        <w:t>1.</w:t>
      </w:r>
      <w:r>
        <w:rPr>
          <w:rFonts w:hint="eastAsia" w:ascii="宋体" w:hAnsi="宋体" w:eastAsia="宋体" w:cs="宋体"/>
          <w:color w:val="auto"/>
          <w:highlight w:val="none"/>
          <w:lang w:eastAsia="zh-CN"/>
        </w:rPr>
        <w:t>必须</w:t>
      </w:r>
      <w:r>
        <w:rPr>
          <w:rFonts w:hint="eastAsia" w:ascii="宋体" w:hAnsi="宋体" w:eastAsia="宋体" w:cs="宋体"/>
          <w:color w:val="auto"/>
          <w:highlight w:val="none"/>
        </w:rPr>
        <w:t>对本项目</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文件“第二章</w:t>
      </w:r>
      <w:r>
        <w:rPr>
          <w:rFonts w:hint="eastAsia" w:ascii="宋体" w:hAnsi="宋体" w:eastAsia="宋体" w:cs="宋体"/>
          <w:color w:val="auto"/>
          <w:highlight w:val="none"/>
          <w:lang w:val="en-US" w:eastAsia="zh-CN"/>
        </w:rPr>
        <w:t xml:space="preserve">  </w:t>
      </w:r>
      <w:r>
        <w:rPr>
          <w:rFonts w:hint="eastAsia" w:ascii="宋体" w:hAnsi="宋体" w:eastAsia="宋体" w:cs="宋体"/>
          <w:b/>
          <w:color w:val="auto"/>
          <w:sz w:val="21"/>
          <w:szCs w:val="21"/>
          <w:highlight w:val="none"/>
        </w:rPr>
        <w:t>采购需求</w:t>
      </w:r>
      <w:r>
        <w:rPr>
          <w:rFonts w:hint="eastAsia" w:ascii="宋体" w:hAnsi="宋体" w:eastAsia="宋体" w:cs="宋体"/>
          <w:color w:val="auto"/>
          <w:highlight w:val="none"/>
        </w:rPr>
        <w:t>”中“商务条款”的</w:t>
      </w:r>
      <w:r>
        <w:rPr>
          <w:rFonts w:hint="eastAsia" w:ascii="宋体" w:hAnsi="宋体" w:eastAsia="宋体" w:cs="宋体"/>
          <w:color w:val="auto"/>
          <w:highlight w:val="none"/>
          <w:lang w:val="en-US" w:eastAsia="zh-CN"/>
        </w:rPr>
        <w:t>全部</w:t>
      </w:r>
      <w:r>
        <w:rPr>
          <w:rFonts w:hint="eastAsia" w:ascii="宋体" w:hAnsi="宋体" w:eastAsia="宋体" w:cs="宋体"/>
          <w:color w:val="auto"/>
          <w:highlight w:val="none"/>
          <w:lang w:eastAsia="zh-CN"/>
        </w:rPr>
        <w:t>条款</w:t>
      </w:r>
      <w:r>
        <w:rPr>
          <w:rFonts w:hint="eastAsia" w:ascii="宋体" w:hAnsi="宋体" w:eastAsia="宋体" w:cs="宋体"/>
          <w:color w:val="auto"/>
          <w:highlight w:val="none"/>
        </w:rPr>
        <w:t>，详细填写</w:t>
      </w:r>
      <w:r>
        <w:rPr>
          <w:rFonts w:hint="eastAsia" w:ascii="宋体" w:hAnsi="宋体" w:eastAsia="宋体" w:cs="宋体"/>
          <w:color w:val="auto"/>
          <w:highlight w:val="none"/>
          <w:lang w:val="en-US" w:eastAsia="zh-CN"/>
        </w:rPr>
        <w:t>响</w:t>
      </w:r>
    </w:p>
    <w:p w14:paraId="4BD73D06">
      <w:pPr>
        <w:spacing w:line="400" w:lineRule="exact"/>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的具体内容</w:t>
      </w:r>
      <w:r>
        <w:rPr>
          <w:rFonts w:hint="eastAsia" w:ascii="宋体" w:hAnsi="宋体" w:eastAsia="宋体" w:cs="宋体"/>
          <w:color w:val="auto"/>
          <w:highlight w:val="none"/>
          <w:lang w:eastAsia="zh-CN"/>
        </w:rPr>
        <w:t>，</w:t>
      </w:r>
      <w:r>
        <w:rPr>
          <w:rFonts w:hint="eastAsia" w:ascii="宋体" w:hAnsi="宋体" w:eastAsia="宋体" w:cs="宋体"/>
          <w:b w:val="0"/>
          <w:bCs w:val="0"/>
          <w:color w:val="auto"/>
          <w:szCs w:val="21"/>
          <w:highlight w:val="none"/>
          <w:lang w:val="zh-CN" w:eastAsia="zh-CN"/>
        </w:rPr>
        <w:t>并作出偏离说明</w:t>
      </w:r>
      <w:r>
        <w:rPr>
          <w:rFonts w:hint="eastAsia" w:ascii="宋体" w:hAnsi="宋体" w:eastAsia="宋体" w:cs="宋体"/>
          <w:color w:val="auto"/>
          <w:sz w:val="21"/>
          <w:szCs w:val="21"/>
          <w:highlight w:val="none"/>
        </w:rPr>
        <w:t>。</w:t>
      </w:r>
      <w:r>
        <w:rPr>
          <w:rFonts w:hint="eastAsia" w:ascii="宋体" w:hAnsi="宋体" w:eastAsia="宋体" w:cs="宋体"/>
          <w:color w:val="auto"/>
          <w:highlight w:val="none"/>
        </w:rPr>
        <w:t>“偏离说明”一栏应当选择“正偏离”</w:t>
      </w:r>
      <w:r>
        <w:rPr>
          <w:rFonts w:hint="eastAsia" w:ascii="宋体" w:hAnsi="宋体" w:eastAsia="宋体" w:cs="宋体"/>
          <w:color w:val="auto"/>
          <w:highlight w:val="none"/>
          <w:lang w:eastAsia="zh-CN"/>
        </w:rPr>
        <w:t>或</w:t>
      </w:r>
      <w:r>
        <w:rPr>
          <w:rFonts w:hint="eastAsia" w:ascii="宋体" w:hAnsi="宋体" w:eastAsia="宋体" w:cs="宋体"/>
          <w:color w:val="auto"/>
          <w:highlight w:val="none"/>
        </w:rPr>
        <w:t>“负偏离”或“无偏离”进行填写。</w:t>
      </w:r>
    </w:p>
    <w:p w14:paraId="70AC6472">
      <w:pPr>
        <w:spacing w:line="40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.表格内容均需按要求填写并盖</w:t>
      </w:r>
      <w:r>
        <w:rPr>
          <w:rFonts w:hint="eastAsia" w:ascii="宋体" w:hAnsi="宋体" w:eastAsia="宋体" w:cs="宋体"/>
          <w:color w:val="auto"/>
          <w:sz w:val="21"/>
          <w:szCs w:val="21"/>
          <w:highlight w:val="none"/>
          <w:lang w:val="en-US" w:eastAsia="zh-CN"/>
        </w:rPr>
        <w:t>公</w:t>
      </w:r>
      <w:r>
        <w:rPr>
          <w:rFonts w:hint="eastAsia" w:ascii="宋体" w:hAnsi="宋体" w:eastAsia="宋体" w:cs="宋体"/>
          <w:color w:val="auto"/>
          <w:sz w:val="21"/>
          <w:szCs w:val="21"/>
          <w:highlight w:val="none"/>
        </w:rPr>
        <w:t>章，不得留空，</w:t>
      </w:r>
      <w:r>
        <w:rPr>
          <w:rFonts w:hint="eastAsia" w:ascii="宋体" w:hAnsi="宋体" w:eastAsia="宋体" w:cs="宋体"/>
          <w:b/>
          <w:bCs/>
          <w:color w:val="auto"/>
          <w:sz w:val="21"/>
          <w:szCs w:val="21"/>
          <w:highlight w:val="none"/>
        </w:rPr>
        <w:t>否则按</w:t>
      </w:r>
      <w:r>
        <w:rPr>
          <w:rFonts w:hint="eastAsia" w:ascii="宋体" w:hAnsi="宋体" w:eastAsia="宋体" w:cs="宋体"/>
          <w:b/>
          <w:bCs/>
          <w:color w:val="auto"/>
          <w:sz w:val="21"/>
          <w:szCs w:val="21"/>
          <w:highlight w:val="none"/>
          <w:lang w:eastAsia="zh-CN"/>
        </w:rPr>
        <w:t>响应无效</w:t>
      </w:r>
      <w:r>
        <w:rPr>
          <w:rFonts w:hint="eastAsia" w:ascii="宋体" w:hAnsi="宋体" w:eastAsia="宋体" w:cs="宋体"/>
          <w:b/>
          <w:bCs/>
          <w:color w:val="auto"/>
          <w:sz w:val="21"/>
          <w:szCs w:val="21"/>
          <w:highlight w:val="none"/>
        </w:rPr>
        <w:t>处理</w:t>
      </w:r>
      <w:r>
        <w:rPr>
          <w:rFonts w:hint="eastAsia" w:ascii="宋体" w:hAnsi="宋体" w:eastAsia="宋体" w:cs="宋体"/>
          <w:color w:val="auto"/>
          <w:sz w:val="21"/>
          <w:szCs w:val="21"/>
          <w:highlight w:val="none"/>
        </w:rPr>
        <w:t>。</w:t>
      </w:r>
    </w:p>
    <w:p w14:paraId="42CB6916">
      <w:pPr>
        <w:spacing w:line="400" w:lineRule="exact"/>
        <w:ind w:firstLine="480"/>
        <w:contextualSpacing/>
        <w:rPr>
          <w:rFonts w:hint="eastAsia" w:ascii="宋体" w:hAnsi="宋体" w:eastAsia="宋体" w:cs="宋体"/>
          <w:color w:val="auto"/>
          <w:sz w:val="24"/>
          <w:szCs w:val="24"/>
          <w:highlight w:val="none"/>
          <w:lang w:val="zh-CN" w:eastAsia="zh-CN"/>
        </w:rPr>
      </w:pPr>
    </w:p>
    <w:p w14:paraId="331CF595">
      <w:pPr>
        <w:spacing w:line="400" w:lineRule="exact"/>
        <w:ind w:firstLine="480"/>
        <w:contextualSpacing/>
        <w:rPr>
          <w:rFonts w:hint="eastAsia" w:ascii="宋体" w:hAnsi="宋体" w:eastAsia="宋体" w:cs="宋体"/>
          <w:color w:val="auto"/>
          <w:sz w:val="24"/>
          <w:szCs w:val="24"/>
          <w:highlight w:val="none"/>
          <w:lang w:val="zh-CN" w:eastAsia="zh-CN"/>
        </w:rPr>
      </w:pPr>
    </w:p>
    <w:p w14:paraId="4D054D8D">
      <w:pPr>
        <w:spacing w:line="360" w:lineRule="auto"/>
        <w:ind w:right="-817"/>
        <w:contextualSpacing/>
        <w:rPr>
          <w:rFonts w:hint="eastAsia" w:ascii="宋体" w:hAnsi="宋体" w:eastAsia="宋体" w:cs="宋体"/>
          <w:color w:val="auto"/>
          <w:sz w:val="24"/>
          <w:szCs w:val="24"/>
          <w:highlight w:val="none"/>
        </w:rPr>
      </w:pPr>
    </w:p>
    <w:p w14:paraId="4FDA1713">
      <w:pPr>
        <w:spacing w:line="360" w:lineRule="auto"/>
        <w:ind w:firstLine="38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332C32F4">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 xml:space="preserve">                                                   日期：  年  月   日</w:t>
      </w:r>
    </w:p>
    <w:p w14:paraId="7AB40CA8">
      <w:pPr>
        <w:spacing w:line="360" w:lineRule="auto"/>
        <w:ind w:firstLine="602"/>
        <w:rPr>
          <w:rFonts w:hint="eastAsia" w:ascii="宋体" w:hAnsi="宋体" w:eastAsia="宋体" w:cs="宋体"/>
          <w:b/>
          <w:color w:val="auto"/>
          <w:sz w:val="30"/>
          <w:szCs w:val="30"/>
          <w:highlight w:val="none"/>
        </w:rPr>
      </w:pPr>
    </w:p>
    <w:p w14:paraId="51E30DCB">
      <w:pPr>
        <w:spacing w:line="360" w:lineRule="auto"/>
        <w:ind w:firstLine="602"/>
        <w:rPr>
          <w:rFonts w:hint="eastAsia" w:ascii="宋体" w:hAnsi="宋体" w:eastAsia="宋体" w:cs="宋体"/>
          <w:b/>
          <w:color w:val="auto"/>
          <w:sz w:val="30"/>
          <w:szCs w:val="30"/>
          <w:highlight w:val="none"/>
        </w:rPr>
      </w:pPr>
    </w:p>
    <w:p w14:paraId="0B25ABB3">
      <w:pPr>
        <w:spacing w:line="360" w:lineRule="auto"/>
        <w:ind w:firstLine="602"/>
        <w:rPr>
          <w:rFonts w:hint="eastAsia" w:ascii="宋体" w:hAnsi="宋体" w:eastAsia="宋体" w:cs="宋体"/>
          <w:b/>
          <w:color w:val="auto"/>
          <w:sz w:val="30"/>
          <w:szCs w:val="30"/>
          <w:highlight w:val="none"/>
        </w:rPr>
      </w:pPr>
    </w:p>
    <w:p w14:paraId="4D4C40BE">
      <w:pPr>
        <w:spacing w:line="360" w:lineRule="auto"/>
        <w:ind w:firstLine="602"/>
        <w:rPr>
          <w:rFonts w:hint="eastAsia" w:ascii="宋体" w:hAnsi="宋体" w:eastAsia="宋体" w:cs="宋体"/>
          <w:b/>
          <w:color w:val="auto"/>
          <w:sz w:val="30"/>
          <w:szCs w:val="30"/>
          <w:highlight w:val="none"/>
        </w:rPr>
      </w:pPr>
    </w:p>
    <w:p w14:paraId="78447A7D">
      <w:pPr>
        <w:spacing w:before="120" w:after="50"/>
        <w:ind w:firstLine="0"/>
        <w:rPr>
          <w:rFonts w:hint="eastAsia" w:ascii="宋体" w:hAnsi="宋体" w:eastAsia="宋体" w:cs="宋体"/>
          <w:b/>
          <w:color w:val="auto"/>
          <w:sz w:val="24"/>
          <w:szCs w:val="24"/>
          <w:highlight w:val="none"/>
        </w:rPr>
      </w:pPr>
      <w:r>
        <w:rPr>
          <w:rFonts w:hint="eastAsia" w:ascii="宋体" w:hAnsi="宋体" w:eastAsia="宋体" w:cs="宋体"/>
          <w:b/>
          <w:color w:val="auto"/>
          <w:sz w:val="28"/>
          <w:szCs w:val="28"/>
          <w:highlight w:val="none"/>
          <w:lang w:val="en-US" w:eastAsia="zh-CN"/>
        </w:rPr>
        <w:t>7.</w:t>
      </w:r>
      <w:r>
        <w:rPr>
          <w:rFonts w:hint="eastAsia" w:ascii="宋体" w:hAnsi="宋体" w:eastAsia="宋体" w:cs="宋体"/>
          <w:b/>
          <w:color w:val="auto"/>
          <w:sz w:val="28"/>
          <w:szCs w:val="28"/>
          <w:highlight w:val="none"/>
        </w:rPr>
        <w:t>供应商类似的业绩证明文件</w:t>
      </w:r>
      <w:r>
        <w:rPr>
          <w:rFonts w:hint="eastAsia" w:ascii="宋体" w:hAnsi="宋体" w:eastAsia="宋体" w:cs="宋体"/>
          <w:b/>
          <w:bCs/>
          <w:color w:val="auto"/>
          <w:sz w:val="30"/>
          <w:szCs w:val="30"/>
          <w:highlight w:val="none"/>
        </w:rPr>
        <w:t>（如有要求）</w:t>
      </w:r>
      <w:r>
        <w:rPr>
          <w:rFonts w:hint="eastAsia" w:ascii="宋体" w:hAnsi="宋体" w:eastAsia="宋体" w:cs="宋体"/>
          <w:b/>
          <w:bCs/>
          <w:color w:val="auto"/>
          <w:sz w:val="30"/>
          <w:szCs w:val="30"/>
          <w:highlight w:val="none"/>
          <w:lang w:eastAsia="zh-CN"/>
        </w:rPr>
        <w:t>：</w:t>
      </w:r>
    </w:p>
    <w:p w14:paraId="0D0C5DF2">
      <w:pPr>
        <w:ind w:left="480" w:hanging="480"/>
        <w:contextualSpacing/>
        <w:rPr>
          <w:rFonts w:hint="eastAsia" w:ascii="宋体" w:hAnsi="宋体" w:eastAsia="宋体" w:cs="宋体"/>
          <w:color w:val="auto"/>
          <w:sz w:val="24"/>
          <w:szCs w:val="24"/>
          <w:highlight w:val="none"/>
        </w:rPr>
      </w:pPr>
    </w:p>
    <w:tbl>
      <w:tblPr>
        <w:tblStyle w:val="44"/>
        <w:tblpPr w:leftFromText="180" w:rightFromText="180" w:vertAnchor="page" w:horzAnchor="margin" w:tblpXSpec="center" w:tblpY="4783"/>
        <w:tblW w:w="95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8"/>
        <w:gridCol w:w="1915"/>
        <w:gridCol w:w="1044"/>
        <w:gridCol w:w="1045"/>
        <w:gridCol w:w="1567"/>
        <w:gridCol w:w="1058"/>
        <w:gridCol w:w="1813"/>
      </w:tblGrid>
      <w:tr w14:paraId="6F06D0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58" w:type="dxa"/>
            <w:vMerge w:val="restart"/>
            <w:tcBorders>
              <w:top w:val="single" w:color="auto" w:sz="4" w:space="0"/>
              <w:left w:val="single" w:color="auto" w:sz="4" w:space="0"/>
              <w:bottom w:val="single" w:color="auto" w:sz="4" w:space="0"/>
              <w:right w:val="single" w:color="auto" w:sz="4" w:space="0"/>
            </w:tcBorders>
            <w:noWrap w:val="0"/>
            <w:vAlign w:val="center"/>
          </w:tcPr>
          <w:p w14:paraId="332D0890">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p>
        </w:tc>
        <w:tc>
          <w:tcPr>
            <w:tcW w:w="1915" w:type="dxa"/>
            <w:vMerge w:val="restart"/>
            <w:tcBorders>
              <w:top w:val="single" w:color="auto" w:sz="4" w:space="0"/>
              <w:left w:val="single" w:color="auto" w:sz="4" w:space="0"/>
              <w:bottom w:val="single" w:color="auto" w:sz="4" w:space="0"/>
              <w:right w:val="single" w:color="auto" w:sz="4" w:space="0"/>
            </w:tcBorders>
            <w:noWrap w:val="0"/>
            <w:vAlign w:val="center"/>
          </w:tcPr>
          <w:p w14:paraId="25885269">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1044" w:type="dxa"/>
            <w:vMerge w:val="restart"/>
            <w:tcBorders>
              <w:top w:val="single" w:color="auto" w:sz="4" w:space="0"/>
              <w:left w:val="single" w:color="auto" w:sz="4" w:space="0"/>
              <w:bottom w:val="single" w:color="auto" w:sz="4" w:space="0"/>
              <w:right w:val="single" w:color="auto" w:sz="4" w:space="0"/>
            </w:tcBorders>
            <w:noWrap w:val="0"/>
            <w:vAlign w:val="center"/>
          </w:tcPr>
          <w:p w14:paraId="746CBAED">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w:t>
            </w:r>
          </w:p>
          <w:p w14:paraId="6708A64C">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金额</w:t>
            </w:r>
          </w:p>
          <w:p w14:paraId="5024CE3B">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（万元）</w:t>
            </w:r>
          </w:p>
        </w:tc>
        <w:tc>
          <w:tcPr>
            <w:tcW w:w="3670" w:type="dxa"/>
            <w:gridSpan w:val="3"/>
            <w:tcBorders>
              <w:top w:val="single" w:color="auto" w:sz="4" w:space="0"/>
              <w:left w:val="single" w:color="auto" w:sz="4" w:space="0"/>
              <w:bottom w:val="single" w:color="auto" w:sz="4" w:space="0"/>
              <w:right w:val="single" w:color="auto" w:sz="4" w:space="0"/>
            </w:tcBorders>
            <w:noWrap w:val="0"/>
            <w:vAlign w:val="center"/>
          </w:tcPr>
          <w:p w14:paraId="62FE38F7">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附件在响应文件中页码</w:t>
            </w:r>
          </w:p>
        </w:tc>
        <w:tc>
          <w:tcPr>
            <w:tcW w:w="1813" w:type="dxa"/>
            <w:vMerge w:val="restart"/>
            <w:tcBorders>
              <w:top w:val="single" w:color="auto" w:sz="4" w:space="0"/>
              <w:left w:val="single" w:color="auto" w:sz="4" w:space="0"/>
              <w:bottom w:val="single" w:color="auto" w:sz="4" w:space="0"/>
              <w:right w:val="single" w:color="auto" w:sz="4" w:space="0"/>
            </w:tcBorders>
            <w:noWrap w:val="0"/>
            <w:vAlign w:val="center"/>
          </w:tcPr>
          <w:p w14:paraId="394BE023">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采购人联系人及联系电话</w:t>
            </w:r>
          </w:p>
        </w:tc>
      </w:tr>
      <w:tr w14:paraId="620952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2" w:hRule="atLeast"/>
        </w:trPr>
        <w:tc>
          <w:tcPr>
            <w:tcW w:w="1058" w:type="dxa"/>
            <w:vMerge w:val="continue"/>
            <w:tcBorders>
              <w:top w:val="single" w:color="auto" w:sz="4" w:space="0"/>
              <w:left w:val="single" w:color="auto" w:sz="4" w:space="0"/>
              <w:bottom w:val="single" w:color="auto" w:sz="4" w:space="0"/>
              <w:right w:val="single" w:color="auto" w:sz="4" w:space="0"/>
            </w:tcBorders>
            <w:noWrap w:val="0"/>
            <w:vAlign w:val="center"/>
          </w:tcPr>
          <w:p w14:paraId="1EB1295F">
            <w:pPr>
              <w:jc w:val="left"/>
              <w:rPr>
                <w:rFonts w:hint="eastAsia" w:ascii="宋体" w:hAnsi="宋体" w:eastAsia="宋体" w:cs="宋体"/>
                <w:color w:val="auto"/>
                <w:sz w:val="24"/>
                <w:szCs w:val="24"/>
                <w:highlight w:val="none"/>
              </w:rPr>
            </w:pPr>
          </w:p>
        </w:tc>
        <w:tc>
          <w:tcPr>
            <w:tcW w:w="1915" w:type="dxa"/>
            <w:vMerge w:val="continue"/>
            <w:tcBorders>
              <w:top w:val="single" w:color="auto" w:sz="4" w:space="0"/>
              <w:left w:val="single" w:color="auto" w:sz="4" w:space="0"/>
              <w:bottom w:val="single" w:color="auto" w:sz="4" w:space="0"/>
              <w:right w:val="single" w:color="auto" w:sz="4" w:space="0"/>
            </w:tcBorders>
            <w:noWrap w:val="0"/>
            <w:vAlign w:val="center"/>
          </w:tcPr>
          <w:p w14:paraId="6DB57992">
            <w:pPr>
              <w:jc w:val="left"/>
              <w:rPr>
                <w:rFonts w:hint="eastAsia" w:ascii="宋体" w:hAnsi="宋体" w:eastAsia="宋体" w:cs="宋体"/>
                <w:color w:val="auto"/>
                <w:sz w:val="24"/>
                <w:szCs w:val="24"/>
                <w:highlight w:val="none"/>
              </w:rPr>
            </w:pPr>
          </w:p>
        </w:tc>
        <w:tc>
          <w:tcPr>
            <w:tcW w:w="1044" w:type="dxa"/>
            <w:vMerge w:val="continue"/>
            <w:tcBorders>
              <w:top w:val="single" w:color="auto" w:sz="4" w:space="0"/>
              <w:left w:val="single" w:color="auto" w:sz="4" w:space="0"/>
              <w:bottom w:val="single" w:color="auto" w:sz="4" w:space="0"/>
              <w:right w:val="single" w:color="auto" w:sz="4" w:space="0"/>
            </w:tcBorders>
            <w:noWrap w:val="0"/>
            <w:vAlign w:val="center"/>
          </w:tcPr>
          <w:p w14:paraId="40A05764">
            <w:pPr>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vAlign w:val="center"/>
          </w:tcPr>
          <w:p w14:paraId="28C46041">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1ED28F5B">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验收报告</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B9C8D72">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用户</w:t>
            </w:r>
          </w:p>
          <w:p w14:paraId="2D7C6000">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评价</w:t>
            </w:r>
          </w:p>
        </w:tc>
        <w:tc>
          <w:tcPr>
            <w:tcW w:w="1813" w:type="dxa"/>
            <w:vMerge w:val="continue"/>
            <w:tcBorders>
              <w:top w:val="single" w:color="auto" w:sz="4" w:space="0"/>
              <w:left w:val="single" w:color="auto" w:sz="4" w:space="0"/>
              <w:bottom w:val="single" w:color="auto" w:sz="4" w:space="0"/>
              <w:right w:val="single" w:color="auto" w:sz="4" w:space="0"/>
            </w:tcBorders>
            <w:noWrap w:val="0"/>
            <w:vAlign w:val="center"/>
          </w:tcPr>
          <w:p w14:paraId="0CBA307C">
            <w:pPr>
              <w:jc w:val="left"/>
              <w:rPr>
                <w:rFonts w:hint="eastAsia" w:ascii="宋体" w:hAnsi="宋体" w:eastAsia="宋体" w:cs="宋体"/>
                <w:color w:val="auto"/>
                <w:sz w:val="24"/>
                <w:szCs w:val="24"/>
                <w:highlight w:val="none"/>
              </w:rPr>
            </w:pPr>
          </w:p>
        </w:tc>
      </w:tr>
      <w:tr w14:paraId="23A056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 w:type="dxa"/>
            <w:tcBorders>
              <w:top w:val="single" w:color="auto" w:sz="4" w:space="0"/>
              <w:left w:val="single" w:color="auto" w:sz="4" w:space="0"/>
              <w:bottom w:val="single" w:color="auto" w:sz="4" w:space="0"/>
              <w:right w:val="single" w:color="auto" w:sz="4" w:space="0"/>
            </w:tcBorders>
            <w:noWrap w:val="0"/>
          </w:tcPr>
          <w:p w14:paraId="7CC8D91E">
            <w:pPr>
              <w:spacing w:line="24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5A1B3A16">
            <w:pPr>
              <w:spacing w:line="24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18F41711">
            <w:pPr>
              <w:spacing w:line="24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556B785B">
            <w:pPr>
              <w:spacing w:line="24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1C71AEDF">
            <w:pPr>
              <w:spacing w:line="24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7A7FC958">
            <w:pPr>
              <w:spacing w:line="24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195E1588">
            <w:pPr>
              <w:spacing w:line="240" w:lineRule="exact"/>
              <w:jc w:val="left"/>
              <w:rPr>
                <w:rFonts w:hint="eastAsia" w:ascii="宋体" w:hAnsi="宋体" w:eastAsia="宋体" w:cs="宋体"/>
                <w:color w:val="auto"/>
                <w:sz w:val="24"/>
                <w:szCs w:val="24"/>
                <w:highlight w:val="none"/>
              </w:rPr>
            </w:pPr>
          </w:p>
        </w:tc>
      </w:tr>
      <w:tr w14:paraId="6F0F5A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noWrap w:val="0"/>
          </w:tcPr>
          <w:p w14:paraId="0B4C6177">
            <w:pPr>
              <w:spacing w:before="50" w:after="12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4F9F1FDF">
            <w:pPr>
              <w:spacing w:before="50" w:after="12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5577D510">
            <w:pPr>
              <w:spacing w:before="50" w:after="12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0B0375BA">
            <w:pPr>
              <w:spacing w:before="50" w:after="12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5D9F63E7">
            <w:pPr>
              <w:spacing w:before="50" w:after="12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59CB4D6D">
            <w:pPr>
              <w:spacing w:before="50" w:after="12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55335601">
            <w:pPr>
              <w:spacing w:before="50" w:after="120" w:line="400" w:lineRule="exact"/>
              <w:jc w:val="left"/>
              <w:rPr>
                <w:rFonts w:hint="eastAsia" w:ascii="宋体" w:hAnsi="宋体" w:eastAsia="宋体" w:cs="宋体"/>
                <w:color w:val="auto"/>
                <w:sz w:val="24"/>
                <w:szCs w:val="24"/>
                <w:highlight w:val="none"/>
              </w:rPr>
            </w:pPr>
          </w:p>
        </w:tc>
      </w:tr>
      <w:tr w14:paraId="1528F7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58" w:type="dxa"/>
            <w:tcBorders>
              <w:top w:val="single" w:color="auto" w:sz="4" w:space="0"/>
              <w:left w:val="single" w:color="auto" w:sz="4" w:space="0"/>
              <w:bottom w:val="single" w:color="auto" w:sz="4" w:space="0"/>
              <w:right w:val="single" w:color="auto" w:sz="4" w:space="0"/>
            </w:tcBorders>
            <w:noWrap w:val="0"/>
          </w:tcPr>
          <w:p w14:paraId="67025F37">
            <w:pPr>
              <w:spacing w:before="50" w:after="12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067262AE">
            <w:pPr>
              <w:spacing w:before="50" w:after="12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39A01559">
            <w:pPr>
              <w:spacing w:before="50" w:after="12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767DB44F">
            <w:pPr>
              <w:spacing w:before="50" w:after="12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3D4046E2">
            <w:pPr>
              <w:spacing w:before="50" w:after="12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5F0ADDDA">
            <w:pPr>
              <w:spacing w:before="50" w:after="12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68F64D5F">
            <w:pPr>
              <w:spacing w:before="50" w:after="120" w:line="400" w:lineRule="exact"/>
              <w:jc w:val="left"/>
              <w:rPr>
                <w:rFonts w:hint="eastAsia" w:ascii="宋体" w:hAnsi="宋体" w:eastAsia="宋体" w:cs="宋体"/>
                <w:color w:val="auto"/>
                <w:sz w:val="24"/>
                <w:szCs w:val="24"/>
                <w:highlight w:val="none"/>
              </w:rPr>
            </w:pPr>
          </w:p>
        </w:tc>
      </w:tr>
      <w:tr w14:paraId="704EFB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noWrap w:val="0"/>
          </w:tcPr>
          <w:p w14:paraId="2F4F423B">
            <w:pPr>
              <w:spacing w:before="50" w:after="12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4012C819">
            <w:pPr>
              <w:spacing w:before="50" w:after="12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0CE00320">
            <w:pPr>
              <w:spacing w:before="50" w:after="12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753402A9">
            <w:pPr>
              <w:spacing w:before="50" w:after="12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1B1459BC">
            <w:pPr>
              <w:spacing w:before="50" w:after="12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0804A43A">
            <w:pPr>
              <w:spacing w:before="50" w:after="12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4801A6E5">
            <w:pPr>
              <w:spacing w:before="50" w:after="120" w:line="400" w:lineRule="exact"/>
              <w:jc w:val="left"/>
              <w:rPr>
                <w:rFonts w:hint="eastAsia" w:ascii="宋体" w:hAnsi="宋体" w:eastAsia="宋体" w:cs="宋体"/>
                <w:color w:val="auto"/>
                <w:sz w:val="24"/>
                <w:szCs w:val="24"/>
                <w:highlight w:val="none"/>
              </w:rPr>
            </w:pPr>
          </w:p>
        </w:tc>
      </w:tr>
      <w:tr w14:paraId="662E47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058" w:type="dxa"/>
            <w:tcBorders>
              <w:top w:val="single" w:color="auto" w:sz="4" w:space="0"/>
              <w:left w:val="single" w:color="auto" w:sz="4" w:space="0"/>
              <w:bottom w:val="single" w:color="auto" w:sz="4" w:space="0"/>
              <w:right w:val="single" w:color="auto" w:sz="4" w:space="0"/>
            </w:tcBorders>
            <w:noWrap w:val="0"/>
          </w:tcPr>
          <w:p w14:paraId="052A243C">
            <w:pPr>
              <w:spacing w:before="50" w:after="12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3A8CAA54">
            <w:pPr>
              <w:spacing w:before="50" w:after="12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5DC40EA7">
            <w:pPr>
              <w:spacing w:before="50" w:after="12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5BF580D0">
            <w:pPr>
              <w:spacing w:before="50" w:after="12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4A8C5A87">
            <w:pPr>
              <w:spacing w:before="50" w:after="12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1A189E4F">
            <w:pPr>
              <w:spacing w:before="50" w:after="12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5991225A">
            <w:pPr>
              <w:spacing w:before="50" w:after="120" w:line="400" w:lineRule="exact"/>
              <w:jc w:val="left"/>
              <w:rPr>
                <w:rFonts w:hint="eastAsia" w:ascii="宋体" w:hAnsi="宋体" w:eastAsia="宋体" w:cs="宋体"/>
                <w:color w:val="auto"/>
                <w:sz w:val="24"/>
                <w:szCs w:val="24"/>
                <w:highlight w:val="none"/>
              </w:rPr>
            </w:pPr>
          </w:p>
        </w:tc>
      </w:tr>
    </w:tbl>
    <w:p w14:paraId="14EA12D6">
      <w:pPr>
        <w:ind w:left="480" w:hanging="480"/>
        <w:contextualSpacing/>
        <w:rPr>
          <w:rFonts w:hint="eastAsia" w:ascii="宋体" w:hAnsi="宋体" w:eastAsia="宋体" w:cs="宋体"/>
          <w:color w:val="auto"/>
          <w:sz w:val="24"/>
          <w:szCs w:val="24"/>
          <w:highlight w:val="none"/>
        </w:rPr>
      </w:pPr>
    </w:p>
    <w:p w14:paraId="6185862F">
      <w:pPr>
        <w:ind w:left="480" w:hanging="480"/>
        <w:contextualSpacing/>
        <w:rPr>
          <w:rFonts w:hint="eastAsia" w:ascii="宋体" w:hAnsi="宋体" w:eastAsia="宋体" w:cs="宋体"/>
          <w:color w:val="auto"/>
          <w:sz w:val="24"/>
          <w:szCs w:val="24"/>
          <w:highlight w:val="none"/>
        </w:rPr>
      </w:pPr>
    </w:p>
    <w:p w14:paraId="4D668C74">
      <w:pPr>
        <w:spacing w:line="360" w:lineRule="auto"/>
        <w:ind w:left="-420" w:firstLine="2425"/>
        <w:rPr>
          <w:rFonts w:hint="eastAsia" w:ascii="宋体" w:hAnsi="宋体" w:eastAsia="宋体" w:cs="宋体"/>
          <w:color w:val="auto"/>
          <w:sz w:val="32"/>
          <w:szCs w:val="32"/>
          <w:highlight w:val="none"/>
          <w:lang w:eastAsia="zh-CN"/>
        </w:rPr>
      </w:pPr>
      <w:r>
        <w:rPr>
          <w:rFonts w:hint="eastAsia" w:ascii="宋体" w:hAnsi="宋体" w:eastAsia="宋体" w:cs="宋体"/>
          <w:b/>
          <w:bCs/>
          <w:color w:val="auto"/>
          <w:sz w:val="32"/>
          <w:szCs w:val="32"/>
          <w:highlight w:val="none"/>
          <w:lang w:eastAsia="zh-CN"/>
        </w:rPr>
        <w:t>类似项目的业绩一览表</w:t>
      </w:r>
    </w:p>
    <w:p w14:paraId="43B8AED7">
      <w:pPr>
        <w:spacing w:line="360" w:lineRule="auto"/>
        <w:ind w:left="0" w:firstLine="0"/>
        <w:rPr>
          <w:rFonts w:hint="eastAsia" w:ascii="宋体" w:hAnsi="宋体" w:eastAsia="宋体" w:cs="宋体"/>
          <w:color w:val="auto"/>
          <w:sz w:val="32"/>
          <w:szCs w:val="32"/>
          <w:highlight w:val="none"/>
          <w:lang w:eastAsia="zh-CN"/>
        </w:rPr>
      </w:pPr>
    </w:p>
    <w:p w14:paraId="007CF7C6">
      <w:pPr>
        <w:spacing w:line="360" w:lineRule="auto"/>
        <w:ind w:left="-218" w:firstLine="480"/>
        <w:rPr>
          <w:rFonts w:hint="eastAsia" w:ascii="宋体" w:hAnsi="宋体" w:eastAsia="宋体" w:cs="宋体"/>
          <w:color w:val="auto"/>
          <w:sz w:val="20"/>
          <w:szCs w:val="21"/>
          <w:highlight w:val="none"/>
          <w:lang w:val="zh-CN" w:eastAsia="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p>
    <w:p w14:paraId="34CC9CA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注：在填写时，如本表格不适合供应商的实际情况，可参照本表格式自行制表填写，并附上相关证明材料。 </w:t>
      </w:r>
    </w:p>
    <w:p w14:paraId="09BAB807">
      <w:pPr>
        <w:spacing w:line="360" w:lineRule="auto"/>
        <w:ind w:firstLine="4935"/>
        <w:rPr>
          <w:rFonts w:hint="eastAsia" w:ascii="宋体" w:hAnsi="宋体" w:eastAsia="宋体" w:cs="宋体"/>
          <w:color w:val="auto"/>
          <w:szCs w:val="21"/>
          <w:highlight w:val="none"/>
        </w:rPr>
      </w:pPr>
    </w:p>
    <w:p w14:paraId="2D3D12E0">
      <w:pPr>
        <w:spacing w:line="360" w:lineRule="auto"/>
        <w:ind w:left="4410" w:firstLine="5670"/>
        <w:rPr>
          <w:rFonts w:hint="eastAsia" w:ascii="宋体" w:hAnsi="宋体" w:eastAsia="宋体" w:cs="宋体"/>
          <w:color w:val="auto"/>
          <w:sz w:val="24"/>
          <w:szCs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4"/>
          <w:szCs w:val="24"/>
          <w:highlight w:val="none"/>
          <w:lang w:val="zh-CN"/>
        </w:rPr>
        <w:t>供应商名称(盖公章)：</w:t>
      </w:r>
    </w:p>
    <w:p w14:paraId="2E20E841">
      <w:pPr>
        <w:spacing w:line="500" w:lineRule="exact"/>
        <w:jc w:val="center"/>
        <w:rPr>
          <w:rFonts w:hint="eastAsia" w:ascii="宋体" w:hAnsi="宋体" w:eastAsia="宋体" w:cs="宋体"/>
          <w:color w:val="auto"/>
          <w:sz w:val="32"/>
          <w:szCs w:val="32"/>
          <w:highlight w:val="none"/>
        </w:rPr>
        <w:sectPr>
          <w:pgSz w:w="11910" w:h="16840"/>
          <w:pgMar w:top="1340" w:right="1500" w:bottom="280" w:left="1680" w:header="720" w:footer="720" w:gutter="0"/>
          <w:cols w:space="720" w:num="1"/>
        </w:sectPr>
      </w:pPr>
      <w:r>
        <w:rPr>
          <w:rFonts w:hint="eastAsia" w:ascii="宋体" w:hAnsi="宋体" w:eastAsia="宋体" w:cs="宋体"/>
          <w:color w:val="auto"/>
          <w:sz w:val="24"/>
          <w:szCs w:val="24"/>
          <w:highlight w:val="none"/>
          <w:lang w:val="zh-CN"/>
        </w:rPr>
        <w:t xml:space="preserve">                                                     日期</w:t>
      </w:r>
      <w:r>
        <w:rPr>
          <w:rFonts w:hint="eastAsia" w:ascii="宋体" w:hAnsi="宋体" w:eastAsia="宋体" w:cs="宋体"/>
          <w:color w:val="auto"/>
          <w:sz w:val="24"/>
          <w:szCs w:val="24"/>
          <w:highlight w:val="none"/>
        </w:rPr>
        <w:t xml:space="preserve">：  年  </w:t>
      </w:r>
      <w:r>
        <w:rPr>
          <w:rFonts w:hint="eastAsia" w:ascii="宋体" w:hAnsi="宋体" w:eastAsia="宋体" w:cs="宋体"/>
          <w:color w:val="auto"/>
          <w:sz w:val="24"/>
          <w:szCs w:val="24"/>
          <w:highlight w:val="none"/>
          <w:lang w:val="zh-CN"/>
        </w:rPr>
        <w:t>月</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日</w:t>
      </w:r>
    </w:p>
    <w:p w14:paraId="0707E6EA">
      <w:pPr>
        <w:spacing w:line="360" w:lineRule="auto"/>
        <w:ind w:firstLine="0"/>
        <w:jc w:val="left"/>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val="en-US" w:eastAsia="zh-CN"/>
        </w:rPr>
        <w:t>8.</w:t>
      </w:r>
      <w:r>
        <w:rPr>
          <w:rFonts w:hint="eastAsia" w:ascii="宋体" w:hAnsi="宋体" w:eastAsia="宋体" w:cs="宋体"/>
          <w:b/>
          <w:color w:val="auto"/>
          <w:sz w:val="30"/>
          <w:szCs w:val="30"/>
          <w:highlight w:val="none"/>
          <w:lang w:eastAsia="zh-CN"/>
        </w:rPr>
        <w:t>技术</w:t>
      </w:r>
      <w:r>
        <w:rPr>
          <w:rFonts w:hint="eastAsia" w:ascii="宋体" w:hAnsi="宋体" w:eastAsia="宋体" w:cs="宋体"/>
          <w:b/>
          <w:color w:val="auto"/>
          <w:sz w:val="30"/>
          <w:szCs w:val="30"/>
          <w:highlight w:val="none"/>
        </w:rPr>
        <w:t>需求偏离表</w:t>
      </w:r>
      <w:r>
        <w:rPr>
          <w:rFonts w:hint="eastAsia" w:ascii="宋体" w:hAnsi="宋体" w:eastAsia="宋体" w:cs="宋体"/>
          <w:b/>
          <w:color w:val="auto"/>
          <w:sz w:val="30"/>
          <w:szCs w:val="30"/>
          <w:highlight w:val="none"/>
          <w:lang w:eastAsia="zh-CN"/>
        </w:rPr>
        <w:t>的格式：</w:t>
      </w:r>
    </w:p>
    <w:p w14:paraId="74DE41AA">
      <w:pPr>
        <w:spacing w:line="500" w:lineRule="exact"/>
        <w:jc w:val="center"/>
        <w:rPr>
          <w:rFonts w:hint="eastAsia" w:ascii="宋体" w:hAnsi="宋体" w:eastAsia="宋体" w:cs="宋体"/>
          <w:color w:val="auto"/>
          <w:sz w:val="32"/>
          <w:szCs w:val="32"/>
          <w:highlight w:val="none"/>
        </w:rPr>
      </w:pPr>
    </w:p>
    <w:p w14:paraId="25F70324">
      <w:pPr>
        <w:spacing w:line="500" w:lineRule="exact"/>
        <w:jc w:val="center"/>
        <w:rPr>
          <w:rFonts w:hint="eastAsia" w:ascii="宋体" w:hAnsi="宋体" w:eastAsia="宋体" w:cs="宋体"/>
          <w:b/>
          <w:bCs w:val="0"/>
          <w:color w:val="auto"/>
          <w:sz w:val="36"/>
          <w:szCs w:val="36"/>
          <w:highlight w:val="none"/>
        </w:rPr>
      </w:pPr>
      <w:r>
        <w:rPr>
          <w:rFonts w:hint="eastAsia" w:ascii="宋体" w:hAnsi="宋体" w:eastAsia="宋体" w:cs="宋体"/>
          <w:b/>
          <w:bCs w:val="0"/>
          <w:color w:val="auto"/>
          <w:sz w:val="32"/>
          <w:szCs w:val="32"/>
          <w:highlight w:val="none"/>
          <w:lang w:eastAsia="zh-CN"/>
        </w:rPr>
        <w:t>技术</w:t>
      </w:r>
      <w:r>
        <w:rPr>
          <w:rFonts w:hint="eastAsia" w:ascii="宋体" w:hAnsi="宋体" w:eastAsia="宋体" w:cs="宋体"/>
          <w:b/>
          <w:bCs w:val="0"/>
          <w:color w:val="auto"/>
          <w:sz w:val="32"/>
          <w:szCs w:val="32"/>
          <w:highlight w:val="none"/>
        </w:rPr>
        <w:t>需求偏离表</w:t>
      </w:r>
    </w:p>
    <w:p w14:paraId="7FF4814D">
      <w:pPr>
        <w:spacing w:line="500" w:lineRule="exact"/>
        <w:jc w:val="center"/>
        <w:rPr>
          <w:rFonts w:hint="eastAsia" w:ascii="宋体" w:hAnsi="宋体" w:eastAsia="宋体" w:cs="宋体"/>
          <w:b/>
          <w:color w:val="auto"/>
          <w:sz w:val="32"/>
          <w:szCs w:val="32"/>
          <w:highlight w:val="none"/>
        </w:rPr>
      </w:pPr>
      <w:r>
        <w:rPr>
          <w:rFonts w:hint="eastAsia" w:ascii="宋体" w:hAnsi="宋体" w:eastAsia="宋体" w:cs="宋体"/>
          <w:bCs/>
          <w:color w:val="auto"/>
          <w:sz w:val="21"/>
          <w:szCs w:val="21"/>
          <w:highlight w:val="none"/>
        </w:rPr>
        <w:t>(注：按采购需求具体条款</w:t>
      </w:r>
      <w:r>
        <w:rPr>
          <w:rFonts w:hint="eastAsia" w:ascii="宋体" w:hAnsi="宋体" w:eastAsia="宋体" w:cs="宋体"/>
          <w:bCs/>
          <w:color w:val="auto"/>
          <w:sz w:val="21"/>
          <w:szCs w:val="21"/>
          <w:highlight w:val="none"/>
          <w:lang w:val="en-US" w:eastAsia="zh-CN"/>
        </w:rPr>
        <w:t>编制</w:t>
      </w:r>
      <w:r>
        <w:rPr>
          <w:rFonts w:hint="eastAsia" w:ascii="宋体" w:hAnsi="宋体" w:eastAsia="宋体" w:cs="宋体"/>
          <w:bCs/>
          <w:color w:val="auto"/>
          <w:sz w:val="21"/>
          <w:szCs w:val="21"/>
          <w:highlight w:val="none"/>
        </w:rPr>
        <w:t>)</w:t>
      </w:r>
    </w:p>
    <w:p w14:paraId="5F389860">
      <w:pPr>
        <w:spacing w:line="360" w:lineRule="auto"/>
        <w:contextualSpacing/>
        <w:jc w:val="left"/>
        <w:rPr>
          <w:rFonts w:hint="eastAsia" w:ascii="宋体" w:hAnsi="宋体" w:eastAsia="宋体" w:cs="宋体"/>
          <w:color w:val="auto"/>
          <w:sz w:val="24"/>
          <w:szCs w:val="24"/>
          <w:highlight w:val="none"/>
        </w:rPr>
      </w:pPr>
    </w:p>
    <w:p w14:paraId="4EAF109C">
      <w:pPr>
        <w:spacing w:line="360" w:lineRule="auto"/>
        <w:ind w:firstLine="2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7B81EFB5">
      <w:pPr>
        <w:spacing w:line="360" w:lineRule="auto"/>
        <w:ind w:firstLine="2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6972BBD6">
      <w:pPr>
        <w:spacing w:line="360" w:lineRule="auto"/>
        <w:ind w:firstLine="24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tbl>
      <w:tblPr>
        <w:tblStyle w:val="44"/>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12"/>
        <w:gridCol w:w="2288"/>
        <w:gridCol w:w="2786"/>
        <w:gridCol w:w="1095"/>
      </w:tblGrid>
      <w:tr w14:paraId="15D1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29F1169F">
            <w:pPr>
              <w:widowControl/>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项号</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51A70596">
            <w:pP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标的</w:t>
            </w:r>
            <w:r>
              <w:rPr>
                <w:rFonts w:hint="eastAsia" w:ascii="宋体" w:hAnsi="宋体" w:eastAsia="宋体" w:cs="宋体"/>
                <w:color w:val="auto"/>
                <w:szCs w:val="21"/>
                <w:highlight w:val="none"/>
              </w:rPr>
              <w:t>名称</w:t>
            </w:r>
          </w:p>
        </w:tc>
        <w:tc>
          <w:tcPr>
            <w:tcW w:w="2288" w:type="dxa"/>
            <w:tcBorders>
              <w:top w:val="single" w:color="auto" w:sz="4" w:space="0"/>
              <w:left w:val="single" w:color="auto" w:sz="4" w:space="0"/>
              <w:bottom w:val="single" w:color="auto" w:sz="4" w:space="0"/>
              <w:right w:val="single" w:color="auto" w:sz="4" w:space="0"/>
            </w:tcBorders>
            <w:noWrap w:val="0"/>
            <w:vAlign w:val="center"/>
          </w:tcPr>
          <w:p w14:paraId="45CF663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竞争性谈判文件</w:t>
            </w:r>
            <w:r>
              <w:rPr>
                <w:rFonts w:hint="eastAsia" w:ascii="宋体" w:hAnsi="宋体" w:eastAsia="宋体" w:cs="宋体"/>
                <w:color w:val="auto"/>
                <w:szCs w:val="21"/>
                <w:highlight w:val="none"/>
                <w:lang w:eastAsia="zh-CN"/>
              </w:rPr>
              <w:t>采购需求</w:t>
            </w:r>
            <w:r>
              <w:rPr>
                <w:rFonts w:hint="eastAsia" w:ascii="宋体" w:hAnsi="宋体" w:eastAsia="宋体" w:cs="宋体"/>
                <w:color w:val="auto"/>
                <w:szCs w:val="21"/>
                <w:highlight w:val="none"/>
                <w:lang w:val="en-US" w:eastAsia="zh-CN"/>
              </w:rPr>
              <w:t>中的</w:t>
            </w:r>
            <w:r>
              <w:rPr>
                <w:rFonts w:hint="eastAsia" w:ascii="宋体" w:hAnsi="宋体" w:eastAsia="宋体" w:cs="宋体"/>
                <w:color w:val="auto"/>
                <w:sz w:val="21"/>
                <w:szCs w:val="21"/>
                <w:highlight w:val="none"/>
                <w:lang w:eastAsia="zh-CN"/>
              </w:rPr>
              <w:t>技术参数及配置</w:t>
            </w:r>
          </w:p>
        </w:tc>
        <w:tc>
          <w:tcPr>
            <w:tcW w:w="2786" w:type="dxa"/>
            <w:tcBorders>
              <w:top w:val="single" w:color="auto" w:sz="4" w:space="0"/>
              <w:left w:val="single" w:color="auto" w:sz="4" w:space="0"/>
              <w:bottom w:val="single" w:color="auto" w:sz="4" w:space="0"/>
              <w:right w:val="single" w:color="auto" w:sz="4" w:space="0"/>
            </w:tcBorders>
            <w:noWrap w:val="0"/>
            <w:vAlign w:val="center"/>
          </w:tcPr>
          <w:p w14:paraId="2D3C8C9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val="en-US" w:eastAsia="zh-CN"/>
              </w:rPr>
              <w:t>响应的</w:t>
            </w:r>
            <w:r>
              <w:rPr>
                <w:rFonts w:hint="eastAsia" w:ascii="宋体" w:hAnsi="宋体" w:eastAsia="宋体" w:cs="宋体"/>
                <w:color w:val="auto"/>
                <w:sz w:val="21"/>
                <w:szCs w:val="21"/>
                <w:highlight w:val="none"/>
                <w:lang w:eastAsia="zh-CN"/>
              </w:rPr>
              <w:t>技术参数及配置</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1DB0972">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5098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6E371B1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122FF62A">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noWrap w:val="0"/>
            <w:vAlign w:val="center"/>
          </w:tcPr>
          <w:p w14:paraId="70963813">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4AE33D6F">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FD58915">
            <w:pPr>
              <w:rPr>
                <w:rFonts w:hint="eastAsia" w:ascii="宋体" w:hAnsi="宋体" w:eastAsia="宋体" w:cs="宋体"/>
                <w:color w:val="auto"/>
                <w:szCs w:val="21"/>
                <w:highlight w:val="none"/>
              </w:rPr>
            </w:pPr>
          </w:p>
        </w:tc>
      </w:tr>
      <w:tr w14:paraId="76DD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2CF26A7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0F3497A3">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noWrap w:val="0"/>
            <w:vAlign w:val="center"/>
          </w:tcPr>
          <w:p w14:paraId="40FFE020">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7790EF2A">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2422A3F">
            <w:pPr>
              <w:rPr>
                <w:rFonts w:hint="eastAsia" w:ascii="宋体" w:hAnsi="宋体" w:eastAsia="宋体" w:cs="宋体"/>
                <w:color w:val="auto"/>
                <w:szCs w:val="21"/>
                <w:highlight w:val="none"/>
              </w:rPr>
            </w:pPr>
          </w:p>
        </w:tc>
      </w:tr>
      <w:tr w14:paraId="5C1A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72CCECA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5A6BE090">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noWrap w:val="0"/>
            <w:vAlign w:val="center"/>
          </w:tcPr>
          <w:p w14:paraId="1E85E946">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693C7E8F">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4B0743C">
            <w:pPr>
              <w:rPr>
                <w:rFonts w:hint="eastAsia" w:ascii="宋体" w:hAnsi="宋体" w:eastAsia="宋体" w:cs="宋体"/>
                <w:color w:val="auto"/>
                <w:szCs w:val="21"/>
                <w:highlight w:val="none"/>
              </w:rPr>
            </w:pPr>
          </w:p>
        </w:tc>
      </w:tr>
      <w:tr w14:paraId="3B6D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8086" w:type="dxa"/>
            <w:gridSpan w:val="5"/>
            <w:tcBorders>
              <w:top w:val="single" w:color="auto" w:sz="4" w:space="0"/>
              <w:left w:val="single" w:color="auto" w:sz="4" w:space="0"/>
              <w:bottom w:val="single" w:color="auto" w:sz="4" w:space="0"/>
              <w:right w:val="single" w:color="auto" w:sz="4" w:space="0"/>
            </w:tcBorders>
            <w:noWrap w:val="0"/>
            <w:vAlign w:val="center"/>
          </w:tcPr>
          <w:p w14:paraId="6A93A20B">
            <w:pPr>
              <w:spacing w:line="360" w:lineRule="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u w:val="none"/>
                <w:lang w:eastAsia="zh-CN"/>
              </w:rPr>
              <w:t>竞</w:t>
            </w:r>
            <w:r>
              <w:rPr>
                <w:rFonts w:hint="eastAsia" w:ascii="宋体" w:hAnsi="宋体" w:eastAsia="宋体" w:cs="宋体"/>
                <w:color w:val="auto"/>
                <w:sz w:val="21"/>
                <w:szCs w:val="21"/>
                <w:highlight w:val="none"/>
                <w:u w:val="none"/>
              </w:rPr>
              <w:t>标货物中，属于优先采购节能产品</w:t>
            </w:r>
            <w:r>
              <w:rPr>
                <w:rFonts w:hint="eastAsia" w:ascii="宋体" w:hAnsi="宋体" w:eastAsia="宋体" w:cs="宋体"/>
                <w:color w:val="auto"/>
                <w:highlight w:val="none"/>
              </w:rPr>
              <w:t>为</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竞争性谈判</w:t>
            </w:r>
            <w:r>
              <w:rPr>
                <w:rFonts w:hint="eastAsia" w:ascii="宋体" w:hAnsi="宋体" w:eastAsia="宋体" w:cs="宋体"/>
                <w:color w:val="auto"/>
                <w:sz w:val="21"/>
                <w:szCs w:val="21"/>
                <w:highlight w:val="none"/>
              </w:rPr>
              <w:t>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eastAsia="宋体" w:cs="宋体"/>
                <w:color w:val="auto"/>
                <w:highlight w:val="none"/>
              </w:rPr>
              <w:t>“</w:t>
            </w:r>
            <w:r>
              <w:rPr>
                <w:rFonts w:hint="eastAsia" w:ascii="宋体" w:hAnsi="宋体" w:eastAsia="宋体" w:cs="宋体"/>
                <w:color w:val="auto"/>
                <w:sz w:val="21"/>
                <w:szCs w:val="21"/>
                <w:highlight w:val="none"/>
              </w:rPr>
              <w:t>需求一览表</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的</w:t>
            </w:r>
            <w:r>
              <w:rPr>
                <w:rFonts w:hint="eastAsia" w:ascii="宋体" w:hAnsi="宋体" w:eastAsia="宋体" w:cs="宋体"/>
                <w:color w:val="auto"/>
                <w:highlight w:val="none"/>
              </w:rPr>
              <w:t>第   项产品</w:t>
            </w:r>
            <w:r>
              <w:rPr>
                <w:rFonts w:hint="eastAsia" w:ascii="宋体" w:hAnsi="宋体" w:eastAsia="宋体" w:cs="宋体"/>
                <w:color w:val="auto"/>
                <w:szCs w:val="24"/>
                <w:highlight w:val="none"/>
                <w:u w:val="none"/>
                <w:lang w:eastAsia="zh-CN"/>
              </w:rPr>
              <w:t>：</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，合计</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项</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属于优先采购环境标志产品</w:t>
            </w:r>
            <w:r>
              <w:rPr>
                <w:rFonts w:hint="eastAsia" w:ascii="宋体" w:hAnsi="宋体" w:eastAsia="宋体" w:cs="宋体"/>
                <w:color w:val="auto"/>
                <w:sz w:val="21"/>
                <w:szCs w:val="21"/>
                <w:highlight w:val="none"/>
                <w:u w:val="none"/>
                <w:lang w:val="en-US" w:eastAsia="zh-CN"/>
              </w:rPr>
              <w:t>为</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竞争性谈判</w:t>
            </w:r>
            <w:r>
              <w:rPr>
                <w:rFonts w:hint="eastAsia" w:ascii="宋体" w:hAnsi="宋体" w:eastAsia="宋体" w:cs="宋体"/>
                <w:color w:val="auto"/>
                <w:sz w:val="21"/>
                <w:szCs w:val="21"/>
                <w:highlight w:val="none"/>
              </w:rPr>
              <w:t>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eastAsia="宋体" w:cs="宋体"/>
                <w:color w:val="auto"/>
                <w:highlight w:val="none"/>
              </w:rPr>
              <w:t>“</w:t>
            </w:r>
            <w:r>
              <w:rPr>
                <w:rFonts w:hint="eastAsia" w:ascii="宋体" w:hAnsi="宋体" w:eastAsia="宋体" w:cs="宋体"/>
                <w:color w:val="auto"/>
                <w:sz w:val="21"/>
                <w:szCs w:val="21"/>
                <w:highlight w:val="none"/>
              </w:rPr>
              <w:t>需求一览表</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的</w:t>
            </w:r>
            <w:r>
              <w:rPr>
                <w:rFonts w:hint="eastAsia" w:ascii="宋体" w:hAnsi="宋体" w:eastAsia="宋体" w:cs="宋体"/>
                <w:color w:val="auto"/>
                <w:highlight w:val="none"/>
              </w:rPr>
              <w:t>第   项产品</w:t>
            </w:r>
            <w:r>
              <w:rPr>
                <w:rFonts w:hint="eastAsia" w:ascii="宋体" w:hAnsi="宋体" w:eastAsia="宋体" w:cs="宋体"/>
                <w:color w:val="auto"/>
                <w:szCs w:val="24"/>
                <w:highlight w:val="none"/>
                <w:u w:val="none"/>
                <w:lang w:eastAsia="zh-CN"/>
              </w:rPr>
              <w:t>：</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，合计</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项</w:t>
            </w:r>
            <w:r>
              <w:rPr>
                <w:rFonts w:hint="eastAsia" w:ascii="宋体" w:hAnsi="宋体" w:eastAsia="宋体" w:cs="宋体"/>
                <w:color w:val="auto"/>
                <w:sz w:val="21"/>
                <w:szCs w:val="21"/>
                <w:highlight w:val="none"/>
                <w:u w:val="none"/>
              </w:rPr>
              <w:t>。</w:t>
            </w:r>
            <w:r>
              <w:rPr>
                <w:rFonts w:hint="eastAsia" w:ascii="宋体" w:hAnsi="宋体" w:eastAsia="宋体" w:cs="宋体"/>
                <w:color w:val="auto"/>
                <w:highlight w:val="none"/>
              </w:rPr>
              <w:t xml:space="preserve"> </w:t>
            </w:r>
            <w:r>
              <w:rPr>
                <w:rFonts w:hint="eastAsia" w:ascii="宋体" w:hAnsi="宋体" w:eastAsia="宋体" w:cs="宋体"/>
                <w:b/>
                <w:bCs/>
                <w:color w:val="auto"/>
                <w:sz w:val="21"/>
                <w:szCs w:val="21"/>
                <w:highlight w:val="none"/>
                <w:u w:val="none"/>
                <w:lang w:eastAsia="zh-CN"/>
              </w:rPr>
              <w:t>（注：如有，请逐项列出，如无填写“无”或者留空。）</w:t>
            </w:r>
          </w:p>
        </w:tc>
      </w:tr>
    </w:tbl>
    <w:p w14:paraId="32868023">
      <w:pPr>
        <w:spacing w:line="360" w:lineRule="auto"/>
        <w:contextualSpacing/>
        <w:rPr>
          <w:rFonts w:hint="eastAsia" w:ascii="宋体" w:hAnsi="宋体" w:eastAsia="宋体" w:cs="宋体"/>
          <w:color w:val="auto"/>
          <w:szCs w:val="21"/>
          <w:highlight w:val="none"/>
          <w:lang w:val="zh-CN" w:eastAsia="zh-CN"/>
        </w:rPr>
      </w:pPr>
    </w:p>
    <w:p w14:paraId="50C03342">
      <w:pPr>
        <w:spacing w:line="360" w:lineRule="auto"/>
        <w:contextualSpacing/>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注：</w:t>
      </w:r>
    </w:p>
    <w:p w14:paraId="031F7062">
      <w:pPr>
        <w:spacing w:line="360" w:lineRule="auto"/>
        <w:ind w:left="0" w:firstLine="420"/>
        <w:contextualSpacing w:val="0"/>
        <w:rPr>
          <w:rFonts w:hint="eastAsia" w:ascii="宋体" w:hAnsi="宋体" w:eastAsia="宋体" w:cs="宋体"/>
          <w:color w:val="auto"/>
          <w:sz w:val="21"/>
          <w:szCs w:val="21"/>
          <w:highlight w:val="none"/>
          <w:lang w:val="zh-CN" w:eastAsia="zh-CN"/>
        </w:rPr>
      </w:pPr>
      <w:r>
        <w:rPr>
          <w:rFonts w:hint="eastAsia" w:ascii="宋体" w:hAnsi="宋体" w:eastAsia="宋体" w:cs="宋体"/>
          <w:bCs w:val="0"/>
          <w:color w:val="auto"/>
          <w:szCs w:val="21"/>
          <w:highlight w:val="none"/>
        </w:rPr>
        <w:t>▲</w:t>
      </w:r>
      <w:r>
        <w:rPr>
          <w:rFonts w:hint="eastAsia" w:ascii="宋体" w:hAnsi="宋体" w:eastAsia="宋体" w:cs="宋体"/>
          <w:color w:val="auto"/>
          <w:sz w:val="21"/>
          <w:szCs w:val="21"/>
          <w:highlight w:val="none"/>
          <w:lang w:val="zh-CN" w:eastAsia="zh-CN"/>
        </w:rPr>
        <w:t>1.</w:t>
      </w:r>
      <w:r>
        <w:rPr>
          <w:rFonts w:hint="eastAsia" w:ascii="宋体" w:hAnsi="宋体" w:eastAsia="宋体" w:cs="宋体"/>
          <w:color w:val="auto"/>
          <w:szCs w:val="21"/>
          <w:highlight w:val="none"/>
          <w:lang w:eastAsia="zh-CN"/>
        </w:rPr>
        <w:t>必须</w:t>
      </w:r>
      <w:r>
        <w:rPr>
          <w:rFonts w:hint="eastAsia" w:ascii="宋体" w:hAnsi="宋体" w:eastAsia="宋体" w:cs="宋体"/>
          <w:color w:val="auto"/>
          <w:szCs w:val="21"/>
          <w:highlight w:val="none"/>
        </w:rPr>
        <w:t>对本项目</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rPr>
        <w:t>文件“第二章</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b w:val="0"/>
          <w:color w:val="auto"/>
          <w:sz w:val="21"/>
          <w:szCs w:val="21"/>
          <w:highlight w:val="none"/>
        </w:rPr>
        <w:t>采购需求</w:t>
      </w:r>
      <w:r>
        <w:rPr>
          <w:rFonts w:hint="eastAsia" w:ascii="宋体" w:hAnsi="宋体" w:eastAsia="宋体" w:cs="宋体"/>
          <w:color w:val="auto"/>
          <w:szCs w:val="21"/>
          <w:highlight w:val="none"/>
        </w:rPr>
        <w:t>”中“</w:t>
      </w:r>
      <w:r>
        <w:rPr>
          <w:rFonts w:hint="eastAsia" w:ascii="宋体" w:hAnsi="宋体" w:eastAsia="宋体" w:cs="宋体"/>
          <w:color w:val="auto"/>
          <w:szCs w:val="21"/>
          <w:highlight w:val="none"/>
          <w:lang w:val="en-US" w:eastAsia="zh-CN"/>
        </w:rPr>
        <w:t>技术参数及配置</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highlight w:val="none"/>
          <w:lang w:val="en-US" w:eastAsia="zh-CN"/>
        </w:rPr>
        <w:t>全部</w:t>
      </w:r>
      <w:r>
        <w:rPr>
          <w:rFonts w:hint="eastAsia" w:ascii="宋体" w:hAnsi="宋体" w:eastAsia="宋体" w:cs="宋体"/>
          <w:color w:val="auto"/>
          <w:szCs w:val="21"/>
          <w:highlight w:val="none"/>
          <w:lang w:eastAsia="zh-CN"/>
        </w:rPr>
        <w:t>条款</w:t>
      </w:r>
      <w:r>
        <w:rPr>
          <w:rFonts w:hint="eastAsia" w:ascii="宋体" w:hAnsi="宋体" w:eastAsia="宋体" w:cs="宋体"/>
          <w:color w:val="auto"/>
          <w:szCs w:val="21"/>
          <w:highlight w:val="none"/>
        </w:rPr>
        <w:t>，详细填写</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的具体内容</w:t>
      </w:r>
      <w:r>
        <w:rPr>
          <w:rFonts w:hint="eastAsia" w:ascii="宋体" w:hAnsi="宋体" w:eastAsia="宋体" w:cs="宋体"/>
          <w:color w:val="auto"/>
          <w:szCs w:val="21"/>
          <w:highlight w:val="none"/>
          <w:lang w:eastAsia="zh-CN"/>
        </w:rPr>
        <w:t>，</w:t>
      </w:r>
      <w:r>
        <w:rPr>
          <w:rFonts w:hint="eastAsia" w:ascii="宋体" w:hAnsi="宋体" w:eastAsia="宋体" w:cs="宋体"/>
          <w:b w:val="0"/>
          <w:bCs w:val="0"/>
          <w:color w:val="auto"/>
          <w:szCs w:val="21"/>
          <w:highlight w:val="none"/>
          <w:lang w:val="zh-CN" w:eastAsia="zh-CN"/>
        </w:rPr>
        <w:t>并作出偏离说明</w:t>
      </w:r>
      <w:r>
        <w:rPr>
          <w:rFonts w:hint="eastAsia" w:ascii="宋体" w:hAnsi="宋体" w:eastAsia="宋体" w:cs="宋体"/>
          <w:color w:val="auto"/>
          <w:sz w:val="21"/>
          <w:szCs w:val="21"/>
          <w:highlight w:val="none"/>
        </w:rPr>
        <w:t>。</w:t>
      </w:r>
      <w:r>
        <w:rPr>
          <w:rFonts w:hint="eastAsia" w:ascii="宋体" w:hAnsi="宋体" w:eastAsia="宋体" w:cs="宋体"/>
          <w:color w:val="auto"/>
          <w:szCs w:val="21"/>
          <w:highlight w:val="none"/>
        </w:rPr>
        <w:t>“偏离说明”一栏应当选择“正偏离”</w:t>
      </w:r>
      <w:r>
        <w:rPr>
          <w:rFonts w:hint="eastAsia" w:ascii="宋体" w:hAnsi="宋体" w:eastAsia="宋体" w:cs="宋体"/>
          <w:color w:val="auto"/>
          <w:szCs w:val="21"/>
          <w:highlight w:val="none"/>
          <w:lang w:eastAsia="zh-CN"/>
        </w:rPr>
        <w:t>或</w:t>
      </w:r>
      <w:r>
        <w:rPr>
          <w:rFonts w:hint="eastAsia" w:ascii="宋体" w:hAnsi="宋体" w:eastAsia="宋体" w:cs="宋体"/>
          <w:color w:val="auto"/>
          <w:szCs w:val="21"/>
          <w:highlight w:val="none"/>
        </w:rPr>
        <w:t>“负偏离”或“无偏离”进行填写。</w:t>
      </w:r>
    </w:p>
    <w:p w14:paraId="40CA210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.表格内容均需按要求填写并盖</w:t>
      </w:r>
      <w:r>
        <w:rPr>
          <w:rFonts w:hint="eastAsia" w:ascii="宋体" w:hAnsi="宋体" w:eastAsia="宋体" w:cs="宋体"/>
          <w:color w:val="auto"/>
          <w:szCs w:val="21"/>
          <w:highlight w:val="none"/>
          <w:lang w:eastAsia="zh-CN"/>
        </w:rPr>
        <w:t>公</w:t>
      </w:r>
      <w:r>
        <w:rPr>
          <w:rFonts w:hint="eastAsia" w:ascii="宋体" w:hAnsi="宋体" w:eastAsia="宋体" w:cs="宋体"/>
          <w:color w:val="auto"/>
          <w:szCs w:val="21"/>
          <w:highlight w:val="none"/>
        </w:rPr>
        <w:t>章，不得留空，</w:t>
      </w:r>
      <w:r>
        <w:rPr>
          <w:rFonts w:hint="eastAsia" w:ascii="宋体" w:hAnsi="宋体" w:eastAsia="宋体" w:cs="宋体"/>
          <w:b/>
          <w:bCs/>
          <w:color w:val="auto"/>
          <w:szCs w:val="21"/>
          <w:highlight w:val="none"/>
        </w:rPr>
        <w:t>否则按</w:t>
      </w:r>
      <w:r>
        <w:rPr>
          <w:rFonts w:hint="eastAsia" w:ascii="宋体" w:hAnsi="宋体" w:eastAsia="宋体" w:cs="宋体"/>
          <w:b/>
          <w:bCs/>
          <w:color w:val="auto"/>
          <w:szCs w:val="21"/>
          <w:highlight w:val="none"/>
          <w:lang w:eastAsia="zh-CN"/>
        </w:rPr>
        <w:t>响应无效</w:t>
      </w:r>
      <w:r>
        <w:rPr>
          <w:rFonts w:hint="eastAsia" w:ascii="宋体" w:hAnsi="宋体" w:eastAsia="宋体" w:cs="宋体"/>
          <w:b/>
          <w:bCs/>
          <w:color w:val="auto"/>
          <w:szCs w:val="21"/>
          <w:highlight w:val="none"/>
        </w:rPr>
        <w:t>处理。</w:t>
      </w:r>
    </w:p>
    <w:p w14:paraId="19A4A46C">
      <w:pPr>
        <w:spacing w:line="360" w:lineRule="auto"/>
        <w:ind w:left="4335" w:hanging="240"/>
        <w:rPr>
          <w:rFonts w:hint="eastAsia" w:ascii="宋体" w:hAnsi="宋体" w:eastAsia="宋体" w:cs="宋体"/>
          <w:color w:val="auto"/>
          <w:sz w:val="24"/>
          <w:szCs w:val="24"/>
          <w:highlight w:val="none"/>
        </w:rPr>
      </w:pPr>
    </w:p>
    <w:p w14:paraId="3E9065AA">
      <w:pPr>
        <w:spacing w:line="360" w:lineRule="auto"/>
        <w:ind w:left="4335" w:hanging="240"/>
        <w:rPr>
          <w:rFonts w:hint="eastAsia" w:ascii="宋体" w:hAnsi="宋体" w:eastAsia="宋体" w:cs="宋体"/>
          <w:color w:val="auto"/>
          <w:sz w:val="24"/>
          <w:szCs w:val="24"/>
          <w:highlight w:val="none"/>
        </w:rPr>
      </w:pPr>
    </w:p>
    <w:p w14:paraId="6B3F0324">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10657422">
      <w:pPr>
        <w:spacing w:line="360" w:lineRule="auto"/>
        <w:ind w:firstLine="648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日期：  年  月   日</w:t>
      </w:r>
    </w:p>
    <w:p w14:paraId="4AAEF84D">
      <w:pPr>
        <w:spacing w:line="500" w:lineRule="exact"/>
        <w:jc w:val="center"/>
        <w:rPr>
          <w:rFonts w:hint="eastAsia" w:ascii="宋体" w:hAnsi="宋体" w:eastAsia="宋体" w:cs="宋体"/>
          <w:color w:val="auto"/>
          <w:sz w:val="32"/>
          <w:szCs w:val="32"/>
          <w:highlight w:val="none"/>
        </w:rPr>
        <w:sectPr>
          <w:pgSz w:w="11910" w:h="16840"/>
          <w:pgMar w:top="1340" w:right="1500" w:bottom="280" w:left="1680" w:header="720" w:footer="720" w:gutter="0"/>
          <w:cols w:space="720" w:num="1"/>
        </w:sectPr>
      </w:pPr>
    </w:p>
    <w:p w14:paraId="4AA6F3DF">
      <w:pPr>
        <w:spacing w:before="120" w:after="50"/>
        <w:ind w:left="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9.</w:t>
      </w:r>
      <w:r>
        <w:rPr>
          <w:rFonts w:hint="eastAsia" w:ascii="宋体" w:hAnsi="宋体" w:eastAsia="宋体" w:cs="宋体"/>
          <w:b/>
          <w:color w:val="auto"/>
          <w:sz w:val="28"/>
          <w:szCs w:val="28"/>
          <w:highlight w:val="none"/>
        </w:rPr>
        <w:t>售后服务方案</w:t>
      </w:r>
    </w:p>
    <w:p w14:paraId="19362EB0">
      <w:pPr>
        <w:spacing w:before="120" w:after="50" w:line="360" w:lineRule="auto"/>
        <w:ind w:left="143"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由</w:t>
      </w:r>
      <w:r>
        <w:rPr>
          <w:rFonts w:hint="eastAsia" w:ascii="宋体" w:hAnsi="宋体" w:eastAsia="宋体" w:cs="宋体"/>
          <w:color w:val="auto"/>
          <w:szCs w:val="24"/>
          <w:highlight w:val="none"/>
          <w:lang w:eastAsia="zh-CN"/>
        </w:rPr>
        <w:t>供应商</w:t>
      </w:r>
      <w:r>
        <w:rPr>
          <w:rFonts w:hint="eastAsia" w:ascii="宋体" w:hAnsi="宋体" w:eastAsia="宋体" w:cs="宋体"/>
          <w:color w:val="auto"/>
          <w:szCs w:val="24"/>
          <w:highlight w:val="none"/>
        </w:rPr>
        <w:t>按本项目竞争性谈判文件</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第二章</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采购需求”中商务条款部分的售后服务要求自行</w:t>
      </w:r>
      <w:r>
        <w:rPr>
          <w:rFonts w:hint="eastAsia" w:ascii="宋体" w:hAnsi="宋体" w:eastAsia="宋体" w:cs="宋体"/>
          <w:color w:val="auto"/>
          <w:szCs w:val="24"/>
          <w:highlight w:val="none"/>
          <w:lang w:val="en-US" w:eastAsia="zh-CN"/>
        </w:rPr>
        <w:t>编制</w:t>
      </w:r>
    </w:p>
    <w:p w14:paraId="4001AAD4">
      <w:pPr>
        <w:spacing w:before="120" w:after="50"/>
        <w:ind w:left="142"/>
        <w:jc w:val="center"/>
        <w:rPr>
          <w:rFonts w:hint="eastAsia" w:ascii="宋体" w:hAnsi="宋体" w:eastAsia="宋体" w:cs="宋体"/>
          <w:b/>
          <w:color w:val="auto"/>
          <w:sz w:val="32"/>
          <w:szCs w:val="32"/>
          <w:highlight w:val="none"/>
        </w:rPr>
      </w:pPr>
    </w:p>
    <w:p w14:paraId="306DF0E3">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附表A:售后服务机构情况表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44"/>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278"/>
        <w:gridCol w:w="1523"/>
        <w:gridCol w:w="1246"/>
        <w:gridCol w:w="1533"/>
      </w:tblGrid>
      <w:tr w14:paraId="785C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04401A21">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2340" w:type="dxa"/>
            <w:noWrap w:val="0"/>
            <w:vAlign w:val="center"/>
          </w:tcPr>
          <w:p w14:paraId="3121108B">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机构名称</w:t>
            </w:r>
          </w:p>
        </w:tc>
        <w:tc>
          <w:tcPr>
            <w:tcW w:w="1278" w:type="dxa"/>
            <w:noWrap w:val="0"/>
            <w:vAlign w:val="center"/>
          </w:tcPr>
          <w:p w14:paraId="4D0C4575">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机构性质</w:t>
            </w:r>
          </w:p>
        </w:tc>
        <w:tc>
          <w:tcPr>
            <w:tcW w:w="1523" w:type="dxa"/>
            <w:noWrap w:val="0"/>
            <w:vAlign w:val="center"/>
          </w:tcPr>
          <w:p w14:paraId="71971DAC">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注册地址</w:t>
            </w:r>
          </w:p>
        </w:tc>
        <w:tc>
          <w:tcPr>
            <w:tcW w:w="1246" w:type="dxa"/>
            <w:noWrap w:val="0"/>
            <w:vAlign w:val="center"/>
          </w:tcPr>
          <w:p w14:paraId="0EC3B345">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货物技术人员数量</w:t>
            </w:r>
          </w:p>
        </w:tc>
        <w:tc>
          <w:tcPr>
            <w:tcW w:w="1533" w:type="dxa"/>
            <w:noWrap w:val="0"/>
            <w:vAlign w:val="center"/>
          </w:tcPr>
          <w:p w14:paraId="1DE1C25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联系电话</w:t>
            </w:r>
          </w:p>
        </w:tc>
      </w:tr>
      <w:tr w14:paraId="2126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tcPr>
          <w:p w14:paraId="7D41AE52">
            <w:pPr>
              <w:spacing w:line="360" w:lineRule="auto"/>
              <w:jc w:val="center"/>
              <w:rPr>
                <w:rFonts w:hint="eastAsia" w:ascii="宋体" w:hAnsi="宋体" w:eastAsia="宋体" w:cs="宋体"/>
                <w:color w:val="auto"/>
                <w:sz w:val="21"/>
                <w:szCs w:val="21"/>
                <w:highlight w:val="none"/>
              </w:rPr>
            </w:pPr>
          </w:p>
        </w:tc>
        <w:tc>
          <w:tcPr>
            <w:tcW w:w="2340" w:type="dxa"/>
            <w:noWrap w:val="0"/>
          </w:tcPr>
          <w:p w14:paraId="0E184739">
            <w:pPr>
              <w:spacing w:line="360" w:lineRule="auto"/>
              <w:jc w:val="center"/>
              <w:rPr>
                <w:rFonts w:hint="eastAsia" w:ascii="宋体" w:hAnsi="宋体" w:eastAsia="宋体" w:cs="宋体"/>
                <w:color w:val="auto"/>
                <w:sz w:val="21"/>
                <w:szCs w:val="21"/>
                <w:highlight w:val="none"/>
              </w:rPr>
            </w:pPr>
          </w:p>
        </w:tc>
        <w:tc>
          <w:tcPr>
            <w:tcW w:w="1278" w:type="dxa"/>
            <w:noWrap w:val="0"/>
          </w:tcPr>
          <w:p w14:paraId="6A896277">
            <w:pPr>
              <w:spacing w:line="360" w:lineRule="auto"/>
              <w:jc w:val="center"/>
              <w:rPr>
                <w:rFonts w:hint="eastAsia" w:ascii="宋体" w:hAnsi="宋体" w:eastAsia="宋体" w:cs="宋体"/>
                <w:color w:val="auto"/>
                <w:sz w:val="21"/>
                <w:szCs w:val="21"/>
                <w:highlight w:val="none"/>
              </w:rPr>
            </w:pPr>
          </w:p>
        </w:tc>
        <w:tc>
          <w:tcPr>
            <w:tcW w:w="1523" w:type="dxa"/>
            <w:noWrap w:val="0"/>
          </w:tcPr>
          <w:p w14:paraId="54B062BA">
            <w:pPr>
              <w:spacing w:line="360" w:lineRule="auto"/>
              <w:jc w:val="center"/>
              <w:rPr>
                <w:rFonts w:hint="eastAsia" w:ascii="宋体" w:hAnsi="宋体" w:eastAsia="宋体" w:cs="宋体"/>
                <w:color w:val="auto"/>
                <w:sz w:val="21"/>
                <w:szCs w:val="21"/>
                <w:highlight w:val="none"/>
              </w:rPr>
            </w:pPr>
          </w:p>
        </w:tc>
        <w:tc>
          <w:tcPr>
            <w:tcW w:w="1246" w:type="dxa"/>
            <w:noWrap w:val="0"/>
          </w:tcPr>
          <w:p w14:paraId="5C19CBC7">
            <w:pPr>
              <w:spacing w:line="360" w:lineRule="auto"/>
              <w:jc w:val="center"/>
              <w:rPr>
                <w:rFonts w:hint="eastAsia" w:ascii="宋体" w:hAnsi="宋体" w:eastAsia="宋体" w:cs="宋体"/>
                <w:color w:val="auto"/>
                <w:sz w:val="21"/>
                <w:szCs w:val="21"/>
                <w:highlight w:val="none"/>
              </w:rPr>
            </w:pPr>
          </w:p>
        </w:tc>
        <w:tc>
          <w:tcPr>
            <w:tcW w:w="1533" w:type="dxa"/>
            <w:noWrap w:val="0"/>
          </w:tcPr>
          <w:p w14:paraId="39ABF730">
            <w:pPr>
              <w:spacing w:line="360" w:lineRule="auto"/>
              <w:jc w:val="center"/>
              <w:rPr>
                <w:rFonts w:hint="eastAsia" w:ascii="宋体" w:hAnsi="宋体" w:eastAsia="宋体" w:cs="宋体"/>
                <w:color w:val="auto"/>
                <w:sz w:val="21"/>
                <w:szCs w:val="21"/>
                <w:highlight w:val="none"/>
              </w:rPr>
            </w:pPr>
          </w:p>
        </w:tc>
      </w:tr>
      <w:tr w14:paraId="1980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tcPr>
          <w:p w14:paraId="64510DA1">
            <w:pPr>
              <w:spacing w:line="360" w:lineRule="auto"/>
              <w:jc w:val="center"/>
              <w:rPr>
                <w:rFonts w:hint="eastAsia" w:ascii="宋体" w:hAnsi="宋体" w:eastAsia="宋体" w:cs="宋体"/>
                <w:color w:val="auto"/>
                <w:sz w:val="21"/>
                <w:szCs w:val="21"/>
                <w:highlight w:val="none"/>
              </w:rPr>
            </w:pPr>
          </w:p>
        </w:tc>
        <w:tc>
          <w:tcPr>
            <w:tcW w:w="2340" w:type="dxa"/>
            <w:noWrap w:val="0"/>
          </w:tcPr>
          <w:p w14:paraId="78219D68">
            <w:pPr>
              <w:spacing w:line="360" w:lineRule="auto"/>
              <w:jc w:val="center"/>
              <w:rPr>
                <w:rFonts w:hint="eastAsia" w:ascii="宋体" w:hAnsi="宋体" w:eastAsia="宋体" w:cs="宋体"/>
                <w:color w:val="auto"/>
                <w:sz w:val="21"/>
                <w:szCs w:val="21"/>
                <w:highlight w:val="none"/>
              </w:rPr>
            </w:pPr>
          </w:p>
        </w:tc>
        <w:tc>
          <w:tcPr>
            <w:tcW w:w="1278" w:type="dxa"/>
            <w:noWrap w:val="0"/>
          </w:tcPr>
          <w:p w14:paraId="3A43E01C">
            <w:pPr>
              <w:spacing w:line="360" w:lineRule="auto"/>
              <w:jc w:val="center"/>
              <w:rPr>
                <w:rFonts w:hint="eastAsia" w:ascii="宋体" w:hAnsi="宋体" w:eastAsia="宋体" w:cs="宋体"/>
                <w:color w:val="auto"/>
                <w:sz w:val="21"/>
                <w:szCs w:val="21"/>
                <w:highlight w:val="none"/>
              </w:rPr>
            </w:pPr>
          </w:p>
        </w:tc>
        <w:tc>
          <w:tcPr>
            <w:tcW w:w="1523" w:type="dxa"/>
            <w:noWrap w:val="0"/>
          </w:tcPr>
          <w:p w14:paraId="4D24D4F9">
            <w:pPr>
              <w:spacing w:line="360" w:lineRule="auto"/>
              <w:jc w:val="center"/>
              <w:rPr>
                <w:rFonts w:hint="eastAsia" w:ascii="宋体" w:hAnsi="宋体" w:eastAsia="宋体" w:cs="宋体"/>
                <w:color w:val="auto"/>
                <w:sz w:val="21"/>
                <w:szCs w:val="21"/>
                <w:highlight w:val="none"/>
              </w:rPr>
            </w:pPr>
          </w:p>
        </w:tc>
        <w:tc>
          <w:tcPr>
            <w:tcW w:w="1246" w:type="dxa"/>
            <w:noWrap w:val="0"/>
          </w:tcPr>
          <w:p w14:paraId="5CE22268">
            <w:pPr>
              <w:spacing w:line="360" w:lineRule="auto"/>
              <w:jc w:val="center"/>
              <w:rPr>
                <w:rFonts w:hint="eastAsia" w:ascii="宋体" w:hAnsi="宋体" w:eastAsia="宋体" w:cs="宋体"/>
                <w:color w:val="auto"/>
                <w:sz w:val="21"/>
                <w:szCs w:val="21"/>
                <w:highlight w:val="none"/>
              </w:rPr>
            </w:pPr>
          </w:p>
        </w:tc>
        <w:tc>
          <w:tcPr>
            <w:tcW w:w="1533" w:type="dxa"/>
            <w:noWrap w:val="0"/>
          </w:tcPr>
          <w:p w14:paraId="58918582">
            <w:pPr>
              <w:spacing w:line="360" w:lineRule="auto"/>
              <w:jc w:val="center"/>
              <w:rPr>
                <w:rFonts w:hint="eastAsia" w:ascii="宋体" w:hAnsi="宋体" w:eastAsia="宋体" w:cs="宋体"/>
                <w:color w:val="auto"/>
                <w:sz w:val="21"/>
                <w:szCs w:val="21"/>
                <w:highlight w:val="none"/>
              </w:rPr>
            </w:pPr>
          </w:p>
        </w:tc>
      </w:tr>
      <w:tr w14:paraId="5034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tcPr>
          <w:p w14:paraId="255502F5">
            <w:pPr>
              <w:spacing w:line="360" w:lineRule="auto"/>
              <w:jc w:val="center"/>
              <w:rPr>
                <w:rFonts w:hint="eastAsia" w:ascii="宋体" w:hAnsi="宋体" w:eastAsia="宋体" w:cs="宋体"/>
                <w:color w:val="auto"/>
                <w:sz w:val="21"/>
                <w:szCs w:val="21"/>
                <w:highlight w:val="none"/>
              </w:rPr>
            </w:pPr>
          </w:p>
        </w:tc>
        <w:tc>
          <w:tcPr>
            <w:tcW w:w="2340" w:type="dxa"/>
            <w:noWrap w:val="0"/>
          </w:tcPr>
          <w:p w14:paraId="4030E430">
            <w:pPr>
              <w:spacing w:line="360" w:lineRule="auto"/>
              <w:jc w:val="center"/>
              <w:rPr>
                <w:rFonts w:hint="eastAsia" w:ascii="宋体" w:hAnsi="宋体" w:eastAsia="宋体" w:cs="宋体"/>
                <w:color w:val="auto"/>
                <w:sz w:val="21"/>
                <w:szCs w:val="21"/>
                <w:highlight w:val="none"/>
              </w:rPr>
            </w:pPr>
          </w:p>
        </w:tc>
        <w:tc>
          <w:tcPr>
            <w:tcW w:w="1278" w:type="dxa"/>
            <w:noWrap w:val="0"/>
          </w:tcPr>
          <w:p w14:paraId="3E4EAB5B">
            <w:pPr>
              <w:spacing w:line="360" w:lineRule="auto"/>
              <w:jc w:val="center"/>
              <w:rPr>
                <w:rFonts w:hint="eastAsia" w:ascii="宋体" w:hAnsi="宋体" w:eastAsia="宋体" w:cs="宋体"/>
                <w:color w:val="auto"/>
                <w:sz w:val="21"/>
                <w:szCs w:val="21"/>
                <w:highlight w:val="none"/>
              </w:rPr>
            </w:pPr>
          </w:p>
        </w:tc>
        <w:tc>
          <w:tcPr>
            <w:tcW w:w="1523" w:type="dxa"/>
            <w:noWrap w:val="0"/>
          </w:tcPr>
          <w:p w14:paraId="3BA88B52">
            <w:pPr>
              <w:spacing w:line="360" w:lineRule="auto"/>
              <w:jc w:val="center"/>
              <w:rPr>
                <w:rFonts w:hint="eastAsia" w:ascii="宋体" w:hAnsi="宋体" w:eastAsia="宋体" w:cs="宋体"/>
                <w:color w:val="auto"/>
                <w:sz w:val="21"/>
                <w:szCs w:val="21"/>
                <w:highlight w:val="none"/>
              </w:rPr>
            </w:pPr>
          </w:p>
        </w:tc>
        <w:tc>
          <w:tcPr>
            <w:tcW w:w="1246" w:type="dxa"/>
            <w:noWrap w:val="0"/>
          </w:tcPr>
          <w:p w14:paraId="18D2253E">
            <w:pPr>
              <w:spacing w:line="360" w:lineRule="auto"/>
              <w:jc w:val="center"/>
              <w:rPr>
                <w:rFonts w:hint="eastAsia" w:ascii="宋体" w:hAnsi="宋体" w:eastAsia="宋体" w:cs="宋体"/>
                <w:color w:val="auto"/>
                <w:sz w:val="21"/>
                <w:szCs w:val="21"/>
                <w:highlight w:val="none"/>
              </w:rPr>
            </w:pPr>
          </w:p>
        </w:tc>
        <w:tc>
          <w:tcPr>
            <w:tcW w:w="1533" w:type="dxa"/>
            <w:noWrap w:val="0"/>
          </w:tcPr>
          <w:p w14:paraId="0425E94B">
            <w:pPr>
              <w:spacing w:line="360" w:lineRule="auto"/>
              <w:jc w:val="center"/>
              <w:rPr>
                <w:rFonts w:hint="eastAsia" w:ascii="宋体" w:hAnsi="宋体" w:eastAsia="宋体" w:cs="宋体"/>
                <w:color w:val="auto"/>
                <w:sz w:val="21"/>
                <w:szCs w:val="21"/>
                <w:highlight w:val="none"/>
              </w:rPr>
            </w:pPr>
          </w:p>
        </w:tc>
      </w:tr>
    </w:tbl>
    <w:p w14:paraId="7E50FE8E">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b w:val="0"/>
          <w:bCs/>
          <w:color w:val="auto"/>
          <w:sz w:val="21"/>
          <w:szCs w:val="21"/>
          <w:highlight w:val="none"/>
        </w:rPr>
        <w:t>注：关于项目涉及的所有售后服务机构均在本表注明，包括供应商本单位和符合条件的第三方</w:t>
      </w:r>
      <w:r>
        <w:rPr>
          <w:rFonts w:hint="eastAsia" w:ascii="宋体" w:hAnsi="宋体" w:eastAsia="宋体" w:cs="宋体"/>
          <w:b w:val="0"/>
          <w:bCs/>
          <w:color w:val="auto"/>
          <w:sz w:val="21"/>
          <w:szCs w:val="21"/>
          <w:highlight w:val="none"/>
          <w:lang w:val="en-US" w:eastAsia="zh-CN"/>
        </w:rPr>
        <w:t>服务</w:t>
      </w:r>
      <w:r>
        <w:rPr>
          <w:rFonts w:hint="eastAsia" w:ascii="宋体" w:hAnsi="宋体" w:eastAsia="宋体" w:cs="宋体"/>
          <w:b w:val="0"/>
          <w:bCs/>
          <w:color w:val="auto"/>
          <w:sz w:val="21"/>
          <w:szCs w:val="21"/>
          <w:highlight w:val="none"/>
        </w:rPr>
        <w:t>机构</w:t>
      </w:r>
      <w:r>
        <w:rPr>
          <w:rFonts w:hint="eastAsia" w:ascii="宋体" w:hAnsi="宋体" w:eastAsia="宋体" w:cs="宋体"/>
          <w:b w:val="0"/>
          <w:bCs/>
          <w:color w:val="auto"/>
          <w:sz w:val="21"/>
          <w:szCs w:val="21"/>
          <w:highlight w:val="none"/>
          <w:lang w:eastAsia="zh-CN"/>
        </w:rPr>
        <w:t>。</w:t>
      </w:r>
    </w:p>
    <w:p w14:paraId="7E02B61D">
      <w:pPr>
        <w:spacing w:line="360" w:lineRule="auto"/>
        <w:rPr>
          <w:rFonts w:hint="eastAsia" w:ascii="宋体" w:hAnsi="宋体" w:eastAsia="宋体" w:cs="宋体"/>
          <w:b/>
          <w:color w:val="auto"/>
          <w:sz w:val="24"/>
          <w:szCs w:val="24"/>
          <w:highlight w:val="none"/>
        </w:rPr>
      </w:pPr>
    </w:p>
    <w:p w14:paraId="47DC2B84">
      <w:pPr>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附表B：售后服务人员情况表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44"/>
        <w:tblW w:w="4462" w:type="pct"/>
        <w:jc w:val="center"/>
        <w:tblLayout w:type="autofit"/>
        <w:tblCellMar>
          <w:top w:w="0" w:type="dxa"/>
          <w:left w:w="108" w:type="dxa"/>
          <w:bottom w:w="0" w:type="dxa"/>
          <w:right w:w="108" w:type="dxa"/>
        </w:tblCellMar>
      </w:tblPr>
      <w:tblGrid>
        <w:gridCol w:w="614"/>
        <w:gridCol w:w="1128"/>
        <w:gridCol w:w="770"/>
        <w:gridCol w:w="454"/>
        <w:gridCol w:w="877"/>
        <w:gridCol w:w="863"/>
        <w:gridCol w:w="923"/>
        <w:gridCol w:w="1166"/>
        <w:gridCol w:w="851"/>
        <w:gridCol w:w="1148"/>
      </w:tblGrid>
      <w:tr w14:paraId="12369769">
        <w:tblPrEx>
          <w:tblCellMar>
            <w:top w:w="0" w:type="dxa"/>
            <w:left w:w="108" w:type="dxa"/>
            <w:bottom w:w="0" w:type="dxa"/>
            <w:right w:w="108" w:type="dxa"/>
          </w:tblCellMar>
        </w:tblPrEx>
        <w:trPr>
          <w:jc w:val="center"/>
        </w:trPr>
        <w:tc>
          <w:tcPr>
            <w:tcW w:w="349" w:type="pct"/>
            <w:tcBorders>
              <w:top w:val="single" w:color="auto" w:sz="6" w:space="0"/>
              <w:left w:val="single" w:color="auto" w:sz="6" w:space="0"/>
              <w:bottom w:val="single" w:color="auto" w:sz="6" w:space="0"/>
              <w:right w:val="single" w:color="auto" w:sz="4" w:space="0"/>
            </w:tcBorders>
            <w:noWrap w:val="0"/>
            <w:vAlign w:val="center"/>
          </w:tcPr>
          <w:p w14:paraId="41112A7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41" w:type="pct"/>
            <w:tcBorders>
              <w:top w:val="single" w:color="auto" w:sz="6" w:space="0"/>
              <w:left w:val="single" w:color="auto" w:sz="4" w:space="0"/>
              <w:bottom w:val="single" w:color="auto" w:sz="6" w:space="0"/>
              <w:right w:val="single" w:color="auto" w:sz="6" w:space="0"/>
            </w:tcBorders>
            <w:noWrap w:val="0"/>
            <w:vAlign w:val="center"/>
          </w:tcPr>
          <w:p w14:paraId="3845885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类别</w:t>
            </w:r>
          </w:p>
        </w:tc>
        <w:tc>
          <w:tcPr>
            <w:tcW w:w="437" w:type="pct"/>
            <w:tcBorders>
              <w:top w:val="single" w:color="auto" w:sz="6" w:space="0"/>
              <w:left w:val="single" w:color="auto" w:sz="6" w:space="0"/>
              <w:bottom w:val="single" w:color="auto" w:sz="6" w:space="0"/>
              <w:right w:val="single" w:color="auto" w:sz="6" w:space="0"/>
            </w:tcBorders>
            <w:noWrap w:val="0"/>
            <w:vAlign w:val="center"/>
          </w:tcPr>
          <w:p w14:paraId="7061E8A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258" w:type="pct"/>
            <w:tcBorders>
              <w:top w:val="single" w:color="auto" w:sz="6" w:space="0"/>
              <w:left w:val="single" w:color="auto" w:sz="6" w:space="0"/>
              <w:bottom w:val="single" w:color="auto" w:sz="6" w:space="0"/>
              <w:right w:val="single" w:color="auto" w:sz="6" w:space="0"/>
            </w:tcBorders>
            <w:noWrap w:val="0"/>
            <w:vAlign w:val="center"/>
          </w:tcPr>
          <w:p w14:paraId="6FD103A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498" w:type="pct"/>
            <w:tcBorders>
              <w:top w:val="single" w:color="auto" w:sz="6" w:space="0"/>
              <w:left w:val="single" w:color="auto" w:sz="6" w:space="0"/>
              <w:bottom w:val="single" w:color="auto" w:sz="6" w:space="0"/>
              <w:right w:val="single" w:color="auto" w:sz="6" w:space="0"/>
            </w:tcBorders>
            <w:noWrap w:val="0"/>
            <w:vAlign w:val="center"/>
          </w:tcPr>
          <w:p w14:paraId="15FA0BB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490" w:type="pct"/>
            <w:tcBorders>
              <w:top w:val="single" w:color="auto" w:sz="6" w:space="0"/>
              <w:left w:val="single" w:color="auto" w:sz="6" w:space="0"/>
              <w:bottom w:val="single" w:color="auto" w:sz="6" w:space="0"/>
              <w:right w:val="single" w:color="auto" w:sz="6" w:space="0"/>
            </w:tcBorders>
            <w:noWrap w:val="0"/>
            <w:vAlign w:val="center"/>
          </w:tcPr>
          <w:p w14:paraId="6F2CCC6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专业</w:t>
            </w:r>
          </w:p>
        </w:tc>
        <w:tc>
          <w:tcPr>
            <w:tcW w:w="524" w:type="pct"/>
            <w:tcBorders>
              <w:top w:val="single" w:color="auto" w:sz="6" w:space="0"/>
              <w:left w:val="single" w:color="auto" w:sz="6" w:space="0"/>
              <w:bottom w:val="single" w:color="auto" w:sz="6" w:space="0"/>
              <w:right w:val="single" w:color="auto" w:sz="6" w:space="0"/>
            </w:tcBorders>
            <w:noWrap w:val="0"/>
            <w:vAlign w:val="center"/>
          </w:tcPr>
          <w:p w14:paraId="56CBAE3A">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val="en-US" w:eastAsia="zh-CN"/>
              </w:rPr>
              <w:t>/职业资格证书</w:t>
            </w:r>
          </w:p>
        </w:tc>
        <w:tc>
          <w:tcPr>
            <w:tcW w:w="662" w:type="pct"/>
            <w:tcBorders>
              <w:top w:val="single" w:color="auto" w:sz="6" w:space="0"/>
              <w:left w:val="single" w:color="auto" w:sz="6" w:space="0"/>
              <w:bottom w:val="single" w:color="auto" w:sz="6" w:space="0"/>
              <w:right w:val="single" w:color="auto" w:sz="6" w:space="0"/>
            </w:tcBorders>
            <w:noWrap w:val="0"/>
            <w:vAlign w:val="center"/>
          </w:tcPr>
          <w:p w14:paraId="7006D66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中的</w:t>
            </w:r>
            <w:r>
              <w:rPr>
                <w:rFonts w:hint="eastAsia" w:ascii="宋体" w:hAnsi="宋体" w:eastAsia="宋体" w:cs="宋体"/>
                <w:color w:val="auto"/>
                <w:sz w:val="21"/>
                <w:szCs w:val="21"/>
                <w:highlight w:val="none"/>
              </w:rPr>
              <w:t>职责</w:t>
            </w:r>
          </w:p>
        </w:tc>
        <w:tc>
          <w:tcPr>
            <w:tcW w:w="483" w:type="pct"/>
            <w:tcBorders>
              <w:top w:val="single" w:color="auto" w:sz="6" w:space="0"/>
              <w:left w:val="single" w:color="auto" w:sz="6" w:space="0"/>
              <w:bottom w:val="single" w:color="auto" w:sz="6" w:space="0"/>
              <w:right w:val="single" w:color="auto" w:sz="6" w:space="0"/>
            </w:tcBorders>
            <w:noWrap w:val="0"/>
            <w:vAlign w:val="center"/>
          </w:tcPr>
          <w:p w14:paraId="3EA4F77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响应时间</w:t>
            </w:r>
          </w:p>
        </w:tc>
        <w:tc>
          <w:tcPr>
            <w:tcW w:w="652" w:type="pct"/>
            <w:tcBorders>
              <w:top w:val="single" w:color="auto" w:sz="6" w:space="0"/>
              <w:left w:val="single" w:color="auto" w:sz="6" w:space="0"/>
              <w:bottom w:val="single" w:color="auto" w:sz="6" w:space="0"/>
              <w:right w:val="single" w:color="auto" w:sz="6" w:space="0"/>
            </w:tcBorders>
            <w:noWrap w:val="0"/>
            <w:vAlign w:val="center"/>
          </w:tcPr>
          <w:p w14:paraId="6CD4832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承诺</w:t>
            </w:r>
            <w:r>
              <w:rPr>
                <w:rFonts w:hint="eastAsia" w:ascii="宋体" w:hAnsi="宋体" w:eastAsia="宋体" w:cs="宋体"/>
                <w:color w:val="auto"/>
                <w:sz w:val="21"/>
                <w:szCs w:val="21"/>
                <w:highlight w:val="none"/>
              </w:rPr>
              <w:t>到达现场时间</w:t>
            </w:r>
          </w:p>
        </w:tc>
      </w:tr>
      <w:tr w14:paraId="032CC78F">
        <w:tblPrEx>
          <w:tblCellMar>
            <w:top w:w="0" w:type="dxa"/>
            <w:left w:w="108" w:type="dxa"/>
            <w:bottom w:w="0" w:type="dxa"/>
            <w:right w:w="108" w:type="dxa"/>
          </w:tblCellMar>
        </w:tblPrEx>
        <w:trPr>
          <w:trHeight w:val="607" w:hRule="atLeast"/>
          <w:jc w:val="center"/>
        </w:trPr>
        <w:tc>
          <w:tcPr>
            <w:tcW w:w="349" w:type="pct"/>
            <w:tcBorders>
              <w:top w:val="single" w:color="auto" w:sz="6" w:space="0"/>
              <w:left w:val="single" w:color="auto" w:sz="6" w:space="0"/>
              <w:bottom w:val="single" w:color="auto" w:sz="6" w:space="0"/>
              <w:right w:val="single" w:color="auto" w:sz="4" w:space="0"/>
            </w:tcBorders>
            <w:noWrap w:val="0"/>
          </w:tcPr>
          <w:p w14:paraId="474303C7">
            <w:pPr>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noWrap w:val="0"/>
          </w:tcPr>
          <w:p w14:paraId="161FD71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总协调人</w:t>
            </w:r>
          </w:p>
        </w:tc>
        <w:tc>
          <w:tcPr>
            <w:tcW w:w="437" w:type="pct"/>
            <w:tcBorders>
              <w:top w:val="single" w:color="auto" w:sz="6" w:space="0"/>
              <w:left w:val="single" w:color="auto" w:sz="6" w:space="0"/>
              <w:bottom w:val="single" w:color="auto" w:sz="6" w:space="0"/>
              <w:right w:val="single" w:color="auto" w:sz="6" w:space="0"/>
            </w:tcBorders>
            <w:noWrap w:val="0"/>
          </w:tcPr>
          <w:p w14:paraId="1D54279E">
            <w:pPr>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noWrap w:val="0"/>
          </w:tcPr>
          <w:p w14:paraId="1953EB69">
            <w:pPr>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noWrap w:val="0"/>
          </w:tcPr>
          <w:p w14:paraId="7BF26337">
            <w:pPr>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noWrap w:val="0"/>
          </w:tcPr>
          <w:p w14:paraId="4E4853E4">
            <w:pPr>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noWrap w:val="0"/>
          </w:tcPr>
          <w:p w14:paraId="2C3D0A7C">
            <w:pPr>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noWrap w:val="0"/>
          </w:tcPr>
          <w:p w14:paraId="22082988">
            <w:pPr>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noWrap w:val="0"/>
          </w:tcPr>
          <w:p w14:paraId="0152101F">
            <w:pPr>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noWrap w:val="0"/>
          </w:tcPr>
          <w:p w14:paraId="26B1B7F1">
            <w:pPr>
              <w:spacing w:line="360" w:lineRule="auto"/>
              <w:rPr>
                <w:rFonts w:hint="eastAsia" w:ascii="宋体" w:hAnsi="宋体" w:eastAsia="宋体" w:cs="宋体"/>
                <w:color w:val="auto"/>
                <w:sz w:val="21"/>
                <w:szCs w:val="21"/>
                <w:highlight w:val="none"/>
              </w:rPr>
            </w:pPr>
          </w:p>
        </w:tc>
      </w:tr>
      <w:tr w14:paraId="0C56AEBC">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noWrap w:val="0"/>
          </w:tcPr>
          <w:p w14:paraId="485813E6">
            <w:pPr>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noWrap w:val="0"/>
          </w:tcPr>
          <w:p w14:paraId="6553E13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售后人员</w:t>
            </w:r>
          </w:p>
        </w:tc>
        <w:tc>
          <w:tcPr>
            <w:tcW w:w="437" w:type="pct"/>
            <w:tcBorders>
              <w:top w:val="single" w:color="auto" w:sz="6" w:space="0"/>
              <w:left w:val="single" w:color="auto" w:sz="6" w:space="0"/>
              <w:bottom w:val="single" w:color="auto" w:sz="6" w:space="0"/>
              <w:right w:val="single" w:color="auto" w:sz="6" w:space="0"/>
            </w:tcBorders>
            <w:noWrap w:val="0"/>
          </w:tcPr>
          <w:p w14:paraId="09090EF6">
            <w:pPr>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noWrap w:val="0"/>
          </w:tcPr>
          <w:p w14:paraId="708EA734">
            <w:pPr>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noWrap w:val="0"/>
          </w:tcPr>
          <w:p w14:paraId="64CA1A47">
            <w:pPr>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noWrap w:val="0"/>
          </w:tcPr>
          <w:p w14:paraId="754FF11D">
            <w:pPr>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noWrap w:val="0"/>
          </w:tcPr>
          <w:p w14:paraId="5794F2D2">
            <w:pPr>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noWrap w:val="0"/>
          </w:tcPr>
          <w:p w14:paraId="57D59F0E">
            <w:pPr>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noWrap w:val="0"/>
          </w:tcPr>
          <w:p w14:paraId="683DF60F">
            <w:pPr>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noWrap w:val="0"/>
          </w:tcPr>
          <w:p w14:paraId="6B895E6E">
            <w:pPr>
              <w:spacing w:line="360" w:lineRule="auto"/>
              <w:rPr>
                <w:rFonts w:hint="eastAsia" w:ascii="宋体" w:hAnsi="宋体" w:eastAsia="宋体" w:cs="宋体"/>
                <w:color w:val="auto"/>
                <w:sz w:val="21"/>
                <w:szCs w:val="21"/>
                <w:highlight w:val="none"/>
              </w:rPr>
            </w:pPr>
          </w:p>
        </w:tc>
      </w:tr>
      <w:tr w14:paraId="7B5E882D">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noWrap w:val="0"/>
          </w:tcPr>
          <w:p w14:paraId="1AA9CC54">
            <w:pPr>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noWrap w:val="0"/>
          </w:tcPr>
          <w:p w14:paraId="4F55926F">
            <w:pPr>
              <w:spacing w:line="360" w:lineRule="auto"/>
              <w:jc w:val="center"/>
              <w:rPr>
                <w:rFonts w:hint="eastAsia" w:ascii="宋体" w:hAnsi="宋体" w:eastAsia="宋体" w:cs="宋体"/>
                <w:color w:val="auto"/>
                <w:sz w:val="21"/>
                <w:szCs w:val="21"/>
                <w:highlight w:val="none"/>
              </w:rPr>
            </w:pPr>
          </w:p>
        </w:tc>
        <w:tc>
          <w:tcPr>
            <w:tcW w:w="437" w:type="pct"/>
            <w:tcBorders>
              <w:top w:val="single" w:color="auto" w:sz="6" w:space="0"/>
              <w:left w:val="single" w:color="auto" w:sz="6" w:space="0"/>
              <w:bottom w:val="single" w:color="auto" w:sz="6" w:space="0"/>
              <w:right w:val="single" w:color="auto" w:sz="6" w:space="0"/>
            </w:tcBorders>
            <w:noWrap w:val="0"/>
          </w:tcPr>
          <w:p w14:paraId="56D38E3E">
            <w:pPr>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noWrap w:val="0"/>
          </w:tcPr>
          <w:p w14:paraId="109D4CFE">
            <w:pPr>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noWrap w:val="0"/>
          </w:tcPr>
          <w:p w14:paraId="708586E6">
            <w:pPr>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noWrap w:val="0"/>
          </w:tcPr>
          <w:p w14:paraId="0234FA9D">
            <w:pPr>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noWrap w:val="0"/>
          </w:tcPr>
          <w:p w14:paraId="227E5102">
            <w:pPr>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noWrap w:val="0"/>
          </w:tcPr>
          <w:p w14:paraId="4E7FC196">
            <w:pPr>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noWrap w:val="0"/>
          </w:tcPr>
          <w:p w14:paraId="2CF04C30">
            <w:pPr>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noWrap w:val="0"/>
          </w:tcPr>
          <w:p w14:paraId="415F2CCD">
            <w:pPr>
              <w:spacing w:line="360" w:lineRule="auto"/>
              <w:rPr>
                <w:rFonts w:hint="eastAsia" w:ascii="宋体" w:hAnsi="宋体" w:eastAsia="宋体" w:cs="宋体"/>
                <w:color w:val="auto"/>
                <w:sz w:val="21"/>
                <w:szCs w:val="21"/>
                <w:highlight w:val="none"/>
              </w:rPr>
            </w:pPr>
          </w:p>
        </w:tc>
      </w:tr>
      <w:tr w14:paraId="4795E1DA">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noWrap w:val="0"/>
          </w:tcPr>
          <w:p w14:paraId="3AA3EE4E">
            <w:pPr>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noWrap w:val="0"/>
          </w:tcPr>
          <w:p w14:paraId="7D2BD8F7">
            <w:pPr>
              <w:spacing w:line="360" w:lineRule="auto"/>
              <w:jc w:val="center"/>
              <w:rPr>
                <w:rFonts w:hint="eastAsia" w:ascii="宋体" w:hAnsi="宋体" w:eastAsia="宋体" w:cs="宋体"/>
                <w:color w:val="auto"/>
                <w:sz w:val="21"/>
                <w:szCs w:val="21"/>
                <w:highlight w:val="none"/>
              </w:rPr>
            </w:pPr>
          </w:p>
        </w:tc>
        <w:tc>
          <w:tcPr>
            <w:tcW w:w="437" w:type="pct"/>
            <w:tcBorders>
              <w:top w:val="single" w:color="auto" w:sz="6" w:space="0"/>
              <w:left w:val="single" w:color="auto" w:sz="6" w:space="0"/>
              <w:bottom w:val="single" w:color="auto" w:sz="6" w:space="0"/>
              <w:right w:val="single" w:color="auto" w:sz="6" w:space="0"/>
            </w:tcBorders>
            <w:noWrap w:val="0"/>
          </w:tcPr>
          <w:p w14:paraId="0D9F9270">
            <w:pPr>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noWrap w:val="0"/>
          </w:tcPr>
          <w:p w14:paraId="1FBDD997">
            <w:pPr>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noWrap w:val="0"/>
          </w:tcPr>
          <w:p w14:paraId="049D723B">
            <w:pPr>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noWrap w:val="0"/>
          </w:tcPr>
          <w:p w14:paraId="3162845B">
            <w:pPr>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noWrap w:val="0"/>
          </w:tcPr>
          <w:p w14:paraId="6207DBAD">
            <w:pPr>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noWrap w:val="0"/>
          </w:tcPr>
          <w:p w14:paraId="6524034E">
            <w:pPr>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noWrap w:val="0"/>
          </w:tcPr>
          <w:p w14:paraId="481E02C0">
            <w:pPr>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noWrap w:val="0"/>
          </w:tcPr>
          <w:p w14:paraId="6DAF14DE">
            <w:pPr>
              <w:spacing w:line="360" w:lineRule="auto"/>
              <w:rPr>
                <w:rFonts w:hint="eastAsia" w:ascii="宋体" w:hAnsi="宋体" w:eastAsia="宋体" w:cs="宋体"/>
                <w:color w:val="auto"/>
                <w:sz w:val="21"/>
                <w:szCs w:val="21"/>
                <w:highlight w:val="none"/>
              </w:rPr>
            </w:pPr>
          </w:p>
        </w:tc>
      </w:tr>
    </w:tbl>
    <w:p w14:paraId="5DA995BD">
      <w:pPr>
        <w:spacing w:line="440" w:lineRule="exact"/>
        <w:ind w:firstLine="396"/>
        <w:rPr>
          <w:rFonts w:hint="eastAsia" w:ascii="宋体" w:hAnsi="宋体" w:eastAsia="宋体" w:cs="宋体"/>
          <w:color w:val="auto"/>
          <w:sz w:val="20"/>
          <w:szCs w:val="21"/>
          <w:highlight w:val="none"/>
          <w:lang w:val="zh-CN" w:eastAsia="zh-CN"/>
        </w:rPr>
      </w:pPr>
    </w:p>
    <w:p w14:paraId="179656F6">
      <w:pPr>
        <w:spacing w:line="500" w:lineRule="exact"/>
        <w:rPr>
          <w:rFonts w:hint="eastAsia" w:ascii="宋体" w:hAnsi="宋体" w:eastAsia="宋体" w:cs="宋体"/>
          <w:color w:val="auto"/>
          <w:sz w:val="32"/>
          <w:szCs w:val="32"/>
          <w:highlight w:val="none"/>
        </w:rPr>
      </w:pPr>
    </w:p>
    <w:p w14:paraId="2B8901C8">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04CD1E5E">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0DAB693C">
      <w:pPr>
        <w:spacing w:line="360" w:lineRule="auto"/>
        <w:ind w:firstLine="0"/>
        <w:rPr>
          <w:rFonts w:hint="eastAsia" w:ascii="宋体" w:hAnsi="宋体" w:eastAsia="宋体" w:cs="宋体"/>
          <w:b/>
          <w:color w:val="auto"/>
          <w:sz w:val="28"/>
          <w:szCs w:val="28"/>
          <w:highlight w:val="none"/>
          <w:lang w:val="en-US" w:eastAsia="zh-CN"/>
        </w:rPr>
      </w:pPr>
    </w:p>
    <w:p w14:paraId="3D6F8CFD">
      <w:pPr>
        <w:spacing w:line="360" w:lineRule="auto"/>
        <w:ind w:firstLine="0"/>
        <w:rPr>
          <w:rFonts w:hint="eastAsia" w:ascii="宋体" w:hAnsi="宋体" w:eastAsia="宋体" w:cs="宋体"/>
          <w:b/>
          <w:color w:val="auto"/>
          <w:sz w:val="28"/>
          <w:szCs w:val="28"/>
          <w:highlight w:val="none"/>
          <w:lang w:val="en-US" w:eastAsia="zh-CN"/>
        </w:rPr>
      </w:pPr>
    </w:p>
    <w:p w14:paraId="38A0BD01">
      <w:pPr>
        <w:spacing w:line="360" w:lineRule="auto"/>
        <w:ind w:firstLine="0"/>
        <w:rPr>
          <w:rFonts w:hint="eastAsia" w:ascii="宋体" w:hAnsi="宋体" w:eastAsia="宋体" w:cs="宋体"/>
          <w:b/>
          <w:color w:val="auto"/>
          <w:sz w:val="28"/>
          <w:szCs w:val="28"/>
          <w:highlight w:val="none"/>
          <w:lang w:val="en-US" w:eastAsia="zh-CN"/>
        </w:rPr>
      </w:pPr>
    </w:p>
    <w:p w14:paraId="39E4FD8D">
      <w:pPr>
        <w:spacing w:line="360" w:lineRule="auto"/>
        <w:ind w:firstLine="0"/>
        <w:rPr>
          <w:rFonts w:hint="eastAsia" w:ascii="宋体" w:hAnsi="宋体" w:eastAsia="宋体" w:cs="宋体"/>
          <w:b/>
          <w:color w:val="auto"/>
          <w:sz w:val="28"/>
          <w:szCs w:val="28"/>
          <w:highlight w:val="none"/>
          <w:lang w:val="en-US" w:eastAsia="zh-CN"/>
        </w:rPr>
      </w:pPr>
    </w:p>
    <w:p w14:paraId="5D7464F2">
      <w:pPr>
        <w:spacing w:line="360" w:lineRule="auto"/>
        <w:ind w:firstLine="0"/>
        <w:rPr>
          <w:rFonts w:hint="eastAsia" w:ascii="宋体" w:hAnsi="宋体" w:eastAsia="宋体" w:cs="宋体"/>
          <w:b/>
          <w:color w:val="auto"/>
          <w:sz w:val="28"/>
          <w:szCs w:val="28"/>
          <w:highlight w:val="none"/>
          <w:lang w:val="en-US" w:eastAsia="zh-CN"/>
        </w:rPr>
      </w:pPr>
    </w:p>
    <w:p w14:paraId="2B5A3C59">
      <w:pPr>
        <w:spacing w:line="360" w:lineRule="auto"/>
        <w:ind w:firstLine="0"/>
        <w:rPr>
          <w:rFonts w:hint="eastAsia" w:ascii="宋体" w:hAnsi="宋体" w:eastAsia="宋体" w:cs="宋体"/>
          <w:b/>
          <w:color w:val="auto"/>
          <w:sz w:val="28"/>
          <w:szCs w:val="28"/>
          <w:highlight w:val="none"/>
          <w:lang w:val="en-US" w:eastAsia="zh-CN"/>
        </w:rPr>
      </w:pPr>
    </w:p>
    <w:p w14:paraId="2716A896">
      <w:pPr>
        <w:spacing w:line="360" w:lineRule="auto"/>
        <w:ind w:firstLine="0"/>
        <w:rPr>
          <w:rFonts w:hint="eastAsia" w:ascii="宋体" w:hAnsi="宋体" w:eastAsia="宋体" w:cs="宋体"/>
          <w:b/>
          <w:i/>
          <w:iCs/>
          <w:color w:val="auto"/>
          <w:sz w:val="28"/>
          <w:szCs w:val="28"/>
          <w:highlight w:val="none"/>
        </w:rPr>
      </w:pPr>
      <w:r>
        <w:rPr>
          <w:rFonts w:hint="eastAsia" w:ascii="宋体" w:hAnsi="宋体" w:eastAsia="宋体" w:cs="宋体"/>
          <w:b/>
          <w:color w:val="auto"/>
          <w:sz w:val="28"/>
          <w:szCs w:val="28"/>
          <w:highlight w:val="none"/>
          <w:lang w:val="en-US" w:eastAsia="zh-CN"/>
        </w:rPr>
        <w:t>10.</w:t>
      </w:r>
      <w:r>
        <w:rPr>
          <w:rFonts w:hint="eastAsia" w:ascii="宋体" w:hAnsi="宋体" w:eastAsia="宋体" w:cs="宋体"/>
          <w:b/>
          <w:color w:val="auto"/>
          <w:sz w:val="28"/>
          <w:szCs w:val="28"/>
          <w:highlight w:val="none"/>
        </w:rPr>
        <w:t>项目实施人员一览表（如有要求）</w:t>
      </w:r>
    </w:p>
    <w:p w14:paraId="7A34310D">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（由供应商根据采购需求及采购文件要求编制）</w:t>
      </w:r>
    </w:p>
    <w:p w14:paraId="17023429">
      <w:pPr>
        <w:pStyle w:val="29"/>
        <w:rPr>
          <w:rFonts w:hint="eastAsia" w:ascii="宋体" w:hAnsi="宋体" w:eastAsia="宋体" w:cs="宋体"/>
          <w:color w:val="auto"/>
          <w:highlight w:val="none"/>
        </w:rPr>
      </w:pPr>
    </w:p>
    <w:p w14:paraId="4379FBA3">
      <w:pP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所竞分标（此处有分标时填写具体分标号，无分标时填写“无”）：</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u w:val="single"/>
          <w:lang w:val="en-US" w:eastAsia="zh-CN"/>
        </w:rPr>
        <w:t xml:space="preserve"> </w:t>
      </w:r>
    </w:p>
    <w:p w14:paraId="7FEB77CB">
      <w:pPr>
        <w:keepNext/>
        <w:spacing w:line="360" w:lineRule="auto"/>
        <w:ind w:firstLine="47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附表A:本项目的项目经理情况表</w:t>
      </w:r>
    </w:p>
    <w:tbl>
      <w:tblPr>
        <w:tblStyle w:val="44"/>
        <w:tblW w:w="8755" w:type="dxa"/>
        <w:tblInd w:w="0" w:type="dxa"/>
        <w:tblLayout w:type="fixed"/>
        <w:tblCellMar>
          <w:top w:w="0" w:type="dxa"/>
          <w:left w:w="108" w:type="dxa"/>
          <w:bottom w:w="0" w:type="dxa"/>
          <w:right w:w="108" w:type="dxa"/>
        </w:tblCellMar>
      </w:tblPr>
      <w:tblGrid>
        <w:gridCol w:w="2224"/>
        <w:gridCol w:w="1124"/>
        <w:gridCol w:w="1260"/>
        <w:gridCol w:w="4147"/>
      </w:tblGrid>
      <w:tr w14:paraId="3782156F">
        <w:tblPrEx>
          <w:tblCellMar>
            <w:top w:w="0" w:type="dxa"/>
            <w:left w:w="108" w:type="dxa"/>
            <w:bottom w:w="0" w:type="dxa"/>
            <w:right w:w="108" w:type="dxa"/>
          </w:tblCellMar>
        </w:tblPrEx>
        <w:trPr>
          <w:trHeight w:val="604" w:hRule="atLeast"/>
        </w:trPr>
        <w:tc>
          <w:tcPr>
            <w:tcW w:w="2224"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C4891D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1124"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7B22C3B5">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D2CCCF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00E18A1D">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响应截止时间前三年业绩及承担的主要工作情况，曾担任项目经理的项目应列明细</w:t>
            </w:r>
            <w:r>
              <w:rPr>
                <w:rFonts w:hint="eastAsia" w:ascii="宋体" w:hAnsi="宋体" w:eastAsia="宋体" w:cs="宋体"/>
                <w:color w:val="auto"/>
                <w:sz w:val="21"/>
                <w:szCs w:val="21"/>
                <w:highlight w:val="none"/>
                <w:lang w:eastAsia="zh-CN"/>
              </w:rPr>
              <w:t>。</w:t>
            </w:r>
          </w:p>
        </w:tc>
      </w:tr>
      <w:tr w14:paraId="72AAE8D1">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15977D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1124"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1D6F32B6">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417E7E7C">
            <w:pPr>
              <w:spacing w:line="360" w:lineRule="auto"/>
              <w:jc w:val="center"/>
              <w:rPr>
                <w:rFonts w:hint="eastAsia" w:ascii="宋体" w:hAnsi="宋体" w:eastAsia="宋体" w:cs="宋体"/>
                <w:color w:val="auto"/>
                <w:sz w:val="21"/>
                <w:szCs w:val="21"/>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26FB444C">
            <w:pPr>
              <w:spacing w:line="360" w:lineRule="auto"/>
              <w:jc w:val="center"/>
              <w:rPr>
                <w:rFonts w:hint="eastAsia" w:ascii="宋体" w:hAnsi="宋体" w:eastAsia="宋体" w:cs="宋体"/>
                <w:color w:val="auto"/>
                <w:sz w:val="21"/>
                <w:szCs w:val="21"/>
                <w:highlight w:val="none"/>
              </w:rPr>
            </w:pPr>
          </w:p>
        </w:tc>
      </w:tr>
      <w:tr w14:paraId="19290E34">
        <w:tblPrEx>
          <w:tblCellMar>
            <w:top w:w="0" w:type="dxa"/>
            <w:left w:w="108" w:type="dxa"/>
            <w:bottom w:w="0" w:type="dxa"/>
            <w:right w:w="108" w:type="dxa"/>
          </w:tblCellMar>
        </w:tblPrEx>
        <w:trPr>
          <w:cantSplit/>
          <w:trHeight w:val="337" w:hRule="atLeast"/>
        </w:trPr>
        <w:tc>
          <w:tcPr>
            <w:tcW w:w="2224"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36FE8C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1124"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178100F">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54C8FE2A">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29F78958">
            <w:pPr>
              <w:spacing w:line="360" w:lineRule="auto"/>
              <w:jc w:val="center"/>
              <w:rPr>
                <w:rFonts w:hint="eastAsia" w:ascii="宋体" w:hAnsi="宋体" w:eastAsia="宋体" w:cs="宋体"/>
                <w:color w:val="auto"/>
                <w:sz w:val="21"/>
                <w:szCs w:val="21"/>
                <w:highlight w:val="none"/>
              </w:rPr>
            </w:pPr>
          </w:p>
        </w:tc>
      </w:tr>
      <w:tr w14:paraId="02E5D917">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noWrap w:val="0"/>
            <w:vAlign w:val="center"/>
          </w:tcPr>
          <w:p w14:paraId="7E4766FC">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eastAsia="zh-CN"/>
              </w:rPr>
              <w:t>或职业资格证书</w:t>
            </w:r>
          </w:p>
        </w:tc>
        <w:tc>
          <w:tcPr>
            <w:tcW w:w="1124" w:type="dxa"/>
            <w:tcBorders>
              <w:top w:val="single" w:color="auto" w:sz="6" w:space="0"/>
              <w:left w:val="single" w:color="auto" w:sz="6" w:space="0"/>
              <w:bottom w:val="single" w:color="auto" w:sz="6" w:space="0"/>
              <w:right w:val="single" w:color="auto" w:sz="4" w:space="0"/>
            </w:tcBorders>
            <w:noWrap w:val="0"/>
            <w:vAlign w:val="center"/>
          </w:tcPr>
          <w:p w14:paraId="541B5D58">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E316DBB">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51DD6A2">
            <w:pPr>
              <w:spacing w:line="360" w:lineRule="auto"/>
              <w:jc w:val="center"/>
              <w:rPr>
                <w:rFonts w:hint="eastAsia" w:ascii="宋体" w:hAnsi="宋体" w:eastAsia="宋体" w:cs="宋体"/>
                <w:color w:val="auto"/>
                <w:sz w:val="21"/>
                <w:szCs w:val="21"/>
                <w:highlight w:val="none"/>
              </w:rPr>
            </w:pPr>
          </w:p>
        </w:tc>
      </w:tr>
      <w:tr w14:paraId="4D6AEED8">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noWrap w:val="0"/>
            <w:vAlign w:val="center"/>
          </w:tcPr>
          <w:p w14:paraId="6610BA1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p>
        </w:tc>
        <w:tc>
          <w:tcPr>
            <w:tcW w:w="1124" w:type="dxa"/>
            <w:tcBorders>
              <w:top w:val="single" w:color="auto" w:sz="6" w:space="0"/>
              <w:left w:val="single" w:color="auto" w:sz="6" w:space="0"/>
              <w:bottom w:val="single" w:color="auto" w:sz="6" w:space="0"/>
              <w:right w:val="single" w:color="auto" w:sz="4" w:space="0"/>
            </w:tcBorders>
            <w:noWrap w:val="0"/>
            <w:vAlign w:val="center"/>
          </w:tcPr>
          <w:p w14:paraId="1DEECB29">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C947C2F">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9658DC8">
            <w:pPr>
              <w:spacing w:line="360" w:lineRule="auto"/>
              <w:jc w:val="center"/>
              <w:rPr>
                <w:rFonts w:hint="eastAsia" w:ascii="宋体" w:hAnsi="宋体" w:eastAsia="宋体" w:cs="宋体"/>
                <w:color w:val="auto"/>
                <w:sz w:val="21"/>
                <w:szCs w:val="21"/>
                <w:highlight w:val="none"/>
              </w:rPr>
            </w:pPr>
          </w:p>
        </w:tc>
      </w:tr>
      <w:tr w14:paraId="61506B47">
        <w:tblPrEx>
          <w:tblCellMar>
            <w:top w:w="0" w:type="dxa"/>
            <w:left w:w="108" w:type="dxa"/>
            <w:bottom w:w="0" w:type="dxa"/>
            <w:right w:w="108" w:type="dxa"/>
          </w:tblCellMar>
        </w:tblPrEx>
        <w:trPr>
          <w:cantSplit/>
          <w:trHeight w:val="799" w:hRule="atLeast"/>
        </w:trPr>
        <w:tc>
          <w:tcPr>
            <w:tcW w:w="2224" w:type="dxa"/>
            <w:tcBorders>
              <w:top w:val="single" w:color="auto" w:sz="6" w:space="0"/>
              <w:left w:val="single" w:color="auto" w:sz="6" w:space="0"/>
              <w:right w:val="single" w:color="auto" w:sz="6" w:space="0"/>
            </w:tcBorders>
            <w:noWrap w:val="0"/>
            <w:vAlign w:val="center"/>
          </w:tcPr>
          <w:p w14:paraId="3AD7D66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w:t>
            </w:r>
          </w:p>
        </w:tc>
        <w:tc>
          <w:tcPr>
            <w:tcW w:w="1124" w:type="dxa"/>
            <w:tcBorders>
              <w:top w:val="single" w:color="auto" w:sz="6" w:space="0"/>
              <w:left w:val="single" w:color="auto" w:sz="6" w:space="0"/>
              <w:right w:val="single" w:color="auto" w:sz="4" w:space="0"/>
            </w:tcBorders>
            <w:noWrap w:val="0"/>
            <w:vAlign w:val="center"/>
          </w:tcPr>
          <w:p w14:paraId="5A5446D2">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BA210CD">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772CEE8">
            <w:pPr>
              <w:spacing w:line="360" w:lineRule="auto"/>
              <w:jc w:val="center"/>
              <w:rPr>
                <w:rFonts w:hint="eastAsia" w:ascii="宋体" w:hAnsi="宋体" w:eastAsia="宋体" w:cs="宋体"/>
                <w:color w:val="auto"/>
                <w:sz w:val="21"/>
                <w:szCs w:val="21"/>
                <w:highlight w:val="none"/>
              </w:rPr>
            </w:pPr>
          </w:p>
        </w:tc>
      </w:tr>
      <w:tr w14:paraId="417757E7">
        <w:tblPrEx>
          <w:tblCellMar>
            <w:top w:w="0" w:type="dxa"/>
            <w:left w:w="108" w:type="dxa"/>
            <w:bottom w:w="0" w:type="dxa"/>
            <w:right w:w="108" w:type="dxa"/>
          </w:tblCellMar>
        </w:tblPrEx>
        <w:trPr>
          <w:cantSplit/>
          <w:trHeight w:val="356" w:hRule="atLeast"/>
        </w:trPr>
        <w:tc>
          <w:tcPr>
            <w:tcW w:w="2224" w:type="dxa"/>
            <w:tcBorders>
              <w:top w:val="single" w:color="auto" w:sz="6" w:space="0"/>
              <w:left w:val="single" w:color="auto" w:sz="6" w:space="0"/>
              <w:bottom w:val="single" w:color="auto" w:sz="6" w:space="0"/>
              <w:right w:val="single" w:color="auto" w:sz="6" w:space="0"/>
            </w:tcBorders>
            <w:noWrap w:val="0"/>
            <w:vAlign w:val="center"/>
          </w:tcPr>
          <w:p w14:paraId="5F71757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eastAsia="zh-CN"/>
              </w:rPr>
              <w:t>或资格</w:t>
            </w:r>
            <w:r>
              <w:rPr>
                <w:rFonts w:hint="eastAsia" w:ascii="宋体" w:hAnsi="宋体" w:eastAsia="宋体" w:cs="宋体"/>
                <w:color w:val="auto"/>
                <w:sz w:val="21"/>
                <w:szCs w:val="21"/>
                <w:highlight w:val="none"/>
              </w:rPr>
              <w:t>证书编号</w:t>
            </w:r>
          </w:p>
        </w:tc>
        <w:tc>
          <w:tcPr>
            <w:tcW w:w="1124" w:type="dxa"/>
            <w:tcBorders>
              <w:top w:val="single" w:color="auto" w:sz="6" w:space="0"/>
              <w:left w:val="single" w:color="auto" w:sz="6" w:space="0"/>
              <w:bottom w:val="single" w:color="auto" w:sz="6" w:space="0"/>
              <w:right w:val="single" w:color="auto" w:sz="4" w:space="0"/>
            </w:tcBorders>
            <w:noWrap w:val="0"/>
            <w:vAlign w:val="center"/>
          </w:tcPr>
          <w:p w14:paraId="129CC180">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9012AC4">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1A14DAC">
            <w:pPr>
              <w:spacing w:line="360" w:lineRule="auto"/>
              <w:jc w:val="center"/>
              <w:rPr>
                <w:rFonts w:hint="eastAsia" w:ascii="宋体" w:hAnsi="宋体" w:eastAsia="宋体" w:cs="宋体"/>
                <w:color w:val="auto"/>
                <w:sz w:val="21"/>
                <w:szCs w:val="21"/>
                <w:highlight w:val="none"/>
              </w:rPr>
            </w:pPr>
          </w:p>
        </w:tc>
      </w:tr>
      <w:tr w14:paraId="1DA7CE24">
        <w:tblPrEx>
          <w:tblCellMar>
            <w:top w:w="0" w:type="dxa"/>
            <w:left w:w="108" w:type="dxa"/>
            <w:bottom w:w="0" w:type="dxa"/>
            <w:right w:w="108" w:type="dxa"/>
          </w:tblCellMar>
        </w:tblPrEx>
        <w:trPr>
          <w:cantSplit/>
          <w:trHeight w:val="177" w:hRule="atLeast"/>
        </w:trPr>
        <w:tc>
          <w:tcPr>
            <w:tcW w:w="2224" w:type="dxa"/>
            <w:tcBorders>
              <w:top w:val="single" w:color="auto" w:sz="6" w:space="0"/>
              <w:left w:val="single" w:color="auto" w:sz="6" w:space="0"/>
              <w:bottom w:val="single" w:color="auto" w:sz="6" w:space="0"/>
              <w:right w:val="single" w:color="auto" w:sz="6" w:space="0"/>
            </w:tcBorders>
            <w:noWrap w:val="0"/>
            <w:vAlign w:val="center"/>
          </w:tcPr>
          <w:p w14:paraId="0CBDFB0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r>
              <w:rPr>
                <w:rFonts w:hint="eastAsia" w:ascii="宋体" w:hAnsi="宋体" w:eastAsia="宋体" w:cs="宋体"/>
                <w:color w:val="auto"/>
                <w:sz w:val="21"/>
                <w:szCs w:val="21"/>
                <w:highlight w:val="none"/>
                <w:lang w:eastAsia="zh-CN"/>
              </w:rPr>
              <w:t>证书</w:t>
            </w:r>
            <w:r>
              <w:rPr>
                <w:rFonts w:hint="eastAsia" w:ascii="宋体" w:hAnsi="宋体" w:eastAsia="宋体" w:cs="宋体"/>
                <w:color w:val="auto"/>
                <w:sz w:val="21"/>
                <w:szCs w:val="21"/>
                <w:highlight w:val="none"/>
              </w:rPr>
              <w:t>情况</w:t>
            </w:r>
          </w:p>
        </w:tc>
        <w:tc>
          <w:tcPr>
            <w:tcW w:w="1124" w:type="dxa"/>
            <w:tcBorders>
              <w:top w:val="single" w:color="auto" w:sz="6" w:space="0"/>
              <w:left w:val="single" w:color="auto" w:sz="6" w:space="0"/>
              <w:bottom w:val="single" w:color="auto" w:sz="6" w:space="0"/>
              <w:right w:val="single" w:color="auto" w:sz="4" w:space="0"/>
            </w:tcBorders>
            <w:noWrap w:val="0"/>
            <w:vAlign w:val="center"/>
          </w:tcPr>
          <w:p w14:paraId="43D365BB">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909DB80">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6D3DBBF">
            <w:pPr>
              <w:spacing w:line="360" w:lineRule="auto"/>
              <w:jc w:val="center"/>
              <w:rPr>
                <w:rFonts w:hint="eastAsia" w:ascii="宋体" w:hAnsi="宋体" w:eastAsia="宋体" w:cs="宋体"/>
                <w:color w:val="auto"/>
                <w:sz w:val="21"/>
                <w:szCs w:val="21"/>
                <w:highlight w:val="none"/>
              </w:rPr>
            </w:pPr>
          </w:p>
        </w:tc>
      </w:tr>
      <w:tr w14:paraId="053815B7">
        <w:tblPrEx>
          <w:tblCellMar>
            <w:top w:w="0" w:type="dxa"/>
            <w:left w:w="108" w:type="dxa"/>
            <w:bottom w:w="0" w:type="dxa"/>
            <w:right w:w="108" w:type="dxa"/>
          </w:tblCellMar>
        </w:tblPrEx>
        <w:trPr>
          <w:cantSplit/>
          <w:trHeight w:val="169" w:hRule="atLeast"/>
        </w:trPr>
        <w:tc>
          <w:tcPr>
            <w:tcW w:w="2224"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C213FB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124"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103B82B">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54243B70">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1A5A5F3">
            <w:pPr>
              <w:spacing w:line="360" w:lineRule="auto"/>
              <w:jc w:val="center"/>
              <w:rPr>
                <w:rFonts w:hint="eastAsia" w:ascii="宋体" w:hAnsi="宋体" w:eastAsia="宋体" w:cs="宋体"/>
                <w:color w:val="auto"/>
                <w:sz w:val="21"/>
                <w:szCs w:val="21"/>
                <w:highlight w:val="none"/>
              </w:rPr>
            </w:pPr>
          </w:p>
        </w:tc>
      </w:tr>
    </w:tbl>
    <w:p w14:paraId="55809EF1">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1"/>
          <w:szCs w:val="21"/>
          <w:highlight w:val="none"/>
        </w:rPr>
        <w:t>注：供应商可</w:t>
      </w:r>
      <w:r>
        <w:rPr>
          <w:rFonts w:hint="eastAsia" w:ascii="宋体" w:hAnsi="宋体" w:eastAsia="宋体" w:cs="宋体"/>
          <w:b/>
          <w:color w:val="auto"/>
          <w:sz w:val="21"/>
          <w:szCs w:val="21"/>
          <w:highlight w:val="none"/>
          <w:lang w:eastAsia="zh-CN"/>
        </w:rPr>
        <w:t>参照</w:t>
      </w:r>
      <w:r>
        <w:rPr>
          <w:rFonts w:hint="eastAsia" w:ascii="宋体" w:hAnsi="宋体" w:eastAsia="宋体" w:cs="宋体"/>
          <w:b/>
          <w:color w:val="auto"/>
          <w:sz w:val="21"/>
          <w:szCs w:val="21"/>
          <w:highlight w:val="none"/>
        </w:rPr>
        <w:t>上述的格式自行编制，并注明所在</w:t>
      </w:r>
      <w:r>
        <w:rPr>
          <w:rFonts w:hint="eastAsia" w:ascii="宋体" w:hAnsi="宋体" w:eastAsia="宋体" w:cs="宋体"/>
          <w:b/>
          <w:color w:val="auto"/>
          <w:sz w:val="21"/>
          <w:szCs w:val="21"/>
          <w:highlight w:val="none"/>
          <w:lang w:eastAsia="zh-CN"/>
        </w:rPr>
        <w:t>商务</w:t>
      </w:r>
      <w:r>
        <w:rPr>
          <w:rFonts w:hint="eastAsia" w:ascii="宋体" w:hAnsi="宋体" w:eastAsia="宋体" w:cs="宋体"/>
          <w:b/>
          <w:color w:val="auto"/>
          <w:sz w:val="21"/>
          <w:szCs w:val="21"/>
          <w:highlight w:val="none"/>
        </w:rPr>
        <w:t>技术文件页码。</w:t>
      </w:r>
    </w:p>
    <w:p w14:paraId="17372411">
      <w:pPr>
        <w:spacing w:line="360" w:lineRule="auto"/>
        <w:rPr>
          <w:rFonts w:hint="eastAsia" w:ascii="宋体" w:hAnsi="宋体" w:eastAsia="宋体" w:cs="宋体"/>
          <w:b/>
          <w:color w:val="auto"/>
          <w:sz w:val="24"/>
          <w:szCs w:val="24"/>
          <w:highlight w:val="none"/>
        </w:rPr>
      </w:pPr>
    </w:p>
    <w:p w14:paraId="5339E569">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附表B:本项目的项目小组人员情况表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44"/>
        <w:tblW w:w="9030" w:type="dxa"/>
        <w:tblInd w:w="108" w:type="dxa"/>
        <w:tblLayout w:type="fixed"/>
        <w:tblCellMar>
          <w:top w:w="0" w:type="dxa"/>
          <w:left w:w="108" w:type="dxa"/>
          <w:bottom w:w="0" w:type="dxa"/>
          <w:right w:w="108" w:type="dxa"/>
        </w:tblCellMar>
      </w:tblPr>
      <w:tblGrid>
        <w:gridCol w:w="420"/>
        <w:gridCol w:w="787"/>
        <w:gridCol w:w="412"/>
        <w:gridCol w:w="586"/>
        <w:gridCol w:w="1035"/>
        <w:gridCol w:w="917"/>
        <w:gridCol w:w="1464"/>
        <w:gridCol w:w="1039"/>
        <w:gridCol w:w="900"/>
        <w:gridCol w:w="1470"/>
      </w:tblGrid>
      <w:tr w14:paraId="4BB599B8">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50A4C6C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4107ABF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55D53B8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578CC0F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062816B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p>
          <w:p w14:paraId="72AE84C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917" w:type="dxa"/>
            <w:tcBorders>
              <w:top w:val="single" w:color="auto" w:sz="6" w:space="0"/>
              <w:left w:val="single" w:color="auto" w:sz="6" w:space="0"/>
              <w:bottom w:val="single" w:color="auto" w:sz="6" w:space="0"/>
              <w:right w:val="single" w:color="auto" w:sz="6" w:space="0"/>
            </w:tcBorders>
            <w:noWrap w:val="0"/>
            <w:vAlign w:val="center"/>
          </w:tcPr>
          <w:p w14:paraId="799FBE0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w:t>
            </w:r>
          </w:p>
          <w:p w14:paraId="4DEEF7C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1464" w:type="dxa"/>
            <w:tcBorders>
              <w:top w:val="single" w:color="auto" w:sz="6" w:space="0"/>
              <w:left w:val="single" w:color="auto" w:sz="6" w:space="0"/>
              <w:bottom w:val="single" w:color="auto" w:sz="6" w:space="0"/>
              <w:right w:val="single" w:color="auto" w:sz="6" w:space="0"/>
            </w:tcBorders>
            <w:noWrap w:val="0"/>
            <w:vAlign w:val="center"/>
          </w:tcPr>
          <w:p w14:paraId="2E8F0C9B">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val="en-US" w:eastAsia="zh-CN"/>
              </w:rPr>
              <w:t>或职业资格证书</w:t>
            </w:r>
          </w:p>
          <w:p w14:paraId="59D6650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1039" w:type="dxa"/>
            <w:tcBorders>
              <w:top w:val="single" w:color="auto" w:sz="6" w:space="0"/>
              <w:left w:val="single" w:color="auto" w:sz="6" w:space="0"/>
              <w:bottom w:val="single" w:color="auto" w:sz="6" w:space="0"/>
              <w:right w:val="single" w:color="auto" w:sz="6" w:space="0"/>
            </w:tcBorders>
            <w:noWrap w:val="0"/>
            <w:vAlign w:val="center"/>
          </w:tcPr>
          <w:p w14:paraId="269C375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1588172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468FD7E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参与本项目的到位情况</w:t>
            </w:r>
          </w:p>
        </w:tc>
      </w:tr>
      <w:tr w14:paraId="0866AF99">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tcPr>
          <w:p w14:paraId="23B961D4">
            <w:pPr>
              <w:spacing w:line="360" w:lineRule="auto"/>
              <w:jc w:val="center"/>
              <w:rPr>
                <w:rFonts w:hint="eastAsia" w:ascii="宋体" w:hAnsi="宋体" w:eastAsia="宋体" w:cs="宋体"/>
                <w:color w:val="auto"/>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noWrap w:val="0"/>
          </w:tcPr>
          <w:p w14:paraId="2DABFD0F">
            <w:pPr>
              <w:spacing w:line="360" w:lineRule="auto"/>
              <w:rPr>
                <w:rFonts w:hint="eastAsia" w:ascii="宋体" w:hAnsi="宋体" w:eastAsia="宋体" w:cs="宋体"/>
                <w:color w:val="auto"/>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0"/>
          </w:tcPr>
          <w:p w14:paraId="5F830F27">
            <w:pPr>
              <w:spacing w:line="360" w:lineRule="auto"/>
              <w:rPr>
                <w:rFonts w:hint="eastAsia" w:ascii="宋体" w:hAnsi="宋体" w:eastAsia="宋体" w:cs="宋体"/>
                <w:color w:val="auto"/>
                <w:sz w:val="21"/>
                <w:szCs w:val="21"/>
                <w:highlight w:val="none"/>
              </w:rPr>
            </w:pPr>
          </w:p>
        </w:tc>
        <w:tc>
          <w:tcPr>
            <w:tcW w:w="586" w:type="dxa"/>
            <w:tcBorders>
              <w:top w:val="single" w:color="auto" w:sz="6" w:space="0"/>
              <w:left w:val="single" w:color="auto" w:sz="6" w:space="0"/>
              <w:bottom w:val="single" w:color="auto" w:sz="6" w:space="0"/>
              <w:right w:val="single" w:color="auto" w:sz="6" w:space="0"/>
            </w:tcBorders>
            <w:noWrap w:val="0"/>
          </w:tcPr>
          <w:p w14:paraId="0E14A610">
            <w:pPr>
              <w:spacing w:line="360" w:lineRule="auto"/>
              <w:rPr>
                <w:rFonts w:hint="eastAsia" w:ascii="宋体" w:hAnsi="宋体" w:eastAsia="宋体" w:cs="宋体"/>
                <w:color w:val="auto"/>
                <w:sz w:val="21"/>
                <w:szCs w:val="21"/>
                <w:highlight w:val="none"/>
              </w:rPr>
            </w:pPr>
          </w:p>
        </w:tc>
        <w:tc>
          <w:tcPr>
            <w:tcW w:w="1035" w:type="dxa"/>
            <w:tcBorders>
              <w:top w:val="single" w:color="auto" w:sz="6" w:space="0"/>
              <w:left w:val="single" w:color="auto" w:sz="6" w:space="0"/>
              <w:bottom w:val="single" w:color="auto" w:sz="6" w:space="0"/>
              <w:right w:val="single" w:color="auto" w:sz="6" w:space="0"/>
            </w:tcBorders>
            <w:noWrap w:val="0"/>
          </w:tcPr>
          <w:p w14:paraId="1525BF51">
            <w:pPr>
              <w:spacing w:line="360" w:lineRule="auto"/>
              <w:rPr>
                <w:rFonts w:hint="eastAsia" w:ascii="宋体" w:hAnsi="宋体" w:eastAsia="宋体" w:cs="宋体"/>
                <w:color w:val="auto"/>
                <w:sz w:val="21"/>
                <w:szCs w:val="21"/>
                <w:highlight w:val="none"/>
              </w:rPr>
            </w:pPr>
          </w:p>
        </w:tc>
        <w:tc>
          <w:tcPr>
            <w:tcW w:w="917" w:type="dxa"/>
            <w:tcBorders>
              <w:top w:val="single" w:color="auto" w:sz="6" w:space="0"/>
              <w:left w:val="single" w:color="auto" w:sz="6" w:space="0"/>
              <w:bottom w:val="single" w:color="auto" w:sz="6" w:space="0"/>
              <w:right w:val="single" w:color="auto" w:sz="6" w:space="0"/>
            </w:tcBorders>
            <w:noWrap w:val="0"/>
          </w:tcPr>
          <w:p w14:paraId="1CCCD7C3">
            <w:pPr>
              <w:spacing w:line="360" w:lineRule="auto"/>
              <w:rPr>
                <w:rFonts w:hint="eastAsia" w:ascii="宋体" w:hAnsi="宋体" w:eastAsia="宋体" w:cs="宋体"/>
                <w:color w:val="auto"/>
                <w:sz w:val="21"/>
                <w:szCs w:val="21"/>
                <w:highlight w:val="none"/>
              </w:rPr>
            </w:pPr>
          </w:p>
        </w:tc>
        <w:tc>
          <w:tcPr>
            <w:tcW w:w="1464" w:type="dxa"/>
            <w:tcBorders>
              <w:top w:val="single" w:color="auto" w:sz="6" w:space="0"/>
              <w:left w:val="single" w:color="auto" w:sz="6" w:space="0"/>
              <w:bottom w:val="single" w:color="auto" w:sz="6" w:space="0"/>
              <w:right w:val="single" w:color="auto" w:sz="6" w:space="0"/>
            </w:tcBorders>
            <w:noWrap w:val="0"/>
          </w:tcPr>
          <w:p w14:paraId="5A95567D">
            <w:pPr>
              <w:spacing w:line="360" w:lineRule="auto"/>
              <w:rPr>
                <w:rFonts w:hint="eastAsia" w:ascii="宋体" w:hAnsi="宋体" w:eastAsia="宋体" w:cs="宋体"/>
                <w:color w:val="auto"/>
                <w:sz w:val="21"/>
                <w:szCs w:val="21"/>
                <w:highlight w:val="none"/>
              </w:rPr>
            </w:pPr>
          </w:p>
        </w:tc>
        <w:tc>
          <w:tcPr>
            <w:tcW w:w="1039" w:type="dxa"/>
            <w:tcBorders>
              <w:top w:val="single" w:color="auto" w:sz="6" w:space="0"/>
              <w:left w:val="single" w:color="auto" w:sz="6" w:space="0"/>
              <w:bottom w:val="single" w:color="auto" w:sz="6" w:space="0"/>
              <w:right w:val="single" w:color="auto" w:sz="6" w:space="0"/>
            </w:tcBorders>
            <w:noWrap w:val="0"/>
          </w:tcPr>
          <w:p w14:paraId="2D866AC4">
            <w:pPr>
              <w:spacing w:line="360" w:lineRule="auto"/>
              <w:rPr>
                <w:rFonts w:hint="eastAsia" w:ascii="宋体" w:hAnsi="宋体" w:eastAsia="宋体" w:cs="宋体"/>
                <w:color w:val="auto"/>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tcPr>
          <w:p w14:paraId="01837C11">
            <w:pPr>
              <w:spacing w:line="360" w:lineRule="auto"/>
              <w:rPr>
                <w:rFonts w:hint="eastAsia" w:ascii="宋体" w:hAnsi="宋体" w:eastAsia="宋体" w:cs="宋体"/>
                <w:color w:val="auto"/>
                <w:sz w:val="21"/>
                <w:szCs w:val="21"/>
                <w:highlight w:val="none"/>
              </w:rPr>
            </w:pPr>
          </w:p>
        </w:tc>
        <w:tc>
          <w:tcPr>
            <w:tcW w:w="1470" w:type="dxa"/>
            <w:tcBorders>
              <w:top w:val="single" w:color="auto" w:sz="6" w:space="0"/>
              <w:left w:val="single" w:color="auto" w:sz="6" w:space="0"/>
              <w:bottom w:val="single" w:color="auto" w:sz="6" w:space="0"/>
              <w:right w:val="single" w:color="auto" w:sz="6" w:space="0"/>
            </w:tcBorders>
            <w:noWrap w:val="0"/>
          </w:tcPr>
          <w:p w14:paraId="20CD78F9">
            <w:pPr>
              <w:spacing w:line="360" w:lineRule="auto"/>
              <w:rPr>
                <w:rFonts w:hint="eastAsia" w:ascii="宋体" w:hAnsi="宋体" w:eastAsia="宋体" w:cs="宋体"/>
                <w:color w:val="auto"/>
                <w:sz w:val="21"/>
                <w:szCs w:val="21"/>
                <w:highlight w:val="none"/>
              </w:rPr>
            </w:pPr>
          </w:p>
        </w:tc>
      </w:tr>
      <w:tr w14:paraId="4018E38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tcPr>
          <w:p w14:paraId="052B9057">
            <w:pPr>
              <w:spacing w:line="360" w:lineRule="auto"/>
              <w:jc w:val="center"/>
              <w:rPr>
                <w:rFonts w:hint="eastAsia" w:ascii="宋体" w:hAnsi="宋体" w:eastAsia="宋体" w:cs="宋体"/>
                <w:color w:val="auto"/>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noWrap w:val="0"/>
          </w:tcPr>
          <w:p w14:paraId="3DE263EC">
            <w:pPr>
              <w:spacing w:line="360" w:lineRule="auto"/>
              <w:rPr>
                <w:rFonts w:hint="eastAsia" w:ascii="宋体" w:hAnsi="宋体" w:eastAsia="宋体" w:cs="宋体"/>
                <w:color w:val="auto"/>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0"/>
          </w:tcPr>
          <w:p w14:paraId="14EF6C93">
            <w:pPr>
              <w:spacing w:line="360" w:lineRule="auto"/>
              <w:rPr>
                <w:rFonts w:hint="eastAsia" w:ascii="宋体" w:hAnsi="宋体" w:eastAsia="宋体" w:cs="宋体"/>
                <w:color w:val="auto"/>
                <w:sz w:val="21"/>
                <w:szCs w:val="21"/>
                <w:highlight w:val="none"/>
              </w:rPr>
            </w:pPr>
          </w:p>
        </w:tc>
        <w:tc>
          <w:tcPr>
            <w:tcW w:w="586" w:type="dxa"/>
            <w:tcBorders>
              <w:top w:val="single" w:color="auto" w:sz="6" w:space="0"/>
              <w:left w:val="single" w:color="auto" w:sz="6" w:space="0"/>
              <w:bottom w:val="single" w:color="auto" w:sz="6" w:space="0"/>
              <w:right w:val="single" w:color="auto" w:sz="6" w:space="0"/>
            </w:tcBorders>
            <w:noWrap w:val="0"/>
          </w:tcPr>
          <w:p w14:paraId="30CA21D1">
            <w:pPr>
              <w:spacing w:line="360" w:lineRule="auto"/>
              <w:rPr>
                <w:rFonts w:hint="eastAsia" w:ascii="宋体" w:hAnsi="宋体" w:eastAsia="宋体" w:cs="宋体"/>
                <w:color w:val="auto"/>
                <w:sz w:val="21"/>
                <w:szCs w:val="21"/>
                <w:highlight w:val="none"/>
              </w:rPr>
            </w:pPr>
          </w:p>
        </w:tc>
        <w:tc>
          <w:tcPr>
            <w:tcW w:w="1035" w:type="dxa"/>
            <w:tcBorders>
              <w:top w:val="single" w:color="auto" w:sz="6" w:space="0"/>
              <w:left w:val="single" w:color="auto" w:sz="6" w:space="0"/>
              <w:bottom w:val="single" w:color="auto" w:sz="6" w:space="0"/>
              <w:right w:val="single" w:color="auto" w:sz="6" w:space="0"/>
            </w:tcBorders>
            <w:noWrap w:val="0"/>
          </w:tcPr>
          <w:p w14:paraId="515970A8">
            <w:pPr>
              <w:spacing w:line="360" w:lineRule="auto"/>
              <w:rPr>
                <w:rFonts w:hint="eastAsia" w:ascii="宋体" w:hAnsi="宋体" w:eastAsia="宋体" w:cs="宋体"/>
                <w:color w:val="auto"/>
                <w:sz w:val="21"/>
                <w:szCs w:val="21"/>
                <w:highlight w:val="none"/>
              </w:rPr>
            </w:pPr>
          </w:p>
        </w:tc>
        <w:tc>
          <w:tcPr>
            <w:tcW w:w="917" w:type="dxa"/>
            <w:tcBorders>
              <w:top w:val="single" w:color="auto" w:sz="6" w:space="0"/>
              <w:left w:val="single" w:color="auto" w:sz="6" w:space="0"/>
              <w:bottom w:val="single" w:color="auto" w:sz="6" w:space="0"/>
              <w:right w:val="single" w:color="auto" w:sz="6" w:space="0"/>
            </w:tcBorders>
            <w:noWrap w:val="0"/>
          </w:tcPr>
          <w:p w14:paraId="53D3750A">
            <w:pPr>
              <w:spacing w:line="360" w:lineRule="auto"/>
              <w:rPr>
                <w:rFonts w:hint="eastAsia" w:ascii="宋体" w:hAnsi="宋体" w:eastAsia="宋体" w:cs="宋体"/>
                <w:color w:val="auto"/>
                <w:sz w:val="21"/>
                <w:szCs w:val="21"/>
                <w:highlight w:val="none"/>
              </w:rPr>
            </w:pPr>
          </w:p>
        </w:tc>
        <w:tc>
          <w:tcPr>
            <w:tcW w:w="1464" w:type="dxa"/>
            <w:tcBorders>
              <w:top w:val="single" w:color="auto" w:sz="6" w:space="0"/>
              <w:left w:val="single" w:color="auto" w:sz="6" w:space="0"/>
              <w:bottom w:val="single" w:color="auto" w:sz="6" w:space="0"/>
              <w:right w:val="single" w:color="auto" w:sz="6" w:space="0"/>
            </w:tcBorders>
            <w:noWrap w:val="0"/>
          </w:tcPr>
          <w:p w14:paraId="4AAE4D86">
            <w:pPr>
              <w:spacing w:line="360" w:lineRule="auto"/>
              <w:rPr>
                <w:rFonts w:hint="eastAsia" w:ascii="宋体" w:hAnsi="宋体" w:eastAsia="宋体" w:cs="宋体"/>
                <w:color w:val="auto"/>
                <w:sz w:val="21"/>
                <w:szCs w:val="21"/>
                <w:highlight w:val="none"/>
              </w:rPr>
            </w:pPr>
          </w:p>
        </w:tc>
        <w:tc>
          <w:tcPr>
            <w:tcW w:w="1039" w:type="dxa"/>
            <w:tcBorders>
              <w:top w:val="single" w:color="auto" w:sz="6" w:space="0"/>
              <w:left w:val="single" w:color="auto" w:sz="6" w:space="0"/>
              <w:bottom w:val="single" w:color="auto" w:sz="6" w:space="0"/>
              <w:right w:val="single" w:color="auto" w:sz="6" w:space="0"/>
            </w:tcBorders>
            <w:noWrap w:val="0"/>
          </w:tcPr>
          <w:p w14:paraId="051271C4">
            <w:pPr>
              <w:spacing w:line="360" w:lineRule="auto"/>
              <w:rPr>
                <w:rFonts w:hint="eastAsia" w:ascii="宋体" w:hAnsi="宋体" w:eastAsia="宋体" w:cs="宋体"/>
                <w:color w:val="auto"/>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tcPr>
          <w:p w14:paraId="02F30116">
            <w:pPr>
              <w:spacing w:line="360" w:lineRule="auto"/>
              <w:rPr>
                <w:rFonts w:hint="eastAsia" w:ascii="宋体" w:hAnsi="宋体" w:eastAsia="宋体" w:cs="宋体"/>
                <w:color w:val="auto"/>
                <w:sz w:val="21"/>
                <w:szCs w:val="21"/>
                <w:highlight w:val="none"/>
              </w:rPr>
            </w:pPr>
          </w:p>
        </w:tc>
        <w:tc>
          <w:tcPr>
            <w:tcW w:w="1470" w:type="dxa"/>
            <w:tcBorders>
              <w:top w:val="single" w:color="auto" w:sz="6" w:space="0"/>
              <w:left w:val="single" w:color="auto" w:sz="6" w:space="0"/>
              <w:bottom w:val="single" w:color="auto" w:sz="6" w:space="0"/>
              <w:right w:val="single" w:color="auto" w:sz="6" w:space="0"/>
            </w:tcBorders>
            <w:noWrap w:val="0"/>
          </w:tcPr>
          <w:p w14:paraId="134E230C">
            <w:pPr>
              <w:spacing w:line="360" w:lineRule="auto"/>
              <w:rPr>
                <w:rFonts w:hint="eastAsia" w:ascii="宋体" w:hAnsi="宋体" w:eastAsia="宋体" w:cs="宋体"/>
                <w:color w:val="auto"/>
                <w:sz w:val="21"/>
                <w:szCs w:val="21"/>
                <w:highlight w:val="none"/>
              </w:rPr>
            </w:pPr>
          </w:p>
        </w:tc>
      </w:tr>
    </w:tbl>
    <w:p w14:paraId="00AF7AE2">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color w:val="auto"/>
          <w:sz w:val="21"/>
          <w:szCs w:val="21"/>
          <w:highlight w:val="none"/>
        </w:rPr>
        <w:t>注：供应商可</w:t>
      </w:r>
      <w:r>
        <w:rPr>
          <w:rFonts w:hint="eastAsia" w:ascii="宋体" w:hAnsi="宋体" w:eastAsia="宋体" w:cs="宋体"/>
          <w:b/>
          <w:color w:val="auto"/>
          <w:sz w:val="21"/>
          <w:szCs w:val="21"/>
          <w:highlight w:val="none"/>
          <w:lang w:eastAsia="zh-CN"/>
        </w:rPr>
        <w:t>参照</w:t>
      </w:r>
      <w:r>
        <w:rPr>
          <w:rFonts w:hint="eastAsia" w:ascii="宋体" w:hAnsi="宋体" w:eastAsia="宋体" w:cs="宋体"/>
          <w:b/>
          <w:color w:val="auto"/>
          <w:sz w:val="21"/>
          <w:szCs w:val="21"/>
          <w:highlight w:val="none"/>
        </w:rPr>
        <w:t>上述的格式自行编制，并注明所在</w:t>
      </w:r>
      <w:r>
        <w:rPr>
          <w:rFonts w:hint="eastAsia" w:ascii="宋体" w:hAnsi="宋体" w:eastAsia="宋体" w:cs="宋体"/>
          <w:b/>
          <w:color w:val="auto"/>
          <w:sz w:val="21"/>
          <w:szCs w:val="21"/>
          <w:highlight w:val="none"/>
          <w:lang w:eastAsia="zh-CN"/>
        </w:rPr>
        <w:t>商务</w:t>
      </w:r>
      <w:r>
        <w:rPr>
          <w:rFonts w:hint="eastAsia" w:ascii="宋体" w:hAnsi="宋体" w:eastAsia="宋体" w:cs="宋体"/>
          <w:b/>
          <w:color w:val="auto"/>
          <w:sz w:val="21"/>
          <w:szCs w:val="21"/>
          <w:highlight w:val="none"/>
        </w:rPr>
        <w:t>技术文件页码。</w:t>
      </w:r>
    </w:p>
    <w:p w14:paraId="69D1B964">
      <w:pPr>
        <w:spacing w:line="360" w:lineRule="auto"/>
        <w:ind w:firstLine="602"/>
        <w:rPr>
          <w:rFonts w:hint="eastAsia" w:ascii="宋体" w:hAnsi="宋体" w:eastAsia="宋体" w:cs="宋体"/>
          <w:b/>
          <w:color w:val="auto"/>
          <w:sz w:val="30"/>
          <w:szCs w:val="30"/>
          <w:highlight w:val="none"/>
        </w:rPr>
      </w:pPr>
    </w:p>
    <w:p w14:paraId="191118E3">
      <w:pPr>
        <w:spacing w:line="360" w:lineRule="auto"/>
        <w:ind w:firstLine="6505"/>
        <w:rPr>
          <w:rFonts w:hint="eastAsia" w:ascii="宋体" w:hAnsi="宋体" w:eastAsia="宋体" w:cs="宋体"/>
          <w:b/>
          <w:bCs/>
          <w:color w:val="auto"/>
          <w:sz w:val="24"/>
          <w:szCs w:val="24"/>
          <w:highlight w:val="none"/>
        </w:rPr>
      </w:pPr>
    </w:p>
    <w:p w14:paraId="44CFCC03">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16AE0F0D">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0BC5725D">
      <w:pPr>
        <w:spacing w:line="500" w:lineRule="exact"/>
        <w:rPr>
          <w:rFonts w:hint="eastAsia" w:ascii="宋体" w:hAnsi="宋体" w:eastAsia="宋体" w:cs="宋体"/>
          <w:color w:val="auto"/>
          <w:sz w:val="32"/>
          <w:szCs w:val="32"/>
          <w:highlight w:val="none"/>
        </w:rPr>
      </w:pPr>
    </w:p>
    <w:p w14:paraId="0696C5A2">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bookmarkStart w:id="151" w:name="_Toc13020"/>
      <w:bookmarkStart w:id="152" w:name="_Toc80205941"/>
      <w:bookmarkStart w:id="153" w:name="_Toc17296"/>
      <w:r>
        <w:rPr>
          <w:rFonts w:hint="eastAsia" w:ascii="宋体" w:hAnsi="宋体" w:eastAsia="宋体" w:cs="宋体"/>
          <w:b/>
          <w:bCs/>
          <w:color w:val="auto"/>
          <w:sz w:val="32"/>
          <w:szCs w:val="32"/>
          <w:highlight w:val="none"/>
          <w:lang w:val="zh-CN" w:eastAsia="zh-CN"/>
        </w:rPr>
        <w:t>第三节 报价文件格式</w:t>
      </w:r>
      <w:bookmarkEnd w:id="151"/>
      <w:bookmarkEnd w:id="152"/>
      <w:bookmarkEnd w:id="153"/>
    </w:p>
    <w:p w14:paraId="1113E81B">
      <w:pPr>
        <w:pStyle w:val="29"/>
        <w:rPr>
          <w:rFonts w:hint="eastAsia" w:ascii="宋体" w:hAnsi="宋体" w:eastAsia="宋体" w:cs="宋体"/>
          <w:color w:val="auto"/>
          <w:highlight w:val="none"/>
          <w:lang w:val="zh-CN" w:eastAsia="zh-CN"/>
        </w:rPr>
      </w:pPr>
    </w:p>
    <w:p w14:paraId="2A27A3E3">
      <w:pPr>
        <w:pStyle w:val="29"/>
        <w:rPr>
          <w:rFonts w:hint="eastAsia" w:ascii="宋体" w:hAnsi="宋体" w:eastAsia="宋体" w:cs="宋体"/>
          <w:color w:val="auto"/>
          <w:highlight w:val="none"/>
          <w:lang w:val="zh-CN" w:eastAsia="zh-CN"/>
        </w:rPr>
      </w:pPr>
      <w:r>
        <w:rPr>
          <w:rFonts w:hint="eastAsia" w:ascii="宋体" w:hAnsi="宋体" w:eastAsia="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报价文件</w:t>
      </w:r>
      <w:r>
        <w:rPr>
          <w:rFonts w:hint="eastAsia" w:ascii="宋体" w:hAnsi="宋体" w:eastAsia="宋体" w:cs="宋体"/>
          <w:b/>
          <w:bCs/>
          <w:color w:val="auto"/>
          <w:sz w:val="28"/>
          <w:szCs w:val="28"/>
          <w:highlight w:val="none"/>
          <w:lang w:eastAsia="zh-CN"/>
        </w:rPr>
        <w:t>封面的格式</w:t>
      </w:r>
      <w:r>
        <w:rPr>
          <w:rFonts w:hint="eastAsia" w:ascii="宋体" w:hAnsi="宋体" w:eastAsia="宋体" w:cs="宋体"/>
          <w:b/>
          <w:color w:val="auto"/>
          <w:sz w:val="28"/>
          <w:szCs w:val="28"/>
          <w:highlight w:val="none"/>
        </w:rPr>
        <w:t>（参照此格式自拟）</w:t>
      </w:r>
      <w:r>
        <w:rPr>
          <w:rFonts w:hint="eastAsia" w:ascii="宋体" w:hAnsi="宋体" w:eastAsia="宋体" w:cs="宋体"/>
          <w:b/>
          <w:bCs/>
          <w:color w:val="auto"/>
          <w:sz w:val="28"/>
          <w:szCs w:val="28"/>
          <w:highlight w:val="none"/>
          <w:lang w:eastAsia="zh-CN"/>
        </w:rPr>
        <w:t>：</w:t>
      </w:r>
    </w:p>
    <w:p w14:paraId="6F42AE95">
      <w:pPr>
        <w:spacing w:before="165" w:after="50"/>
        <w:rPr>
          <w:rFonts w:hint="eastAsia" w:ascii="宋体" w:hAnsi="宋体" w:eastAsia="宋体" w:cs="宋体"/>
          <w:bCs/>
          <w:color w:val="auto"/>
          <w:sz w:val="32"/>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Cs w:val="24"/>
          <w:highlight w:val="none"/>
        </w:rPr>
        <w:t>全流程电子文件</w:t>
      </w:r>
    </w:p>
    <w:p w14:paraId="668F4C2E">
      <w:pPr>
        <w:spacing w:before="165" w:after="50"/>
        <w:rPr>
          <w:rFonts w:hint="eastAsia" w:ascii="宋体" w:hAnsi="宋体" w:eastAsia="宋体" w:cs="宋体"/>
          <w:color w:val="auto"/>
          <w:sz w:val="24"/>
          <w:szCs w:val="20"/>
          <w:highlight w:val="none"/>
        </w:rPr>
      </w:pPr>
    </w:p>
    <w:p w14:paraId="379A4D19">
      <w:pPr>
        <w:spacing w:before="165" w:after="50"/>
        <w:rPr>
          <w:rFonts w:hint="eastAsia" w:ascii="宋体" w:hAnsi="宋体" w:eastAsia="宋体" w:cs="宋体"/>
          <w:color w:val="auto"/>
          <w:sz w:val="24"/>
          <w:szCs w:val="20"/>
          <w:highlight w:val="none"/>
        </w:rPr>
      </w:pPr>
    </w:p>
    <w:p w14:paraId="6252E115">
      <w:pPr>
        <w:spacing w:before="165" w:after="50"/>
        <w:rPr>
          <w:rFonts w:hint="eastAsia" w:ascii="宋体" w:hAnsi="宋体" w:eastAsia="宋体" w:cs="宋体"/>
          <w:color w:val="auto"/>
          <w:sz w:val="24"/>
          <w:szCs w:val="20"/>
          <w:highlight w:val="none"/>
        </w:rPr>
      </w:pPr>
    </w:p>
    <w:p w14:paraId="0013A1B3">
      <w:pPr>
        <w:spacing w:before="165"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w:t>
      </w:r>
    </w:p>
    <w:p w14:paraId="5DF5D781">
      <w:pPr>
        <w:spacing w:before="165" w:after="50"/>
        <w:rPr>
          <w:rFonts w:hint="eastAsia" w:ascii="宋体" w:hAnsi="宋体" w:eastAsia="宋体" w:cs="宋体"/>
          <w:bCs/>
          <w:color w:val="auto"/>
          <w:sz w:val="24"/>
          <w:szCs w:val="20"/>
          <w:highlight w:val="none"/>
        </w:rPr>
      </w:pPr>
    </w:p>
    <w:p w14:paraId="63C9F7F9">
      <w:pPr>
        <w:spacing w:before="165" w:after="50"/>
        <w:rPr>
          <w:rFonts w:hint="eastAsia" w:ascii="宋体" w:hAnsi="宋体" w:eastAsia="宋体" w:cs="宋体"/>
          <w:bCs/>
          <w:color w:val="auto"/>
          <w:sz w:val="24"/>
          <w:szCs w:val="20"/>
          <w:highlight w:val="none"/>
        </w:rPr>
      </w:pPr>
    </w:p>
    <w:p w14:paraId="672D3B1C">
      <w:pPr>
        <w:spacing w:before="165" w:after="50"/>
        <w:rPr>
          <w:rFonts w:hint="eastAsia" w:ascii="宋体" w:hAnsi="宋体" w:eastAsia="宋体" w:cs="宋体"/>
          <w:bCs/>
          <w:color w:val="auto"/>
          <w:sz w:val="24"/>
          <w:szCs w:val="20"/>
          <w:highlight w:val="none"/>
        </w:rPr>
      </w:pPr>
    </w:p>
    <w:p w14:paraId="6CCF9F47">
      <w:pPr>
        <w:spacing w:before="165" w:after="50"/>
        <w:rPr>
          <w:rFonts w:hint="eastAsia" w:ascii="宋体" w:hAnsi="宋体" w:eastAsia="宋体" w:cs="宋体"/>
          <w:bCs/>
          <w:color w:val="auto"/>
          <w:sz w:val="24"/>
          <w:szCs w:val="20"/>
          <w:highlight w:val="none"/>
        </w:rPr>
      </w:pPr>
    </w:p>
    <w:p w14:paraId="23A9B821">
      <w:pPr>
        <w:spacing w:before="165" w:after="50"/>
        <w:rPr>
          <w:rFonts w:hint="eastAsia" w:ascii="宋体" w:hAnsi="宋体" w:eastAsia="宋体" w:cs="宋体"/>
          <w:bCs/>
          <w:color w:val="auto"/>
          <w:sz w:val="24"/>
          <w:szCs w:val="20"/>
          <w:highlight w:val="none"/>
        </w:rPr>
      </w:pPr>
    </w:p>
    <w:p w14:paraId="43EFDDFE">
      <w:pPr>
        <w:spacing w:before="165"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2A114534">
      <w:pPr>
        <w:spacing w:before="165" w:after="50"/>
        <w:ind w:firstLine="720"/>
        <w:rPr>
          <w:rFonts w:hint="eastAsia" w:ascii="宋体" w:hAnsi="宋体" w:eastAsia="宋体" w:cs="宋体"/>
          <w:bCs/>
          <w:color w:val="auto"/>
          <w:sz w:val="32"/>
          <w:szCs w:val="32"/>
          <w:highlight w:val="none"/>
        </w:rPr>
      </w:pPr>
    </w:p>
    <w:p w14:paraId="503BF2F6">
      <w:pPr>
        <w:spacing w:before="165"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05BB6402">
      <w:pPr>
        <w:spacing w:before="165"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3811AD59">
      <w:pPr>
        <w:spacing w:before="165"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120391E7">
      <w:pPr>
        <w:spacing w:before="165" w:after="50"/>
        <w:ind w:firstLine="720"/>
        <w:rPr>
          <w:rFonts w:hint="eastAsia" w:ascii="宋体" w:hAnsi="宋体" w:eastAsia="宋体" w:cs="宋体"/>
          <w:bCs/>
          <w:color w:val="auto"/>
          <w:sz w:val="32"/>
          <w:szCs w:val="32"/>
          <w:highlight w:val="none"/>
        </w:rPr>
      </w:pPr>
    </w:p>
    <w:p w14:paraId="00E0F526">
      <w:pPr>
        <w:spacing w:before="50"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D001521">
      <w:pPr>
        <w:spacing w:before="50" w:after="50"/>
        <w:ind w:firstLine="720"/>
        <w:rPr>
          <w:rFonts w:hint="eastAsia" w:ascii="宋体" w:hAnsi="宋体" w:eastAsia="宋体" w:cs="宋体"/>
          <w:bCs/>
          <w:color w:val="auto"/>
          <w:sz w:val="32"/>
          <w:szCs w:val="32"/>
          <w:highlight w:val="none"/>
        </w:rPr>
      </w:pPr>
    </w:p>
    <w:p w14:paraId="14B739D4">
      <w:pPr>
        <w:spacing w:before="50" w:after="50"/>
        <w:ind w:firstLine="720"/>
        <w:rPr>
          <w:rFonts w:hint="eastAsia" w:ascii="宋体" w:hAnsi="宋体" w:eastAsia="宋体" w:cs="宋体"/>
          <w:bCs/>
          <w:color w:val="auto"/>
          <w:sz w:val="32"/>
          <w:szCs w:val="32"/>
          <w:highlight w:val="none"/>
        </w:rPr>
      </w:pPr>
    </w:p>
    <w:p w14:paraId="27CAA4D2">
      <w:pPr>
        <w:spacing w:before="50" w:after="50"/>
        <w:ind w:firstLine="1280"/>
        <w:rPr>
          <w:rFonts w:hint="eastAsia" w:ascii="宋体" w:hAnsi="宋体" w:eastAsia="宋体" w:cs="宋体"/>
          <w:bCs/>
          <w:color w:val="auto"/>
          <w:sz w:val="32"/>
          <w:szCs w:val="32"/>
          <w:highlight w:val="none"/>
        </w:rPr>
      </w:pPr>
    </w:p>
    <w:p w14:paraId="64C1280F">
      <w:pPr>
        <w:spacing w:before="165"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5D41E8A4">
      <w:pPr>
        <w:spacing w:before="120" w:after="50" w:line="360" w:lineRule="auto"/>
        <w:jc w:val="left"/>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br w:type="page" w:clear="all"/>
      </w:r>
      <w:r>
        <w:rPr>
          <w:rFonts w:hint="eastAsia" w:ascii="宋体" w:hAnsi="宋体" w:eastAsia="宋体" w:cs="宋体"/>
          <w:b/>
          <w:color w:val="auto"/>
          <w:sz w:val="28"/>
          <w:szCs w:val="28"/>
          <w:highlight w:val="none"/>
          <w:lang w:val="en-US"/>
        </w:rPr>
        <w:t>2</w:t>
      </w:r>
      <w:r>
        <w:rPr>
          <w:rFonts w:hint="eastAsia" w:ascii="宋体" w:hAnsi="宋体" w:eastAsia="宋体" w:cs="宋体"/>
          <w:b/>
          <w:color w:val="auto"/>
          <w:sz w:val="28"/>
          <w:szCs w:val="28"/>
          <w:highlight w:val="none"/>
        </w:rPr>
        <w:t>.</w:t>
      </w:r>
      <w:r>
        <w:rPr>
          <w:rFonts w:hint="eastAsia" w:ascii="宋体" w:hAnsi="宋体" w:eastAsia="宋体" w:cs="宋体"/>
          <w:b/>
          <w:bCs/>
          <w:color w:val="auto"/>
          <w:sz w:val="28"/>
          <w:szCs w:val="28"/>
          <w:highlight w:val="none"/>
        </w:rPr>
        <w:t>报价文件目录</w:t>
      </w:r>
    </w:p>
    <w:p w14:paraId="5B6F34BF">
      <w:pPr>
        <w:spacing w:before="50" w:after="120" w:line="360" w:lineRule="auto"/>
        <w:jc w:val="left"/>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eastAsia="宋体" w:cs="宋体"/>
          <w:color w:val="auto"/>
          <w:sz w:val="28"/>
          <w:szCs w:val="28"/>
          <w:highlight w:val="none"/>
          <w:lang w:eastAsia="zh-CN"/>
        </w:rPr>
        <w:t>竞争性谈判</w:t>
      </w:r>
      <w:r>
        <w:rPr>
          <w:rFonts w:hint="eastAsia" w:ascii="宋体" w:hAnsi="宋体" w:eastAsia="宋体" w:cs="宋体"/>
          <w:color w:val="auto"/>
          <w:sz w:val="28"/>
          <w:szCs w:val="28"/>
          <w:highlight w:val="none"/>
        </w:rPr>
        <w:t>文件规定及</w:t>
      </w: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提供的材料自行编写目录（部分格式后附）。</w:t>
      </w:r>
    </w:p>
    <w:p w14:paraId="65257015">
      <w:pPr>
        <w:spacing w:line="360" w:lineRule="auto"/>
        <w:rPr>
          <w:rFonts w:hint="eastAsia" w:ascii="宋体" w:hAnsi="宋体" w:eastAsia="宋体" w:cs="宋体"/>
          <w:b/>
          <w:bCs/>
          <w:i/>
          <w:iCs/>
          <w:color w:val="auto"/>
          <w:sz w:val="24"/>
          <w:szCs w:val="24"/>
          <w:highlight w:val="none"/>
          <w:lang w:eastAsia="zh-CN"/>
        </w:rPr>
      </w:pPr>
    </w:p>
    <w:p w14:paraId="6FA57D52">
      <w:pPr>
        <w:spacing w:before="165" w:after="50" w:line="360" w:lineRule="auto"/>
        <w:ind w:left="142" w:firstLine="640"/>
        <w:jc w:val="left"/>
        <w:rPr>
          <w:rFonts w:hint="eastAsia" w:ascii="宋体" w:hAnsi="宋体" w:eastAsia="宋体" w:cs="宋体"/>
          <w:color w:val="auto"/>
          <w:sz w:val="32"/>
          <w:szCs w:val="32"/>
          <w:highlight w:val="none"/>
        </w:rPr>
      </w:pPr>
    </w:p>
    <w:p w14:paraId="58620E42">
      <w:pPr>
        <w:spacing w:line="500" w:lineRule="exact"/>
        <w:ind w:firstLine="0"/>
        <w:rPr>
          <w:rFonts w:hint="eastAsia" w:ascii="宋体" w:hAnsi="宋体" w:eastAsia="宋体" w:cs="宋体"/>
          <w:color w:val="auto"/>
          <w:sz w:val="24"/>
          <w:szCs w:val="21"/>
          <w:highlight w:val="none"/>
          <w:lang w:val="zh-CN" w:eastAsia="zh-CN"/>
        </w:rPr>
      </w:pPr>
      <w:r>
        <w:rPr>
          <w:rFonts w:hint="eastAsia" w:ascii="宋体" w:hAnsi="宋体" w:eastAsia="宋体" w:cs="宋体"/>
          <w:color w:val="auto"/>
          <w:sz w:val="24"/>
          <w:szCs w:val="21"/>
          <w:highlight w:val="none"/>
          <w:lang w:val="zh-CN" w:eastAsia="zh-CN"/>
        </w:rPr>
        <w:br w:type="page" w:clear="all"/>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lang w:val="zh-CN" w:eastAsia="zh-CN"/>
        </w:rPr>
        <w:t>响应函的格式：</w:t>
      </w:r>
    </w:p>
    <w:p w14:paraId="0A5A3E8E">
      <w:pPr>
        <w:spacing w:line="500" w:lineRule="exact"/>
        <w:jc w:val="center"/>
        <w:rPr>
          <w:rFonts w:hint="eastAsia" w:ascii="宋体" w:hAnsi="宋体" w:eastAsia="宋体" w:cs="宋体"/>
          <w:b/>
          <w:bCs/>
          <w:color w:val="auto"/>
          <w:sz w:val="30"/>
          <w:szCs w:val="30"/>
          <w:highlight w:val="none"/>
          <w:lang w:val="zh-CN" w:eastAsia="zh-CN"/>
        </w:rPr>
      </w:pPr>
      <w:r>
        <w:rPr>
          <w:rFonts w:hint="eastAsia" w:ascii="宋体" w:hAnsi="宋体" w:eastAsia="宋体" w:cs="宋体"/>
          <w:b/>
          <w:bCs/>
          <w:color w:val="auto"/>
          <w:sz w:val="30"/>
          <w:szCs w:val="30"/>
          <w:highlight w:val="none"/>
          <w:lang w:val="zh-CN" w:eastAsia="zh-CN"/>
        </w:rPr>
        <w:t>响应函</w:t>
      </w:r>
    </w:p>
    <w:p w14:paraId="1ED854D3">
      <w:pPr>
        <w:spacing w:line="360" w:lineRule="auto"/>
        <w:rPr>
          <w:rFonts w:hint="eastAsia" w:ascii="宋体" w:hAnsi="宋体" w:eastAsia="宋体" w:cs="宋体"/>
          <w:color w:val="auto"/>
          <w:sz w:val="20"/>
          <w:szCs w:val="21"/>
          <w:highlight w:val="none"/>
          <w:lang w:val="zh-CN" w:eastAsia="zh-CN"/>
        </w:rPr>
      </w:pPr>
    </w:p>
    <w:p w14:paraId="0B9DC527">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eastAsia="zh-CN"/>
        </w:rPr>
        <w:t>致：</w:t>
      </w:r>
      <w:r>
        <w:rPr>
          <w:rFonts w:hint="eastAsia" w:ascii="宋体" w:hAnsi="宋体" w:eastAsia="宋体" w:cs="宋体"/>
          <w:color w:val="auto"/>
          <w:sz w:val="21"/>
          <w:szCs w:val="21"/>
          <w:highlight w:val="none"/>
          <w:u w:val="single"/>
          <w:lang w:val="zh-CN" w:eastAsia="zh-CN"/>
        </w:rPr>
        <w:t xml:space="preserve"> </w:t>
      </w:r>
      <w:bookmarkStart w:id="154" w:name="PO_3000001871_PM031_6"/>
      <w:r>
        <w:rPr>
          <w:rFonts w:hint="eastAsia" w:ascii="宋体" w:hAnsi="宋体" w:eastAsia="宋体" w:cs="宋体"/>
          <w:color w:val="auto"/>
          <w:sz w:val="21"/>
          <w:szCs w:val="21"/>
          <w:highlight w:val="none"/>
          <w:u w:val="single"/>
          <w:lang w:val="en-US"/>
        </w:rPr>
        <w:t>广西科联招标中心有限公司</w:t>
      </w:r>
      <w:bookmarkEnd w:id="154"/>
      <w:r>
        <w:rPr>
          <w:rFonts w:hint="eastAsia" w:ascii="宋体" w:hAnsi="宋体" w:eastAsia="宋体" w:cs="宋体"/>
          <w:color w:val="auto"/>
          <w:sz w:val="21"/>
          <w:szCs w:val="21"/>
          <w:highlight w:val="none"/>
          <w:u w:val="single"/>
          <w:lang w:val="en-US" w:eastAsia="zh-CN"/>
        </w:rPr>
        <w:t xml:space="preserve">         </w:t>
      </w:r>
    </w:p>
    <w:p w14:paraId="35305745">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我方已仔细阅读了贵方组织的</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eastAsia="zh-CN"/>
        </w:rPr>
        <w:t>项目（项目编号：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zh-CN" w:eastAsia="zh-CN"/>
        </w:rPr>
        <w:t>）的竞争性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 xml:space="preserve">文件的全部内容，现正式提交下述文件参加贵方组织的本次政府采购活动： </w:t>
      </w:r>
    </w:p>
    <w:p w14:paraId="24239BDF">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一、首次报价文件</w:t>
      </w:r>
      <w:r>
        <w:rPr>
          <w:rFonts w:hint="eastAsia" w:ascii="宋体" w:hAnsi="宋体" w:eastAsia="宋体" w:cs="宋体"/>
          <w:color w:val="auto"/>
          <w:sz w:val="21"/>
          <w:szCs w:val="21"/>
          <w:highlight w:val="none"/>
          <w:lang w:val="zh-CN"/>
        </w:rPr>
        <w:t>电子版</w:t>
      </w:r>
      <w:r>
        <w:rPr>
          <w:rFonts w:hint="eastAsia" w:ascii="宋体" w:hAnsi="宋体" w:eastAsia="宋体" w:cs="宋体"/>
          <w:color w:val="auto"/>
          <w:sz w:val="21"/>
          <w:szCs w:val="21"/>
          <w:highlight w:val="none"/>
          <w:lang w:val="zh-CN" w:eastAsia="zh-CN"/>
        </w:rPr>
        <w:t>（包含按</w:t>
      </w:r>
      <w:r>
        <w:rPr>
          <w:rFonts w:hint="eastAsia" w:ascii="宋体" w:hAnsi="宋体" w:eastAsia="宋体" w:cs="宋体"/>
          <w:color w:val="auto"/>
          <w:sz w:val="21"/>
          <w:szCs w:val="21"/>
          <w:highlight w:val="none"/>
          <w:lang w:val="zh-CN"/>
        </w:rPr>
        <w:t>“第三章 供应商须知”</w:t>
      </w:r>
      <w:r>
        <w:rPr>
          <w:rFonts w:hint="eastAsia" w:ascii="宋体" w:hAnsi="宋体" w:eastAsia="宋体" w:cs="宋体"/>
          <w:color w:val="auto"/>
          <w:sz w:val="21"/>
          <w:szCs w:val="21"/>
          <w:highlight w:val="none"/>
          <w:lang w:val="zh-CN" w:eastAsia="zh-CN"/>
        </w:rPr>
        <w:t>提交的全部文件）；</w:t>
      </w:r>
    </w:p>
    <w:p w14:paraId="76885958">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二、商务技术文件</w:t>
      </w:r>
      <w:r>
        <w:rPr>
          <w:rFonts w:hint="eastAsia" w:ascii="宋体" w:hAnsi="宋体" w:eastAsia="宋体" w:cs="宋体"/>
          <w:color w:val="auto"/>
          <w:sz w:val="21"/>
          <w:szCs w:val="21"/>
          <w:highlight w:val="none"/>
          <w:lang w:val="zh-CN"/>
        </w:rPr>
        <w:t>电子版</w:t>
      </w:r>
      <w:r>
        <w:rPr>
          <w:rFonts w:hint="eastAsia" w:ascii="宋体" w:hAnsi="宋体" w:eastAsia="宋体" w:cs="宋体"/>
          <w:color w:val="auto"/>
          <w:sz w:val="21"/>
          <w:szCs w:val="21"/>
          <w:highlight w:val="none"/>
          <w:lang w:val="zh-CN" w:eastAsia="zh-CN"/>
        </w:rPr>
        <w:t>（包含按</w:t>
      </w:r>
      <w:r>
        <w:rPr>
          <w:rFonts w:hint="eastAsia" w:ascii="宋体" w:hAnsi="宋体" w:eastAsia="宋体" w:cs="宋体"/>
          <w:color w:val="auto"/>
          <w:sz w:val="21"/>
          <w:szCs w:val="21"/>
          <w:highlight w:val="none"/>
          <w:lang w:val="zh-CN"/>
        </w:rPr>
        <w:t>“第三章 供应商须知”</w:t>
      </w:r>
      <w:r>
        <w:rPr>
          <w:rFonts w:hint="eastAsia" w:ascii="宋体" w:hAnsi="宋体" w:eastAsia="宋体" w:cs="宋体"/>
          <w:color w:val="auto"/>
          <w:sz w:val="21"/>
          <w:szCs w:val="21"/>
          <w:highlight w:val="none"/>
          <w:lang w:val="zh-CN" w:eastAsia="zh-CN"/>
        </w:rPr>
        <w:t>提交的全部文件）；</w:t>
      </w:r>
    </w:p>
    <w:p w14:paraId="7A0C4256">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三、资格文件电子版（包含按“第三章供应商须知”提交的全部文件）。</w:t>
      </w:r>
    </w:p>
    <w:p w14:paraId="5AA96B7C">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据此函，</w:t>
      </w:r>
      <w:r>
        <w:rPr>
          <w:rFonts w:hint="eastAsia" w:ascii="宋体" w:hAnsi="宋体" w:eastAsia="宋体" w:cs="宋体"/>
          <w:color w:val="auto"/>
          <w:sz w:val="21"/>
          <w:szCs w:val="21"/>
          <w:highlight w:val="none"/>
          <w:lang w:val="en-US" w:eastAsia="zh-CN"/>
        </w:rPr>
        <w:t>我方</w:t>
      </w:r>
      <w:r>
        <w:rPr>
          <w:rFonts w:hint="eastAsia" w:ascii="宋体" w:hAnsi="宋体" w:eastAsia="宋体" w:cs="宋体"/>
          <w:color w:val="auto"/>
          <w:sz w:val="21"/>
          <w:szCs w:val="21"/>
          <w:highlight w:val="none"/>
          <w:lang w:val="zh-CN" w:eastAsia="zh-CN"/>
        </w:rPr>
        <w:t>兹宣布：</w:t>
      </w:r>
    </w:p>
    <w:p w14:paraId="0DDFB15D">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1、我方愿意以</w:t>
      </w:r>
      <w:r>
        <w:rPr>
          <w:rFonts w:hint="eastAsia" w:ascii="宋体" w:hAnsi="宋体" w:eastAsia="宋体" w:cs="宋体"/>
          <w:color w:val="auto"/>
          <w:sz w:val="21"/>
          <w:szCs w:val="21"/>
          <w:highlight w:val="none"/>
          <w:lang w:eastAsia="zh-CN"/>
        </w:rPr>
        <w:t>竞标总</w:t>
      </w: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zh-CN" w:eastAsia="zh-CN"/>
        </w:rPr>
        <w:t>，提供本项目竞争性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文件“第</w:t>
      </w:r>
      <w:r>
        <w:rPr>
          <w:rFonts w:hint="eastAsia" w:ascii="宋体" w:hAnsi="宋体" w:eastAsia="宋体" w:cs="宋体"/>
          <w:color w:val="auto"/>
          <w:sz w:val="21"/>
          <w:szCs w:val="21"/>
          <w:highlight w:val="none"/>
          <w:lang w:val="zh-CN"/>
        </w:rPr>
        <w:t>二</w:t>
      </w:r>
      <w:r>
        <w:rPr>
          <w:rFonts w:hint="eastAsia" w:ascii="宋体" w:hAnsi="宋体" w:eastAsia="宋体" w:cs="宋体"/>
          <w:color w:val="auto"/>
          <w:sz w:val="21"/>
          <w:szCs w:val="21"/>
          <w:highlight w:val="none"/>
          <w:lang w:val="zh-CN" w:eastAsia="zh-CN"/>
        </w:rPr>
        <w:t>章</w:t>
      </w:r>
      <w:r>
        <w:rPr>
          <w:rFonts w:hint="eastAsia" w:ascii="宋体" w:hAnsi="宋体" w:eastAsia="宋体" w:cs="宋体"/>
          <w:color w:val="auto"/>
          <w:sz w:val="21"/>
          <w:szCs w:val="21"/>
          <w:highlight w:val="none"/>
          <w:lang w:val="en-US" w:eastAsia="zh-CN"/>
        </w:rPr>
        <w:t xml:space="preserve">  采购需求</w:t>
      </w:r>
      <w:r>
        <w:rPr>
          <w:rFonts w:hint="eastAsia" w:ascii="宋体" w:hAnsi="宋体" w:eastAsia="宋体" w:cs="宋体"/>
          <w:color w:val="auto"/>
          <w:sz w:val="21"/>
          <w:szCs w:val="21"/>
          <w:highlight w:val="none"/>
          <w:lang w:val="zh-CN" w:eastAsia="zh-CN"/>
        </w:rPr>
        <w:t>”的“需求一览表”中相应的采购内容</w:t>
      </w:r>
      <w:r>
        <w:rPr>
          <w:rFonts w:hint="eastAsia" w:ascii="宋体" w:hAnsi="宋体" w:eastAsia="宋体" w:cs="宋体"/>
          <w:color w:val="auto"/>
          <w:sz w:val="21"/>
          <w:szCs w:val="21"/>
          <w:highlight w:val="none"/>
          <w:lang w:eastAsia="zh-CN"/>
        </w:rPr>
        <w:t>，具体详见最后报价表</w:t>
      </w:r>
      <w:r>
        <w:rPr>
          <w:rFonts w:hint="eastAsia" w:ascii="宋体" w:hAnsi="宋体" w:eastAsia="宋体" w:cs="宋体"/>
          <w:color w:val="auto"/>
          <w:sz w:val="21"/>
          <w:szCs w:val="21"/>
          <w:highlight w:val="none"/>
          <w:lang w:val="zh-CN" w:eastAsia="zh-CN"/>
        </w:rPr>
        <w:t>。</w:t>
      </w:r>
    </w:p>
    <w:p w14:paraId="2806F22B">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2、我方同意自本项目竞争性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w:t>
      </w:r>
      <w:r>
        <w:rPr>
          <w:rFonts w:hint="eastAsia" w:ascii="宋体" w:hAnsi="宋体" w:eastAsia="宋体" w:cs="宋体"/>
          <w:color w:val="auto"/>
          <w:sz w:val="21"/>
          <w:szCs w:val="21"/>
          <w:highlight w:val="none"/>
          <w:lang w:val="zh-CN"/>
        </w:rPr>
        <w:t>采购公告</w:t>
      </w:r>
      <w:r>
        <w:rPr>
          <w:rFonts w:hint="eastAsia" w:ascii="宋体" w:hAnsi="宋体" w:eastAsia="宋体" w:cs="宋体"/>
          <w:color w:val="auto"/>
          <w:sz w:val="21"/>
          <w:szCs w:val="21"/>
          <w:highlight w:val="none"/>
          <w:lang w:val="zh-CN" w:eastAsia="zh-CN"/>
        </w:rPr>
        <w:t>规定的提交响应文件截止时间起遵循本响应函，并承诺在</w:t>
      </w:r>
      <w:r>
        <w:rPr>
          <w:rFonts w:hint="eastAsia" w:ascii="宋体" w:hAnsi="宋体" w:eastAsia="宋体" w:cs="宋体"/>
          <w:color w:val="auto"/>
          <w:sz w:val="21"/>
          <w:szCs w:val="21"/>
          <w:highlight w:val="none"/>
          <w:lang w:val="zh-CN"/>
        </w:rPr>
        <w:t>“第三章 供应商须知”</w:t>
      </w:r>
      <w:r>
        <w:rPr>
          <w:rFonts w:hint="eastAsia" w:ascii="宋体" w:hAnsi="宋体" w:eastAsia="宋体" w:cs="宋体"/>
          <w:color w:val="auto"/>
          <w:sz w:val="21"/>
          <w:szCs w:val="21"/>
          <w:highlight w:val="none"/>
          <w:lang w:val="zh-CN" w:eastAsia="zh-CN"/>
        </w:rPr>
        <w:t>规定的</w:t>
      </w:r>
      <w:r>
        <w:rPr>
          <w:rFonts w:hint="eastAsia" w:ascii="宋体" w:hAnsi="宋体" w:eastAsia="宋体" w:cs="宋体"/>
          <w:color w:val="auto"/>
          <w:sz w:val="21"/>
          <w:szCs w:val="21"/>
          <w:highlight w:val="none"/>
          <w:lang w:val="en-US" w:eastAsia="zh-CN"/>
        </w:rPr>
        <w:t>竞标</w:t>
      </w:r>
      <w:r>
        <w:rPr>
          <w:rFonts w:hint="eastAsia" w:ascii="宋体" w:hAnsi="宋体" w:eastAsia="宋体" w:cs="宋体"/>
          <w:color w:val="auto"/>
          <w:sz w:val="21"/>
          <w:szCs w:val="21"/>
          <w:highlight w:val="none"/>
          <w:lang w:val="zh-CN" w:eastAsia="zh-CN"/>
        </w:rPr>
        <w:t>有效期内不修改、撤销</w:t>
      </w:r>
      <w:r>
        <w:rPr>
          <w:rFonts w:hint="eastAsia" w:ascii="宋体" w:hAnsi="宋体" w:eastAsia="宋体" w:cs="宋体"/>
          <w:color w:val="auto"/>
          <w:sz w:val="21"/>
          <w:szCs w:val="21"/>
          <w:highlight w:val="none"/>
          <w:lang w:val="zh-CN"/>
        </w:rPr>
        <w:t>响应</w:t>
      </w:r>
      <w:r>
        <w:rPr>
          <w:rFonts w:hint="eastAsia" w:ascii="宋体" w:hAnsi="宋体" w:eastAsia="宋体" w:cs="宋体"/>
          <w:color w:val="auto"/>
          <w:sz w:val="21"/>
          <w:szCs w:val="21"/>
          <w:highlight w:val="none"/>
          <w:lang w:val="zh-CN" w:eastAsia="zh-CN"/>
        </w:rPr>
        <w:t>文件。</w:t>
      </w:r>
    </w:p>
    <w:p w14:paraId="0C31A238">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3、我方在此声明，所提交的</w:t>
      </w:r>
      <w:r>
        <w:rPr>
          <w:rFonts w:hint="eastAsia" w:ascii="宋体" w:hAnsi="宋体" w:eastAsia="宋体" w:cs="宋体"/>
          <w:color w:val="auto"/>
          <w:sz w:val="21"/>
          <w:szCs w:val="21"/>
          <w:highlight w:val="none"/>
          <w:lang w:val="zh-CN"/>
        </w:rPr>
        <w:t>响应</w:t>
      </w:r>
      <w:r>
        <w:rPr>
          <w:rFonts w:hint="eastAsia" w:ascii="宋体" w:hAnsi="宋体" w:eastAsia="宋体" w:cs="宋体"/>
          <w:color w:val="auto"/>
          <w:sz w:val="21"/>
          <w:szCs w:val="21"/>
          <w:highlight w:val="none"/>
          <w:lang w:val="zh-CN" w:eastAsia="zh-CN"/>
        </w:rPr>
        <w:t>文件及有关资料内容完整、真实和准确。</w:t>
      </w:r>
    </w:p>
    <w:p w14:paraId="3DF664D6">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4、如本项目采购内容涉及须符合国家强制规定的，我方承诺我方本次竞标均符合国家有关强制规定。</w:t>
      </w:r>
    </w:p>
    <w:p w14:paraId="285F1BB3">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5</w:t>
      </w:r>
      <w:r>
        <w:rPr>
          <w:rFonts w:hint="eastAsia" w:ascii="宋体" w:hAnsi="宋体" w:eastAsia="宋体" w:cs="宋体"/>
          <w:color w:val="auto"/>
          <w:sz w:val="21"/>
          <w:szCs w:val="21"/>
          <w:highlight w:val="none"/>
          <w:lang w:val="zh-CN" w:eastAsia="zh-CN"/>
        </w:rPr>
        <w:t>、如我方成交，我方承诺在收到成交通知书后，在成交通知书规定的期限内，根据竞争性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文件、我方的</w:t>
      </w:r>
      <w:r>
        <w:rPr>
          <w:rFonts w:hint="eastAsia" w:ascii="宋体" w:hAnsi="宋体" w:eastAsia="宋体" w:cs="宋体"/>
          <w:color w:val="auto"/>
          <w:sz w:val="21"/>
          <w:szCs w:val="21"/>
          <w:highlight w:val="none"/>
          <w:lang w:val="zh-CN"/>
        </w:rPr>
        <w:t>响应</w:t>
      </w:r>
      <w:r>
        <w:rPr>
          <w:rFonts w:hint="eastAsia" w:ascii="宋体" w:hAnsi="宋体" w:eastAsia="宋体" w:cs="宋体"/>
          <w:color w:val="auto"/>
          <w:sz w:val="21"/>
          <w:szCs w:val="21"/>
          <w:highlight w:val="none"/>
          <w:lang w:val="zh-CN" w:eastAsia="zh-CN"/>
        </w:rPr>
        <w:t>文件及有关澄清承诺书的要求按第</w:t>
      </w:r>
      <w:r>
        <w:rPr>
          <w:rFonts w:hint="eastAsia" w:ascii="宋体" w:hAnsi="宋体" w:eastAsia="宋体" w:cs="宋体"/>
          <w:color w:val="auto"/>
          <w:sz w:val="21"/>
          <w:szCs w:val="21"/>
          <w:highlight w:val="none"/>
          <w:lang w:val="zh-CN"/>
        </w:rPr>
        <w:t>六</w:t>
      </w:r>
      <w:r>
        <w:rPr>
          <w:rFonts w:hint="eastAsia" w:ascii="宋体" w:hAnsi="宋体" w:eastAsia="宋体" w:cs="宋体"/>
          <w:color w:val="auto"/>
          <w:sz w:val="21"/>
          <w:szCs w:val="21"/>
          <w:highlight w:val="none"/>
          <w:lang w:val="zh-CN" w:eastAsia="zh-CN"/>
        </w:rPr>
        <w:t>章“</w:t>
      </w:r>
      <w:r>
        <w:rPr>
          <w:rFonts w:hint="eastAsia" w:ascii="宋体" w:hAnsi="宋体" w:eastAsia="宋体" w:cs="宋体"/>
          <w:color w:val="auto"/>
          <w:sz w:val="21"/>
          <w:szCs w:val="21"/>
          <w:highlight w:val="none"/>
          <w:lang w:val="zh-CN"/>
        </w:rPr>
        <w:t>合同文本</w:t>
      </w:r>
      <w:r>
        <w:rPr>
          <w:rFonts w:hint="eastAsia" w:ascii="宋体" w:hAnsi="宋体" w:eastAsia="宋体" w:cs="宋体"/>
          <w:color w:val="auto"/>
          <w:sz w:val="21"/>
          <w:szCs w:val="21"/>
          <w:highlight w:val="none"/>
          <w:lang w:val="zh-CN" w:eastAsia="zh-CN"/>
        </w:rPr>
        <w:t>”与采购人订立书面合同，并按照合同约定承担完成合同的责任和义务。</w:t>
      </w:r>
    </w:p>
    <w:p w14:paraId="37303356">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6</w:t>
      </w:r>
      <w:r>
        <w:rPr>
          <w:rFonts w:hint="eastAsia" w:ascii="宋体" w:hAnsi="宋体" w:eastAsia="宋体" w:cs="宋体"/>
          <w:color w:val="auto"/>
          <w:sz w:val="21"/>
          <w:szCs w:val="21"/>
          <w:highlight w:val="none"/>
          <w:lang w:val="zh-CN" w:eastAsia="zh-CN"/>
        </w:rPr>
        <w:t>、我方已详细审核竞争性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文件，我方知道必须放弃提出含糊不清或误解问题的权利。</w:t>
      </w:r>
    </w:p>
    <w:p w14:paraId="59751CDC">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7</w:t>
      </w:r>
      <w:r>
        <w:rPr>
          <w:rFonts w:hint="eastAsia" w:ascii="宋体" w:hAnsi="宋体" w:eastAsia="宋体" w:cs="宋体"/>
          <w:color w:val="auto"/>
          <w:sz w:val="21"/>
          <w:szCs w:val="21"/>
          <w:highlight w:val="none"/>
          <w:lang w:val="zh-CN" w:eastAsia="zh-CN"/>
        </w:rPr>
        <w:t>、我方承诺满足竞争性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文件第</w:t>
      </w:r>
      <w:r>
        <w:rPr>
          <w:rFonts w:hint="eastAsia" w:ascii="宋体" w:hAnsi="宋体" w:eastAsia="宋体" w:cs="宋体"/>
          <w:color w:val="auto"/>
          <w:sz w:val="21"/>
          <w:szCs w:val="21"/>
          <w:highlight w:val="none"/>
          <w:lang w:val="zh-CN"/>
        </w:rPr>
        <w:t>六</w:t>
      </w:r>
      <w:r>
        <w:rPr>
          <w:rFonts w:hint="eastAsia" w:ascii="宋体" w:hAnsi="宋体" w:eastAsia="宋体" w:cs="宋体"/>
          <w:color w:val="auto"/>
          <w:sz w:val="21"/>
          <w:szCs w:val="21"/>
          <w:highlight w:val="none"/>
          <w:lang w:val="zh-CN" w:eastAsia="zh-CN"/>
        </w:rPr>
        <w:t>章“</w:t>
      </w:r>
      <w:r>
        <w:rPr>
          <w:rFonts w:hint="eastAsia" w:ascii="宋体" w:hAnsi="宋体" w:eastAsia="宋体" w:cs="宋体"/>
          <w:color w:val="auto"/>
          <w:sz w:val="21"/>
          <w:szCs w:val="21"/>
          <w:highlight w:val="none"/>
          <w:lang w:val="zh-CN"/>
        </w:rPr>
        <w:t>合同文本</w:t>
      </w:r>
      <w:r>
        <w:rPr>
          <w:rFonts w:hint="eastAsia" w:ascii="宋体" w:hAnsi="宋体" w:eastAsia="宋体" w:cs="宋体"/>
          <w:color w:val="auto"/>
          <w:sz w:val="21"/>
          <w:szCs w:val="21"/>
          <w:highlight w:val="none"/>
          <w:lang w:val="zh-CN" w:eastAsia="zh-CN"/>
        </w:rPr>
        <w:t>”的条款，承担完成合同的责任和义务。</w:t>
      </w:r>
    </w:p>
    <w:p w14:paraId="48A591E1">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8</w:t>
      </w:r>
      <w:r>
        <w:rPr>
          <w:rFonts w:hint="eastAsia" w:ascii="宋体" w:hAnsi="宋体" w:eastAsia="宋体" w:cs="宋体"/>
          <w:color w:val="auto"/>
          <w:sz w:val="21"/>
          <w:szCs w:val="21"/>
          <w:highlight w:val="none"/>
          <w:lang w:val="zh-CN" w:eastAsia="zh-CN"/>
        </w:rPr>
        <w:t>、我方同意应贵方要求提供与本竞标有关的任何数据或资料。若贵方需要，我方愿意提供我方作出的一切承诺的证明材料。</w:t>
      </w:r>
    </w:p>
    <w:p w14:paraId="452D5675">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9</w:t>
      </w:r>
      <w:r>
        <w:rPr>
          <w:rFonts w:hint="eastAsia" w:ascii="宋体" w:hAnsi="宋体" w:eastAsia="宋体" w:cs="宋体"/>
          <w:color w:val="auto"/>
          <w:sz w:val="21"/>
          <w:szCs w:val="21"/>
          <w:highlight w:val="none"/>
          <w:lang w:val="zh-CN" w:eastAsia="zh-CN"/>
        </w:rPr>
        <w:t>、我方完全理解贵方不一定接受响应报价最低的供应商为成交供应商的行为。</w:t>
      </w:r>
    </w:p>
    <w:p w14:paraId="6E1D53A0">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10</w:t>
      </w:r>
      <w:r>
        <w:rPr>
          <w:rFonts w:hint="eastAsia" w:ascii="宋体" w:hAnsi="宋体" w:eastAsia="宋体" w:cs="宋体"/>
          <w:color w:val="auto"/>
          <w:sz w:val="21"/>
          <w:szCs w:val="21"/>
          <w:highlight w:val="none"/>
          <w:lang w:val="zh-CN" w:eastAsia="zh-CN"/>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BE5A744">
      <w:pPr>
        <w:numPr>
          <w:ilvl w:val="0"/>
          <w:numId w:val="2"/>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提供虚假材料谋取中标、成交的；</w:t>
      </w:r>
    </w:p>
    <w:p w14:paraId="336718B7">
      <w:pPr>
        <w:numPr>
          <w:ilvl w:val="0"/>
          <w:numId w:val="2"/>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采取不正当手段诋毁、排挤其他供应商的；</w:t>
      </w:r>
    </w:p>
    <w:p w14:paraId="74F3BC44">
      <w:pPr>
        <w:numPr>
          <w:ilvl w:val="0"/>
          <w:numId w:val="2"/>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与采购人、其他供应商或者采购代理机构恶意串通的；</w:t>
      </w:r>
    </w:p>
    <w:p w14:paraId="46E1A28F">
      <w:pPr>
        <w:numPr>
          <w:ilvl w:val="0"/>
          <w:numId w:val="2"/>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向采购人、采购代理机构行贿或者提供其他不正当利益的；</w:t>
      </w:r>
    </w:p>
    <w:p w14:paraId="02EC2969">
      <w:pPr>
        <w:numPr>
          <w:ilvl w:val="0"/>
          <w:numId w:val="2"/>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在采购过程中与采购人进行协商谈判的；</w:t>
      </w:r>
    </w:p>
    <w:p w14:paraId="074AAD3D">
      <w:pPr>
        <w:numPr>
          <w:ilvl w:val="0"/>
          <w:numId w:val="2"/>
        </w:numPr>
        <w:tabs>
          <w:tab w:val="left" w:pos="945"/>
        </w:tabs>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拒绝有关部门监督检查或提供虚假情况的。</w:t>
      </w:r>
    </w:p>
    <w:p w14:paraId="02C00AAF">
      <w:pPr>
        <w:spacing w:line="360" w:lineRule="auto"/>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以上事项如有虚假或</w:t>
      </w:r>
      <w:r>
        <w:rPr>
          <w:rFonts w:hint="eastAsia" w:ascii="宋体" w:hAnsi="宋体" w:eastAsia="宋体" w:cs="宋体"/>
          <w:color w:val="auto"/>
          <w:sz w:val="21"/>
          <w:szCs w:val="21"/>
          <w:highlight w:val="none"/>
          <w:lang w:val="en-US" w:eastAsia="zh-CN"/>
        </w:rPr>
        <w:t>者</w:t>
      </w:r>
      <w:r>
        <w:rPr>
          <w:rFonts w:hint="eastAsia" w:ascii="宋体" w:hAnsi="宋体" w:eastAsia="宋体" w:cs="宋体"/>
          <w:color w:val="auto"/>
          <w:sz w:val="21"/>
          <w:szCs w:val="21"/>
          <w:highlight w:val="none"/>
        </w:rPr>
        <w:t>隐瞒，我方愿意承担一切后果，并不再寻求任何旨在减轻或</w:t>
      </w:r>
      <w:r>
        <w:rPr>
          <w:rFonts w:hint="eastAsia" w:ascii="宋体" w:hAnsi="宋体" w:eastAsia="宋体" w:cs="宋体"/>
          <w:color w:val="auto"/>
          <w:sz w:val="21"/>
          <w:szCs w:val="21"/>
          <w:highlight w:val="none"/>
          <w:lang w:val="en-US" w:eastAsia="zh-CN"/>
        </w:rPr>
        <w:t>者</w:t>
      </w:r>
      <w:r>
        <w:rPr>
          <w:rFonts w:hint="eastAsia" w:ascii="宋体" w:hAnsi="宋体" w:eastAsia="宋体" w:cs="宋体"/>
          <w:color w:val="auto"/>
          <w:sz w:val="21"/>
          <w:szCs w:val="21"/>
          <w:highlight w:val="none"/>
        </w:rPr>
        <w:t>免除法律责任的辩解</w:t>
      </w:r>
      <w:r>
        <w:rPr>
          <w:rFonts w:hint="eastAsia" w:ascii="宋体" w:hAnsi="宋体" w:eastAsia="宋体" w:cs="宋体"/>
          <w:color w:val="auto"/>
          <w:sz w:val="21"/>
          <w:szCs w:val="21"/>
          <w:highlight w:val="none"/>
          <w:lang w:eastAsia="zh-CN"/>
        </w:rPr>
        <w:t>。</w:t>
      </w:r>
    </w:p>
    <w:p w14:paraId="49EAD768">
      <w:pPr>
        <w:spacing w:line="360" w:lineRule="auto"/>
        <w:ind w:firstLine="42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eastAsia="zh-CN"/>
        </w:rPr>
        <w:t>与本</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有关的一切正式往来信函请寄：</w:t>
      </w:r>
    </w:p>
    <w:p w14:paraId="575E2B1D">
      <w:pPr>
        <w:spacing w:line="360" w:lineRule="auto"/>
        <w:ind w:firstLine="42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地址：</w:t>
      </w:r>
      <w:r>
        <w:rPr>
          <w:rFonts w:hint="eastAsia" w:ascii="宋体" w:hAnsi="宋体" w:eastAsia="宋体" w:cs="宋体"/>
          <w:color w:val="auto"/>
          <w:sz w:val="21"/>
          <w:szCs w:val="21"/>
          <w:highlight w:val="none"/>
          <w:u w:val="single"/>
          <w:lang w:val="zh-CN" w:eastAsia="zh-CN"/>
        </w:rPr>
        <w:t xml:space="preserve">                                                        </w:t>
      </w:r>
      <w:r>
        <w:rPr>
          <w:rFonts w:hint="eastAsia" w:ascii="宋体" w:hAnsi="宋体" w:eastAsia="宋体" w:cs="宋体"/>
          <w:color w:val="auto"/>
          <w:sz w:val="21"/>
          <w:szCs w:val="21"/>
          <w:highlight w:val="none"/>
          <w:lang w:val="zh-CN" w:eastAsia="zh-CN"/>
        </w:rPr>
        <w:t xml:space="preserve"> </w:t>
      </w:r>
    </w:p>
    <w:p w14:paraId="7A18F610">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电话：</w:t>
      </w:r>
      <w:r>
        <w:rPr>
          <w:rFonts w:hint="eastAsia" w:ascii="宋体" w:hAnsi="宋体" w:eastAsia="宋体" w:cs="宋体"/>
          <w:color w:val="auto"/>
          <w:sz w:val="21"/>
          <w:szCs w:val="21"/>
          <w:highlight w:val="none"/>
          <w:u w:val="single"/>
          <w:lang w:val="zh-CN" w:eastAsia="zh-CN"/>
        </w:rPr>
        <w:t xml:space="preserve">                                      　　　　　　　　　</w:t>
      </w:r>
    </w:p>
    <w:p w14:paraId="5BC62DDD">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传真：</w:t>
      </w:r>
      <w:r>
        <w:rPr>
          <w:rFonts w:hint="eastAsia" w:ascii="宋体" w:hAnsi="宋体" w:eastAsia="宋体" w:cs="宋体"/>
          <w:color w:val="auto"/>
          <w:sz w:val="21"/>
          <w:szCs w:val="21"/>
          <w:highlight w:val="none"/>
          <w:u w:val="single"/>
          <w:lang w:val="zh-CN" w:eastAsia="zh-CN"/>
        </w:rPr>
        <w:t>　　　　　　　　　　　　　　　　　　　　　　　　　　　　</w:t>
      </w:r>
    </w:p>
    <w:p w14:paraId="51F3DB83">
      <w:pPr>
        <w:spacing w:line="360" w:lineRule="auto"/>
        <w:ind w:firstLine="42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电子邮箱：</w:t>
      </w:r>
      <w:r>
        <w:rPr>
          <w:rFonts w:hint="eastAsia" w:ascii="宋体" w:hAnsi="宋体" w:eastAsia="宋体" w:cs="宋体"/>
          <w:color w:val="auto"/>
          <w:sz w:val="21"/>
          <w:szCs w:val="21"/>
          <w:highlight w:val="none"/>
          <w:u w:val="single"/>
          <w:lang w:val="zh-CN" w:eastAsia="zh-CN"/>
        </w:rPr>
        <w:t>　　　　　　　　　　　　　　　　　　　　　　　　　　</w:t>
      </w:r>
    </w:p>
    <w:p w14:paraId="5F0A5124">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邮政编码：</w:t>
      </w:r>
      <w:r>
        <w:rPr>
          <w:rFonts w:hint="eastAsia" w:ascii="宋体" w:hAnsi="宋体" w:eastAsia="宋体" w:cs="宋体"/>
          <w:color w:val="auto"/>
          <w:sz w:val="21"/>
          <w:szCs w:val="21"/>
          <w:highlight w:val="none"/>
          <w:u w:val="single"/>
          <w:lang w:val="zh-CN" w:eastAsia="zh-CN"/>
        </w:rPr>
        <w:t xml:space="preserve">                                                    </w:t>
      </w:r>
    </w:p>
    <w:p w14:paraId="663EA867">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开户名称：</w:t>
      </w:r>
      <w:r>
        <w:rPr>
          <w:rFonts w:hint="eastAsia" w:ascii="宋体" w:hAnsi="宋体" w:eastAsia="宋体" w:cs="宋体"/>
          <w:color w:val="auto"/>
          <w:sz w:val="21"/>
          <w:szCs w:val="21"/>
          <w:highlight w:val="none"/>
          <w:u w:val="single"/>
          <w:lang w:val="zh-CN" w:eastAsia="zh-CN"/>
        </w:rPr>
        <w:t xml:space="preserve">                                                    </w:t>
      </w:r>
    </w:p>
    <w:p w14:paraId="498CAAF5">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开户银行：</w:t>
      </w:r>
      <w:r>
        <w:rPr>
          <w:rFonts w:hint="eastAsia" w:ascii="宋体" w:hAnsi="宋体" w:eastAsia="宋体" w:cs="宋体"/>
          <w:color w:val="auto"/>
          <w:sz w:val="21"/>
          <w:szCs w:val="21"/>
          <w:highlight w:val="none"/>
          <w:u w:val="single"/>
          <w:lang w:val="zh-CN" w:eastAsia="zh-CN"/>
        </w:rPr>
        <w:t xml:space="preserve">                                                    </w:t>
      </w:r>
    </w:p>
    <w:p w14:paraId="66990DDA">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银行账号：</w:t>
      </w:r>
      <w:r>
        <w:rPr>
          <w:rFonts w:hint="eastAsia" w:ascii="宋体" w:hAnsi="宋体" w:eastAsia="宋体" w:cs="宋体"/>
          <w:color w:val="auto"/>
          <w:sz w:val="21"/>
          <w:szCs w:val="21"/>
          <w:highlight w:val="none"/>
          <w:u w:val="single"/>
          <w:lang w:val="zh-CN" w:eastAsia="zh-CN"/>
        </w:rPr>
        <w:t xml:space="preserve">                                                    </w:t>
      </w:r>
    </w:p>
    <w:p w14:paraId="0891FD38">
      <w:pPr>
        <w:tabs>
          <w:tab w:val="left" w:pos="939"/>
        </w:tabs>
        <w:spacing w:line="360" w:lineRule="auto"/>
        <w:ind w:left="141" w:firstLine="315"/>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77DAEE5A">
      <w:pPr>
        <w:pStyle w:val="56"/>
        <w:rPr>
          <w:rFonts w:hint="eastAsia"/>
        </w:rPr>
      </w:pPr>
    </w:p>
    <w:p w14:paraId="2DE70B94">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71A5CB23">
      <w:pPr>
        <w:ind w:firstLine="6000"/>
        <w:rPr>
          <w:rFonts w:hint="eastAsia" w:ascii="宋体" w:hAnsi="宋体" w:eastAsia="宋体" w:cs="宋体"/>
          <w:color w:val="auto"/>
          <w:sz w:val="24"/>
          <w:szCs w:val="24"/>
          <w:highlight w:val="none"/>
          <w:lang w:val="zh-CN"/>
        </w:rPr>
        <w:sectPr>
          <w:pgSz w:w="11906" w:h="16838"/>
          <w:pgMar w:top="1134" w:right="1134" w:bottom="1134" w:left="1134" w:header="720" w:footer="720" w:gutter="0"/>
          <w:cols w:space="720" w:num="1"/>
        </w:sectPr>
      </w:pPr>
      <w:r>
        <w:rPr>
          <w:rFonts w:hint="eastAsia" w:ascii="宋体" w:hAnsi="宋体" w:eastAsia="宋体" w:cs="宋体"/>
          <w:color w:val="auto"/>
          <w:sz w:val="24"/>
          <w:szCs w:val="24"/>
          <w:highlight w:val="none"/>
          <w:lang w:val="zh-CN"/>
        </w:rPr>
        <w:t>日期：  年  月   日</w:t>
      </w:r>
    </w:p>
    <w:p w14:paraId="5E8A354A">
      <w:pPr>
        <w:ind w:firstLine="5250"/>
        <w:rPr>
          <w:rFonts w:hint="eastAsia" w:ascii="宋体" w:hAnsi="宋体" w:eastAsia="宋体" w:cs="宋体"/>
          <w:color w:val="auto"/>
          <w:szCs w:val="24"/>
          <w:highlight w:val="none"/>
        </w:rPr>
      </w:pPr>
    </w:p>
    <w:p w14:paraId="23951BE2">
      <w:pPr>
        <w:spacing w:line="500" w:lineRule="exact"/>
        <w:ind w:firstLine="0"/>
        <w:rPr>
          <w:rFonts w:hint="eastAsia" w:ascii="宋体" w:hAnsi="宋体" w:eastAsia="宋体" w:cs="宋体"/>
          <w:b/>
          <w:color w:val="auto"/>
          <w:sz w:val="30"/>
          <w:szCs w:val="30"/>
          <w:highlight w:val="none"/>
          <w:lang w:val="zh-CN" w:eastAsia="zh-CN"/>
        </w:rPr>
      </w:pP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lang w:val="zh-CN" w:eastAsia="zh-CN"/>
        </w:rPr>
        <w:t>响应报价表的格式：</w:t>
      </w:r>
      <w:r>
        <w:rPr>
          <w:rFonts w:hint="eastAsia" w:ascii="宋体" w:hAnsi="宋体" w:eastAsia="宋体" w:cs="宋体"/>
          <w:b/>
          <w:color w:val="auto"/>
          <w:sz w:val="30"/>
          <w:szCs w:val="30"/>
          <w:highlight w:val="none"/>
          <w:lang w:val="zh-CN" w:eastAsia="zh-CN"/>
        </w:rPr>
        <w:t xml:space="preserve"> </w:t>
      </w:r>
    </w:p>
    <w:p w14:paraId="7EAB300F">
      <w:pPr>
        <w:spacing w:before="50" w:after="50" w:line="360" w:lineRule="auto"/>
        <w:ind w:firstLine="4518"/>
        <w:rPr>
          <w:rFonts w:hint="eastAsia"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eastAsia="zh-CN"/>
        </w:rPr>
        <w:t>响应报价表</w:t>
      </w:r>
    </w:p>
    <w:p w14:paraId="6B8B7FD2">
      <w:pPr>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6B76C03">
      <w:pPr>
        <w:spacing w:before="50" w:after="50"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p>
    <w:p w14:paraId="68E4F33D">
      <w:pPr>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44"/>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14:paraId="4118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0FC89E5">
            <w:pP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744468C">
            <w:pPr>
              <w:rPr>
                <w:rFonts w:hint="eastAsia" w:ascii="宋体" w:hAnsi="宋体" w:eastAsia="宋体" w:cs="宋体"/>
                <w:color w:val="auto"/>
                <w:highlight w:val="none"/>
              </w:rPr>
            </w:pPr>
            <w:r>
              <w:rPr>
                <w:rFonts w:hint="eastAsia" w:ascii="宋体" w:hAnsi="宋体" w:eastAsia="宋体" w:cs="宋体"/>
                <w:color w:val="auto"/>
                <w:highlight w:val="none"/>
                <w:lang w:eastAsia="zh-CN"/>
              </w:rPr>
              <w:t>标的</w:t>
            </w:r>
            <w:r>
              <w:rPr>
                <w:rFonts w:hint="eastAsia" w:ascii="宋体" w:hAnsi="宋体" w:eastAsia="宋体" w:cs="宋体"/>
                <w:color w:val="auto"/>
                <w:highlight w:val="none"/>
              </w:rPr>
              <w:t>名称</w:t>
            </w:r>
          </w:p>
        </w:tc>
        <w:tc>
          <w:tcPr>
            <w:tcW w:w="1251" w:type="dxa"/>
            <w:tcBorders>
              <w:top w:val="single" w:color="auto" w:sz="4" w:space="0"/>
              <w:left w:val="single" w:color="auto" w:sz="4" w:space="0"/>
              <w:bottom w:val="single" w:color="auto" w:sz="4" w:space="0"/>
              <w:right w:val="single" w:color="auto" w:sz="4" w:space="0"/>
            </w:tcBorders>
            <w:noWrap w:val="0"/>
            <w:vAlign w:val="center"/>
          </w:tcPr>
          <w:p w14:paraId="64F6392A">
            <w:pPr>
              <w:jc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3C1077C8">
            <w:pPr>
              <w:jc w:val="center"/>
              <w:rPr>
                <w:rFonts w:hint="eastAsia" w:ascii="宋体" w:hAnsi="宋体" w:eastAsia="宋体" w:cs="宋体"/>
                <w:color w:val="auto"/>
                <w:highlight w:val="none"/>
              </w:rPr>
            </w:pPr>
            <w:r>
              <w:rPr>
                <w:rFonts w:hint="eastAsia" w:ascii="宋体" w:hAnsi="宋体" w:eastAsia="宋体" w:cs="宋体"/>
                <w:color w:val="auto"/>
                <w:szCs w:val="22"/>
                <w:highlight w:val="none"/>
                <w:lang w:val="en-US" w:eastAsia="zh-CN"/>
              </w:rPr>
              <w:t>品牌（如有）</w:t>
            </w:r>
          </w:p>
        </w:tc>
        <w:tc>
          <w:tcPr>
            <w:tcW w:w="918" w:type="dxa"/>
            <w:tcBorders>
              <w:top w:val="single" w:color="auto" w:sz="4" w:space="0"/>
              <w:left w:val="single" w:color="auto" w:sz="4" w:space="0"/>
              <w:bottom w:val="single" w:color="auto" w:sz="4" w:space="0"/>
              <w:right w:val="single" w:color="auto" w:sz="4" w:space="0"/>
            </w:tcBorders>
            <w:noWrap w:val="0"/>
            <w:vAlign w:val="center"/>
          </w:tcPr>
          <w:p w14:paraId="4C23296E">
            <w:pPr>
              <w:jc w:val="center"/>
              <w:rPr>
                <w:rFonts w:hint="eastAsia" w:ascii="宋体" w:hAnsi="宋体" w:eastAsia="宋体" w:cs="宋体"/>
                <w:color w:val="auto"/>
                <w:highlight w:val="none"/>
              </w:rPr>
            </w:pPr>
            <w:r>
              <w:rPr>
                <w:rFonts w:hint="eastAsia" w:ascii="宋体" w:hAnsi="宋体" w:eastAsia="宋体" w:cs="宋体"/>
                <w:color w:val="auto"/>
                <w:highlight w:val="none"/>
              </w:rPr>
              <w:t>数量</w:t>
            </w:r>
            <w:r>
              <w:rPr>
                <w:rFonts w:hint="eastAsia" w:ascii="宋体" w:hAnsi="宋体" w:eastAsia="宋体" w:cs="宋体"/>
                <w:color w:val="auto"/>
                <w:highlight w:val="none"/>
                <w:lang w:eastAsia="zh-CN"/>
              </w:rPr>
              <w:t>及单位</w:t>
            </w:r>
            <w:r>
              <w:rPr>
                <w:rFonts w:hint="eastAsia" w:ascii="宋体" w:hAnsi="宋体" w:eastAsia="宋体" w:cs="宋体"/>
                <w:color w:val="auto"/>
                <w:highlight w:val="none"/>
              </w:rPr>
              <w:t>①</w:t>
            </w:r>
          </w:p>
        </w:tc>
        <w:tc>
          <w:tcPr>
            <w:tcW w:w="1332" w:type="dxa"/>
            <w:tcBorders>
              <w:top w:val="single" w:color="auto" w:sz="4" w:space="0"/>
              <w:left w:val="single" w:color="auto" w:sz="4" w:space="0"/>
              <w:bottom w:val="single" w:color="auto" w:sz="4" w:space="0"/>
              <w:right w:val="single" w:color="auto" w:sz="4" w:space="0"/>
            </w:tcBorders>
            <w:noWrap w:val="0"/>
            <w:vAlign w:val="center"/>
          </w:tcPr>
          <w:p w14:paraId="360624CB">
            <w:pPr>
              <w:rPr>
                <w:rFonts w:hint="eastAsia"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72D8C171">
            <w:pPr>
              <w:rPr>
                <w:rFonts w:hint="eastAsia" w:ascii="宋体" w:hAnsi="宋体" w:eastAsia="宋体" w:cs="宋体"/>
                <w:color w:val="auto"/>
                <w:highlight w:val="none"/>
              </w:rPr>
            </w:pPr>
            <w:r>
              <w:rPr>
                <w:rFonts w:hint="eastAsia" w:ascii="宋体" w:hAnsi="宋体" w:eastAsia="宋体" w:cs="宋体"/>
                <w:color w:val="auto"/>
                <w:highlight w:val="none"/>
              </w:rPr>
              <w:t>单项合价（元）</w:t>
            </w:r>
          </w:p>
          <w:p w14:paraId="2460C688">
            <w:pPr>
              <w:rPr>
                <w:rFonts w:hint="eastAsia"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noWrap w:val="0"/>
            <w:vAlign w:val="center"/>
          </w:tcPr>
          <w:p w14:paraId="63FEC167">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制造商名称</w:t>
            </w:r>
          </w:p>
          <w:p w14:paraId="75C048D5">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及产地</w:t>
            </w:r>
          </w:p>
        </w:tc>
      </w:tr>
      <w:tr w14:paraId="565C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A7E5858">
            <w:pPr>
              <w:jc w:val="center"/>
              <w:rPr>
                <w:rFonts w:hint="eastAsia" w:ascii="宋体" w:hAnsi="宋体" w:eastAsia="宋体" w:cs="宋体"/>
                <w:color w:val="auto"/>
                <w:highlight w:val="none"/>
              </w:rPr>
            </w:pPr>
            <w:r>
              <w:rPr>
                <w:rFonts w:hint="eastAsia" w:ascii="宋体" w:hAnsi="宋体" w:eastAsia="宋体" w:cs="宋体"/>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4770887">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24336D21">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5B52BC20">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264EB91E">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5C75B38C">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76FB2F90">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15B8617A">
            <w:pPr>
              <w:rPr>
                <w:rFonts w:hint="eastAsia" w:ascii="宋体" w:hAnsi="宋体" w:eastAsia="宋体" w:cs="宋体"/>
                <w:color w:val="auto"/>
                <w:highlight w:val="none"/>
              </w:rPr>
            </w:pPr>
          </w:p>
        </w:tc>
      </w:tr>
      <w:tr w14:paraId="307F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7EE10708">
            <w:pPr>
              <w:jc w:val="center"/>
              <w:rPr>
                <w:rFonts w:hint="eastAsia" w:ascii="宋体" w:hAnsi="宋体" w:eastAsia="宋体" w:cs="宋体"/>
                <w:color w:val="auto"/>
                <w:highlight w:val="none"/>
              </w:rPr>
            </w:pPr>
            <w:r>
              <w:rPr>
                <w:rFonts w:hint="eastAsia" w:ascii="宋体" w:hAnsi="宋体" w:eastAsia="宋体" w:cs="宋体"/>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A61B249">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1FD7B651">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297249F5">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39D7E047">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4A0684E3">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C53345D">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0A4101FE">
            <w:pPr>
              <w:rPr>
                <w:rFonts w:hint="eastAsia" w:ascii="宋体" w:hAnsi="宋体" w:eastAsia="宋体" w:cs="宋体"/>
                <w:color w:val="auto"/>
                <w:highlight w:val="none"/>
              </w:rPr>
            </w:pPr>
          </w:p>
        </w:tc>
      </w:tr>
      <w:tr w14:paraId="4564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717452D8">
            <w:pPr>
              <w:jc w:val="center"/>
              <w:rPr>
                <w:rFonts w:hint="eastAsia" w:ascii="宋体" w:hAnsi="宋体" w:eastAsia="宋体" w:cs="宋体"/>
                <w:color w:val="auto"/>
                <w:highlight w:val="none"/>
              </w:rPr>
            </w:pPr>
            <w:r>
              <w:rPr>
                <w:rFonts w:hint="eastAsia" w:ascii="宋体" w:hAnsi="宋体" w:eastAsia="宋体" w:cs="宋体"/>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0223755">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5BFA8DAB">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1B00E180">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1C05AD57">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3C09BC09">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BC72C08">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12CA4660">
            <w:pPr>
              <w:rPr>
                <w:rFonts w:hint="eastAsia" w:ascii="宋体" w:hAnsi="宋体" w:eastAsia="宋体" w:cs="宋体"/>
                <w:color w:val="auto"/>
                <w:highlight w:val="none"/>
              </w:rPr>
            </w:pPr>
          </w:p>
        </w:tc>
      </w:tr>
      <w:tr w14:paraId="70DB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13D7017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竞标总报价（包含税费等所有费用）：</w:t>
            </w:r>
            <w:r>
              <w:rPr>
                <w:rFonts w:hint="eastAsia" w:ascii="宋体" w:hAnsi="宋体" w:eastAsia="宋体" w:cs="宋体"/>
                <w:color w:val="auto"/>
                <w:highlight w:val="none"/>
                <w:u w:val="single"/>
              </w:rPr>
              <w:t>（大写）人民币                      （</w:t>
            </w:r>
            <w:r>
              <w:rPr>
                <w:rFonts w:hint="eastAsia" w:ascii="宋体" w:hAnsi="宋体" w:eastAsia="宋体" w:cs="宋体"/>
                <w:color w:val="auto"/>
                <w:highlight w:val="none"/>
                <w:u w:val="single"/>
                <w:lang w:eastAsia="zh-CN"/>
              </w:rPr>
              <w:t>小写</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tc>
      </w:tr>
      <w:tr w14:paraId="363B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62980E8A">
            <w:pPr>
              <w:rPr>
                <w:rFonts w:hint="eastAsia" w:ascii="宋体" w:hAnsi="宋体" w:eastAsia="宋体" w:cs="宋体"/>
                <w:color w:val="auto"/>
                <w:highlight w:val="none"/>
              </w:rPr>
            </w:pPr>
            <w:r>
              <w:rPr>
                <w:rFonts w:hint="eastAsia" w:ascii="宋体" w:hAnsi="宋体" w:eastAsia="宋体" w:cs="宋体"/>
                <w:color w:val="auto"/>
                <w:highlight w:val="none"/>
                <w:lang w:eastAsia="zh-CN"/>
              </w:rPr>
              <w:t>交付时间</w:t>
            </w:r>
            <w:r>
              <w:rPr>
                <w:rFonts w:hint="eastAsia" w:ascii="宋体" w:hAnsi="宋体" w:eastAsia="宋体" w:cs="宋体"/>
                <w:color w:val="auto"/>
                <w:highlight w:val="none"/>
              </w:rPr>
              <w:t>：</w:t>
            </w:r>
          </w:p>
        </w:tc>
      </w:tr>
      <w:tr w14:paraId="5BFE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49561D5">
            <w:pPr>
              <w:spacing w:line="240" w:lineRule="auto"/>
              <w:ind w:firstLine="0"/>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eastAsia="zh-CN"/>
              </w:rPr>
              <w:t>备注</w:t>
            </w:r>
          </w:p>
        </w:tc>
        <w:tc>
          <w:tcPr>
            <w:tcW w:w="9094" w:type="dxa"/>
            <w:gridSpan w:val="7"/>
            <w:tcBorders>
              <w:top w:val="single" w:color="auto" w:sz="4" w:space="0"/>
              <w:left w:val="single" w:color="auto" w:sz="4" w:space="0"/>
              <w:bottom w:val="single" w:color="auto" w:sz="4" w:space="0"/>
              <w:right w:val="single" w:color="auto" w:sz="4" w:space="0"/>
            </w:tcBorders>
            <w:noWrap w:val="0"/>
            <w:vAlign w:val="center"/>
          </w:tcPr>
          <w:p w14:paraId="27E9B863">
            <w:pPr>
              <w:spacing w:line="36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sz w:val="21"/>
                <w:szCs w:val="21"/>
                <w:highlight w:val="none"/>
                <w:lang w:val="en-US" w:eastAsia="zh-CN"/>
              </w:rPr>
              <w:t>根据《国务院办公厅关于在政府采购中实施本国产品标准及相关政策的通知》国办发〔2025〕34号的规定，我方为</w:t>
            </w:r>
            <w:r>
              <w:rPr>
                <w:rFonts w:hint="eastAsia" w:ascii="宋体" w:hAnsi="宋体" w:eastAsia="宋体" w:cs="宋体"/>
                <w:i w:val="0"/>
                <w:iCs w:val="0"/>
                <w:caps w:val="0"/>
                <w:color w:val="auto"/>
                <w:spacing w:val="0"/>
                <w:sz w:val="21"/>
                <w:szCs w:val="21"/>
                <w:highlight w:val="none"/>
                <w:shd w:val="clear" w:color="auto" w:fill="FFFFFF"/>
                <w:lang w:eastAsia="zh-CN"/>
              </w:rPr>
              <w:t>本政府</w:t>
            </w:r>
            <w:r>
              <w:rPr>
                <w:rFonts w:hint="eastAsia" w:ascii="宋体" w:hAnsi="宋体" w:eastAsia="宋体" w:cs="宋体"/>
                <w:i w:val="0"/>
                <w:iCs w:val="0"/>
                <w:caps w:val="0"/>
                <w:color w:val="auto"/>
                <w:spacing w:val="0"/>
                <w:sz w:val="21"/>
                <w:szCs w:val="21"/>
                <w:highlight w:val="none"/>
                <w:shd w:val="clear" w:color="auto" w:fill="FFFFFF"/>
              </w:rPr>
              <w:t>采购项目提供的符合本国产品标准的产品成本之和占全部</w:t>
            </w:r>
            <w:r>
              <w:rPr>
                <w:rFonts w:hint="eastAsia" w:ascii="宋体" w:hAnsi="宋体" w:eastAsia="宋体" w:cs="宋体"/>
                <w:i w:val="0"/>
                <w:iCs w:val="0"/>
                <w:caps w:val="0"/>
                <w:color w:val="auto"/>
                <w:spacing w:val="0"/>
                <w:sz w:val="21"/>
                <w:szCs w:val="21"/>
                <w:highlight w:val="none"/>
                <w:shd w:val="clear" w:color="auto" w:fill="FFFFFF"/>
                <w:lang w:eastAsia="zh-CN"/>
              </w:rPr>
              <w:t>竞标</w:t>
            </w:r>
            <w:r>
              <w:rPr>
                <w:rFonts w:hint="eastAsia" w:ascii="宋体" w:hAnsi="宋体" w:eastAsia="宋体" w:cs="宋体"/>
                <w:i w:val="0"/>
                <w:iCs w:val="0"/>
                <w:caps w:val="0"/>
                <w:color w:val="auto"/>
                <w:spacing w:val="0"/>
                <w:sz w:val="21"/>
                <w:szCs w:val="21"/>
                <w:highlight w:val="none"/>
                <w:shd w:val="clear" w:color="auto" w:fill="FFFFFF"/>
              </w:rPr>
              <w:t>产品成本之和的比例达到</w:t>
            </w:r>
            <w:r>
              <w:rPr>
                <w:rFonts w:hint="eastAsia" w:ascii="宋体" w:hAnsi="宋体" w:eastAsia="宋体" w:cs="宋体"/>
                <w:i w:val="0"/>
                <w:iCs w:val="0"/>
                <w:caps w:val="0"/>
                <w:color w:val="auto"/>
                <w:spacing w:val="0"/>
                <w:sz w:val="21"/>
                <w:szCs w:val="21"/>
                <w:highlight w:val="none"/>
                <w:u w:val="singl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w:t>
            </w:r>
          </w:p>
        </w:tc>
      </w:tr>
    </w:tbl>
    <w:p w14:paraId="3E5EB986">
      <w:pPr>
        <w:spacing w:before="50" w:after="50" w:line="360" w:lineRule="auto"/>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注： </w:t>
      </w:r>
    </w:p>
    <w:p w14:paraId="7BB0FAE2">
      <w:pPr>
        <w:pStyle w:val="29"/>
        <w:numPr>
          <w:ilvl w:val="0"/>
          <w:numId w:val="0"/>
        </w:numPr>
        <w:spacing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供应商需按本表格式填写，不得自行更改，也不得留空（</w:t>
      </w:r>
      <w:r>
        <w:rPr>
          <w:rFonts w:hint="eastAsia" w:ascii="宋体" w:hAnsi="宋体" w:eastAsia="宋体" w:cs="宋体"/>
          <w:color w:val="auto"/>
          <w:sz w:val="21"/>
          <w:szCs w:val="21"/>
          <w:highlight w:val="none"/>
          <w:lang w:val="en-US" w:eastAsia="zh-CN"/>
        </w:rPr>
        <w:t>备注栏除外</w:t>
      </w:r>
      <w:r>
        <w:rPr>
          <w:rFonts w:hint="eastAsia" w:ascii="宋体" w:hAnsi="宋体" w:eastAsia="宋体" w:cs="宋体"/>
          <w:color w:val="auto"/>
          <w:sz w:val="21"/>
          <w:szCs w:val="21"/>
          <w:highlight w:val="none"/>
          <w:lang w:val="zh-CN"/>
        </w:rPr>
        <w:t>）, 如有多分标，按分标分别提供响应报价表，</w:t>
      </w:r>
      <w:r>
        <w:rPr>
          <w:rFonts w:hint="eastAsia" w:ascii="宋体" w:hAnsi="宋体" w:eastAsia="宋体" w:cs="宋体"/>
          <w:b/>
          <w:color w:val="auto"/>
          <w:sz w:val="21"/>
          <w:szCs w:val="21"/>
          <w:highlight w:val="none"/>
          <w:lang w:val="zh-CN"/>
        </w:rPr>
        <w:t>否则其响应按无效响应处理</w:t>
      </w:r>
      <w:r>
        <w:rPr>
          <w:rFonts w:hint="eastAsia" w:ascii="宋体" w:hAnsi="宋体" w:eastAsia="宋体" w:cs="宋体"/>
          <w:b w:val="0"/>
          <w:bCs/>
          <w:color w:val="auto"/>
          <w:sz w:val="21"/>
          <w:szCs w:val="21"/>
          <w:highlight w:val="none"/>
          <w:lang w:val="zh-CN"/>
        </w:rPr>
        <w:t>。</w:t>
      </w:r>
    </w:p>
    <w:p w14:paraId="7B6960E6">
      <w:pPr>
        <w:spacing w:before="50" w:after="50" w:line="360" w:lineRule="auto"/>
        <w:ind w:firstLine="420"/>
        <w:jc w:val="left"/>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sz w:val="21"/>
          <w:szCs w:val="21"/>
          <w:highlight w:val="none"/>
          <w:lang w:val="zh-CN"/>
        </w:rPr>
        <w:t>否则其响应作无效响应处理。</w:t>
      </w:r>
    </w:p>
    <w:p w14:paraId="2A30FA1D">
      <w:pPr>
        <w:spacing w:before="50" w:after="50" w:line="360" w:lineRule="auto"/>
        <w:ind w:firstLine="420"/>
        <w:jc w:val="left"/>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zh-CN"/>
        </w:rPr>
        <w:t>3、以上表格要求细分项目及报价，在“标的名称”一栏中，填写具体货物，在“规格型号”一栏中，填写具体货物</w:t>
      </w:r>
      <w:r>
        <w:rPr>
          <w:rFonts w:hint="eastAsia" w:ascii="宋体" w:hAnsi="宋体" w:eastAsia="宋体" w:cs="宋体"/>
          <w:color w:val="auto"/>
          <w:sz w:val="21"/>
          <w:szCs w:val="21"/>
          <w:highlight w:val="none"/>
          <w:lang w:val="en-US" w:eastAsia="zh-CN"/>
        </w:rPr>
        <w:t>的规格型号</w:t>
      </w:r>
      <w:r>
        <w:rPr>
          <w:rFonts w:hint="eastAsia" w:ascii="宋体" w:hAnsi="宋体" w:eastAsia="宋体" w:cs="宋体"/>
          <w:color w:val="auto"/>
          <w:sz w:val="21"/>
          <w:szCs w:val="21"/>
          <w:highlight w:val="none"/>
          <w:lang w:val="zh-CN"/>
        </w:rPr>
        <w:t>（</w:t>
      </w:r>
      <w:r>
        <w:rPr>
          <w:rFonts w:hint="eastAsia" w:ascii="宋体" w:hAnsi="宋体" w:eastAsia="宋体" w:cs="宋体"/>
          <w:color w:val="auto"/>
          <w:highlight w:val="none"/>
          <w:lang w:val="en-US" w:eastAsia="zh-CN"/>
        </w:rPr>
        <w:t>如为定制产品，规格型号可以填写定制</w:t>
      </w:r>
      <w:r>
        <w:rPr>
          <w:rFonts w:hint="eastAsia" w:ascii="宋体" w:hAnsi="宋体" w:eastAsia="宋体" w:cs="宋体"/>
          <w:color w:val="auto"/>
          <w:sz w:val="21"/>
          <w:szCs w:val="21"/>
          <w:highlight w:val="none"/>
          <w:lang w:val="zh-CN"/>
        </w:rPr>
        <w:t>）</w:t>
      </w:r>
      <w:r>
        <w:rPr>
          <w:rFonts w:hint="eastAsia" w:ascii="宋体" w:hAnsi="宋体" w:eastAsia="宋体" w:cs="宋体"/>
          <w:color w:val="auto"/>
          <w:highlight w:val="none"/>
          <w:lang w:val="en-US" w:eastAsia="zh-CN"/>
        </w:rPr>
        <w:t>，</w:t>
      </w:r>
      <w:r>
        <w:rPr>
          <w:rFonts w:hint="eastAsia" w:ascii="宋体" w:hAnsi="宋体" w:eastAsia="宋体" w:cs="宋体"/>
          <w:b/>
          <w:color w:val="auto"/>
          <w:sz w:val="21"/>
          <w:szCs w:val="21"/>
          <w:highlight w:val="none"/>
          <w:lang w:val="zh-CN"/>
        </w:rPr>
        <w:t>否则其响应作无效响应处理。</w:t>
      </w:r>
    </w:p>
    <w:p w14:paraId="0C121F0A">
      <w:pPr>
        <w:spacing w:line="360" w:lineRule="auto"/>
        <w:ind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4、特别提示：采购代理机构将对项目名称和项目编号，成交供应商名称、地址和成交金额，主要成交标的名称、</w:t>
      </w:r>
      <w:r>
        <w:rPr>
          <w:rFonts w:hint="eastAsia" w:ascii="宋体" w:hAnsi="宋体" w:eastAsia="宋体" w:cs="宋体"/>
          <w:color w:val="auto"/>
          <w:sz w:val="21"/>
          <w:szCs w:val="21"/>
          <w:highlight w:val="none"/>
          <w:lang w:val="en-US"/>
        </w:rPr>
        <w:t>规格型号</w:t>
      </w:r>
      <w:r>
        <w:rPr>
          <w:rFonts w:hint="eastAsia" w:ascii="宋体" w:hAnsi="宋体" w:eastAsia="宋体" w:cs="宋体"/>
          <w:color w:val="auto"/>
          <w:sz w:val="21"/>
          <w:szCs w:val="21"/>
          <w:highlight w:val="none"/>
          <w:lang w:val="en-US" w:eastAsia="zh-CN"/>
        </w:rPr>
        <w:t>、品牌（如有）及制造商</w:t>
      </w:r>
      <w:r>
        <w:rPr>
          <w:rFonts w:hint="eastAsia" w:ascii="宋体" w:hAnsi="宋体" w:eastAsia="宋体" w:cs="宋体"/>
          <w:color w:val="auto"/>
          <w:sz w:val="21"/>
          <w:szCs w:val="21"/>
          <w:highlight w:val="none"/>
          <w:lang w:val="zh-CN"/>
        </w:rPr>
        <w:t>、数量、单价等予以公示。</w:t>
      </w:r>
    </w:p>
    <w:p w14:paraId="4CDC0932">
      <w:pPr>
        <w:spacing w:line="360" w:lineRule="auto"/>
        <w:ind w:left="479" w:firstLine="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5、符合采购文件中列明的可享受中小企业扶持政策的供应商，请填写中小企业声明函。</w:t>
      </w:r>
    </w:p>
    <w:p w14:paraId="1B13BA21">
      <w:pPr>
        <w:spacing w:line="360" w:lineRule="auto"/>
        <w:ind w:left="0"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供应商提供的中小企业声明函内容不实的，属于提供虚假材料谋取中标、成交，依照《中华人民共和国政府采购法》等国家有关规定追究相应责任。</w:t>
      </w:r>
    </w:p>
    <w:p w14:paraId="04CABB0F">
      <w:pPr>
        <w:spacing w:line="360" w:lineRule="auto"/>
        <w:ind w:left="4335" w:hanging="240"/>
        <w:rPr>
          <w:rFonts w:hint="eastAsia" w:ascii="宋体" w:hAnsi="宋体" w:eastAsia="宋体" w:cs="宋体"/>
          <w:color w:val="auto"/>
          <w:sz w:val="24"/>
          <w:szCs w:val="24"/>
          <w:highlight w:val="none"/>
        </w:rPr>
      </w:pPr>
    </w:p>
    <w:p w14:paraId="0FEE67A4">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7EA94B63">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791492EF">
      <w:pPr>
        <w:spacing w:line="240" w:lineRule="auto"/>
        <w:ind w:firstLine="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br w:type="page" w:clear="all"/>
      </w:r>
    </w:p>
    <w:p w14:paraId="40761186">
      <w:pPr>
        <w:spacing w:line="500" w:lineRule="exact"/>
        <w:ind w:firstLine="0"/>
        <w:rPr>
          <w:rFonts w:hint="eastAsia" w:ascii="宋体" w:hAnsi="宋体" w:eastAsia="宋体" w:cs="宋体"/>
          <w:b/>
          <w:color w:val="auto"/>
          <w:sz w:val="30"/>
          <w:szCs w:val="30"/>
          <w:highlight w:val="none"/>
          <w:lang w:val="zh-CN" w:eastAsia="zh-CN"/>
        </w:rPr>
      </w:pPr>
      <w:r>
        <w:rPr>
          <w:rFonts w:hint="eastAsia" w:ascii="宋体" w:hAnsi="宋体" w:eastAsia="宋体" w:cs="宋体"/>
          <w:b/>
          <w:color w:val="auto"/>
          <w:sz w:val="28"/>
          <w:szCs w:val="28"/>
          <w:highlight w:val="none"/>
          <w:lang w:val="en-US" w:eastAsia="zh-CN"/>
        </w:rPr>
        <w:t>5.</w:t>
      </w:r>
      <w:r>
        <w:rPr>
          <w:rFonts w:hint="eastAsia" w:ascii="宋体" w:hAnsi="宋体" w:eastAsia="宋体" w:cs="宋体"/>
          <w:b/>
          <w:color w:val="auto"/>
          <w:sz w:val="28"/>
          <w:szCs w:val="28"/>
          <w:highlight w:val="none"/>
          <w:lang w:val="zh-CN" w:eastAsia="zh-CN"/>
        </w:rPr>
        <w:t>最后报价表的格式：</w:t>
      </w:r>
      <w:r>
        <w:rPr>
          <w:rFonts w:hint="eastAsia" w:ascii="宋体" w:hAnsi="宋体" w:eastAsia="宋体" w:cs="宋体"/>
          <w:b/>
          <w:color w:val="auto"/>
          <w:sz w:val="30"/>
          <w:szCs w:val="30"/>
          <w:highlight w:val="none"/>
          <w:lang w:val="zh-CN" w:eastAsia="zh-CN"/>
        </w:rPr>
        <w:t xml:space="preserve"> </w:t>
      </w:r>
    </w:p>
    <w:p w14:paraId="7583A0E1">
      <w:pPr>
        <w:spacing w:before="50" w:after="50" w:line="360" w:lineRule="auto"/>
        <w:ind w:firstLine="4518"/>
        <w:rPr>
          <w:rFonts w:hint="eastAsia"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eastAsia="zh-CN"/>
        </w:rPr>
        <w:t>最后报价表</w:t>
      </w:r>
    </w:p>
    <w:p w14:paraId="7FE3712F">
      <w:pPr>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A24E3D1">
      <w:pPr>
        <w:spacing w:before="50" w:after="50"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p>
    <w:p w14:paraId="54CA397C">
      <w:pPr>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44"/>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14:paraId="7657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0E1BEB33">
            <w:pP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631F859">
            <w:pPr>
              <w:rPr>
                <w:rFonts w:hint="eastAsia" w:ascii="宋体" w:hAnsi="宋体" w:eastAsia="宋体" w:cs="宋体"/>
                <w:color w:val="auto"/>
                <w:highlight w:val="none"/>
              </w:rPr>
            </w:pPr>
            <w:r>
              <w:rPr>
                <w:rFonts w:hint="eastAsia" w:ascii="宋体" w:hAnsi="宋体" w:eastAsia="宋体" w:cs="宋体"/>
                <w:color w:val="auto"/>
                <w:highlight w:val="none"/>
                <w:lang w:eastAsia="zh-CN"/>
              </w:rPr>
              <w:t>标的</w:t>
            </w:r>
            <w:r>
              <w:rPr>
                <w:rFonts w:hint="eastAsia" w:ascii="宋体" w:hAnsi="宋体" w:eastAsia="宋体" w:cs="宋体"/>
                <w:color w:val="auto"/>
                <w:highlight w:val="none"/>
              </w:rPr>
              <w:t>名称</w:t>
            </w:r>
          </w:p>
        </w:tc>
        <w:tc>
          <w:tcPr>
            <w:tcW w:w="1251" w:type="dxa"/>
            <w:tcBorders>
              <w:top w:val="single" w:color="auto" w:sz="4" w:space="0"/>
              <w:left w:val="single" w:color="auto" w:sz="4" w:space="0"/>
              <w:bottom w:val="single" w:color="auto" w:sz="4" w:space="0"/>
              <w:right w:val="single" w:color="auto" w:sz="4" w:space="0"/>
            </w:tcBorders>
            <w:noWrap w:val="0"/>
            <w:vAlign w:val="center"/>
          </w:tcPr>
          <w:p w14:paraId="1245A939">
            <w:pPr>
              <w:jc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60CC0463">
            <w:pPr>
              <w:jc w:val="center"/>
              <w:rPr>
                <w:rFonts w:hint="eastAsia" w:ascii="宋体" w:hAnsi="宋体" w:eastAsia="宋体" w:cs="宋体"/>
                <w:color w:val="auto"/>
                <w:highlight w:val="none"/>
              </w:rPr>
            </w:pPr>
            <w:r>
              <w:rPr>
                <w:rFonts w:hint="eastAsia" w:ascii="宋体" w:hAnsi="宋体" w:eastAsia="宋体" w:cs="宋体"/>
                <w:color w:val="auto"/>
                <w:szCs w:val="22"/>
                <w:highlight w:val="none"/>
                <w:lang w:val="en-US" w:eastAsia="zh-CN"/>
              </w:rPr>
              <w:t>品牌（如有）</w:t>
            </w:r>
          </w:p>
        </w:tc>
        <w:tc>
          <w:tcPr>
            <w:tcW w:w="918" w:type="dxa"/>
            <w:tcBorders>
              <w:top w:val="single" w:color="auto" w:sz="4" w:space="0"/>
              <w:left w:val="single" w:color="auto" w:sz="4" w:space="0"/>
              <w:bottom w:val="single" w:color="auto" w:sz="4" w:space="0"/>
              <w:right w:val="single" w:color="auto" w:sz="4" w:space="0"/>
            </w:tcBorders>
            <w:noWrap w:val="0"/>
            <w:vAlign w:val="center"/>
          </w:tcPr>
          <w:p w14:paraId="2F4B05D8">
            <w:pPr>
              <w:jc w:val="center"/>
              <w:rPr>
                <w:rFonts w:hint="eastAsia" w:ascii="宋体" w:hAnsi="宋体" w:eastAsia="宋体" w:cs="宋体"/>
                <w:color w:val="auto"/>
                <w:highlight w:val="none"/>
              </w:rPr>
            </w:pPr>
            <w:r>
              <w:rPr>
                <w:rFonts w:hint="eastAsia" w:ascii="宋体" w:hAnsi="宋体" w:eastAsia="宋体" w:cs="宋体"/>
                <w:color w:val="auto"/>
                <w:highlight w:val="none"/>
              </w:rPr>
              <w:t>数量</w:t>
            </w:r>
            <w:r>
              <w:rPr>
                <w:rFonts w:hint="eastAsia" w:ascii="宋体" w:hAnsi="宋体" w:eastAsia="宋体" w:cs="宋体"/>
                <w:color w:val="auto"/>
                <w:highlight w:val="none"/>
                <w:lang w:eastAsia="zh-CN"/>
              </w:rPr>
              <w:t>及单位</w:t>
            </w:r>
            <w:r>
              <w:rPr>
                <w:rFonts w:hint="eastAsia" w:ascii="宋体" w:hAnsi="宋体" w:eastAsia="宋体" w:cs="宋体"/>
                <w:color w:val="auto"/>
                <w:highlight w:val="none"/>
              </w:rPr>
              <w:t>①</w:t>
            </w:r>
          </w:p>
        </w:tc>
        <w:tc>
          <w:tcPr>
            <w:tcW w:w="1332" w:type="dxa"/>
            <w:tcBorders>
              <w:top w:val="single" w:color="auto" w:sz="4" w:space="0"/>
              <w:left w:val="single" w:color="auto" w:sz="4" w:space="0"/>
              <w:bottom w:val="single" w:color="auto" w:sz="4" w:space="0"/>
              <w:right w:val="single" w:color="auto" w:sz="4" w:space="0"/>
            </w:tcBorders>
            <w:noWrap w:val="0"/>
            <w:vAlign w:val="center"/>
          </w:tcPr>
          <w:p w14:paraId="693D1C8E">
            <w:pPr>
              <w:rPr>
                <w:rFonts w:hint="eastAsia"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06FBCCA">
            <w:pPr>
              <w:rPr>
                <w:rFonts w:hint="eastAsia" w:ascii="宋体" w:hAnsi="宋体" w:eastAsia="宋体" w:cs="宋体"/>
                <w:color w:val="auto"/>
                <w:highlight w:val="none"/>
              </w:rPr>
            </w:pPr>
            <w:r>
              <w:rPr>
                <w:rFonts w:hint="eastAsia" w:ascii="宋体" w:hAnsi="宋体" w:eastAsia="宋体" w:cs="宋体"/>
                <w:color w:val="auto"/>
                <w:highlight w:val="none"/>
              </w:rPr>
              <w:t>单项合价（元）</w:t>
            </w:r>
          </w:p>
          <w:p w14:paraId="69EBD588">
            <w:pPr>
              <w:rPr>
                <w:rFonts w:hint="eastAsia"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noWrap w:val="0"/>
            <w:vAlign w:val="center"/>
          </w:tcPr>
          <w:p w14:paraId="1DF22817">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制造商及产地</w:t>
            </w:r>
          </w:p>
        </w:tc>
      </w:tr>
      <w:tr w14:paraId="4791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9CFAFD5">
            <w:pPr>
              <w:jc w:val="center"/>
              <w:rPr>
                <w:rFonts w:hint="eastAsia" w:ascii="宋体" w:hAnsi="宋体" w:eastAsia="宋体" w:cs="宋体"/>
                <w:color w:val="auto"/>
                <w:highlight w:val="none"/>
              </w:rPr>
            </w:pPr>
            <w:r>
              <w:rPr>
                <w:rFonts w:hint="eastAsia" w:ascii="宋体" w:hAnsi="宋体" w:eastAsia="宋体" w:cs="宋体"/>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9B73763">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1C7A8BFF">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3FF3B107">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25EB46F0">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5E9812DF">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B88B29A">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034E8E0F">
            <w:pPr>
              <w:rPr>
                <w:rFonts w:hint="eastAsia" w:ascii="宋体" w:hAnsi="宋体" w:eastAsia="宋体" w:cs="宋体"/>
                <w:color w:val="auto"/>
                <w:highlight w:val="none"/>
              </w:rPr>
            </w:pPr>
          </w:p>
        </w:tc>
      </w:tr>
      <w:tr w14:paraId="7F6F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7C9BF8B0">
            <w:pPr>
              <w:jc w:val="center"/>
              <w:rPr>
                <w:rFonts w:hint="eastAsia"/>
              </w:rPr>
            </w:pPr>
            <w:r>
              <w:rPr>
                <w:rFonts w:hint="eastAsia" w:ascii="宋体" w:hAnsi="宋体" w:eastAsia="宋体" w:cs="宋体"/>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F7B875F">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4A3FFA2B">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75FF7487">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76B0FC78">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257A4296">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328D7E0">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262D2D3C">
            <w:pPr>
              <w:rPr>
                <w:rFonts w:hint="eastAsia" w:ascii="宋体" w:hAnsi="宋体" w:eastAsia="宋体" w:cs="宋体"/>
                <w:color w:val="auto"/>
                <w:highlight w:val="none"/>
              </w:rPr>
            </w:pPr>
          </w:p>
        </w:tc>
      </w:tr>
      <w:tr w14:paraId="26D0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02FC643A">
            <w:pPr>
              <w:jc w:val="center"/>
              <w:rPr>
                <w:rFonts w:hint="eastAsia"/>
              </w:rPr>
            </w:pPr>
            <w:r>
              <w:rPr>
                <w:rFonts w:hint="eastAsia" w:ascii="宋体" w:hAnsi="宋体" w:eastAsia="宋体" w:cs="宋体"/>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EDCD496">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7C022B75">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5D1BE768">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2B9A0770">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77175485">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4BB3FD8">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7DD97B27">
            <w:pPr>
              <w:rPr>
                <w:rFonts w:hint="eastAsia" w:ascii="宋体" w:hAnsi="宋体" w:eastAsia="宋体" w:cs="宋体"/>
                <w:color w:val="auto"/>
                <w:highlight w:val="none"/>
              </w:rPr>
            </w:pPr>
          </w:p>
        </w:tc>
      </w:tr>
      <w:tr w14:paraId="0C8C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bottom"/>
          </w:tcPr>
          <w:p w14:paraId="13D5F69F">
            <w:pPr>
              <w:rPr>
                <w:rFonts w:hint="eastAsia" w:ascii="宋体" w:hAnsi="宋体" w:eastAsia="宋体" w:cs="宋体"/>
                <w:color w:val="auto"/>
                <w:highlight w:val="none"/>
              </w:rPr>
            </w:pPr>
            <w:r>
              <w:rPr>
                <w:rFonts w:hint="eastAsia" w:ascii="宋体" w:hAnsi="宋体" w:eastAsia="宋体" w:cs="宋体"/>
                <w:color w:val="auto"/>
                <w:highlight w:val="none"/>
              </w:rPr>
              <w:t>竞标总报价（包含税费等所有费用）：</w:t>
            </w:r>
            <w:r>
              <w:rPr>
                <w:rFonts w:hint="eastAsia" w:ascii="宋体" w:hAnsi="宋体" w:eastAsia="宋体" w:cs="宋体"/>
                <w:color w:val="auto"/>
                <w:highlight w:val="none"/>
                <w:u w:val="single"/>
              </w:rPr>
              <w:t>（大写）人民币                      （</w:t>
            </w:r>
            <w:r>
              <w:rPr>
                <w:rFonts w:hint="eastAsia" w:ascii="宋体" w:hAnsi="宋体" w:eastAsia="宋体" w:cs="宋体"/>
                <w:color w:val="auto"/>
                <w:highlight w:val="none"/>
                <w:u w:val="single"/>
                <w:lang w:eastAsia="zh-CN"/>
              </w:rPr>
              <w:t>小写</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63F0FAEA">
            <w:pPr>
              <w:pStyle w:val="29"/>
              <w:jc w:val="both"/>
              <w:rPr>
                <w:rFonts w:hint="eastAsia" w:ascii="宋体" w:hAnsi="宋体" w:eastAsia="宋体" w:cs="宋体"/>
                <w:color w:val="auto"/>
                <w:highlight w:val="none"/>
              </w:rPr>
            </w:pPr>
          </w:p>
        </w:tc>
      </w:tr>
      <w:tr w14:paraId="6E4D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5308503C">
            <w:pPr>
              <w:rPr>
                <w:rFonts w:hint="eastAsia" w:ascii="宋体" w:hAnsi="宋体" w:eastAsia="宋体" w:cs="宋体"/>
                <w:color w:val="auto"/>
                <w:highlight w:val="none"/>
              </w:rPr>
            </w:pPr>
            <w:r>
              <w:rPr>
                <w:rFonts w:hint="eastAsia" w:ascii="宋体" w:hAnsi="宋体" w:eastAsia="宋体" w:cs="宋体"/>
                <w:color w:val="auto"/>
                <w:highlight w:val="none"/>
                <w:lang w:eastAsia="zh-CN"/>
              </w:rPr>
              <w:t>交付时间</w:t>
            </w:r>
            <w:r>
              <w:rPr>
                <w:rFonts w:hint="eastAsia" w:ascii="宋体" w:hAnsi="宋体" w:eastAsia="宋体" w:cs="宋体"/>
                <w:color w:val="auto"/>
                <w:highlight w:val="none"/>
              </w:rPr>
              <w:t>：</w:t>
            </w:r>
          </w:p>
        </w:tc>
      </w:tr>
      <w:tr w14:paraId="01CD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6B0A2E04">
            <w:pPr>
              <w:spacing w:line="240" w:lineRule="auto"/>
              <w:ind w:firstLine="0"/>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备注</w:t>
            </w:r>
          </w:p>
        </w:tc>
        <w:tc>
          <w:tcPr>
            <w:tcW w:w="9094" w:type="dxa"/>
            <w:gridSpan w:val="7"/>
            <w:tcBorders>
              <w:top w:val="single" w:color="auto" w:sz="4" w:space="0"/>
              <w:left w:val="single" w:color="auto" w:sz="4" w:space="0"/>
              <w:bottom w:val="single" w:color="auto" w:sz="4" w:space="0"/>
              <w:right w:val="single" w:color="auto" w:sz="4" w:space="0"/>
            </w:tcBorders>
            <w:noWrap w:val="0"/>
            <w:vAlign w:val="center"/>
          </w:tcPr>
          <w:p w14:paraId="60664DE8">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lang w:val="en-US" w:eastAsia="zh-CN"/>
              </w:rPr>
              <w:t>根据《国务院办公厅关于在政府采购中实施本国产品标准及相关政策的通知》国办发〔2025〕34号的规定，我方为本政府采购项目提供的符合本国产品标准的产品成本之和占全部竞标产品成本之和的比例达到</w:t>
            </w:r>
            <w:r>
              <w:rPr>
                <w:rFonts w:hint="eastAsia" w:ascii="宋体" w:hAnsi="宋体" w:eastAsia="宋体" w:cs="宋体"/>
                <w:i w:val="0"/>
                <w:iCs w:val="0"/>
                <w:caps w:val="0"/>
                <w:color w:val="auto"/>
                <w:spacing w:val="0"/>
                <w:sz w:val="21"/>
                <w:szCs w:val="21"/>
                <w:highlight w:val="none"/>
                <w:u w:val="singl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w:t>
            </w:r>
          </w:p>
        </w:tc>
      </w:tr>
    </w:tbl>
    <w:p w14:paraId="16F14047">
      <w:pPr>
        <w:pStyle w:val="29"/>
        <w:numPr>
          <w:ilvl w:val="0"/>
          <w:numId w:val="0"/>
        </w:numPr>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w:t>
      </w:r>
    </w:p>
    <w:p w14:paraId="501A831A">
      <w:pPr>
        <w:pStyle w:val="29"/>
        <w:numPr>
          <w:ilvl w:val="0"/>
          <w:numId w:val="0"/>
        </w:numPr>
        <w:spacing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供应商需按本表格式填写，不得自行更改，也不得留空（</w:t>
      </w:r>
      <w:r>
        <w:rPr>
          <w:rFonts w:hint="eastAsia" w:ascii="宋体" w:hAnsi="宋体" w:eastAsia="宋体" w:cs="宋体"/>
          <w:color w:val="auto"/>
          <w:sz w:val="21"/>
          <w:szCs w:val="21"/>
          <w:highlight w:val="none"/>
          <w:lang w:val="en-US" w:eastAsia="zh-CN"/>
        </w:rPr>
        <w:t>备注栏除外</w:t>
      </w:r>
      <w:r>
        <w:rPr>
          <w:rFonts w:hint="eastAsia" w:ascii="宋体" w:hAnsi="宋体" w:eastAsia="宋体" w:cs="宋体"/>
          <w:color w:val="auto"/>
          <w:sz w:val="21"/>
          <w:szCs w:val="21"/>
          <w:highlight w:val="none"/>
          <w:lang w:val="zh-CN"/>
        </w:rPr>
        <w:t>）, 如有多分标，按分标分别提供</w:t>
      </w:r>
      <w:r>
        <w:rPr>
          <w:rFonts w:hint="eastAsia" w:ascii="宋体" w:hAnsi="宋体" w:eastAsia="宋体" w:cs="宋体"/>
          <w:color w:val="auto"/>
          <w:sz w:val="21"/>
          <w:szCs w:val="21"/>
          <w:highlight w:val="none"/>
          <w:lang w:val="en-US" w:eastAsia="zh-CN"/>
        </w:rPr>
        <w:t>最后</w:t>
      </w:r>
      <w:r>
        <w:rPr>
          <w:rFonts w:hint="eastAsia" w:ascii="宋体" w:hAnsi="宋体" w:eastAsia="宋体" w:cs="宋体"/>
          <w:color w:val="auto"/>
          <w:sz w:val="21"/>
          <w:szCs w:val="21"/>
          <w:highlight w:val="none"/>
          <w:lang w:val="zh-CN"/>
        </w:rPr>
        <w:t>报价表，</w:t>
      </w:r>
      <w:r>
        <w:rPr>
          <w:rFonts w:hint="eastAsia" w:ascii="宋体" w:hAnsi="宋体" w:eastAsia="宋体" w:cs="宋体"/>
          <w:b/>
          <w:color w:val="auto"/>
          <w:sz w:val="21"/>
          <w:szCs w:val="21"/>
          <w:highlight w:val="none"/>
          <w:lang w:val="zh-CN"/>
        </w:rPr>
        <w:t>否则其响应按无效响应处理</w:t>
      </w:r>
      <w:r>
        <w:rPr>
          <w:rFonts w:hint="eastAsia" w:ascii="宋体" w:hAnsi="宋体" w:eastAsia="宋体" w:cs="宋体"/>
          <w:b w:val="0"/>
          <w:bCs/>
          <w:color w:val="auto"/>
          <w:sz w:val="21"/>
          <w:szCs w:val="21"/>
          <w:highlight w:val="none"/>
          <w:lang w:val="zh-CN"/>
        </w:rPr>
        <w:t>。</w:t>
      </w:r>
    </w:p>
    <w:p w14:paraId="3A7BE7F7">
      <w:pPr>
        <w:spacing w:before="50" w:after="50" w:line="360" w:lineRule="auto"/>
        <w:ind w:firstLine="420"/>
        <w:jc w:val="left"/>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sz w:val="21"/>
          <w:szCs w:val="21"/>
          <w:highlight w:val="none"/>
          <w:lang w:val="zh-CN"/>
        </w:rPr>
        <w:t>否则其响应作无效响应处理。</w:t>
      </w:r>
    </w:p>
    <w:p w14:paraId="73592698">
      <w:pPr>
        <w:spacing w:before="50" w:after="50" w:line="360" w:lineRule="auto"/>
        <w:ind w:firstLine="420"/>
        <w:jc w:val="left"/>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zh-CN"/>
        </w:rPr>
        <w:t>3、以上表格要求细分项目及报价，在“标的名称”一栏中，填写具体货物，在“规格型号”一栏中，填写具体货物</w:t>
      </w:r>
      <w:r>
        <w:rPr>
          <w:rFonts w:hint="eastAsia" w:ascii="宋体" w:hAnsi="宋体" w:eastAsia="宋体" w:cs="宋体"/>
          <w:color w:val="auto"/>
          <w:sz w:val="21"/>
          <w:szCs w:val="21"/>
          <w:highlight w:val="none"/>
          <w:lang w:val="en-US" w:eastAsia="zh-CN"/>
        </w:rPr>
        <w:t>的规格型号</w:t>
      </w:r>
      <w:r>
        <w:rPr>
          <w:rFonts w:hint="eastAsia" w:ascii="宋体" w:hAnsi="宋体" w:eastAsia="宋体" w:cs="宋体"/>
          <w:color w:val="auto"/>
          <w:sz w:val="21"/>
          <w:szCs w:val="21"/>
          <w:highlight w:val="none"/>
          <w:lang w:val="zh-CN"/>
        </w:rPr>
        <w:t>（</w:t>
      </w:r>
      <w:r>
        <w:rPr>
          <w:rFonts w:hint="eastAsia" w:ascii="宋体" w:hAnsi="宋体" w:eastAsia="宋体" w:cs="宋体"/>
          <w:color w:val="auto"/>
          <w:highlight w:val="none"/>
          <w:lang w:val="en-US" w:eastAsia="zh-CN"/>
        </w:rPr>
        <w:t>如为定制产品，规格型号可以填写定制</w:t>
      </w:r>
      <w:r>
        <w:rPr>
          <w:rFonts w:hint="eastAsia" w:ascii="宋体" w:hAnsi="宋体" w:eastAsia="宋体" w:cs="宋体"/>
          <w:color w:val="auto"/>
          <w:sz w:val="21"/>
          <w:szCs w:val="21"/>
          <w:highlight w:val="none"/>
          <w:lang w:val="zh-CN"/>
        </w:rPr>
        <w:t>）</w:t>
      </w:r>
      <w:r>
        <w:rPr>
          <w:rFonts w:hint="eastAsia" w:ascii="宋体" w:hAnsi="宋体" w:eastAsia="宋体" w:cs="宋体"/>
          <w:color w:val="auto"/>
          <w:highlight w:val="none"/>
          <w:lang w:val="en-US" w:eastAsia="zh-CN"/>
        </w:rPr>
        <w:t>，</w:t>
      </w:r>
      <w:r>
        <w:rPr>
          <w:rFonts w:hint="eastAsia" w:ascii="宋体" w:hAnsi="宋体" w:eastAsia="宋体" w:cs="宋体"/>
          <w:b/>
          <w:color w:val="auto"/>
          <w:sz w:val="21"/>
          <w:szCs w:val="21"/>
          <w:highlight w:val="none"/>
          <w:lang w:val="zh-CN"/>
        </w:rPr>
        <w:t>否则其响应作无效响应处理。</w:t>
      </w:r>
    </w:p>
    <w:p w14:paraId="60E69DD0">
      <w:pPr>
        <w:spacing w:before="50" w:after="50" w:line="360" w:lineRule="auto"/>
        <w:ind w:left="0" w:firstLine="420"/>
        <w:jc w:val="left"/>
        <w:rPr>
          <w:rFonts w:hint="eastAsia" w:ascii="宋体" w:hAnsi="宋体" w:eastAsia="宋体" w:cs="宋体"/>
          <w:i/>
          <w:iCs/>
          <w:color w:val="auto"/>
          <w:sz w:val="21"/>
          <w:szCs w:val="21"/>
          <w:highlight w:val="none"/>
          <w:lang w:val="zh-CN"/>
        </w:rPr>
      </w:pPr>
    </w:p>
    <w:p w14:paraId="0F275175">
      <w:pPr>
        <w:spacing w:line="360" w:lineRule="auto"/>
        <w:ind w:left="0" w:firstLine="0"/>
        <w:rPr>
          <w:rFonts w:hint="eastAsia" w:ascii="宋体" w:hAnsi="宋体" w:eastAsia="宋体" w:cs="宋体"/>
          <w:i/>
          <w:iCs/>
          <w:color w:val="auto"/>
          <w:sz w:val="32"/>
          <w:szCs w:val="32"/>
          <w:highlight w:val="none"/>
          <w:lang w:val="zh-CN"/>
        </w:rPr>
      </w:pPr>
    </w:p>
    <w:p w14:paraId="025B104A">
      <w:pPr>
        <w:spacing w:line="360" w:lineRule="auto"/>
        <w:ind w:left="0" w:firstLine="0"/>
        <w:rPr>
          <w:rFonts w:hint="eastAsia" w:ascii="宋体" w:hAnsi="宋体" w:eastAsia="宋体" w:cs="宋体"/>
          <w:i/>
          <w:iCs/>
          <w:color w:val="auto"/>
          <w:sz w:val="32"/>
          <w:szCs w:val="32"/>
          <w:highlight w:val="none"/>
          <w:lang w:val="zh-CN"/>
        </w:rPr>
      </w:pPr>
    </w:p>
    <w:p w14:paraId="141A1B5B">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78C02A5B">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03FD2E4D">
      <w:pPr>
        <w:pStyle w:val="29"/>
        <w:rPr>
          <w:rFonts w:hint="eastAsia" w:ascii="宋体" w:hAnsi="宋体" w:eastAsia="宋体" w:cs="宋体"/>
          <w:color w:val="auto"/>
          <w:highlight w:val="none"/>
          <w:lang w:val="zh-CN"/>
        </w:rPr>
      </w:pPr>
    </w:p>
    <w:p w14:paraId="4AD65961">
      <w:pPr>
        <w:keepNext/>
        <w:keepLines/>
        <w:spacing w:before="260" w:after="260" w:line="416" w:lineRule="auto"/>
        <w:jc w:val="center"/>
        <w:outlineLvl w:val="1"/>
        <w:rPr>
          <w:rFonts w:hint="eastAsia" w:ascii="宋体" w:hAnsi="宋体" w:eastAsia="宋体" w:cs="宋体"/>
          <w:bCs/>
          <w:color w:val="auto"/>
          <w:sz w:val="32"/>
          <w:szCs w:val="32"/>
          <w:highlight w:val="none"/>
          <w:lang w:val="zh-CN" w:eastAsia="zh-CN"/>
        </w:rPr>
      </w:pPr>
      <w:r>
        <w:rPr>
          <w:rFonts w:hint="eastAsia" w:ascii="宋体" w:hAnsi="宋体" w:eastAsia="宋体" w:cs="宋体"/>
          <w:color w:val="auto"/>
          <w:sz w:val="24"/>
          <w:szCs w:val="32"/>
          <w:highlight w:val="none"/>
          <w:lang w:val="zh-CN" w:eastAsia="zh-CN"/>
        </w:rPr>
        <w:br w:type="page" w:clear="all"/>
      </w:r>
      <w:bookmarkStart w:id="155" w:name="_Toc80205942"/>
      <w:bookmarkStart w:id="156" w:name="_Toc23320"/>
      <w:bookmarkStart w:id="157" w:name="_Toc13939"/>
      <w:r>
        <w:rPr>
          <w:rFonts w:hint="eastAsia" w:ascii="宋体" w:hAnsi="宋体" w:eastAsia="宋体" w:cs="宋体"/>
          <w:b/>
          <w:bCs/>
          <w:color w:val="auto"/>
          <w:sz w:val="32"/>
          <w:szCs w:val="32"/>
          <w:highlight w:val="none"/>
          <w:lang w:val="zh-CN" w:eastAsia="zh-CN"/>
        </w:rPr>
        <w:t>第四节 其他文书、文件格式</w:t>
      </w:r>
      <w:bookmarkEnd w:id="155"/>
      <w:bookmarkEnd w:id="156"/>
      <w:bookmarkEnd w:id="157"/>
    </w:p>
    <w:p w14:paraId="27389842">
      <w:pPr>
        <w:spacing w:line="500" w:lineRule="exact"/>
        <w:ind w:firstLine="0"/>
        <w:rPr>
          <w:rFonts w:hint="eastAsia" w:ascii="宋体" w:hAnsi="宋体" w:eastAsia="宋体" w:cs="宋体"/>
          <w:b/>
          <w:color w:val="auto"/>
          <w:sz w:val="30"/>
          <w:szCs w:val="30"/>
          <w:highlight w:val="none"/>
          <w:lang w:val="zh-CN" w:eastAsia="zh-CN"/>
        </w:rPr>
      </w:pPr>
      <w:r>
        <w:rPr>
          <w:rFonts w:hint="eastAsia" w:ascii="宋体" w:hAnsi="宋体" w:eastAsia="宋体" w:cs="宋体"/>
          <w:b/>
          <w:color w:val="auto"/>
          <w:sz w:val="30"/>
          <w:szCs w:val="30"/>
          <w:highlight w:val="none"/>
          <w:lang w:val="en-US" w:eastAsia="zh-CN"/>
        </w:rPr>
        <w:t>1.</w:t>
      </w:r>
      <w:r>
        <w:rPr>
          <w:rFonts w:hint="eastAsia" w:ascii="宋体" w:hAnsi="宋体" w:eastAsia="宋体" w:cs="宋体"/>
          <w:b/>
          <w:color w:val="auto"/>
          <w:sz w:val="30"/>
          <w:szCs w:val="30"/>
          <w:highlight w:val="none"/>
          <w:lang w:val="zh-CN" w:eastAsia="zh-CN"/>
        </w:rPr>
        <w:t>中小企业声明函的格式：</w:t>
      </w:r>
    </w:p>
    <w:p w14:paraId="67FE451E">
      <w:pPr>
        <w:pStyle w:val="18"/>
        <w:rPr>
          <w:rFonts w:hint="eastAsia" w:ascii="宋体" w:hAnsi="宋体" w:eastAsia="宋体" w:cs="宋体"/>
          <w:color w:val="auto"/>
          <w:highlight w:val="none"/>
          <w:lang w:val="zh-CN" w:eastAsia="zh-CN"/>
        </w:rPr>
      </w:pPr>
    </w:p>
    <w:p w14:paraId="547F684F">
      <w:pPr>
        <w:spacing w:line="300" w:lineRule="auto"/>
        <w:ind w:firstLine="3534"/>
        <w:jc w:val="both"/>
        <w:rPr>
          <w:rFonts w:hint="eastAsia" w:ascii="宋体" w:hAnsi="宋体" w:eastAsia="宋体" w:cs="宋体"/>
          <w:color w:val="auto"/>
          <w:sz w:val="44"/>
          <w:szCs w:val="44"/>
          <w:highlight w:val="none"/>
        </w:rPr>
      </w:pPr>
      <w:r>
        <w:rPr>
          <w:rFonts w:hint="eastAsia" w:ascii="宋体" w:hAnsi="宋体" w:eastAsia="宋体" w:cs="宋体"/>
          <w:b/>
          <w:bCs/>
          <w:color w:val="auto"/>
          <w:sz w:val="32"/>
          <w:szCs w:val="32"/>
          <w:highlight w:val="none"/>
        </w:rPr>
        <w:t>中小企业声明函</w:t>
      </w:r>
    </w:p>
    <w:p w14:paraId="507FFC6A">
      <w:pPr>
        <w:spacing w:line="360" w:lineRule="auto"/>
        <w:ind w:left="-426" w:right="142" w:firstLine="640"/>
        <w:contextualSpacing/>
        <w:rPr>
          <w:rFonts w:hint="eastAsia" w:ascii="宋体" w:hAnsi="宋体" w:eastAsia="宋体" w:cs="宋体"/>
          <w:color w:val="auto"/>
          <w:sz w:val="24"/>
          <w:szCs w:val="24"/>
          <w:highlight w:val="none"/>
          <w:lang w:val="zh-CN" w:eastAsia="zh-CN"/>
        </w:rPr>
      </w:pPr>
    </w:p>
    <w:p w14:paraId="5F5C6764">
      <w:pPr>
        <w:spacing w:line="360" w:lineRule="auto"/>
        <w:ind w:left="-426" w:right="142" w:firstLine="640"/>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
          <w:iCs/>
          <w:color w:val="auto"/>
          <w:sz w:val="24"/>
          <w:szCs w:val="24"/>
          <w:highlight w:val="none"/>
          <w:u w:val="single"/>
          <w:lang w:val="en-US" w:eastAsia="zh-CN"/>
        </w:rPr>
        <w:t>（单位名称）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zh-CN" w:eastAsia="zh-CN"/>
        </w:rPr>
        <w:t>的</w:t>
      </w:r>
      <w:r>
        <w:rPr>
          <w:rFonts w:hint="eastAsia" w:ascii="宋体" w:hAnsi="宋体" w:eastAsia="宋体" w:cs="宋体"/>
          <w:i/>
          <w:iCs/>
          <w:color w:val="auto"/>
          <w:sz w:val="24"/>
          <w:szCs w:val="24"/>
          <w:highlight w:val="none"/>
          <w:u w:val="single"/>
          <w:lang w:val="en-US" w:eastAsia="zh-CN"/>
        </w:rPr>
        <w:t>（项目名称）</w:t>
      </w:r>
      <w:r>
        <w:rPr>
          <w:rFonts w:hint="eastAsia" w:ascii="宋体" w:hAnsi="宋体" w:eastAsia="宋体" w:cs="宋体"/>
          <w:color w:val="auto"/>
          <w:sz w:val="24"/>
          <w:szCs w:val="24"/>
          <w:highlight w:val="none"/>
          <w:lang w:val="zh-CN" w:eastAsia="zh-CN"/>
        </w:rPr>
        <w:t>采购活动，提供的货物全部由符合政策要求的中小企业制造。相关企业（含联合体中的中小企业、签订分包意向协议的中小企业）的具体情况如下：</w:t>
      </w:r>
    </w:p>
    <w:p w14:paraId="06436EA2">
      <w:pPr>
        <w:tabs>
          <w:tab w:val="left" w:pos="1384"/>
          <w:tab w:val="left" w:pos="4562"/>
          <w:tab w:val="left" w:pos="6803"/>
        </w:tabs>
        <w:spacing w:line="360" w:lineRule="auto"/>
        <w:ind w:left="-426" w:right="-58" w:firstLine="655"/>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51BE69C0">
      <w:pPr>
        <w:tabs>
          <w:tab w:val="left" w:pos="1065"/>
          <w:tab w:val="left" w:pos="6477"/>
        </w:tabs>
        <w:spacing w:line="360" w:lineRule="auto"/>
        <w:ind w:left="-426" w:right="-58" w:firstLine="655"/>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3F212258">
      <w:pPr>
        <w:spacing w:line="360" w:lineRule="auto"/>
        <w:ind w:left="142" w:right="14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 </w:t>
      </w:r>
    </w:p>
    <w:p w14:paraId="1034BE8B">
      <w:pPr>
        <w:spacing w:line="360" w:lineRule="auto"/>
        <w:ind w:left="-405" w:right="142" w:firstLine="453"/>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以上企业，不属于大企业的分支机构，不存在控股股东为大企业的情形，也不存在与大企业的负责人为同一人的情形。</w:t>
      </w:r>
    </w:p>
    <w:p w14:paraId="0098EE1E">
      <w:pPr>
        <w:spacing w:line="360" w:lineRule="auto"/>
        <w:ind w:left="-426" w:right="142" w:firstLine="567"/>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本企业对上述声明内容的真实性负责。如有虚假，将依法承担相应责任。</w:t>
      </w:r>
    </w:p>
    <w:p w14:paraId="303DDCE6">
      <w:pPr>
        <w:spacing w:line="360" w:lineRule="auto"/>
        <w:ind w:left="3960" w:right="1808"/>
        <w:contextualSpacing/>
        <w:rPr>
          <w:rFonts w:hint="eastAsia" w:ascii="宋体" w:hAnsi="宋体" w:eastAsia="宋体" w:cs="宋体"/>
          <w:color w:val="auto"/>
          <w:sz w:val="24"/>
          <w:szCs w:val="24"/>
          <w:highlight w:val="none"/>
          <w:lang w:val="zh-CN" w:eastAsia="zh-CN"/>
        </w:rPr>
      </w:pPr>
    </w:p>
    <w:p w14:paraId="00A77CD5">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2FFF26D4">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22EA58B8">
      <w:pPr>
        <w:spacing w:line="360" w:lineRule="auto"/>
        <w:ind w:left="3960" w:right="1808"/>
        <w:contextualSpacing/>
        <w:rPr>
          <w:rFonts w:hint="eastAsia" w:ascii="宋体" w:hAnsi="宋体" w:eastAsia="宋体" w:cs="宋体"/>
          <w:color w:val="auto"/>
          <w:szCs w:val="24"/>
          <w:highlight w:val="none"/>
          <w:lang w:val="zh-CN" w:eastAsia="zh-CN"/>
        </w:rPr>
      </w:pPr>
    </w:p>
    <w:p w14:paraId="12A9E1DD">
      <w:pPr>
        <w:spacing w:line="360" w:lineRule="auto"/>
        <w:ind w:firstLine="0"/>
        <w:contextualSpacing/>
        <w:jc w:val="left"/>
        <w:rPr>
          <w:rFonts w:hint="eastAsia" w:ascii="宋体" w:hAnsi="宋体" w:eastAsia="宋体" w:cs="宋体"/>
          <w:color w:val="auto"/>
          <w:sz w:val="21"/>
          <w:szCs w:val="21"/>
          <w:highlight w:val="none"/>
        </w:rPr>
      </w:pPr>
    </w:p>
    <w:p w14:paraId="218DE7EF">
      <w:pPr>
        <w:spacing w:line="400" w:lineRule="exact"/>
        <w:ind w:firstLine="48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注：享受《政府采购促进中小企业发展管理办法》（财库〔2020〕46号）规定的中小企业扶持政策的，采购人</w:t>
      </w:r>
      <w:r>
        <w:rPr>
          <w:rFonts w:hint="eastAsia" w:ascii="宋体" w:hAnsi="宋体" w:eastAsia="宋体" w:cs="宋体"/>
          <w:color w:val="auto"/>
          <w:sz w:val="24"/>
          <w:szCs w:val="24"/>
          <w:highlight w:val="none"/>
          <w:lang w:eastAsia="zh-CN"/>
        </w:rPr>
        <w:t>或者</w:t>
      </w:r>
      <w:r>
        <w:rPr>
          <w:rFonts w:hint="eastAsia" w:ascii="宋体" w:hAnsi="宋体" w:eastAsia="宋体" w:cs="宋体"/>
          <w:color w:val="auto"/>
          <w:sz w:val="24"/>
          <w:szCs w:val="24"/>
          <w:highlight w:val="none"/>
        </w:rPr>
        <w:t>采购代理机构应当随成交结果公开成交供应商的《中小企业声明函》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接受社会监督。从业人员、营业收入、资产总额填报上一年度数据，无上一年度数据的新成立企业可不填报。</w:t>
      </w:r>
    </w:p>
    <w:p w14:paraId="773CE658">
      <w:pPr>
        <w:pStyle w:val="29"/>
        <w:rPr>
          <w:rFonts w:hint="eastAsia" w:ascii="宋体" w:hAnsi="宋体" w:eastAsia="宋体" w:cs="宋体"/>
          <w:color w:val="auto"/>
          <w:sz w:val="24"/>
          <w:szCs w:val="24"/>
          <w:highlight w:val="none"/>
        </w:rPr>
      </w:pPr>
    </w:p>
    <w:p w14:paraId="3A830A8D">
      <w:pPr>
        <w:spacing w:line="520" w:lineRule="exact"/>
        <w:rPr>
          <w:rFonts w:hint="eastAsia" w:ascii="宋体" w:hAnsi="宋体" w:eastAsia="宋体" w:cs="宋体"/>
          <w:color w:val="auto"/>
          <w:sz w:val="24"/>
          <w:szCs w:val="24"/>
          <w:highlight w:val="none"/>
        </w:rPr>
      </w:pPr>
    </w:p>
    <w:p w14:paraId="44ADCA4A">
      <w:pPr>
        <w:numPr>
          <w:ilvl w:val="0"/>
          <w:numId w:val="0"/>
        </w:numPr>
        <w:spacing w:line="520" w:lineRule="exact"/>
        <w:jc w:val="both"/>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2.残疾人福利性单位声明函的格式：</w:t>
      </w:r>
    </w:p>
    <w:p w14:paraId="1C65E65F">
      <w:pPr>
        <w:numPr>
          <w:ilvl w:val="0"/>
          <w:numId w:val="0"/>
        </w:numPr>
        <w:spacing w:line="520" w:lineRule="exact"/>
        <w:jc w:val="both"/>
        <w:rPr>
          <w:rFonts w:hint="eastAsia" w:ascii="宋体" w:hAnsi="宋体" w:eastAsia="宋体" w:cs="宋体"/>
          <w:b/>
          <w:color w:val="auto"/>
          <w:sz w:val="28"/>
          <w:szCs w:val="28"/>
          <w:highlight w:val="none"/>
          <w:lang w:val="en-US" w:eastAsia="zh-CN"/>
        </w:rPr>
      </w:pPr>
    </w:p>
    <w:p w14:paraId="2D30B1D9">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残疾人福利性单位声明函</w:t>
      </w:r>
    </w:p>
    <w:p w14:paraId="7DEEB473">
      <w:pPr>
        <w:spacing w:line="520" w:lineRule="exact"/>
        <w:rPr>
          <w:rFonts w:hint="eastAsia" w:ascii="宋体" w:hAnsi="宋体" w:eastAsia="宋体" w:cs="宋体"/>
          <w:color w:val="auto"/>
          <w:sz w:val="32"/>
          <w:szCs w:val="32"/>
          <w:highlight w:val="none"/>
        </w:rPr>
      </w:pPr>
    </w:p>
    <w:p w14:paraId="72216FFF">
      <w:pPr>
        <w:spacing w:line="36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17A1D07D">
      <w:pPr>
        <w:spacing w:line="36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66FF517B">
      <w:pPr>
        <w:spacing w:line="360" w:lineRule="auto"/>
        <w:contextualSpacing/>
        <w:rPr>
          <w:rFonts w:hint="eastAsia" w:ascii="宋体" w:hAnsi="宋体" w:eastAsia="宋体" w:cs="宋体"/>
          <w:color w:val="auto"/>
          <w:sz w:val="24"/>
          <w:szCs w:val="24"/>
          <w:highlight w:val="none"/>
        </w:rPr>
      </w:pPr>
    </w:p>
    <w:p w14:paraId="2FAE4CF8">
      <w:pPr>
        <w:spacing w:line="360" w:lineRule="auto"/>
        <w:contextualSpacing/>
        <w:rPr>
          <w:rFonts w:hint="eastAsia" w:ascii="宋体" w:hAnsi="宋体" w:eastAsia="宋体" w:cs="宋体"/>
          <w:color w:val="auto"/>
          <w:sz w:val="24"/>
          <w:szCs w:val="24"/>
          <w:highlight w:val="none"/>
        </w:rPr>
      </w:pPr>
    </w:p>
    <w:p w14:paraId="0D46FDE2">
      <w:pPr>
        <w:spacing w:line="360" w:lineRule="auto"/>
        <w:contextualSpacing/>
        <w:rPr>
          <w:rFonts w:hint="eastAsia" w:ascii="宋体" w:hAnsi="宋体" w:eastAsia="宋体" w:cs="宋体"/>
          <w:color w:val="auto"/>
          <w:sz w:val="24"/>
          <w:szCs w:val="24"/>
          <w:highlight w:val="none"/>
        </w:rPr>
      </w:pPr>
    </w:p>
    <w:p w14:paraId="482CB872">
      <w:pPr>
        <w:spacing w:line="360" w:lineRule="auto"/>
        <w:ind w:firstLine="24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560E602D">
      <w:pPr>
        <w:spacing w:line="360" w:lineRule="auto"/>
        <w:ind w:firstLine="432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14:paraId="112600D3">
      <w:pPr>
        <w:spacing w:line="360" w:lineRule="auto"/>
        <w:contextualSpacing/>
        <w:rPr>
          <w:rFonts w:hint="eastAsia" w:ascii="宋体" w:hAnsi="宋体" w:eastAsia="宋体" w:cs="宋体"/>
          <w:color w:val="auto"/>
          <w:sz w:val="24"/>
          <w:szCs w:val="24"/>
          <w:highlight w:val="none"/>
        </w:rPr>
      </w:pPr>
    </w:p>
    <w:p w14:paraId="0496ECF5">
      <w:pPr>
        <w:spacing w:line="360" w:lineRule="auto"/>
        <w:contextualSpacing/>
        <w:rPr>
          <w:rFonts w:hint="eastAsia" w:ascii="宋体" w:hAnsi="宋体" w:eastAsia="宋体" w:cs="宋体"/>
          <w:color w:val="auto"/>
          <w:sz w:val="24"/>
          <w:szCs w:val="24"/>
          <w:highlight w:val="none"/>
        </w:rPr>
      </w:pPr>
    </w:p>
    <w:p w14:paraId="1A18F991">
      <w:pPr>
        <w:spacing w:line="360" w:lineRule="auto"/>
        <w:contextualSpacing/>
        <w:rPr>
          <w:rFonts w:hint="eastAsia" w:ascii="宋体" w:hAnsi="宋体" w:eastAsia="宋体" w:cs="宋体"/>
          <w:color w:val="auto"/>
          <w:sz w:val="24"/>
          <w:szCs w:val="24"/>
          <w:highlight w:val="none"/>
        </w:rPr>
      </w:pPr>
    </w:p>
    <w:p w14:paraId="79BABFD9">
      <w:pPr>
        <w:spacing w:line="36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注：请根据自己的真实情况出具《残疾人福利性单位声明函》。依法享受中小企业</w:t>
      </w:r>
      <w:r>
        <w:rPr>
          <w:rFonts w:hint="eastAsia" w:ascii="宋体" w:hAnsi="宋体" w:eastAsia="宋体" w:cs="宋体"/>
          <w:color w:val="auto"/>
          <w:sz w:val="24"/>
          <w:szCs w:val="24"/>
          <w:highlight w:val="none"/>
          <w:lang w:eastAsia="zh-CN"/>
        </w:rPr>
        <w:t>扶持</w:t>
      </w:r>
      <w:r>
        <w:rPr>
          <w:rFonts w:hint="eastAsia" w:ascii="宋体" w:hAnsi="宋体" w:eastAsia="宋体" w:cs="宋体"/>
          <w:color w:val="auto"/>
          <w:sz w:val="24"/>
          <w:szCs w:val="24"/>
          <w:highlight w:val="none"/>
        </w:rPr>
        <w:t>政策的，采购人或者采购代理机构在公告</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结果时，同时公告其《残疾人福利性单位声明函》，接受社会监督。</w:t>
      </w:r>
    </w:p>
    <w:p w14:paraId="7A0B3366">
      <w:pPr>
        <w:pStyle w:val="29"/>
        <w:rPr>
          <w:rFonts w:hint="eastAsia" w:ascii="宋体" w:hAnsi="宋体" w:eastAsia="宋体" w:cs="宋体"/>
          <w:color w:val="auto"/>
          <w:sz w:val="24"/>
          <w:szCs w:val="24"/>
          <w:highlight w:val="none"/>
        </w:rPr>
      </w:pPr>
    </w:p>
    <w:p w14:paraId="3E18C605">
      <w:pPr>
        <w:pStyle w:val="29"/>
        <w:rPr>
          <w:rFonts w:hint="eastAsia" w:ascii="宋体" w:hAnsi="宋体" w:eastAsia="宋体" w:cs="宋体"/>
          <w:color w:val="auto"/>
          <w:sz w:val="24"/>
          <w:szCs w:val="24"/>
          <w:highlight w:val="none"/>
        </w:rPr>
      </w:pPr>
    </w:p>
    <w:p w14:paraId="4B42BDD2">
      <w:pPr>
        <w:pStyle w:val="29"/>
        <w:rPr>
          <w:rFonts w:hint="eastAsia" w:ascii="宋体" w:hAnsi="宋体" w:eastAsia="宋体" w:cs="宋体"/>
          <w:color w:val="auto"/>
          <w:sz w:val="24"/>
          <w:szCs w:val="24"/>
          <w:highlight w:val="none"/>
        </w:rPr>
      </w:pPr>
    </w:p>
    <w:p w14:paraId="4464489E">
      <w:pPr>
        <w:pStyle w:val="29"/>
        <w:rPr>
          <w:rFonts w:hint="eastAsia" w:ascii="宋体" w:hAnsi="宋体" w:eastAsia="宋体" w:cs="宋体"/>
          <w:color w:val="auto"/>
          <w:sz w:val="24"/>
          <w:szCs w:val="24"/>
          <w:highlight w:val="none"/>
        </w:rPr>
      </w:pPr>
    </w:p>
    <w:p w14:paraId="3071B589">
      <w:pPr>
        <w:pStyle w:val="29"/>
        <w:rPr>
          <w:rFonts w:hint="eastAsia" w:ascii="宋体" w:hAnsi="宋体" w:eastAsia="宋体" w:cs="宋体"/>
          <w:color w:val="auto"/>
          <w:sz w:val="24"/>
          <w:szCs w:val="24"/>
          <w:highlight w:val="none"/>
        </w:rPr>
      </w:pPr>
    </w:p>
    <w:p w14:paraId="6C73F31F">
      <w:pPr>
        <w:pStyle w:val="29"/>
        <w:rPr>
          <w:rFonts w:hint="eastAsia" w:ascii="宋体" w:hAnsi="宋体" w:eastAsia="宋体" w:cs="宋体"/>
          <w:color w:val="auto"/>
          <w:sz w:val="24"/>
          <w:szCs w:val="24"/>
          <w:highlight w:val="none"/>
        </w:rPr>
      </w:pPr>
    </w:p>
    <w:p w14:paraId="681CE688">
      <w:pPr>
        <w:pStyle w:val="29"/>
        <w:rPr>
          <w:rFonts w:hint="eastAsia" w:ascii="宋体" w:hAnsi="宋体" w:eastAsia="宋体" w:cs="宋体"/>
          <w:color w:val="auto"/>
          <w:sz w:val="24"/>
          <w:szCs w:val="24"/>
          <w:highlight w:val="none"/>
        </w:rPr>
      </w:pPr>
    </w:p>
    <w:p w14:paraId="634E082C">
      <w:pPr>
        <w:pStyle w:val="29"/>
        <w:rPr>
          <w:rFonts w:hint="eastAsia" w:ascii="宋体" w:hAnsi="宋体" w:eastAsia="宋体" w:cs="宋体"/>
          <w:color w:val="auto"/>
          <w:sz w:val="24"/>
          <w:szCs w:val="24"/>
          <w:highlight w:val="none"/>
        </w:rPr>
      </w:pPr>
    </w:p>
    <w:p w14:paraId="12515D5A">
      <w:pPr>
        <w:pStyle w:val="29"/>
        <w:rPr>
          <w:rFonts w:hint="eastAsia" w:ascii="宋体" w:hAnsi="宋体" w:eastAsia="宋体" w:cs="宋体"/>
          <w:color w:val="auto"/>
          <w:sz w:val="24"/>
          <w:szCs w:val="24"/>
          <w:highlight w:val="none"/>
        </w:rPr>
      </w:pPr>
    </w:p>
    <w:p w14:paraId="4F0B5290">
      <w:pPr>
        <w:pStyle w:val="29"/>
        <w:rPr>
          <w:rFonts w:hint="eastAsia" w:ascii="宋体" w:hAnsi="宋体" w:eastAsia="宋体" w:cs="宋体"/>
          <w:color w:val="auto"/>
          <w:sz w:val="24"/>
          <w:szCs w:val="24"/>
          <w:highlight w:val="none"/>
        </w:rPr>
      </w:pPr>
    </w:p>
    <w:p w14:paraId="44F19F89">
      <w:pPr>
        <w:pStyle w:val="29"/>
        <w:rPr>
          <w:rFonts w:hint="eastAsia" w:ascii="宋体" w:hAnsi="宋体" w:eastAsia="宋体" w:cs="宋体"/>
          <w:color w:val="auto"/>
          <w:sz w:val="24"/>
          <w:szCs w:val="24"/>
          <w:highlight w:val="none"/>
        </w:rPr>
      </w:pPr>
    </w:p>
    <w:p w14:paraId="781C8211">
      <w:pPr>
        <w:rPr>
          <w:rFonts w:hint="eastAsia" w:ascii="宋体" w:hAnsi="宋体" w:eastAsia="宋体" w:cs="宋体"/>
          <w:color w:val="auto"/>
          <w:sz w:val="24"/>
          <w:szCs w:val="24"/>
          <w:highlight w:val="none"/>
        </w:rPr>
      </w:pPr>
    </w:p>
    <w:p w14:paraId="2A5CFF7D">
      <w:pPr>
        <w:rPr>
          <w:rFonts w:hint="eastAsia" w:ascii="宋体" w:hAnsi="宋体" w:eastAsia="宋体" w:cs="宋体"/>
          <w:color w:val="auto"/>
          <w:sz w:val="24"/>
          <w:szCs w:val="24"/>
          <w:highlight w:val="none"/>
        </w:rPr>
      </w:pPr>
    </w:p>
    <w:p w14:paraId="56747547">
      <w:pPr>
        <w:pStyle w:val="29"/>
        <w:rPr>
          <w:rFonts w:hint="eastAsia" w:ascii="宋体" w:hAnsi="宋体" w:eastAsia="宋体" w:cs="宋体"/>
          <w:color w:val="auto"/>
          <w:sz w:val="24"/>
          <w:szCs w:val="24"/>
          <w:highlight w:val="none"/>
        </w:rPr>
      </w:pPr>
    </w:p>
    <w:p w14:paraId="78BDCD09">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b/>
          <w:i w:val="0"/>
          <w:iCs w:val="0"/>
          <w:caps w:val="0"/>
          <w:color w:val="auto"/>
          <w:spacing w:val="0"/>
          <w:sz w:val="30"/>
          <w:szCs w:val="30"/>
          <w:highlight w:val="none"/>
          <w:shd w:val="clear" w:color="auto" w:fill="auto"/>
        </w:rPr>
      </w:pPr>
      <w:r>
        <w:rPr>
          <w:rFonts w:hint="eastAsia" w:ascii="宋体" w:hAnsi="宋体" w:eastAsia="宋体" w:cs="宋体"/>
          <w:b/>
          <w:color w:val="auto"/>
          <w:sz w:val="28"/>
          <w:szCs w:val="28"/>
          <w:highlight w:val="none"/>
          <w:lang w:val="en-US" w:eastAsia="zh-CN"/>
        </w:rPr>
        <w:t>3.</w:t>
      </w:r>
      <w:r>
        <w:rPr>
          <w:rFonts w:hint="eastAsia" w:ascii="宋体" w:hAnsi="宋体" w:eastAsia="宋体" w:cs="宋体"/>
          <w:b/>
          <w:i w:val="0"/>
          <w:iCs w:val="0"/>
          <w:caps w:val="0"/>
          <w:color w:val="auto"/>
          <w:spacing w:val="0"/>
          <w:sz w:val="28"/>
          <w:szCs w:val="28"/>
          <w:highlight w:val="none"/>
          <w:shd w:val="clear" w:color="auto" w:fill="auto"/>
        </w:rPr>
        <w:t>关于符合本国产品标准的声明函</w:t>
      </w:r>
      <w:r>
        <w:rPr>
          <w:rFonts w:hint="eastAsia" w:ascii="宋体" w:hAnsi="宋体" w:eastAsia="宋体" w:cs="宋体"/>
          <w:b/>
          <w:color w:val="auto"/>
          <w:sz w:val="28"/>
          <w:szCs w:val="28"/>
          <w:highlight w:val="none"/>
          <w:lang w:val="en-US" w:eastAsia="zh-CN"/>
        </w:rPr>
        <w:t>的格式：</w:t>
      </w:r>
    </w:p>
    <w:p w14:paraId="7C48126C">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center"/>
        <w:rPr>
          <w:rFonts w:hint="eastAsia" w:ascii="宋体" w:hAnsi="宋体" w:eastAsia="宋体" w:cs="宋体"/>
          <w:b/>
          <w:i w:val="0"/>
          <w:iCs w:val="0"/>
          <w:caps w:val="0"/>
          <w:color w:val="auto"/>
          <w:spacing w:val="0"/>
          <w:sz w:val="30"/>
          <w:szCs w:val="30"/>
          <w:highlight w:val="none"/>
          <w:shd w:val="clear" w:color="auto" w:fill="auto"/>
        </w:rPr>
      </w:pPr>
    </w:p>
    <w:p w14:paraId="6EC18E9D">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b/>
          <w:i w:val="0"/>
          <w:iCs w:val="0"/>
          <w:caps w:val="0"/>
          <w:color w:val="auto"/>
          <w:spacing w:val="0"/>
          <w:sz w:val="30"/>
          <w:szCs w:val="30"/>
          <w:highlight w:val="none"/>
          <w:shd w:val="clear" w:color="auto" w:fill="auto"/>
        </w:rPr>
        <w:t>关于符合本国产品标准的声明函</w:t>
      </w:r>
    </w:p>
    <w:p w14:paraId="471C9BFB">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14:paraId="6B4D2869">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本公司（单位）郑重声明，根据《国务院办公厅关于在政府采购中实施本国产品标准及相关政策的通知》（国办发〔2025〕34号）的规定，本公司（单位）提供的以下产品属于本国产品。具体情况如下：</w:t>
      </w:r>
    </w:p>
    <w:p w14:paraId="01CA78DF">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1.</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（产品名称1）</w:t>
      </w:r>
      <w:r>
        <w:rPr>
          <w:rStyle w:val="51"/>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shd w:val="clear" w:color="auto" w:fill="FFFFFF"/>
        </w:rPr>
        <w:t>，生产厂为</w:t>
      </w:r>
      <w:r>
        <w:rPr>
          <w:rStyle w:val="51"/>
          <w:rFonts w:hint="eastAsia" w:ascii="宋体" w:hAnsi="宋体" w:eastAsia="宋体" w:cs="宋体"/>
          <w:i w:val="0"/>
          <w:iCs w:val="0"/>
          <w:caps w:val="0"/>
          <w:color w:val="auto"/>
          <w:spacing w:val="0"/>
          <w:sz w:val="24"/>
          <w:szCs w:val="24"/>
          <w:highlight w:val="none"/>
          <w:u w:val="single"/>
          <w:shd w:val="clear" w:color="auto" w:fill="FFFFFF"/>
        </w:rPr>
        <w:t>（厂名）</w:t>
      </w:r>
      <w:r>
        <w:rPr>
          <w:rStyle w:val="51"/>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shd w:val="clear" w:color="auto" w:fill="FFFFFF"/>
        </w:rPr>
        <w:t>，厂址为</w:t>
      </w:r>
      <w:r>
        <w:rPr>
          <w:rStyle w:val="51"/>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51"/>
          <w:rFonts w:hint="eastAsia" w:ascii="宋体" w:hAnsi="宋体" w:eastAsia="宋体" w:cs="宋体"/>
          <w:i w:val="0"/>
          <w:iCs w:val="0"/>
          <w:caps w:val="0"/>
          <w:color w:val="auto"/>
          <w:spacing w:val="0"/>
          <w:sz w:val="24"/>
          <w:szCs w:val="24"/>
          <w:highlight w:val="none"/>
          <w:u w:val="single"/>
          <w:shd w:val="clear" w:color="auto" w:fill="FFFFFF"/>
        </w:rPr>
        <w:t>（规定比例）</w:t>
      </w:r>
      <w:r>
        <w:rPr>
          <w:rStyle w:val="51"/>
          <w:rFonts w:hint="eastAsia" w:ascii="宋体" w:hAnsi="宋体" w:eastAsia="宋体" w:cs="宋体"/>
          <w:i w:val="0"/>
          <w:iCs w:val="0"/>
          <w:caps w:val="0"/>
          <w:color w:val="auto"/>
          <w:spacing w:val="0"/>
          <w:sz w:val="24"/>
          <w:szCs w:val="24"/>
          <w:highlight w:val="none"/>
          <w:u w:val="none"/>
          <w:shd w:val="clear" w:color="auto" w:fill="FFFFFF"/>
          <w:vertAlign w:val="superscript"/>
        </w:rPr>
        <w:t>3</w:t>
      </w:r>
      <w:r>
        <w:rPr>
          <w:rFonts w:hint="eastAsia" w:ascii="宋体" w:hAnsi="宋体" w:eastAsia="宋体" w:cs="宋体"/>
          <w:i w:val="0"/>
          <w:iCs w:val="0"/>
          <w:caps w:val="0"/>
          <w:color w:val="auto"/>
          <w:spacing w:val="0"/>
          <w:sz w:val="24"/>
          <w:szCs w:val="24"/>
          <w:highlight w:val="none"/>
          <w:shd w:val="clear" w:color="auto" w:fill="FFFFFF"/>
        </w:rPr>
        <w:t>。</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51"/>
          <w:rFonts w:hint="eastAsia" w:ascii="宋体" w:hAnsi="宋体" w:eastAsia="宋体" w:cs="宋体"/>
          <w:i w:val="0"/>
          <w:iCs w:val="0"/>
          <w:caps w:val="0"/>
          <w:color w:val="auto"/>
          <w:spacing w:val="0"/>
          <w:sz w:val="24"/>
          <w:szCs w:val="24"/>
          <w:highlight w:val="none"/>
          <w:u w:val="single"/>
          <w:shd w:val="clear" w:color="auto" w:fill="FFFFFF"/>
        </w:rPr>
        <w:t>（关键组件）</w:t>
      </w:r>
      <w:r>
        <w:rPr>
          <w:rStyle w:val="51"/>
          <w:rFonts w:hint="eastAsia" w:ascii="宋体" w:hAnsi="宋体" w:eastAsia="宋体" w:cs="宋体"/>
          <w:i w:val="0"/>
          <w:iCs w:val="0"/>
          <w:caps w:val="0"/>
          <w:color w:val="auto"/>
          <w:spacing w:val="0"/>
          <w:sz w:val="24"/>
          <w:szCs w:val="24"/>
          <w:highlight w:val="none"/>
          <w:u w:val="none"/>
          <w:shd w:val="clear" w:color="auto" w:fill="FFFFFF"/>
          <w:vertAlign w:val="superscript"/>
        </w:rPr>
        <w:t>4</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51"/>
          <w:rFonts w:hint="eastAsia" w:ascii="宋体" w:hAnsi="宋体" w:eastAsia="宋体" w:cs="宋体"/>
          <w:i w:val="0"/>
          <w:iCs w:val="0"/>
          <w:caps w:val="0"/>
          <w:color w:val="auto"/>
          <w:spacing w:val="0"/>
          <w:sz w:val="24"/>
          <w:szCs w:val="24"/>
          <w:highlight w:val="none"/>
          <w:u w:val="single"/>
          <w:shd w:val="clear" w:color="auto" w:fill="FFFFFF"/>
        </w:rPr>
        <w:t>（关键工序）</w:t>
      </w:r>
      <w:r>
        <w:rPr>
          <w:rStyle w:val="51"/>
          <w:rFonts w:hint="eastAsia" w:ascii="宋体" w:hAnsi="宋体" w:eastAsia="宋体" w:cs="宋体"/>
          <w:i w:val="0"/>
          <w:iCs w:val="0"/>
          <w:caps w:val="0"/>
          <w:color w:val="auto"/>
          <w:spacing w:val="0"/>
          <w:sz w:val="24"/>
          <w:szCs w:val="24"/>
          <w:highlight w:val="none"/>
          <w:u w:val="none"/>
          <w:shd w:val="clear" w:color="auto" w:fill="FFFFFF"/>
          <w:vertAlign w:val="superscript"/>
        </w:rPr>
        <w:t>5</w:t>
      </w:r>
      <w:r>
        <w:rPr>
          <w:rFonts w:hint="eastAsia" w:ascii="宋体" w:hAnsi="宋体" w:eastAsia="宋体" w:cs="宋体"/>
          <w:i w:val="0"/>
          <w:iCs w:val="0"/>
          <w:caps w:val="0"/>
          <w:color w:val="auto"/>
          <w:spacing w:val="0"/>
          <w:sz w:val="24"/>
          <w:szCs w:val="24"/>
          <w:highlight w:val="none"/>
          <w:shd w:val="clear" w:color="auto" w:fill="FFFFFF"/>
        </w:rPr>
        <w:t>在中国境内完成。</w:t>
      </w:r>
    </w:p>
    <w:p w14:paraId="6A732C99">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2.</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，生产厂为</w:t>
      </w:r>
      <w:r>
        <w:rPr>
          <w:rStyle w:val="51"/>
          <w:rFonts w:hint="eastAsia" w:ascii="宋体" w:hAnsi="宋体" w:eastAsia="宋体" w:cs="宋体"/>
          <w:i w:val="0"/>
          <w:iCs w:val="0"/>
          <w:caps w:val="0"/>
          <w:color w:val="auto"/>
          <w:spacing w:val="0"/>
          <w:sz w:val="24"/>
          <w:szCs w:val="24"/>
          <w:highlight w:val="none"/>
          <w:u w:val="single"/>
          <w:shd w:val="clear" w:color="auto" w:fill="FFFFFF"/>
        </w:rPr>
        <w:t>（厂名）</w:t>
      </w:r>
      <w:r>
        <w:rPr>
          <w:rFonts w:hint="eastAsia" w:ascii="宋体" w:hAnsi="宋体" w:eastAsia="宋体" w:cs="宋体"/>
          <w:i w:val="0"/>
          <w:iCs w:val="0"/>
          <w:caps w:val="0"/>
          <w:color w:val="auto"/>
          <w:spacing w:val="0"/>
          <w:sz w:val="24"/>
          <w:szCs w:val="24"/>
          <w:highlight w:val="none"/>
          <w:shd w:val="clear" w:color="auto" w:fill="FFFFFF"/>
        </w:rPr>
        <w:t>，厂址为</w:t>
      </w:r>
      <w:r>
        <w:rPr>
          <w:rStyle w:val="51"/>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51"/>
          <w:rFonts w:hint="eastAsia" w:ascii="宋体" w:hAnsi="宋体" w:eastAsia="宋体" w:cs="宋体"/>
          <w:i w:val="0"/>
          <w:iCs w:val="0"/>
          <w:caps w:val="0"/>
          <w:color w:val="auto"/>
          <w:spacing w:val="0"/>
          <w:sz w:val="24"/>
          <w:szCs w:val="24"/>
          <w:highlight w:val="none"/>
          <w:u w:val="single"/>
          <w:shd w:val="clear" w:color="auto" w:fill="FFFFFF"/>
        </w:rPr>
        <w:t>（规定比例）</w:t>
      </w:r>
      <w:r>
        <w:rPr>
          <w:rFonts w:hint="eastAsia" w:ascii="宋体" w:hAnsi="宋体" w:eastAsia="宋体" w:cs="宋体"/>
          <w:i w:val="0"/>
          <w:iCs w:val="0"/>
          <w:caps w:val="0"/>
          <w:color w:val="auto"/>
          <w:spacing w:val="0"/>
          <w:sz w:val="24"/>
          <w:szCs w:val="24"/>
          <w:highlight w:val="none"/>
          <w:shd w:val="clear" w:color="auto" w:fill="FFFFFF"/>
        </w:rPr>
        <w:t>。</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51"/>
          <w:rFonts w:hint="eastAsia" w:ascii="宋体" w:hAnsi="宋体" w:eastAsia="宋体" w:cs="宋体"/>
          <w:i w:val="0"/>
          <w:iCs w:val="0"/>
          <w:caps w:val="0"/>
          <w:color w:val="auto"/>
          <w:spacing w:val="0"/>
          <w:sz w:val="24"/>
          <w:szCs w:val="24"/>
          <w:highlight w:val="none"/>
          <w:u w:val="single"/>
          <w:shd w:val="clear" w:color="auto" w:fill="FFFFFF"/>
        </w:rPr>
        <w:t>（关键组件）</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51"/>
          <w:rFonts w:hint="eastAsia" w:ascii="宋体" w:hAnsi="宋体" w:eastAsia="宋体" w:cs="宋体"/>
          <w:i w:val="0"/>
          <w:iCs w:val="0"/>
          <w:caps w:val="0"/>
          <w:color w:val="auto"/>
          <w:spacing w:val="0"/>
          <w:sz w:val="24"/>
          <w:szCs w:val="24"/>
          <w:highlight w:val="none"/>
          <w:u w:val="single"/>
          <w:shd w:val="clear" w:color="auto" w:fill="FFFFFF"/>
        </w:rPr>
        <w:t>（关键工序）</w:t>
      </w:r>
      <w:r>
        <w:rPr>
          <w:rFonts w:hint="eastAsia" w:ascii="宋体" w:hAnsi="宋体" w:eastAsia="宋体" w:cs="宋体"/>
          <w:i w:val="0"/>
          <w:iCs w:val="0"/>
          <w:caps w:val="0"/>
          <w:color w:val="auto"/>
          <w:spacing w:val="0"/>
          <w:sz w:val="24"/>
          <w:szCs w:val="24"/>
          <w:highlight w:val="none"/>
          <w:shd w:val="clear" w:color="auto" w:fill="FFFFFF"/>
        </w:rPr>
        <w:t>在中国境内完成。</w:t>
      </w:r>
    </w:p>
    <w:p w14:paraId="63DD5B04">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w:t>
      </w:r>
    </w:p>
    <w:p w14:paraId="33602709">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本公司（单位）对上述声明内容的真实性负责。如有虚假，愿承担相应法律责任。</w:t>
      </w:r>
    </w:p>
    <w:p w14:paraId="16F1ACE3">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rPr>
          <w:rFonts w:hint="eastAsia" w:ascii="宋体" w:hAnsi="宋体" w:eastAsia="宋体" w:cs="宋体"/>
          <w:i w:val="0"/>
          <w:iCs w:val="0"/>
          <w:caps w:val="0"/>
          <w:color w:val="auto"/>
          <w:spacing w:val="0"/>
          <w:sz w:val="24"/>
          <w:szCs w:val="24"/>
          <w:highlight w:val="none"/>
        </w:rPr>
      </w:pPr>
    </w:p>
    <w:p w14:paraId="48BED869">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公司（单位）名称（盖章）：　        </w:t>
      </w:r>
    </w:p>
    <w:p w14:paraId="72CD944E">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日期：　     年　  月　  日         </w:t>
      </w:r>
    </w:p>
    <w:p w14:paraId="5F361329">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lef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__________________</w:t>
      </w:r>
    </w:p>
    <w:p w14:paraId="77212A4A">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1.产品如有型号，请在“产品名称”栏一并填写。</w:t>
      </w:r>
    </w:p>
    <w:p w14:paraId="62D971E9">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2.生产厂名与厂址应与生产厂营业执照载明的相关信息保持一致。</w:t>
      </w:r>
    </w:p>
    <w:p w14:paraId="4616312E">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3.该产品的中国境内生产的组件成本占比相关要求实施前，“规定比例”栏可不填，下同。</w:t>
      </w:r>
    </w:p>
    <w:p w14:paraId="33728D31">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4.该产品的关键组件要求实施前，“关键组件”栏可不填，下同。</w:t>
      </w:r>
    </w:p>
    <w:p w14:paraId="00C5CD63">
      <w:pPr>
        <w:spacing w:line="360" w:lineRule="auto"/>
        <w:ind w:right="420" w:firstLine="420"/>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5.该产品的关键工序要求实施前，“关键工序”栏可不填，下同。</w:t>
      </w:r>
    </w:p>
    <w:p w14:paraId="647CB8F3">
      <w:pPr>
        <w:pStyle w:val="41"/>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auto"/>
          <w:spacing w:val="0"/>
          <w:sz w:val="24"/>
          <w:szCs w:val="24"/>
          <w:highlight w:val="none"/>
          <w:shd w:val="clear" w:color="auto" w:fill="FFFFFF"/>
          <w:lang w:val="en-US" w:eastAsia="zh-CN"/>
        </w:rPr>
      </w:pPr>
    </w:p>
    <w:p w14:paraId="0B16DBB9">
      <w:pPr>
        <w:pStyle w:val="29"/>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lang w:val="en-US" w:eastAsia="zh-CN"/>
        </w:rPr>
        <w:t>注：</w:t>
      </w:r>
      <w:r>
        <w:rPr>
          <w:rFonts w:hint="eastAsia" w:ascii="宋体" w:hAnsi="宋体" w:eastAsia="宋体" w:cs="宋体"/>
          <w:i w:val="0"/>
          <w:iCs w:val="0"/>
          <w:caps w:val="0"/>
          <w:color w:val="auto"/>
          <w:spacing w:val="0"/>
          <w:sz w:val="24"/>
          <w:szCs w:val="24"/>
          <w:highlight w:val="none"/>
          <w:shd w:val="clear" w:color="auto" w:fill="FFFFFF"/>
        </w:rPr>
        <w:t>成交供应商提供的《声明函》或有关证明文件随成交结果同时公告。</w:t>
      </w:r>
    </w:p>
    <w:p w14:paraId="53B2FBD1">
      <w:pPr>
        <w:rPr>
          <w:rFonts w:hint="eastAsia" w:ascii="宋体" w:hAnsi="宋体" w:eastAsia="宋体" w:cs="宋体"/>
          <w:i w:val="0"/>
          <w:iCs w:val="0"/>
          <w:caps w:val="0"/>
          <w:color w:val="auto"/>
          <w:spacing w:val="0"/>
          <w:sz w:val="24"/>
          <w:szCs w:val="24"/>
          <w:highlight w:val="none"/>
          <w:shd w:val="clear" w:color="auto" w:fill="FFFFFF"/>
        </w:rPr>
      </w:pPr>
    </w:p>
    <w:p w14:paraId="540498CB">
      <w:pPr>
        <w:rPr>
          <w:rFonts w:hint="eastAsia" w:ascii="宋体" w:hAnsi="宋体" w:eastAsia="宋体" w:cs="宋体"/>
          <w:i w:val="0"/>
          <w:iCs w:val="0"/>
          <w:caps w:val="0"/>
          <w:color w:val="auto"/>
          <w:spacing w:val="0"/>
          <w:sz w:val="24"/>
          <w:szCs w:val="24"/>
          <w:highlight w:val="none"/>
          <w:shd w:val="clear" w:color="auto" w:fill="FFFFFF"/>
        </w:rPr>
      </w:pPr>
    </w:p>
    <w:p w14:paraId="5FEB0428">
      <w:pPr>
        <w:rPr>
          <w:rFonts w:hint="eastAsia" w:ascii="宋体" w:hAnsi="宋体" w:eastAsia="宋体" w:cs="宋体"/>
          <w:i w:val="0"/>
          <w:iCs w:val="0"/>
          <w:caps w:val="0"/>
          <w:color w:val="auto"/>
          <w:spacing w:val="0"/>
          <w:sz w:val="24"/>
          <w:szCs w:val="24"/>
          <w:highlight w:val="none"/>
          <w:shd w:val="clear" w:color="auto" w:fill="FFFFFF"/>
        </w:rPr>
      </w:pPr>
    </w:p>
    <w:p w14:paraId="72AD4BB7">
      <w:pPr>
        <w:rPr>
          <w:rFonts w:hint="eastAsia" w:ascii="宋体" w:hAnsi="宋体" w:eastAsia="宋体" w:cs="宋体"/>
          <w:i w:val="0"/>
          <w:iCs w:val="0"/>
          <w:caps w:val="0"/>
          <w:color w:val="auto"/>
          <w:spacing w:val="0"/>
          <w:sz w:val="24"/>
          <w:szCs w:val="24"/>
          <w:highlight w:val="none"/>
          <w:shd w:val="clear" w:color="auto" w:fill="FFFFFF"/>
        </w:rPr>
      </w:pPr>
    </w:p>
    <w:p w14:paraId="7836D9ED">
      <w:pPr>
        <w:rPr>
          <w:rFonts w:hint="eastAsia" w:ascii="宋体" w:hAnsi="宋体" w:eastAsia="宋体" w:cs="宋体"/>
          <w:i w:val="0"/>
          <w:iCs w:val="0"/>
          <w:caps w:val="0"/>
          <w:color w:val="auto"/>
          <w:spacing w:val="0"/>
          <w:sz w:val="24"/>
          <w:szCs w:val="24"/>
          <w:highlight w:val="none"/>
          <w:shd w:val="clear" w:color="auto" w:fill="FFFFFF"/>
        </w:rPr>
      </w:pPr>
    </w:p>
    <w:p w14:paraId="24E88360">
      <w:pPr>
        <w:rPr>
          <w:rFonts w:hint="eastAsia" w:ascii="宋体" w:hAnsi="宋体" w:eastAsia="宋体" w:cs="宋体"/>
          <w:i w:val="0"/>
          <w:iCs w:val="0"/>
          <w:caps w:val="0"/>
          <w:color w:val="auto"/>
          <w:spacing w:val="0"/>
          <w:sz w:val="24"/>
          <w:szCs w:val="24"/>
          <w:highlight w:val="none"/>
          <w:shd w:val="clear" w:color="auto" w:fill="FFFFFF"/>
        </w:rPr>
      </w:pPr>
    </w:p>
    <w:p w14:paraId="2165A0DF">
      <w:pPr>
        <w:rPr>
          <w:rFonts w:hint="eastAsia" w:ascii="宋体" w:hAnsi="宋体" w:eastAsia="宋体" w:cs="宋体"/>
          <w:i w:val="0"/>
          <w:iCs w:val="0"/>
          <w:caps w:val="0"/>
          <w:color w:val="auto"/>
          <w:spacing w:val="0"/>
          <w:sz w:val="24"/>
          <w:szCs w:val="24"/>
          <w:highlight w:val="none"/>
          <w:shd w:val="clear" w:color="auto" w:fill="FFFFFF"/>
        </w:rPr>
      </w:pPr>
    </w:p>
    <w:p w14:paraId="23142347">
      <w:pPr>
        <w:rPr>
          <w:rFonts w:hint="eastAsia" w:ascii="宋体" w:hAnsi="宋体" w:eastAsia="宋体" w:cs="宋体"/>
          <w:i w:val="0"/>
          <w:iCs w:val="0"/>
          <w:caps w:val="0"/>
          <w:color w:val="auto"/>
          <w:spacing w:val="0"/>
          <w:sz w:val="24"/>
          <w:szCs w:val="24"/>
          <w:highlight w:val="none"/>
          <w:shd w:val="clear" w:color="auto" w:fill="FFFFFF"/>
        </w:rPr>
      </w:pPr>
    </w:p>
    <w:p w14:paraId="52F74D42">
      <w:pPr>
        <w:pStyle w:val="29"/>
        <w:rPr>
          <w:rFonts w:hint="eastAsia" w:ascii="宋体" w:hAnsi="宋体" w:eastAsia="宋体" w:cs="宋体"/>
          <w:color w:val="auto"/>
          <w:sz w:val="24"/>
          <w:szCs w:val="24"/>
          <w:highlight w:val="none"/>
        </w:rPr>
      </w:pPr>
    </w:p>
    <w:p w14:paraId="2D3B5472">
      <w:pPr>
        <w:widowControl/>
        <w:shd w:val="clear" w:color="auto" w:fill="FFFFFF"/>
        <w:spacing w:line="480" w:lineRule="atLeast"/>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广西壮族自治区政府采购项目合同验收书</w:t>
      </w:r>
      <w:r>
        <w:rPr>
          <w:rFonts w:hint="eastAsia" w:ascii="宋体" w:hAnsi="宋体" w:eastAsia="宋体" w:cs="宋体"/>
          <w:color w:val="auto"/>
          <w:sz w:val="28"/>
          <w:szCs w:val="28"/>
          <w:highlight w:val="none"/>
          <w:lang w:eastAsia="zh-CN"/>
        </w:rPr>
        <w:t>的</w:t>
      </w:r>
      <w:r>
        <w:rPr>
          <w:rFonts w:hint="eastAsia" w:ascii="宋体" w:hAnsi="宋体" w:eastAsia="宋体" w:cs="宋体"/>
          <w:color w:val="auto"/>
          <w:sz w:val="28"/>
          <w:szCs w:val="28"/>
          <w:highlight w:val="none"/>
        </w:rPr>
        <w:t>格式</w:t>
      </w:r>
      <w:r>
        <w:rPr>
          <w:rFonts w:hint="eastAsia" w:ascii="宋体" w:hAnsi="宋体" w:eastAsia="宋体" w:cs="宋体"/>
          <w:color w:val="auto"/>
          <w:sz w:val="28"/>
          <w:szCs w:val="28"/>
          <w:highlight w:val="none"/>
          <w:lang w:eastAsia="zh-CN"/>
        </w:rPr>
        <w:t>：</w:t>
      </w:r>
    </w:p>
    <w:p w14:paraId="68693897">
      <w:pPr>
        <w:widowControl/>
        <w:shd w:val="clear" w:color="auto" w:fill="auto"/>
        <w:spacing w:line="240" w:lineRule="auto"/>
        <w:jc w:val="left"/>
        <w:rPr>
          <w:rFonts w:hint="eastAsia" w:ascii="宋体" w:hAnsi="宋体" w:eastAsia="宋体" w:cs="宋体"/>
          <w:color w:val="auto"/>
          <w:sz w:val="28"/>
          <w:szCs w:val="28"/>
          <w:highlight w:val="none"/>
          <w:lang w:eastAsia="zh-CN"/>
        </w:rPr>
      </w:pPr>
    </w:p>
    <w:p w14:paraId="69E2E1CA">
      <w:pPr>
        <w:widowControl/>
        <w:shd w:val="clear" w:color="auto" w:fill="FFFFFF"/>
        <w:spacing w:line="480" w:lineRule="atLeast"/>
        <w:jc w:val="center"/>
        <w:rPr>
          <w:rFonts w:hint="eastAsia"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广西壮族自治区政府采购项目合同验收书</w:t>
      </w:r>
    </w:p>
    <w:p w14:paraId="0270297C">
      <w:pPr>
        <w:widowControl/>
        <w:shd w:val="clear" w:color="auto" w:fill="FFFFFF"/>
        <w:spacing w:line="480" w:lineRule="atLeast"/>
        <w:jc w:val="center"/>
        <w:rPr>
          <w:rFonts w:hint="eastAsia" w:ascii="宋体" w:hAnsi="宋体" w:eastAsia="宋体" w:cs="宋体"/>
          <w:color w:val="auto"/>
          <w:sz w:val="32"/>
          <w:szCs w:val="32"/>
          <w:highlight w:val="none"/>
        </w:rPr>
      </w:pPr>
    </w:p>
    <w:p w14:paraId="660F5701">
      <w:pPr>
        <w:widowControl/>
        <w:shd w:val="clear" w:color="auto" w:fill="FFFFFF"/>
        <w:spacing w:line="320"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根据政府采购项目（</w:t>
      </w:r>
      <w:r>
        <w:rPr>
          <w:rFonts w:hint="eastAsia" w:ascii="宋体" w:hAnsi="宋体" w:eastAsia="宋体" w:cs="宋体"/>
          <w:color w:val="auto"/>
          <w:sz w:val="21"/>
          <w:szCs w:val="21"/>
          <w:highlight w:val="none"/>
          <w:u w:val="single"/>
        </w:rPr>
        <w:t xml:space="preserve">采购合同编号： </w:t>
      </w:r>
      <w:r>
        <w:rPr>
          <w:rFonts w:hint="eastAsia" w:ascii="宋体" w:hAnsi="宋体" w:eastAsia="宋体" w:cs="宋体"/>
          <w:color w:val="auto"/>
          <w:sz w:val="21"/>
          <w:szCs w:val="21"/>
          <w:highlight w:val="none"/>
        </w:rPr>
        <w:t>）的约定，我单位对（</w:t>
      </w:r>
      <w:r>
        <w:rPr>
          <w:rFonts w:hint="eastAsia" w:ascii="宋体" w:hAnsi="宋体" w:eastAsia="宋体" w:cs="宋体"/>
          <w:color w:val="auto"/>
          <w:sz w:val="21"/>
          <w:szCs w:val="21"/>
          <w:highlight w:val="none"/>
          <w:u w:val="single"/>
        </w:rPr>
        <w:t xml:space="preserve"> 项目名称 </w:t>
      </w:r>
      <w:r>
        <w:rPr>
          <w:rFonts w:hint="eastAsia" w:ascii="宋体" w:hAnsi="宋体" w:eastAsia="宋体" w:cs="宋体"/>
          <w:color w:val="auto"/>
          <w:sz w:val="21"/>
          <w:szCs w:val="21"/>
          <w:highlight w:val="none"/>
        </w:rPr>
        <w:t>） 政府采购项目成交供应商（</w:t>
      </w:r>
      <w:r>
        <w:rPr>
          <w:rFonts w:hint="eastAsia" w:ascii="宋体" w:hAnsi="宋体" w:eastAsia="宋体" w:cs="宋体"/>
          <w:color w:val="auto"/>
          <w:sz w:val="21"/>
          <w:szCs w:val="21"/>
          <w:highlight w:val="none"/>
          <w:u w:val="single"/>
        </w:rPr>
        <w:t xml:space="preserve"> 公司名称 </w:t>
      </w:r>
      <w:r>
        <w:rPr>
          <w:rFonts w:hint="eastAsia" w:ascii="宋体" w:hAnsi="宋体" w:eastAsia="宋体" w:cs="宋体"/>
          <w:color w:val="auto"/>
          <w:sz w:val="21"/>
          <w:szCs w:val="21"/>
          <w:highlight w:val="none"/>
        </w:rPr>
        <w:t>） 提供的货物（或者工程、服务）进行了验收，验收情况如下：</w:t>
      </w:r>
    </w:p>
    <w:tbl>
      <w:tblPr>
        <w:tblStyle w:val="44"/>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29EA4D30">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052FDC64">
            <w:pPr>
              <w:widowControl/>
              <w:spacing w:before="100" w:beforeAutospacing="1" w:after="100" w:afterAutospacing="1" w:line="320" w:lineRule="atLeast"/>
              <w:ind w:firstLine="5"/>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297B9B13">
            <w:pPr>
              <w:widowControl/>
              <w:spacing w:before="100" w:beforeAutospacing="1" w:after="100" w:afterAutospacing="1" w:line="320"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□自行验收 □委托验收</w:t>
            </w:r>
          </w:p>
        </w:tc>
      </w:tr>
      <w:tr w14:paraId="77071478">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356C47B0">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63D0C87D">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438B9E09">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761696A9">
            <w:pPr>
              <w:widowControl/>
              <w:spacing w:before="100" w:beforeAutospacing="1" w:after="100" w:afterAutospacing="1" w:line="320"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428" w:type="dxa"/>
            <w:tcBorders>
              <w:top w:val="nil"/>
              <w:left w:val="nil"/>
              <w:bottom w:val="single" w:color="auto" w:sz="8" w:space="0"/>
              <w:right w:val="single" w:color="auto" w:sz="8" w:space="0"/>
            </w:tcBorders>
            <w:noWrap w:val="0"/>
            <w:vAlign w:val="center"/>
          </w:tcPr>
          <w:p w14:paraId="74C6EF5A">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w:t>
            </w:r>
          </w:p>
        </w:tc>
      </w:tr>
      <w:tr w14:paraId="526003A3">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77E70EB7">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17DC7727">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5B9E44A8">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539F1E0D">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4C270A88">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325FFC55">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67025F9C">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6A4386E8">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E3BB982">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298DFBA4">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0C1014BA">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7D8674A9">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493F4F4F">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3A001F6E">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57ACE732">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3EFADA0">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53587CC2">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1FE57CCA">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316B66B7">
            <w:pPr>
              <w:widowControl/>
              <w:spacing w:before="100" w:beforeAutospacing="1" w:after="100" w:afterAutospacing="1" w:line="320" w:lineRule="atLeast"/>
              <w:ind w:firstLine="5"/>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6FA2B269">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3222A110">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41A9D045">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76A1B0F2">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合计大写金额：  仟  佰  拾  万  仟  佰  拾  元</w:t>
            </w:r>
          </w:p>
        </w:tc>
      </w:tr>
      <w:tr w14:paraId="7DB5C55E">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48F51422">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1E35D565">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78D459B3">
            <w:pPr>
              <w:widowControl/>
              <w:spacing w:before="100" w:beforeAutospacing="1" w:after="100" w:afterAutospacing="1" w:line="320" w:lineRule="atLeast"/>
              <w:ind w:firstLine="46"/>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2BEF0225">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7A459EE6">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7BB27CC7">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43DB7334">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70C8D082">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05ADC2BC">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1581B99A">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0E33489">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6459EF5">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709F6B2E">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8D2341F">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213CB6AB">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验收结论性意见：</w:t>
            </w:r>
          </w:p>
        </w:tc>
      </w:tr>
      <w:tr w14:paraId="2AAD3FF0">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1075CD65">
            <w:pPr>
              <w:widowControl/>
              <w:jc w:val="left"/>
              <w:rPr>
                <w:rFonts w:hint="eastAsia" w:ascii="宋体" w:hAnsi="宋体" w:eastAsia="宋体" w:cs="宋体"/>
                <w:color w:val="auto"/>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59855052">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有异议的意见和说明理由：</w:t>
            </w:r>
          </w:p>
          <w:p w14:paraId="377709C1">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签字：</w:t>
            </w:r>
          </w:p>
        </w:tc>
      </w:tr>
      <w:tr w14:paraId="4B609402">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E445529">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验收小组成员签字：</w:t>
            </w:r>
          </w:p>
        </w:tc>
      </w:tr>
      <w:tr w14:paraId="34A32199">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C803AC3">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监督人员或者</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相关人员签字：</w:t>
            </w:r>
          </w:p>
          <w:p w14:paraId="129633B3">
            <w:pPr>
              <w:widowControl/>
              <w:spacing w:before="100" w:beforeAutospacing="1" w:after="100" w:afterAutospacing="1" w:line="320" w:lineRule="atLeast"/>
              <w:ind w:firstLine="74"/>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或者受邀机构的意见（盖章）：</w:t>
            </w:r>
          </w:p>
        </w:tc>
      </w:tr>
      <w:tr w14:paraId="1BE3E2AF">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56116EFF">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成交供应商负责人签字或者盖章：</w:t>
            </w:r>
          </w:p>
          <w:p w14:paraId="510B1984">
            <w:pPr>
              <w:widowControl/>
              <w:spacing w:before="100" w:beforeAutospacing="1" w:after="100" w:afterAutospacing="1" w:line="320" w:lineRule="atLeast"/>
              <w:jc w:val="left"/>
              <w:rPr>
                <w:rFonts w:hint="eastAsia" w:ascii="宋体" w:hAnsi="宋体" w:eastAsia="宋体" w:cs="宋体"/>
                <w:color w:val="auto"/>
                <w:szCs w:val="21"/>
                <w:highlight w:val="none"/>
              </w:rPr>
            </w:pPr>
          </w:p>
          <w:p w14:paraId="5BBE2ECB">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联系电话：                </w:t>
            </w:r>
          </w:p>
          <w:p w14:paraId="1B8FE5BF">
            <w:pPr>
              <w:widowControl/>
              <w:spacing w:before="100" w:beforeAutospacing="1" w:after="100" w:afterAutospacing="1" w:line="320" w:lineRule="atLeast"/>
              <w:ind w:firstLine="273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293" w:type="dxa"/>
            <w:gridSpan w:val="4"/>
            <w:tcBorders>
              <w:top w:val="nil"/>
              <w:left w:val="single" w:color="auto" w:sz="4" w:space="0"/>
              <w:bottom w:val="single" w:color="auto" w:sz="8" w:space="0"/>
              <w:right w:val="single" w:color="auto" w:sz="8" w:space="0"/>
            </w:tcBorders>
            <w:noWrap w:val="0"/>
            <w:vAlign w:val="center"/>
          </w:tcPr>
          <w:p w14:paraId="7A6C352C">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采购人或者受托机构的意见（盖章）：</w:t>
            </w:r>
          </w:p>
          <w:p w14:paraId="64D98C08">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p>
          <w:p w14:paraId="29859FA0">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联系电话：          </w:t>
            </w:r>
          </w:p>
          <w:p w14:paraId="54F90717">
            <w:pPr>
              <w:widowControl/>
              <w:spacing w:before="100" w:beforeAutospacing="1" w:after="100" w:afterAutospacing="1" w:line="320" w:lineRule="atLeast"/>
              <w:ind w:firstLine="21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bl>
    <w:p w14:paraId="55E077E2">
      <w:pPr>
        <w:pStyle w:val="24"/>
        <w:rPr>
          <w:rFonts w:hint="eastAsia" w:ascii="宋体" w:hAnsi="宋体" w:eastAsia="宋体" w:cs="宋体"/>
          <w:color w:val="auto"/>
          <w:highlight w:val="none"/>
        </w:rPr>
      </w:pPr>
      <w:r>
        <w:rPr>
          <w:rFonts w:hint="eastAsia" w:ascii="宋体" w:hAnsi="宋体" w:eastAsia="宋体" w:cs="宋体"/>
          <w:color w:val="auto"/>
          <w:highlight w:val="none"/>
        </w:rPr>
        <w:br w:type="page" w:clear="all"/>
      </w:r>
    </w:p>
    <w:p w14:paraId="139E5EC2">
      <w:pPr>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5.政府采购项目履约保证金退付意见书的格式：</w:t>
      </w:r>
    </w:p>
    <w:p w14:paraId="032277E2">
      <w:pPr>
        <w:jc w:val="both"/>
        <w:rPr>
          <w:rFonts w:hint="eastAsia" w:ascii="宋体" w:hAnsi="宋体" w:eastAsia="宋体" w:cs="宋体"/>
          <w:color w:val="auto"/>
          <w:sz w:val="28"/>
          <w:szCs w:val="28"/>
          <w:highlight w:val="none"/>
          <w:lang w:val="en-US" w:eastAsia="zh-CN"/>
        </w:rPr>
      </w:pPr>
    </w:p>
    <w:p w14:paraId="12CE88BD">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政府采购项目履约保证金退付意见书（参考）</w:t>
      </w:r>
    </w:p>
    <w:p w14:paraId="22A357C8">
      <w:pPr>
        <w:jc w:val="center"/>
        <w:rPr>
          <w:rFonts w:hint="eastAsia" w:ascii="宋体" w:hAnsi="宋体" w:eastAsia="宋体" w:cs="宋体"/>
          <w:color w:val="auto"/>
          <w:sz w:val="36"/>
          <w:szCs w:val="36"/>
          <w:highlight w:val="none"/>
        </w:rPr>
      </w:pPr>
    </w:p>
    <w:tbl>
      <w:tblPr>
        <w:tblStyle w:val="44"/>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5396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028EEC9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w:t>
            </w:r>
          </w:p>
          <w:p w14:paraId="760BE85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应</w:t>
            </w:r>
          </w:p>
          <w:p w14:paraId="609D552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商</w:t>
            </w:r>
          </w:p>
          <w:p w14:paraId="4ABD96C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申</w:t>
            </w:r>
          </w:p>
          <w:p w14:paraId="0BA22D0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请</w:t>
            </w:r>
          </w:p>
        </w:tc>
        <w:tc>
          <w:tcPr>
            <w:tcW w:w="8009" w:type="dxa"/>
            <w:noWrap w:val="0"/>
            <w:vAlign w:val="center"/>
          </w:tcPr>
          <w:p w14:paraId="7AB6E292">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p>
        </w:tc>
      </w:tr>
      <w:tr w14:paraId="0DC9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0C5AF8C2">
            <w:pPr>
              <w:rPr>
                <w:rFonts w:hint="eastAsia" w:ascii="宋体" w:hAnsi="宋体" w:eastAsia="宋体" w:cs="宋体"/>
                <w:color w:val="auto"/>
                <w:sz w:val="24"/>
                <w:highlight w:val="none"/>
              </w:rPr>
            </w:pPr>
          </w:p>
        </w:tc>
        <w:tc>
          <w:tcPr>
            <w:tcW w:w="8009" w:type="dxa"/>
            <w:noWrap w:val="0"/>
            <w:vAlign w:val="center"/>
          </w:tcPr>
          <w:p w14:paraId="2B3683FF">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r>
      <w:tr w14:paraId="43FF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060C9827">
            <w:pPr>
              <w:rPr>
                <w:rFonts w:hint="eastAsia" w:ascii="宋体" w:hAnsi="宋体" w:eastAsia="宋体" w:cs="宋体"/>
                <w:color w:val="auto"/>
                <w:sz w:val="24"/>
                <w:highlight w:val="none"/>
              </w:rPr>
            </w:pPr>
          </w:p>
        </w:tc>
        <w:tc>
          <w:tcPr>
            <w:tcW w:w="8009" w:type="dxa"/>
            <w:noWrap w:val="0"/>
            <w:vAlign w:val="top"/>
          </w:tcPr>
          <w:p w14:paraId="375C6045">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AE2B817">
            <w:pPr>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该项目已于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日验收并交付使用。根据合同规定，该项目的履约保证金期限于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日已满，请将履约保证金</w:t>
            </w:r>
          </w:p>
          <w:p w14:paraId="02B770FE">
            <w:pPr>
              <w:rPr>
                <w:rFonts w:hint="eastAsia" w:ascii="宋体" w:hAnsi="宋体" w:eastAsia="宋体" w:cs="宋体"/>
                <w:color w:val="auto"/>
                <w:sz w:val="24"/>
                <w:highlight w:val="none"/>
              </w:rPr>
            </w:pP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eastAsia="zh-CN"/>
              </w:rPr>
              <w:t>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退付到达以下</w:t>
            </w: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户。</w:t>
            </w:r>
          </w:p>
          <w:p w14:paraId="0B631F2F">
            <w:pP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p>
          <w:p w14:paraId="1A0899A3">
            <w:pP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p w14:paraId="492DD506">
            <w:pPr>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 xml:space="preserve">    号：</w:t>
            </w:r>
          </w:p>
          <w:p w14:paraId="259C5219">
            <w:pP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联系人及电话：</w:t>
            </w:r>
          </w:p>
          <w:p w14:paraId="56F4F040">
            <w:pPr>
              <w:rPr>
                <w:rFonts w:hint="eastAsia" w:ascii="宋体" w:hAnsi="宋体" w:eastAsia="宋体" w:cs="宋体"/>
                <w:color w:val="auto"/>
                <w:sz w:val="24"/>
                <w:highlight w:val="none"/>
              </w:rPr>
            </w:pPr>
          </w:p>
          <w:p w14:paraId="1ED4A80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供应商签章：</w:t>
            </w:r>
          </w:p>
          <w:p w14:paraId="6E51525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2FB8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7794CB3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w:t>
            </w:r>
          </w:p>
          <w:p w14:paraId="685CA29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购</w:t>
            </w:r>
          </w:p>
          <w:p w14:paraId="1669130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w:t>
            </w:r>
          </w:p>
          <w:p w14:paraId="29389DCD">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位</w:t>
            </w:r>
          </w:p>
          <w:p w14:paraId="6DECE57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意</w:t>
            </w:r>
          </w:p>
          <w:p w14:paraId="41E6235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w:t>
            </w:r>
          </w:p>
        </w:tc>
        <w:tc>
          <w:tcPr>
            <w:tcW w:w="8009" w:type="dxa"/>
            <w:noWrap w:val="0"/>
            <w:vAlign w:val="top"/>
          </w:tcPr>
          <w:p w14:paraId="57250011">
            <w:pPr>
              <w:rPr>
                <w:rFonts w:hint="eastAsia" w:ascii="宋体" w:hAnsi="宋体" w:eastAsia="宋体" w:cs="宋体"/>
                <w:color w:val="auto"/>
                <w:sz w:val="24"/>
                <w:highlight w:val="none"/>
              </w:rPr>
            </w:pPr>
          </w:p>
          <w:p w14:paraId="7036BCC9">
            <w:pPr>
              <w:rPr>
                <w:rFonts w:hint="eastAsia" w:ascii="宋体" w:hAnsi="宋体" w:eastAsia="宋体" w:cs="宋体"/>
                <w:color w:val="auto"/>
                <w:sz w:val="24"/>
                <w:highlight w:val="none"/>
              </w:rPr>
            </w:pPr>
            <w:r>
              <w:rPr>
                <w:rFonts w:hint="eastAsia" w:ascii="宋体" w:hAnsi="宋体" w:eastAsia="宋体" w:cs="宋体"/>
                <w:color w:val="auto"/>
                <w:sz w:val="24"/>
                <w:highlight w:val="none"/>
              </w:rPr>
              <w:t>退付意见：是否同意退付履约保证金及退付金额：</w:t>
            </w:r>
          </w:p>
          <w:p w14:paraId="0FFCB164">
            <w:pPr>
              <w:rPr>
                <w:rFonts w:hint="eastAsia" w:ascii="宋体" w:hAnsi="宋体" w:eastAsia="宋体" w:cs="宋体"/>
                <w:color w:val="auto"/>
                <w:sz w:val="24"/>
                <w:highlight w:val="none"/>
              </w:rPr>
            </w:pPr>
          </w:p>
          <w:p w14:paraId="2EC53B15">
            <w:pPr>
              <w:rPr>
                <w:rFonts w:hint="eastAsia" w:ascii="宋体" w:hAnsi="宋体" w:eastAsia="宋体" w:cs="宋体"/>
                <w:color w:val="auto"/>
                <w:sz w:val="24"/>
                <w:highlight w:val="none"/>
              </w:rPr>
            </w:pPr>
          </w:p>
          <w:p w14:paraId="789C4070">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联系人及电话：                                </w:t>
            </w:r>
          </w:p>
          <w:p w14:paraId="6C2CDC8D">
            <w:pPr>
              <w:rPr>
                <w:rFonts w:hint="eastAsia" w:ascii="宋体" w:hAnsi="宋体" w:eastAsia="宋体" w:cs="宋体"/>
                <w:color w:val="auto"/>
                <w:sz w:val="24"/>
                <w:highlight w:val="none"/>
              </w:rPr>
            </w:pPr>
          </w:p>
          <w:p w14:paraId="5DEFA8F8">
            <w:pPr>
              <w:ind w:firstLine="456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采购单位签章：</w:t>
            </w:r>
          </w:p>
          <w:p w14:paraId="769A1F5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0A8C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295DA46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财</w:t>
            </w:r>
          </w:p>
          <w:p w14:paraId="37F24D1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务</w:t>
            </w:r>
          </w:p>
          <w:p w14:paraId="63FEA35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部</w:t>
            </w:r>
          </w:p>
          <w:p w14:paraId="363A93C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门</w:t>
            </w:r>
          </w:p>
          <w:p w14:paraId="4E208BD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意</w:t>
            </w:r>
          </w:p>
          <w:p w14:paraId="294ABDC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w:t>
            </w:r>
          </w:p>
        </w:tc>
        <w:tc>
          <w:tcPr>
            <w:tcW w:w="8009" w:type="dxa"/>
            <w:noWrap w:val="0"/>
            <w:vAlign w:val="top"/>
          </w:tcPr>
          <w:p w14:paraId="6166B0B1">
            <w:pPr>
              <w:rPr>
                <w:rFonts w:hint="eastAsia" w:ascii="宋体" w:hAnsi="宋体" w:eastAsia="宋体" w:cs="宋体"/>
                <w:color w:val="auto"/>
                <w:sz w:val="24"/>
                <w:highlight w:val="none"/>
              </w:rPr>
            </w:pPr>
            <w:r>
              <w:rPr>
                <w:rFonts w:hint="eastAsia" w:ascii="宋体" w:hAnsi="宋体" w:eastAsia="宋体" w:cs="宋体"/>
                <w:color w:val="auto"/>
                <w:sz w:val="24"/>
                <w:highlight w:val="none"/>
              </w:rPr>
              <w:t>此表于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日收到。</w:t>
            </w:r>
          </w:p>
          <w:p w14:paraId="1BAC93B0">
            <w:pPr>
              <w:rPr>
                <w:rFonts w:hint="eastAsia" w:ascii="宋体" w:hAnsi="宋体" w:eastAsia="宋体" w:cs="宋体"/>
                <w:color w:val="auto"/>
                <w:sz w:val="24"/>
                <w:highlight w:val="none"/>
              </w:rPr>
            </w:pPr>
          </w:p>
          <w:p w14:paraId="445B806E">
            <w:pPr>
              <w:rPr>
                <w:rFonts w:hint="eastAsia" w:ascii="宋体" w:hAnsi="宋体" w:eastAsia="宋体" w:cs="宋体"/>
                <w:color w:val="auto"/>
                <w:sz w:val="24"/>
                <w:highlight w:val="none"/>
              </w:rPr>
            </w:pPr>
            <w:r>
              <w:rPr>
                <w:rFonts w:hint="eastAsia" w:ascii="宋体" w:hAnsi="宋体" w:eastAsia="宋体" w:cs="宋体"/>
                <w:color w:val="auto"/>
                <w:sz w:val="24"/>
                <w:highlight w:val="none"/>
              </w:rPr>
              <w:t>会计审核：</w:t>
            </w:r>
          </w:p>
          <w:p w14:paraId="43AB1673">
            <w:pPr>
              <w:rPr>
                <w:rFonts w:hint="eastAsia" w:ascii="宋体" w:hAnsi="宋体" w:eastAsia="宋体" w:cs="宋体"/>
                <w:color w:val="auto"/>
                <w:sz w:val="24"/>
                <w:highlight w:val="none"/>
              </w:rPr>
            </w:pPr>
          </w:p>
          <w:p w14:paraId="0B3B890E">
            <w:pPr>
              <w:rPr>
                <w:rFonts w:hint="eastAsia" w:ascii="宋体" w:hAnsi="宋体" w:eastAsia="宋体" w:cs="宋体"/>
                <w:color w:val="auto"/>
                <w:sz w:val="24"/>
                <w:highlight w:val="none"/>
              </w:rPr>
            </w:pPr>
            <w:r>
              <w:rPr>
                <w:rFonts w:hint="eastAsia" w:ascii="宋体" w:hAnsi="宋体" w:eastAsia="宋体" w:cs="宋体"/>
                <w:color w:val="auto"/>
                <w:sz w:val="24"/>
                <w:highlight w:val="none"/>
              </w:rPr>
              <w:t>财务负责人审核：</w:t>
            </w:r>
          </w:p>
          <w:p w14:paraId="29FF5E37">
            <w:pPr>
              <w:rPr>
                <w:rFonts w:hint="eastAsia" w:ascii="宋体" w:hAnsi="宋体" w:eastAsia="宋体" w:cs="宋体"/>
                <w:color w:val="auto"/>
                <w:sz w:val="24"/>
                <w:highlight w:val="none"/>
              </w:rPr>
            </w:pPr>
          </w:p>
          <w:p w14:paraId="42997399">
            <w:pP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单位负责人签字：</w:t>
            </w:r>
          </w:p>
          <w:p w14:paraId="18E3C052">
            <w:pPr>
              <w:rPr>
                <w:rFonts w:hint="eastAsia" w:ascii="宋体" w:hAnsi="宋体" w:eastAsia="宋体" w:cs="宋体"/>
                <w:color w:val="auto"/>
                <w:sz w:val="24"/>
                <w:highlight w:val="none"/>
              </w:rPr>
            </w:pPr>
          </w:p>
          <w:p w14:paraId="0E500405">
            <w:pPr>
              <w:rPr>
                <w:rFonts w:hint="eastAsia" w:ascii="宋体" w:hAnsi="宋体" w:eastAsia="宋体" w:cs="宋体"/>
                <w:color w:val="auto"/>
                <w:sz w:val="24"/>
                <w:highlight w:val="none"/>
              </w:rPr>
            </w:pPr>
            <w:r>
              <w:rPr>
                <w:rFonts w:hint="eastAsia" w:ascii="宋体" w:hAnsi="宋体" w:eastAsia="宋体" w:cs="宋体"/>
                <w:color w:val="auto"/>
                <w:sz w:val="24"/>
                <w:highlight w:val="none"/>
              </w:rPr>
              <w:t>出纳办理转</w:t>
            </w: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日期：</w:t>
            </w:r>
          </w:p>
        </w:tc>
      </w:tr>
    </w:tbl>
    <w:p w14:paraId="26687BD2">
      <w:pPr>
        <w:pStyle w:val="18"/>
        <w:ind w:left="1" w:firstLine="2"/>
        <w:rPr>
          <w:rFonts w:hint="eastAsia" w:ascii="宋体" w:hAnsi="宋体" w:eastAsia="宋体" w:cs="宋体"/>
          <w:b/>
          <w:bCs/>
          <w:color w:val="auto"/>
          <w:sz w:val="18"/>
          <w:szCs w:val="18"/>
          <w:highlight w:val="none"/>
        </w:rPr>
      </w:pPr>
    </w:p>
    <w:p w14:paraId="7F7164DF">
      <w:pPr>
        <w:pStyle w:val="18"/>
        <w:ind w:left="1" w:firstLine="2"/>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注：供应商凭经采购</w:t>
      </w:r>
      <w:r>
        <w:rPr>
          <w:rFonts w:hint="eastAsia" w:ascii="宋体" w:hAnsi="宋体" w:eastAsia="宋体" w:cs="宋体"/>
          <w:b/>
          <w:bCs/>
          <w:color w:val="auto"/>
          <w:sz w:val="18"/>
          <w:szCs w:val="18"/>
          <w:highlight w:val="none"/>
          <w:lang w:eastAsia="zh-CN"/>
        </w:rPr>
        <w:t>人</w:t>
      </w:r>
      <w:r>
        <w:rPr>
          <w:rFonts w:hint="eastAsia" w:ascii="宋体" w:hAnsi="宋体" w:eastAsia="宋体" w:cs="宋体"/>
          <w:b/>
          <w:bCs/>
          <w:color w:val="auto"/>
          <w:sz w:val="18"/>
          <w:szCs w:val="18"/>
          <w:highlight w:val="none"/>
        </w:rPr>
        <w:t>审批的退付意见书到履约保证金收取单位财务部门办理履约保证金退付事宜。</w:t>
      </w:r>
    </w:p>
    <w:p w14:paraId="3575F82D">
      <w:pPr>
        <w:pStyle w:val="29"/>
        <w:rPr>
          <w:rFonts w:hint="eastAsia" w:ascii="宋体" w:hAnsi="宋体" w:eastAsia="宋体" w:cs="宋体"/>
          <w:color w:val="auto"/>
          <w:sz w:val="24"/>
          <w:szCs w:val="24"/>
          <w:highlight w:val="none"/>
        </w:rPr>
      </w:pPr>
    </w:p>
    <w:p w14:paraId="30519917">
      <w:pPr>
        <w:spacing w:line="520" w:lineRule="exact"/>
        <w:jc w:val="center"/>
        <w:rPr>
          <w:rFonts w:hint="eastAsia" w:ascii="宋体" w:hAnsi="宋体" w:eastAsia="宋体" w:cs="宋体"/>
          <w:color w:val="auto"/>
          <w:sz w:val="24"/>
          <w:szCs w:val="24"/>
          <w:highlight w:val="none"/>
        </w:rPr>
      </w:pPr>
    </w:p>
    <w:p w14:paraId="6DD5E6E1">
      <w:pPr>
        <w:spacing w:line="520" w:lineRule="exact"/>
        <w:jc w:val="center"/>
        <w:rPr>
          <w:rFonts w:hint="eastAsia" w:ascii="宋体" w:hAnsi="宋体" w:eastAsia="宋体" w:cs="宋体"/>
          <w:color w:val="auto"/>
          <w:sz w:val="24"/>
          <w:szCs w:val="24"/>
          <w:highlight w:val="none"/>
        </w:rPr>
      </w:pPr>
    </w:p>
    <w:p w14:paraId="6CB23432">
      <w:pPr>
        <w:spacing w:line="360" w:lineRule="auto"/>
        <w:jc w:val="center"/>
        <w:rPr>
          <w:rFonts w:hint="eastAsia" w:ascii="宋体" w:hAnsi="宋体" w:eastAsia="宋体" w:cs="宋体"/>
          <w:b/>
          <w:bCs/>
          <w:color w:val="auto"/>
          <w:sz w:val="44"/>
          <w:szCs w:val="44"/>
          <w:highlight w:val="none"/>
        </w:rPr>
      </w:pPr>
    </w:p>
    <w:p w14:paraId="5C6B2607">
      <w:pPr>
        <w:spacing w:line="360" w:lineRule="auto"/>
        <w:jc w:val="center"/>
        <w:rPr>
          <w:rFonts w:hint="eastAsia" w:ascii="宋体" w:hAnsi="宋体" w:eastAsia="宋体" w:cs="宋体"/>
          <w:b/>
          <w:bCs/>
          <w:color w:val="auto"/>
          <w:sz w:val="44"/>
          <w:szCs w:val="44"/>
          <w:highlight w:val="none"/>
        </w:rPr>
      </w:pPr>
    </w:p>
    <w:p w14:paraId="0ACD5A64">
      <w:pPr>
        <w:spacing w:line="360" w:lineRule="auto"/>
        <w:jc w:val="center"/>
        <w:rPr>
          <w:rFonts w:hint="eastAsia" w:ascii="宋体" w:hAnsi="宋体" w:eastAsia="宋体" w:cs="宋体"/>
          <w:b/>
          <w:bCs/>
          <w:color w:val="auto"/>
          <w:sz w:val="44"/>
          <w:szCs w:val="44"/>
          <w:highlight w:val="none"/>
        </w:rPr>
      </w:pPr>
    </w:p>
    <w:p w14:paraId="7F014ED3">
      <w:pPr>
        <w:spacing w:line="360" w:lineRule="auto"/>
        <w:jc w:val="center"/>
        <w:rPr>
          <w:rFonts w:hint="eastAsia" w:ascii="宋体" w:hAnsi="宋体" w:eastAsia="宋体" w:cs="宋体"/>
          <w:b/>
          <w:bCs/>
          <w:color w:val="auto"/>
          <w:sz w:val="44"/>
          <w:szCs w:val="44"/>
          <w:highlight w:val="none"/>
        </w:rPr>
      </w:pPr>
    </w:p>
    <w:p w14:paraId="62FF72E4">
      <w:pPr>
        <w:spacing w:line="360" w:lineRule="auto"/>
        <w:jc w:val="center"/>
        <w:rPr>
          <w:rFonts w:hint="eastAsia" w:ascii="宋体" w:hAnsi="宋体" w:eastAsia="宋体" w:cs="宋体"/>
          <w:b/>
          <w:bCs/>
          <w:color w:val="auto"/>
          <w:sz w:val="44"/>
          <w:szCs w:val="44"/>
          <w:highlight w:val="none"/>
        </w:rPr>
      </w:pPr>
    </w:p>
    <w:p w14:paraId="626A1D37">
      <w:pPr>
        <w:spacing w:line="360" w:lineRule="auto"/>
        <w:jc w:val="center"/>
        <w:rPr>
          <w:rFonts w:hint="eastAsia" w:ascii="宋体" w:hAnsi="宋体" w:eastAsia="宋体" w:cs="宋体"/>
          <w:b/>
          <w:bCs/>
          <w:color w:val="auto"/>
          <w:sz w:val="44"/>
          <w:szCs w:val="44"/>
          <w:highlight w:val="none"/>
        </w:rPr>
      </w:pPr>
    </w:p>
    <w:p w14:paraId="79CC3353">
      <w:pPr>
        <w:keepNext/>
        <w:keepLines/>
        <w:spacing w:before="340" w:after="330" w:line="578" w:lineRule="auto"/>
        <w:jc w:val="center"/>
        <w:outlineLvl w:val="0"/>
        <w:rPr>
          <w:rFonts w:hint="eastAsia" w:ascii="宋体" w:hAnsi="宋体" w:eastAsia="宋体" w:cs="宋体"/>
          <w:color w:val="auto"/>
          <w:sz w:val="44"/>
          <w:szCs w:val="44"/>
          <w:highlight w:val="none"/>
          <w:lang w:val="zh-CN" w:eastAsia="zh-CN"/>
        </w:rPr>
      </w:pPr>
      <w:bookmarkStart w:id="158" w:name="_Toc80205943"/>
      <w:bookmarkStart w:id="159" w:name="_Toc4631"/>
      <w:bookmarkStart w:id="160" w:name="_Toc20554"/>
      <w:bookmarkStart w:id="161" w:name="_Toc19175"/>
      <w:bookmarkStart w:id="162" w:name="_Toc23849"/>
      <w:bookmarkStart w:id="163" w:name="_Toc15382"/>
      <w:bookmarkStart w:id="164" w:name="_Toc22077"/>
      <w:bookmarkStart w:id="165" w:name="_Toc10008"/>
      <w:bookmarkStart w:id="166" w:name="_Toc21248"/>
      <w:r>
        <w:rPr>
          <w:rFonts w:hint="eastAsia" w:ascii="宋体" w:hAnsi="宋体" w:eastAsia="宋体" w:cs="宋体"/>
          <w:color w:val="auto"/>
          <w:sz w:val="44"/>
          <w:szCs w:val="44"/>
          <w:highlight w:val="none"/>
          <w:lang w:val="zh-CN" w:eastAsia="zh-CN"/>
        </w:rPr>
        <w:t>第六章 合同文本</w:t>
      </w:r>
      <w:bookmarkEnd w:id="158"/>
      <w:bookmarkEnd w:id="159"/>
      <w:bookmarkEnd w:id="160"/>
      <w:bookmarkEnd w:id="161"/>
      <w:bookmarkEnd w:id="162"/>
      <w:bookmarkEnd w:id="163"/>
      <w:bookmarkEnd w:id="164"/>
      <w:bookmarkEnd w:id="165"/>
      <w:bookmarkEnd w:id="166"/>
    </w:p>
    <w:p w14:paraId="480345FB">
      <w:pPr>
        <w:keepNext/>
        <w:keepLines/>
        <w:spacing w:before="340" w:after="330" w:line="578" w:lineRule="auto"/>
        <w:jc w:val="center"/>
        <w:outlineLvl w:val="0"/>
        <w:rPr>
          <w:rFonts w:hint="eastAsia" w:ascii="宋体" w:hAnsi="宋体" w:eastAsia="宋体" w:cs="宋体"/>
          <w:b/>
          <w:bCs/>
          <w:color w:val="auto"/>
          <w:sz w:val="24"/>
          <w:szCs w:val="44"/>
          <w:highlight w:val="none"/>
          <w:u w:val="single"/>
          <w:lang w:val="zh-CN" w:eastAsia="zh-CN"/>
        </w:rPr>
      </w:pPr>
    </w:p>
    <w:p w14:paraId="2E202849">
      <w:pPr>
        <w:spacing w:line="24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clear="all"/>
      </w:r>
    </w:p>
    <w:p w14:paraId="334ADBE3">
      <w:pPr>
        <w:snapToGrid w:val="0"/>
        <w:rPr>
          <w:rFonts w:cs="宋体"/>
          <w:b/>
          <w:color w:val="auto"/>
          <w:sz w:val="32"/>
          <w:szCs w:val="32"/>
        </w:rPr>
      </w:pPr>
    </w:p>
    <w:p w14:paraId="491B7E8E">
      <w:pPr>
        <w:snapToGrid w:val="0"/>
        <w:jc w:val="center"/>
        <w:outlineLvl w:val="1"/>
        <w:rPr>
          <w:rFonts w:cs="宋体"/>
          <w:b/>
          <w:bCs/>
          <w:color w:val="auto"/>
          <w:sz w:val="32"/>
          <w:szCs w:val="32"/>
        </w:rPr>
      </w:pPr>
      <w:bookmarkStart w:id="167" w:name="_Toc32483"/>
      <w:bookmarkStart w:id="168" w:name="_Toc12912"/>
      <w:bookmarkStart w:id="169" w:name="_Toc19997"/>
      <w:bookmarkStart w:id="170" w:name="_Toc25658"/>
      <w:bookmarkStart w:id="171" w:name="_Toc6755"/>
      <w:bookmarkStart w:id="172" w:name="_Toc19168"/>
      <w:bookmarkStart w:id="173" w:name="_Toc17479"/>
      <w:r>
        <w:rPr>
          <w:rFonts w:hint="eastAsia" w:cs="宋体"/>
          <w:b/>
          <w:bCs/>
          <w:color w:val="auto"/>
          <w:sz w:val="32"/>
          <w:szCs w:val="32"/>
        </w:rPr>
        <w:t>《政府采购合同》</w:t>
      </w:r>
      <w:r>
        <w:rPr>
          <w:rFonts w:hint="eastAsia" w:cs="宋体"/>
          <w:b/>
          <w:color w:val="auto"/>
          <w:sz w:val="32"/>
          <w:szCs w:val="32"/>
        </w:rPr>
        <w:t>文本</w:t>
      </w:r>
      <w:bookmarkEnd w:id="167"/>
      <w:bookmarkEnd w:id="168"/>
      <w:bookmarkEnd w:id="169"/>
      <w:bookmarkEnd w:id="170"/>
      <w:bookmarkEnd w:id="171"/>
      <w:bookmarkEnd w:id="172"/>
      <w:bookmarkEnd w:id="173"/>
    </w:p>
    <w:p w14:paraId="6D527C32">
      <w:pPr>
        <w:snapToGrid w:val="0"/>
        <w:spacing w:line="400" w:lineRule="exact"/>
        <w:ind w:right="480" w:firstLine="5670" w:firstLineChars="2700"/>
        <w:rPr>
          <w:rFonts w:cs="宋体"/>
          <w:bCs/>
          <w:color w:val="auto"/>
          <w:szCs w:val="21"/>
        </w:rPr>
      </w:pPr>
    </w:p>
    <w:p w14:paraId="6B115EBC">
      <w:pPr>
        <w:snapToGrid w:val="0"/>
        <w:spacing w:line="360" w:lineRule="auto"/>
        <w:ind w:right="480" w:firstLine="5040" w:firstLineChars="2100"/>
        <w:rPr>
          <w:rFonts w:hint="eastAsia" w:ascii="宋体" w:hAnsi="宋体" w:cs="宋体"/>
          <w:bCs/>
          <w:color w:val="000000"/>
          <w:sz w:val="24"/>
          <w:szCs w:val="24"/>
        </w:rPr>
      </w:pPr>
      <w:r>
        <w:rPr>
          <w:rFonts w:hint="eastAsia" w:ascii="宋体" w:hAnsi="宋体" w:cs="宋体"/>
          <w:bCs/>
          <w:color w:val="000000"/>
          <w:sz w:val="24"/>
          <w:szCs w:val="24"/>
        </w:rPr>
        <w:t>合同编号：</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 xml:space="preserve">        </w:t>
      </w:r>
    </w:p>
    <w:p w14:paraId="1FA943B6">
      <w:pPr>
        <w:pStyle w:val="29"/>
        <w:spacing w:line="360" w:lineRule="auto"/>
        <w:ind w:firstLine="5040" w:firstLineChars="2100"/>
        <w:rPr>
          <w:rFonts w:hint="eastAsia"/>
        </w:rPr>
      </w:pPr>
      <w:r>
        <w:rPr>
          <w:rFonts w:hint="eastAsia" w:ascii="宋体" w:hAnsi="宋体" w:cs="宋体"/>
          <w:color w:val="000000"/>
          <w:sz w:val="24"/>
        </w:rPr>
        <w:t>采购计划号：</w:t>
      </w:r>
      <w:r>
        <w:rPr>
          <w:rFonts w:hint="eastAsia" w:ascii="宋体" w:hAnsi="宋体" w:cs="宋体"/>
          <w:color w:val="000000"/>
          <w:sz w:val="24"/>
          <w:u w:val="single"/>
        </w:rPr>
        <w:t xml:space="preserve">               </w:t>
      </w:r>
    </w:p>
    <w:p w14:paraId="1D17DA13">
      <w:pPr>
        <w:snapToGrid w:val="0"/>
        <w:spacing w:line="400" w:lineRule="exact"/>
        <w:rPr>
          <w:rFonts w:hint="eastAsia" w:ascii="宋体" w:hAnsi="宋体" w:cs="宋体"/>
          <w:color w:val="000000"/>
          <w:szCs w:val="21"/>
        </w:rPr>
      </w:pPr>
    </w:p>
    <w:p w14:paraId="481D81C5">
      <w:pPr>
        <w:snapToGrid w:val="0"/>
        <w:spacing w:line="360" w:lineRule="auto"/>
        <w:rPr>
          <w:rFonts w:hint="eastAsia" w:ascii="宋体" w:hAnsi="宋体" w:cs="宋体"/>
          <w:color w:val="000000"/>
          <w:sz w:val="24"/>
        </w:rPr>
      </w:pPr>
      <w:r>
        <w:rPr>
          <w:rFonts w:hint="eastAsia" w:ascii="宋体" w:hAnsi="宋体" w:cs="宋体"/>
          <w:color w:val="000000"/>
          <w:sz w:val="24"/>
        </w:rPr>
        <w:t>采购人（甲方）：</w:t>
      </w:r>
      <w:r>
        <w:rPr>
          <w:rFonts w:hint="eastAsia" w:ascii="宋体" w:hAnsi="宋体" w:cs="宋体"/>
          <w:color w:val="000000"/>
          <w:sz w:val="24"/>
          <w:u w:val="single"/>
        </w:rPr>
        <w:t xml:space="preserve">                          </w:t>
      </w:r>
    </w:p>
    <w:p w14:paraId="639AAAFA">
      <w:pPr>
        <w:snapToGrid w:val="0"/>
        <w:spacing w:line="360" w:lineRule="auto"/>
        <w:rPr>
          <w:rFonts w:hint="eastAsia" w:ascii="宋体" w:hAnsi="宋体" w:cs="宋体"/>
          <w:color w:val="000000"/>
          <w:sz w:val="24"/>
        </w:rPr>
      </w:pPr>
      <w:r>
        <w:rPr>
          <w:rFonts w:hint="eastAsia" w:ascii="宋体" w:hAnsi="宋体" w:cs="宋体"/>
          <w:color w:val="000000"/>
          <w:sz w:val="24"/>
          <w:lang w:eastAsia="zh-CN"/>
        </w:rPr>
        <w:t>成交</w:t>
      </w:r>
      <w:r>
        <w:rPr>
          <w:rFonts w:hint="eastAsia" w:ascii="宋体" w:hAnsi="宋体" w:cs="宋体"/>
          <w:color w:val="000000"/>
          <w:sz w:val="24"/>
        </w:rPr>
        <w:t>供应商（乙方）：</w:t>
      </w:r>
      <w:r>
        <w:rPr>
          <w:rFonts w:hint="eastAsia" w:ascii="宋体" w:hAnsi="宋体" w:cs="宋体"/>
          <w:color w:val="000000"/>
          <w:sz w:val="24"/>
          <w:u w:val="single"/>
        </w:rPr>
        <w:t xml:space="preserve">                          </w:t>
      </w:r>
    </w:p>
    <w:p w14:paraId="3718D82F">
      <w:pPr>
        <w:snapToGrid w:val="0"/>
        <w:spacing w:line="360" w:lineRule="auto"/>
        <w:rPr>
          <w:rFonts w:hint="eastAsia" w:ascii="宋体" w:hAnsi="宋体" w:cs="宋体"/>
          <w:color w:val="000000"/>
          <w:sz w:val="24"/>
        </w:rPr>
      </w:pPr>
      <w:r>
        <w:rPr>
          <w:rFonts w:hint="eastAsia" w:ascii="宋体" w:hAnsi="宋体" w:cs="宋体"/>
          <w:color w:val="000000"/>
          <w:sz w:val="24"/>
        </w:rPr>
        <w:t>项目名称：</w:t>
      </w:r>
      <w:r>
        <w:rPr>
          <w:rFonts w:hint="eastAsia" w:ascii="宋体" w:hAnsi="宋体" w:cs="宋体"/>
          <w:color w:val="000000"/>
          <w:sz w:val="24"/>
          <w:u w:val="single"/>
        </w:rPr>
        <w:t xml:space="preserve">                               </w:t>
      </w:r>
    </w:p>
    <w:p w14:paraId="62443446">
      <w:pPr>
        <w:snapToGrid w:val="0"/>
        <w:spacing w:line="360" w:lineRule="auto"/>
        <w:rPr>
          <w:rFonts w:hint="eastAsia" w:ascii="宋体" w:hAnsi="宋体" w:cs="宋体"/>
          <w:color w:val="000000"/>
          <w:sz w:val="24"/>
          <w:u w:val="single"/>
        </w:rPr>
      </w:pPr>
      <w:r>
        <w:rPr>
          <w:rFonts w:hint="eastAsia" w:ascii="宋体" w:hAnsi="宋体" w:cs="宋体"/>
          <w:color w:val="000000"/>
          <w:sz w:val="24"/>
        </w:rPr>
        <w:t>项目编号：</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p>
    <w:p w14:paraId="585E29C6">
      <w:pPr>
        <w:snapToGrid w:val="0"/>
        <w:spacing w:line="360" w:lineRule="auto"/>
        <w:rPr>
          <w:rFonts w:hint="eastAsia" w:ascii="宋体" w:hAnsi="宋体" w:cs="宋体"/>
          <w:color w:val="000000"/>
          <w:sz w:val="24"/>
          <w:u w:val="single"/>
        </w:rPr>
      </w:pPr>
      <w:r>
        <w:rPr>
          <w:rFonts w:hint="eastAsia" w:ascii="宋体" w:hAnsi="宋体" w:cs="宋体"/>
          <w:color w:val="000000"/>
          <w:sz w:val="24"/>
        </w:rPr>
        <w:t>签订地点：</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none"/>
        </w:rPr>
        <w:t xml:space="preserve">   </w:t>
      </w:r>
      <w:r>
        <w:rPr>
          <w:rFonts w:hint="eastAsia" w:ascii="宋体" w:hAnsi="宋体" w:cs="宋体"/>
          <w:color w:val="000000"/>
          <w:sz w:val="24"/>
          <w:u w:val="none"/>
          <w:lang w:val="en-US" w:eastAsia="zh-CN"/>
        </w:rPr>
        <w:t xml:space="preserve">  </w:t>
      </w:r>
      <w:r>
        <w:rPr>
          <w:rFonts w:hint="eastAsia" w:ascii="宋体" w:hAnsi="宋体" w:cs="宋体"/>
          <w:color w:val="000000"/>
          <w:sz w:val="24"/>
        </w:rPr>
        <w:t>签订时间：</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 xml:space="preserve">        </w:t>
      </w:r>
    </w:p>
    <w:p w14:paraId="560D0CDA">
      <w:pPr>
        <w:snapToGrid w:val="0"/>
        <w:spacing w:line="360" w:lineRule="auto"/>
        <w:ind w:firstLine="480" w:firstLineChars="200"/>
        <w:rPr>
          <w:rFonts w:hint="eastAsia" w:ascii="宋体" w:hAnsi="宋体" w:cs="宋体"/>
          <w:color w:val="000000"/>
          <w:sz w:val="24"/>
        </w:rPr>
      </w:pPr>
    </w:p>
    <w:p w14:paraId="1C969EC9">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根据《中华人民共和国政府采购法》、《中华人民共和国</w:t>
      </w:r>
      <w:r>
        <w:rPr>
          <w:rFonts w:hint="eastAsia" w:ascii="宋体" w:hAnsi="宋体" w:cs="宋体"/>
          <w:color w:val="000000"/>
          <w:sz w:val="24"/>
          <w:lang w:eastAsia="zh-CN"/>
        </w:rPr>
        <w:t>民法典</w:t>
      </w:r>
      <w:r>
        <w:rPr>
          <w:rFonts w:hint="eastAsia" w:ascii="宋体" w:hAnsi="宋体" w:cs="宋体"/>
          <w:color w:val="000000"/>
          <w:sz w:val="24"/>
        </w:rPr>
        <w:t>》等法律、法规规定，按照竞争性谈判文件规定条款和成交供应商承诺，甲乙双方签订本合同。</w:t>
      </w:r>
    </w:p>
    <w:p w14:paraId="0C174CE1">
      <w:pPr>
        <w:snapToGrid w:val="0"/>
        <w:spacing w:line="360" w:lineRule="auto"/>
        <w:ind w:firstLine="480" w:firstLineChars="200"/>
        <w:rPr>
          <w:rFonts w:hint="eastAsia" w:ascii="宋体" w:hAnsi="宋体" w:cs="宋体"/>
          <w:b/>
          <w:color w:val="000000"/>
          <w:sz w:val="24"/>
        </w:rPr>
      </w:pPr>
      <w:r>
        <w:rPr>
          <w:rFonts w:hint="eastAsia" w:ascii="宋体" w:hAnsi="宋体" w:cs="宋体"/>
          <w:b/>
          <w:color w:val="000000"/>
          <w:sz w:val="24"/>
        </w:rPr>
        <w:t>第一条　合同标的</w:t>
      </w:r>
    </w:p>
    <w:p w14:paraId="2FDBAE7A">
      <w:pPr>
        <w:snapToGrid w:val="0"/>
        <w:spacing w:line="360" w:lineRule="auto"/>
        <w:ind w:firstLine="480" w:firstLineChars="200"/>
        <w:rPr>
          <w:rFonts w:hint="eastAsia" w:ascii="宋体" w:hAnsi="宋体" w:cs="宋体"/>
          <w:color w:val="000000"/>
          <w:sz w:val="24"/>
        </w:rPr>
      </w:pPr>
      <w:r>
        <w:rPr>
          <w:rFonts w:hint="eastAsia" w:ascii="宋体" w:hAnsi="宋体" w:eastAsia="宋体" w:cs="宋体"/>
          <w:color w:val="000000"/>
          <w:sz w:val="24"/>
          <w:szCs w:val="24"/>
          <w:lang w:val="en-US" w:eastAsia="zh-CN"/>
        </w:rPr>
        <w:t>1.合同总金额：</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none"/>
          <w:lang w:val="en-US" w:eastAsia="zh-CN"/>
        </w:rPr>
        <w:t>。</w:t>
      </w:r>
    </w:p>
    <w:p w14:paraId="2E64885B">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lang w:val="en-US" w:eastAsia="zh-CN"/>
        </w:rPr>
        <w:t>2.</w:t>
      </w:r>
      <w:r>
        <w:rPr>
          <w:rFonts w:hint="eastAsia" w:ascii="宋体" w:hAnsi="宋体" w:cs="宋体"/>
          <w:color w:val="000000"/>
          <w:sz w:val="24"/>
        </w:rPr>
        <w:t>供货一览表</w:t>
      </w:r>
    </w:p>
    <w:tbl>
      <w:tblPr>
        <w:tblStyle w:val="44"/>
        <w:tblW w:w="970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737"/>
        <w:gridCol w:w="735"/>
        <w:gridCol w:w="1285"/>
        <w:gridCol w:w="1500"/>
      </w:tblGrid>
      <w:tr w14:paraId="2B7C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02B3D673">
            <w:pPr>
              <w:snapToGrid w:val="0"/>
              <w:spacing w:line="360" w:lineRule="auto"/>
              <w:jc w:val="center"/>
              <w:rPr>
                <w:rFonts w:hint="eastAsia" w:ascii="宋体" w:hAnsi="宋体" w:cs="宋体"/>
                <w:color w:val="000000"/>
                <w:sz w:val="24"/>
              </w:rPr>
            </w:pPr>
            <w:r>
              <w:rPr>
                <w:rFonts w:hint="eastAsia" w:ascii="宋体" w:hAnsi="宋体" w:cs="宋体"/>
                <w:color w:val="000000"/>
                <w:sz w:val="24"/>
              </w:rPr>
              <w:t>序号</w:t>
            </w:r>
          </w:p>
        </w:tc>
        <w:tc>
          <w:tcPr>
            <w:tcW w:w="1233" w:type="dxa"/>
            <w:noWrap w:val="0"/>
            <w:vAlign w:val="center"/>
          </w:tcPr>
          <w:p w14:paraId="35AB40C4">
            <w:pPr>
              <w:snapToGrid w:val="0"/>
              <w:spacing w:line="360" w:lineRule="auto"/>
              <w:jc w:val="center"/>
              <w:rPr>
                <w:rFonts w:hint="eastAsia" w:ascii="宋体" w:hAnsi="宋体" w:cs="宋体"/>
                <w:color w:val="000000"/>
                <w:sz w:val="24"/>
              </w:rPr>
            </w:pPr>
            <w:r>
              <w:rPr>
                <w:rFonts w:hint="eastAsia" w:ascii="宋体" w:hAnsi="宋体" w:cs="宋体"/>
                <w:color w:val="000000"/>
                <w:sz w:val="24"/>
                <w:lang w:eastAsia="zh-CN"/>
              </w:rPr>
              <w:t>标的</w:t>
            </w:r>
            <w:r>
              <w:rPr>
                <w:rFonts w:hint="eastAsia" w:ascii="宋体" w:hAnsi="宋体" w:cs="宋体"/>
                <w:color w:val="000000"/>
                <w:sz w:val="24"/>
              </w:rPr>
              <w:t>名称</w:t>
            </w:r>
          </w:p>
        </w:tc>
        <w:tc>
          <w:tcPr>
            <w:tcW w:w="1059" w:type="dxa"/>
            <w:noWrap w:val="0"/>
            <w:vAlign w:val="center"/>
          </w:tcPr>
          <w:p w14:paraId="791E8DC7">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品牌</w:t>
            </w:r>
          </w:p>
          <w:p w14:paraId="7B210B3F">
            <w:pPr>
              <w:snapToGrid w:val="0"/>
              <w:spacing w:line="360" w:lineRule="auto"/>
              <w:jc w:val="center"/>
              <w:rPr>
                <w:rFonts w:hint="eastAsia" w:ascii="宋体" w:hAnsi="宋体" w:cs="宋体"/>
                <w:color w:val="000000"/>
                <w:sz w:val="24"/>
              </w:rPr>
            </w:pPr>
            <w:r>
              <w:rPr>
                <w:rFonts w:hint="eastAsia" w:ascii="宋体" w:hAnsi="宋体" w:cs="宋体"/>
                <w:color w:val="auto"/>
                <w:szCs w:val="21"/>
                <w:highlight w:val="none"/>
                <w:lang w:eastAsia="zh-CN"/>
              </w:rPr>
              <w:t>（如有）</w:t>
            </w:r>
          </w:p>
        </w:tc>
        <w:tc>
          <w:tcPr>
            <w:tcW w:w="1233" w:type="dxa"/>
            <w:noWrap w:val="0"/>
            <w:vAlign w:val="center"/>
          </w:tcPr>
          <w:p w14:paraId="04DFA48B">
            <w:pPr>
              <w:snapToGrid w:val="0"/>
              <w:spacing w:line="360" w:lineRule="auto"/>
              <w:jc w:val="center"/>
              <w:rPr>
                <w:rFonts w:hint="eastAsia" w:ascii="宋体" w:hAnsi="宋体" w:cs="宋体"/>
                <w:color w:val="000000"/>
                <w:sz w:val="24"/>
              </w:rPr>
            </w:pPr>
            <w:r>
              <w:rPr>
                <w:rFonts w:hint="eastAsia" w:ascii="宋体" w:hAnsi="宋体" w:cs="宋体"/>
                <w:color w:val="000000"/>
                <w:sz w:val="24"/>
              </w:rPr>
              <w:t>规格型号</w:t>
            </w:r>
          </w:p>
        </w:tc>
        <w:tc>
          <w:tcPr>
            <w:tcW w:w="1210" w:type="dxa"/>
            <w:noWrap w:val="0"/>
            <w:vAlign w:val="center"/>
          </w:tcPr>
          <w:p w14:paraId="1ABA5254">
            <w:pPr>
              <w:snapToGrid w:val="0"/>
              <w:spacing w:line="360" w:lineRule="auto"/>
              <w:jc w:val="center"/>
              <w:rPr>
                <w:rFonts w:hint="eastAsia" w:ascii="宋体" w:hAnsi="宋体" w:cs="宋体" w:eastAsiaTheme="minorEastAsia"/>
                <w:color w:val="000000"/>
                <w:sz w:val="24"/>
                <w:lang w:eastAsia="zh-CN"/>
              </w:rPr>
            </w:pPr>
            <w:r>
              <w:rPr>
                <w:rFonts w:hint="eastAsia" w:ascii="宋体" w:hAnsi="宋体" w:cs="宋体"/>
                <w:color w:val="000000"/>
                <w:sz w:val="24"/>
                <w:lang w:val="en-US" w:eastAsia="zh-CN"/>
              </w:rPr>
              <w:t>制造商</w:t>
            </w:r>
          </w:p>
        </w:tc>
        <w:tc>
          <w:tcPr>
            <w:tcW w:w="737" w:type="dxa"/>
            <w:noWrap w:val="0"/>
            <w:vAlign w:val="center"/>
          </w:tcPr>
          <w:p w14:paraId="0D094A53">
            <w:pPr>
              <w:snapToGrid w:val="0"/>
              <w:spacing w:line="360" w:lineRule="auto"/>
              <w:jc w:val="center"/>
              <w:rPr>
                <w:rFonts w:hint="eastAsia" w:ascii="宋体" w:hAnsi="宋体" w:cs="宋体"/>
                <w:color w:val="000000"/>
                <w:sz w:val="24"/>
              </w:rPr>
            </w:pPr>
            <w:r>
              <w:rPr>
                <w:rFonts w:hint="eastAsia" w:ascii="宋体" w:hAnsi="宋体" w:cs="宋体"/>
                <w:color w:val="000000"/>
                <w:sz w:val="24"/>
              </w:rPr>
              <w:t>单位</w:t>
            </w:r>
          </w:p>
        </w:tc>
        <w:tc>
          <w:tcPr>
            <w:tcW w:w="735" w:type="dxa"/>
            <w:noWrap w:val="0"/>
            <w:vAlign w:val="center"/>
          </w:tcPr>
          <w:p w14:paraId="1A0D1E58">
            <w:pPr>
              <w:snapToGrid w:val="0"/>
              <w:spacing w:line="360" w:lineRule="auto"/>
              <w:jc w:val="center"/>
              <w:rPr>
                <w:rFonts w:hint="eastAsia" w:ascii="宋体" w:hAnsi="宋体" w:cs="宋体"/>
                <w:color w:val="000000"/>
                <w:sz w:val="24"/>
              </w:rPr>
            </w:pPr>
            <w:r>
              <w:rPr>
                <w:rFonts w:hint="eastAsia" w:ascii="宋体" w:hAnsi="宋体" w:cs="宋体"/>
                <w:color w:val="000000"/>
                <w:sz w:val="24"/>
              </w:rPr>
              <w:t>数量</w:t>
            </w:r>
            <w:r>
              <w:rPr>
                <w:rFonts w:hint="eastAsia" w:ascii="宋体" w:hAnsi="宋体" w:cs="宋体"/>
                <w:color w:val="auto"/>
              </w:rPr>
              <w:t>①</w:t>
            </w:r>
          </w:p>
        </w:tc>
        <w:tc>
          <w:tcPr>
            <w:tcW w:w="1285" w:type="dxa"/>
            <w:noWrap w:val="0"/>
            <w:vAlign w:val="center"/>
          </w:tcPr>
          <w:p w14:paraId="66386A10">
            <w:pPr>
              <w:snapToGrid w:val="0"/>
              <w:spacing w:line="360" w:lineRule="auto"/>
              <w:jc w:val="center"/>
              <w:rPr>
                <w:rFonts w:hint="eastAsia" w:ascii="宋体" w:hAnsi="宋体" w:cs="宋体"/>
                <w:color w:val="000000"/>
                <w:sz w:val="24"/>
              </w:rPr>
            </w:pPr>
            <w:r>
              <w:rPr>
                <w:rFonts w:hint="eastAsia" w:ascii="宋体" w:hAnsi="宋体" w:cs="宋体"/>
                <w:color w:val="000000"/>
                <w:sz w:val="24"/>
              </w:rPr>
              <w:t>单价（元）</w:t>
            </w:r>
            <w:r>
              <w:rPr>
                <w:rFonts w:hint="eastAsia" w:ascii="宋体" w:hAnsi="宋体" w:eastAsia="宋体" w:cs="宋体"/>
                <w:color w:val="auto"/>
                <w:szCs w:val="21"/>
                <w:highlight w:val="none"/>
              </w:rPr>
              <w:t>②</w:t>
            </w:r>
          </w:p>
        </w:tc>
        <w:tc>
          <w:tcPr>
            <w:tcW w:w="1500" w:type="dxa"/>
            <w:noWrap w:val="0"/>
            <w:vAlign w:val="center"/>
          </w:tcPr>
          <w:p w14:paraId="2B37EBB0">
            <w:pPr>
              <w:snapToGrid w:val="0"/>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单项合计</w:t>
            </w:r>
            <w:r>
              <w:rPr>
                <w:rFonts w:hint="eastAsia" w:ascii="宋体" w:hAnsi="宋体" w:eastAsia="宋体" w:cs="宋体"/>
                <w:color w:val="auto"/>
                <w:szCs w:val="21"/>
                <w:highlight w:val="none"/>
              </w:rPr>
              <w:t>（元）</w:t>
            </w:r>
          </w:p>
          <w:p w14:paraId="43111984">
            <w:pPr>
              <w:snapToGrid w:val="0"/>
              <w:spacing w:line="360" w:lineRule="auto"/>
              <w:jc w:val="center"/>
              <w:rPr>
                <w:rFonts w:hint="eastAsia" w:ascii="宋体" w:hAnsi="宋体" w:cs="宋体"/>
                <w:color w:val="000000"/>
                <w:sz w:val="24"/>
              </w:rPr>
            </w:pPr>
            <w:r>
              <w:rPr>
                <w:rFonts w:hint="eastAsia" w:ascii="宋体" w:hAnsi="宋体" w:cs="宋体"/>
                <w:color w:val="auto"/>
                <w:szCs w:val="22"/>
              </w:rPr>
              <w:t>③</w:t>
            </w:r>
            <w:r>
              <w:rPr>
                <w:rFonts w:hint="eastAsia" w:ascii="宋体" w:hAnsi="宋体" w:cs="宋体"/>
                <w:color w:val="auto"/>
                <w:szCs w:val="21"/>
                <w:highlight w:val="none"/>
                <w:lang w:eastAsia="zh-CN"/>
              </w:rPr>
              <w:t>＝</w:t>
            </w:r>
            <w:r>
              <w:rPr>
                <w:rFonts w:hint="eastAsia" w:ascii="宋体" w:hAnsi="宋体" w:cs="宋体"/>
                <w:color w:val="auto"/>
              </w:rPr>
              <w:t>①</w:t>
            </w:r>
            <w:r>
              <w:rPr>
                <w:rFonts w:hint="eastAsia" w:ascii="宋体" w:hAnsi="宋体" w:cs="宋体"/>
                <w:color w:val="auto"/>
                <w:lang w:val="en-US" w:eastAsia="zh-CN"/>
              </w:rPr>
              <w:t>X</w:t>
            </w:r>
            <w:r>
              <w:rPr>
                <w:rFonts w:hint="eastAsia" w:ascii="宋体" w:hAnsi="宋体" w:eastAsia="宋体" w:cs="宋体"/>
                <w:color w:val="auto"/>
                <w:szCs w:val="21"/>
                <w:highlight w:val="none"/>
              </w:rPr>
              <w:t>②</w:t>
            </w:r>
          </w:p>
        </w:tc>
      </w:tr>
      <w:tr w14:paraId="38E4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56166F58">
            <w:pPr>
              <w:snapToGrid w:val="0"/>
              <w:spacing w:line="360" w:lineRule="auto"/>
              <w:jc w:val="center"/>
              <w:rPr>
                <w:rFonts w:hint="eastAsia" w:ascii="宋体" w:hAnsi="宋体" w:cs="宋体"/>
                <w:color w:val="000000"/>
                <w:sz w:val="24"/>
              </w:rPr>
            </w:pPr>
            <w:r>
              <w:rPr>
                <w:rFonts w:hint="eastAsia" w:ascii="宋体" w:hAnsi="宋体" w:cs="宋体"/>
                <w:color w:val="000000"/>
                <w:sz w:val="24"/>
              </w:rPr>
              <w:t>1</w:t>
            </w:r>
          </w:p>
        </w:tc>
        <w:tc>
          <w:tcPr>
            <w:tcW w:w="1233" w:type="dxa"/>
            <w:noWrap w:val="0"/>
            <w:vAlign w:val="center"/>
          </w:tcPr>
          <w:p w14:paraId="78DD25FF">
            <w:pPr>
              <w:snapToGrid w:val="0"/>
              <w:spacing w:line="360" w:lineRule="auto"/>
              <w:jc w:val="center"/>
              <w:rPr>
                <w:rFonts w:hint="eastAsia" w:ascii="宋体" w:hAnsi="宋体" w:cs="宋体"/>
                <w:color w:val="000000"/>
                <w:sz w:val="24"/>
              </w:rPr>
            </w:pPr>
          </w:p>
        </w:tc>
        <w:tc>
          <w:tcPr>
            <w:tcW w:w="1059" w:type="dxa"/>
            <w:noWrap w:val="0"/>
            <w:vAlign w:val="center"/>
          </w:tcPr>
          <w:p w14:paraId="3D96BDA5">
            <w:pPr>
              <w:snapToGrid w:val="0"/>
              <w:spacing w:line="360" w:lineRule="auto"/>
              <w:jc w:val="center"/>
              <w:rPr>
                <w:rFonts w:hint="eastAsia" w:ascii="宋体" w:hAnsi="宋体" w:cs="宋体"/>
                <w:color w:val="000000"/>
                <w:sz w:val="24"/>
              </w:rPr>
            </w:pPr>
          </w:p>
        </w:tc>
        <w:tc>
          <w:tcPr>
            <w:tcW w:w="1233" w:type="dxa"/>
            <w:noWrap w:val="0"/>
            <w:vAlign w:val="center"/>
          </w:tcPr>
          <w:p w14:paraId="14BF5B87">
            <w:pPr>
              <w:snapToGrid w:val="0"/>
              <w:spacing w:line="360" w:lineRule="auto"/>
              <w:jc w:val="center"/>
              <w:rPr>
                <w:rFonts w:hint="eastAsia" w:ascii="宋体" w:hAnsi="宋体" w:cs="宋体"/>
                <w:color w:val="000000"/>
                <w:sz w:val="24"/>
              </w:rPr>
            </w:pPr>
          </w:p>
        </w:tc>
        <w:tc>
          <w:tcPr>
            <w:tcW w:w="1210" w:type="dxa"/>
            <w:noWrap w:val="0"/>
            <w:vAlign w:val="top"/>
          </w:tcPr>
          <w:p w14:paraId="50430BEF">
            <w:pPr>
              <w:snapToGrid w:val="0"/>
              <w:spacing w:line="360" w:lineRule="auto"/>
              <w:jc w:val="center"/>
              <w:rPr>
                <w:rFonts w:hint="eastAsia" w:ascii="宋体" w:hAnsi="宋体" w:cs="宋体"/>
                <w:color w:val="000000"/>
                <w:sz w:val="24"/>
              </w:rPr>
            </w:pPr>
          </w:p>
        </w:tc>
        <w:tc>
          <w:tcPr>
            <w:tcW w:w="737" w:type="dxa"/>
            <w:noWrap w:val="0"/>
            <w:vAlign w:val="top"/>
          </w:tcPr>
          <w:p w14:paraId="3344BDFB">
            <w:pPr>
              <w:snapToGrid w:val="0"/>
              <w:spacing w:line="360" w:lineRule="auto"/>
              <w:jc w:val="center"/>
              <w:rPr>
                <w:rFonts w:hint="eastAsia" w:ascii="宋体" w:hAnsi="宋体" w:cs="宋体"/>
                <w:color w:val="000000"/>
                <w:sz w:val="24"/>
              </w:rPr>
            </w:pPr>
          </w:p>
        </w:tc>
        <w:tc>
          <w:tcPr>
            <w:tcW w:w="735" w:type="dxa"/>
            <w:noWrap w:val="0"/>
            <w:vAlign w:val="top"/>
          </w:tcPr>
          <w:p w14:paraId="5C03339B">
            <w:pPr>
              <w:snapToGrid w:val="0"/>
              <w:spacing w:line="360" w:lineRule="auto"/>
              <w:jc w:val="center"/>
              <w:rPr>
                <w:rFonts w:hint="eastAsia" w:ascii="宋体" w:hAnsi="宋体" w:cs="宋体"/>
                <w:color w:val="000000"/>
                <w:sz w:val="24"/>
              </w:rPr>
            </w:pPr>
          </w:p>
        </w:tc>
        <w:tc>
          <w:tcPr>
            <w:tcW w:w="1285" w:type="dxa"/>
            <w:noWrap w:val="0"/>
            <w:vAlign w:val="center"/>
          </w:tcPr>
          <w:p w14:paraId="43B2368F">
            <w:pPr>
              <w:snapToGrid w:val="0"/>
              <w:spacing w:line="360" w:lineRule="auto"/>
              <w:jc w:val="center"/>
              <w:rPr>
                <w:rFonts w:hint="eastAsia" w:ascii="宋体" w:hAnsi="宋体" w:cs="宋体"/>
                <w:color w:val="000000"/>
                <w:sz w:val="24"/>
              </w:rPr>
            </w:pPr>
          </w:p>
        </w:tc>
        <w:tc>
          <w:tcPr>
            <w:tcW w:w="1500" w:type="dxa"/>
            <w:noWrap w:val="0"/>
            <w:vAlign w:val="center"/>
          </w:tcPr>
          <w:p w14:paraId="661EC912">
            <w:pPr>
              <w:snapToGrid w:val="0"/>
              <w:spacing w:line="360" w:lineRule="auto"/>
              <w:jc w:val="center"/>
              <w:rPr>
                <w:rFonts w:hint="eastAsia" w:ascii="宋体" w:hAnsi="宋体" w:cs="宋体"/>
                <w:color w:val="000000"/>
                <w:sz w:val="24"/>
              </w:rPr>
            </w:pPr>
          </w:p>
        </w:tc>
      </w:tr>
      <w:tr w14:paraId="603C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6E530F7F">
            <w:pPr>
              <w:snapToGrid w:val="0"/>
              <w:spacing w:line="360" w:lineRule="auto"/>
              <w:jc w:val="center"/>
              <w:rPr>
                <w:rFonts w:hint="eastAsia" w:ascii="宋体" w:hAnsi="宋体" w:cs="宋体"/>
                <w:color w:val="000000"/>
                <w:sz w:val="24"/>
              </w:rPr>
            </w:pPr>
            <w:r>
              <w:rPr>
                <w:rFonts w:hint="eastAsia" w:ascii="宋体" w:hAnsi="宋体" w:cs="宋体"/>
                <w:color w:val="000000"/>
                <w:sz w:val="24"/>
              </w:rPr>
              <w:t>2</w:t>
            </w:r>
          </w:p>
        </w:tc>
        <w:tc>
          <w:tcPr>
            <w:tcW w:w="1233" w:type="dxa"/>
            <w:noWrap w:val="0"/>
            <w:vAlign w:val="center"/>
          </w:tcPr>
          <w:p w14:paraId="18C4A71B">
            <w:pPr>
              <w:snapToGrid w:val="0"/>
              <w:spacing w:line="360" w:lineRule="auto"/>
              <w:jc w:val="center"/>
              <w:rPr>
                <w:rFonts w:hint="eastAsia" w:ascii="宋体" w:hAnsi="宋体" w:cs="宋体"/>
                <w:color w:val="000000"/>
                <w:sz w:val="24"/>
              </w:rPr>
            </w:pPr>
          </w:p>
        </w:tc>
        <w:tc>
          <w:tcPr>
            <w:tcW w:w="1059" w:type="dxa"/>
            <w:noWrap w:val="0"/>
            <w:vAlign w:val="center"/>
          </w:tcPr>
          <w:p w14:paraId="2F597522">
            <w:pPr>
              <w:snapToGrid w:val="0"/>
              <w:spacing w:line="360" w:lineRule="auto"/>
              <w:jc w:val="center"/>
              <w:rPr>
                <w:rFonts w:hint="eastAsia" w:ascii="宋体" w:hAnsi="宋体" w:cs="宋体"/>
                <w:color w:val="000000"/>
                <w:sz w:val="24"/>
              </w:rPr>
            </w:pPr>
          </w:p>
        </w:tc>
        <w:tc>
          <w:tcPr>
            <w:tcW w:w="1233" w:type="dxa"/>
            <w:noWrap w:val="0"/>
            <w:vAlign w:val="center"/>
          </w:tcPr>
          <w:p w14:paraId="07AB358A">
            <w:pPr>
              <w:snapToGrid w:val="0"/>
              <w:spacing w:line="360" w:lineRule="auto"/>
              <w:jc w:val="center"/>
              <w:rPr>
                <w:rFonts w:hint="eastAsia" w:ascii="宋体" w:hAnsi="宋体" w:cs="宋体"/>
                <w:color w:val="000000"/>
                <w:sz w:val="24"/>
              </w:rPr>
            </w:pPr>
          </w:p>
        </w:tc>
        <w:tc>
          <w:tcPr>
            <w:tcW w:w="1210" w:type="dxa"/>
            <w:noWrap w:val="0"/>
            <w:vAlign w:val="top"/>
          </w:tcPr>
          <w:p w14:paraId="4AAE5CA6">
            <w:pPr>
              <w:snapToGrid w:val="0"/>
              <w:spacing w:line="360" w:lineRule="auto"/>
              <w:jc w:val="center"/>
              <w:rPr>
                <w:rFonts w:hint="eastAsia" w:ascii="宋体" w:hAnsi="宋体" w:cs="宋体"/>
                <w:color w:val="000000"/>
                <w:sz w:val="24"/>
              </w:rPr>
            </w:pPr>
          </w:p>
        </w:tc>
        <w:tc>
          <w:tcPr>
            <w:tcW w:w="737" w:type="dxa"/>
            <w:noWrap w:val="0"/>
            <w:vAlign w:val="top"/>
          </w:tcPr>
          <w:p w14:paraId="1578BDC4">
            <w:pPr>
              <w:snapToGrid w:val="0"/>
              <w:spacing w:line="360" w:lineRule="auto"/>
              <w:jc w:val="center"/>
              <w:rPr>
                <w:rFonts w:hint="eastAsia" w:ascii="宋体" w:hAnsi="宋体" w:cs="宋体"/>
                <w:color w:val="000000"/>
                <w:sz w:val="24"/>
              </w:rPr>
            </w:pPr>
          </w:p>
        </w:tc>
        <w:tc>
          <w:tcPr>
            <w:tcW w:w="735" w:type="dxa"/>
            <w:noWrap w:val="0"/>
            <w:vAlign w:val="top"/>
          </w:tcPr>
          <w:p w14:paraId="73B726B2">
            <w:pPr>
              <w:snapToGrid w:val="0"/>
              <w:spacing w:line="360" w:lineRule="auto"/>
              <w:jc w:val="center"/>
              <w:rPr>
                <w:rFonts w:hint="eastAsia" w:ascii="宋体" w:hAnsi="宋体" w:cs="宋体"/>
                <w:color w:val="000000"/>
                <w:sz w:val="24"/>
              </w:rPr>
            </w:pPr>
          </w:p>
        </w:tc>
        <w:tc>
          <w:tcPr>
            <w:tcW w:w="1285" w:type="dxa"/>
            <w:noWrap w:val="0"/>
            <w:vAlign w:val="center"/>
          </w:tcPr>
          <w:p w14:paraId="723B5F94">
            <w:pPr>
              <w:snapToGrid w:val="0"/>
              <w:spacing w:line="360" w:lineRule="auto"/>
              <w:jc w:val="center"/>
              <w:rPr>
                <w:rFonts w:hint="eastAsia" w:ascii="宋体" w:hAnsi="宋体" w:cs="宋体"/>
                <w:color w:val="000000"/>
                <w:sz w:val="24"/>
              </w:rPr>
            </w:pPr>
          </w:p>
        </w:tc>
        <w:tc>
          <w:tcPr>
            <w:tcW w:w="1500" w:type="dxa"/>
            <w:noWrap w:val="0"/>
            <w:vAlign w:val="center"/>
          </w:tcPr>
          <w:p w14:paraId="0CBFEFE3">
            <w:pPr>
              <w:snapToGrid w:val="0"/>
              <w:spacing w:line="360" w:lineRule="auto"/>
              <w:jc w:val="center"/>
              <w:rPr>
                <w:rFonts w:hint="eastAsia" w:ascii="宋体" w:hAnsi="宋体" w:cs="宋体"/>
                <w:color w:val="000000"/>
                <w:sz w:val="24"/>
              </w:rPr>
            </w:pPr>
          </w:p>
        </w:tc>
      </w:tr>
      <w:tr w14:paraId="6B66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78C86CD2">
            <w:pPr>
              <w:snapToGrid w:val="0"/>
              <w:spacing w:line="360" w:lineRule="auto"/>
              <w:jc w:val="center"/>
              <w:rPr>
                <w:rFonts w:hint="eastAsia" w:ascii="宋体" w:hAnsi="宋体" w:cs="宋体" w:eastAsiaTheme="minorEastAsia"/>
                <w:color w:val="000000"/>
                <w:sz w:val="24"/>
                <w:lang w:eastAsia="zh-CN"/>
              </w:rPr>
            </w:pPr>
            <w:r>
              <w:rPr>
                <w:rFonts w:hint="eastAsia" w:ascii="宋体" w:hAnsi="宋体" w:cs="宋体" w:eastAsiaTheme="minorEastAsia"/>
                <w:color w:val="000000"/>
                <w:sz w:val="24"/>
                <w:lang w:eastAsia="zh-CN"/>
              </w:rPr>
              <w:t>…</w:t>
            </w:r>
          </w:p>
        </w:tc>
        <w:tc>
          <w:tcPr>
            <w:tcW w:w="1233" w:type="dxa"/>
            <w:noWrap w:val="0"/>
            <w:vAlign w:val="center"/>
          </w:tcPr>
          <w:p w14:paraId="7BC23072">
            <w:pPr>
              <w:snapToGrid w:val="0"/>
              <w:spacing w:line="360" w:lineRule="auto"/>
              <w:jc w:val="center"/>
              <w:rPr>
                <w:rFonts w:hint="eastAsia" w:ascii="宋体" w:hAnsi="宋体" w:cs="宋体"/>
                <w:color w:val="000000"/>
                <w:sz w:val="24"/>
              </w:rPr>
            </w:pPr>
          </w:p>
        </w:tc>
        <w:tc>
          <w:tcPr>
            <w:tcW w:w="1059" w:type="dxa"/>
            <w:noWrap w:val="0"/>
            <w:vAlign w:val="center"/>
          </w:tcPr>
          <w:p w14:paraId="24BEB96A">
            <w:pPr>
              <w:snapToGrid w:val="0"/>
              <w:spacing w:line="360" w:lineRule="auto"/>
              <w:jc w:val="center"/>
              <w:rPr>
                <w:rFonts w:hint="eastAsia" w:ascii="宋体" w:hAnsi="宋体" w:cs="宋体"/>
                <w:color w:val="000000"/>
                <w:sz w:val="24"/>
              </w:rPr>
            </w:pPr>
          </w:p>
        </w:tc>
        <w:tc>
          <w:tcPr>
            <w:tcW w:w="1233" w:type="dxa"/>
            <w:noWrap w:val="0"/>
            <w:vAlign w:val="center"/>
          </w:tcPr>
          <w:p w14:paraId="733A9F7E">
            <w:pPr>
              <w:snapToGrid w:val="0"/>
              <w:spacing w:line="360" w:lineRule="auto"/>
              <w:jc w:val="center"/>
              <w:rPr>
                <w:rFonts w:hint="eastAsia" w:ascii="宋体" w:hAnsi="宋体" w:cs="宋体"/>
                <w:color w:val="000000"/>
                <w:sz w:val="24"/>
              </w:rPr>
            </w:pPr>
          </w:p>
        </w:tc>
        <w:tc>
          <w:tcPr>
            <w:tcW w:w="1210" w:type="dxa"/>
            <w:noWrap w:val="0"/>
            <w:vAlign w:val="top"/>
          </w:tcPr>
          <w:p w14:paraId="15A716D9">
            <w:pPr>
              <w:snapToGrid w:val="0"/>
              <w:spacing w:line="360" w:lineRule="auto"/>
              <w:jc w:val="center"/>
              <w:rPr>
                <w:rFonts w:hint="eastAsia" w:ascii="宋体" w:hAnsi="宋体" w:cs="宋体"/>
                <w:color w:val="000000"/>
                <w:sz w:val="24"/>
              </w:rPr>
            </w:pPr>
          </w:p>
        </w:tc>
        <w:tc>
          <w:tcPr>
            <w:tcW w:w="737" w:type="dxa"/>
            <w:noWrap w:val="0"/>
            <w:vAlign w:val="top"/>
          </w:tcPr>
          <w:p w14:paraId="205C304E">
            <w:pPr>
              <w:snapToGrid w:val="0"/>
              <w:spacing w:line="360" w:lineRule="auto"/>
              <w:jc w:val="center"/>
              <w:rPr>
                <w:rFonts w:hint="eastAsia" w:ascii="宋体" w:hAnsi="宋体" w:cs="宋体"/>
                <w:color w:val="000000"/>
                <w:sz w:val="24"/>
              </w:rPr>
            </w:pPr>
          </w:p>
        </w:tc>
        <w:tc>
          <w:tcPr>
            <w:tcW w:w="735" w:type="dxa"/>
            <w:noWrap w:val="0"/>
            <w:vAlign w:val="top"/>
          </w:tcPr>
          <w:p w14:paraId="28CAD5B0">
            <w:pPr>
              <w:snapToGrid w:val="0"/>
              <w:spacing w:line="360" w:lineRule="auto"/>
              <w:jc w:val="center"/>
              <w:rPr>
                <w:rFonts w:hint="eastAsia" w:ascii="宋体" w:hAnsi="宋体" w:cs="宋体"/>
                <w:color w:val="000000"/>
                <w:sz w:val="24"/>
              </w:rPr>
            </w:pPr>
          </w:p>
        </w:tc>
        <w:tc>
          <w:tcPr>
            <w:tcW w:w="1285" w:type="dxa"/>
            <w:noWrap w:val="0"/>
            <w:vAlign w:val="center"/>
          </w:tcPr>
          <w:p w14:paraId="1D669111">
            <w:pPr>
              <w:snapToGrid w:val="0"/>
              <w:spacing w:line="360" w:lineRule="auto"/>
              <w:jc w:val="center"/>
              <w:rPr>
                <w:rFonts w:hint="eastAsia" w:ascii="宋体" w:hAnsi="宋体" w:cs="宋体"/>
                <w:color w:val="000000"/>
                <w:sz w:val="24"/>
              </w:rPr>
            </w:pPr>
          </w:p>
        </w:tc>
        <w:tc>
          <w:tcPr>
            <w:tcW w:w="1500" w:type="dxa"/>
            <w:noWrap w:val="0"/>
            <w:vAlign w:val="center"/>
          </w:tcPr>
          <w:p w14:paraId="1D51FBDC">
            <w:pPr>
              <w:snapToGrid w:val="0"/>
              <w:spacing w:line="360" w:lineRule="auto"/>
              <w:jc w:val="center"/>
              <w:rPr>
                <w:rFonts w:hint="eastAsia" w:ascii="宋体" w:hAnsi="宋体" w:cs="宋体"/>
                <w:color w:val="000000"/>
                <w:sz w:val="24"/>
              </w:rPr>
            </w:pPr>
          </w:p>
        </w:tc>
      </w:tr>
      <w:tr w14:paraId="53FC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701" w:type="dxa"/>
            <w:gridSpan w:val="9"/>
            <w:noWrap w:val="0"/>
            <w:vAlign w:val="center"/>
          </w:tcPr>
          <w:p w14:paraId="50F27B0B">
            <w:pPr>
              <w:snapToGrid w:val="0"/>
              <w:spacing w:line="360" w:lineRule="auto"/>
              <w:rPr>
                <w:rFonts w:hint="eastAsia" w:ascii="宋体" w:hAnsi="宋体" w:cs="宋体"/>
                <w:color w:val="000000"/>
                <w:sz w:val="24"/>
              </w:rPr>
            </w:pPr>
            <w:r>
              <w:rPr>
                <w:rFonts w:hint="eastAsia" w:ascii="宋体" w:hAnsi="宋体" w:cs="宋体"/>
                <w:color w:val="000000"/>
                <w:sz w:val="24"/>
                <w:lang w:eastAsia="zh-CN"/>
              </w:rPr>
              <w:t>合同总</w:t>
            </w:r>
            <w:r>
              <w:rPr>
                <w:rFonts w:hint="eastAsia" w:ascii="宋体" w:hAnsi="宋体" w:cs="宋体"/>
                <w:color w:val="000000"/>
                <w:sz w:val="24"/>
              </w:rPr>
              <w:t>金额</w:t>
            </w:r>
            <w:r>
              <w:rPr>
                <w:rFonts w:hint="eastAsia" w:ascii="宋体" w:hAnsi="宋体" w:cs="宋体"/>
                <w:color w:val="000000"/>
                <w:sz w:val="24"/>
                <w:lang w:eastAsia="zh-CN"/>
              </w:rPr>
              <w:t>：</w:t>
            </w:r>
            <w:r>
              <w:rPr>
                <w:rFonts w:hint="eastAsia" w:ascii="宋体" w:hAnsi="宋体" w:cs="宋体"/>
                <w:color w:val="000000"/>
                <w:sz w:val="24"/>
              </w:rPr>
              <w:t>（大写）</w:t>
            </w:r>
            <w:r>
              <w:rPr>
                <w:rFonts w:hint="eastAsia" w:ascii="宋体" w:hAnsi="宋体" w:cs="宋体"/>
                <w:color w:val="000000"/>
                <w:sz w:val="24"/>
                <w:u w:val="single"/>
              </w:rPr>
              <w:t>人民币</w:t>
            </w:r>
            <w:r>
              <w:rPr>
                <w:rFonts w:hint="eastAsia" w:ascii="宋体" w:hAnsi="宋体" w:cs="宋体"/>
                <w:color w:val="000000"/>
                <w:sz w:val="24"/>
                <w:u w:val="single"/>
                <w:lang w:val="en-US" w:eastAsia="zh-CN"/>
              </w:rPr>
              <w:t xml:space="preserve">           </w:t>
            </w:r>
            <w:r>
              <w:rPr>
                <w:rFonts w:hint="eastAsia" w:ascii="宋体" w:hAnsi="宋体" w:cs="宋体"/>
                <w:color w:val="000000"/>
                <w:sz w:val="24"/>
              </w:rPr>
              <w:t>（小写）</w:t>
            </w:r>
            <w:r>
              <w:rPr>
                <w:rFonts w:hint="eastAsia" w:ascii="宋体" w:hAnsi="宋体"/>
                <w:color w:val="000000"/>
                <w:sz w:val="24"/>
                <w:szCs w:val="24"/>
                <w:u w:val="none"/>
              </w:rPr>
              <w:t>¥</w:t>
            </w:r>
            <w:r>
              <w:rPr>
                <w:rFonts w:hint="eastAsia" w:ascii="宋体" w:hAnsi="宋体"/>
                <w:color w:val="000000"/>
                <w:sz w:val="24"/>
                <w:szCs w:val="24"/>
                <w:u w:val="single"/>
              </w:rPr>
              <w:t xml:space="preserve"> </w:t>
            </w:r>
            <w:r>
              <w:rPr>
                <w:rFonts w:hint="eastAsia" w:ascii="宋体" w:hAnsi="宋体"/>
                <w:color w:val="000000"/>
                <w:sz w:val="24"/>
                <w:szCs w:val="24"/>
                <w:u w:val="single"/>
                <w:lang w:val="en-US" w:eastAsia="zh-CN"/>
              </w:rPr>
              <w:t xml:space="preserve">        </w:t>
            </w:r>
            <w:r>
              <w:rPr>
                <w:rFonts w:hint="eastAsia" w:ascii="宋体" w:hAnsi="宋体"/>
                <w:color w:val="000000"/>
                <w:sz w:val="24"/>
                <w:szCs w:val="24"/>
              </w:rPr>
              <w:t xml:space="preserve"> </w:t>
            </w:r>
            <w:r>
              <w:rPr>
                <w:rFonts w:hint="eastAsia" w:ascii="宋体" w:hAnsi="宋体" w:cs="宋体"/>
                <w:color w:val="000000"/>
                <w:sz w:val="24"/>
              </w:rPr>
              <w:t xml:space="preserve">                 </w:t>
            </w:r>
          </w:p>
        </w:tc>
      </w:tr>
    </w:tbl>
    <w:p w14:paraId="7601160D">
      <w:pPr>
        <w:snapToGrid w:val="0"/>
        <w:spacing w:line="360" w:lineRule="auto"/>
        <w:ind w:right="420" w:firstLine="480" w:firstLineChars="200"/>
        <w:rPr>
          <w:rFonts w:hint="eastAsia" w:ascii="宋体" w:hAnsi="宋体" w:cs="宋体"/>
          <w:color w:val="000000"/>
          <w:sz w:val="24"/>
        </w:rPr>
      </w:pPr>
      <w:r>
        <w:rPr>
          <w:rFonts w:hint="eastAsia" w:ascii="宋体" w:hAnsi="宋体" w:cs="宋体"/>
          <w:color w:val="000000"/>
          <w:sz w:val="24"/>
          <w:lang w:val="en-US" w:eastAsia="zh-CN"/>
        </w:rPr>
        <w:t>3</w:t>
      </w:r>
      <w:r>
        <w:rPr>
          <w:rFonts w:hint="eastAsia" w:ascii="宋体" w:hAnsi="宋体" w:cs="宋体"/>
          <w:color w:val="000000"/>
          <w:sz w:val="24"/>
        </w:rPr>
        <w:t>.合同</w:t>
      </w:r>
      <w:r>
        <w:rPr>
          <w:rFonts w:hint="eastAsia" w:ascii="宋体" w:hAnsi="宋体" w:cs="宋体"/>
          <w:color w:val="000000"/>
          <w:sz w:val="24"/>
          <w:lang w:eastAsia="zh-CN"/>
        </w:rPr>
        <w:t>总</w:t>
      </w:r>
      <w:r>
        <w:rPr>
          <w:rFonts w:hint="eastAsia" w:ascii="宋体" w:hAnsi="宋体" w:cs="宋体"/>
          <w:color w:val="000000"/>
          <w:sz w:val="24"/>
        </w:rPr>
        <w:t>金额包</w:t>
      </w:r>
      <w:r>
        <w:rPr>
          <w:rFonts w:hint="eastAsia" w:ascii="宋体" w:hAnsi="宋体" w:cs="宋体"/>
          <w:color w:val="000000"/>
          <w:sz w:val="24"/>
          <w:lang w:eastAsia="zh-CN"/>
        </w:rPr>
        <w:t>含</w:t>
      </w:r>
      <w:r>
        <w:rPr>
          <w:rFonts w:hint="eastAsia" w:ascii="宋体" w:hAnsi="宋体" w:cs="宋体"/>
          <w:color w:val="000000"/>
          <w:sz w:val="24"/>
          <w:lang w:val="en-US" w:eastAsia="zh-CN"/>
        </w:rPr>
        <w:t>甲方</w:t>
      </w:r>
      <w:r>
        <w:rPr>
          <w:rFonts w:hint="eastAsia" w:ascii="宋体" w:hAnsi="宋体" w:cs="宋体"/>
          <w:color w:val="000000"/>
          <w:sz w:val="24"/>
          <w:lang w:eastAsia="zh-CN"/>
        </w:rPr>
        <w:t>指定地点的现场交货价，包括：（1）货物的价格：包括货款、安装调试费、验收费（含检定、校准费，如有）；（2）货物的标准附件、备品备件、专用工具的价格。（3）运输、装卸、调试、培训、技术支持、售后服务费。</w:t>
      </w:r>
      <w:r>
        <w:rPr>
          <w:rFonts w:hint="eastAsia" w:ascii="宋体" w:hAnsi="宋体" w:cs="宋体"/>
          <w:color w:val="000000"/>
          <w:sz w:val="24"/>
        </w:rPr>
        <w:t>竞争性谈判文件另有约定的，从其约定。</w:t>
      </w:r>
    </w:p>
    <w:p w14:paraId="6CC85A96">
      <w:pPr>
        <w:snapToGrid w:val="0"/>
        <w:spacing w:line="360" w:lineRule="auto"/>
        <w:ind w:firstLine="480" w:firstLineChars="200"/>
        <w:rPr>
          <w:rFonts w:hint="eastAsia" w:ascii="宋体" w:hAnsi="宋体" w:cs="宋体"/>
          <w:color w:val="000000"/>
          <w:sz w:val="24"/>
        </w:rPr>
      </w:pPr>
      <w:r>
        <w:rPr>
          <w:rFonts w:hint="eastAsia" w:ascii="宋体" w:hAnsi="宋体" w:cs="宋体"/>
          <w:b/>
          <w:color w:val="000000"/>
          <w:sz w:val="24"/>
        </w:rPr>
        <w:t>第二条　质量要求</w:t>
      </w:r>
    </w:p>
    <w:p w14:paraId="2C18141F">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1.乙方所提供的产品名称、商标品牌、</w:t>
      </w:r>
      <w:r>
        <w:rPr>
          <w:rFonts w:hint="eastAsia" w:ascii="宋体" w:hAnsi="宋体" w:cs="宋体"/>
          <w:color w:val="000000"/>
          <w:sz w:val="24"/>
          <w:lang w:val="en-US" w:eastAsia="zh-CN"/>
        </w:rPr>
        <w:t>制造商</w:t>
      </w:r>
      <w:r>
        <w:rPr>
          <w:rFonts w:hint="eastAsia" w:ascii="宋体" w:hAnsi="宋体" w:cs="宋体"/>
          <w:color w:val="000000"/>
          <w:sz w:val="24"/>
        </w:rPr>
        <w:t>、规格型号、技术参数等质量必须与竞争性谈判文件规定及响应文件承诺相一致。乙方提供的节能和环保产品必须是列入政府采购品目清单的产品。</w:t>
      </w:r>
    </w:p>
    <w:p w14:paraId="5B2499C4">
      <w:pPr>
        <w:snapToGrid w:val="0"/>
        <w:spacing w:line="360" w:lineRule="auto"/>
        <w:ind w:firstLine="480" w:firstLineChars="200"/>
        <w:rPr>
          <w:rFonts w:hint="eastAsia" w:ascii="宋体" w:hAnsi="宋体" w:cs="宋体"/>
          <w:color w:val="000000"/>
          <w:sz w:val="24"/>
          <w:u w:val="single"/>
        </w:rPr>
      </w:pPr>
      <w:r>
        <w:rPr>
          <w:rFonts w:hint="eastAsia" w:ascii="宋体" w:hAnsi="宋体" w:cs="宋体"/>
          <w:color w:val="000000"/>
          <w:sz w:val="24"/>
        </w:rPr>
        <w:t>2.乙方所提供的货物必须是全新、未使用的原装产品，且在正常安装、使用和保养条件下，其使用寿命期内各项指标均达到竞争性谈判文件规定或者响应文件承诺的质量要求。</w:t>
      </w:r>
    </w:p>
    <w:p w14:paraId="4C52FD97">
      <w:pPr>
        <w:snapToGrid w:val="0"/>
        <w:spacing w:line="360" w:lineRule="auto"/>
        <w:ind w:firstLine="480" w:firstLineChars="200"/>
        <w:rPr>
          <w:rFonts w:hint="eastAsia" w:ascii="宋体" w:hAnsi="宋体" w:cs="宋体"/>
          <w:color w:val="000000"/>
          <w:sz w:val="24"/>
        </w:rPr>
      </w:pPr>
      <w:r>
        <w:rPr>
          <w:rFonts w:hint="eastAsia" w:ascii="宋体" w:hAnsi="宋体" w:cs="宋体"/>
          <w:b/>
          <w:color w:val="000000"/>
          <w:sz w:val="24"/>
        </w:rPr>
        <w:t>第三条　权利保证</w:t>
      </w:r>
    </w:p>
    <w:p w14:paraId="61B47F9B">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1.乙方应保证所提供货物在使用时不会侵犯任何第三方的专利权、商标权、工业设计权或者</w:t>
      </w:r>
      <w:r>
        <w:rPr>
          <w:rFonts w:hint="eastAsia" w:ascii="宋体" w:hAnsi="宋体" w:cs="宋体"/>
          <w:color w:val="000000"/>
          <w:sz w:val="24"/>
          <w:lang w:eastAsia="zh-CN"/>
        </w:rPr>
        <w:t>其他</w:t>
      </w:r>
      <w:r>
        <w:rPr>
          <w:rFonts w:hint="eastAsia" w:ascii="宋体" w:hAnsi="宋体" w:cs="宋体"/>
          <w:color w:val="000000"/>
          <w:sz w:val="24"/>
        </w:rPr>
        <w:t>权利。</w:t>
      </w:r>
    </w:p>
    <w:p w14:paraId="30C4F385">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2.乙方应按竞争性谈判文件规定或者响应文件承诺的时间向甲方提供使用货物的有关技术资料。</w:t>
      </w:r>
    </w:p>
    <w:p w14:paraId="5960138A">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3.没有甲方事先书面同意，乙方不得将由甲方提供的有关合同或者任何合同条文、规格、计划、图纸、样品或者资料提供给</w:t>
      </w:r>
      <w:r>
        <w:rPr>
          <w:rFonts w:hint="eastAsia" w:ascii="宋体" w:hAnsi="宋体" w:cs="宋体"/>
          <w:color w:val="000000"/>
          <w:sz w:val="24"/>
          <w:lang w:val="en-US" w:eastAsia="zh-CN"/>
        </w:rPr>
        <w:t>予</w:t>
      </w:r>
      <w:r>
        <w:rPr>
          <w:rFonts w:hint="eastAsia" w:ascii="宋体" w:hAnsi="宋体" w:cs="宋体"/>
          <w:color w:val="000000"/>
          <w:sz w:val="24"/>
        </w:rPr>
        <w:t>履行本合同无关的任何</w:t>
      </w:r>
      <w:r>
        <w:rPr>
          <w:rFonts w:hint="eastAsia" w:ascii="宋体" w:hAnsi="宋体" w:cs="宋体"/>
          <w:color w:val="000000"/>
          <w:sz w:val="24"/>
          <w:lang w:eastAsia="zh-CN"/>
        </w:rPr>
        <w:t>其他</w:t>
      </w:r>
      <w:r>
        <w:rPr>
          <w:rFonts w:hint="eastAsia" w:ascii="宋体" w:hAnsi="宋体" w:cs="宋体"/>
          <w:color w:val="000000"/>
          <w:sz w:val="24"/>
        </w:rPr>
        <w:t>人。即使向履行本合同有关的人员提供，也应注意保密并限于履行合同的必需范围。</w:t>
      </w:r>
    </w:p>
    <w:p w14:paraId="37DBDCCA">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4.乙方保证将要交付的货物的所有权完全属于乙方且无任何抵押、质押、查封等产权瑕疵。</w:t>
      </w:r>
    </w:p>
    <w:p w14:paraId="7BE0A8F8">
      <w:pPr>
        <w:snapToGrid w:val="0"/>
        <w:spacing w:line="360" w:lineRule="auto"/>
        <w:ind w:firstLine="480" w:firstLineChars="200"/>
        <w:rPr>
          <w:rFonts w:hint="eastAsia" w:ascii="宋体" w:hAnsi="宋体" w:cs="宋体"/>
          <w:b/>
          <w:color w:val="000000"/>
          <w:sz w:val="24"/>
        </w:rPr>
      </w:pPr>
      <w:r>
        <w:rPr>
          <w:rFonts w:hint="eastAsia" w:ascii="宋体" w:hAnsi="宋体" w:cs="宋体"/>
          <w:b/>
          <w:color w:val="000000"/>
          <w:sz w:val="24"/>
        </w:rPr>
        <w:t>第四条　包装和运输</w:t>
      </w:r>
    </w:p>
    <w:p w14:paraId="49FCC839">
      <w:pPr>
        <w:keepNext w:val="0"/>
        <w:keepLines w:val="0"/>
        <w:widowControl/>
        <w:suppressLineNumbers w:val="0"/>
        <w:jc w:val="left"/>
      </w:pPr>
      <w:r>
        <w:rPr>
          <w:rFonts w:hint="eastAsia" w:ascii="宋体" w:hAnsi="宋体" w:cs="宋体"/>
          <w:color w:val="000000"/>
          <w:sz w:val="24"/>
        </w:rPr>
        <w:t>1.乙方提供的货物均应按竞争性谈判文件规定或者响应文件承诺的要求的包装材料、包装标准、包装方式进行包装，每一包装单元内应附详细的装箱单和质量合格证。</w:t>
      </w:r>
    </w:p>
    <w:p w14:paraId="5839AAB9">
      <w:pPr>
        <w:snapToGrid w:val="0"/>
        <w:spacing w:line="360" w:lineRule="auto"/>
        <w:ind w:firstLine="480" w:firstLineChars="200"/>
        <w:rPr>
          <w:rFonts w:hint="eastAsia" w:ascii="宋体" w:hAnsi="宋体" w:cs="宋体"/>
          <w:color w:val="000000"/>
          <w:sz w:val="24"/>
        </w:rPr>
      </w:pPr>
    </w:p>
    <w:p w14:paraId="03E89C4C">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2.货物的运输方式：</w:t>
      </w:r>
      <w:r>
        <w:rPr>
          <w:rFonts w:hint="eastAsia" w:ascii="宋体" w:hAnsi="宋体" w:cs="宋体"/>
          <w:color w:val="000000"/>
          <w:sz w:val="24"/>
          <w:u w:val="single"/>
        </w:rPr>
        <w:t xml:space="preserve">             </w:t>
      </w:r>
      <w:r>
        <w:rPr>
          <w:rFonts w:hint="eastAsia" w:ascii="宋体" w:hAnsi="宋体" w:cs="宋体"/>
          <w:color w:val="000000"/>
          <w:sz w:val="24"/>
        </w:rPr>
        <w:t>。</w:t>
      </w:r>
    </w:p>
    <w:p w14:paraId="33D6DDE5">
      <w:pPr>
        <w:snapToGrid w:val="0"/>
        <w:spacing w:line="360" w:lineRule="auto"/>
        <w:ind w:firstLine="480" w:firstLineChars="200"/>
        <w:rPr>
          <w:rFonts w:hint="eastAsia" w:ascii="宋体" w:hAnsi="宋体" w:cs="宋体"/>
          <w:color w:val="000000"/>
          <w:sz w:val="24"/>
          <w:u w:val="single"/>
        </w:rPr>
      </w:pPr>
      <w:r>
        <w:rPr>
          <w:rFonts w:hint="eastAsia" w:ascii="宋体" w:hAnsi="宋体" w:cs="宋体"/>
          <w:color w:val="000000"/>
          <w:sz w:val="24"/>
        </w:rPr>
        <w:t>3.乙方负责货物运输，货物运输合理损耗及计算方法：</w:t>
      </w:r>
      <w:r>
        <w:rPr>
          <w:rFonts w:hint="eastAsia" w:ascii="宋体" w:hAnsi="宋体" w:cs="宋体"/>
          <w:color w:val="000000"/>
          <w:sz w:val="24"/>
          <w:u w:val="single"/>
        </w:rPr>
        <w:t xml:space="preserve">                 </w:t>
      </w:r>
      <w:r>
        <w:rPr>
          <w:rFonts w:hint="eastAsia" w:ascii="宋体" w:hAnsi="宋体" w:cs="宋体"/>
          <w:color w:val="000000"/>
          <w:sz w:val="24"/>
        </w:rPr>
        <w:t>。</w:t>
      </w:r>
    </w:p>
    <w:p w14:paraId="70F8422A">
      <w:pPr>
        <w:snapToGrid w:val="0"/>
        <w:spacing w:line="360" w:lineRule="auto"/>
        <w:ind w:firstLine="480" w:firstLineChars="200"/>
        <w:rPr>
          <w:rFonts w:hint="eastAsia" w:ascii="宋体" w:hAnsi="宋体" w:cs="宋体"/>
          <w:color w:val="000000"/>
          <w:sz w:val="24"/>
        </w:rPr>
      </w:pPr>
      <w:r>
        <w:rPr>
          <w:rFonts w:hint="eastAsia" w:ascii="宋体" w:hAnsi="宋体" w:cs="宋体"/>
          <w:b/>
          <w:color w:val="000000"/>
          <w:sz w:val="24"/>
        </w:rPr>
        <w:t>第五条　交付和验收</w:t>
      </w:r>
    </w:p>
    <w:p w14:paraId="68F0BF2F">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1.交付时间：</w:t>
      </w:r>
      <w:r>
        <w:rPr>
          <w:rFonts w:hint="eastAsia" w:ascii="宋体" w:hAnsi="宋体" w:cs="宋体"/>
          <w:color w:val="000000"/>
          <w:sz w:val="24"/>
          <w:u w:val="single"/>
        </w:rPr>
        <w:t xml:space="preserve">                 </w:t>
      </w:r>
      <w:r>
        <w:rPr>
          <w:rFonts w:hint="eastAsia" w:ascii="宋体" w:hAnsi="宋体" w:cs="宋体"/>
          <w:color w:val="000000"/>
          <w:sz w:val="24"/>
        </w:rPr>
        <w:t>；交付地点：</w:t>
      </w:r>
      <w:r>
        <w:rPr>
          <w:rFonts w:hint="eastAsia" w:ascii="宋体" w:hAnsi="宋体" w:cs="宋体"/>
          <w:color w:val="000000"/>
          <w:sz w:val="24"/>
          <w:u w:val="single"/>
        </w:rPr>
        <w:t xml:space="preserve">                          </w:t>
      </w:r>
      <w:r>
        <w:rPr>
          <w:rFonts w:hint="eastAsia" w:ascii="宋体" w:hAnsi="宋体" w:cs="宋体"/>
          <w:color w:val="000000"/>
          <w:sz w:val="24"/>
        </w:rPr>
        <w:t>。</w:t>
      </w:r>
    </w:p>
    <w:p w14:paraId="0585694C">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2.乙方提供不符合竞争性谈判文件规定或者响应文件承诺的和本合同规定的货物，甲方有权拒绝接受。</w:t>
      </w:r>
    </w:p>
    <w:p w14:paraId="2AEDDF26">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6F6FD2C2">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4.甲方应当在到货（安装、调试完）后</w:t>
      </w:r>
      <w:r>
        <w:rPr>
          <w:rFonts w:hint="eastAsia" w:ascii="宋体" w:hAnsi="宋体" w:cs="宋体"/>
          <w:color w:val="000000"/>
          <w:sz w:val="24"/>
          <w:lang w:val="en-US" w:eastAsia="zh-CN"/>
        </w:rPr>
        <w:t>七</w:t>
      </w:r>
      <w:r>
        <w:rPr>
          <w:rFonts w:hint="eastAsia" w:ascii="宋体" w:hAnsi="宋体" w:cs="宋体"/>
          <w:color w:val="000000"/>
          <w:sz w:val="24"/>
        </w:rPr>
        <w:t>个工作日内进行验收。验收合格后由甲乙双方签署货物验收单并加盖甲方公章，甲乙双方各执一份。</w:t>
      </w:r>
    </w:p>
    <w:p w14:paraId="12E3512C">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3835F098">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6.甲方对验收有异议的，在验收后五个工作日内以书面形式向乙方提出，乙方应自收到甲方书面异议后</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 xml:space="preserve">  </w:t>
      </w:r>
      <w:r>
        <w:rPr>
          <w:rFonts w:hint="eastAsia" w:ascii="宋体" w:hAnsi="宋体" w:cs="宋体"/>
          <w:color w:val="000000"/>
          <w:sz w:val="24"/>
        </w:rPr>
        <w:t>日内及时予以解决。</w:t>
      </w:r>
    </w:p>
    <w:p w14:paraId="2ED48596">
      <w:pPr>
        <w:snapToGrid w:val="0"/>
        <w:spacing w:line="360" w:lineRule="auto"/>
        <w:ind w:firstLine="480" w:firstLineChars="200"/>
        <w:rPr>
          <w:rFonts w:hint="eastAsia" w:ascii="宋体" w:hAnsi="宋体" w:cs="宋体"/>
          <w:b/>
          <w:color w:val="000000"/>
          <w:sz w:val="24"/>
        </w:rPr>
      </w:pPr>
      <w:r>
        <w:rPr>
          <w:rFonts w:hint="eastAsia" w:ascii="宋体" w:hAnsi="宋体" w:cs="宋体"/>
          <w:b/>
          <w:color w:val="000000"/>
          <w:sz w:val="24"/>
        </w:rPr>
        <w:t>第六条　安装和培训</w:t>
      </w:r>
    </w:p>
    <w:p w14:paraId="64DEA3B5">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1.甲方应提供必要安装条件（如场地、电源、水源等）。</w:t>
      </w:r>
    </w:p>
    <w:p w14:paraId="58D1FA16">
      <w:pPr>
        <w:snapToGrid w:val="0"/>
        <w:spacing w:line="360" w:lineRule="auto"/>
        <w:ind w:firstLine="480" w:firstLineChars="200"/>
        <w:rPr>
          <w:rFonts w:hint="eastAsia" w:ascii="宋体" w:hAnsi="宋体" w:cs="宋体"/>
          <w:color w:val="000000"/>
          <w:sz w:val="24"/>
          <w:u w:val="single"/>
        </w:rPr>
      </w:pPr>
      <w:r>
        <w:rPr>
          <w:rFonts w:hint="eastAsia" w:ascii="宋体" w:hAnsi="宋体" w:cs="宋体"/>
          <w:color w:val="000000"/>
          <w:sz w:val="24"/>
        </w:rPr>
        <w:t>2.乙方响应文件承诺负责甲方有关人员的培训。培训时间、地点：</w:t>
      </w:r>
      <w:r>
        <w:rPr>
          <w:rFonts w:hint="eastAsia" w:ascii="宋体" w:hAnsi="宋体" w:cs="宋体"/>
          <w:color w:val="000000"/>
          <w:sz w:val="24"/>
          <w:u w:val="single"/>
        </w:rPr>
        <w:t xml:space="preserve">                   </w:t>
      </w:r>
      <w:r>
        <w:rPr>
          <w:rFonts w:hint="eastAsia" w:ascii="宋体" w:hAnsi="宋体" w:cs="宋体"/>
          <w:color w:val="000000"/>
          <w:sz w:val="24"/>
        </w:rPr>
        <w:t>。</w:t>
      </w:r>
    </w:p>
    <w:p w14:paraId="0D1990F2">
      <w:pPr>
        <w:snapToGrid w:val="0"/>
        <w:spacing w:line="360" w:lineRule="auto"/>
        <w:ind w:firstLine="480" w:firstLineChars="200"/>
        <w:rPr>
          <w:rFonts w:hint="eastAsia" w:ascii="宋体" w:hAnsi="宋体" w:cs="宋体"/>
          <w:b/>
          <w:color w:val="000000"/>
          <w:sz w:val="24"/>
        </w:rPr>
      </w:pPr>
      <w:r>
        <w:rPr>
          <w:rFonts w:hint="eastAsia" w:ascii="宋体" w:hAnsi="宋体" w:cs="宋体"/>
          <w:b/>
          <w:color w:val="000000"/>
          <w:sz w:val="24"/>
        </w:rPr>
        <w:t>第七条  售后服务、质保期</w:t>
      </w:r>
    </w:p>
    <w:p w14:paraId="58BE0561">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1.乙方应按照国家有关法律法规和“三包”规定以及本合同所附</w:t>
      </w:r>
      <w:r>
        <w:rPr>
          <w:rFonts w:hint="eastAsia" w:ascii="宋体" w:hAnsi="宋体" w:cs="宋体"/>
          <w:color w:val="000000"/>
          <w:sz w:val="24"/>
          <w:highlight w:val="none"/>
        </w:rPr>
        <w:t>的《服务承诺》</w:t>
      </w:r>
      <w:r>
        <w:rPr>
          <w:rFonts w:hint="eastAsia" w:ascii="宋体" w:hAnsi="宋体" w:cs="宋体"/>
          <w:color w:val="000000"/>
          <w:sz w:val="24"/>
        </w:rPr>
        <w:t>，为甲方提供售后服务。</w:t>
      </w:r>
    </w:p>
    <w:p w14:paraId="7A855180">
      <w:pPr>
        <w:snapToGrid w:val="0"/>
        <w:spacing w:line="360" w:lineRule="auto"/>
        <w:ind w:firstLine="480" w:firstLineChars="200"/>
        <w:rPr>
          <w:rFonts w:hint="eastAsia" w:ascii="宋体" w:hAnsi="宋体" w:cs="宋体"/>
          <w:color w:val="000000"/>
          <w:sz w:val="24"/>
          <w:u w:val="single"/>
        </w:rPr>
      </w:pPr>
      <w:r>
        <w:rPr>
          <w:rFonts w:hint="eastAsia" w:ascii="宋体" w:hAnsi="宋体" w:cs="宋体"/>
          <w:color w:val="000000"/>
          <w:sz w:val="24"/>
        </w:rPr>
        <w:t>2.货物质保期：</w:t>
      </w:r>
      <w:r>
        <w:rPr>
          <w:rFonts w:hint="eastAsia" w:ascii="宋体" w:hAnsi="宋体" w:cs="宋体"/>
          <w:color w:val="000000"/>
          <w:sz w:val="24"/>
          <w:u w:val="single"/>
        </w:rPr>
        <w:t xml:space="preserve">                                          </w:t>
      </w:r>
      <w:r>
        <w:rPr>
          <w:rFonts w:hint="eastAsia" w:ascii="宋体" w:hAnsi="宋体" w:cs="宋体"/>
          <w:color w:val="000000"/>
          <w:sz w:val="24"/>
        </w:rPr>
        <w:t>。</w:t>
      </w:r>
    </w:p>
    <w:p w14:paraId="68457209">
      <w:pPr>
        <w:snapToGrid w:val="0"/>
        <w:spacing w:line="360" w:lineRule="auto"/>
        <w:ind w:firstLine="480" w:firstLineChars="200"/>
        <w:rPr>
          <w:rFonts w:hint="eastAsia" w:ascii="宋体" w:hAnsi="宋体" w:cs="宋体"/>
          <w:color w:val="000000"/>
          <w:sz w:val="24"/>
          <w:u w:val="single"/>
        </w:rPr>
      </w:pPr>
      <w:r>
        <w:rPr>
          <w:rFonts w:hint="eastAsia" w:ascii="宋体" w:hAnsi="宋体" w:cs="宋体"/>
          <w:color w:val="000000"/>
          <w:sz w:val="24"/>
        </w:rPr>
        <w:t>3.乙方提供的服务承诺和售后服务及保修期责任等</w:t>
      </w:r>
      <w:r>
        <w:rPr>
          <w:rFonts w:hint="eastAsia" w:ascii="宋体" w:hAnsi="宋体" w:cs="宋体"/>
          <w:color w:val="000000"/>
          <w:sz w:val="24"/>
          <w:lang w:eastAsia="zh-CN"/>
        </w:rPr>
        <w:t>其他</w:t>
      </w:r>
      <w:r>
        <w:rPr>
          <w:rFonts w:hint="eastAsia" w:ascii="宋体" w:hAnsi="宋体" w:cs="宋体"/>
          <w:color w:val="000000"/>
          <w:sz w:val="24"/>
        </w:rPr>
        <w:t>具体约定事项。（见合同附件）</w:t>
      </w:r>
    </w:p>
    <w:p w14:paraId="4AE00204">
      <w:pPr>
        <w:snapToGrid w:val="0"/>
        <w:spacing w:line="360" w:lineRule="auto"/>
        <w:ind w:firstLine="480" w:firstLineChars="200"/>
        <w:rPr>
          <w:rFonts w:hint="eastAsia" w:ascii="宋体" w:hAnsi="宋体" w:cs="宋体"/>
          <w:color w:val="000000"/>
          <w:sz w:val="24"/>
        </w:rPr>
      </w:pPr>
      <w:r>
        <w:rPr>
          <w:rFonts w:hint="eastAsia" w:ascii="宋体" w:hAnsi="宋体" w:cs="宋体"/>
          <w:b/>
          <w:color w:val="000000"/>
          <w:sz w:val="24"/>
        </w:rPr>
        <w:t>第八条　付款方式</w:t>
      </w:r>
    </w:p>
    <w:p w14:paraId="7709A274">
      <w:pPr>
        <w:pStyle w:val="24"/>
        <w:snapToGrid w:val="0"/>
        <w:spacing w:line="360" w:lineRule="auto"/>
        <w:ind w:firstLine="480" w:firstLineChars="200"/>
        <w:rPr>
          <w:rFonts w:hint="eastAsia" w:hAnsi="宋体" w:cs="宋体"/>
          <w:color w:val="000000"/>
          <w:sz w:val="24"/>
          <w:szCs w:val="24"/>
        </w:rPr>
      </w:pPr>
      <w:r>
        <w:rPr>
          <w:rFonts w:hint="eastAsia" w:hAnsi="宋体" w:cs="宋体"/>
          <w:bCs/>
          <w:color w:val="000000"/>
          <w:sz w:val="24"/>
          <w:szCs w:val="24"/>
        </w:rPr>
        <w:t>1</w:t>
      </w:r>
      <w:r>
        <w:rPr>
          <w:rFonts w:hint="eastAsia" w:hAnsi="宋体" w:cs="宋体"/>
          <w:color w:val="000000"/>
          <w:sz w:val="24"/>
          <w:szCs w:val="24"/>
        </w:rPr>
        <w:t>.当采购数量与实际使用数量不一致时，乙方应根据实际使用量供货，合同的最终结算金额按实际使用量乘以成交单价进行计算，但不得超出合同价的10%。</w:t>
      </w:r>
    </w:p>
    <w:p w14:paraId="24D014ED">
      <w:pPr>
        <w:pStyle w:val="24"/>
        <w:snapToGrid w:val="0"/>
        <w:spacing w:line="360" w:lineRule="auto"/>
        <w:ind w:firstLine="480" w:firstLineChars="200"/>
        <w:rPr>
          <w:rFonts w:hint="eastAsia" w:hAnsi="宋体" w:eastAsia="宋体" w:cs="宋体"/>
          <w:color w:val="000000"/>
          <w:sz w:val="24"/>
          <w:szCs w:val="24"/>
          <w:lang w:eastAsia="zh-CN"/>
        </w:rPr>
      </w:pPr>
      <w:r>
        <w:rPr>
          <w:rFonts w:hint="eastAsia" w:hAnsi="宋体" w:cs="宋体"/>
          <w:bCs/>
          <w:color w:val="000000"/>
          <w:sz w:val="24"/>
          <w:szCs w:val="24"/>
        </w:rPr>
        <w:t>2.</w:t>
      </w:r>
      <w:r>
        <w:rPr>
          <w:rFonts w:hint="eastAsia" w:hAnsi="宋体" w:cs="宋体"/>
          <w:color w:val="000000"/>
          <w:sz w:val="24"/>
          <w:szCs w:val="24"/>
        </w:rPr>
        <w:t>付款方式：</w:t>
      </w:r>
      <w:r>
        <w:rPr>
          <w:rFonts w:hint="eastAsia" w:hAnsi="宋体" w:cs="宋体"/>
          <w:color w:val="000000"/>
          <w:sz w:val="24"/>
          <w:szCs w:val="24"/>
          <w:lang w:val="en-US"/>
        </w:rPr>
        <w:t>无预付款。货物到货安装完成并通过</w:t>
      </w:r>
      <w:r>
        <w:rPr>
          <w:rFonts w:hint="eastAsia" w:ascii="宋体" w:hAnsi="宋体" w:cs="宋体"/>
          <w:color w:val="000000"/>
          <w:sz w:val="24"/>
          <w:lang w:val="en-US" w:eastAsia="zh-CN"/>
        </w:rPr>
        <w:t>甲方</w:t>
      </w:r>
      <w:r>
        <w:rPr>
          <w:rFonts w:hint="eastAsia" w:hAnsi="宋体" w:cs="宋体"/>
          <w:color w:val="000000"/>
          <w:sz w:val="24"/>
          <w:szCs w:val="24"/>
          <w:lang w:val="en-US"/>
        </w:rPr>
        <w:t>整体验收合格，</w:t>
      </w:r>
      <w:r>
        <w:rPr>
          <w:rFonts w:hint="eastAsia" w:hAnsi="宋体" w:cs="宋体"/>
          <w:color w:val="000000"/>
          <w:sz w:val="24"/>
          <w:szCs w:val="24"/>
          <w:lang w:val="en-US" w:eastAsia="zh-CN"/>
        </w:rPr>
        <w:t>乙方</w:t>
      </w:r>
      <w:r>
        <w:rPr>
          <w:rFonts w:hint="eastAsia" w:hAnsi="宋体" w:cs="宋体"/>
          <w:color w:val="000000"/>
          <w:sz w:val="24"/>
          <w:szCs w:val="24"/>
          <w:lang w:val="en-US"/>
        </w:rPr>
        <w:t>提供完整结算资料及有效发票，</w:t>
      </w:r>
      <w:r>
        <w:rPr>
          <w:rFonts w:hint="eastAsia" w:ascii="宋体" w:hAnsi="宋体" w:cs="宋体"/>
          <w:color w:val="000000"/>
          <w:sz w:val="24"/>
          <w:lang w:val="en-US" w:eastAsia="zh-CN"/>
        </w:rPr>
        <w:t>甲方</w:t>
      </w:r>
      <w:r>
        <w:rPr>
          <w:rFonts w:hint="eastAsia" w:hAnsi="宋体" w:cs="宋体"/>
          <w:color w:val="000000"/>
          <w:sz w:val="24"/>
          <w:szCs w:val="24"/>
          <w:lang w:val="en-US"/>
        </w:rPr>
        <w:t>一次性付清全部货款。</w:t>
      </w:r>
    </w:p>
    <w:p w14:paraId="1EE70523">
      <w:pPr>
        <w:snapToGrid w:val="0"/>
        <w:spacing w:line="360" w:lineRule="auto"/>
        <w:ind w:left="-61" w:leftChars="-29" w:firstLine="588" w:firstLineChars="245"/>
        <w:rPr>
          <w:rFonts w:hint="eastAsia" w:ascii="宋体" w:hAnsi="宋体" w:cs="宋体"/>
          <w:b/>
          <w:color w:val="000000"/>
          <w:sz w:val="24"/>
        </w:rPr>
      </w:pPr>
      <w:r>
        <w:rPr>
          <w:rFonts w:hint="eastAsia" w:ascii="宋体" w:hAnsi="宋体" w:cs="宋体"/>
          <w:b/>
          <w:color w:val="000000"/>
          <w:sz w:val="24"/>
        </w:rPr>
        <w:t>第九条　履约保证金</w:t>
      </w:r>
    </w:p>
    <w:p w14:paraId="0B61402B">
      <w:pPr>
        <w:spacing w:line="360" w:lineRule="auto"/>
        <w:ind w:firstLine="482" w:firstLineChars="200"/>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eastAsia="zh-CN"/>
        </w:rPr>
        <w:t>本项目不需要缴</w:t>
      </w:r>
      <w:r>
        <w:rPr>
          <w:rFonts w:hint="eastAsia" w:ascii="宋体" w:hAnsi="宋体" w:eastAsia="宋体" w:cs="宋体"/>
          <w:b/>
          <w:bCs/>
          <w:color w:val="000000"/>
          <w:kern w:val="0"/>
          <w:sz w:val="24"/>
          <w:szCs w:val="24"/>
          <w:highlight w:val="none"/>
        </w:rPr>
        <w:t>纳</w:t>
      </w:r>
      <w:r>
        <w:rPr>
          <w:rFonts w:hint="eastAsia" w:ascii="宋体" w:hAnsi="宋体" w:eastAsia="宋体" w:cs="宋体"/>
          <w:b/>
          <w:bCs/>
          <w:color w:val="auto"/>
          <w:sz w:val="24"/>
          <w:szCs w:val="24"/>
          <w:highlight w:val="none"/>
        </w:rPr>
        <w:t>履约</w:t>
      </w:r>
      <w:r>
        <w:rPr>
          <w:rFonts w:hint="eastAsia" w:ascii="宋体" w:hAnsi="宋体" w:eastAsia="宋体" w:cs="宋体"/>
          <w:b/>
          <w:bCs/>
          <w:color w:val="000000"/>
          <w:sz w:val="24"/>
          <w:szCs w:val="24"/>
          <w:highlight w:val="none"/>
          <w:lang w:eastAsia="zh-CN"/>
        </w:rPr>
        <w:t>保证金。</w:t>
      </w:r>
    </w:p>
    <w:p w14:paraId="35C1CE07">
      <w:pPr>
        <w:snapToGrid w:val="0"/>
        <w:spacing w:line="360" w:lineRule="auto"/>
        <w:ind w:left="-61" w:firstLine="514"/>
        <w:rPr>
          <w:rFonts w:hint="eastAsia" w:ascii="宋体" w:hAnsi="宋体" w:cs="宋体"/>
          <w:b/>
          <w:color w:val="000000"/>
          <w:sz w:val="24"/>
        </w:rPr>
      </w:pPr>
      <w:r>
        <w:rPr>
          <w:rFonts w:hint="eastAsia" w:ascii="宋体" w:hAnsi="宋体" w:cs="宋体"/>
          <w:b/>
          <w:color w:val="000000"/>
          <w:sz w:val="24"/>
        </w:rPr>
        <w:t>第十条  税费</w:t>
      </w:r>
    </w:p>
    <w:p w14:paraId="56919068">
      <w:pPr>
        <w:snapToGrid w:val="0"/>
        <w:spacing w:line="360" w:lineRule="auto"/>
        <w:ind w:left="-61" w:firstLine="514"/>
        <w:rPr>
          <w:rFonts w:hint="eastAsia" w:ascii="宋体" w:hAnsi="宋体" w:cs="宋体"/>
          <w:color w:val="000000"/>
          <w:sz w:val="24"/>
        </w:rPr>
      </w:pPr>
      <w:r>
        <w:rPr>
          <w:rFonts w:hint="eastAsia" w:ascii="宋体" w:hAnsi="宋体" w:cs="宋体"/>
          <w:color w:val="000000"/>
          <w:sz w:val="24"/>
        </w:rPr>
        <w:t>本合同执行中相关的一切税费均由乙方负担，合同另有约定的除外。</w:t>
      </w:r>
    </w:p>
    <w:p w14:paraId="0C9D56F5">
      <w:pPr>
        <w:snapToGrid w:val="0"/>
        <w:spacing w:line="360" w:lineRule="auto"/>
        <w:ind w:left="-61" w:firstLine="514"/>
        <w:rPr>
          <w:rFonts w:hint="eastAsia" w:ascii="宋体" w:hAnsi="宋体" w:cs="宋体"/>
          <w:color w:val="000000"/>
          <w:sz w:val="24"/>
        </w:rPr>
      </w:pPr>
      <w:r>
        <w:rPr>
          <w:rFonts w:hint="eastAsia" w:ascii="宋体" w:hAnsi="宋体" w:cs="宋体"/>
          <w:b/>
          <w:color w:val="000000"/>
          <w:sz w:val="24"/>
        </w:rPr>
        <w:t>第十一条  质量保证及售后服务</w:t>
      </w:r>
    </w:p>
    <w:p w14:paraId="0C2F5F45">
      <w:pPr>
        <w:pStyle w:val="24"/>
        <w:snapToGrid w:val="0"/>
        <w:spacing w:line="360" w:lineRule="auto"/>
        <w:ind w:firstLine="480" w:firstLineChars="200"/>
        <w:rPr>
          <w:rFonts w:hint="eastAsia" w:hAnsi="宋体" w:cs="宋体"/>
          <w:color w:val="000000"/>
          <w:sz w:val="24"/>
          <w:szCs w:val="24"/>
        </w:rPr>
      </w:pPr>
      <w:r>
        <w:rPr>
          <w:rFonts w:hint="eastAsia" w:hAnsi="宋体" w:cs="宋体"/>
          <w:bCs/>
          <w:color w:val="000000"/>
          <w:sz w:val="24"/>
          <w:szCs w:val="24"/>
        </w:rPr>
        <w:t>1.</w:t>
      </w:r>
      <w:r>
        <w:rPr>
          <w:rFonts w:hint="eastAsia" w:hAnsi="宋体" w:cs="宋体"/>
          <w:color w:val="000000"/>
          <w:sz w:val="24"/>
          <w:szCs w:val="24"/>
        </w:rPr>
        <w:t>乙方应按</w:t>
      </w:r>
      <w:r>
        <w:rPr>
          <w:rFonts w:hint="eastAsia" w:hAnsi="宋体" w:cs="宋体"/>
          <w:color w:val="000000"/>
          <w:sz w:val="24"/>
          <w:szCs w:val="24"/>
          <w:lang w:eastAsia="zh-CN"/>
        </w:rPr>
        <w:t>响应文件承诺</w:t>
      </w:r>
      <w:r>
        <w:rPr>
          <w:rFonts w:hint="eastAsia" w:hAnsi="宋体" w:cs="宋体"/>
          <w:color w:val="000000"/>
          <w:sz w:val="24"/>
          <w:szCs w:val="24"/>
        </w:rPr>
        <w:t>的产品名称、商标品牌、</w:t>
      </w:r>
      <w:r>
        <w:rPr>
          <w:rFonts w:hint="eastAsia" w:hAnsi="宋体" w:cs="宋体"/>
          <w:color w:val="000000"/>
          <w:sz w:val="24"/>
          <w:szCs w:val="24"/>
          <w:lang w:val="en-US" w:eastAsia="zh-CN"/>
        </w:rPr>
        <w:t>制造商</w:t>
      </w:r>
      <w:r>
        <w:rPr>
          <w:rFonts w:hint="eastAsia" w:hAnsi="宋体" w:cs="宋体"/>
          <w:color w:val="000000"/>
          <w:sz w:val="24"/>
          <w:szCs w:val="24"/>
        </w:rPr>
        <w:t>、规格型号、技术参数、质量标准向甲方提供未经使用的全新产品。不符合要求的，根据实际情况，经双方协商，可按以下办法处理：</w:t>
      </w:r>
    </w:p>
    <w:p w14:paraId="6F7800D2">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⑴更换：由乙方承担所发生的全部费用。</w:t>
      </w:r>
    </w:p>
    <w:p w14:paraId="00B37605">
      <w:pPr>
        <w:pStyle w:val="24"/>
        <w:snapToGrid w:val="0"/>
        <w:spacing w:line="360" w:lineRule="auto"/>
        <w:ind w:firstLine="420"/>
        <w:rPr>
          <w:rFonts w:hint="eastAsia" w:hAnsi="宋体" w:cs="宋体"/>
          <w:color w:val="000000"/>
          <w:sz w:val="24"/>
          <w:szCs w:val="24"/>
        </w:rPr>
      </w:pPr>
      <w:r>
        <w:rPr>
          <w:rFonts w:hint="eastAsia" w:hAnsi="宋体" w:cs="宋体"/>
          <w:color w:val="000000"/>
          <w:sz w:val="24"/>
          <w:szCs w:val="24"/>
        </w:rPr>
        <w:t>⑵贬值处理：由甲乙双方合议定价。</w:t>
      </w:r>
    </w:p>
    <w:p w14:paraId="408BAA4B">
      <w:pPr>
        <w:pStyle w:val="24"/>
        <w:snapToGrid w:val="0"/>
        <w:spacing w:line="360" w:lineRule="auto"/>
        <w:ind w:firstLine="420"/>
        <w:rPr>
          <w:rFonts w:hint="eastAsia" w:hAnsi="宋体" w:cs="宋体"/>
          <w:color w:val="000000"/>
          <w:sz w:val="24"/>
          <w:szCs w:val="24"/>
        </w:rPr>
      </w:pPr>
      <w:r>
        <w:rPr>
          <w:rFonts w:hint="eastAsia" w:hAnsi="宋体" w:cs="宋体"/>
          <w:color w:val="000000"/>
          <w:sz w:val="24"/>
          <w:szCs w:val="24"/>
        </w:rPr>
        <w:t>⑶退货处理：乙方应退还甲方支付的合同款，同时应承担该货物的直接费用（运输、保险、检验、货款利息及银行手续费等）。</w:t>
      </w:r>
    </w:p>
    <w:p w14:paraId="2162517A">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2.如在使用过程中发生质量问题，乙方在接到甲方通知后到达甲方现场处理的时间</w:t>
      </w:r>
      <w:r>
        <w:rPr>
          <w:rFonts w:hint="eastAsia" w:hAnsi="宋体" w:cs="宋体"/>
          <w:i/>
          <w:iCs/>
          <w:color w:val="000000"/>
          <w:sz w:val="24"/>
          <w:szCs w:val="24"/>
          <w:highlight w:val="none"/>
        </w:rPr>
        <w:t>（</w:t>
      </w:r>
      <w:r>
        <w:rPr>
          <w:rFonts w:hint="eastAsia" w:hAnsi="宋体" w:cs="宋体"/>
          <w:i/>
          <w:iCs/>
          <w:color w:val="000000"/>
          <w:sz w:val="24"/>
          <w:szCs w:val="24"/>
          <w:highlight w:val="none"/>
          <w:u w:val="single"/>
        </w:rPr>
        <w:t>按响应文件承诺的数据填写</w:t>
      </w:r>
      <w:r>
        <w:rPr>
          <w:rFonts w:hint="eastAsia" w:hAnsi="宋体" w:cs="宋体"/>
          <w:i/>
          <w:iCs/>
          <w:color w:val="000000"/>
          <w:sz w:val="24"/>
          <w:szCs w:val="24"/>
          <w:highlight w:val="none"/>
        </w:rPr>
        <w:t>）</w:t>
      </w:r>
      <w:r>
        <w:rPr>
          <w:rFonts w:hint="eastAsia" w:hAnsi="宋体" w:cs="宋体"/>
          <w:color w:val="000000"/>
          <w:sz w:val="24"/>
          <w:szCs w:val="24"/>
        </w:rPr>
        <w:t>小时内。</w:t>
      </w:r>
    </w:p>
    <w:p w14:paraId="7F0943DE">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3.在质保期内，乙方应对货物出现的质量及安全问题负责处理解决并承担一切费用。</w:t>
      </w:r>
    </w:p>
    <w:p w14:paraId="3FFB8C26">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4.上述的货物质保期为</w:t>
      </w:r>
      <w:r>
        <w:rPr>
          <w:rFonts w:hint="eastAsia" w:ascii="宋体" w:hAnsi="宋体" w:cs="宋体"/>
          <w:color w:val="000000"/>
          <w:sz w:val="24"/>
          <w:u w:val="single"/>
        </w:rPr>
        <w:t xml:space="preserve">     </w:t>
      </w:r>
      <w:r>
        <w:rPr>
          <w:rFonts w:hint="eastAsia" w:ascii="宋体" w:hAnsi="宋体" w:cs="宋体"/>
          <w:color w:val="000000"/>
          <w:sz w:val="24"/>
        </w:rPr>
        <w:t>年，因人为因素出现的故障不在免费保修范围内。超过保修期的机器设备，终生维修，维修时只收部件成本费。</w:t>
      </w:r>
    </w:p>
    <w:p w14:paraId="0B1479A8">
      <w:pPr>
        <w:snapToGrid w:val="0"/>
        <w:spacing w:line="360" w:lineRule="auto"/>
        <w:ind w:left="-61" w:firstLine="514"/>
        <w:rPr>
          <w:rFonts w:hint="eastAsia" w:ascii="宋体" w:hAnsi="宋体" w:cs="宋体"/>
          <w:color w:val="000000"/>
          <w:sz w:val="24"/>
          <w:highlight w:val="yellow"/>
        </w:rPr>
      </w:pPr>
      <w:r>
        <w:rPr>
          <w:rFonts w:hint="eastAsia" w:ascii="宋体" w:hAnsi="宋体" w:cs="宋体"/>
          <w:b/>
          <w:color w:val="000000"/>
          <w:sz w:val="24"/>
        </w:rPr>
        <w:t>第十二条  调试和验收</w:t>
      </w:r>
    </w:p>
    <w:p w14:paraId="41388B2E">
      <w:pPr>
        <w:pStyle w:val="24"/>
        <w:snapToGrid w:val="0"/>
        <w:spacing w:line="360" w:lineRule="auto"/>
        <w:ind w:firstLine="480" w:firstLineChars="200"/>
        <w:jc w:val="left"/>
        <w:rPr>
          <w:rFonts w:hint="eastAsia" w:hAnsi="宋体" w:cs="宋体"/>
          <w:color w:val="000000"/>
          <w:sz w:val="24"/>
          <w:szCs w:val="24"/>
        </w:rPr>
      </w:pPr>
      <w:r>
        <w:rPr>
          <w:rFonts w:hint="eastAsia" w:hAnsi="宋体" w:cs="宋体"/>
          <w:color w:val="000000"/>
          <w:sz w:val="24"/>
          <w:szCs w:val="24"/>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w:t>
      </w:r>
      <w:r>
        <w:rPr>
          <w:rFonts w:hint="eastAsia" w:hAnsi="宋体" w:cs="宋体"/>
          <w:color w:val="000000"/>
          <w:sz w:val="24"/>
          <w:szCs w:val="24"/>
          <w:lang w:val="en-US" w:eastAsia="zh-CN"/>
        </w:rPr>
        <w:t>七</w:t>
      </w:r>
      <w:r>
        <w:rPr>
          <w:rFonts w:hint="eastAsia" w:hAnsi="宋体" w:cs="宋体"/>
          <w:color w:val="000000"/>
          <w:sz w:val="24"/>
          <w:szCs w:val="24"/>
        </w:rPr>
        <w:t>个工作日内进行验收。</w:t>
      </w:r>
    </w:p>
    <w:p w14:paraId="5CC5AF10">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2.乙方交货前应对产品作出全面检查和对验收文件进行整理，并列出清单，作为甲方收货验收和使用的技术条件依据，检验的结果应随货物交甲方。</w:t>
      </w:r>
    </w:p>
    <w:p w14:paraId="00F4FCF8">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3.甲方对乙方提供的货物在使用前进行调试时，乙方需负责安装并培训甲方的使用操作人员，并协助甲方一起调试，直到符合技术要求，甲方才做最终验收。</w:t>
      </w:r>
    </w:p>
    <w:p w14:paraId="6E7788B8">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4.对技术复杂的货物，甲方应请国家认可的专业检测机构参与初步验收及最终验收，并由其出具质量检测报告。</w:t>
      </w:r>
    </w:p>
    <w:p w14:paraId="13FB1E12">
      <w:pPr>
        <w:snapToGrid w:val="0"/>
        <w:spacing w:line="360" w:lineRule="auto"/>
        <w:ind w:left="-61" w:firstLine="514"/>
        <w:rPr>
          <w:rFonts w:hint="eastAsia" w:ascii="宋体" w:hAnsi="宋体" w:cs="宋体"/>
          <w:color w:val="000000"/>
          <w:sz w:val="24"/>
        </w:rPr>
      </w:pPr>
      <w:r>
        <w:rPr>
          <w:rFonts w:hint="eastAsia" w:ascii="宋体" w:hAnsi="宋体" w:cs="宋体"/>
          <w:color w:val="000000"/>
          <w:sz w:val="24"/>
        </w:rPr>
        <w:t>5.验收时乙方必须在现场，验收完毕后作出验收结果报告；验收费用按竞争性谈判文件约定承担方负责。</w:t>
      </w:r>
    </w:p>
    <w:p w14:paraId="0E321312">
      <w:pPr>
        <w:pStyle w:val="24"/>
        <w:snapToGrid w:val="0"/>
        <w:spacing w:line="360" w:lineRule="auto"/>
        <w:ind w:firstLine="472" w:firstLineChars="196"/>
        <w:rPr>
          <w:rFonts w:hint="eastAsia" w:hAnsi="宋体" w:cs="宋体"/>
          <w:b/>
          <w:color w:val="000000"/>
          <w:sz w:val="24"/>
          <w:szCs w:val="24"/>
        </w:rPr>
      </w:pPr>
      <w:r>
        <w:rPr>
          <w:rFonts w:hint="eastAsia" w:hAnsi="宋体" w:cs="宋体"/>
          <w:b/>
          <w:color w:val="000000"/>
          <w:sz w:val="24"/>
          <w:szCs w:val="24"/>
        </w:rPr>
        <w:t>第十三条  货物包装、发运及运输</w:t>
      </w:r>
    </w:p>
    <w:p w14:paraId="62750378">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1.乙方应在货物发运前对其进行满足运输距离、防潮、防震、防锈和防破损装卸等要求包装，以保证货物安全运达甲方指定地点。</w:t>
      </w:r>
    </w:p>
    <w:p w14:paraId="3CAB9ABD">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2.使用说明书（货物属于进口产品的，供货时应同时附上中文使用说明书）、质量检验证明书、随配附件和工具以及清单一并附于货物内。</w:t>
      </w:r>
    </w:p>
    <w:p w14:paraId="56198828">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3.乙方在货物发运手续办理完毕后二十四小时内或者货到甲方四十八小时前通知甲方，以准备接货。</w:t>
      </w:r>
    </w:p>
    <w:p w14:paraId="3425315E">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4.货物在交付甲方前发生的风险均由乙方负责。</w:t>
      </w:r>
    </w:p>
    <w:p w14:paraId="1BBB6063">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5.货物在规定的交付期限内由乙方送达甲方指定的地点视为交付，乙方同时需通知甲方货物已送达。</w:t>
      </w:r>
    </w:p>
    <w:p w14:paraId="052C86FD">
      <w:pPr>
        <w:snapToGrid w:val="0"/>
        <w:spacing w:line="360" w:lineRule="auto"/>
        <w:ind w:firstLine="480" w:firstLineChars="200"/>
        <w:rPr>
          <w:rFonts w:hint="eastAsia" w:ascii="宋体" w:hAnsi="宋体" w:cs="宋体"/>
          <w:b/>
          <w:color w:val="000000"/>
          <w:sz w:val="24"/>
        </w:rPr>
      </w:pPr>
      <w:r>
        <w:rPr>
          <w:rFonts w:hint="eastAsia" w:ascii="宋体" w:hAnsi="宋体" w:cs="宋体"/>
          <w:b/>
          <w:color w:val="000000"/>
          <w:sz w:val="24"/>
        </w:rPr>
        <w:t>第十四条　违约责任</w:t>
      </w:r>
    </w:p>
    <w:p w14:paraId="35281C76">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1.乙方所提供的产品名称、商标品牌、</w:t>
      </w:r>
      <w:r>
        <w:rPr>
          <w:rFonts w:hint="eastAsia" w:hAnsi="宋体" w:cs="宋体"/>
          <w:color w:val="000000"/>
          <w:sz w:val="24"/>
          <w:szCs w:val="24"/>
          <w:lang w:val="en-US" w:eastAsia="zh-CN"/>
        </w:rPr>
        <w:t>制造商</w:t>
      </w:r>
      <w:r>
        <w:rPr>
          <w:rFonts w:hint="eastAsia" w:hAnsi="宋体" w:cs="宋体"/>
          <w:color w:val="000000"/>
          <w:sz w:val="24"/>
          <w:szCs w:val="24"/>
        </w:rPr>
        <w:t xml:space="preserve">、规格型号、技术参数等质量不合格的，应及时更换，更换不及时的按逾期交货处罚；因质量问题甲方不同意接收的或者特殊情况甲方同意接收的，乙方应向甲方支付违约货款额 5%违约金并赔偿甲方经济损失。                                       </w:t>
      </w:r>
    </w:p>
    <w:p w14:paraId="0B9A967E">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2.乙方提供的货物如侵犯了第三方合法权益而引发的任何纠纷或者诉讼，均由乙方负责交涉并承担全部责任。</w:t>
      </w:r>
    </w:p>
    <w:p w14:paraId="0A31F597">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3.因包装、运输引起的货物损坏，按质量不合格处罚。</w:t>
      </w:r>
    </w:p>
    <w:p w14:paraId="0F6AE574">
      <w:pPr>
        <w:pStyle w:val="24"/>
        <w:snapToGrid w:val="0"/>
        <w:spacing w:line="360" w:lineRule="auto"/>
        <w:ind w:firstLine="480" w:firstLineChars="200"/>
        <w:rPr>
          <w:rFonts w:hint="eastAsia" w:hAnsi="宋体" w:cs="宋体"/>
          <w:color w:val="000000"/>
          <w:sz w:val="24"/>
          <w:szCs w:val="24"/>
          <w:highlight w:val="yellow"/>
        </w:rPr>
      </w:pPr>
      <w:r>
        <w:rPr>
          <w:rFonts w:hint="eastAsia" w:hAnsi="宋体" w:cs="宋体"/>
          <w:color w:val="000000"/>
          <w:sz w:val="24"/>
          <w:szCs w:val="24"/>
        </w:rPr>
        <w:t>4.甲方无故延期接收货物、乙方逾期交货的，每天向对方偿付违约货款额3‰违约金，但违约金累计不得超过违约货款额5%，超过</w:t>
      </w:r>
      <w:r>
        <w:rPr>
          <w:rFonts w:hint="eastAsia" w:hAnsi="宋体" w:cs="宋体"/>
          <w:color w:val="000000"/>
          <w:sz w:val="24"/>
          <w:szCs w:val="24"/>
          <w:u w:val="single"/>
        </w:rPr>
        <w:t xml:space="preserve">  </w:t>
      </w:r>
      <w:r>
        <w:rPr>
          <w:rFonts w:hint="eastAsia" w:hAnsi="宋体" w:cs="宋体"/>
          <w:color w:val="000000"/>
          <w:sz w:val="24"/>
          <w:szCs w:val="24"/>
          <w:u w:val="single"/>
          <w:lang w:val="en-US" w:eastAsia="zh-CN"/>
        </w:rPr>
        <w:t xml:space="preserve"> </w:t>
      </w:r>
      <w:r>
        <w:rPr>
          <w:rFonts w:hint="eastAsia" w:hAnsi="宋体" w:cs="宋体"/>
          <w:color w:val="000000"/>
          <w:sz w:val="24"/>
          <w:szCs w:val="24"/>
          <w:u w:val="single"/>
        </w:rPr>
        <w:t xml:space="preserve"> </w:t>
      </w:r>
      <w:r>
        <w:rPr>
          <w:rFonts w:hint="eastAsia" w:hAnsi="宋体" w:cs="宋体"/>
          <w:color w:val="000000"/>
          <w:sz w:val="24"/>
          <w:szCs w:val="24"/>
        </w:rPr>
        <w:t>天对方有权解除合同，违约方承担因此给对方造成经济损失；甲方延期付货款的，每天向乙方偿付延期货款额3‰滞纳金，但滞纳金累计不得超过延期货款额5%。</w:t>
      </w:r>
    </w:p>
    <w:p w14:paraId="606AC14D">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5.乙方未按本合同和响应文件中规定的服务承诺提供售后服务的，乙方应按本合同</w:t>
      </w:r>
      <w:r>
        <w:rPr>
          <w:rFonts w:hint="eastAsia" w:hAnsi="宋体" w:cs="宋体"/>
          <w:color w:val="000000"/>
          <w:sz w:val="24"/>
          <w:szCs w:val="24"/>
          <w:lang w:eastAsia="zh-CN"/>
        </w:rPr>
        <w:t>总</w:t>
      </w:r>
      <w:r>
        <w:rPr>
          <w:rFonts w:hint="eastAsia" w:hAnsi="宋体" w:cs="宋体"/>
          <w:color w:val="000000"/>
          <w:sz w:val="24"/>
          <w:szCs w:val="24"/>
        </w:rPr>
        <w:t>金额 5%向甲方支付违约金。</w:t>
      </w:r>
    </w:p>
    <w:p w14:paraId="2BD10316">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6.乙方提供的货物在质量保证期内，因设计、工艺或者材料的缺陷和</w:t>
      </w:r>
      <w:r>
        <w:rPr>
          <w:rFonts w:hint="eastAsia" w:hAnsi="宋体" w:cs="宋体"/>
          <w:color w:val="000000"/>
          <w:sz w:val="24"/>
          <w:szCs w:val="24"/>
          <w:lang w:eastAsia="zh-CN"/>
        </w:rPr>
        <w:t>其他</w:t>
      </w:r>
      <w:r>
        <w:rPr>
          <w:rFonts w:hint="eastAsia" w:hAnsi="宋体" w:cs="宋体"/>
          <w:color w:val="000000"/>
          <w:sz w:val="24"/>
          <w:szCs w:val="24"/>
        </w:rPr>
        <w:t>质量原因造成的问题，由乙方负责，费用从余款中扣除，不足另补。</w:t>
      </w:r>
    </w:p>
    <w:p w14:paraId="78123661">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7.甲乙双方有</w:t>
      </w:r>
      <w:r>
        <w:rPr>
          <w:rFonts w:hint="eastAsia" w:hAnsi="宋体" w:cs="宋体"/>
          <w:color w:val="000000"/>
          <w:sz w:val="24"/>
          <w:szCs w:val="24"/>
          <w:lang w:eastAsia="zh-CN"/>
        </w:rPr>
        <w:t>其他</w:t>
      </w:r>
      <w:r>
        <w:rPr>
          <w:rFonts w:hint="eastAsia" w:hAnsi="宋体" w:cs="宋体"/>
          <w:color w:val="000000"/>
          <w:sz w:val="24"/>
          <w:szCs w:val="24"/>
        </w:rPr>
        <w:t>违约行为的，由违约方向对方支付违约内容涉及货款额的5%，违约内容涉及货款额的5%不足以赔偿经济损失的按实际赔偿。</w:t>
      </w:r>
    </w:p>
    <w:p w14:paraId="29E506E7">
      <w:pPr>
        <w:pStyle w:val="24"/>
        <w:snapToGrid w:val="0"/>
        <w:spacing w:line="360" w:lineRule="auto"/>
        <w:ind w:firstLine="472" w:firstLineChars="196"/>
        <w:rPr>
          <w:rFonts w:hint="eastAsia" w:hAnsi="宋体" w:cs="宋体"/>
          <w:b/>
          <w:color w:val="000000"/>
          <w:sz w:val="24"/>
          <w:szCs w:val="24"/>
        </w:rPr>
      </w:pPr>
      <w:r>
        <w:rPr>
          <w:rFonts w:hint="eastAsia" w:hAnsi="宋体" w:cs="宋体"/>
          <w:b/>
          <w:color w:val="000000"/>
          <w:sz w:val="24"/>
          <w:szCs w:val="24"/>
        </w:rPr>
        <w:t>第十五条  不可抗力事件处理</w:t>
      </w:r>
    </w:p>
    <w:p w14:paraId="3F41D904">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1.在合同有效期内，任何一方因不可抗力事件导致不能履行合同，则合同履行期可延长，其延长期与不可抗力影响期相同。</w:t>
      </w:r>
    </w:p>
    <w:p w14:paraId="290D646D">
      <w:pPr>
        <w:pStyle w:val="24"/>
        <w:snapToGrid w:val="0"/>
        <w:spacing w:line="360" w:lineRule="auto"/>
        <w:ind w:firstLine="480" w:firstLineChars="200"/>
        <w:rPr>
          <w:rFonts w:hint="eastAsia" w:hAnsi="宋体" w:cs="宋体"/>
          <w:color w:val="000000"/>
          <w:sz w:val="24"/>
          <w:szCs w:val="24"/>
        </w:rPr>
      </w:pPr>
      <w:r>
        <w:rPr>
          <w:rFonts w:hint="eastAsia" w:hAnsi="宋体" w:cs="宋体"/>
          <w:color w:val="000000"/>
          <w:sz w:val="24"/>
          <w:szCs w:val="24"/>
        </w:rPr>
        <w:t>2.不可抗力事件发生后，应立即通知对方，并寄送有关权威机构出具的证明。</w:t>
      </w:r>
    </w:p>
    <w:p w14:paraId="7747ACF8">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3.不可抗力事件延续一百二十天以上，双方应通过友好协商，确定是否继续履行合同。</w:t>
      </w:r>
    </w:p>
    <w:p w14:paraId="129A2E31">
      <w:pPr>
        <w:snapToGrid w:val="0"/>
        <w:spacing w:line="360" w:lineRule="auto"/>
        <w:ind w:firstLine="480" w:firstLineChars="200"/>
        <w:rPr>
          <w:rFonts w:hint="eastAsia" w:ascii="宋体" w:hAnsi="宋体" w:cs="宋体"/>
          <w:color w:val="000000"/>
          <w:sz w:val="24"/>
        </w:rPr>
      </w:pPr>
      <w:r>
        <w:rPr>
          <w:rFonts w:hint="eastAsia" w:ascii="宋体" w:hAnsi="宋体" w:cs="宋体"/>
          <w:b/>
          <w:color w:val="000000"/>
          <w:sz w:val="24"/>
        </w:rPr>
        <w:t>第十六条  合同争议解决</w:t>
      </w:r>
    </w:p>
    <w:p w14:paraId="4D50B041">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1.因货物质量问题发生争议的，应邀请国家认可的质量检测机构对货物质量进行鉴定。货物符合标准的，鉴定费由甲方承担；货物不符合标准的，鉴定费由乙方承担。</w:t>
      </w:r>
    </w:p>
    <w:p w14:paraId="4B2EF0A5">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2.因履行本合同引起的或者与本合同有关的争议，甲乙双方应首先通过友好协商解决，如果协商不能解决，可向甲方所在地人民法院提起诉讼。</w:t>
      </w:r>
    </w:p>
    <w:p w14:paraId="62B95D97">
      <w:pPr>
        <w:snapToGrid w:val="0"/>
        <w:spacing w:line="360" w:lineRule="auto"/>
        <w:ind w:left="-61" w:firstLine="514"/>
        <w:rPr>
          <w:rFonts w:hint="eastAsia" w:ascii="宋体" w:hAnsi="宋体" w:cs="宋体"/>
          <w:color w:val="000000"/>
          <w:sz w:val="24"/>
        </w:rPr>
      </w:pPr>
      <w:r>
        <w:rPr>
          <w:rFonts w:hint="eastAsia" w:ascii="宋体" w:hAnsi="宋体" w:cs="宋体"/>
          <w:color w:val="000000"/>
          <w:sz w:val="24"/>
        </w:rPr>
        <w:t>3.诉讼期间，本合同继续履行。</w:t>
      </w:r>
    </w:p>
    <w:p w14:paraId="69DAE641">
      <w:pPr>
        <w:pStyle w:val="24"/>
        <w:snapToGrid w:val="0"/>
        <w:spacing w:line="360" w:lineRule="auto"/>
        <w:ind w:firstLine="472" w:firstLineChars="196"/>
        <w:rPr>
          <w:rFonts w:hint="eastAsia" w:hAnsi="宋体" w:eastAsia="宋体" w:cs="宋体"/>
          <w:b/>
          <w:color w:val="000000"/>
          <w:sz w:val="24"/>
          <w:szCs w:val="24"/>
          <w:lang w:eastAsia="zh-CN"/>
        </w:rPr>
      </w:pPr>
      <w:r>
        <w:rPr>
          <w:rFonts w:hint="eastAsia" w:hAnsi="宋体" w:cs="宋体"/>
          <w:b/>
          <w:color w:val="000000"/>
          <w:sz w:val="24"/>
          <w:szCs w:val="24"/>
        </w:rPr>
        <w:t>第十</w:t>
      </w:r>
      <w:r>
        <w:rPr>
          <w:rFonts w:hint="eastAsia" w:hAnsi="宋体" w:cs="宋体"/>
          <w:b/>
          <w:color w:val="000000"/>
          <w:sz w:val="24"/>
          <w:szCs w:val="24"/>
          <w:lang w:eastAsia="zh-CN"/>
        </w:rPr>
        <w:t>七</w:t>
      </w:r>
      <w:r>
        <w:rPr>
          <w:rFonts w:hint="eastAsia" w:hAnsi="宋体" w:cs="宋体"/>
          <w:b/>
          <w:color w:val="000000"/>
          <w:sz w:val="24"/>
          <w:szCs w:val="24"/>
        </w:rPr>
        <w:t>条  合同生效及</w:t>
      </w:r>
      <w:r>
        <w:rPr>
          <w:rFonts w:hint="eastAsia" w:hAnsi="宋体" w:cs="宋体"/>
          <w:b/>
          <w:color w:val="000000"/>
          <w:sz w:val="24"/>
          <w:szCs w:val="24"/>
          <w:lang w:eastAsia="zh-CN"/>
        </w:rPr>
        <w:t>其他</w:t>
      </w:r>
    </w:p>
    <w:p w14:paraId="600E33B1">
      <w:pPr>
        <w:pStyle w:val="24"/>
        <w:snapToGrid w:val="0"/>
        <w:spacing w:line="360" w:lineRule="auto"/>
        <w:ind w:firstLine="482" w:firstLineChars="200"/>
        <w:rPr>
          <w:rFonts w:hint="eastAsia" w:hAnsi="宋体" w:cs="宋体"/>
          <w:b/>
          <w:color w:val="000000"/>
          <w:sz w:val="24"/>
          <w:szCs w:val="24"/>
        </w:rPr>
      </w:pPr>
      <w:r>
        <w:rPr>
          <w:rFonts w:hint="eastAsia" w:hAnsi="宋体" w:cs="宋体"/>
          <w:b/>
          <w:color w:val="000000"/>
          <w:sz w:val="24"/>
          <w:szCs w:val="24"/>
        </w:rPr>
        <w:t>1. 合同经双方法定代表人或者</w:t>
      </w:r>
      <w:r>
        <w:rPr>
          <w:rFonts w:hint="eastAsia" w:hAnsi="宋体" w:cs="宋体"/>
          <w:b/>
          <w:color w:val="000000"/>
          <w:sz w:val="24"/>
          <w:szCs w:val="24"/>
          <w:lang w:eastAsia="zh-CN"/>
        </w:rPr>
        <w:t>其</w:t>
      </w:r>
      <w:r>
        <w:rPr>
          <w:rFonts w:hint="eastAsia" w:hAnsi="宋体" w:cs="宋体"/>
          <w:b/>
          <w:color w:val="000000"/>
          <w:sz w:val="24"/>
          <w:szCs w:val="24"/>
        </w:rPr>
        <w:t>委托代理人签字并加盖单位公章后生效</w:t>
      </w:r>
      <w:r>
        <w:rPr>
          <w:rFonts w:hint="eastAsia" w:hAnsi="宋体" w:cs="宋体"/>
          <w:b/>
          <w:color w:val="000000"/>
          <w:sz w:val="24"/>
          <w:szCs w:val="24"/>
          <w:highlight w:val="none"/>
        </w:rPr>
        <w:t>（委托代理人签字的需后附法定代表人授权委托书，格式自拟）</w:t>
      </w:r>
      <w:r>
        <w:rPr>
          <w:rFonts w:hint="eastAsia" w:hAnsi="宋体" w:cs="宋体"/>
          <w:b/>
          <w:color w:val="000000"/>
          <w:sz w:val="24"/>
          <w:szCs w:val="24"/>
        </w:rPr>
        <w:t>。</w:t>
      </w:r>
    </w:p>
    <w:p w14:paraId="4AD71B4F">
      <w:pPr>
        <w:pStyle w:val="24"/>
        <w:snapToGrid w:val="0"/>
        <w:spacing w:line="360" w:lineRule="auto"/>
        <w:ind w:firstLine="482" w:firstLineChars="200"/>
        <w:rPr>
          <w:rFonts w:hint="eastAsia" w:hAnsi="宋体" w:cs="宋体"/>
          <w:b/>
          <w:color w:val="000000"/>
          <w:sz w:val="24"/>
          <w:szCs w:val="24"/>
        </w:rPr>
      </w:pPr>
      <w:r>
        <w:rPr>
          <w:rFonts w:hint="eastAsia" w:hAnsi="宋体" w:cs="宋体"/>
          <w:b/>
          <w:color w:val="000000"/>
          <w:sz w:val="24"/>
          <w:szCs w:val="24"/>
        </w:rPr>
        <w:t>2.合同执行中涉及采购资金和采购内容修改或者补充的，须经财政部门审批，并签书面补充协议报财政部门备案，方可作为主合同不可分割的一部分。</w:t>
      </w:r>
    </w:p>
    <w:p w14:paraId="23F6B398">
      <w:pPr>
        <w:pStyle w:val="24"/>
        <w:snapToGrid w:val="0"/>
        <w:spacing w:line="360" w:lineRule="auto"/>
        <w:ind w:left="283" w:leftChars="135" w:firstLine="143"/>
        <w:rPr>
          <w:rFonts w:hint="eastAsia" w:hAnsi="宋体" w:cs="宋体"/>
          <w:b/>
          <w:color w:val="000000"/>
          <w:sz w:val="24"/>
          <w:szCs w:val="24"/>
        </w:rPr>
      </w:pPr>
      <w:r>
        <w:rPr>
          <w:rFonts w:hint="eastAsia" w:hAnsi="宋体" w:cs="宋体"/>
          <w:b/>
          <w:color w:val="000000"/>
          <w:sz w:val="24"/>
          <w:szCs w:val="24"/>
        </w:rPr>
        <w:t>3.本合同未尽事宜，遵照《</w:t>
      </w:r>
      <w:r>
        <w:rPr>
          <w:rFonts w:hint="eastAsia" w:hAnsi="宋体" w:cs="宋体"/>
          <w:b/>
          <w:color w:val="000000"/>
          <w:sz w:val="24"/>
          <w:szCs w:val="24"/>
          <w:lang w:eastAsia="zh-CN"/>
        </w:rPr>
        <w:t>中华人民共和国民法典</w:t>
      </w:r>
      <w:r>
        <w:rPr>
          <w:rFonts w:hint="eastAsia" w:hAnsi="宋体" w:cs="宋体"/>
          <w:b/>
          <w:color w:val="000000"/>
          <w:sz w:val="24"/>
          <w:szCs w:val="24"/>
        </w:rPr>
        <w:t>》有关条文执行。</w:t>
      </w:r>
    </w:p>
    <w:p w14:paraId="198B4806">
      <w:pPr>
        <w:snapToGrid w:val="0"/>
        <w:spacing w:line="360" w:lineRule="auto"/>
        <w:ind w:firstLine="480" w:firstLineChars="200"/>
        <w:rPr>
          <w:rFonts w:hint="eastAsia" w:ascii="宋体" w:hAnsi="宋体" w:cs="宋体"/>
          <w:b/>
          <w:color w:val="000000"/>
          <w:sz w:val="24"/>
        </w:rPr>
      </w:pPr>
      <w:r>
        <w:rPr>
          <w:rFonts w:hint="eastAsia" w:ascii="宋体" w:hAnsi="宋体" w:cs="宋体"/>
          <w:b/>
          <w:color w:val="000000"/>
          <w:sz w:val="24"/>
        </w:rPr>
        <w:t>第十八条　合同的变更、终止与转让</w:t>
      </w:r>
    </w:p>
    <w:p w14:paraId="0069DA41">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1.除《中华人民共和国政府采购法》第五十条规定的情形外，本合同一经签订，甲乙双方不得擅自变更、中止或者终止。</w:t>
      </w:r>
    </w:p>
    <w:p w14:paraId="0AC4F1EF">
      <w:pPr>
        <w:snapToGrid w:val="0"/>
        <w:spacing w:line="360" w:lineRule="auto"/>
        <w:ind w:left="-61" w:firstLine="514"/>
        <w:rPr>
          <w:rFonts w:hint="eastAsia" w:ascii="宋体" w:hAnsi="宋体" w:cs="宋体"/>
          <w:color w:val="000000"/>
          <w:sz w:val="24"/>
        </w:rPr>
      </w:pPr>
      <w:r>
        <w:rPr>
          <w:rFonts w:hint="eastAsia" w:ascii="宋体" w:hAnsi="宋体" w:cs="宋体"/>
          <w:color w:val="000000"/>
          <w:sz w:val="24"/>
        </w:rPr>
        <w:t>2.乙方不得擅自转让（无进口资格的供应商委托进口货物除外）其应履行的合同义务。</w:t>
      </w:r>
    </w:p>
    <w:p w14:paraId="629E8548">
      <w:pPr>
        <w:snapToGrid w:val="0"/>
        <w:spacing w:line="360" w:lineRule="auto"/>
        <w:ind w:firstLine="480" w:firstLineChars="200"/>
        <w:rPr>
          <w:rFonts w:hint="eastAsia" w:ascii="宋体" w:hAnsi="宋体" w:cs="宋体"/>
          <w:b/>
          <w:color w:val="000000"/>
          <w:sz w:val="24"/>
        </w:rPr>
      </w:pPr>
      <w:r>
        <w:rPr>
          <w:rFonts w:hint="eastAsia" w:ascii="宋体" w:hAnsi="宋体" w:cs="宋体"/>
          <w:b/>
          <w:color w:val="000000"/>
          <w:sz w:val="24"/>
        </w:rPr>
        <w:t>第十九条　</w:t>
      </w:r>
      <w:r>
        <w:rPr>
          <w:rFonts w:hint="eastAsia" w:ascii="宋体" w:hAnsi="宋体" w:cs="宋体"/>
          <w:b/>
          <w:bCs/>
          <w:color w:val="000000"/>
          <w:kern w:val="0"/>
          <w:sz w:val="24"/>
        </w:rPr>
        <w:t>本合同书与下列文件一起构成合同文件</w:t>
      </w:r>
    </w:p>
    <w:p w14:paraId="23ABDFFB">
      <w:pPr>
        <w:pStyle w:val="24"/>
        <w:snapToGrid w:val="0"/>
        <w:spacing w:line="360" w:lineRule="auto"/>
        <w:ind w:left="420" w:leftChars="200"/>
        <w:rPr>
          <w:rFonts w:hint="eastAsia" w:hAnsi="宋体" w:cs="宋体"/>
          <w:color w:val="000000"/>
          <w:sz w:val="24"/>
          <w:szCs w:val="24"/>
        </w:rPr>
      </w:pPr>
      <w:r>
        <w:rPr>
          <w:rFonts w:hint="eastAsia" w:hAnsi="宋体" w:cs="宋体"/>
          <w:color w:val="000000"/>
          <w:sz w:val="24"/>
          <w:szCs w:val="24"/>
        </w:rPr>
        <w:t>1.成交通知书；</w:t>
      </w:r>
    </w:p>
    <w:p w14:paraId="70F14A73">
      <w:pPr>
        <w:pStyle w:val="24"/>
        <w:snapToGrid w:val="0"/>
        <w:spacing w:line="360" w:lineRule="auto"/>
        <w:ind w:left="420" w:leftChars="200"/>
        <w:rPr>
          <w:rFonts w:hint="eastAsia" w:hAnsi="宋体" w:cs="宋体"/>
          <w:color w:val="000000"/>
          <w:sz w:val="24"/>
          <w:szCs w:val="24"/>
          <w:highlight w:val="none"/>
        </w:rPr>
      </w:pPr>
      <w:r>
        <w:rPr>
          <w:rFonts w:hint="eastAsia" w:hAnsi="宋体" w:cs="宋体"/>
          <w:color w:val="000000"/>
          <w:sz w:val="24"/>
          <w:szCs w:val="24"/>
          <w:highlight w:val="none"/>
        </w:rPr>
        <w:t>2.响应函；</w:t>
      </w:r>
    </w:p>
    <w:p w14:paraId="19B3F4B8">
      <w:pPr>
        <w:pStyle w:val="24"/>
        <w:snapToGrid w:val="0"/>
        <w:spacing w:line="360" w:lineRule="auto"/>
        <w:ind w:left="420" w:leftChars="200"/>
        <w:rPr>
          <w:rFonts w:hint="eastAsia" w:hAnsi="宋体" w:cs="宋体"/>
          <w:color w:val="000000"/>
          <w:sz w:val="24"/>
          <w:szCs w:val="24"/>
        </w:rPr>
      </w:pPr>
      <w:r>
        <w:rPr>
          <w:rFonts w:hint="eastAsia" w:hAnsi="宋体" w:cs="宋体"/>
          <w:color w:val="000000"/>
          <w:sz w:val="24"/>
          <w:szCs w:val="24"/>
        </w:rPr>
        <w:t>3.商务条款偏离表和技术需求偏离表；</w:t>
      </w:r>
    </w:p>
    <w:p w14:paraId="691727A9">
      <w:pPr>
        <w:pStyle w:val="24"/>
        <w:snapToGrid w:val="0"/>
        <w:spacing w:line="360" w:lineRule="auto"/>
        <w:ind w:left="420" w:leftChars="200"/>
        <w:rPr>
          <w:rFonts w:hint="eastAsia" w:hAnsi="宋体" w:cs="宋体"/>
          <w:color w:val="000000"/>
          <w:sz w:val="24"/>
          <w:szCs w:val="24"/>
        </w:rPr>
      </w:pPr>
      <w:r>
        <w:rPr>
          <w:rFonts w:hint="eastAsia" w:hAnsi="宋体" w:cs="宋体"/>
          <w:color w:val="000000"/>
          <w:sz w:val="24"/>
          <w:szCs w:val="24"/>
        </w:rPr>
        <w:t>4.采购需求；</w:t>
      </w:r>
    </w:p>
    <w:p w14:paraId="725101F1">
      <w:pPr>
        <w:pStyle w:val="24"/>
        <w:snapToGrid w:val="0"/>
        <w:spacing w:line="360" w:lineRule="auto"/>
        <w:ind w:left="420" w:leftChars="200"/>
        <w:rPr>
          <w:rFonts w:hint="eastAsia" w:hAnsi="宋体" w:cs="宋体"/>
          <w:color w:val="000000"/>
          <w:sz w:val="24"/>
          <w:szCs w:val="24"/>
        </w:rPr>
      </w:pPr>
      <w:r>
        <w:rPr>
          <w:rFonts w:hint="eastAsia" w:hAnsi="宋体" w:cs="宋体"/>
          <w:color w:val="000000"/>
          <w:sz w:val="24"/>
          <w:szCs w:val="24"/>
        </w:rPr>
        <w:t>5.响应报价表；</w:t>
      </w:r>
    </w:p>
    <w:p w14:paraId="506D8A88">
      <w:pPr>
        <w:pStyle w:val="24"/>
        <w:snapToGrid w:val="0"/>
        <w:spacing w:line="360" w:lineRule="auto"/>
        <w:ind w:left="420" w:left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lang w:eastAsia="zh-CN"/>
        </w:rPr>
        <w:t>其他</w:t>
      </w:r>
      <w:r>
        <w:rPr>
          <w:rFonts w:hint="eastAsia" w:ascii="宋体" w:hAnsi="宋体" w:eastAsia="宋体" w:cs="宋体"/>
          <w:color w:val="auto"/>
          <w:sz w:val="24"/>
          <w:szCs w:val="24"/>
          <w:highlight w:val="none"/>
        </w:rPr>
        <w:t>合同文件</w:t>
      </w:r>
      <w:r>
        <w:rPr>
          <w:rFonts w:hint="eastAsia" w:ascii="宋体" w:hAnsi="宋体" w:eastAsia="宋体" w:cs="宋体"/>
          <w:color w:val="000000"/>
          <w:sz w:val="24"/>
          <w:szCs w:val="24"/>
          <w:highlight w:val="none"/>
        </w:rPr>
        <w:t>。</w:t>
      </w:r>
    </w:p>
    <w:p w14:paraId="697D6F3E">
      <w:pPr>
        <w:pStyle w:val="24"/>
        <w:snapToGrid w:val="0"/>
        <w:spacing w:line="360" w:lineRule="auto"/>
        <w:ind w:firstLine="424" w:firstLineChars="177"/>
        <w:rPr>
          <w:rFonts w:hint="eastAsia" w:hAnsi="宋体" w:cs="宋体"/>
          <w:b/>
          <w:color w:val="000000"/>
          <w:sz w:val="24"/>
          <w:szCs w:val="24"/>
        </w:rPr>
      </w:pPr>
      <w:r>
        <w:rPr>
          <w:rFonts w:hint="eastAsia" w:hAnsi="宋体" w:cs="宋体"/>
          <w:color w:val="000000"/>
          <w:sz w:val="24"/>
          <w:szCs w:val="24"/>
          <w:lang w:val="en-US" w:eastAsia="zh-CN"/>
        </w:rPr>
        <w:t>7</w:t>
      </w:r>
      <w:r>
        <w:rPr>
          <w:rFonts w:hint="eastAsia" w:hAnsi="宋体" w:cs="宋体"/>
          <w:color w:val="000000"/>
          <w:sz w:val="24"/>
          <w:szCs w:val="24"/>
        </w:rPr>
        <w:t>.上述合同文件互相补充和解释。如果合同文件之间存在矛盾或者不一致之处，以上述文件的排列顺序在先者为准。</w:t>
      </w:r>
    </w:p>
    <w:p w14:paraId="6D046BBF">
      <w:pPr>
        <w:snapToGrid w:val="0"/>
        <w:spacing w:line="360" w:lineRule="auto"/>
        <w:ind w:firstLine="480" w:firstLineChars="200"/>
        <w:rPr>
          <w:rFonts w:hint="eastAsia" w:ascii="宋体" w:hAnsi="宋体"/>
          <w:color w:val="000000"/>
          <w:szCs w:val="21"/>
        </w:rPr>
      </w:pPr>
      <w:r>
        <w:rPr>
          <w:rFonts w:hint="eastAsia" w:ascii="宋体" w:hAnsi="宋体" w:cs="宋体"/>
          <w:b/>
          <w:color w:val="000000"/>
          <w:sz w:val="24"/>
        </w:rPr>
        <w:t>第二十条　</w:t>
      </w:r>
      <w:r>
        <w:rPr>
          <w:rFonts w:hint="eastAsia" w:ascii="宋体" w:hAnsi="宋体"/>
          <w:color w:val="000000"/>
          <w:szCs w:val="21"/>
        </w:rPr>
        <w:t>本合同一式四份，具有同等法律效力，财政部门（政府采购监管部门）、采购代理机构各一份，甲乙双方各一份（可根据需要另增加）。</w:t>
      </w:r>
    </w:p>
    <w:p w14:paraId="6817482F">
      <w:pPr>
        <w:snapToGrid w:val="0"/>
        <w:spacing w:line="360" w:lineRule="auto"/>
        <w:ind w:left="-61" w:firstLine="514"/>
        <w:rPr>
          <w:rFonts w:hint="eastAsia" w:ascii="宋体" w:hAnsi="宋体"/>
          <w:color w:val="000000"/>
          <w:szCs w:val="21"/>
        </w:rPr>
      </w:pPr>
      <w:r>
        <w:rPr>
          <w:rFonts w:hint="eastAsia" w:ascii="宋体" w:hAnsi="宋体"/>
          <w:color w:val="000000"/>
          <w:szCs w:val="21"/>
        </w:rPr>
        <w:t>本合同甲乙双方签字盖章后生效，自签订之日起七个工作日内，甲方应当将合同副本报同级财政部门备案。</w:t>
      </w:r>
    </w:p>
    <w:p w14:paraId="7EAFC21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本合同自签订之日起2个工作日内，甲方应当将采购合同在广西壮族自治区财政厅指定的媒体上公告。</w:t>
      </w:r>
    </w:p>
    <w:p w14:paraId="57205A32">
      <w:pPr>
        <w:snapToGrid w:val="0"/>
        <w:spacing w:line="360" w:lineRule="auto"/>
        <w:rPr>
          <w:rFonts w:hint="eastAsia" w:ascii="宋体" w:hAnsi="宋体" w:cs="宋体"/>
          <w:color w:val="000000"/>
          <w:sz w:val="24"/>
        </w:rPr>
      </w:pPr>
    </w:p>
    <w:tbl>
      <w:tblPr>
        <w:tblStyle w:val="44"/>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18EB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14:paraId="6D654D74">
            <w:pPr>
              <w:snapToGrid w:val="0"/>
              <w:spacing w:line="360" w:lineRule="auto"/>
              <w:rPr>
                <w:rFonts w:hint="eastAsia" w:ascii="宋体" w:hAnsi="宋体"/>
                <w:color w:val="000000"/>
                <w:sz w:val="24"/>
              </w:rPr>
            </w:pPr>
            <w:r>
              <w:rPr>
                <w:rFonts w:hint="eastAsia" w:ascii="宋体" w:hAnsi="宋体"/>
                <w:color w:val="000000"/>
                <w:sz w:val="24"/>
              </w:rPr>
              <w:t xml:space="preserve">甲方（章）           </w:t>
            </w:r>
          </w:p>
          <w:p w14:paraId="1C2C6BDA">
            <w:pPr>
              <w:snapToGrid w:val="0"/>
              <w:spacing w:line="360" w:lineRule="auto"/>
              <w:rPr>
                <w:rFonts w:hint="eastAsia" w:ascii="宋体" w:hAnsi="宋体"/>
                <w:color w:val="000000"/>
                <w:sz w:val="24"/>
              </w:rPr>
            </w:pPr>
          </w:p>
          <w:p w14:paraId="57FE7975">
            <w:pPr>
              <w:snapToGrid w:val="0"/>
              <w:spacing w:line="360" w:lineRule="auto"/>
              <w:ind w:firstLine="1080" w:firstLineChars="450"/>
              <w:jc w:val="right"/>
              <w:rPr>
                <w:rFonts w:hint="eastAsia" w:ascii="宋体" w:hAnsi="宋体"/>
                <w:color w:val="000000"/>
                <w:sz w:val="24"/>
              </w:rPr>
            </w:pPr>
            <w:r>
              <w:rPr>
                <w:rFonts w:hint="eastAsia" w:ascii="宋体" w:hAnsi="宋体"/>
                <w:color w:val="000000"/>
                <w:sz w:val="24"/>
              </w:rPr>
              <w:t>年   月   日</w:t>
            </w:r>
          </w:p>
        </w:tc>
        <w:tc>
          <w:tcPr>
            <w:tcW w:w="4517" w:type="dxa"/>
            <w:noWrap w:val="0"/>
            <w:vAlign w:val="center"/>
          </w:tcPr>
          <w:p w14:paraId="2906B4A3">
            <w:pPr>
              <w:snapToGrid w:val="0"/>
              <w:spacing w:line="360" w:lineRule="auto"/>
              <w:rPr>
                <w:rFonts w:hint="eastAsia" w:ascii="宋体" w:hAnsi="宋体"/>
                <w:color w:val="000000"/>
                <w:sz w:val="24"/>
              </w:rPr>
            </w:pPr>
            <w:r>
              <w:rPr>
                <w:rFonts w:hint="eastAsia" w:ascii="宋体" w:hAnsi="宋体"/>
                <w:color w:val="000000"/>
                <w:sz w:val="24"/>
              </w:rPr>
              <w:t xml:space="preserve">乙方（章）              </w:t>
            </w:r>
          </w:p>
          <w:p w14:paraId="0074C6E5">
            <w:pPr>
              <w:snapToGrid w:val="0"/>
              <w:spacing w:line="360" w:lineRule="auto"/>
              <w:rPr>
                <w:rFonts w:hint="eastAsia" w:ascii="宋体" w:hAnsi="宋体"/>
                <w:color w:val="000000"/>
                <w:sz w:val="24"/>
              </w:rPr>
            </w:pPr>
          </w:p>
          <w:p w14:paraId="05012593">
            <w:pPr>
              <w:snapToGrid w:val="0"/>
              <w:spacing w:line="360" w:lineRule="auto"/>
              <w:jc w:val="right"/>
              <w:rPr>
                <w:rFonts w:hint="eastAsia" w:ascii="宋体" w:hAnsi="宋体"/>
                <w:color w:val="000000"/>
                <w:sz w:val="24"/>
              </w:rPr>
            </w:pPr>
            <w:r>
              <w:rPr>
                <w:rFonts w:hint="eastAsia" w:ascii="宋体" w:hAnsi="宋体"/>
                <w:color w:val="000000"/>
                <w:sz w:val="24"/>
              </w:rPr>
              <w:t xml:space="preserve"> 年   月   日</w:t>
            </w:r>
          </w:p>
        </w:tc>
      </w:tr>
      <w:tr w14:paraId="55B3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0"/>
            <w:vAlign w:val="center"/>
          </w:tcPr>
          <w:p w14:paraId="5F33C644">
            <w:pPr>
              <w:snapToGrid w:val="0"/>
              <w:spacing w:line="360" w:lineRule="auto"/>
              <w:rPr>
                <w:rFonts w:hint="eastAsia" w:ascii="宋体" w:hAnsi="宋体"/>
                <w:color w:val="000000"/>
                <w:sz w:val="24"/>
              </w:rPr>
            </w:pPr>
            <w:r>
              <w:rPr>
                <w:rFonts w:hint="eastAsia" w:ascii="宋体" w:hAnsi="宋体"/>
                <w:color w:val="000000"/>
                <w:sz w:val="24"/>
              </w:rPr>
              <w:t>单位地址：</w:t>
            </w:r>
          </w:p>
        </w:tc>
        <w:tc>
          <w:tcPr>
            <w:tcW w:w="4517" w:type="dxa"/>
            <w:noWrap w:val="0"/>
            <w:vAlign w:val="center"/>
          </w:tcPr>
          <w:p w14:paraId="6A5CF0CF">
            <w:pPr>
              <w:snapToGrid w:val="0"/>
              <w:spacing w:line="360" w:lineRule="auto"/>
              <w:rPr>
                <w:rFonts w:hint="eastAsia" w:ascii="宋体" w:hAnsi="宋体"/>
                <w:color w:val="000000"/>
                <w:sz w:val="24"/>
              </w:rPr>
            </w:pPr>
            <w:r>
              <w:rPr>
                <w:rFonts w:hint="eastAsia" w:ascii="宋体" w:hAnsi="宋体"/>
                <w:color w:val="000000"/>
                <w:sz w:val="24"/>
              </w:rPr>
              <w:t>单位地址：</w:t>
            </w:r>
          </w:p>
        </w:tc>
      </w:tr>
      <w:tr w14:paraId="4641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trPr>
        <w:tc>
          <w:tcPr>
            <w:tcW w:w="4516" w:type="dxa"/>
            <w:noWrap w:val="0"/>
            <w:vAlign w:val="top"/>
          </w:tcPr>
          <w:p w14:paraId="7F80995F">
            <w:pPr>
              <w:snapToGrid w:val="0"/>
              <w:spacing w:line="360" w:lineRule="auto"/>
              <w:rPr>
                <w:rFonts w:hint="eastAsia" w:ascii="宋体" w:hAnsi="宋体"/>
                <w:color w:val="000000"/>
                <w:sz w:val="24"/>
              </w:rPr>
            </w:pPr>
            <w:r>
              <w:rPr>
                <w:rFonts w:hint="eastAsia" w:ascii="宋体" w:hAnsi="宋体"/>
                <w:color w:val="000000"/>
                <w:sz w:val="24"/>
              </w:rPr>
              <w:t>法定代表人或者</w:t>
            </w:r>
            <w:r>
              <w:rPr>
                <w:rFonts w:hint="eastAsia" w:ascii="宋体" w:hAnsi="宋体"/>
                <w:color w:val="000000"/>
                <w:sz w:val="24"/>
                <w:lang w:eastAsia="zh-CN"/>
              </w:rPr>
              <w:t>其</w:t>
            </w:r>
            <w:r>
              <w:rPr>
                <w:rFonts w:hint="eastAsia" w:ascii="宋体" w:hAnsi="宋体"/>
                <w:color w:val="000000"/>
                <w:sz w:val="24"/>
              </w:rPr>
              <w:t>委托代理人：</w:t>
            </w:r>
          </w:p>
        </w:tc>
        <w:tc>
          <w:tcPr>
            <w:tcW w:w="4517" w:type="dxa"/>
            <w:noWrap w:val="0"/>
            <w:vAlign w:val="top"/>
          </w:tcPr>
          <w:p w14:paraId="0B97F866">
            <w:pPr>
              <w:snapToGrid w:val="0"/>
              <w:spacing w:line="360" w:lineRule="auto"/>
              <w:rPr>
                <w:rFonts w:hint="eastAsia" w:ascii="宋体" w:hAnsi="宋体"/>
                <w:color w:val="000000"/>
                <w:sz w:val="24"/>
              </w:rPr>
            </w:pPr>
            <w:r>
              <w:rPr>
                <w:rFonts w:hint="eastAsia" w:ascii="宋体" w:hAnsi="宋体"/>
                <w:color w:val="000000"/>
                <w:sz w:val="24"/>
              </w:rPr>
              <w:t>法定代表人或者</w:t>
            </w:r>
            <w:r>
              <w:rPr>
                <w:rFonts w:hint="eastAsia" w:ascii="宋体" w:hAnsi="宋体"/>
                <w:color w:val="000000"/>
                <w:sz w:val="24"/>
                <w:lang w:eastAsia="zh-CN"/>
              </w:rPr>
              <w:t>其</w:t>
            </w:r>
            <w:r>
              <w:rPr>
                <w:rFonts w:hint="eastAsia" w:ascii="宋体" w:hAnsi="宋体"/>
                <w:color w:val="000000"/>
                <w:sz w:val="24"/>
              </w:rPr>
              <w:t>委托代理人：</w:t>
            </w:r>
          </w:p>
        </w:tc>
      </w:tr>
      <w:tr w14:paraId="72A6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14:paraId="0B445348">
            <w:pPr>
              <w:snapToGrid w:val="0"/>
              <w:spacing w:line="360" w:lineRule="auto"/>
              <w:rPr>
                <w:rFonts w:hint="eastAsia" w:ascii="宋体" w:hAnsi="宋体"/>
                <w:color w:val="000000"/>
                <w:sz w:val="24"/>
              </w:rPr>
            </w:pPr>
            <w:r>
              <w:rPr>
                <w:rFonts w:hint="eastAsia" w:ascii="宋体" w:hAnsi="宋体"/>
                <w:color w:val="000000"/>
                <w:sz w:val="24"/>
              </w:rPr>
              <w:t>电话：</w:t>
            </w:r>
          </w:p>
        </w:tc>
        <w:tc>
          <w:tcPr>
            <w:tcW w:w="4517" w:type="dxa"/>
            <w:noWrap w:val="0"/>
            <w:vAlign w:val="center"/>
          </w:tcPr>
          <w:p w14:paraId="1ED9A8DB">
            <w:pPr>
              <w:snapToGrid w:val="0"/>
              <w:spacing w:line="360" w:lineRule="auto"/>
              <w:rPr>
                <w:rFonts w:hint="eastAsia" w:ascii="宋体" w:hAnsi="宋体"/>
                <w:color w:val="000000"/>
                <w:sz w:val="24"/>
              </w:rPr>
            </w:pPr>
            <w:r>
              <w:rPr>
                <w:rFonts w:hint="eastAsia" w:ascii="宋体" w:hAnsi="宋体"/>
                <w:color w:val="000000"/>
                <w:sz w:val="24"/>
              </w:rPr>
              <w:t>电话：</w:t>
            </w:r>
          </w:p>
        </w:tc>
      </w:tr>
      <w:tr w14:paraId="5D15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0"/>
            <w:vAlign w:val="center"/>
          </w:tcPr>
          <w:p w14:paraId="113B54CB">
            <w:pPr>
              <w:snapToGrid w:val="0"/>
              <w:spacing w:line="360" w:lineRule="auto"/>
              <w:rPr>
                <w:rFonts w:hint="eastAsia" w:ascii="宋体" w:hAnsi="宋体"/>
                <w:color w:val="000000"/>
                <w:sz w:val="24"/>
              </w:rPr>
            </w:pPr>
            <w:r>
              <w:rPr>
                <w:rFonts w:hint="eastAsia" w:ascii="宋体" w:hAnsi="宋体"/>
                <w:color w:val="000000"/>
                <w:sz w:val="24"/>
              </w:rPr>
              <w:t>电子邮箱：</w:t>
            </w:r>
          </w:p>
        </w:tc>
        <w:tc>
          <w:tcPr>
            <w:tcW w:w="4517" w:type="dxa"/>
            <w:noWrap w:val="0"/>
            <w:vAlign w:val="center"/>
          </w:tcPr>
          <w:p w14:paraId="3E89D372">
            <w:pPr>
              <w:snapToGrid w:val="0"/>
              <w:spacing w:line="360" w:lineRule="auto"/>
              <w:rPr>
                <w:rFonts w:hint="eastAsia" w:ascii="宋体" w:hAnsi="宋体"/>
                <w:color w:val="000000"/>
                <w:sz w:val="24"/>
              </w:rPr>
            </w:pPr>
            <w:r>
              <w:rPr>
                <w:rFonts w:hint="eastAsia" w:ascii="宋体" w:hAnsi="宋体"/>
                <w:color w:val="000000"/>
                <w:sz w:val="24"/>
              </w:rPr>
              <w:t>电子邮箱：</w:t>
            </w:r>
          </w:p>
        </w:tc>
      </w:tr>
      <w:tr w14:paraId="506E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noWrap w:val="0"/>
            <w:vAlign w:val="center"/>
          </w:tcPr>
          <w:p w14:paraId="2C697DD0">
            <w:pPr>
              <w:snapToGrid w:val="0"/>
              <w:spacing w:line="360" w:lineRule="auto"/>
              <w:rPr>
                <w:rFonts w:hint="eastAsia" w:ascii="宋体" w:hAnsi="宋体"/>
                <w:color w:val="000000"/>
                <w:sz w:val="24"/>
              </w:rPr>
            </w:pPr>
            <w:r>
              <w:rPr>
                <w:rFonts w:hint="eastAsia" w:ascii="宋体" w:hAnsi="宋体"/>
                <w:color w:val="000000"/>
                <w:sz w:val="24"/>
              </w:rPr>
              <w:t>开户银行：</w:t>
            </w:r>
          </w:p>
        </w:tc>
        <w:tc>
          <w:tcPr>
            <w:tcW w:w="4517" w:type="dxa"/>
            <w:noWrap w:val="0"/>
            <w:vAlign w:val="center"/>
          </w:tcPr>
          <w:p w14:paraId="3D4588AF">
            <w:pPr>
              <w:snapToGrid w:val="0"/>
              <w:spacing w:line="360" w:lineRule="auto"/>
              <w:rPr>
                <w:rFonts w:hint="eastAsia" w:ascii="宋体" w:hAnsi="宋体"/>
                <w:color w:val="000000"/>
                <w:sz w:val="24"/>
              </w:rPr>
            </w:pPr>
            <w:r>
              <w:rPr>
                <w:rFonts w:hint="eastAsia" w:ascii="宋体" w:hAnsi="宋体"/>
                <w:color w:val="000000"/>
                <w:sz w:val="24"/>
              </w:rPr>
              <w:t>开户银行：</w:t>
            </w:r>
          </w:p>
        </w:tc>
      </w:tr>
      <w:tr w14:paraId="2FE9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14:paraId="2C89E1A2">
            <w:pPr>
              <w:snapToGrid w:val="0"/>
              <w:spacing w:line="360" w:lineRule="auto"/>
              <w:rPr>
                <w:rFonts w:hint="eastAsia" w:ascii="宋体" w:hAnsi="宋体"/>
                <w:color w:val="000000"/>
                <w:sz w:val="24"/>
              </w:rPr>
            </w:pPr>
            <w:r>
              <w:rPr>
                <w:rFonts w:hint="eastAsia" w:ascii="宋体" w:hAnsi="宋体"/>
                <w:color w:val="000000"/>
                <w:sz w:val="24"/>
              </w:rPr>
              <w:t>账号：</w:t>
            </w:r>
          </w:p>
        </w:tc>
        <w:tc>
          <w:tcPr>
            <w:tcW w:w="4517" w:type="dxa"/>
            <w:noWrap w:val="0"/>
            <w:vAlign w:val="center"/>
          </w:tcPr>
          <w:p w14:paraId="7E0E0C01">
            <w:pPr>
              <w:snapToGrid w:val="0"/>
              <w:spacing w:line="360" w:lineRule="auto"/>
              <w:rPr>
                <w:rFonts w:hint="eastAsia" w:ascii="宋体" w:hAnsi="宋体"/>
                <w:color w:val="000000"/>
                <w:sz w:val="24"/>
              </w:rPr>
            </w:pPr>
            <w:r>
              <w:rPr>
                <w:rFonts w:hint="eastAsia" w:ascii="宋体" w:hAnsi="宋体"/>
                <w:color w:val="000000"/>
                <w:sz w:val="24"/>
              </w:rPr>
              <w:t>账号：</w:t>
            </w:r>
          </w:p>
        </w:tc>
      </w:tr>
      <w:tr w14:paraId="2667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14:paraId="74D3A582">
            <w:pPr>
              <w:snapToGrid w:val="0"/>
              <w:spacing w:line="360" w:lineRule="auto"/>
              <w:rPr>
                <w:rFonts w:hint="eastAsia" w:ascii="宋体" w:hAnsi="宋体"/>
                <w:color w:val="000000"/>
                <w:sz w:val="24"/>
              </w:rPr>
            </w:pPr>
            <w:r>
              <w:rPr>
                <w:rFonts w:hint="eastAsia" w:ascii="宋体" w:hAnsi="宋体"/>
                <w:color w:val="000000"/>
                <w:sz w:val="24"/>
              </w:rPr>
              <w:t>邮政编码：</w:t>
            </w:r>
          </w:p>
        </w:tc>
        <w:tc>
          <w:tcPr>
            <w:tcW w:w="4517" w:type="dxa"/>
            <w:noWrap w:val="0"/>
            <w:vAlign w:val="center"/>
          </w:tcPr>
          <w:p w14:paraId="4BBD6C7A">
            <w:pPr>
              <w:snapToGrid w:val="0"/>
              <w:spacing w:line="360" w:lineRule="auto"/>
              <w:rPr>
                <w:rFonts w:hint="eastAsia" w:ascii="宋体" w:hAnsi="宋体"/>
                <w:color w:val="000000"/>
                <w:sz w:val="24"/>
              </w:rPr>
            </w:pPr>
            <w:r>
              <w:rPr>
                <w:rFonts w:hint="eastAsia" w:ascii="宋体" w:hAnsi="宋体"/>
                <w:color w:val="000000"/>
                <w:sz w:val="24"/>
              </w:rPr>
              <w:t>邮政编码：</w:t>
            </w:r>
          </w:p>
        </w:tc>
      </w:tr>
    </w:tbl>
    <w:p w14:paraId="5BF810A6">
      <w:pPr>
        <w:snapToGrid w:val="0"/>
        <w:spacing w:line="360" w:lineRule="auto"/>
        <w:ind w:left="480" w:hanging="480" w:hangingChars="200"/>
        <w:rPr>
          <w:rFonts w:hint="eastAsia" w:ascii="宋体" w:hAnsi="宋体"/>
          <w:color w:val="000000"/>
          <w:sz w:val="24"/>
        </w:rPr>
      </w:pPr>
    </w:p>
    <w:p w14:paraId="3462A28B">
      <w:pPr>
        <w:snapToGrid w:val="0"/>
        <w:spacing w:line="360" w:lineRule="auto"/>
        <w:jc w:val="center"/>
        <w:rPr>
          <w:rFonts w:hint="eastAsia" w:ascii="宋体" w:hAnsi="宋体"/>
          <w:b/>
          <w:color w:val="000000"/>
          <w:sz w:val="24"/>
        </w:rPr>
      </w:pPr>
      <w:r>
        <w:rPr>
          <w:rFonts w:ascii="宋体" w:hAnsi="宋体"/>
          <w:b/>
          <w:color w:val="000000"/>
          <w:sz w:val="24"/>
        </w:rPr>
        <w:br w:type="page"/>
      </w:r>
      <w:r>
        <w:rPr>
          <w:rFonts w:hint="eastAsia" w:ascii="宋体" w:hAnsi="宋体"/>
          <w:b/>
          <w:color w:val="000000"/>
          <w:sz w:val="24"/>
        </w:rPr>
        <w:t>合 同 附 件</w:t>
      </w:r>
    </w:p>
    <w:p w14:paraId="2C83E03C">
      <w:pPr>
        <w:snapToGrid w:val="0"/>
        <w:spacing w:line="360" w:lineRule="auto"/>
        <w:ind w:firstLine="720" w:firstLineChars="300"/>
        <w:rPr>
          <w:rFonts w:hint="eastAsia" w:ascii="宋体" w:hAnsi="宋体"/>
          <w:color w:val="000000"/>
          <w:sz w:val="24"/>
        </w:rPr>
      </w:pPr>
      <w:r>
        <w:rPr>
          <w:rFonts w:hint="eastAsia" w:ascii="宋体" w:hAnsi="宋体"/>
          <w:color w:val="000000"/>
          <w:sz w:val="24"/>
        </w:rPr>
        <w:t>一般货物类</w:t>
      </w:r>
    </w:p>
    <w:tbl>
      <w:tblPr>
        <w:tblStyle w:val="44"/>
        <w:tblW w:w="8522" w:type="dxa"/>
        <w:jc w:val="center"/>
        <w:tblLayout w:type="fixed"/>
        <w:tblCellMar>
          <w:top w:w="0" w:type="dxa"/>
          <w:left w:w="108" w:type="dxa"/>
          <w:bottom w:w="0" w:type="dxa"/>
          <w:right w:w="108" w:type="dxa"/>
        </w:tblCellMar>
      </w:tblPr>
      <w:tblGrid>
        <w:gridCol w:w="4263"/>
        <w:gridCol w:w="4259"/>
      </w:tblGrid>
      <w:tr w14:paraId="3797FE78">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noWrap w:val="0"/>
            <w:vAlign w:val="top"/>
          </w:tcPr>
          <w:p w14:paraId="706A24BD">
            <w:pPr>
              <w:snapToGrid w:val="0"/>
              <w:spacing w:line="360" w:lineRule="auto"/>
              <w:rPr>
                <w:rFonts w:hint="eastAsia" w:ascii="宋体" w:hAnsi="宋体"/>
                <w:b/>
                <w:color w:val="000000"/>
                <w:sz w:val="24"/>
              </w:rPr>
            </w:pPr>
            <w:r>
              <w:rPr>
                <w:rFonts w:hint="eastAsia" w:ascii="宋体" w:hAnsi="宋体"/>
                <w:b/>
                <w:color w:val="000000"/>
                <w:sz w:val="24"/>
              </w:rPr>
              <w:t>1. 供应商承诺具体事项：</w:t>
            </w:r>
          </w:p>
        </w:tc>
      </w:tr>
      <w:tr w14:paraId="7E2606C2">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noWrap w:val="0"/>
            <w:vAlign w:val="top"/>
          </w:tcPr>
          <w:p w14:paraId="3B2C4F22">
            <w:pPr>
              <w:snapToGrid w:val="0"/>
              <w:spacing w:line="360" w:lineRule="auto"/>
              <w:rPr>
                <w:rFonts w:hint="eastAsia" w:ascii="宋体" w:hAnsi="宋体"/>
                <w:b/>
                <w:color w:val="000000"/>
                <w:sz w:val="24"/>
              </w:rPr>
            </w:pPr>
            <w:r>
              <w:rPr>
                <w:rFonts w:hint="eastAsia" w:ascii="宋体" w:hAnsi="宋体"/>
                <w:b/>
                <w:color w:val="000000"/>
                <w:sz w:val="24"/>
              </w:rPr>
              <w:t>2. 售后服务具体事项：</w:t>
            </w:r>
          </w:p>
        </w:tc>
      </w:tr>
      <w:tr w14:paraId="196E7932">
        <w:tblPrEx>
          <w:tblCellMar>
            <w:top w:w="0" w:type="dxa"/>
            <w:left w:w="108" w:type="dxa"/>
            <w:bottom w:w="0" w:type="dxa"/>
            <w:right w:w="108" w:type="dxa"/>
          </w:tblCellMar>
        </w:tblPrEx>
        <w:trPr>
          <w:trHeight w:val="1088" w:hRule="atLeast"/>
          <w:jc w:val="center"/>
        </w:trPr>
        <w:tc>
          <w:tcPr>
            <w:tcW w:w="8522" w:type="dxa"/>
            <w:gridSpan w:val="2"/>
            <w:tcBorders>
              <w:top w:val="single" w:color="auto" w:sz="4" w:space="0"/>
              <w:left w:val="single" w:color="auto" w:sz="4" w:space="0"/>
              <w:right w:val="single" w:color="auto" w:sz="4" w:space="0"/>
            </w:tcBorders>
            <w:noWrap w:val="0"/>
            <w:vAlign w:val="top"/>
          </w:tcPr>
          <w:p w14:paraId="36AF949F">
            <w:pPr>
              <w:snapToGrid w:val="0"/>
              <w:spacing w:line="360" w:lineRule="auto"/>
              <w:rPr>
                <w:rFonts w:hint="eastAsia" w:ascii="宋体" w:hAnsi="宋体"/>
                <w:b/>
                <w:color w:val="000000"/>
                <w:sz w:val="24"/>
              </w:rPr>
            </w:pPr>
            <w:r>
              <w:rPr>
                <w:rFonts w:hint="eastAsia" w:ascii="宋体" w:hAnsi="宋体"/>
                <w:b/>
                <w:color w:val="000000"/>
                <w:sz w:val="24"/>
              </w:rPr>
              <w:t>3. 保修期责任：</w:t>
            </w:r>
          </w:p>
        </w:tc>
      </w:tr>
      <w:tr w14:paraId="148BB245">
        <w:tblPrEx>
          <w:tblCellMar>
            <w:top w:w="0" w:type="dxa"/>
            <w:left w:w="108" w:type="dxa"/>
            <w:bottom w:w="0" w:type="dxa"/>
            <w:right w:w="108" w:type="dxa"/>
          </w:tblCellMar>
        </w:tblPrEx>
        <w:trPr>
          <w:trHeight w:val="1360" w:hRule="atLeast"/>
          <w:jc w:val="center"/>
        </w:trPr>
        <w:tc>
          <w:tcPr>
            <w:tcW w:w="8522" w:type="dxa"/>
            <w:gridSpan w:val="2"/>
            <w:tcBorders>
              <w:top w:val="single" w:color="auto" w:sz="4" w:space="0"/>
              <w:left w:val="single" w:color="auto" w:sz="4" w:space="0"/>
              <w:right w:val="single" w:color="auto" w:sz="4" w:space="0"/>
            </w:tcBorders>
            <w:noWrap w:val="0"/>
            <w:vAlign w:val="top"/>
          </w:tcPr>
          <w:p w14:paraId="2E6B4E48">
            <w:pPr>
              <w:snapToGrid w:val="0"/>
              <w:spacing w:line="360" w:lineRule="auto"/>
              <w:rPr>
                <w:rFonts w:hint="eastAsia" w:ascii="宋体" w:hAnsi="宋体"/>
                <w:b/>
                <w:color w:val="000000"/>
                <w:sz w:val="24"/>
              </w:rPr>
            </w:pPr>
            <w:r>
              <w:rPr>
                <w:rFonts w:hint="eastAsia" w:ascii="宋体" w:hAnsi="宋体"/>
                <w:b/>
                <w:color w:val="000000"/>
                <w:sz w:val="24"/>
              </w:rPr>
              <w:t xml:space="preserve">4. </w:t>
            </w:r>
            <w:r>
              <w:rPr>
                <w:rFonts w:hint="eastAsia" w:ascii="宋体" w:hAnsi="宋体"/>
                <w:b/>
                <w:color w:val="000000"/>
                <w:sz w:val="24"/>
                <w:lang w:eastAsia="zh-CN"/>
              </w:rPr>
              <w:t>其他</w:t>
            </w:r>
            <w:r>
              <w:rPr>
                <w:rFonts w:hint="eastAsia" w:ascii="宋体" w:hAnsi="宋体"/>
                <w:b/>
                <w:color w:val="000000"/>
                <w:sz w:val="24"/>
              </w:rPr>
              <w:t>具体事项：</w:t>
            </w:r>
          </w:p>
        </w:tc>
      </w:tr>
      <w:tr w14:paraId="37C7157F">
        <w:tblPrEx>
          <w:tblCellMar>
            <w:top w:w="0" w:type="dxa"/>
            <w:left w:w="108" w:type="dxa"/>
            <w:bottom w:w="0" w:type="dxa"/>
            <w:right w:w="108" w:type="dxa"/>
          </w:tblCellMar>
        </w:tblPrEx>
        <w:trPr>
          <w:trHeight w:val="1703" w:hRule="atLeast"/>
          <w:jc w:val="center"/>
        </w:trPr>
        <w:tc>
          <w:tcPr>
            <w:tcW w:w="4263" w:type="dxa"/>
            <w:tcBorders>
              <w:top w:val="single" w:color="auto" w:sz="4" w:space="0"/>
              <w:left w:val="single" w:color="auto" w:sz="4" w:space="0"/>
              <w:bottom w:val="single" w:color="auto" w:sz="4" w:space="0"/>
              <w:right w:val="single" w:color="auto" w:sz="4" w:space="0"/>
            </w:tcBorders>
            <w:noWrap w:val="0"/>
            <w:vAlign w:val="center"/>
          </w:tcPr>
          <w:p w14:paraId="026027A6">
            <w:pPr>
              <w:snapToGrid w:val="0"/>
              <w:spacing w:line="360" w:lineRule="auto"/>
              <w:rPr>
                <w:rFonts w:hint="eastAsia" w:ascii="宋体" w:hAnsi="宋体"/>
                <w:b/>
                <w:color w:val="000000"/>
                <w:sz w:val="24"/>
              </w:rPr>
            </w:pPr>
            <w:r>
              <w:rPr>
                <w:rFonts w:hint="eastAsia" w:ascii="宋体" w:hAnsi="宋体"/>
                <w:b/>
                <w:color w:val="000000"/>
                <w:sz w:val="24"/>
              </w:rPr>
              <w:t>甲方（章）</w:t>
            </w:r>
          </w:p>
          <w:p w14:paraId="78D175B3">
            <w:pPr>
              <w:snapToGrid w:val="0"/>
              <w:spacing w:line="360" w:lineRule="auto"/>
              <w:ind w:firstLine="480" w:firstLineChars="200"/>
              <w:rPr>
                <w:rFonts w:hint="eastAsia" w:ascii="宋体" w:hAnsi="宋体"/>
                <w:b/>
                <w:color w:val="000000"/>
                <w:sz w:val="24"/>
              </w:rPr>
            </w:pPr>
          </w:p>
          <w:p w14:paraId="65CB2A76">
            <w:pPr>
              <w:snapToGrid w:val="0"/>
              <w:spacing w:line="360" w:lineRule="auto"/>
              <w:rPr>
                <w:rFonts w:hint="eastAsia" w:ascii="宋体" w:hAnsi="宋体"/>
                <w:b/>
                <w:color w:val="000000"/>
                <w:sz w:val="24"/>
              </w:rPr>
            </w:pPr>
          </w:p>
          <w:p w14:paraId="2989EB01">
            <w:pPr>
              <w:snapToGrid w:val="0"/>
              <w:spacing w:line="360" w:lineRule="auto"/>
              <w:ind w:firstLine="480" w:firstLineChars="200"/>
              <w:rPr>
                <w:rFonts w:hint="eastAsia" w:ascii="宋体" w:hAnsi="宋体"/>
                <w:b/>
                <w:color w:val="000000"/>
                <w:sz w:val="24"/>
              </w:rPr>
            </w:pPr>
            <w:r>
              <w:rPr>
                <w:rFonts w:hint="eastAsia" w:ascii="宋体" w:hAnsi="宋体"/>
                <w:b/>
                <w:color w:val="000000"/>
                <w:sz w:val="24"/>
              </w:rPr>
              <w:t xml:space="preserve">               年   月   日 </w:t>
            </w:r>
          </w:p>
        </w:tc>
        <w:tc>
          <w:tcPr>
            <w:tcW w:w="4259" w:type="dxa"/>
            <w:tcBorders>
              <w:top w:val="single" w:color="auto" w:sz="4" w:space="0"/>
              <w:left w:val="single" w:color="auto" w:sz="4" w:space="0"/>
              <w:bottom w:val="single" w:color="auto" w:sz="4" w:space="0"/>
              <w:right w:val="single" w:color="auto" w:sz="4" w:space="0"/>
            </w:tcBorders>
            <w:noWrap w:val="0"/>
            <w:vAlign w:val="center"/>
          </w:tcPr>
          <w:p w14:paraId="7BBD06D2">
            <w:pPr>
              <w:snapToGrid w:val="0"/>
              <w:spacing w:line="360" w:lineRule="auto"/>
              <w:rPr>
                <w:rFonts w:hint="eastAsia" w:ascii="宋体" w:hAnsi="宋体"/>
                <w:b/>
                <w:color w:val="000000"/>
                <w:sz w:val="24"/>
              </w:rPr>
            </w:pPr>
            <w:r>
              <w:rPr>
                <w:rFonts w:hint="eastAsia" w:ascii="宋体" w:hAnsi="宋体"/>
                <w:b/>
                <w:color w:val="000000"/>
                <w:sz w:val="24"/>
              </w:rPr>
              <w:t>乙方（章）</w:t>
            </w:r>
          </w:p>
          <w:p w14:paraId="5BD7E469">
            <w:pPr>
              <w:snapToGrid w:val="0"/>
              <w:spacing w:line="360" w:lineRule="auto"/>
              <w:ind w:firstLine="480" w:firstLineChars="200"/>
              <w:rPr>
                <w:rFonts w:hint="eastAsia" w:ascii="宋体" w:hAnsi="宋体"/>
                <w:b/>
                <w:color w:val="000000"/>
                <w:sz w:val="24"/>
              </w:rPr>
            </w:pPr>
          </w:p>
          <w:p w14:paraId="7B643ABC">
            <w:pPr>
              <w:snapToGrid w:val="0"/>
              <w:spacing w:line="360" w:lineRule="auto"/>
              <w:rPr>
                <w:rFonts w:hint="eastAsia" w:ascii="宋体" w:hAnsi="宋体"/>
                <w:b/>
                <w:color w:val="000000"/>
                <w:sz w:val="24"/>
              </w:rPr>
            </w:pPr>
          </w:p>
          <w:p w14:paraId="5E04774F">
            <w:pPr>
              <w:snapToGrid w:val="0"/>
              <w:spacing w:line="360" w:lineRule="auto"/>
              <w:ind w:firstLine="480" w:firstLineChars="200"/>
              <w:rPr>
                <w:rFonts w:hint="eastAsia" w:ascii="宋体" w:hAnsi="宋体"/>
                <w:b/>
                <w:color w:val="000000"/>
                <w:sz w:val="24"/>
              </w:rPr>
            </w:pPr>
            <w:r>
              <w:rPr>
                <w:rFonts w:hint="eastAsia" w:ascii="宋体" w:hAnsi="宋体"/>
                <w:b/>
                <w:color w:val="000000"/>
                <w:sz w:val="24"/>
              </w:rPr>
              <w:t xml:space="preserve">                 年   月   日</w:t>
            </w:r>
          </w:p>
        </w:tc>
      </w:tr>
    </w:tbl>
    <w:p w14:paraId="647D9E23">
      <w:pPr>
        <w:snapToGrid w:val="0"/>
        <w:spacing w:line="360" w:lineRule="auto"/>
        <w:jc w:val="left"/>
        <w:rPr>
          <w:rFonts w:hint="eastAsia" w:ascii="宋体" w:hAnsi="宋体"/>
          <w:color w:val="000000"/>
          <w:sz w:val="24"/>
        </w:rPr>
      </w:pPr>
      <w:r>
        <w:rPr>
          <w:rFonts w:hint="eastAsia" w:ascii="宋体" w:hAnsi="宋体"/>
          <w:color w:val="000000"/>
          <w:sz w:val="24"/>
        </w:rPr>
        <w:t xml:space="preserve">  </w:t>
      </w:r>
      <w:r>
        <w:rPr>
          <w:rFonts w:hint="eastAsia" w:ascii="宋体" w:hAnsi="宋体"/>
          <w:color w:val="000000"/>
          <w:sz w:val="24"/>
          <w:lang w:val="en-US" w:eastAsia="zh-CN"/>
        </w:rPr>
        <w:t xml:space="preserve"> </w:t>
      </w:r>
      <w:r>
        <w:rPr>
          <w:rFonts w:hint="eastAsia" w:ascii="宋体" w:hAnsi="宋体"/>
          <w:color w:val="000000"/>
          <w:sz w:val="24"/>
        </w:rPr>
        <w:t xml:space="preserve"> 注：售后服务事项填不下时可另加附页</w:t>
      </w:r>
    </w:p>
    <w:p w14:paraId="108271D3">
      <w:pPr>
        <w:snapToGrid w:val="0"/>
        <w:spacing w:line="360" w:lineRule="auto"/>
        <w:jc w:val="left"/>
        <w:rPr>
          <w:rFonts w:ascii="Times New Roman" w:hAnsi="Times New Roman"/>
          <w:color w:val="auto"/>
          <w:sz w:val="24"/>
        </w:rPr>
      </w:pPr>
    </w:p>
    <w:p w14:paraId="6FE5998E">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p>
    <w:p w14:paraId="1193CA3C">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bookmarkStart w:id="174" w:name="_Toc80205947"/>
      <w:bookmarkStart w:id="175" w:name="_Toc31751"/>
    </w:p>
    <w:p w14:paraId="54B988B5">
      <w:pPr>
        <w:rPr>
          <w:rFonts w:hint="eastAsia" w:ascii="宋体" w:hAnsi="宋体" w:eastAsia="宋体" w:cs="宋体"/>
          <w:bCs/>
          <w:color w:val="auto"/>
          <w:sz w:val="44"/>
          <w:szCs w:val="44"/>
          <w:highlight w:val="none"/>
          <w:lang w:val="zh-CN" w:eastAsia="zh-CN"/>
        </w:rPr>
      </w:pPr>
      <w:bookmarkStart w:id="176" w:name="_Toc32254"/>
      <w:bookmarkStart w:id="177" w:name="_Toc6393"/>
      <w:bookmarkStart w:id="178" w:name="_Toc27629"/>
      <w:bookmarkStart w:id="179" w:name="_Toc2169"/>
      <w:bookmarkStart w:id="180" w:name="_Toc5523"/>
      <w:bookmarkStart w:id="181" w:name="_Toc24483"/>
      <w:bookmarkStart w:id="182" w:name="_Toc25054"/>
      <w:r>
        <w:rPr>
          <w:rFonts w:hint="eastAsia" w:ascii="宋体" w:hAnsi="宋体" w:eastAsia="宋体" w:cs="宋体"/>
          <w:bCs/>
          <w:color w:val="auto"/>
          <w:sz w:val="44"/>
          <w:szCs w:val="44"/>
          <w:highlight w:val="none"/>
          <w:lang w:val="zh-CN" w:eastAsia="zh-CN"/>
        </w:rPr>
        <w:br w:type="page"/>
      </w:r>
    </w:p>
    <w:p w14:paraId="5B8F8D91">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p>
    <w:p w14:paraId="1B6A6DCF">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p>
    <w:p w14:paraId="67BAA1B9">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p>
    <w:p w14:paraId="3878A87B">
      <w:pPr>
        <w:keepNext/>
        <w:keepLines/>
        <w:spacing w:before="340" w:after="330" w:line="578" w:lineRule="auto"/>
        <w:jc w:val="center"/>
        <w:outlineLvl w:val="0"/>
        <w:rPr>
          <w:rFonts w:hint="eastAsia" w:ascii="宋体" w:hAnsi="宋体" w:eastAsia="宋体" w:cs="宋体"/>
          <w:b/>
          <w:bCs/>
          <w:color w:val="auto"/>
          <w:sz w:val="44"/>
          <w:szCs w:val="44"/>
          <w:highlight w:val="none"/>
          <w:lang w:val="zh-CN" w:eastAsia="zh-CN"/>
        </w:rPr>
        <w:sectPr>
          <w:pgSz w:w="11910" w:h="16840"/>
          <w:pgMar w:top="1134" w:right="1134" w:bottom="1134" w:left="1134" w:header="720" w:footer="720" w:gutter="0"/>
          <w:cols w:space="720" w:num="1"/>
        </w:sectPr>
      </w:pPr>
      <w:r>
        <w:rPr>
          <w:rFonts w:hint="eastAsia" w:ascii="宋体" w:hAnsi="宋体" w:eastAsia="宋体" w:cs="宋体"/>
          <w:bCs/>
          <w:color w:val="auto"/>
          <w:sz w:val="44"/>
          <w:szCs w:val="44"/>
          <w:highlight w:val="none"/>
          <w:lang w:val="zh-CN" w:eastAsia="zh-CN"/>
        </w:rPr>
        <w:t>第七章 质疑、投诉材料格式</w:t>
      </w:r>
      <w:bookmarkEnd w:id="174"/>
      <w:bookmarkEnd w:id="175"/>
      <w:bookmarkEnd w:id="176"/>
      <w:bookmarkEnd w:id="177"/>
      <w:bookmarkEnd w:id="178"/>
      <w:bookmarkEnd w:id="179"/>
      <w:bookmarkEnd w:id="180"/>
      <w:bookmarkEnd w:id="181"/>
      <w:bookmarkEnd w:id="182"/>
    </w:p>
    <w:p w14:paraId="06328C4D">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4EE4428E">
      <w:pPr>
        <w:spacing w:line="360" w:lineRule="auto"/>
        <w:ind w:firstLine="482"/>
        <w:contextualSpacing/>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一、质疑供应商基本信息：</w:t>
      </w:r>
    </w:p>
    <w:p w14:paraId="77B1D445">
      <w:pPr>
        <w:spacing w:line="360" w:lineRule="auto"/>
        <w:ind w:firstLine="480"/>
        <w:contextualSpacing/>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质疑供应商：</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2D35B12F">
      <w:pPr>
        <w:spacing w:line="360" w:lineRule="auto"/>
        <w:ind w:firstLine="480"/>
        <w:contextualSpacing/>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17D55A53">
      <w:pPr>
        <w:spacing w:line="360" w:lineRule="auto"/>
        <w:ind w:firstLine="480"/>
        <w:contextualSpacing/>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联系人：</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74E79BB8">
      <w:pPr>
        <w:spacing w:line="360" w:lineRule="auto"/>
        <w:ind w:firstLine="480"/>
        <w:contextualSpacing/>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授权代表：</w:t>
      </w:r>
      <w:r>
        <w:rPr>
          <w:rFonts w:hint="eastAsia" w:ascii="宋体" w:hAnsi="宋体" w:eastAsia="宋体" w:cs="宋体"/>
          <w:bCs/>
          <w:color w:val="auto"/>
          <w:sz w:val="24"/>
          <w:szCs w:val="24"/>
          <w:highlight w:val="none"/>
          <w:u w:val="single"/>
          <w:lang w:val="zh-CN" w:eastAsia="zh-CN"/>
        </w:rPr>
        <w:t xml:space="preserve">                      </w:t>
      </w:r>
    </w:p>
    <w:p w14:paraId="79D95683">
      <w:pPr>
        <w:spacing w:line="360" w:lineRule="auto"/>
        <w:ind w:firstLine="480"/>
        <w:contextualSpacing/>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521B1526">
      <w:pPr>
        <w:spacing w:line="360" w:lineRule="auto"/>
        <w:ind w:firstLine="480"/>
        <w:contextualSpacing/>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3D57035D">
      <w:pPr>
        <w:spacing w:line="360" w:lineRule="auto"/>
        <w:ind w:firstLine="482"/>
        <w:contextualSpacing/>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二、质疑项目基本情况：</w:t>
      </w:r>
    </w:p>
    <w:p w14:paraId="76C98FE6">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质疑</w:t>
      </w:r>
      <w:r>
        <w:rPr>
          <w:rFonts w:hint="eastAsia" w:ascii="宋体" w:hAnsi="宋体" w:eastAsia="宋体" w:cs="宋体"/>
          <w:color w:val="auto"/>
          <w:sz w:val="24"/>
          <w:szCs w:val="24"/>
          <w:highlight w:val="none"/>
          <w:lang w:val="zh-CN" w:eastAsia="zh-CN"/>
        </w:rPr>
        <w:t>项目的名称：</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384E0EC9">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质疑</w:t>
      </w:r>
      <w:r>
        <w:rPr>
          <w:rFonts w:hint="eastAsia" w:ascii="宋体" w:hAnsi="宋体" w:eastAsia="宋体" w:cs="宋体"/>
          <w:color w:val="auto"/>
          <w:sz w:val="24"/>
          <w:szCs w:val="24"/>
          <w:highlight w:val="none"/>
          <w:lang w:val="zh-CN" w:eastAsia="zh-CN"/>
        </w:rPr>
        <w:t>项目的编号：</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631BCE97">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采购人名称：</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2EFEF689">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质疑事项：</w:t>
      </w:r>
    </w:p>
    <w:p w14:paraId="76542037">
      <w:pPr>
        <w:spacing w:line="360" w:lineRule="auto"/>
        <w:ind w:left="25" w:firstLine="35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□采购文件   采购文件获取日期：</w:t>
      </w:r>
      <w:r>
        <w:rPr>
          <w:rFonts w:hint="eastAsia" w:ascii="宋体" w:hAnsi="宋体" w:eastAsia="宋体" w:cs="宋体"/>
          <w:bCs/>
          <w:color w:val="auto"/>
          <w:sz w:val="24"/>
          <w:szCs w:val="24"/>
          <w:highlight w:val="none"/>
          <w:u w:val="single"/>
          <w:lang w:val="zh-CN" w:eastAsia="zh-CN"/>
        </w:rPr>
        <w:t xml:space="preserve">                                   </w:t>
      </w:r>
    </w:p>
    <w:p w14:paraId="1B4B15F5">
      <w:pPr>
        <w:spacing w:line="360" w:lineRule="auto"/>
        <w:ind w:left="25" w:firstLine="35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□采购过程   </w:t>
      </w:r>
    </w:p>
    <w:p w14:paraId="05B622AA">
      <w:pPr>
        <w:spacing w:line="360" w:lineRule="auto"/>
        <w:ind w:left="25" w:firstLine="352"/>
        <w:contextualSpacing/>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 xml:space="preserve">□成交结果   </w:t>
      </w:r>
    </w:p>
    <w:p w14:paraId="002572AD">
      <w:pPr>
        <w:spacing w:line="360" w:lineRule="auto"/>
        <w:ind w:left="25" w:firstLine="472"/>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三、质疑事项具体内容</w:t>
      </w:r>
    </w:p>
    <w:p w14:paraId="2E4D7402">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质疑事项1：</w:t>
      </w:r>
      <w:r>
        <w:rPr>
          <w:rFonts w:hint="eastAsia" w:ascii="宋体" w:hAnsi="宋体" w:eastAsia="宋体" w:cs="宋体"/>
          <w:bCs/>
          <w:color w:val="auto"/>
          <w:sz w:val="24"/>
          <w:szCs w:val="24"/>
          <w:highlight w:val="none"/>
          <w:u w:val="single"/>
          <w:lang w:val="zh-CN" w:eastAsia="zh-CN"/>
        </w:rPr>
        <w:t xml:space="preserve">                                                                    </w:t>
      </w:r>
    </w:p>
    <w:p w14:paraId="2B0EF323">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事实依据：</w:t>
      </w:r>
      <w:r>
        <w:rPr>
          <w:rFonts w:hint="eastAsia" w:ascii="宋体" w:hAnsi="宋体" w:eastAsia="宋体" w:cs="宋体"/>
          <w:bCs/>
          <w:color w:val="auto"/>
          <w:sz w:val="24"/>
          <w:szCs w:val="24"/>
          <w:highlight w:val="none"/>
          <w:u w:val="single"/>
          <w:lang w:val="zh-CN" w:eastAsia="zh-CN"/>
        </w:rPr>
        <w:t xml:space="preserve">                                                                      </w:t>
      </w:r>
    </w:p>
    <w:p w14:paraId="338CE98C">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法律依据：</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42525258">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质疑事项2</w:t>
      </w:r>
    </w:p>
    <w:p w14:paraId="340B5FC6">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p>
    <w:p w14:paraId="2128564B">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四、与质疑事项相关的质疑请求：</w:t>
      </w:r>
    </w:p>
    <w:p w14:paraId="472C5B3E">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请求：</w:t>
      </w:r>
      <w:r>
        <w:rPr>
          <w:rFonts w:hint="eastAsia" w:ascii="宋体" w:hAnsi="宋体" w:eastAsia="宋体" w:cs="宋体"/>
          <w:bCs/>
          <w:color w:val="auto"/>
          <w:sz w:val="24"/>
          <w:szCs w:val="24"/>
          <w:highlight w:val="none"/>
          <w:u w:val="single"/>
          <w:lang w:val="zh-CN" w:eastAsia="zh-CN"/>
        </w:rPr>
        <w:t xml:space="preserve">                                                                </w:t>
      </w:r>
    </w:p>
    <w:p w14:paraId="2CA77F69">
      <w:pPr>
        <w:spacing w:line="360" w:lineRule="auto"/>
        <w:ind w:left="25" w:firstLine="352"/>
        <w:contextualSpacing/>
        <w:rPr>
          <w:rFonts w:hint="eastAsia" w:ascii="宋体" w:hAnsi="宋体" w:eastAsia="宋体" w:cs="宋体"/>
          <w:color w:val="auto"/>
          <w:sz w:val="24"/>
          <w:szCs w:val="24"/>
          <w:highlight w:val="none"/>
          <w:lang w:val="zh-CN" w:eastAsia="zh-CN"/>
        </w:rPr>
      </w:pPr>
    </w:p>
    <w:p w14:paraId="32285D7E">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签字（签章）：                                       公章：</w:t>
      </w:r>
    </w:p>
    <w:p w14:paraId="548D1D42">
      <w:pPr>
        <w:spacing w:line="360" w:lineRule="auto"/>
        <w:ind w:left="25" w:firstLine="352"/>
        <w:contextualSpacing/>
        <w:rPr>
          <w:rFonts w:hint="eastAsia" w:ascii="宋体" w:hAnsi="宋体" w:eastAsia="宋体" w:cs="宋体"/>
          <w:color w:val="auto"/>
          <w:sz w:val="24"/>
          <w:szCs w:val="24"/>
          <w:highlight w:val="none"/>
          <w:lang w:val="zh-CN" w:eastAsia="zh-CN"/>
        </w:rPr>
      </w:pPr>
    </w:p>
    <w:p w14:paraId="74DB134F">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日期：</w:t>
      </w:r>
    </w:p>
    <w:p w14:paraId="7FBA5162">
      <w:pPr>
        <w:spacing w:line="360" w:lineRule="auto"/>
        <w:contextualSpacing/>
        <w:rPr>
          <w:rFonts w:hint="eastAsia" w:ascii="宋体" w:hAnsi="宋体" w:eastAsia="宋体" w:cs="宋体"/>
          <w:b/>
          <w:color w:val="auto"/>
          <w:sz w:val="24"/>
          <w:szCs w:val="24"/>
          <w:highlight w:val="none"/>
          <w:lang w:val="zh-CN" w:eastAsia="zh-CN"/>
        </w:rPr>
      </w:pPr>
    </w:p>
    <w:p w14:paraId="1A072395">
      <w:pPr>
        <w:spacing w:line="360" w:lineRule="auto"/>
        <w:contextualSpacing/>
        <w:rPr>
          <w:rFonts w:hint="eastAsia" w:ascii="宋体" w:hAnsi="宋体" w:eastAsia="宋体" w:cs="宋体"/>
          <w:b/>
          <w:color w:val="auto"/>
          <w:sz w:val="24"/>
          <w:szCs w:val="24"/>
          <w:highlight w:val="none"/>
          <w:lang w:val="zh-CN" w:eastAsia="zh-CN"/>
        </w:rPr>
      </w:pPr>
    </w:p>
    <w:p w14:paraId="12CB24D6">
      <w:pPr>
        <w:spacing w:line="360" w:lineRule="auto"/>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说明：</w:t>
      </w:r>
    </w:p>
    <w:p w14:paraId="11B2D0B8">
      <w:pPr>
        <w:spacing w:line="360" w:lineRule="auto"/>
        <w:ind w:left="25" w:firstLine="354"/>
        <w:contextualSpacing/>
        <w:rPr>
          <w:rFonts w:hint="eastAsia" w:ascii="宋体" w:hAnsi="宋体" w:eastAsia="宋体" w:cs="宋体"/>
          <w:b/>
          <w:bCs/>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1.供应商提出质疑时，应提交质疑函和必要的证明材料</w:t>
      </w:r>
      <w:r>
        <w:rPr>
          <w:rFonts w:hint="eastAsia" w:ascii="宋体" w:hAnsi="宋体" w:eastAsia="宋体" w:cs="宋体"/>
          <w:b/>
          <w:bCs/>
          <w:color w:val="auto"/>
          <w:sz w:val="24"/>
          <w:szCs w:val="24"/>
          <w:highlight w:val="none"/>
          <w:lang w:val="zh-CN" w:eastAsia="zh-CN"/>
        </w:rPr>
        <w:t>。</w:t>
      </w:r>
    </w:p>
    <w:p w14:paraId="4E86FCDE">
      <w:pPr>
        <w:spacing w:line="360" w:lineRule="auto"/>
        <w:ind w:left="25" w:firstLine="354"/>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56B6490">
      <w:pPr>
        <w:spacing w:line="360" w:lineRule="auto"/>
        <w:ind w:left="25" w:firstLine="354"/>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3.质疑函的质疑事项应具体、明确，并有必要的事实依据和法律依据。</w:t>
      </w:r>
    </w:p>
    <w:p w14:paraId="1A49A395">
      <w:pPr>
        <w:spacing w:line="360" w:lineRule="auto"/>
        <w:ind w:left="25" w:firstLine="354"/>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4.质疑函的质疑请求应与质疑事项相关。</w:t>
      </w:r>
    </w:p>
    <w:p w14:paraId="1DBF125D">
      <w:pPr>
        <w:spacing w:line="360" w:lineRule="auto"/>
        <w:ind w:left="25" w:firstLine="354"/>
        <w:contextualSpacing/>
        <w:rPr>
          <w:rFonts w:hint="eastAsia" w:ascii="宋体" w:hAnsi="宋体" w:eastAsia="宋体" w:cs="宋体"/>
          <w:b/>
          <w:color w:val="auto"/>
          <w:sz w:val="20"/>
          <w:szCs w:val="21"/>
          <w:highlight w:val="none"/>
          <w:lang w:val="zh-CN" w:eastAsia="zh-CN"/>
        </w:rPr>
      </w:pPr>
      <w:r>
        <w:rPr>
          <w:rFonts w:hint="eastAsia" w:ascii="宋体" w:hAnsi="宋体" w:eastAsia="宋体" w:cs="宋体"/>
          <w:b/>
          <w:color w:val="auto"/>
          <w:sz w:val="24"/>
          <w:szCs w:val="24"/>
          <w:highlight w:val="none"/>
          <w:lang w:val="zh-CN" w:eastAsia="zh-CN"/>
        </w:rPr>
        <w:t>5.质疑供应商为法人或者其他组织的，质疑函应由法定代表人、主要负责人，或者其授权代表签字或者盖章，并加盖公章。</w:t>
      </w:r>
    </w:p>
    <w:p w14:paraId="2EF61A35">
      <w:pPr>
        <w:rPr>
          <w:rFonts w:hint="eastAsia" w:ascii="宋体" w:hAnsi="宋体" w:eastAsia="宋体" w:cs="宋体"/>
          <w:b/>
          <w:color w:val="auto"/>
          <w:sz w:val="24"/>
          <w:szCs w:val="24"/>
          <w:highlight w:val="none"/>
          <w:lang w:val="zh-CN" w:eastAsia="zh-CN"/>
        </w:rPr>
      </w:pPr>
    </w:p>
    <w:p w14:paraId="4B45C4EE">
      <w:pPr>
        <w:spacing w:line="460" w:lineRule="exact"/>
        <w:jc w:val="center"/>
        <w:rPr>
          <w:rFonts w:hint="eastAsia" w:ascii="宋体" w:hAnsi="宋体" w:eastAsia="宋体" w:cs="宋体"/>
          <w:color w:val="auto"/>
          <w:sz w:val="44"/>
          <w:szCs w:val="24"/>
          <w:highlight w:val="none"/>
        </w:rPr>
      </w:pPr>
      <w:r>
        <w:rPr>
          <w:rFonts w:hint="eastAsia" w:ascii="宋体" w:hAnsi="宋体" w:eastAsia="宋体" w:cs="宋体"/>
          <w:color w:val="auto"/>
          <w:sz w:val="44"/>
          <w:szCs w:val="24"/>
          <w:highlight w:val="none"/>
        </w:rPr>
        <w:br w:type="page" w:clear="all"/>
      </w:r>
    </w:p>
    <w:p w14:paraId="0A576E8D">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14:paraId="6FA94B7A">
      <w:pPr>
        <w:spacing w:line="360" w:lineRule="auto"/>
        <w:ind w:firstLine="482"/>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一、投诉相关主体基本情况：</w:t>
      </w:r>
    </w:p>
    <w:p w14:paraId="398ADCAE">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供应商：</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5BF448BD">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54AAB693">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法定代表人/主要负责人：</w:t>
      </w:r>
      <w:r>
        <w:rPr>
          <w:rFonts w:hint="eastAsia" w:ascii="宋体" w:hAnsi="宋体" w:eastAsia="宋体" w:cs="宋体"/>
          <w:bCs/>
          <w:color w:val="auto"/>
          <w:sz w:val="24"/>
          <w:szCs w:val="24"/>
          <w:highlight w:val="none"/>
          <w:u w:val="single"/>
          <w:lang w:val="zh-CN" w:eastAsia="zh-CN"/>
        </w:rPr>
        <w:t xml:space="preserve">                                                         </w:t>
      </w:r>
    </w:p>
    <w:p w14:paraId="262E184E">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5419F620">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授权代表：</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70F4C42D">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p>
    <w:p w14:paraId="08DB890D">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6A6D5049">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被投诉人1：</w:t>
      </w:r>
    </w:p>
    <w:p w14:paraId="14E4D4C5">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p>
    <w:p w14:paraId="0E2EFBB5">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2F7F04A1">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联系人：</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438F6E45">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被投诉人2：</w:t>
      </w:r>
    </w:p>
    <w:p w14:paraId="39EBBD2D">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w:t>
      </w:r>
    </w:p>
    <w:p w14:paraId="0E78FADD">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相关供应商：</w:t>
      </w:r>
      <w:r>
        <w:rPr>
          <w:rFonts w:hint="eastAsia" w:ascii="宋体" w:hAnsi="宋体" w:eastAsia="宋体" w:cs="宋体"/>
          <w:bCs/>
          <w:color w:val="auto"/>
          <w:sz w:val="24"/>
          <w:szCs w:val="24"/>
          <w:highlight w:val="none"/>
          <w:u w:val="single"/>
          <w:lang w:val="zh-CN" w:eastAsia="zh-CN"/>
        </w:rPr>
        <w:t xml:space="preserve">                                                                       </w:t>
      </w:r>
    </w:p>
    <w:p w14:paraId="350C389D">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p>
    <w:p w14:paraId="3F87132D">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联系人：</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5A747C88">
      <w:pPr>
        <w:spacing w:line="360" w:lineRule="auto"/>
        <w:ind w:firstLine="482"/>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二、投诉项目基本情况：</w:t>
      </w:r>
    </w:p>
    <w:p w14:paraId="5BAA7A9B">
      <w:pPr>
        <w:spacing w:line="360" w:lineRule="auto"/>
        <w:ind w:left="25" w:firstLine="472"/>
        <w:rPr>
          <w:rFonts w:hint="eastAsia" w:ascii="宋体" w:hAnsi="宋体" w:eastAsia="宋体" w:cs="宋体"/>
          <w:color w:val="auto"/>
          <w:sz w:val="24"/>
          <w:szCs w:val="24"/>
          <w:highlight w:val="none"/>
          <w:lang w:val="zh-CN"/>
        </w:rPr>
      </w:pPr>
      <w:r>
        <w:rPr>
          <w:rFonts w:hint="eastAsia" w:ascii="宋体" w:hAnsi="宋体" w:eastAsia="宋体" w:cs="宋体"/>
          <w:bCs/>
          <w:color w:val="auto"/>
          <w:sz w:val="24"/>
          <w:szCs w:val="24"/>
          <w:highlight w:val="none"/>
          <w:lang w:val="zh-CN" w:eastAsia="zh-CN"/>
        </w:rPr>
        <w:t>采购</w:t>
      </w:r>
      <w:r>
        <w:rPr>
          <w:rFonts w:hint="eastAsia" w:ascii="宋体" w:hAnsi="宋体" w:eastAsia="宋体" w:cs="宋体"/>
          <w:color w:val="auto"/>
          <w:sz w:val="24"/>
          <w:szCs w:val="24"/>
          <w:highlight w:val="none"/>
          <w:lang w:val="zh-CN" w:eastAsia="zh-CN"/>
        </w:rPr>
        <w:t>项目的名称：</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18F2B73C">
      <w:pPr>
        <w:spacing w:line="360" w:lineRule="auto"/>
        <w:ind w:left="25" w:firstLine="472"/>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lang w:val="zh-CN" w:eastAsia="zh-CN"/>
        </w:rPr>
        <w:t>采购</w:t>
      </w:r>
      <w:r>
        <w:rPr>
          <w:rFonts w:hint="eastAsia" w:ascii="宋体" w:hAnsi="宋体" w:eastAsia="宋体" w:cs="宋体"/>
          <w:color w:val="auto"/>
          <w:sz w:val="24"/>
          <w:szCs w:val="24"/>
          <w:highlight w:val="none"/>
          <w:lang w:val="zh-CN" w:eastAsia="zh-CN"/>
        </w:rPr>
        <w:t>项目的编号：</w:t>
      </w:r>
      <w:r>
        <w:rPr>
          <w:rFonts w:hint="eastAsia" w:ascii="宋体" w:hAnsi="宋体" w:eastAsia="宋体" w:cs="宋体"/>
          <w:bCs/>
          <w:color w:val="auto"/>
          <w:sz w:val="24"/>
          <w:szCs w:val="24"/>
          <w:highlight w:val="none"/>
          <w:u w:val="single"/>
          <w:lang w:val="en-US" w:eastAsia="zh-CN"/>
        </w:rPr>
        <w:t xml:space="preserve">                 </w:t>
      </w:r>
    </w:p>
    <w:p w14:paraId="7E1B9A8F">
      <w:pPr>
        <w:spacing w:line="360" w:lineRule="auto"/>
        <w:ind w:left="25" w:firstLine="47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采购人名称：</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22E45352">
      <w:pPr>
        <w:spacing w:line="360" w:lineRule="auto"/>
        <w:ind w:left="25" w:firstLine="47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代理机构名称：</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19C9F89C">
      <w:pPr>
        <w:spacing w:line="360" w:lineRule="auto"/>
        <w:ind w:left="25" w:firstLine="47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en-US" w:eastAsia="zh-CN"/>
        </w:rPr>
        <w:t>采购</w:t>
      </w:r>
      <w:r>
        <w:rPr>
          <w:rFonts w:hint="eastAsia" w:ascii="宋体" w:hAnsi="宋体" w:eastAsia="宋体" w:cs="宋体"/>
          <w:bCs/>
          <w:color w:val="auto"/>
          <w:sz w:val="24"/>
          <w:szCs w:val="24"/>
          <w:highlight w:val="none"/>
          <w:lang w:val="zh-CN" w:eastAsia="zh-CN"/>
        </w:rPr>
        <w:t>文件公告：</w:t>
      </w:r>
      <w:r>
        <w:rPr>
          <w:rFonts w:hint="eastAsia" w:ascii="宋体" w:hAnsi="宋体" w:eastAsia="宋体" w:cs="宋体"/>
          <w:bCs/>
          <w:color w:val="auto"/>
          <w:sz w:val="24"/>
          <w:szCs w:val="24"/>
          <w:highlight w:val="none"/>
          <w:u w:val="single"/>
          <w:lang w:val="zh-CN" w:eastAsia="zh-CN"/>
        </w:rPr>
        <w:t>是/否</w:t>
      </w:r>
      <w:r>
        <w:rPr>
          <w:rFonts w:hint="eastAsia" w:ascii="宋体" w:hAnsi="宋体" w:eastAsia="宋体" w:cs="宋体"/>
          <w:bCs/>
          <w:color w:val="auto"/>
          <w:sz w:val="24"/>
          <w:szCs w:val="24"/>
          <w:highlight w:val="none"/>
          <w:lang w:val="zh-CN" w:eastAsia="zh-CN"/>
        </w:rPr>
        <w:t>公告期限：</w:t>
      </w:r>
      <w:r>
        <w:rPr>
          <w:rFonts w:hint="eastAsia" w:ascii="宋体" w:hAnsi="宋体" w:eastAsia="宋体" w:cs="宋体"/>
          <w:bCs/>
          <w:color w:val="auto"/>
          <w:sz w:val="24"/>
          <w:szCs w:val="24"/>
          <w:highlight w:val="none"/>
          <w:u w:val="single"/>
          <w:lang w:val="zh-CN" w:eastAsia="zh-CN"/>
        </w:rPr>
        <w:t xml:space="preserve">                                                       </w:t>
      </w:r>
    </w:p>
    <w:p w14:paraId="461571C1">
      <w:pPr>
        <w:spacing w:line="360" w:lineRule="auto"/>
        <w:ind w:left="25" w:firstLine="472"/>
        <w:rPr>
          <w:rFonts w:hint="eastAsia" w:ascii="宋体" w:hAnsi="宋体" w:eastAsia="宋体" w:cs="宋体"/>
          <w:b/>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采购结果公告：</w:t>
      </w:r>
      <w:r>
        <w:rPr>
          <w:rFonts w:hint="eastAsia" w:ascii="宋体" w:hAnsi="宋体" w:eastAsia="宋体" w:cs="宋体"/>
          <w:bCs/>
          <w:color w:val="auto"/>
          <w:sz w:val="24"/>
          <w:szCs w:val="24"/>
          <w:highlight w:val="none"/>
          <w:u w:val="single"/>
          <w:lang w:val="zh-CN" w:eastAsia="zh-CN"/>
        </w:rPr>
        <w:t>是/否</w:t>
      </w:r>
      <w:r>
        <w:rPr>
          <w:rFonts w:hint="eastAsia" w:ascii="宋体" w:hAnsi="宋体" w:eastAsia="宋体" w:cs="宋体"/>
          <w:bCs/>
          <w:color w:val="auto"/>
          <w:sz w:val="24"/>
          <w:szCs w:val="24"/>
          <w:highlight w:val="none"/>
          <w:lang w:val="zh-CN" w:eastAsia="zh-CN"/>
        </w:rPr>
        <w:t>公告期限：</w:t>
      </w:r>
      <w:r>
        <w:rPr>
          <w:rFonts w:hint="eastAsia" w:ascii="宋体" w:hAnsi="宋体" w:eastAsia="宋体" w:cs="宋体"/>
          <w:bCs/>
          <w:color w:val="auto"/>
          <w:sz w:val="24"/>
          <w:szCs w:val="24"/>
          <w:highlight w:val="none"/>
          <w:u w:val="single"/>
          <w:lang w:val="zh-CN" w:eastAsia="zh-CN"/>
        </w:rPr>
        <w:t xml:space="preserve">                                                       </w:t>
      </w:r>
    </w:p>
    <w:p w14:paraId="0D17BBA7">
      <w:pPr>
        <w:spacing w:line="360" w:lineRule="auto"/>
        <w:ind w:left="25" w:firstLine="472"/>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三、质疑基本情况</w:t>
      </w:r>
    </w:p>
    <w:p w14:paraId="33DE792C">
      <w:pPr>
        <w:spacing w:line="360" w:lineRule="auto"/>
        <w:ind w:firstLine="48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投诉人于</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年</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月</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日，向</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提出质疑，质疑事项为：</w:t>
      </w:r>
    </w:p>
    <w:p w14:paraId="1463ABC3">
      <w:pPr>
        <w:spacing w:line="360" w:lineRule="auto"/>
        <w:ind w:firstLine="241"/>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2A284D7F">
      <w:pPr>
        <w:spacing w:line="360" w:lineRule="auto"/>
        <w:ind w:firstLine="241"/>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110E7E1F">
      <w:pPr>
        <w:spacing w:line="360" w:lineRule="auto"/>
        <w:ind w:firstLine="480"/>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u w:val="single"/>
          <w:lang w:val="zh-CN" w:eastAsia="zh-CN"/>
        </w:rPr>
        <w:t>采购人/代理机构</w:t>
      </w:r>
      <w:r>
        <w:rPr>
          <w:rFonts w:hint="eastAsia" w:ascii="宋体" w:hAnsi="宋体" w:eastAsia="宋体" w:cs="宋体"/>
          <w:bCs/>
          <w:color w:val="auto"/>
          <w:sz w:val="24"/>
          <w:szCs w:val="24"/>
          <w:highlight w:val="none"/>
          <w:lang w:val="zh-CN" w:eastAsia="zh-CN"/>
        </w:rPr>
        <w:t>于</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年</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月</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日，</w:t>
      </w:r>
      <w:r>
        <w:rPr>
          <w:rFonts w:hint="eastAsia" w:ascii="宋体" w:hAnsi="宋体" w:eastAsia="宋体" w:cs="宋体"/>
          <w:bCs/>
          <w:color w:val="auto"/>
          <w:sz w:val="24"/>
          <w:szCs w:val="24"/>
          <w:highlight w:val="none"/>
          <w:lang w:val="zh-CN" w:eastAsia="zh-CN"/>
        </w:rPr>
        <w:t xml:space="preserve">就质疑事项作出了答复/没有在法定期限内作出答复。                                                                                             </w:t>
      </w:r>
    </w:p>
    <w:p w14:paraId="4F9E2387">
      <w:pPr>
        <w:spacing w:line="360" w:lineRule="auto"/>
        <w:ind w:left="25" w:firstLine="472"/>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四、投诉事项具体内容</w:t>
      </w:r>
    </w:p>
    <w:p w14:paraId="10118D61">
      <w:pPr>
        <w:spacing w:line="360" w:lineRule="auto"/>
        <w:ind w:left="25" w:firstLine="47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投诉事项1：</w:t>
      </w:r>
      <w:r>
        <w:rPr>
          <w:rFonts w:hint="eastAsia" w:ascii="宋体" w:hAnsi="宋体" w:eastAsia="宋体" w:cs="宋体"/>
          <w:bCs/>
          <w:color w:val="auto"/>
          <w:sz w:val="24"/>
          <w:szCs w:val="24"/>
          <w:highlight w:val="none"/>
          <w:u w:val="single"/>
          <w:lang w:val="zh-CN" w:eastAsia="zh-CN"/>
        </w:rPr>
        <w:t xml:space="preserve">                                                                           </w:t>
      </w:r>
    </w:p>
    <w:p w14:paraId="35F72A8E">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事实依据：</w:t>
      </w:r>
      <w:r>
        <w:rPr>
          <w:rFonts w:hint="eastAsia" w:ascii="宋体" w:hAnsi="宋体" w:eastAsia="宋体" w:cs="宋体"/>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0E1A31D0">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u w:val="single"/>
          <w:lang w:val="zh-CN" w:eastAsia="zh-CN"/>
        </w:rPr>
        <w:t xml:space="preserve">                                                                                        </w:t>
      </w:r>
    </w:p>
    <w:p w14:paraId="407F7097">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法律依据：</w:t>
      </w:r>
      <w:r>
        <w:rPr>
          <w:rFonts w:hint="eastAsia" w:ascii="宋体" w:hAnsi="宋体" w:eastAsia="宋体" w:cs="宋体"/>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3F7D3C55">
      <w:pPr>
        <w:spacing w:line="360" w:lineRule="auto"/>
        <w:ind w:left="25" w:firstLine="35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23D58D88">
      <w:pPr>
        <w:spacing w:line="360" w:lineRule="auto"/>
        <w:ind w:left="25" w:firstLine="472"/>
        <w:rPr>
          <w:rFonts w:hint="eastAsia" w:ascii="宋体" w:hAnsi="宋体" w:eastAsia="宋体" w:cs="宋体"/>
          <w:bCs/>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投诉事项2  </w:t>
      </w:r>
      <w:r>
        <w:rPr>
          <w:rFonts w:hint="eastAsia" w:ascii="宋体" w:hAnsi="宋体" w:eastAsia="宋体" w:cs="宋体"/>
          <w:bCs/>
          <w:color w:val="auto"/>
          <w:sz w:val="24"/>
          <w:szCs w:val="24"/>
          <w:highlight w:val="none"/>
          <w:lang w:val="zh-CN" w:eastAsia="zh-CN"/>
        </w:rPr>
        <w:t xml:space="preserve">   </w:t>
      </w:r>
    </w:p>
    <w:p w14:paraId="2CDCC292">
      <w:pPr>
        <w:spacing w:line="360" w:lineRule="auto"/>
        <w:ind w:left="25" w:firstLine="472"/>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w:t>
      </w:r>
    </w:p>
    <w:p w14:paraId="1D839C4E">
      <w:pPr>
        <w:spacing w:line="360" w:lineRule="auto"/>
        <w:ind w:left="25" w:firstLine="472"/>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五、与投诉事项相关的投诉请求：</w:t>
      </w:r>
    </w:p>
    <w:p w14:paraId="0CE31CF9">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请求：</w:t>
      </w:r>
      <w:r>
        <w:rPr>
          <w:rFonts w:hint="eastAsia" w:ascii="宋体" w:hAnsi="宋体" w:eastAsia="宋体" w:cs="宋体"/>
          <w:bCs/>
          <w:color w:val="auto"/>
          <w:sz w:val="24"/>
          <w:szCs w:val="24"/>
          <w:highlight w:val="none"/>
          <w:u w:val="single"/>
          <w:lang w:val="zh-CN" w:eastAsia="zh-CN"/>
        </w:rPr>
        <w:t xml:space="preserve">                                                                                 </w:t>
      </w:r>
    </w:p>
    <w:p w14:paraId="7D12680D">
      <w:pPr>
        <w:spacing w:line="360" w:lineRule="auto"/>
        <w:ind w:left="25" w:firstLine="352"/>
        <w:rPr>
          <w:rFonts w:hint="eastAsia" w:ascii="宋体" w:hAnsi="宋体" w:eastAsia="宋体" w:cs="宋体"/>
          <w:color w:val="auto"/>
          <w:sz w:val="24"/>
          <w:szCs w:val="24"/>
          <w:highlight w:val="none"/>
          <w:lang w:val="zh-CN" w:eastAsia="zh-CN"/>
        </w:rPr>
      </w:pPr>
    </w:p>
    <w:p w14:paraId="46A2F62C">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签字（签章）：                                       公章：</w:t>
      </w:r>
    </w:p>
    <w:p w14:paraId="740EC882">
      <w:pPr>
        <w:spacing w:line="360" w:lineRule="auto"/>
        <w:ind w:left="25" w:firstLine="352"/>
        <w:rPr>
          <w:rFonts w:hint="eastAsia" w:ascii="宋体" w:hAnsi="宋体" w:eastAsia="宋体" w:cs="宋体"/>
          <w:color w:val="auto"/>
          <w:sz w:val="24"/>
          <w:szCs w:val="24"/>
          <w:highlight w:val="none"/>
          <w:lang w:val="zh-CN" w:eastAsia="zh-CN"/>
        </w:rPr>
      </w:pPr>
    </w:p>
    <w:p w14:paraId="65BA8316">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日期：</w:t>
      </w:r>
    </w:p>
    <w:p w14:paraId="2CC5BABD">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 xml:space="preserve">                                                                                 </w:t>
      </w:r>
    </w:p>
    <w:p w14:paraId="3C8D5D41">
      <w:pPr>
        <w:spacing w:line="360" w:lineRule="auto"/>
        <w:rPr>
          <w:rFonts w:hint="eastAsia" w:ascii="宋体" w:hAnsi="宋体" w:eastAsia="宋体" w:cs="宋体"/>
          <w:b/>
          <w:color w:val="auto"/>
          <w:sz w:val="24"/>
          <w:szCs w:val="24"/>
          <w:highlight w:val="none"/>
          <w:lang w:val="zh-CN" w:eastAsia="zh-CN"/>
        </w:rPr>
      </w:pPr>
    </w:p>
    <w:p w14:paraId="039B6F3C">
      <w:pPr>
        <w:spacing w:line="360" w:lineRule="auto"/>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说明：</w:t>
      </w:r>
    </w:p>
    <w:p w14:paraId="276F9BB8">
      <w:pPr>
        <w:spacing w:line="360" w:lineRule="auto"/>
        <w:ind w:left="25" w:firstLine="354"/>
        <w:rPr>
          <w:rFonts w:hint="eastAsia" w:ascii="宋体" w:hAnsi="宋体" w:eastAsia="宋体" w:cs="宋体"/>
          <w:b/>
          <w:bCs/>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lang w:val="zh-CN" w:eastAsia="zh-CN"/>
        </w:rPr>
        <w:t>。</w:t>
      </w:r>
    </w:p>
    <w:p w14:paraId="73F2F3BC">
      <w:pPr>
        <w:spacing w:line="360" w:lineRule="auto"/>
        <w:ind w:left="25" w:firstLine="354"/>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C8D26E3">
      <w:pPr>
        <w:spacing w:line="360" w:lineRule="auto"/>
        <w:ind w:left="25" w:firstLine="354"/>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3.投诉书应简要列明质疑事项，质疑函、质疑答复等作为附件材料提供。</w:t>
      </w:r>
    </w:p>
    <w:p w14:paraId="3861FB38">
      <w:pPr>
        <w:spacing w:line="360" w:lineRule="auto"/>
        <w:ind w:left="25" w:firstLine="354"/>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4.投诉书的投诉事项应具体、明确，并有必要的事实依据和法律依据。</w:t>
      </w:r>
    </w:p>
    <w:p w14:paraId="2EF4A910">
      <w:pPr>
        <w:spacing w:line="360" w:lineRule="auto"/>
        <w:ind w:left="25" w:firstLine="354"/>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5.投诉书的投诉请求应与投诉事项相关。</w:t>
      </w:r>
    </w:p>
    <w:p w14:paraId="32CE972C">
      <w:pPr>
        <w:spacing w:line="360" w:lineRule="auto"/>
        <w:ind w:left="25" w:firstLine="354"/>
        <w:rPr>
          <w:rFonts w:hint="eastAsia" w:ascii="宋体" w:hAnsi="宋体" w:eastAsia="宋体" w:cs="宋体"/>
          <w:b/>
          <w:color w:val="auto"/>
          <w:sz w:val="20"/>
          <w:szCs w:val="21"/>
          <w:highlight w:val="none"/>
          <w:lang w:val="zh-CN" w:eastAsia="zh-CN"/>
        </w:rPr>
      </w:pPr>
      <w:r>
        <w:rPr>
          <w:rFonts w:hint="eastAsia" w:ascii="宋体" w:hAnsi="宋体" w:eastAsia="宋体" w:cs="宋体"/>
          <w:b/>
          <w:color w:val="auto"/>
          <w:sz w:val="24"/>
          <w:szCs w:val="24"/>
          <w:highlight w:val="none"/>
          <w:lang w:val="zh-CN" w:eastAsia="zh-CN"/>
        </w:rPr>
        <w:t>6.投诉人为法人或者其他组织的，投诉书应由法定代表人、主要负责人，或者其授权代表签字或者盖章，并加盖公章。</w:t>
      </w:r>
    </w:p>
    <w:p w14:paraId="2195E152">
      <w:pPr>
        <w:rPr>
          <w:rFonts w:hint="eastAsia" w:ascii="宋体" w:hAnsi="宋体" w:eastAsia="宋体" w:cs="宋体"/>
          <w:color w:val="auto"/>
          <w:szCs w:val="24"/>
          <w:highlight w:val="none"/>
          <w:lang w:val="zh-CN"/>
        </w:rPr>
      </w:pPr>
    </w:p>
    <w:p w14:paraId="3231CD23">
      <w:pPr>
        <w:rPr>
          <w:rFonts w:hint="eastAsia" w:ascii="宋体" w:hAnsi="宋体" w:eastAsia="宋体" w:cs="宋体"/>
          <w:color w:val="auto"/>
          <w:szCs w:val="24"/>
          <w:highlight w:val="none"/>
        </w:rPr>
      </w:pPr>
    </w:p>
    <w:p w14:paraId="459B16DA">
      <w:pPr>
        <w:rPr>
          <w:rFonts w:hint="eastAsia" w:ascii="宋体" w:hAnsi="宋体" w:eastAsia="宋体" w:cs="宋体"/>
          <w:color w:val="auto"/>
          <w:highlight w:val="none"/>
        </w:rPr>
      </w:pPr>
    </w:p>
    <w:sectPr>
      <w:footerReference r:id="rId11" w:type="first"/>
      <w:footerReference r:id="rId10"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80B0E09-D993-4337-914E-F012AFDC72E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 w:name="Calibri Light">
    <w:panose1 w:val="020F0302020204030204"/>
    <w:charset w:val="00"/>
    <w:family w:val="auto"/>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embedRegular r:id="rId2" w:fontKey="{92F0B9B2-66C4-458B-BBFB-08BD0E329AA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E7A88">
    <w:pPr>
      <w:pStyle w:val="29"/>
      <w:tabs>
        <w:tab w:val="center" w:pos="4439"/>
        <w:tab w:val="clear" w:pos="4153"/>
      </w:tabs>
      <w:jc w:val="both"/>
    </w:pPr>
  </w:p>
  <w:p w14:paraId="588DA0D1">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001A0">
    <w:pPr>
      <w:pStyle w:val="29"/>
      <w:tabs>
        <w:tab w:val="center" w:pos="4439"/>
        <w:tab w:val="clear" w:pos="4153"/>
      </w:tabs>
    </w:pP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E787639"/>
                      </w:txbxContent>
                    </wps:txbx>
                    <wps:bodyPr rot="0" vert="horz" wrap="none" lIns="0" tIns="0" rIns="0" bIns="0" anchor="t" anchorCtr="0" upright="1">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IikywcEAgAABQQAAA4AAAAAAAAAAQAgAAAAHgEAAGRycy9lMm9E&#10;b2MueG1sUEsFBgAAAAAGAAYAWQEAAJQFAAAAAA==&#10;">
              <v:fill on="f" focussize="0,0"/>
              <v:stroke on="f"/>
              <v:imagedata o:title=""/>
              <o:lock v:ext="edit" aspectratio="f"/>
              <v:textbox inset="0mm,0mm,0mm,0mm" style="mso-fit-shape-to-text:t;">
                <w:txbxContent>
                  <w:p w14:paraId="4E787639"/>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7F3DB">
    <w:pPr>
      <w:pStyle w:val="29"/>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ACB2A">
                          <w:pPr>
                            <w:pStyle w:val="2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Ct6PG2PQIAAG8EAAAOAAAAAAAAAAEAIAAAAB8BAABkcnMvZTJv&#10;RG9jLnhtbFBLBQYAAAAABgAGAFkBAADOBQAAAAA=&#10;">
              <v:fill on="f" focussize="0,0"/>
              <v:stroke on="f" weight="0.5pt"/>
              <v:imagedata o:title=""/>
              <o:lock v:ext="edit" aspectratio="f"/>
              <v:textbox inset="0mm,0mm,0mm,0mm" style="mso-fit-shape-to-text:t;">
                <w:txbxContent>
                  <w:p w14:paraId="754ACB2A">
                    <w:pPr>
                      <w:pStyle w:val="2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527D37BE">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1A9BF">
    <w:pPr>
      <w:pStyle w:val="29"/>
      <w:tabs>
        <w:tab w:val="center" w:pos="4439"/>
        <w:tab w:val="clear" w:pos="4153"/>
      </w:tabs>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DA88FA">
                          <w:pPr>
                            <w:pStyle w:val="2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C4MxFUPQIAAG8EAAAOAAAAAAAAAAEAIAAAAB8BAABkcnMvZTJv&#10;RG9jLnhtbFBLBQYAAAAABgAGAFkBAADOBQAAAAA=&#10;">
              <v:fill on="f" focussize="0,0"/>
              <v:stroke on="f" weight="0.5pt"/>
              <v:imagedata o:title=""/>
              <o:lock v:ext="edit" aspectratio="f"/>
              <v:textbox inset="0mm,0mm,0mm,0mm" style="mso-fit-shape-to-text:t;">
                <w:txbxContent>
                  <w:p w14:paraId="23DA88FA">
                    <w:pPr>
                      <w:pStyle w:val="2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0400860C"/>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Ob2TXoEAgAABAQAAA4AAAAAAAAAAQAgAAAAHgEAAGRycy9lMm9E&#10;b2MueG1sUEsFBgAAAAAGAAYAWQEAAJQFAAAAAA==&#10;">
              <v:fill on="f" focussize="0,0"/>
              <v:stroke on="f"/>
              <v:imagedata o:title=""/>
              <o:lock v:ext="edit" aspectratio="f"/>
              <v:textbox inset="0mm,0mm,0mm,0mm" style="mso-fit-shape-to-text:t;">
                <w:txbxContent>
                  <w:p w14:paraId="0400860C"/>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AC120">
    <w:pPr>
      <w:pStyle w:val="29"/>
      <w:ind w:left="420" w:hanging="420"/>
      <w:jc w:val="center"/>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1060BA2F">
                          <w:pPr>
                            <w:pStyle w:val="29"/>
                            <w:ind w:left="420" w:hanging="420"/>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GJXpIgkCAAATBAAADgAAAAAAAAABACAAAAAeAQAAZHJz&#10;L2Uyb0RvYy54bWxQSwUGAAAAAAYABgBZAQAAmQUAAAAA&#10;">
              <v:fill on="f" focussize="0,0"/>
              <v:stroke on="f"/>
              <v:imagedata o:title=""/>
              <o:lock v:ext="edit" aspectratio="f"/>
              <v:textbox inset="0mm,0mm,0mm,0mm" style="mso-fit-shape-to-text:t;">
                <w:txbxContent>
                  <w:p w14:paraId="1060BA2F">
                    <w:pPr>
                      <w:pStyle w:val="29"/>
                      <w:ind w:left="420" w:hanging="420"/>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p w14:paraId="5D504D66">
    <w:pPr>
      <w:pStyle w:val="29"/>
      <w:ind w:left="420" w:hanging="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4295">
    <w:pPr>
      <w:pStyle w:val="29"/>
      <w:jc w:val="center"/>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0F32E647">
                          <w:pPr>
                            <w:pStyle w:val="29"/>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mj60+wkCAAATBAAADgAAAAAAAAABACAAAAAeAQAAZHJz&#10;L2Uyb0RvYy54bWxQSwUGAAAAAAYABgBZAQAAmQUAAAAA&#10;">
              <v:fill on="f" focussize="0,0"/>
              <v:stroke on="f"/>
              <v:imagedata o:title=""/>
              <o:lock v:ext="edit" aspectratio="f"/>
              <v:textbox inset="0mm,0mm,0mm,0mm" style="mso-fit-shape-to-text:t;">
                <w:txbxContent>
                  <w:p w14:paraId="0F32E647">
                    <w:pPr>
                      <w:pStyle w:val="29"/>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p w14:paraId="294F0C59">
    <w:pPr>
      <w:pStyle w:val="2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EAF03">
    <w:pPr>
      <w:pStyle w:val="29"/>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1D065A82">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ql5uc8AAAAFAQAADwAAAAAAAAABACAAAAAiAAAAZHJzL2Rv&#10;d25yZXYueG1sUEsBAhQAFAAAAAgAh07iQH4AKQoKAgAAEwQAAA4AAAAAAAAAAQAgAAAAHgEAAGRy&#10;cy9lMm9Eb2MueG1sUEsFBgAAAAAGAAYAWQEAAJoFAAAAAA==&#10;">
              <v:fill on="f" focussize="0,0"/>
              <v:stroke on="f"/>
              <v:imagedata o:title=""/>
              <o:lock v:ext="edit" aspectratio="f"/>
              <v:textbox inset="0mm,0mm,0mm,0mm" style="mso-fit-shape-to-text:t;">
                <w:txbxContent>
                  <w:p w14:paraId="1D065A82">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1C914">
    <w:pPr>
      <w:pStyle w:val="30"/>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B2E89">
    <w:pPr>
      <w:pStyle w:val="30"/>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11004F"/>
    <w:multiLevelType w:val="singleLevel"/>
    <w:tmpl w:val="F711004F"/>
    <w:lvl w:ilvl="0" w:tentative="0">
      <w:start w:val="1"/>
      <w:numFmt w:val="decimal"/>
      <w:lvlText w:val="%1."/>
      <w:lvlJc w:val="left"/>
      <w:pPr>
        <w:tabs>
          <w:tab w:val="left" w:pos="312"/>
        </w:tabs>
      </w:pPr>
    </w:lvl>
  </w:abstractNum>
  <w:abstractNum w:abstractNumId="1">
    <w:nsid w:val="03D62ECE"/>
    <w:multiLevelType w:val="multilevel"/>
    <w:tmpl w:val="03D62ECE"/>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ZGY0NGQ5OGEyODUzY2E3MWM2YjNkMTgwZWQ4MjkifQ=="/>
  </w:docVars>
  <w:rsids>
    <w:rsidRoot w:val="00000000"/>
    <w:rsid w:val="01DB2C49"/>
    <w:rsid w:val="01DB469A"/>
    <w:rsid w:val="0223040E"/>
    <w:rsid w:val="02B413CC"/>
    <w:rsid w:val="034877EC"/>
    <w:rsid w:val="04221DEB"/>
    <w:rsid w:val="04B35139"/>
    <w:rsid w:val="04E6424C"/>
    <w:rsid w:val="051D6153"/>
    <w:rsid w:val="05383F82"/>
    <w:rsid w:val="06055520"/>
    <w:rsid w:val="06565574"/>
    <w:rsid w:val="06637B9F"/>
    <w:rsid w:val="06663211"/>
    <w:rsid w:val="07061F30"/>
    <w:rsid w:val="079100A3"/>
    <w:rsid w:val="07C65F69"/>
    <w:rsid w:val="085B280D"/>
    <w:rsid w:val="08EE6740"/>
    <w:rsid w:val="0A0106D6"/>
    <w:rsid w:val="0B4C71C0"/>
    <w:rsid w:val="0BB24D3F"/>
    <w:rsid w:val="0BBC0D77"/>
    <w:rsid w:val="0BC441C2"/>
    <w:rsid w:val="0C514DDC"/>
    <w:rsid w:val="0C934531"/>
    <w:rsid w:val="0CEC1E6B"/>
    <w:rsid w:val="0E323572"/>
    <w:rsid w:val="0E503A15"/>
    <w:rsid w:val="0E6354DA"/>
    <w:rsid w:val="0E690100"/>
    <w:rsid w:val="0F680A54"/>
    <w:rsid w:val="0FD85A54"/>
    <w:rsid w:val="107F794E"/>
    <w:rsid w:val="10A976E1"/>
    <w:rsid w:val="11C2450C"/>
    <w:rsid w:val="11E07758"/>
    <w:rsid w:val="1205673F"/>
    <w:rsid w:val="120970E1"/>
    <w:rsid w:val="12425176"/>
    <w:rsid w:val="12D61775"/>
    <w:rsid w:val="13511DA5"/>
    <w:rsid w:val="138143D4"/>
    <w:rsid w:val="14316687"/>
    <w:rsid w:val="147A17CF"/>
    <w:rsid w:val="15AB6A11"/>
    <w:rsid w:val="163B3770"/>
    <w:rsid w:val="16DF2E2F"/>
    <w:rsid w:val="174C2580"/>
    <w:rsid w:val="17FD3FCD"/>
    <w:rsid w:val="18115DF3"/>
    <w:rsid w:val="19940440"/>
    <w:rsid w:val="1BD61A54"/>
    <w:rsid w:val="1BD71AB5"/>
    <w:rsid w:val="1C614F92"/>
    <w:rsid w:val="1C812E5D"/>
    <w:rsid w:val="1CDF69B2"/>
    <w:rsid w:val="1D5F0140"/>
    <w:rsid w:val="1D6A4BE5"/>
    <w:rsid w:val="1DF04B94"/>
    <w:rsid w:val="1DF27B8C"/>
    <w:rsid w:val="1DF9096B"/>
    <w:rsid w:val="1E052EF6"/>
    <w:rsid w:val="1E0C4588"/>
    <w:rsid w:val="1EB64E6E"/>
    <w:rsid w:val="1ED71DFB"/>
    <w:rsid w:val="1F225951"/>
    <w:rsid w:val="1F281DCF"/>
    <w:rsid w:val="1FC90811"/>
    <w:rsid w:val="20893E06"/>
    <w:rsid w:val="20C34FD6"/>
    <w:rsid w:val="20EF0E4F"/>
    <w:rsid w:val="210C2AEE"/>
    <w:rsid w:val="218C7F8D"/>
    <w:rsid w:val="21AC2E86"/>
    <w:rsid w:val="21B32CE8"/>
    <w:rsid w:val="21CC5CD7"/>
    <w:rsid w:val="21F439CD"/>
    <w:rsid w:val="223E3E3C"/>
    <w:rsid w:val="226C04B1"/>
    <w:rsid w:val="230F54FA"/>
    <w:rsid w:val="234C2589"/>
    <w:rsid w:val="249E2E2D"/>
    <w:rsid w:val="249F4F27"/>
    <w:rsid w:val="24C820E3"/>
    <w:rsid w:val="257920A4"/>
    <w:rsid w:val="259C009E"/>
    <w:rsid w:val="26233A75"/>
    <w:rsid w:val="26DE6C18"/>
    <w:rsid w:val="272C4BAB"/>
    <w:rsid w:val="27D8088F"/>
    <w:rsid w:val="28980286"/>
    <w:rsid w:val="289B166F"/>
    <w:rsid w:val="28B87C83"/>
    <w:rsid w:val="291B0A33"/>
    <w:rsid w:val="29656152"/>
    <w:rsid w:val="29BA0107"/>
    <w:rsid w:val="29E43348"/>
    <w:rsid w:val="2A0A6368"/>
    <w:rsid w:val="2A1E005B"/>
    <w:rsid w:val="2A2451EC"/>
    <w:rsid w:val="2A2E74AB"/>
    <w:rsid w:val="2A402D51"/>
    <w:rsid w:val="2A7A628E"/>
    <w:rsid w:val="2A832506"/>
    <w:rsid w:val="2AA50EFC"/>
    <w:rsid w:val="2C1058AE"/>
    <w:rsid w:val="2C37112D"/>
    <w:rsid w:val="2C9B4E57"/>
    <w:rsid w:val="2D4A5EB6"/>
    <w:rsid w:val="2DA40CE4"/>
    <w:rsid w:val="2DBB7EF5"/>
    <w:rsid w:val="2DE941F6"/>
    <w:rsid w:val="2F586FE4"/>
    <w:rsid w:val="2F723377"/>
    <w:rsid w:val="2FCB7B18"/>
    <w:rsid w:val="301F4F26"/>
    <w:rsid w:val="3027514A"/>
    <w:rsid w:val="307C1062"/>
    <w:rsid w:val="30F92908"/>
    <w:rsid w:val="319C292D"/>
    <w:rsid w:val="31F63E01"/>
    <w:rsid w:val="32DD7BBA"/>
    <w:rsid w:val="33082597"/>
    <w:rsid w:val="33915FB2"/>
    <w:rsid w:val="33B03DEF"/>
    <w:rsid w:val="33DF1CD9"/>
    <w:rsid w:val="33FB4AD5"/>
    <w:rsid w:val="342777B9"/>
    <w:rsid w:val="34501969"/>
    <w:rsid w:val="34B12047"/>
    <w:rsid w:val="34BC6118"/>
    <w:rsid w:val="34D2328A"/>
    <w:rsid w:val="35002DA3"/>
    <w:rsid w:val="351346C8"/>
    <w:rsid w:val="353510CF"/>
    <w:rsid w:val="363B77CD"/>
    <w:rsid w:val="366C2FAD"/>
    <w:rsid w:val="374605D2"/>
    <w:rsid w:val="37AC3FCE"/>
    <w:rsid w:val="38661A0E"/>
    <w:rsid w:val="38A46CA2"/>
    <w:rsid w:val="398E5251"/>
    <w:rsid w:val="3A505C47"/>
    <w:rsid w:val="3A5F011B"/>
    <w:rsid w:val="3A887EF3"/>
    <w:rsid w:val="3A96460B"/>
    <w:rsid w:val="3B40768F"/>
    <w:rsid w:val="3BC62148"/>
    <w:rsid w:val="3BDB4D49"/>
    <w:rsid w:val="3C011D0B"/>
    <w:rsid w:val="3C0308DB"/>
    <w:rsid w:val="3C373E57"/>
    <w:rsid w:val="3C5F08F3"/>
    <w:rsid w:val="3DE00F04"/>
    <w:rsid w:val="3E1321C9"/>
    <w:rsid w:val="3E524A9F"/>
    <w:rsid w:val="3E821753"/>
    <w:rsid w:val="3EE72601"/>
    <w:rsid w:val="3F7A243C"/>
    <w:rsid w:val="3FA56E51"/>
    <w:rsid w:val="3FD47D8B"/>
    <w:rsid w:val="3FEE6A48"/>
    <w:rsid w:val="3FFF2E13"/>
    <w:rsid w:val="410418B4"/>
    <w:rsid w:val="413A246F"/>
    <w:rsid w:val="416C27FE"/>
    <w:rsid w:val="41CA7043"/>
    <w:rsid w:val="41E24A68"/>
    <w:rsid w:val="429A1FD5"/>
    <w:rsid w:val="43064FCF"/>
    <w:rsid w:val="434F0614"/>
    <w:rsid w:val="438C3F40"/>
    <w:rsid w:val="439B47F3"/>
    <w:rsid w:val="43B76003"/>
    <w:rsid w:val="43FA1D07"/>
    <w:rsid w:val="44BC0F21"/>
    <w:rsid w:val="44DA57EF"/>
    <w:rsid w:val="44F91178"/>
    <w:rsid w:val="451E1B7F"/>
    <w:rsid w:val="45414C28"/>
    <w:rsid w:val="45C67B21"/>
    <w:rsid w:val="462D5EDF"/>
    <w:rsid w:val="46A377BC"/>
    <w:rsid w:val="46B81B60"/>
    <w:rsid w:val="470C1A21"/>
    <w:rsid w:val="47784D9D"/>
    <w:rsid w:val="478030B6"/>
    <w:rsid w:val="47CD2803"/>
    <w:rsid w:val="47DC187E"/>
    <w:rsid w:val="47E735F0"/>
    <w:rsid w:val="48292454"/>
    <w:rsid w:val="48FC2A00"/>
    <w:rsid w:val="49995230"/>
    <w:rsid w:val="4A4F27DB"/>
    <w:rsid w:val="4A824726"/>
    <w:rsid w:val="4AD73C7C"/>
    <w:rsid w:val="4B016AB6"/>
    <w:rsid w:val="4B1E6B13"/>
    <w:rsid w:val="4B4B2D9C"/>
    <w:rsid w:val="4B6F31FF"/>
    <w:rsid w:val="4C6841BD"/>
    <w:rsid w:val="4CAF3A27"/>
    <w:rsid w:val="4CB936C1"/>
    <w:rsid w:val="4CD11005"/>
    <w:rsid w:val="4CD4768D"/>
    <w:rsid w:val="4D54229C"/>
    <w:rsid w:val="4D6619F2"/>
    <w:rsid w:val="4E451032"/>
    <w:rsid w:val="4F427062"/>
    <w:rsid w:val="4F451D18"/>
    <w:rsid w:val="4F73760C"/>
    <w:rsid w:val="4F9563C2"/>
    <w:rsid w:val="50231868"/>
    <w:rsid w:val="50962F7F"/>
    <w:rsid w:val="50D756B0"/>
    <w:rsid w:val="51FF0643"/>
    <w:rsid w:val="5278642E"/>
    <w:rsid w:val="53144422"/>
    <w:rsid w:val="54372316"/>
    <w:rsid w:val="545B6043"/>
    <w:rsid w:val="54CC340E"/>
    <w:rsid w:val="5634266C"/>
    <w:rsid w:val="56EC2985"/>
    <w:rsid w:val="570F1F85"/>
    <w:rsid w:val="572B1EDA"/>
    <w:rsid w:val="572D21B4"/>
    <w:rsid w:val="579A158A"/>
    <w:rsid w:val="57B15747"/>
    <w:rsid w:val="581667FF"/>
    <w:rsid w:val="589A40B1"/>
    <w:rsid w:val="58DE2CA8"/>
    <w:rsid w:val="58EB2E49"/>
    <w:rsid w:val="59236CE8"/>
    <w:rsid w:val="593B4656"/>
    <w:rsid w:val="598103A2"/>
    <w:rsid w:val="5A9E4EDB"/>
    <w:rsid w:val="5B5E74C8"/>
    <w:rsid w:val="5BC836E8"/>
    <w:rsid w:val="5BE22850"/>
    <w:rsid w:val="5D242E4C"/>
    <w:rsid w:val="5D5201C0"/>
    <w:rsid w:val="5E2751A9"/>
    <w:rsid w:val="5E442F56"/>
    <w:rsid w:val="5E92084B"/>
    <w:rsid w:val="5EC831A0"/>
    <w:rsid w:val="5EF71BB2"/>
    <w:rsid w:val="5F5E0328"/>
    <w:rsid w:val="5FF53C6F"/>
    <w:rsid w:val="60347A9D"/>
    <w:rsid w:val="60EC26DA"/>
    <w:rsid w:val="614B38A4"/>
    <w:rsid w:val="62113437"/>
    <w:rsid w:val="621A0886"/>
    <w:rsid w:val="6235097C"/>
    <w:rsid w:val="62A32CCC"/>
    <w:rsid w:val="62DA43F7"/>
    <w:rsid w:val="63366BA1"/>
    <w:rsid w:val="641721D9"/>
    <w:rsid w:val="646B5BBE"/>
    <w:rsid w:val="64B472D0"/>
    <w:rsid w:val="64BF6D54"/>
    <w:rsid w:val="65621F59"/>
    <w:rsid w:val="6599167B"/>
    <w:rsid w:val="66025ED3"/>
    <w:rsid w:val="661E4B5C"/>
    <w:rsid w:val="664C1B6B"/>
    <w:rsid w:val="66605415"/>
    <w:rsid w:val="67622598"/>
    <w:rsid w:val="67D6379C"/>
    <w:rsid w:val="689773CF"/>
    <w:rsid w:val="68C34A1F"/>
    <w:rsid w:val="69205689"/>
    <w:rsid w:val="6A36392E"/>
    <w:rsid w:val="6C4B04CE"/>
    <w:rsid w:val="6C743198"/>
    <w:rsid w:val="6C780237"/>
    <w:rsid w:val="6C88775B"/>
    <w:rsid w:val="6C9F6852"/>
    <w:rsid w:val="6CD160B8"/>
    <w:rsid w:val="6D0C0A06"/>
    <w:rsid w:val="6D1523B2"/>
    <w:rsid w:val="6D212C33"/>
    <w:rsid w:val="6D76695C"/>
    <w:rsid w:val="6D91263F"/>
    <w:rsid w:val="6D9B1E51"/>
    <w:rsid w:val="6DA07B3F"/>
    <w:rsid w:val="6DFA650F"/>
    <w:rsid w:val="6E4B6C92"/>
    <w:rsid w:val="6E6B0E8A"/>
    <w:rsid w:val="6E957F0D"/>
    <w:rsid w:val="6EA7284F"/>
    <w:rsid w:val="6F5C3EB9"/>
    <w:rsid w:val="6F5D2C01"/>
    <w:rsid w:val="6F6335E4"/>
    <w:rsid w:val="70AF3F59"/>
    <w:rsid w:val="70B11D49"/>
    <w:rsid w:val="70B659BB"/>
    <w:rsid w:val="70E76BE0"/>
    <w:rsid w:val="71535E5D"/>
    <w:rsid w:val="71A451E3"/>
    <w:rsid w:val="72CD2FE3"/>
    <w:rsid w:val="73457195"/>
    <w:rsid w:val="7501454E"/>
    <w:rsid w:val="750202C6"/>
    <w:rsid w:val="752E5F56"/>
    <w:rsid w:val="754737CF"/>
    <w:rsid w:val="75EB36BF"/>
    <w:rsid w:val="761C0F14"/>
    <w:rsid w:val="763D64BE"/>
    <w:rsid w:val="767D1683"/>
    <w:rsid w:val="774F06F8"/>
    <w:rsid w:val="77BF3969"/>
    <w:rsid w:val="7881167C"/>
    <w:rsid w:val="798E2128"/>
    <w:rsid w:val="7ACF755D"/>
    <w:rsid w:val="7AFD6F81"/>
    <w:rsid w:val="7B3F6952"/>
    <w:rsid w:val="7B610C8A"/>
    <w:rsid w:val="7BA268EC"/>
    <w:rsid w:val="7C042B76"/>
    <w:rsid w:val="7C1152C9"/>
    <w:rsid w:val="7CF0431D"/>
    <w:rsid w:val="7CFC3686"/>
    <w:rsid w:val="7DC95F95"/>
    <w:rsid w:val="7E4F45C8"/>
    <w:rsid w:val="7E9975A5"/>
    <w:rsid w:val="7EF944E8"/>
    <w:rsid w:val="7F062625"/>
    <w:rsid w:val="7F5931D8"/>
    <w:rsid w:val="7F9A3F1F"/>
    <w:rsid w:val="7FDA3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name="toc 1"/>
    <w:lsdException w:qFormat="1" w:uiPriority="39" w:name="toc 2"/>
    <w:lsdException w:qFormat="1" w:uiPriority="39"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hint="default" w:asciiTheme="minorHAnsi" w:hAnsiTheme="minorHAnsi" w:eastAsiaTheme="minorEastAsia" w:cstheme="minorBidi"/>
      <w:sz w:val="21"/>
      <w:szCs w:val="22"/>
      <w:lang w:val="en-US" w:eastAsia="zh-CN" w:bidi="ar-SA"/>
    </w:rPr>
  </w:style>
  <w:style w:type="paragraph" w:styleId="2">
    <w:name w:val="heading 1"/>
    <w:basedOn w:val="1"/>
    <w:next w:val="1"/>
    <w:link w:val="213"/>
    <w:autoRedefine/>
    <w:qFormat/>
    <w:uiPriority w:val="9"/>
    <w:pPr>
      <w:keepNext/>
      <w:keepLines/>
      <w:spacing w:before="340" w:after="330" w:line="578" w:lineRule="auto"/>
      <w:outlineLvl w:val="0"/>
    </w:pPr>
    <w:rPr>
      <w:rFonts w:ascii="Times New Roman" w:hAnsi="Times New Roman" w:eastAsia="宋体" w:cs="Times New Roman"/>
      <w:b/>
      <w:bCs/>
      <w:sz w:val="44"/>
      <w:szCs w:val="44"/>
      <w:lang w:val="zh-CN" w:eastAsia="zh-CN"/>
    </w:rPr>
  </w:style>
  <w:style w:type="paragraph" w:styleId="3">
    <w:name w:val="heading 2"/>
    <w:basedOn w:val="1"/>
    <w:next w:val="1"/>
    <w:link w:val="214"/>
    <w:autoRedefine/>
    <w:qFormat/>
    <w:uiPriority w:val="9"/>
    <w:pPr>
      <w:keepNext/>
      <w:keepLines/>
      <w:spacing w:before="260" w:after="260" w:line="416" w:lineRule="auto"/>
      <w:outlineLvl w:val="1"/>
    </w:pPr>
    <w:rPr>
      <w:rFonts w:ascii="Cambria" w:hAnsi="Cambria" w:eastAsia="宋体" w:cs="Times New Roman"/>
      <w:b/>
      <w:bCs/>
      <w:sz w:val="32"/>
      <w:szCs w:val="32"/>
      <w:lang w:val="zh-CN" w:eastAsia="zh-CN"/>
    </w:rPr>
  </w:style>
  <w:style w:type="paragraph" w:styleId="4">
    <w:name w:val="heading 3"/>
    <w:basedOn w:val="1"/>
    <w:next w:val="1"/>
    <w:link w:val="215"/>
    <w:autoRedefine/>
    <w:qFormat/>
    <w:uiPriority w:val="9"/>
    <w:pPr>
      <w:keepNext/>
      <w:keepLines/>
      <w:spacing w:before="260" w:after="260" w:line="416" w:lineRule="auto"/>
      <w:outlineLvl w:val="2"/>
    </w:pPr>
    <w:rPr>
      <w:rFonts w:ascii="Times New Roman" w:hAnsi="Times New Roman" w:eastAsia="宋体" w:cs="Times New Roman"/>
      <w:b/>
      <w:bCs/>
      <w:sz w:val="32"/>
      <w:szCs w:val="32"/>
      <w:lang w:val="zh-CN" w:eastAsia="zh-CN"/>
    </w:rPr>
  </w:style>
  <w:style w:type="paragraph" w:styleId="5">
    <w:name w:val="heading 4"/>
    <w:basedOn w:val="1"/>
    <w:next w:val="1"/>
    <w:link w:val="185"/>
    <w:autoRedefine/>
    <w:unhideWhenUsed/>
    <w:qFormat/>
    <w:uiPriority w:val="9"/>
    <w:pPr>
      <w:keepNext/>
      <w:keepLines/>
      <w:spacing w:before="80" w:after="40"/>
      <w:outlineLvl w:val="3"/>
    </w:pPr>
    <w:rPr>
      <w:rFonts w:ascii="Arial" w:hAnsi="Arial" w:eastAsia="Arial" w:cs="Arial"/>
      <w:i/>
      <w:iCs/>
      <w:color w:val="2E75B6" w:themeColor="accent1" w:themeShade="BF"/>
    </w:rPr>
  </w:style>
  <w:style w:type="paragraph" w:styleId="6">
    <w:name w:val="heading 5"/>
    <w:basedOn w:val="1"/>
    <w:next w:val="7"/>
    <w:link w:val="216"/>
    <w:autoRedefine/>
    <w:qFormat/>
    <w:uiPriority w:val="9"/>
    <w:pPr>
      <w:keepNext/>
      <w:keepLines/>
      <w:spacing w:before="280" w:after="290" w:line="376" w:lineRule="auto"/>
      <w:outlineLvl w:val="4"/>
    </w:pPr>
    <w:rPr>
      <w:rFonts w:ascii="Times New Roman" w:hAnsi="Times New Roman" w:eastAsia="宋体" w:cs="Times New Roman"/>
      <w:b/>
      <w:bCs/>
      <w:sz w:val="28"/>
      <w:szCs w:val="28"/>
      <w:lang w:val="zh-CN" w:eastAsia="zh-CN"/>
    </w:rPr>
  </w:style>
  <w:style w:type="paragraph" w:styleId="8">
    <w:name w:val="heading 6"/>
    <w:basedOn w:val="1"/>
    <w:next w:val="1"/>
    <w:link w:val="187"/>
    <w:autoRedefine/>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88"/>
    <w:autoRedefine/>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17"/>
    <w:autoRedefine/>
    <w:qFormat/>
    <w:uiPriority w:val="9"/>
    <w:pPr>
      <w:keepNext/>
      <w:keepLines/>
      <w:spacing w:before="240" w:after="64" w:line="320" w:lineRule="auto"/>
      <w:outlineLvl w:val="7"/>
    </w:pPr>
    <w:rPr>
      <w:rFonts w:ascii="等线 Light" w:hAnsi="等线 Light" w:eastAsia="等线 Light" w:cs="Times New Roman"/>
      <w:sz w:val="24"/>
      <w:szCs w:val="24"/>
      <w:lang w:val="zh-CN" w:eastAsia="zh-CN"/>
    </w:rPr>
  </w:style>
  <w:style w:type="paragraph" w:styleId="11">
    <w:name w:val="heading 9"/>
    <w:basedOn w:val="1"/>
    <w:next w:val="1"/>
    <w:link w:val="218"/>
    <w:autoRedefine/>
    <w:qFormat/>
    <w:uiPriority w:val="9"/>
    <w:pPr>
      <w:keepNext/>
      <w:keepLines/>
      <w:spacing w:before="240" w:after="64" w:line="320" w:lineRule="auto"/>
      <w:outlineLvl w:val="8"/>
    </w:pPr>
    <w:rPr>
      <w:rFonts w:ascii="Cambria" w:hAnsi="Cambria" w:eastAsia="宋体" w:cs="Times New Roman"/>
      <w:szCs w:val="21"/>
      <w:lang w:val="zh-CN" w:eastAsia="zh-CN"/>
    </w:rPr>
  </w:style>
  <w:style w:type="character" w:default="1" w:styleId="46">
    <w:name w:val="Default Paragraph Font"/>
    <w:autoRedefine/>
    <w:semiHidden/>
    <w:unhideWhenUsed/>
    <w:qFormat/>
    <w:uiPriority w:val="1"/>
  </w:style>
  <w:style w:type="table" w:default="1" w:styleId="44">
    <w:name w:val="Normal Table"/>
    <w:autoRedefin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7">
    <w:name w:val="Normal Indent"/>
    <w:basedOn w:val="1"/>
    <w:autoRedefine/>
    <w:qFormat/>
    <w:uiPriority w:val="0"/>
    <w:pPr>
      <w:ind w:firstLine="420"/>
    </w:pPr>
    <w:rPr>
      <w:rFonts w:ascii="Times New Roman" w:hAnsi="Times New Roman" w:eastAsia="宋体" w:cs="Times New Roman"/>
      <w:szCs w:val="20"/>
    </w:rPr>
  </w:style>
  <w:style w:type="paragraph" w:styleId="12">
    <w:name w:val="toc 7"/>
    <w:basedOn w:val="1"/>
    <w:next w:val="1"/>
    <w:autoRedefine/>
    <w:unhideWhenUsed/>
    <w:qFormat/>
    <w:uiPriority w:val="39"/>
    <w:pPr>
      <w:spacing w:after="100"/>
      <w:ind w:left="1320"/>
    </w:pPr>
  </w:style>
  <w:style w:type="paragraph" w:styleId="13">
    <w:name w:val="index 8"/>
    <w:basedOn w:val="1"/>
    <w:next w:val="1"/>
    <w:autoRedefine/>
    <w:qFormat/>
    <w:uiPriority w:val="0"/>
    <w:pPr>
      <w:ind w:left="2940"/>
    </w:pPr>
  </w:style>
  <w:style w:type="paragraph" w:styleId="14">
    <w:name w:val="List Number"/>
    <w:basedOn w:val="1"/>
    <w:autoRedefine/>
    <w:qFormat/>
    <w:uiPriority w:val="0"/>
    <w:pPr>
      <w:widowControl/>
      <w:tabs>
        <w:tab w:val="left" w:pos="454"/>
        <w:tab w:val="left" w:pos="720"/>
        <w:tab w:val="left" w:pos="840"/>
      </w:tabs>
      <w:spacing w:after="50"/>
      <w:ind w:left="454" w:hanging="284"/>
      <w:jc w:val="left"/>
    </w:pPr>
    <w:rPr>
      <w:rFonts w:ascii="Times New Roman" w:hAnsi="Times New Roman" w:eastAsia="宋体" w:cs="Times New Roman"/>
      <w:sz w:val="24"/>
      <w:szCs w:val="20"/>
    </w:rPr>
  </w:style>
  <w:style w:type="paragraph" w:styleId="15">
    <w:name w:val="caption"/>
    <w:basedOn w:val="1"/>
    <w:next w:val="1"/>
    <w:autoRedefine/>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16">
    <w:name w:val="annotation text"/>
    <w:basedOn w:val="1"/>
    <w:link w:val="220"/>
    <w:autoRedefine/>
    <w:qFormat/>
    <w:uiPriority w:val="0"/>
    <w:pPr>
      <w:jc w:val="left"/>
    </w:pPr>
    <w:rPr>
      <w:rFonts w:ascii="Times New Roman" w:hAnsi="Times New Roman" w:eastAsia="宋体" w:cs="Times New Roman"/>
      <w:szCs w:val="24"/>
      <w:lang w:val="zh-CN" w:eastAsia="zh-CN"/>
    </w:rPr>
  </w:style>
  <w:style w:type="paragraph" w:styleId="17">
    <w:name w:val="Body Text 3"/>
    <w:basedOn w:val="1"/>
    <w:link w:val="222"/>
    <w:autoRedefine/>
    <w:unhideWhenUsed/>
    <w:qFormat/>
    <w:uiPriority w:val="99"/>
    <w:pPr>
      <w:spacing w:after="120"/>
    </w:pPr>
    <w:rPr>
      <w:rFonts w:ascii="Times New Roman" w:hAnsi="Times New Roman" w:eastAsia="宋体" w:cs="Times New Roman"/>
      <w:sz w:val="16"/>
      <w:szCs w:val="16"/>
      <w:lang w:val="zh-CN" w:eastAsia="zh-CN"/>
    </w:rPr>
  </w:style>
  <w:style w:type="paragraph" w:styleId="18">
    <w:name w:val="Body Text"/>
    <w:basedOn w:val="1"/>
    <w:next w:val="19"/>
    <w:link w:val="224"/>
    <w:autoRedefine/>
    <w:unhideWhenUsed/>
    <w:qFormat/>
    <w:uiPriority w:val="0"/>
    <w:pPr>
      <w:spacing w:after="120"/>
    </w:pPr>
    <w:rPr>
      <w:rFonts w:ascii="Times New Roman" w:hAnsi="Times New Roman" w:eastAsia="宋体" w:cs="Times New Roman"/>
      <w:szCs w:val="24"/>
      <w:lang w:val="zh-CN" w:eastAsia="zh-CN"/>
    </w:rPr>
  </w:style>
  <w:style w:type="paragraph" w:styleId="19">
    <w:name w:val="Body Text First Indent 2"/>
    <w:basedOn w:val="1"/>
    <w:next w:val="1"/>
    <w:link w:val="277"/>
    <w:autoRedefine/>
    <w:semiHidden/>
    <w:unhideWhenUsed/>
    <w:qFormat/>
    <w:uiPriority w:val="99"/>
    <w:pPr>
      <w:spacing w:after="120"/>
      <w:ind w:left="420" w:firstLine="420"/>
    </w:pPr>
    <w:rPr>
      <w:rFonts w:ascii="Times New Roman" w:eastAsia="宋体"/>
      <w:sz w:val="21"/>
      <w:szCs w:val="24"/>
      <w:lang w:val="en-US" w:eastAsia="zh-CN"/>
    </w:rPr>
  </w:style>
  <w:style w:type="paragraph" w:styleId="20">
    <w:name w:val="Body Text Indent"/>
    <w:basedOn w:val="1"/>
    <w:link w:val="226"/>
    <w:autoRedefine/>
    <w:qFormat/>
    <w:uiPriority w:val="0"/>
    <w:pPr>
      <w:ind w:firstLine="830"/>
    </w:pPr>
    <w:rPr>
      <w:rFonts w:ascii="仿宋_GB2312" w:hAnsi="Times New Roman" w:eastAsia="仿宋_GB2312" w:cs="Times New Roman"/>
      <w:sz w:val="32"/>
      <w:szCs w:val="20"/>
      <w:lang w:val="zh-CN" w:eastAsia="zh-CN"/>
    </w:rPr>
  </w:style>
  <w:style w:type="paragraph" w:styleId="21">
    <w:name w:val="List 2"/>
    <w:basedOn w:val="1"/>
    <w:autoRedefine/>
    <w:unhideWhenUsed/>
    <w:qFormat/>
    <w:uiPriority w:val="99"/>
    <w:pPr>
      <w:ind w:left="100" w:hanging="200"/>
      <w:contextualSpacing/>
    </w:pPr>
    <w:rPr>
      <w:rFonts w:ascii="Times New Roman" w:hAnsi="Times New Roman" w:eastAsia="宋体" w:cs="Times New Roman"/>
      <w:szCs w:val="24"/>
    </w:rPr>
  </w:style>
  <w:style w:type="paragraph" w:styleId="22">
    <w:name w:val="toc 5"/>
    <w:basedOn w:val="1"/>
    <w:next w:val="1"/>
    <w:autoRedefine/>
    <w:unhideWhenUsed/>
    <w:qFormat/>
    <w:uiPriority w:val="39"/>
    <w:pPr>
      <w:spacing w:after="100"/>
      <w:ind w:left="880"/>
    </w:pPr>
  </w:style>
  <w:style w:type="paragraph" w:styleId="23">
    <w:name w:val="toc 3"/>
    <w:basedOn w:val="1"/>
    <w:next w:val="1"/>
    <w:autoRedefine/>
    <w:semiHidden/>
    <w:unhideWhenUsed/>
    <w:qFormat/>
    <w:uiPriority w:val="39"/>
    <w:pPr>
      <w:ind w:left="840"/>
    </w:pPr>
  </w:style>
  <w:style w:type="paragraph" w:styleId="24">
    <w:name w:val="Plain Text"/>
    <w:basedOn w:val="1"/>
    <w:next w:val="13"/>
    <w:link w:val="230"/>
    <w:autoRedefine/>
    <w:qFormat/>
    <w:uiPriority w:val="0"/>
    <w:rPr>
      <w:rFonts w:ascii="宋体" w:hAnsi="Courier New" w:eastAsia="宋体" w:cs="Times New Roman"/>
      <w:sz w:val="20"/>
      <w:szCs w:val="21"/>
      <w:lang w:val="zh-CN" w:eastAsia="zh-CN"/>
    </w:rPr>
  </w:style>
  <w:style w:type="paragraph" w:styleId="25">
    <w:name w:val="toc 8"/>
    <w:basedOn w:val="1"/>
    <w:next w:val="1"/>
    <w:autoRedefine/>
    <w:unhideWhenUsed/>
    <w:qFormat/>
    <w:uiPriority w:val="39"/>
    <w:pPr>
      <w:spacing w:after="100"/>
      <w:ind w:left="1540"/>
    </w:pPr>
  </w:style>
  <w:style w:type="paragraph" w:styleId="26">
    <w:name w:val="Date"/>
    <w:basedOn w:val="1"/>
    <w:next w:val="1"/>
    <w:link w:val="232"/>
    <w:autoRedefine/>
    <w:unhideWhenUsed/>
    <w:qFormat/>
    <w:uiPriority w:val="99"/>
    <w:pPr>
      <w:ind w:left="100"/>
    </w:pPr>
    <w:rPr>
      <w:rFonts w:ascii="Times New Roman" w:hAnsi="Times New Roman" w:eastAsia="宋体" w:cs="Times New Roman"/>
      <w:szCs w:val="24"/>
      <w:lang w:val="zh-CN" w:eastAsia="zh-CN"/>
    </w:rPr>
  </w:style>
  <w:style w:type="paragraph" w:styleId="27">
    <w:name w:val="endnote text"/>
    <w:basedOn w:val="1"/>
    <w:link w:val="206"/>
    <w:autoRedefine/>
    <w:semiHidden/>
    <w:unhideWhenUsed/>
    <w:qFormat/>
    <w:uiPriority w:val="99"/>
    <w:pPr>
      <w:spacing w:after="0" w:line="240" w:lineRule="auto"/>
    </w:pPr>
    <w:rPr>
      <w:sz w:val="20"/>
      <w:szCs w:val="20"/>
    </w:rPr>
  </w:style>
  <w:style w:type="paragraph" w:styleId="28">
    <w:name w:val="Balloon Text"/>
    <w:basedOn w:val="1"/>
    <w:link w:val="268"/>
    <w:autoRedefine/>
    <w:semiHidden/>
    <w:qFormat/>
    <w:uiPriority w:val="0"/>
    <w:rPr>
      <w:rFonts w:ascii="Times New Roman" w:hAnsi="Times New Roman" w:eastAsia="宋体" w:cs="Times New Roman"/>
      <w:sz w:val="18"/>
      <w:szCs w:val="18"/>
    </w:rPr>
  </w:style>
  <w:style w:type="paragraph" w:styleId="29">
    <w:name w:val="footer"/>
    <w:basedOn w:val="1"/>
    <w:next w:val="1"/>
    <w:link w:val="235"/>
    <w:autoRedefine/>
    <w:unhideWhenUsed/>
    <w:qFormat/>
    <w:uiPriority w:val="0"/>
    <w:pPr>
      <w:tabs>
        <w:tab w:val="center" w:pos="4153"/>
        <w:tab w:val="right" w:pos="8306"/>
      </w:tabs>
      <w:jc w:val="left"/>
    </w:pPr>
    <w:rPr>
      <w:rFonts w:ascii="Times New Roman" w:hAnsi="Times New Roman" w:eastAsia="宋体" w:cs="Times New Roman"/>
      <w:sz w:val="18"/>
      <w:szCs w:val="18"/>
      <w:lang w:val="zh-CN" w:eastAsia="zh-CN"/>
    </w:rPr>
  </w:style>
  <w:style w:type="paragraph" w:styleId="30">
    <w:name w:val="header"/>
    <w:basedOn w:val="1"/>
    <w:next w:val="31"/>
    <w:link w:val="237"/>
    <w:autoRedefine/>
    <w:unhideWhenUsed/>
    <w:qFormat/>
    <w:uiPriority w:val="0"/>
    <w:pPr>
      <w:pBdr>
        <w:bottom w:val="single" w:color="000000" w:sz="6" w:space="1"/>
      </w:pBdr>
      <w:tabs>
        <w:tab w:val="center" w:pos="4153"/>
        <w:tab w:val="right" w:pos="8306"/>
      </w:tabs>
      <w:jc w:val="center"/>
    </w:pPr>
    <w:rPr>
      <w:rFonts w:ascii="Times New Roman" w:hAnsi="Times New Roman" w:eastAsia="宋体" w:cs="Times New Roman"/>
      <w:sz w:val="18"/>
      <w:szCs w:val="18"/>
      <w:lang w:val="zh-CN" w:eastAsia="zh-CN"/>
    </w:rPr>
  </w:style>
  <w:style w:type="paragraph" w:styleId="31">
    <w:name w:val="Body Text First Indent"/>
    <w:basedOn w:val="18"/>
    <w:next w:val="7"/>
    <w:autoRedefine/>
    <w:qFormat/>
    <w:uiPriority w:val="0"/>
    <w:pPr>
      <w:spacing w:line="360" w:lineRule="auto"/>
      <w:ind w:firstLine="420"/>
    </w:pPr>
    <w:rPr>
      <w:rFonts w:ascii="宋体" w:hAnsi="宋体"/>
      <w:sz w:val="24"/>
    </w:rPr>
  </w:style>
  <w:style w:type="paragraph" w:styleId="32">
    <w:name w:val="toc 1"/>
    <w:basedOn w:val="1"/>
    <w:next w:val="1"/>
    <w:autoRedefine/>
    <w:semiHidden/>
    <w:unhideWhenUsed/>
    <w:qFormat/>
    <w:uiPriority w:val="39"/>
  </w:style>
  <w:style w:type="paragraph" w:styleId="33">
    <w:name w:val="toc 4"/>
    <w:basedOn w:val="1"/>
    <w:next w:val="1"/>
    <w:autoRedefine/>
    <w:unhideWhenUsed/>
    <w:qFormat/>
    <w:uiPriority w:val="39"/>
    <w:pPr>
      <w:spacing w:after="100"/>
      <w:ind w:left="660"/>
    </w:pPr>
  </w:style>
  <w:style w:type="paragraph" w:styleId="34">
    <w:name w:val="Subtitle"/>
    <w:basedOn w:val="1"/>
    <w:next w:val="1"/>
    <w:link w:val="192"/>
    <w:autoRedefine/>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5">
    <w:name w:val="List"/>
    <w:basedOn w:val="1"/>
    <w:autoRedefine/>
    <w:unhideWhenUsed/>
    <w:qFormat/>
    <w:uiPriority w:val="99"/>
    <w:pPr>
      <w:ind w:left="200" w:hanging="200"/>
      <w:contextualSpacing/>
    </w:pPr>
    <w:rPr>
      <w:rFonts w:ascii="Times New Roman" w:hAnsi="Times New Roman" w:eastAsia="宋体" w:cs="Times New Roman"/>
      <w:szCs w:val="24"/>
    </w:rPr>
  </w:style>
  <w:style w:type="paragraph" w:styleId="36">
    <w:name w:val="footnote text"/>
    <w:basedOn w:val="1"/>
    <w:link w:val="205"/>
    <w:autoRedefine/>
    <w:semiHidden/>
    <w:unhideWhenUsed/>
    <w:qFormat/>
    <w:uiPriority w:val="99"/>
    <w:pPr>
      <w:spacing w:after="0" w:line="240" w:lineRule="auto"/>
    </w:pPr>
    <w:rPr>
      <w:sz w:val="20"/>
      <w:szCs w:val="20"/>
    </w:rPr>
  </w:style>
  <w:style w:type="paragraph" w:styleId="37">
    <w:name w:val="toc 6"/>
    <w:basedOn w:val="1"/>
    <w:next w:val="1"/>
    <w:autoRedefine/>
    <w:unhideWhenUsed/>
    <w:qFormat/>
    <w:uiPriority w:val="39"/>
    <w:pPr>
      <w:spacing w:after="100"/>
      <w:ind w:left="1100"/>
    </w:pPr>
  </w:style>
  <w:style w:type="paragraph" w:styleId="38">
    <w:name w:val="table of figures"/>
    <w:basedOn w:val="1"/>
    <w:next w:val="1"/>
    <w:autoRedefine/>
    <w:unhideWhenUsed/>
    <w:qFormat/>
    <w:uiPriority w:val="99"/>
    <w:pPr>
      <w:spacing w:after="0" w:afterAutospacing="0"/>
    </w:pPr>
  </w:style>
  <w:style w:type="paragraph" w:styleId="39">
    <w:name w:val="toc 2"/>
    <w:basedOn w:val="1"/>
    <w:next w:val="1"/>
    <w:autoRedefine/>
    <w:semiHidden/>
    <w:unhideWhenUsed/>
    <w:qFormat/>
    <w:uiPriority w:val="39"/>
    <w:pPr>
      <w:ind w:left="420"/>
    </w:pPr>
  </w:style>
  <w:style w:type="paragraph" w:styleId="40">
    <w:name w:val="toc 9"/>
    <w:basedOn w:val="1"/>
    <w:next w:val="1"/>
    <w:autoRedefine/>
    <w:unhideWhenUsed/>
    <w:qFormat/>
    <w:uiPriority w:val="39"/>
    <w:pPr>
      <w:spacing w:after="100"/>
      <w:ind w:left="1760"/>
    </w:pPr>
  </w:style>
  <w:style w:type="paragraph" w:styleId="41">
    <w:name w:val="Normal (Web)"/>
    <w:basedOn w:val="1"/>
    <w:autoRedefine/>
    <w:unhideWhenUsed/>
    <w:qFormat/>
    <w:uiPriority w:val="99"/>
    <w:rPr>
      <w:rFonts w:ascii="Calibri" w:hAnsi="Calibri" w:eastAsia="宋体" w:cs="Times New Roman"/>
      <w:sz w:val="24"/>
      <w:szCs w:val="24"/>
    </w:rPr>
  </w:style>
  <w:style w:type="paragraph" w:styleId="42">
    <w:name w:val="Title"/>
    <w:basedOn w:val="1"/>
    <w:next w:val="1"/>
    <w:link w:val="239"/>
    <w:autoRedefine/>
    <w:qFormat/>
    <w:uiPriority w:val="10"/>
    <w:pPr>
      <w:widowControl/>
      <w:jc w:val="center"/>
    </w:pPr>
    <w:rPr>
      <w:rFonts w:ascii="Cambria" w:hAnsi="Cambria" w:eastAsia="宋体" w:cs="Times New Roman"/>
      <w:b/>
      <w:bCs/>
      <w:sz w:val="32"/>
      <w:szCs w:val="32"/>
      <w:lang w:val="zh-CN" w:eastAsia="zh-CN"/>
    </w:rPr>
  </w:style>
  <w:style w:type="paragraph" w:styleId="43">
    <w:name w:val="annotation subject"/>
    <w:basedOn w:val="16"/>
    <w:next w:val="16"/>
    <w:link w:val="241"/>
    <w:autoRedefine/>
    <w:qFormat/>
    <w:uiPriority w:val="99"/>
    <w:rPr>
      <w:b/>
      <w:bCs/>
    </w:rPr>
  </w:style>
  <w:style w:type="table" w:styleId="45">
    <w:name w:val="Table Grid"/>
    <w:basedOn w:val="44"/>
    <w:autoRedefine/>
    <w:qFormat/>
    <w:uiPriority w:val="59"/>
    <w:rPr>
      <w:rFonts w:ascii="Times New Roman" w:hAnsi="Times New Roman" w:eastAsia="宋体"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47">
    <w:name w:val="Strong"/>
    <w:basedOn w:val="46"/>
    <w:autoRedefine/>
    <w:qFormat/>
    <w:uiPriority w:val="0"/>
    <w:rPr>
      <w:b/>
    </w:rPr>
  </w:style>
  <w:style w:type="character" w:styleId="48">
    <w:name w:val="endnote reference"/>
    <w:autoRedefine/>
    <w:unhideWhenUsed/>
    <w:qFormat/>
    <w:uiPriority w:val="99"/>
    <w:rPr>
      <w:vertAlign w:val="superscript"/>
    </w:rPr>
  </w:style>
  <w:style w:type="character" w:styleId="49">
    <w:name w:val="page number"/>
    <w:autoRedefine/>
    <w:qFormat/>
    <w:uiPriority w:val="0"/>
    <w:rPr>
      <w:rFonts w:ascii="Arial" w:hAnsi="Arial" w:eastAsia="黑体" w:cs="Arial"/>
      <w:szCs w:val="21"/>
    </w:rPr>
  </w:style>
  <w:style w:type="character" w:styleId="50">
    <w:name w:val="FollowedHyperlink"/>
    <w:basedOn w:val="46"/>
    <w:autoRedefine/>
    <w:unhideWhenUsed/>
    <w:qFormat/>
    <w:uiPriority w:val="99"/>
    <w:rPr>
      <w:color w:val="800080"/>
      <w:u w:val="single"/>
    </w:rPr>
  </w:style>
  <w:style w:type="character" w:styleId="51">
    <w:name w:val="Emphasis"/>
    <w:basedOn w:val="46"/>
    <w:autoRedefine/>
    <w:qFormat/>
    <w:uiPriority w:val="0"/>
    <w:rPr>
      <w:i/>
    </w:rPr>
  </w:style>
  <w:style w:type="character" w:styleId="52">
    <w:name w:val="Hyperlink"/>
    <w:autoRedefine/>
    <w:unhideWhenUsed/>
    <w:qFormat/>
    <w:uiPriority w:val="99"/>
    <w:rPr>
      <w:color w:val="0000FF"/>
      <w:u w:val="single"/>
    </w:rPr>
  </w:style>
  <w:style w:type="character" w:styleId="53">
    <w:name w:val="annotation reference"/>
    <w:autoRedefine/>
    <w:qFormat/>
    <w:uiPriority w:val="99"/>
    <w:rPr>
      <w:sz w:val="21"/>
      <w:szCs w:val="21"/>
    </w:rPr>
  </w:style>
  <w:style w:type="character" w:styleId="54">
    <w:name w:val="footnote reference"/>
    <w:basedOn w:val="46"/>
    <w:autoRedefine/>
    <w:semiHidden/>
    <w:unhideWhenUsed/>
    <w:qFormat/>
    <w:uiPriority w:val="99"/>
    <w:rPr>
      <w:vertAlign w:val="superscript"/>
    </w:rPr>
  </w:style>
  <w:style w:type="character" w:styleId="55">
    <w:name w:val="HTML Sample"/>
    <w:basedOn w:val="46"/>
    <w:autoRedefine/>
    <w:semiHidden/>
    <w:unhideWhenUsed/>
    <w:qFormat/>
    <w:uiPriority w:val="99"/>
    <w:rPr>
      <w:rFonts w:ascii="Courier New" w:hAnsi="Courier New"/>
    </w:rPr>
  </w:style>
  <w:style w:type="paragraph" w:customStyle="1" w:styleId="56">
    <w:name w:val="Default"/>
    <w:basedOn w:val="42"/>
    <w:autoRedefine/>
    <w:qFormat/>
    <w:uiPriority w:val="0"/>
    <w:pPr>
      <w:widowControl w:val="0"/>
    </w:pPr>
    <w:rPr>
      <w:rFonts w:ascii="@宋体" w:hAnsi="@宋体" w:eastAsia="宋体" w:cs="@宋体"/>
      <w:color w:val="000000"/>
      <w:sz w:val="24"/>
      <w:szCs w:val="24"/>
      <w:lang w:val="en-US" w:eastAsia="zh-CN" w:bidi="ar-SA"/>
    </w:rPr>
  </w:style>
  <w:style w:type="table" w:customStyle="1" w:styleId="57">
    <w:name w:val="Table Grid Light"/>
    <w:basedOn w:val="44"/>
    <w:autoRedefine/>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8">
    <w:name w:val="Plain Table 1"/>
    <w:basedOn w:val="44"/>
    <w:autoRedefine/>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9">
    <w:name w:val="Plain Table 2"/>
    <w:basedOn w:val="44"/>
    <w:autoRedefine/>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60">
    <w:name w:val="Plain Table 3"/>
    <w:basedOn w:val="44"/>
    <w:autoRedefine/>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1">
    <w:name w:val="Plain Table 4"/>
    <w:basedOn w:val="44"/>
    <w:autoRedefine/>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2">
    <w:name w:val="Plain Table 5"/>
    <w:basedOn w:val="44"/>
    <w:autoRedefine/>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3">
    <w:name w:val="Grid Table 1 Light"/>
    <w:basedOn w:val="44"/>
    <w:autoRedefine/>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4">
    <w:name w:val="Grid Table 1 Light - Accent 1"/>
    <w:basedOn w:val="44"/>
    <w:autoRedefine/>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65">
    <w:name w:val="Grid Table 1 Light - Accent 2"/>
    <w:basedOn w:val="44"/>
    <w:autoRedefine/>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66">
    <w:name w:val="Grid Table 1 Light - Accent 3"/>
    <w:basedOn w:val="44"/>
    <w:autoRedefine/>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67">
    <w:name w:val="Grid Table 1 Light - Accent 4"/>
    <w:basedOn w:val="44"/>
    <w:autoRedefine/>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68">
    <w:name w:val="Grid Table 1 Light - Accent 5"/>
    <w:basedOn w:val="44"/>
    <w:autoRedefine/>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69">
    <w:name w:val="Grid Table 1 Light - Accent 6"/>
    <w:basedOn w:val="44"/>
    <w:autoRedefine/>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table" w:customStyle="1" w:styleId="70">
    <w:name w:val="Grid Table 2"/>
    <w:basedOn w:val="44"/>
    <w:autoRedefine/>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1">
    <w:name w:val="Grid Table 2 - Accent 1"/>
    <w:basedOn w:val="44"/>
    <w:autoRedefine/>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2Vert"/>
    <w:tblStylePr w:type="band1Horz">
      <w:rPr>
        <w:rFonts w:ascii="Arial" w:hAnsi="Arial"/>
        <w:color w:val="404040"/>
        <w:sz w:val="22"/>
      </w:rPr>
      <w:tcPr>
        <w:shd w:val="clear" w:color="DDEAF6" w:themeColor="accent1" w:themeTint="34" w:fill="DDEAF6" w:themeFill="accent1" w:themeFillTint="34"/>
      </w:tcPr>
    </w:tblStylePr>
    <w:tblStylePr w:type="band2Horz"/>
    <w:tblStylePr w:type="neCell"/>
    <w:tblStylePr w:type="nwCell"/>
    <w:tblStylePr w:type="seCell"/>
    <w:tblStylePr w:type="swCell"/>
  </w:style>
  <w:style w:type="table" w:customStyle="1" w:styleId="72">
    <w:name w:val="Grid Table 2 - Accent 2"/>
    <w:basedOn w:val="44"/>
    <w:autoRedefine/>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73">
    <w:name w:val="Grid Table 2 - Accent 3"/>
    <w:basedOn w:val="44"/>
    <w:autoRedefine/>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74">
    <w:name w:val="Grid Table 2 - Accent 4"/>
    <w:basedOn w:val="44"/>
    <w:autoRedefine/>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75">
    <w:name w:val="Grid Table 2 - Accent 5"/>
    <w:basedOn w:val="44"/>
    <w:autoRedefine/>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76">
    <w:name w:val="Grid Table 2 - Accent 6"/>
    <w:basedOn w:val="44"/>
    <w:autoRedefine/>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77">
    <w:name w:val="Grid Table 3"/>
    <w:basedOn w:val="44"/>
    <w:autoRedefine/>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8">
    <w:name w:val="Grid Table 3 - Accent 1"/>
    <w:basedOn w:val="44"/>
    <w:autoRedefine/>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2Vert"/>
    <w:tblStylePr w:type="band1Horz">
      <w:rPr>
        <w:rFonts w:ascii="Arial" w:hAnsi="Arial"/>
        <w:color w:val="404040"/>
        <w:sz w:val="22"/>
      </w:rPr>
      <w:tcPr>
        <w:shd w:val="clear" w:color="DDEAF6" w:themeColor="accent1" w:themeTint="34" w:fill="DDEAF6" w:themeFill="accent1" w:themeFillTint="34"/>
      </w:tcPr>
    </w:tblStylePr>
    <w:tblStylePr w:type="band2Horz"/>
    <w:tblStylePr w:type="neCell"/>
    <w:tblStylePr w:type="nwCell"/>
    <w:tblStylePr w:type="seCell"/>
    <w:tblStylePr w:type="swCell"/>
  </w:style>
  <w:style w:type="table" w:customStyle="1" w:styleId="79">
    <w:name w:val="Grid Table 3 - Accent 2"/>
    <w:basedOn w:val="44"/>
    <w:autoRedefine/>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80">
    <w:name w:val="Grid Table 3 - Accent 3"/>
    <w:basedOn w:val="44"/>
    <w:autoRedefine/>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81">
    <w:name w:val="Grid Table 3 - Accent 4"/>
    <w:basedOn w:val="44"/>
    <w:autoRedefine/>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82">
    <w:name w:val="Grid Table 3 - Accent 5"/>
    <w:basedOn w:val="44"/>
    <w:autoRedefine/>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83">
    <w:name w:val="Grid Table 3 - Accent 6"/>
    <w:basedOn w:val="44"/>
    <w:autoRedefine/>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84">
    <w:name w:val="Grid Table 4"/>
    <w:basedOn w:val="44"/>
    <w:autoRedefine/>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5">
    <w:name w:val="Grid Table 4 - Accent 1"/>
    <w:basedOn w:val="44"/>
    <w:autoRedefine/>
    <w:qFormat/>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2Vert"/>
    <w:tblStylePr w:type="band1Horz">
      <w:rPr>
        <w:rFonts w:ascii="Arial" w:hAnsi="Arial"/>
        <w:color w:val="404040"/>
        <w:sz w:val="22"/>
      </w:rPr>
      <w:tcPr>
        <w:shd w:val="clear" w:color="DEEBF6" w:themeColor="accent1" w:themeTint="32" w:fill="DEEBF6" w:themeFill="accent1" w:themeFillTint="32"/>
      </w:tcPr>
    </w:tblStylePr>
    <w:tblStylePr w:type="band2Horz"/>
    <w:tblStylePr w:type="neCell"/>
    <w:tblStylePr w:type="nwCell"/>
    <w:tblStylePr w:type="seCell"/>
    <w:tblStylePr w:type="swCell"/>
  </w:style>
  <w:style w:type="table" w:customStyle="1" w:styleId="86">
    <w:name w:val="Grid Table 4 - Accent 2"/>
    <w:basedOn w:val="44"/>
    <w:autoRedefine/>
    <w:qFormat/>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87">
    <w:name w:val="Grid Table 4 - Accent 3"/>
    <w:basedOn w:val="44"/>
    <w:autoRedefine/>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88">
    <w:name w:val="Grid Table 4 - Accent 4"/>
    <w:basedOn w:val="44"/>
    <w:autoRedefine/>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89">
    <w:name w:val="Grid Table 4 - Accent 5"/>
    <w:basedOn w:val="44"/>
    <w:autoRedefine/>
    <w:qFormat/>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90">
    <w:name w:val="Grid Table 4 - Accent 6"/>
    <w:basedOn w:val="44"/>
    <w:autoRedefine/>
    <w:qFormat/>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91">
    <w:name w:val="Grid Table 5 Dark"/>
    <w:basedOn w:val="44"/>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92">
    <w:name w:val="Grid Table 5 Dark- Accent 1"/>
    <w:basedOn w:val="44"/>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2Vert"/>
    <w:tblStylePr w:type="band1Horz">
      <w:tcPr>
        <w:shd w:val="clear" w:color="B3D1EB" w:themeColor="accent1" w:themeTint="75" w:fill="B3D1EB" w:themeFill="accent1" w:themeFillTint="75"/>
      </w:tcPr>
    </w:tblStylePr>
    <w:tblStylePr w:type="band2Horz"/>
    <w:tblStylePr w:type="neCell"/>
    <w:tblStylePr w:type="nwCell"/>
    <w:tblStylePr w:type="seCell"/>
    <w:tblStylePr w:type="swCell"/>
  </w:style>
  <w:style w:type="table" w:customStyle="1" w:styleId="93">
    <w:name w:val="Grid Table 5 Dark - Accent 2"/>
    <w:basedOn w:val="44"/>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2Vert"/>
    <w:tblStylePr w:type="band1Horz">
      <w:tcPr>
        <w:shd w:val="clear" w:color="F6C3A0" w:themeColor="accent2" w:themeTint="75" w:fill="F6C3A0" w:themeFill="accent2" w:themeFillTint="75"/>
      </w:tcPr>
    </w:tblStylePr>
    <w:tblStylePr w:type="band2Horz"/>
    <w:tblStylePr w:type="neCell"/>
    <w:tblStylePr w:type="nwCell"/>
    <w:tblStylePr w:type="seCell"/>
    <w:tblStylePr w:type="swCell"/>
  </w:style>
  <w:style w:type="table" w:customStyle="1" w:styleId="94">
    <w:name w:val="Grid Table 5 Dark - Accent 3"/>
    <w:basedOn w:val="44"/>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2Vert"/>
    <w:tblStylePr w:type="band1Horz">
      <w:tcPr>
        <w:shd w:val="clear" w:color="D5D5D5" w:themeColor="accent3" w:themeTint="75" w:fill="D5D5D5" w:themeFill="accent3" w:themeFillTint="75"/>
      </w:tcPr>
    </w:tblStylePr>
    <w:tblStylePr w:type="band2Horz"/>
    <w:tblStylePr w:type="neCell"/>
    <w:tblStylePr w:type="nwCell"/>
    <w:tblStylePr w:type="seCell"/>
    <w:tblStylePr w:type="swCell"/>
  </w:style>
  <w:style w:type="table" w:customStyle="1" w:styleId="95">
    <w:name w:val="Grid Table 5 Dark- Accent 4"/>
    <w:basedOn w:val="44"/>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2Vert"/>
    <w:tblStylePr w:type="band1Horz">
      <w:tcPr>
        <w:shd w:val="clear" w:color="FEE289" w:themeColor="accent4" w:themeTint="75" w:fill="FEE289" w:themeFill="accent4" w:themeFillTint="75"/>
      </w:tcPr>
    </w:tblStylePr>
    <w:tblStylePr w:type="band2Horz"/>
    <w:tblStylePr w:type="neCell"/>
    <w:tblStylePr w:type="nwCell"/>
    <w:tblStylePr w:type="seCell"/>
    <w:tblStylePr w:type="swCell"/>
  </w:style>
  <w:style w:type="table" w:customStyle="1" w:styleId="96">
    <w:name w:val="Grid Table 5 Dark - Accent 5"/>
    <w:basedOn w:val="44"/>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2Vert"/>
    <w:tblStylePr w:type="band1Horz">
      <w:tcPr>
        <w:shd w:val="clear" w:color="A9BEE3" w:themeColor="accent5" w:themeTint="75" w:fill="A9BEE3" w:themeFill="accent5" w:themeFillTint="75"/>
      </w:tcPr>
    </w:tblStylePr>
    <w:tblStylePr w:type="band2Horz"/>
    <w:tblStylePr w:type="neCell"/>
    <w:tblStylePr w:type="nwCell"/>
    <w:tblStylePr w:type="seCell"/>
    <w:tblStylePr w:type="swCell"/>
  </w:style>
  <w:style w:type="table" w:customStyle="1" w:styleId="97">
    <w:name w:val="Grid Table 5 Dark - Accent 6"/>
    <w:basedOn w:val="44"/>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2Vert"/>
    <w:tblStylePr w:type="band1Horz">
      <w:tcPr>
        <w:shd w:val="clear" w:color="BCDBA8" w:themeColor="accent6" w:themeTint="75" w:fill="BCDBA8" w:themeFill="accent6" w:themeFillTint="75"/>
      </w:tcPr>
    </w:tblStylePr>
    <w:tblStylePr w:type="band2Horz"/>
    <w:tblStylePr w:type="neCell"/>
    <w:tblStylePr w:type="nwCell"/>
    <w:tblStylePr w:type="seCell"/>
    <w:tblStylePr w:type="swCell"/>
  </w:style>
  <w:style w:type="table" w:customStyle="1" w:styleId="98">
    <w:name w:val="Grid Table 6 Colorful"/>
    <w:basedOn w:val="44"/>
    <w:autoRedefine/>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9">
    <w:name w:val="Grid Table 6 Colorful - Accent 1"/>
    <w:basedOn w:val="44"/>
    <w:autoRedefine/>
    <w:qFormat/>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0">
    <w:name w:val="Grid Table 6 Colorful - Accent 2"/>
    <w:basedOn w:val="44"/>
    <w:autoRedefine/>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1">
    <w:name w:val="Grid Table 6 Colorful - Accent 3"/>
    <w:basedOn w:val="44"/>
    <w:autoRedefine/>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2">
    <w:name w:val="Grid Table 6 Colorful - Accent 4"/>
    <w:basedOn w:val="44"/>
    <w:autoRedefine/>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3">
    <w:name w:val="Grid Table 6 Colorful - Accent 5"/>
    <w:basedOn w:val="44"/>
    <w:autoRedefine/>
    <w:qFormat/>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2Vert"/>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4">
    <w:name w:val="Grid Table 6 Colorful - Accent 6"/>
    <w:basedOn w:val="44"/>
    <w:autoRedefine/>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2Vert"/>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5">
    <w:name w:val="Grid Table 7 Colorful"/>
    <w:basedOn w:val="44"/>
    <w:autoRedefine/>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6">
    <w:name w:val="Grid Table 7 Colorful - Accent 1"/>
    <w:basedOn w:val="44"/>
    <w:autoRedefine/>
    <w:qFormat/>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7">
    <w:name w:val="Grid Table 7 Colorful - Accent 2"/>
    <w:basedOn w:val="44"/>
    <w:autoRedefine/>
    <w:qFormat/>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8">
    <w:name w:val="Grid Table 7 Colorful - Accent 3"/>
    <w:basedOn w:val="44"/>
    <w:autoRedefine/>
    <w:qFormat/>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9">
    <w:name w:val="Grid Table 7 Colorful - Accent 4"/>
    <w:basedOn w:val="44"/>
    <w:autoRedefine/>
    <w:qFormat/>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0">
    <w:name w:val="Grid Table 7 Colorful - Accent 5"/>
    <w:basedOn w:val="44"/>
    <w:autoRedefine/>
    <w:qFormat/>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2Vert"/>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11">
    <w:name w:val="Grid Table 7 Colorful - Accent 6"/>
    <w:basedOn w:val="44"/>
    <w:autoRedefine/>
    <w:qFormat/>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2Vert"/>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tblStylePr w:type="neCell"/>
    <w:tblStylePr w:type="nwCell"/>
    <w:tblStylePr w:type="seCell"/>
    <w:tblStylePr w:type="swCell"/>
  </w:style>
  <w:style w:type="table" w:customStyle="1" w:styleId="112">
    <w:name w:val="List Table 1 Light"/>
    <w:basedOn w:val="44"/>
    <w:autoRedefine/>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3">
    <w:name w:val="List Table 1 Light - Accent 1"/>
    <w:basedOn w:val="44"/>
    <w:autoRedefine/>
    <w:qFormat/>
    <w:uiPriority w:val="99"/>
    <w:pPr>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2Vert"/>
    <w:tblStylePr w:type="band1Horz">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14">
    <w:name w:val="List Table 1 Light - Accent 2"/>
    <w:basedOn w:val="44"/>
    <w:autoRedefine/>
    <w:qFormat/>
    <w:uiPriority w:val="99"/>
    <w:pPr>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2Vert"/>
    <w:tblStylePr w:type="band1Horz">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15">
    <w:name w:val="List Table 1 Light - Accent 3"/>
    <w:basedOn w:val="44"/>
    <w:autoRedefine/>
    <w:qFormat/>
    <w:uiPriority w:val="99"/>
    <w:pPr>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2Vert"/>
    <w:tblStylePr w:type="band1Horz">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16">
    <w:name w:val="List Table 1 Light - Accent 4"/>
    <w:basedOn w:val="44"/>
    <w:autoRedefine/>
    <w:qFormat/>
    <w:uiPriority w:val="99"/>
    <w:pPr>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2Vert"/>
    <w:tblStylePr w:type="band1Horz">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17">
    <w:name w:val="List Table 1 Light - Accent 5"/>
    <w:basedOn w:val="44"/>
    <w:autoRedefine/>
    <w:qFormat/>
    <w:uiPriority w:val="99"/>
    <w:pPr>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2Vert"/>
    <w:tblStylePr w:type="band1Horz">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18">
    <w:name w:val="List Table 1 Light - Accent 6"/>
    <w:basedOn w:val="44"/>
    <w:autoRedefine/>
    <w:qFormat/>
    <w:uiPriority w:val="99"/>
    <w:pPr>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2Vert"/>
    <w:tblStylePr w:type="band1Horz">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19">
    <w:name w:val="List Table 2"/>
    <w:basedOn w:val="44"/>
    <w:autoRedefine/>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0">
    <w:name w:val="List Table 2 - Accent 1"/>
    <w:basedOn w:val="44"/>
    <w:autoRedefine/>
    <w:qFormat/>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2Vert"/>
    <w:tblStylePr w:type="band1Horz">
      <w:rPr>
        <w:rFonts w:ascii="Arial" w:hAnsi="Arial"/>
        <w:color w:val="404040"/>
        <w:sz w:val="22"/>
      </w:rPr>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21">
    <w:name w:val="List Table 2 - Accent 2"/>
    <w:basedOn w:val="44"/>
    <w:autoRedefine/>
    <w:qFormat/>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2Vert"/>
    <w:tblStylePr w:type="band1Horz">
      <w:rPr>
        <w:rFonts w:ascii="Arial" w:hAnsi="Arial"/>
        <w:color w:val="404040"/>
        <w:sz w:val="22"/>
      </w:rPr>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22">
    <w:name w:val="List Table 2 - Accent 3"/>
    <w:basedOn w:val="44"/>
    <w:autoRedefine/>
    <w:qFormat/>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2Vert"/>
    <w:tblStylePr w:type="band1Horz">
      <w:rPr>
        <w:rFonts w:ascii="Arial" w:hAnsi="Arial"/>
        <w:color w:val="404040"/>
        <w:sz w:val="22"/>
      </w:rPr>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23">
    <w:name w:val="List Table 2 - Accent 4"/>
    <w:basedOn w:val="44"/>
    <w:autoRedefine/>
    <w:qFormat/>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2Vert"/>
    <w:tblStylePr w:type="band1Horz">
      <w:rPr>
        <w:rFonts w:ascii="Arial" w:hAnsi="Arial"/>
        <w:color w:val="404040"/>
        <w:sz w:val="22"/>
      </w:rPr>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24">
    <w:name w:val="List Table 2 - Accent 5"/>
    <w:basedOn w:val="44"/>
    <w:autoRedefine/>
    <w:qFormat/>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2Vert"/>
    <w:tblStylePr w:type="band1Horz">
      <w:rPr>
        <w:rFonts w:ascii="Arial" w:hAnsi="Arial"/>
        <w:color w:val="404040"/>
        <w:sz w:val="22"/>
      </w:rPr>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25">
    <w:name w:val="List Table 2 - Accent 6"/>
    <w:basedOn w:val="44"/>
    <w:autoRedefine/>
    <w:qFormat/>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2Vert"/>
    <w:tblStylePr w:type="band1Horz">
      <w:rPr>
        <w:rFonts w:ascii="Arial" w:hAnsi="Arial"/>
        <w:color w:val="404040"/>
        <w:sz w:val="22"/>
      </w:rPr>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26">
    <w:name w:val="List Table 3"/>
    <w:basedOn w:val="44"/>
    <w:autoRedefine/>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7">
    <w:name w:val="List Table 3 - Accent 1"/>
    <w:basedOn w:val="44"/>
    <w:autoRedefine/>
    <w:qFormat/>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2Vert"/>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2Horz"/>
    <w:tblStylePr w:type="neCell"/>
    <w:tblStylePr w:type="nwCell"/>
    <w:tblStylePr w:type="seCell"/>
    <w:tblStylePr w:type="swCell"/>
  </w:style>
  <w:style w:type="table" w:customStyle="1" w:styleId="128">
    <w:name w:val="List Table 3 - Accent 2"/>
    <w:basedOn w:val="44"/>
    <w:autoRedefine/>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2Vert"/>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tblStylePr w:type="band2Horz"/>
    <w:tblStylePr w:type="neCell"/>
    <w:tblStylePr w:type="nwCell"/>
    <w:tblStylePr w:type="seCell"/>
    <w:tblStylePr w:type="swCell"/>
  </w:style>
  <w:style w:type="table" w:customStyle="1" w:styleId="129">
    <w:name w:val="List Table 3 - Accent 3"/>
    <w:basedOn w:val="44"/>
    <w:autoRedefine/>
    <w:qFormat/>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2Vert"/>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2Horz"/>
    <w:tblStylePr w:type="neCell"/>
    <w:tblStylePr w:type="nwCell"/>
    <w:tblStylePr w:type="seCell"/>
    <w:tblStylePr w:type="swCell"/>
  </w:style>
  <w:style w:type="table" w:customStyle="1" w:styleId="130">
    <w:name w:val="List Table 3 - Accent 4"/>
    <w:basedOn w:val="44"/>
    <w:autoRedefine/>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2Vert"/>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tblStylePr w:type="band2Horz"/>
    <w:tblStylePr w:type="neCell"/>
    <w:tblStylePr w:type="nwCell"/>
    <w:tblStylePr w:type="seCell"/>
    <w:tblStylePr w:type="swCell"/>
  </w:style>
  <w:style w:type="table" w:customStyle="1" w:styleId="131">
    <w:name w:val="List Table 3 - Accent 5"/>
    <w:basedOn w:val="44"/>
    <w:autoRedefine/>
    <w:qFormat/>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2Vert"/>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tblStylePr w:type="band2Horz"/>
    <w:tblStylePr w:type="neCell"/>
    <w:tblStylePr w:type="nwCell"/>
    <w:tblStylePr w:type="seCell"/>
    <w:tblStylePr w:type="swCell"/>
  </w:style>
  <w:style w:type="table" w:customStyle="1" w:styleId="132">
    <w:name w:val="List Table 3 - Accent 6"/>
    <w:basedOn w:val="44"/>
    <w:autoRedefine/>
    <w:qFormat/>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2Vert"/>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2Horz"/>
    <w:tblStylePr w:type="neCell"/>
    <w:tblStylePr w:type="nwCell"/>
    <w:tblStylePr w:type="seCell"/>
    <w:tblStylePr w:type="swCell"/>
  </w:style>
  <w:style w:type="table" w:customStyle="1" w:styleId="133">
    <w:name w:val="List Table 4"/>
    <w:basedOn w:val="44"/>
    <w:autoRedefine/>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4">
    <w:name w:val="List Table 4 - Accent 1"/>
    <w:basedOn w:val="44"/>
    <w:autoRedefine/>
    <w:qFormat/>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2Vert"/>
    <w:tblStylePr w:type="band1Horz">
      <w:rPr>
        <w:rFonts w:ascii="Arial" w:hAnsi="Arial"/>
        <w:color w:val="404040"/>
        <w:sz w:val="22"/>
      </w:rPr>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35">
    <w:name w:val="List Table 4 - Accent 2"/>
    <w:basedOn w:val="44"/>
    <w:autoRedefine/>
    <w:qFormat/>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2Vert"/>
    <w:tblStylePr w:type="band1Horz">
      <w:rPr>
        <w:rFonts w:ascii="Arial" w:hAnsi="Arial"/>
        <w:color w:val="404040"/>
        <w:sz w:val="22"/>
      </w:rPr>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36">
    <w:name w:val="List Table 4 - Accent 3"/>
    <w:basedOn w:val="44"/>
    <w:autoRedefine/>
    <w:qFormat/>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2Vert"/>
    <w:tblStylePr w:type="band1Horz">
      <w:rPr>
        <w:rFonts w:ascii="Arial" w:hAnsi="Arial"/>
        <w:color w:val="404040"/>
        <w:sz w:val="22"/>
      </w:rPr>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37">
    <w:name w:val="List Table 4 - Accent 4"/>
    <w:basedOn w:val="44"/>
    <w:autoRedefine/>
    <w:qFormat/>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2Vert"/>
    <w:tblStylePr w:type="band1Horz">
      <w:rPr>
        <w:rFonts w:ascii="Arial" w:hAnsi="Arial"/>
        <w:color w:val="404040"/>
        <w:sz w:val="22"/>
      </w:rPr>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38">
    <w:name w:val="List Table 4 - Accent 5"/>
    <w:basedOn w:val="44"/>
    <w:autoRedefine/>
    <w:qFormat/>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2Vert"/>
    <w:tblStylePr w:type="band1Horz">
      <w:rPr>
        <w:rFonts w:ascii="Arial" w:hAnsi="Arial"/>
        <w:color w:val="404040"/>
        <w:sz w:val="22"/>
      </w:rPr>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39">
    <w:name w:val="List Table 4 - Accent 6"/>
    <w:basedOn w:val="44"/>
    <w:autoRedefine/>
    <w:qFormat/>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2Vert"/>
    <w:tblStylePr w:type="band1Horz">
      <w:rPr>
        <w:rFonts w:ascii="Arial" w:hAnsi="Arial"/>
        <w:color w:val="404040"/>
        <w:sz w:val="22"/>
      </w:rPr>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40">
    <w:name w:val="List Table 5 Dark"/>
    <w:basedOn w:val="44"/>
    <w:autoRedefine/>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41">
    <w:name w:val="List Table 5 Dark - Accent 1"/>
    <w:basedOn w:val="44"/>
    <w:autoRedefine/>
    <w:qFormat/>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tblStylePr w:type="neCell"/>
    <w:tblStylePr w:type="nwCell"/>
    <w:tblStylePr w:type="seCell"/>
    <w:tblStylePr w:type="swCell"/>
  </w:style>
  <w:style w:type="table" w:customStyle="1" w:styleId="142">
    <w:name w:val="List Table 5 Dark - Accent 2"/>
    <w:basedOn w:val="44"/>
    <w:autoRedefine/>
    <w:qFormat/>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neCell"/>
    <w:tblStylePr w:type="nwCell"/>
    <w:tblStylePr w:type="seCell"/>
    <w:tblStylePr w:type="swCell"/>
  </w:style>
  <w:style w:type="table" w:customStyle="1" w:styleId="143">
    <w:name w:val="List Table 5 Dark - Accent 3"/>
    <w:basedOn w:val="44"/>
    <w:autoRedefine/>
    <w:qFormat/>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neCell"/>
    <w:tblStylePr w:type="nwCell"/>
    <w:tblStylePr w:type="seCell"/>
    <w:tblStylePr w:type="swCell"/>
  </w:style>
  <w:style w:type="table" w:customStyle="1" w:styleId="144">
    <w:name w:val="List Table 5 Dark - Accent 4"/>
    <w:basedOn w:val="44"/>
    <w:autoRedefine/>
    <w:qFormat/>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neCell"/>
    <w:tblStylePr w:type="nwCell"/>
    <w:tblStylePr w:type="seCell"/>
    <w:tblStylePr w:type="swCell"/>
  </w:style>
  <w:style w:type="table" w:customStyle="1" w:styleId="145">
    <w:name w:val="List Table 5 Dark - Accent 5"/>
    <w:basedOn w:val="44"/>
    <w:autoRedefine/>
    <w:qFormat/>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neCell"/>
    <w:tblStylePr w:type="nwCell"/>
    <w:tblStylePr w:type="seCell"/>
    <w:tblStylePr w:type="swCell"/>
  </w:style>
  <w:style w:type="table" w:customStyle="1" w:styleId="146">
    <w:name w:val="List Table 5 Dark - Accent 6"/>
    <w:basedOn w:val="44"/>
    <w:autoRedefine/>
    <w:qFormat/>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neCell"/>
    <w:tblStylePr w:type="nwCell"/>
    <w:tblStylePr w:type="seCell"/>
    <w:tblStylePr w:type="swCell"/>
  </w:style>
  <w:style w:type="table" w:customStyle="1" w:styleId="147">
    <w:name w:val="List Table 6 Colorful"/>
    <w:basedOn w:val="44"/>
    <w:autoRedefine/>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8">
    <w:name w:val="List Table 6 Colorful - Accent 1"/>
    <w:basedOn w:val="44"/>
    <w:autoRedefine/>
    <w:qFormat/>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2Vert"/>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49">
    <w:name w:val="List Table 6 Colorful - Accent 2"/>
    <w:basedOn w:val="44"/>
    <w:autoRedefine/>
    <w:qFormat/>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0">
    <w:name w:val="List Table 6 Colorful - Accent 3"/>
    <w:basedOn w:val="44"/>
    <w:autoRedefine/>
    <w:qFormat/>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1">
    <w:name w:val="List Table 6 Colorful - Accent 4"/>
    <w:basedOn w:val="44"/>
    <w:autoRedefine/>
    <w:qFormat/>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2">
    <w:name w:val="List Table 6 Colorful - Accent 5"/>
    <w:basedOn w:val="44"/>
    <w:autoRedefine/>
    <w:qFormat/>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3">
    <w:name w:val="List Table 6 Colorful - Accent 6"/>
    <w:basedOn w:val="44"/>
    <w:autoRedefine/>
    <w:qFormat/>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4">
    <w:name w:val="List Table 7 Colorful"/>
    <w:basedOn w:val="44"/>
    <w:autoRedefine/>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5">
    <w:name w:val="List Table 7 Colorful - Accent 1"/>
    <w:basedOn w:val="44"/>
    <w:autoRedefine/>
    <w:qFormat/>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2Vert"/>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56">
    <w:name w:val="List Table 7 Colorful - Accent 2"/>
    <w:basedOn w:val="44"/>
    <w:autoRedefine/>
    <w:qFormat/>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7">
    <w:name w:val="List Table 7 Colorful - Accent 3"/>
    <w:basedOn w:val="44"/>
    <w:autoRedefine/>
    <w:qFormat/>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8">
    <w:name w:val="List Table 7 Colorful - Accent 4"/>
    <w:basedOn w:val="44"/>
    <w:autoRedefine/>
    <w:qFormat/>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9">
    <w:name w:val="List Table 7 Colorful - Accent 5"/>
    <w:basedOn w:val="44"/>
    <w:autoRedefine/>
    <w:qFormat/>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0">
    <w:name w:val="List Table 7 Colorful - Accent 6"/>
    <w:basedOn w:val="44"/>
    <w:autoRedefine/>
    <w:qFormat/>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1">
    <w:name w:val="Lined - Accent"/>
    <w:basedOn w:val="44"/>
    <w:autoRedefine/>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2">
    <w:name w:val="Lined - Accent 1"/>
    <w:basedOn w:val="44"/>
    <w:autoRedefine/>
    <w:qFormat/>
    <w:uiPriority w:val="99"/>
    <w:pPr>
      <w:spacing w:after="0" w:line="240" w:lineRule="auto"/>
    </w:pPr>
    <w:rPr>
      <w:color w:val="404040"/>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neCell"/>
    <w:tblStylePr w:type="nwCell"/>
    <w:tblStylePr w:type="seCell"/>
    <w:tblStylePr w:type="swCell"/>
  </w:style>
  <w:style w:type="table" w:customStyle="1" w:styleId="163">
    <w:name w:val="Lined - Accent 2"/>
    <w:basedOn w:val="44"/>
    <w:autoRedefine/>
    <w:qFormat/>
    <w:uiPriority w:val="99"/>
    <w:pPr>
      <w:spacing w:after="0" w:line="240" w:lineRule="auto"/>
    </w:pPr>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neCell"/>
    <w:tblStylePr w:type="nwCell"/>
    <w:tblStylePr w:type="seCell"/>
    <w:tblStylePr w:type="swCell"/>
  </w:style>
  <w:style w:type="table" w:customStyle="1" w:styleId="164">
    <w:name w:val="Lined - Accent 3"/>
    <w:basedOn w:val="44"/>
    <w:autoRedefine/>
    <w:qFormat/>
    <w:uiPriority w:val="99"/>
    <w:pPr>
      <w:spacing w:after="0" w:line="240" w:lineRule="auto"/>
    </w:pPr>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neCell"/>
    <w:tblStylePr w:type="nwCell"/>
    <w:tblStylePr w:type="seCell"/>
    <w:tblStylePr w:type="swCell"/>
  </w:style>
  <w:style w:type="table" w:customStyle="1" w:styleId="165">
    <w:name w:val="Lined - Accent 4"/>
    <w:basedOn w:val="44"/>
    <w:autoRedefine/>
    <w:qFormat/>
    <w:uiPriority w:val="99"/>
    <w:pPr>
      <w:spacing w:after="0" w:line="240" w:lineRule="auto"/>
    </w:pPr>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neCell"/>
    <w:tblStylePr w:type="nwCell"/>
    <w:tblStylePr w:type="seCell"/>
    <w:tblStylePr w:type="swCell"/>
  </w:style>
  <w:style w:type="table" w:customStyle="1" w:styleId="166">
    <w:name w:val="Lined - Accent 5"/>
    <w:basedOn w:val="44"/>
    <w:autoRedefine/>
    <w:qFormat/>
    <w:uiPriority w:val="99"/>
    <w:pPr>
      <w:spacing w:after="0" w:line="240" w:lineRule="auto"/>
    </w:pPr>
    <w:rPr>
      <w:color w:val="404040"/>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neCell"/>
    <w:tblStylePr w:type="nwCell"/>
    <w:tblStylePr w:type="seCell"/>
    <w:tblStylePr w:type="swCell"/>
  </w:style>
  <w:style w:type="table" w:customStyle="1" w:styleId="167">
    <w:name w:val="Lined - Accent 6"/>
    <w:basedOn w:val="44"/>
    <w:autoRedefine/>
    <w:qFormat/>
    <w:uiPriority w:val="99"/>
    <w:pPr>
      <w:spacing w:after="0" w:line="240" w:lineRule="auto"/>
    </w:pPr>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neCell"/>
    <w:tblStylePr w:type="nwCell"/>
    <w:tblStylePr w:type="seCell"/>
    <w:tblStylePr w:type="swCell"/>
  </w:style>
  <w:style w:type="table" w:customStyle="1" w:styleId="168">
    <w:name w:val="Bordered &amp; Lined - Accent"/>
    <w:basedOn w:val="44"/>
    <w:autoRedefine/>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9">
    <w:name w:val="Bordered &amp; Lined - Accent 1"/>
    <w:basedOn w:val="44"/>
    <w:autoRedefine/>
    <w:qFormat/>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neCell"/>
    <w:tblStylePr w:type="nwCell"/>
    <w:tblStylePr w:type="seCell"/>
    <w:tblStylePr w:type="swCell"/>
  </w:style>
  <w:style w:type="table" w:customStyle="1" w:styleId="170">
    <w:name w:val="Bordered &amp; Lined - Accent 2"/>
    <w:basedOn w:val="44"/>
    <w:autoRedefine/>
    <w:qFormat/>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neCell"/>
    <w:tblStylePr w:type="nwCell"/>
    <w:tblStylePr w:type="seCell"/>
    <w:tblStylePr w:type="swCell"/>
  </w:style>
  <w:style w:type="table" w:customStyle="1" w:styleId="171">
    <w:name w:val="Bordered &amp; Lined - Accent 3"/>
    <w:basedOn w:val="44"/>
    <w:autoRedefine/>
    <w:qFormat/>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neCell"/>
    <w:tblStylePr w:type="nwCell"/>
    <w:tblStylePr w:type="seCell"/>
    <w:tblStylePr w:type="swCell"/>
  </w:style>
  <w:style w:type="table" w:customStyle="1" w:styleId="172">
    <w:name w:val="Bordered &amp; Lined - Accent 4"/>
    <w:basedOn w:val="44"/>
    <w:autoRedefine/>
    <w:qFormat/>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neCell"/>
    <w:tblStylePr w:type="nwCell"/>
    <w:tblStylePr w:type="seCell"/>
    <w:tblStylePr w:type="swCell"/>
  </w:style>
  <w:style w:type="table" w:customStyle="1" w:styleId="173">
    <w:name w:val="Bordered &amp; Lined - Accent 5"/>
    <w:basedOn w:val="44"/>
    <w:autoRedefine/>
    <w:qFormat/>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neCell"/>
    <w:tblStylePr w:type="nwCell"/>
    <w:tblStylePr w:type="seCell"/>
    <w:tblStylePr w:type="swCell"/>
  </w:style>
  <w:style w:type="table" w:customStyle="1" w:styleId="174">
    <w:name w:val="Bordered &amp; Lined - Accent 6"/>
    <w:basedOn w:val="44"/>
    <w:autoRedefine/>
    <w:qFormat/>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neCell"/>
    <w:tblStylePr w:type="nwCell"/>
    <w:tblStylePr w:type="seCell"/>
    <w:tblStylePr w:type="swCell"/>
  </w:style>
  <w:style w:type="table" w:customStyle="1" w:styleId="175">
    <w:name w:val="Bordered"/>
    <w:basedOn w:val="44"/>
    <w:autoRedefine/>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6">
    <w:name w:val="Bordered - Accent 1"/>
    <w:basedOn w:val="44"/>
    <w:autoRedefine/>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177">
    <w:name w:val="Bordered - Accent 2"/>
    <w:basedOn w:val="44"/>
    <w:autoRedefine/>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178">
    <w:name w:val="Bordered - Accent 3"/>
    <w:basedOn w:val="44"/>
    <w:autoRedefine/>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179">
    <w:name w:val="Bordered - Accent 4"/>
    <w:basedOn w:val="44"/>
    <w:autoRedefine/>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180">
    <w:name w:val="Bordered - Accent 5"/>
    <w:basedOn w:val="44"/>
    <w:autoRedefine/>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181">
    <w:name w:val="Bordered - Accent 6"/>
    <w:basedOn w:val="44"/>
    <w:autoRedefine/>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character" w:customStyle="1" w:styleId="182">
    <w:name w:val="Heading 1 Char"/>
    <w:basedOn w:val="46"/>
    <w:autoRedefine/>
    <w:qFormat/>
    <w:uiPriority w:val="9"/>
    <w:rPr>
      <w:rFonts w:ascii="Arial" w:hAnsi="Arial" w:eastAsia="Arial" w:cs="Arial"/>
      <w:color w:val="2E75B6" w:themeColor="accent1" w:themeShade="BF"/>
      <w:sz w:val="40"/>
      <w:szCs w:val="40"/>
    </w:rPr>
  </w:style>
  <w:style w:type="character" w:customStyle="1" w:styleId="183">
    <w:name w:val="Heading 2 Char"/>
    <w:basedOn w:val="46"/>
    <w:autoRedefine/>
    <w:qFormat/>
    <w:uiPriority w:val="9"/>
    <w:rPr>
      <w:rFonts w:ascii="Arial" w:hAnsi="Arial" w:eastAsia="Arial" w:cs="Arial"/>
      <w:color w:val="2E75B6" w:themeColor="accent1" w:themeShade="BF"/>
      <w:sz w:val="32"/>
      <w:szCs w:val="32"/>
    </w:rPr>
  </w:style>
  <w:style w:type="character" w:customStyle="1" w:styleId="184">
    <w:name w:val="Heading 3 Char"/>
    <w:basedOn w:val="46"/>
    <w:autoRedefine/>
    <w:qFormat/>
    <w:uiPriority w:val="9"/>
    <w:rPr>
      <w:rFonts w:ascii="Arial" w:hAnsi="Arial" w:eastAsia="Arial" w:cs="Arial"/>
      <w:color w:val="2E75B6" w:themeColor="accent1" w:themeShade="BF"/>
      <w:sz w:val="28"/>
      <w:szCs w:val="28"/>
    </w:rPr>
  </w:style>
  <w:style w:type="character" w:customStyle="1" w:styleId="185">
    <w:name w:val="Heading 4 Char"/>
    <w:basedOn w:val="46"/>
    <w:link w:val="5"/>
    <w:autoRedefine/>
    <w:qFormat/>
    <w:uiPriority w:val="9"/>
    <w:rPr>
      <w:rFonts w:ascii="Arial" w:hAnsi="Arial" w:eastAsia="Arial" w:cs="Arial"/>
      <w:i/>
      <w:iCs/>
      <w:color w:val="2E75B6" w:themeColor="accent1" w:themeShade="BF"/>
    </w:rPr>
  </w:style>
  <w:style w:type="character" w:customStyle="1" w:styleId="186">
    <w:name w:val="Heading 5 Char"/>
    <w:basedOn w:val="46"/>
    <w:autoRedefine/>
    <w:qFormat/>
    <w:uiPriority w:val="9"/>
    <w:rPr>
      <w:rFonts w:ascii="Arial" w:hAnsi="Arial" w:eastAsia="Arial" w:cs="Arial"/>
      <w:color w:val="2E75B6" w:themeColor="accent1" w:themeShade="BF"/>
    </w:rPr>
  </w:style>
  <w:style w:type="character" w:customStyle="1" w:styleId="187">
    <w:name w:val="Heading 6 Char"/>
    <w:basedOn w:val="46"/>
    <w:link w:val="8"/>
    <w:autoRedefine/>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88">
    <w:name w:val="Heading 7 Char"/>
    <w:basedOn w:val="46"/>
    <w:link w:val="9"/>
    <w:autoRedefine/>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89">
    <w:name w:val="Heading 8 Char"/>
    <w:basedOn w:val="46"/>
    <w:autoRedefine/>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0">
    <w:name w:val="Heading 9 Char"/>
    <w:basedOn w:val="46"/>
    <w:autoRedefine/>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1">
    <w:name w:val="Title Char"/>
    <w:basedOn w:val="46"/>
    <w:autoRedefine/>
    <w:qFormat/>
    <w:uiPriority w:val="10"/>
    <w:rPr>
      <w:rFonts w:ascii="Arial" w:hAnsi="Arial" w:eastAsia="Arial" w:cs="Arial"/>
      <w:spacing w:val="-10"/>
      <w:sz w:val="56"/>
      <w:szCs w:val="56"/>
    </w:rPr>
  </w:style>
  <w:style w:type="character" w:customStyle="1" w:styleId="192">
    <w:name w:val="Subtitle Char"/>
    <w:basedOn w:val="46"/>
    <w:link w:val="34"/>
    <w:autoRedefine/>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3">
    <w:name w:val="Quote"/>
    <w:basedOn w:val="1"/>
    <w:next w:val="1"/>
    <w:link w:val="194"/>
    <w:autoRedefine/>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4">
    <w:name w:val="Quote Char"/>
    <w:basedOn w:val="46"/>
    <w:link w:val="193"/>
    <w:autoRedefine/>
    <w:qFormat/>
    <w:uiPriority w:val="29"/>
    <w:rPr>
      <w:i/>
      <w:iCs/>
      <w:color w:val="404040" w:themeColor="text1" w:themeTint="BF"/>
      <w14:textFill>
        <w14:solidFill>
          <w14:schemeClr w14:val="tx1">
            <w14:lumMod w14:val="75000"/>
            <w14:lumOff w14:val="25000"/>
          </w14:schemeClr>
        </w14:solidFill>
      </w14:textFill>
    </w:rPr>
  </w:style>
  <w:style w:type="character" w:customStyle="1" w:styleId="195">
    <w:name w:val="Intense Emphasis"/>
    <w:basedOn w:val="46"/>
    <w:autoRedefine/>
    <w:qFormat/>
    <w:uiPriority w:val="21"/>
    <w:rPr>
      <w:i/>
      <w:iCs/>
      <w:color w:val="2E75B6" w:themeColor="accent1" w:themeShade="BF"/>
    </w:rPr>
  </w:style>
  <w:style w:type="paragraph" w:styleId="196">
    <w:name w:val="Intense Quote"/>
    <w:basedOn w:val="1"/>
    <w:next w:val="1"/>
    <w:link w:val="197"/>
    <w:autoRedefine/>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197">
    <w:name w:val="Intense Quote Char"/>
    <w:basedOn w:val="46"/>
    <w:link w:val="196"/>
    <w:autoRedefine/>
    <w:qFormat/>
    <w:uiPriority w:val="30"/>
    <w:rPr>
      <w:i/>
      <w:iCs/>
      <w:color w:val="2E75B6" w:themeColor="accent1" w:themeShade="BF"/>
    </w:rPr>
  </w:style>
  <w:style w:type="character" w:customStyle="1" w:styleId="198">
    <w:name w:val="Intense Reference"/>
    <w:basedOn w:val="46"/>
    <w:autoRedefine/>
    <w:qFormat/>
    <w:uiPriority w:val="32"/>
    <w:rPr>
      <w:b/>
      <w:bCs/>
      <w:smallCaps/>
      <w:color w:val="2E75B6" w:themeColor="accent1" w:themeShade="BF"/>
      <w:spacing w:val="5"/>
    </w:rPr>
  </w:style>
  <w:style w:type="paragraph" w:styleId="199">
    <w:name w:val="No Spacing"/>
    <w:basedOn w:val="1"/>
    <w:autoRedefine/>
    <w:qFormat/>
    <w:uiPriority w:val="1"/>
    <w:pPr>
      <w:spacing w:after="0" w:line="240" w:lineRule="auto"/>
    </w:pPr>
  </w:style>
  <w:style w:type="character" w:customStyle="1" w:styleId="200">
    <w:name w:val="Subtle Emphasis"/>
    <w:basedOn w:val="46"/>
    <w:autoRedefine/>
    <w:qFormat/>
    <w:uiPriority w:val="19"/>
    <w:rPr>
      <w:i/>
      <w:iCs/>
      <w:color w:val="404040" w:themeColor="text1" w:themeTint="BF"/>
      <w14:textFill>
        <w14:solidFill>
          <w14:schemeClr w14:val="tx1">
            <w14:lumMod w14:val="75000"/>
            <w14:lumOff w14:val="25000"/>
          </w14:schemeClr>
        </w14:solidFill>
      </w14:textFill>
    </w:rPr>
  </w:style>
  <w:style w:type="character" w:customStyle="1" w:styleId="201">
    <w:name w:val="Subtle Reference"/>
    <w:basedOn w:val="46"/>
    <w:autoRedefine/>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2">
    <w:name w:val="Book Title"/>
    <w:basedOn w:val="46"/>
    <w:autoRedefine/>
    <w:qFormat/>
    <w:uiPriority w:val="33"/>
    <w:rPr>
      <w:b/>
      <w:bCs/>
      <w:i/>
      <w:iCs/>
      <w:spacing w:val="5"/>
    </w:rPr>
  </w:style>
  <w:style w:type="character" w:customStyle="1" w:styleId="203">
    <w:name w:val="Header Char"/>
    <w:basedOn w:val="46"/>
    <w:autoRedefine/>
    <w:qFormat/>
    <w:uiPriority w:val="99"/>
  </w:style>
  <w:style w:type="character" w:customStyle="1" w:styleId="204">
    <w:name w:val="Footer Char"/>
    <w:basedOn w:val="46"/>
    <w:autoRedefine/>
    <w:qFormat/>
    <w:uiPriority w:val="99"/>
  </w:style>
  <w:style w:type="character" w:customStyle="1" w:styleId="205">
    <w:name w:val="Footnote Text Char"/>
    <w:basedOn w:val="46"/>
    <w:link w:val="36"/>
    <w:autoRedefine/>
    <w:semiHidden/>
    <w:qFormat/>
    <w:uiPriority w:val="99"/>
    <w:rPr>
      <w:sz w:val="20"/>
      <w:szCs w:val="20"/>
    </w:rPr>
  </w:style>
  <w:style w:type="character" w:customStyle="1" w:styleId="206">
    <w:name w:val="Endnote Text Char"/>
    <w:basedOn w:val="46"/>
    <w:link w:val="27"/>
    <w:autoRedefine/>
    <w:semiHidden/>
    <w:qFormat/>
    <w:uiPriority w:val="99"/>
    <w:rPr>
      <w:sz w:val="20"/>
      <w:szCs w:val="20"/>
    </w:rPr>
  </w:style>
  <w:style w:type="character" w:customStyle="1" w:styleId="207">
    <w:name w:val="标题 1 Char"/>
    <w:basedOn w:val="46"/>
    <w:autoRedefine/>
    <w:qFormat/>
    <w:uiPriority w:val="9"/>
    <w:rPr>
      <w:b/>
      <w:bCs/>
      <w:sz w:val="44"/>
      <w:szCs w:val="44"/>
    </w:rPr>
  </w:style>
  <w:style w:type="character" w:customStyle="1" w:styleId="208">
    <w:name w:val="标题 2 Char"/>
    <w:basedOn w:val="46"/>
    <w:autoRedefine/>
    <w:qFormat/>
    <w:uiPriority w:val="9"/>
    <w:rPr>
      <w:rFonts w:asciiTheme="majorHAnsi" w:hAnsiTheme="majorHAnsi" w:eastAsiaTheme="majorEastAsia" w:cstheme="majorBidi"/>
      <w:b/>
      <w:bCs/>
      <w:sz w:val="32"/>
      <w:szCs w:val="32"/>
    </w:rPr>
  </w:style>
  <w:style w:type="character" w:customStyle="1" w:styleId="209">
    <w:name w:val="标题 3 Char"/>
    <w:basedOn w:val="46"/>
    <w:autoRedefine/>
    <w:qFormat/>
    <w:uiPriority w:val="9"/>
    <w:rPr>
      <w:b/>
      <w:bCs/>
      <w:sz w:val="32"/>
      <w:szCs w:val="32"/>
    </w:rPr>
  </w:style>
  <w:style w:type="character" w:customStyle="1" w:styleId="210">
    <w:name w:val="标题 5 Char"/>
    <w:basedOn w:val="46"/>
    <w:autoRedefine/>
    <w:qFormat/>
    <w:uiPriority w:val="9"/>
    <w:rPr>
      <w:b/>
      <w:bCs/>
      <w:sz w:val="28"/>
      <w:szCs w:val="28"/>
    </w:rPr>
  </w:style>
  <w:style w:type="character" w:customStyle="1" w:styleId="211">
    <w:name w:val="标题 8 Char"/>
    <w:basedOn w:val="46"/>
    <w:autoRedefine/>
    <w:qFormat/>
    <w:uiPriority w:val="0"/>
    <w:rPr>
      <w:rFonts w:asciiTheme="majorHAnsi" w:hAnsiTheme="majorHAnsi" w:eastAsiaTheme="majorEastAsia" w:cstheme="majorBidi"/>
      <w:sz w:val="24"/>
      <w:szCs w:val="24"/>
    </w:rPr>
  </w:style>
  <w:style w:type="character" w:customStyle="1" w:styleId="212">
    <w:name w:val="标题 9 Char"/>
    <w:basedOn w:val="46"/>
    <w:autoRedefine/>
    <w:semiHidden/>
    <w:qFormat/>
    <w:uiPriority w:val="9"/>
    <w:rPr>
      <w:rFonts w:asciiTheme="majorHAnsi" w:hAnsiTheme="majorHAnsi" w:eastAsiaTheme="majorEastAsia" w:cstheme="majorBidi"/>
      <w:szCs w:val="21"/>
    </w:rPr>
  </w:style>
  <w:style w:type="character" w:customStyle="1" w:styleId="213">
    <w:name w:val="标题 1 字符"/>
    <w:link w:val="2"/>
    <w:autoRedefine/>
    <w:qFormat/>
    <w:uiPriority w:val="9"/>
    <w:rPr>
      <w:rFonts w:ascii="Times New Roman" w:hAnsi="Times New Roman" w:eastAsia="宋体" w:cs="Times New Roman"/>
      <w:b/>
      <w:bCs/>
      <w:sz w:val="44"/>
      <w:szCs w:val="44"/>
      <w:lang w:val="zh-CN" w:eastAsia="zh-CN"/>
    </w:rPr>
  </w:style>
  <w:style w:type="character" w:customStyle="1" w:styleId="214">
    <w:name w:val="标题 2 字符"/>
    <w:link w:val="3"/>
    <w:autoRedefine/>
    <w:qFormat/>
    <w:uiPriority w:val="9"/>
    <w:rPr>
      <w:rFonts w:ascii="Cambria" w:hAnsi="Cambria" w:eastAsia="宋体" w:cs="Times New Roman"/>
      <w:b/>
      <w:bCs/>
      <w:sz w:val="32"/>
      <w:szCs w:val="32"/>
      <w:lang w:val="zh-CN" w:eastAsia="zh-CN"/>
    </w:rPr>
  </w:style>
  <w:style w:type="character" w:customStyle="1" w:styleId="215">
    <w:name w:val="标题 3 字符"/>
    <w:link w:val="4"/>
    <w:autoRedefine/>
    <w:qFormat/>
    <w:uiPriority w:val="9"/>
    <w:rPr>
      <w:rFonts w:ascii="Times New Roman" w:hAnsi="Times New Roman" w:eastAsia="宋体" w:cs="Times New Roman"/>
      <w:b/>
      <w:bCs/>
      <w:sz w:val="32"/>
      <w:szCs w:val="32"/>
      <w:lang w:val="zh-CN" w:eastAsia="zh-CN"/>
    </w:rPr>
  </w:style>
  <w:style w:type="character" w:customStyle="1" w:styleId="216">
    <w:name w:val="标题 5 字符"/>
    <w:link w:val="6"/>
    <w:autoRedefine/>
    <w:qFormat/>
    <w:uiPriority w:val="9"/>
    <w:rPr>
      <w:rFonts w:ascii="Times New Roman" w:hAnsi="Times New Roman" w:eastAsia="宋体" w:cs="Times New Roman"/>
      <w:b/>
      <w:bCs/>
      <w:sz w:val="28"/>
      <w:szCs w:val="28"/>
      <w:lang w:val="zh-CN" w:eastAsia="zh-CN"/>
    </w:rPr>
  </w:style>
  <w:style w:type="character" w:customStyle="1" w:styleId="217">
    <w:name w:val="标题 8 字符"/>
    <w:link w:val="10"/>
    <w:autoRedefine/>
    <w:qFormat/>
    <w:uiPriority w:val="9"/>
    <w:rPr>
      <w:rFonts w:ascii="等线 Light" w:hAnsi="等线 Light" w:eastAsia="等线 Light" w:cs="Times New Roman"/>
      <w:sz w:val="24"/>
      <w:szCs w:val="24"/>
      <w:lang w:val="zh-CN" w:eastAsia="zh-CN"/>
    </w:rPr>
  </w:style>
  <w:style w:type="character" w:customStyle="1" w:styleId="218">
    <w:name w:val="标题 9 字符"/>
    <w:link w:val="11"/>
    <w:autoRedefine/>
    <w:qFormat/>
    <w:uiPriority w:val="9"/>
    <w:rPr>
      <w:rFonts w:ascii="Cambria" w:hAnsi="Cambria" w:eastAsia="宋体" w:cs="Times New Roman"/>
      <w:szCs w:val="21"/>
      <w:lang w:val="zh-CN" w:eastAsia="zh-CN"/>
    </w:rPr>
  </w:style>
  <w:style w:type="character" w:customStyle="1" w:styleId="219">
    <w:name w:val="批注文字 Char"/>
    <w:basedOn w:val="46"/>
    <w:autoRedefine/>
    <w:qFormat/>
    <w:uiPriority w:val="0"/>
  </w:style>
  <w:style w:type="character" w:customStyle="1" w:styleId="220">
    <w:name w:val="批注文字 字符2"/>
    <w:link w:val="16"/>
    <w:autoRedefine/>
    <w:qFormat/>
    <w:uiPriority w:val="0"/>
    <w:rPr>
      <w:rFonts w:ascii="Times New Roman" w:hAnsi="Times New Roman" w:eastAsia="宋体" w:cs="Times New Roman"/>
      <w:szCs w:val="24"/>
      <w:lang w:val="zh-CN" w:eastAsia="zh-CN"/>
    </w:rPr>
  </w:style>
  <w:style w:type="character" w:customStyle="1" w:styleId="221">
    <w:name w:val="正文文本 3 Char"/>
    <w:basedOn w:val="46"/>
    <w:autoRedefine/>
    <w:qFormat/>
    <w:uiPriority w:val="99"/>
    <w:rPr>
      <w:sz w:val="16"/>
      <w:szCs w:val="16"/>
    </w:rPr>
  </w:style>
  <w:style w:type="character" w:customStyle="1" w:styleId="222">
    <w:name w:val="正文文本 3 字符"/>
    <w:link w:val="17"/>
    <w:autoRedefine/>
    <w:qFormat/>
    <w:uiPriority w:val="99"/>
    <w:rPr>
      <w:rFonts w:ascii="Times New Roman" w:hAnsi="Times New Roman" w:eastAsia="宋体" w:cs="Times New Roman"/>
      <w:sz w:val="16"/>
      <w:szCs w:val="16"/>
      <w:lang w:val="zh-CN" w:eastAsia="zh-CN"/>
    </w:rPr>
  </w:style>
  <w:style w:type="character" w:customStyle="1" w:styleId="223">
    <w:name w:val="正文文本 Char"/>
    <w:basedOn w:val="46"/>
    <w:autoRedefine/>
    <w:qFormat/>
    <w:uiPriority w:val="0"/>
  </w:style>
  <w:style w:type="character" w:customStyle="1" w:styleId="224">
    <w:name w:val="正文文本 字符1"/>
    <w:link w:val="18"/>
    <w:autoRedefine/>
    <w:qFormat/>
    <w:uiPriority w:val="0"/>
    <w:rPr>
      <w:rFonts w:ascii="Times New Roman" w:hAnsi="Times New Roman" w:eastAsia="宋体" w:cs="Times New Roman"/>
      <w:szCs w:val="24"/>
      <w:lang w:val="zh-CN" w:eastAsia="zh-CN"/>
    </w:rPr>
  </w:style>
  <w:style w:type="character" w:customStyle="1" w:styleId="225">
    <w:name w:val="正文文本缩进 Char"/>
    <w:basedOn w:val="46"/>
    <w:autoRedefine/>
    <w:qFormat/>
    <w:uiPriority w:val="0"/>
  </w:style>
  <w:style w:type="character" w:customStyle="1" w:styleId="226">
    <w:name w:val="正文文本缩进 字符1"/>
    <w:link w:val="20"/>
    <w:autoRedefine/>
    <w:qFormat/>
    <w:uiPriority w:val="0"/>
    <w:rPr>
      <w:rFonts w:ascii="仿宋_GB2312" w:hAnsi="Times New Roman" w:eastAsia="仿宋_GB2312" w:cs="Times New Roman"/>
      <w:sz w:val="32"/>
      <w:szCs w:val="20"/>
      <w:lang w:val="zh-CN" w:eastAsia="zh-CN"/>
    </w:rPr>
  </w:style>
  <w:style w:type="paragraph" w:customStyle="1" w:styleId="227">
    <w:name w:val="_Style 36"/>
    <w:basedOn w:val="1"/>
    <w:next w:val="228"/>
    <w:autoRedefine/>
    <w:qFormat/>
    <w:uiPriority w:val="99"/>
    <w:pPr>
      <w:ind w:firstLine="420"/>
    </w:pPr>
    <w:rPr>
      <w:rFonts w:ascii="Times New Roman" w:hAnsi="Times New Roman" w:eastAsia="宋体" w:cs="Times New Roman"/>
      <w:szCs w:val="24"/>
    </w:rPr>
  </w:style>
  <w:style w:type="paragraph" w:styleId="228">
    <w:name w:val="List Paragraph"/>
    <w:basedOn w:val="1"/>
    <w:autoRedefine/>
    <w:qFormat/>
    <w:uiPriority w:val="34"/>
    <w:pPr>
      <w:ind w:firstLine="420"/>
    </w:pPr>
    <w:rPr>
      <w:rFonts w:ascii="Times New Roman" w:hAnsi="Times New Roman" w:eastAsia="宋体" w:cs="Times New Roman"/>
      <w:szCs w:val="24"/>
    </w:rPr>
  </w:style>
  <w:style w:type="character" w:customStyle="1" w:styleId="229">
    <w:name w:val="纯文本 Char"/>
    <w:basedOn w:val="46"/>
    <w:autoRedefine/>
    <w:qFormat/>
    <w:uiPriority w:val="0"/>
    <w:rPr>
      <w:rFonts w:ascii="宋体" w:hAnsi="Courier New" w:eastAsia="宋体" w:cs="Courier New"/>
      <w:szCs w:val="21"/>
    </w:rPr>
  </w:style>
  <w:style w:type="character" w:customStyle="1" w:styleId="230">
    <w:name w:val="纯文本 字符3"/>
    <w:link w:val="24"/>
    <w:autoRedefine/>
    <w:qFormat/>
    <w:uiPriority w:val="0"/>
    <w:rPr>
      <w:rFonts w:ascii="宋体" w:hAnsi="Courier New" w:eastAsia="宋体" w:cs="Times New Roman"/>
      <w:sz w:val="20"/>
      <w:szCs w:val="21"/>
      <w:lang w:val="zh-CN" w:eastAsia="zh-CN"/>
    </w:rPr>
  </w:style>
  <w:style w:type="character" w:customStyle="1" w:styleId="231">
    <w:name w:val="日期 Char"/>
    <w:basedOn w:val="46"/>
    <w:autoRedefine/>
    <w:qFormat/>
    <w:uiPriority w:val="99"/>
  </w:style>
  <w:style w:type="character" w:customStyle="1" w:styleId="232">
    <w:name w:val="日期 字符"/>
    <w:link w:val="26"/>
    <w:autoRedefine/>
    <w:qFormat/>
    <w:uiPriority w:val="99"/>
    <w:rPr>
      <w:rFonts w:ascii="Times New Roman" w:hAnsi="Times New Roman" w:eastAsia="宋体" w:cs="Times New Roman"/>
      <w:szCs w:val="24"/>
      <w:lang w:val="zh-CN" w:eastAsia="zh-CN"/>
    </w:rPr>
  </w:style>
  <w:style w:type="character" w:customStyle="1" w:styleId="233">
    <w:name w:val="批注框文本 Char"/>
    <w:basedOn w:val="46"/>
    <w:autoRedefine/>
    <w:semiHidden/>
    <w:qFormat/>
    <w:uiPriority w:val="0"/>
    <w:rPr>
      <w:sz w:val="18"/>
      <w:szCs w:val="18"/>
    </w:rPr>
  </w:style>
  <w:style w:type="character" w:customStyle="1" w:styleId="234">
    <w:name w:val="页脚 Char"/>
    <w:basedOn w:val="46"/>
    <w:autoRedefine/>
    <w:qFormat/>
    <w:uiPriority w:val="99"/>
    <w:rPr>
      <w:sz w:val="18"/>
      <w:szCs w:val="18"/>
    </w:rPr>
  </w:style>
  <w:style w:type="character" w:customStyle="1" w:styleId="235">
    <w:name w:val="页脚 字符"/>
    <w:link w:val="29"/>
    <w:autoRedefine/>
    <w:qFormat/>
    <w:uiPriority w:val="0"/>
    <w:rPr>
      <w:rFonts w:ascii="Times New Roman" w:hAnsi="Times New Roman" w:eastAsia="宋体" w:cs="Times New Roman"/>
      <w:sz w:val="18"/>
      <w:szCs w:val="18"/>
      <w:lang w:val="zh-CN" w:eastAsia="zh-CN"/>
    </w:rPr>
  </w:style>
  <w:style w:type="character" w:customStyle="1" w:styleId="236">
    <w:name w:val="页眉 Char"/>
    <w:basedOn w:val="46"/>
    <w:autoRedefine/>
    <w:qFormat/>
    <w:uiPriority w:val="99"/>
    <w:rPr>
      <w:sz w:val="18"/>
      <w:szCs w:val="18"/>
    </w:rPr>
  </w:style>
  <w:style w:type="character" w:customStyle="1" w:styleId="237">
    <w:name w:val="页眉 字符"/>
    <w:link w:val="30"/>
    <w:autoRedefine/>
    <w:qFormat/>
    <w:uiPriority w:val="0"/>
    <w:rPr>
      <w:rFonts w:ascii="Times New Roman" w:hAnsi="Times New Roman" w:eastAsia="宋体" w:cs="Times New Roman"/>
      <w:sz w:val="18"/>
      <w:szCs w:val="18"/>
      <w:lang w:val="zh-CN" w:eastAsia="zh-CN"/>
    </w:rPr>
  </w:style>
  <w:style w:type="character" w:customStyle="1" w:styleId="238">
    <w:name w:val="标题 Char"/>
    <w:basedOn w:val="46"/>
    <w:autoRedefine/>
    <w:qFormat/>
    <w:uiPriority w:val="10"/>
    <w:rPr>
      <w:rFonts w:eastAsia="宋体" w:asciiTheme="majorHAnsi" w:hAnsiTheme="majorHAnsi" w:cstheme="majorBidi"/>
      <w:b/>
      <w:bCs/>
      <w:sz w:val="32"/>
      <w:szCs w:val="32"/>
    </w:rPr>
  </w:style>
  <w:style w:type="character" w:customStyle="1" w:styleId="239">
    <w:name w:val="标题 字符"/>
    <w:link w:val="42"/>
    <w:autoRedefine/>
    <w:qFormat/>
    <w:uiPriority w:val="10"/>
    <w:rPr>
      <w:rFonts w:ascii="Cambria" w:hAnsi="Cambria" w:eastAsia="宋体" w:cs="Times New Roman"/>
      <w:b/>
      <w:bCs/>
      <w:sz w:val="32"/>
      <w:szCs w:val="32"/>
      <w:lang w:val="zh-CN" w:eastAsia="zh-CN"/>
    </w:rPr>
  </w:style>
  <w:style w:type="character" w:customStyle="1" w:styleId="240">
    <w:name w:val="批注主题 Char"/>
    <w:basedOn w:val="219"/>
    <w:autoRedefine/>
    <w:qFormat/>
    <w:uiPriority w:val="99"/>
    <w:rPr>
      <w:b/>
      <w:bCs/>
    </w:rPr>
  </w:style>
  <w:style w:type="character" w:customStyle="1" w:styleId="241">
    <w:name w:val="批注主题 字符"/>
    <w:link w:val="43"/>
    <w:autoRedefine/>
    <w:qFormat/>
    <w:uiPriority w:val="99"/>
    <w:rPr>
      <w:rFonts w:ascii="Times New Roman" w:hAnsi="Times New Roman" w:eastAsia="宋体" w:cs="Times New Roman"/>
      <w:b/>
      <w:bCs/>
      <w:szCs w:val="24"/>
      <w:lang w:val="zh-CN" w:eastAsia="zh-CN"/>
    </w:rPr>
  </w:style>
  <w:style w:type="character" w:customStyle="1" w:styleId="242">
    <w:name w:val="正文文本首行缩进 2 字符"/>
    <w:autoRedefine/>
    <w:qFormat/>
    <w:uiPriority w:val="99"/>
    <w:rPr>
      <w:sz w:val="21"/>
      <w:szCs w:val="24"/>
    </w:rPr>
  </w:style>
  <w:style w:type="character" w:customStyle="1" w:styleId="243">
    <w:name w:val="标题 Char1"/>
    <w:autoRedefine/>
    <w:qFormat/>
    <w:uiPriority w:val="0"/>
    <w:rPr>
      <w:rFonts w:ascii="Calibri" w:hAnsi="Calibri"/>
      <w:b/>
      <w:sz w:val="24"/>
      <w:lang w:val="en-GB"/>
    </w:rPr>
  </w:style>
  <w:style w:type="character" w:customStyle="1" w:styleId="244">
    <w:name w:val="正文文本 (26) + 间距 0 pt"/>
    <w:autoRedefine/>
    <w:qFormat/>
    <w:uiPriority w:val="0"/>
    <w:rPr>
      <w:rFonts w:ascii="宋体" w:hAnsi="宋体" w:eastAsia="宋体" w:cs="宋体"/>
      <w:color w:val="000000"/>
      <w:spacing w:val="0"/>
      <w:position w:val="0"/>
      <w:sz w:val="22"/>
      <w:szCs w:val="22"/>
      <w:u w:val="none"/>
      <w:lang w:val="zh-CN" w:eastAsia="zh-CN" w:bidi="zh-CN"/>
    </w:rPr>
  </w:style>
  <w:style w:type="character" w:customStyle="1" w:styleId="245">
    <w:name w:val="正文文本 字符"/>
    <w:autoRedefine/>
    <w:qFormat/>
    <w:uiPriority w:val="0"/>
    <w:rPr>
      <w:rFonts w:ascii="Times New Roman" w:hAnsi="Times New Roman"/>
      <w:sz w:val="21"/>
      <w:szCs w:val="24"/>
    </w:rPr>
  </w:style>
  <w:style w:type="character" w:customStyle="1" w:styleId="246">
    <w:name w:val="批注文字 字符1"/>
    <w:autoRedefine/>
    <w:qFormat/>
    <w:uiPriority w:val="0"/>
    <w:rPr>
      <w:rFonts w:ascii="Times New Roman" w:hAnsi="Times New Roman"/>
      <w:sz w:val="21"/>
      <w:szCs w:val="24"/>
    </w:rPr>
  </w:style>
  <w:style w:type="character" w:customStyle="1" w:styleId="247">
    <w:name w:val="批注文字 字符"/>
    <w:autoRedefine/>
    <w:qFormat/>
    <w:uiPriority w:val="0"/>
    <w:rPr>
      <w:rFonts w:ascii="Times New Roman" w:hAnsi="Times New Roman"/>
      <w:sz w:val="21"/>
      <w:szCs w:val="24"/>
    </w:rPr>
  </w:style>
  <w:style w:type="character" w:customStyle="1" w:styleId="248">
    <w:name w:val="未处理的提及"/>
    <w:autoRedefine/>
    <w:unhideWhenUsed/>
    <w:qFormat/>
    <w:uiPriority w:val="99"/>
    <w:rPr>
      <w:color w:val="605E5C"/>
      <w:shd w:val="clear" w:color="auto" w:fill="E1DFDD"/>
    </w:rPr>
  </w:style>
  <w:style w:type="character" w:customStyle="1" w:styleId="249">
    <w:name w:val="apple-style-span"/>
    <w:autoRedefine/>
    <w:qFormat/>
    <w:uiPriority w:val="0"/>
  </w:style>
  <w:style w:type="character" w:customStyle="1" w:styleId="250">
    <w:name w:val="纯文本 字符2"/>
    <w:autoRedefine/>
    <w:qFormat/>
    <w:uiPriority w:val="0"/>
    <w:rPr>
      <w:rFonts w:ascii="宋体" w:hAnsi="Courier New" w:eastAsia="宋体" w:cs="Courier New"/>
      <w:szCs w:val="21"/>
    </w:rPr>
  </w:style>
  <w:style w:type="character" w:customStyle="1" w:styleId="251">
    <w:name w:val="textcontents"/>
    <w:autoRedefine/>
    <w:qFormat/>
    <w:uiPriority w:val="0"/>
  </w:style>
  <w:style w:type="character" w:customStyle="1" w:styleId="252">
    <w:name w:val="纯文本 字符1"/>
    <w:autoRedefine/>
    <w:qFormat/>
    <w:uiPriority w:val="0"/>
    <w:rPr>
      <w:rFonts w:ascii="宋体" w:hAnsi="Courier New"/>
    </w:rPr>
  </w:style>
  <w:style w:type="character" w:customStyle="1" w:styleId="253">
    <w:name w:val="标题 1 字符1"/>
    <w:autoRedefine/>
    <w:qFormat/>
    <w:uiPriority w:val="0"/>
    <w:rPr>
      <w:b/>
      <w:bCs/>
      <w:sz w:val="44"/>
      <w:szCs w:val="44"/>
    </w:rPr>
  </w:style>
  <w:style w:type="character" w:customStyle="1" w:styleId="254">
    <w:name w:val="纯文本 字符"/>
    <w:autoRedefine/>
    <w:qFormat/>
    <w:uiPriority w:val="0"/>
    <w:rPr>
      <w:rFonts w:ascii="宋体" w:hAnsi="Courier New" w:eastAsia="宋体" w:cs="Courier New"/>
      <w:szCs w:val="21"/>
    </w:rPr>
  </w:style>
  <w:style w:type="paragraph" w:customStyle="1" w:styleId="255">
    <w:name w:val="Char Char Char Char"/>
    <w:basedOn w:val="1"/>
    <w:autoRedefine/>
    <w:qFormat/>
    <w:uiPriority w:val="0"/>
    <w:pPr>
      <w:widowControl/>
      <w:spacing w:after="160" w:line="240" w:lineRule="exact"/>
      <w:jc w:val="left"/>
    </w:pPr>
    <w:rPr>
      <w:rFonts w:ascii="Times New Roman" w:hAnsi="Times New Roman" w:eastAsia="宋体" w:cs="Times New Roman"/>
      <w:szCs w:val="24"/>
    </w:rPr>
  </w:style>
  <w:style w:type="paragraph" w:customStyle="1" w:styleId="256">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257">
    <w:name w:val="TOC Heading"/>
    <w:basedOn w:val="2"/>
    <w:next w:val="1"/>
    <w:autoRedefine/>
    <w:qFormat/>
    <w:uiPriority w:val="39"/>
    <w:pPr>
      <w:widowControl/>
      <w:spacing w:before="240" w:after="0" w:line="259" w:lineRule="auto"/>
      <w:jc w:val="left"/>
      <w:outlineLvl w:val="9"/>
    </w:pPr>
    <w:rPr>
      <w:rFonts w:ascii="等线 Light" w:hAnsi="等线 Light" w:eastAsia="等线 Light"/>
      <w:b w:val="0"/>
      <w:bCs w:val="0"/>
      <w:color w:val="2F5496"/>
      <w:sz w:val="32"/>
      <w:szCs w:val="32"/>
      <w:lang w:val="en-US" w:eastAsia="zh-CN"/>
    </w:rPr>
  </w:style>
  <w:style w:type="paragraph" w:customStyle="1" w:styleId="258">
    <w:name w:val="表内文字"/>
    <w:basedOn w:val="1"/>
    <w:autoRedefine/>
    <w:qFormat/>
    <w:uiPriority w:val="0"/>
    <w:pPr>
      <w:spacing w:before="50" w:after="50"/>
      <w:jc w:val="center"/>
    </w:pPr>
    <w:rPr>
      <w:rFonts w:ascii="仿宋_GB2312" w:hAnsi="宋体" w:eastAsia="仿宋_GB2312" w:cs="Times New Roman"/>
      <w:b/>
      <w:color w:val="000000"/>
      <w:sz w:val="32"/>
      <w:szCs w:val="32"/>
    </w:rPr>
  </w:style>
  <w:style w:type="paragraph" w:customStyle="1" w:styleId="259">
    <w:name w:val="Table Paragraph"/>
    <w:basedOn w:val="1"/>
    <w:autoRedefine/>
    <w:qFormat/>
    <w:uiPriority w:val="1"/>
    <w:pPr>
      <w:jc w:val="left"/>
    </w:pPr>
    <w:rPr>
      <w:rFonts w:ascii="Calibri" w:hAnsi="Calibri" w:eastAsia="宋体" w:cs="Times New Roman"/>
      <w:sz w:val="22"/>
      <w:lang w:eastAsia="en-US"/>
    </w:rPr>
  </w:style>
  <w:style w:type="character" w:customStyle="1" w:styleId="260">
    <w:name w:val="正文文本缩进 字符"/>
    <w:autoRedefine/>
    <w:qFormat/>
    <w:uiPriority w:val="0"/>
    <w:rPr>
      <w:rFonts w:ascii="仿宋_GB2312" w:hAnsi="Times New Roman" w:eastAsia="仿宋_GB2312" w:cs="Times New Roman"/>
      <w:sz w:val="32"/>
      <w:szCs w:val="20"/>
    </w:rPr>
  </w:style>
  <w:style w:type="character" w:customStyle="1" w:styleId="261">
    <w:name w:val="正文2 Char Char"/>
    <w:link w:val="262"/>
    <w:autoRedefine/>
    <w:qFormat/>
    <w:uiPriority w:val="0"/>
    <w:rPr>
      <w:sz w:val="24"/>
    </w:rPr>
  </w:style>
  <w:style w:type="paragraph" w:customStyle="1" w:styleId="262">
    <w:name w:val="正文2"/>
    <w:basedOn w:val="1"/>
    <w:link w:val="261"/>
    <w:autoRedefine/>
    <w:qFormat/>
    <w:uiPriority w:val="0"/>
    <w:pPr>
      <w:spacing w:before="156" w:line="360" w:lineRule="auto"/>
      <w:ind w:firstLine="510"/>
    </w:pPr>
    <w:rPr>
      <w:sz w:val="24"/>
    </w:rPr>
  </w:style>
  <w:style w:type="character" w:customStyle="1" w:styleId="263">
    <w:name w:val="纯文本 Char2"/>
    <w:autoRedefine/>
    <w:qFormat/>
    <w:uiPriority w:val="0"/>
    <w:rPr>
      <w:rFonts w:ascii="宋体" w:hAnsi="Courier New" w:cs="Arial"/>
      <w:szCs w:val="21"/>
    </w:rPr>
  </w:style>
  <w:style w:type="paragraph" w:customStyle="1" w:styleId="264">
    <w:name w:val="表格文字"/>
    <w:basedOn w:val="1"/>
    <w:next w:val="18"/>
    <w:autoRedefine/>
    <w:qFormat/>
    <w:uiPriority w:val="0"/>
    <w:pPr>
      <w:spacing w:line="420" w:lineRule="atLeast"/>
      <w:jc w:val="left"/>
    </w:pPr>
    <w:rPr>
      <w:rFonts w:ascii="Times New Roman" w:hAnsi="Times New Roman" w:eastAsia="宋体" w:cs="Times New Roman"/>
      <w:szCs w:val="24"/>
    </w:rPr>
  </w:style>
  <w:style w:type="paragraph" w:customStyle="1" w:styleId="265">
    <w:name w:val="样式5"/>
    <w:basedOn w:val="1"/>
    <w:autoRedefine/>
    <w:qFormat/>
    <w:uiPriority w:val="0"/>
    <w:pPr>
      <w:spacing w:line="440" w:lineRule="exact"/>
      <w:ind w:left="2" w:firstLine="480"/>
    </w:pPr>
    <w:rPr>
      <w:rFonts w:ascii="仿宋_GB2312" w:hAnsi="仿宋" w:eastAsia="仿宋_GB2312" w:cs="Times New Roman"/>
      <w:sz w:val="24"/>
      <w:szCs w:val="24"/>
    </w:rPr>
  </w:style>
  <w:style w:type="paragraph" w:customStyle="1" w:styleId="266">
    <w:name w:val="正文缩进1"/>
    <w:basedOn w:val="1"/>
    <w:next w:val="20"/>
    <w:autoRedefine/>
    <w:qFormat/>
    <w:uiPriority w:val="0"/>
    <w:pPr>
      <w:spacing w:after="120" w:line="360" w:lineRule="auto"/>
      <w:ind w:left="420" w:firstLine="480"/>
    </w:pPr>
    <w:rPr>
      <w:rFonts w:ascii="Times New Roman" w:hAnsi="Times New Roman" w:eastAsia="宋体" w:cs="Times New Roman"/>
      <w:sz w:val="24"/>
      <w:szCs w:val="21"/>
    </w:rPr>
  </w:style>
  <w:style w:type="character" w:customStyle="1" w:styleId="267">
    <w:name w:val="NormalCharacter"/>
    <w:autoRedefine/>
    <w:qFormat/>
    <w:uiPriority w:val="0"/>
  </w:style>
  <w:style w:type="character" w:customStyle="1" w:styleId="268">
    <w:name w:val="批注框文本 字符"/>
    <w:link w:val="28"/>
    <w:autoRedefine/>
    <w:semiHidden/>
    <w:qFormat/>
    <w:uiPriority w:val="0"/>
    <w:rPr>
      <w:rFonts w:ascii="Times New Roman" w:hAnsi="Times New Roman" w:eastAsia="宋体" w:cs="Times New Roman"/>
      <w:sz w:val="18"/>
      <w:szCs w:val="18"/>
    </w:rPr>
  </w:style>
  <w:style w:type="character" w:customStyle="1" w:styleId="269">
    <w:name w:val="正文首行缩进 2 字符"/>
    <w:autoRedefine/>
    <w:qFormat/>
    <w:uiPriority w:val="99"/>
    <w:rPr>
      <w:rFonts w:ascii="仿宋_GB2312" w:hAnsi="Times New Roman" w:eastAsia="仿宋_GB2312" w:cs="Times New Roman"/>
      <w:sz w:val="21"/>
      <w:szCs w:val="24"/>
    </w:rPr>
  </w:style>
  <w:style w:type="character" w:customStyle="1" w:styleId="270">
    <w:name w:val="纯文本 Char1"/>
    <w:autoRedefine/>
    <w:qFormat/>
    <w:uiPriority w:val="0"/>
    <w:rPr>
      <w:rFonts w:ascii="宋体" w:hAnsi="Courier New" w:eastAsia="宋体" w:cs="Times New Roman"/>
      <w:sz w:val="20"/>
      <w:szCs w:val="21"/>
    </w:rPr>
  </w:style>
  <w:style w:type="character" w:customStyle="1" w:styleId="271">
    <w:name w:val="标题 2 Char1"/>
    <w:autoRedefine/>
    <w:qFormat/>
    <w:uiPriority w:val="9"/>
    <w:rPr>
      <w:rFonts w:ascii="Cambria" w:hAnsi="Cambria"/>
      <w:b/>
      <w:bCs/>
      <w:sz w:val="32"/>
      <w:szCs w:val="32"/>
      <w:lang w:val="zh-CN" w:eastAsia="zh-CN"/>
    </w:rPr>
  </w:style>
  <w:style w:type="character" w:customStyle="1" w:styleId="272">
    <w:name w:val="标题 8 Char1"/>
    <w:autoRedefine/>
    <w:qFormat/>
    <w:uiPriority w:val="9"/>
    <w:rPr>
      <w:rFonts w:ascii="等线 Light" w:hAnsi="等线 Light" w:eastAsia="等线 Light"/>
      <w:sz w:val="24"/>
      <w:szCs w:val="24"/>
      <w:lang w:val="zh-CN" w:eastAsia="zh-CN"/>
    </w:rPr>
  </w:style>
  <w:style w:type="character" w:customStyle="1" w:styleId="273">
    <w:name w:val="批注文字 Char1"/>
    <w:autoRedefine/>
    <w:qFormat/>
    <w:uiPriority w:val="0"/>
    <w:rPr>
      <w:sz w:val="21"/>
      <w:szCs w:val="24"/>
      <w:lang w:val="zh-CN" w:eastAsia="zh-CN"/>
    </w:rPr>
  </w:style>
  <w:style w:type="character" w:customStyle="1" w:styleId="274">
    <w:name w:val="正文文本 Char1"/>
    <w:autoRedefine/>
    <w:qFormat/>
    <w:uiPriority w:val="0"/>
    <w:rPr>
      <w:sz w:val="21"/>
      <w:szCs w:val="24"/>
      <w:lang w:val="zh-CN" w:eastAsia="zh-CN"/>
    </w:rPr>
  </w:style>
  <w:style w:type="character" w:customStyle="1" w:styleId="275">
    <w:name w:val="正文首行缩进 2 字符1"/>
    <w:autoRedefine/>
    <w:semiHidden/>
    <w:qFormat/>
    <w:uiPriority w:val="99"/>
    <w:rPr>
      <w:rFonts w:ascii="仿宋_GB2312" w:hAnsi="Times New Roman" w:eastAsia="仿宋_GB2312" w:cs="Times New Roman"/>
      <w:sz w:val="21"/>
      <w:szCs w:val="24"/>
      <w:lang w:val="zh-CN" w:eastAsia="zh-CN"/>
    </w:rPr>
  </w:style>
  <w:style w:type="character" w:customStyle="1" w:styleId="276">
    <w:name w:val="正文首行缩进 2 字符2"/>
    <w:autoRedefine/>
    <w:semiHidden/>
    <w:qFormat/>
    <w:uiPriority w:val="99"/>
    <w:rPr>
      <w:rFonts w:ascii="仿宋_GB2312" w:hAnsi="Times New Roman" w:eastAsia="仿宋_GB2312" w:cs="Times New Roman"/>
      <w:sz w:val="21"/>
      <w:szCs w:val="24"/>
      <w:lang w:val="zh-CN" w:eastAsia="zh-CN"/>
    </w:rPr>
  </w:style>
  <w:style w:type="character" w:customStyle="1" w:styleId="277">
    <w:name w:val="正文首行缩进 2 Char"/>
    <w:basedOn w:val="225"/>
    <w:link w:val="19"/>
    <w:autoRedefine/>
    <w:semiHidden/>
    <w:qFormat/>
    <w:uiPriority w:val="99"/>
    <w:rPr>
      <w:rFonts w:ascii="Times New Roman" w:hAnsi="Times New Roman" w:eastAsia="宋体" w:cs="Times New Roman"/>
      <w:szCs w:val="24"/>
    </w:rPr>
  </w:style>
  <w:style w:type="paragraph" w:customStyle="1" w:styleId="278">
    <w:name w:val="Heading 2"/>
    <w:basedOn w:val="1"/>
    <w:next w:val="1"/>
    <w:autoRedefine/>
    <w:qFormat/>
    <w:uiPriority w:val="0"/>
    <w:pPr>
      <w:keepNext/>
      <w:keepLines/>
      <w:spacing w:before="260" w:after="260" w:line="416" w:lineRule="auto"/>
    </w:pPr>
    <w:rPr>
      <w:rFonts w:ascii="Arial" w:hAnsi="Arial" w:eastAsia="黑体" w:cs="Times New Roman"/>
      <w:b/>
      <w:bCs/>
      <w:sz w:val="32"/>
      <w:szCs w:val="32"/>
    </w:rPr>
  </w:style>
  <w:style w:type="paragraph" w:customStyle="1" w:styleId="279">
    <w:name w:val="列表段落1"/>
    <w:basedOn w:val="1"/>
    <w:autoRedefine/>
    <w:qFormat/>
    <w:uiPriority w:val="0"/>
    <w:pPr>
      <w:ind w:firstLine="200"/>
    </w:pPr>
  </w:style>
  <w:style w:type="character" w:customStyle="1" w:styleId="280">
    <w:name w:val="font21"/>
    <w:basedOn w:val="46"/>
    <w:autoRedefine/>
    <w:qFormat/>
    <w:uiPriority w:val="0"/>
    <w:rPr>
      <w:rFonts w:hint="eastAsia" w:ascii="等线" w:hAnsi="等线" w:eastAsia="等线" w:cs="等线"/>
      <w:color w:val="000000"/>
      <w:sz w:val="20"/>
      <w:szCs w:val="20"/>
      <w:u w:val="none"/>
    </w:rPr>
  </w:style>
  <w:style w:type="character" w:customStyle="1" w:styleId="281">
    <w:name w:val="font31"/>
    <w:basedOn w:val="46"/>
    <w:autoRedefine/>
    <w:qFormat/>
    <w:uiPriority w:val="0"/>
    <w:rPr>
      <w:rFonts w:hint="eastAsia" w:ascii="等线" w:hAnsi="等线" w:eastAsia="等线" w:cs="等线"/>
      <w:b/>
      <w:bCs/>
      <w:color w:val="000000"/>
      <w:sz w:val="20"/>
      <w:szCs w:val="20"/>
      <w:u w:val="none"/>
    </w:rPr>
  </w:style>
  <w:style w:type="character" w:customStyle="1" w:styleId="282">
    <w:name w:val="font41"/>
    <w:basedOn w:val="46"/>
    <w:autoRedefine/>
    <w:qFormat/>
    <w:uiPriority w:val="0"/>
    <w:rPr>
      <w:rFonts w:hint="default" w:ascii="Times New Roman" w:hAnsi="Times New Roman" w:cs="Times New Roman"/>
      <w:color w:val="000000"/>
      <w:sz w:val="20"/>
      <w:szCs w:val="20"/>
      <w:u w:val="none"/>
    </w:rPr>
  </w:style>
  <w:style w:type="paragraph" w:customStyle="1" w:styleId="283">
    <w:name w:val="样式 标题 2 + 宋体"/>
    <w:basedOn w:val="3"/>
    <w:autoRedefine/>
    <w:qFormat/>
    <w:uiPriority w:val="99"/>
    <w:rPr>
      <w:rFonts w:ascii="宋体" w:hAnsi="宋体"/>
      <w:sz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93</Pages>
  <Words>1255</Words>
  <Characters>1632</Characters>
  <TotalTime>7</TotalTime>
  <ScaleCrop>false</ScaleCrop>
  <LinksUpToDate>false</LinksUpToDate>
  <CharactersWithSpaces>1665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2022-03-23T06:45:00Z</dcterms:created>
  <dc:creator>个人用户</dc:creator>
  <cp:lastModifiedBy>影子</cp:lastModifiedBy>
  <dcterms:modified xsi:type="dcterms:W3CDTF">2026-08-17T02:00:05Z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39757954E991472092343BD624E7751A_13</vt:lpwstr>
  </property>
  <property fmtid="{D5CDD505-2E9C-101B-9397-08002B2CF9AE}" pid="4" name="KSOTemplateDocerSaveRecord">
    <vt:lpwstr>eyJoZGlkIjoiMDcxMWQyN2JjMmI2MDY1NjhlZTM2YTVmNzk3ZTI2YWQiLCJ1c2VySWQiOiIxMDg2ODgxNTM5In0=</vt:lpwstr>
  </property>
</Properties>
</file>