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宋体" w:hAnsi="宋体" w:cs="宋体"/>
          <w:strike/>
          <w:color w:val="000000" w:themeColor="text1"/>
          <w:sz w:val="72"/>
          <w:szCs w:val="72"/>
          <w14:textFill>
            <w14:solidFill>
              <w14:schemeClr w14:val="tx1"/>
            </w14:solidFill>
          </w14:textFill>
        </w:rPr>
      </w:pPr>
    </w:p>
    <w:p>
      <w:pPr>
        <w:pStyle w:val="51"/>
        <w:ind w:firstLine="240"/>
        <w:rPr>
          <w:color w:val="000000" w:themeColor="text1"/>
          <w14:textFill>
            <w14:solidFill>
              <w14:schemeClr w14:val="tx1"/>
            </w14:solidFill>
          </w14:textFill>
        </w:rPr>
      </w:pPr>
    </w:p>
    <w:p>
      <w:pPr>
        <w:pStyle w:val="51"/>
        <w:ind w:firstLine="240"/>
        <w:rPr>
          <w:color w:val="000000" w:themeColor="text1"/>
          <w14:textFill>
            <w14:solidFill>
              <w14:schemeClr w14:val="tx1"/>
            </w14:solidFill>
          </w14:textFill>
        </w:rPr>
      </w:pPr>
    </w:p>
    <w:p>
      <w:pPr>
        <w:pStyle w:val="51"/>
        <w:ind w:firstLine="240"/>
        <w:rPr>
          <w:color w:val="000000" w:themeColor="text1"/>
          <w14:textFill>
            <w14:solidFill>
              <w14:schemeClr w14:val="tx1"/>
            </w14:solidFill>
          </w14:textFill>
        </w:rPr>
      </w:pPr>
    </w:p>
    <w:p>
      <w:pPr>
        <w:spacing w:before="156" w:beforeLines="50"/>
        <w:jc w:val="center"/>
        <w:rPr>
          <w:rFonts w:ascii="宋体" w:hAnsi="宋体" w:cs="宋体"/>
          <w:color w:val="000000" w:themeColor="text1"/>
          <w:sz w:val="72"/>
          <w:szCs w:val="72"/>
          <w14:textFill>
            <w14:solidFill>
              <w14:schemeClr w14:val="tx1"/>
            </w14:solidFill>
          </w14:textFill>
        </w:rPr>
      </w:pPr>
      <w:r>
        <w:rPr>
          <w:rFonts w:hint="eastAsia" w:ascii="宋体" w:hAnsi="宋体" w:cs="宋体"/>
          <w:color w:val="000000" w:themeColor="text1"/>
          <w:sz w:val="72"/>
          <w:szCs w:val="72"/>
          <w14:textFill>
            <w14:solidFill>
              <w14:schemeClr w14:val="tx1"/>
            </w14:solidFill>
          </w14:textFill>
        </w:rPr>
        <w:t>公开招标采购文件</w:t>
      </w:r>
    </w:p>
    <w:p>
      <w:pPr>
        <w:snapToGrid w:val="0"/>
        <w:jc w:val="center"/>
        <w:rPr>
          <w:rFonts w:ascii="宋体" w:hAnsi="宋体" w:cs="宋体"/>
          <w:color w:val="000000" w:themeColor="text1"/>
          <w:sz w:val="48"/>
          <w:szCs w:val="48"/>
          <w14:textFill>
            <w14:solidFill>
              <w14:schemeClr w14:val="tx1"/>
            </w14:solidFill>
          </w14:textFill>
        </w:rPr>
      </w:pPr>
    </w:p>
    <w:p>
      <w:pPr>
        <w:snapToGrid w:val="0"/>
        <w:jc w:val="center"/>
        <w:rPr>
          <w:rFonts w:ascii="宋体" w:hAnsi="宋体" w:cs="宋体"/>
          <w:color w:val="000000" w:themeColor="text1"/>
          <w:sz w:val="48"/>
          <w:szCs w:val="48"/>
          <w14:textFill>
            <w14:solidFill>
              <w14:schemeClr w14:val="tx1"/>
            </w14:solidFill>
          </w14:textFill>
        </w:rPr>
      </w:pPr>
    </w:p>
    <w:p>
      <w:pPr>
        <w:snapToGrid w:val="0"/>
        <w:jc w:val="center"/>
        <w:rPr>
          <w:rFonts w:ascii="宋体" w:hAnsi="宋体" w:cs="宋体"/>
          <w:color w:val="000000" w:themeColor="text1"/>
          <w:sz w:val="48"/>
          <w:szCs w:val="48"/>
          <w14:textFill>
            <w14:solidFill>
              <w14:schemeClr w14:val="tx1"/>
            </w14:solidFill>
          </w14:textFill>
        </w:rPr>
      </w:pPr>
    </w:p>
    <w:p>
      <w:pPr>
        <w:snapToGrid w:val="0"/>
        <w:jc w:val="center"/>
        <w:rPr>
          <w:rFonts w:ascii="宋体" w:hAnsi="宋体" w:cs="宋体"/>
          <w:color w:val="000000" w:themeColor="text1"/>
          <w:sz w:val="48"/>
          <w:szCs w:val="48"/>
          <w14:textFill>
            <w14:solidFill>
              <w14:schemeClr w14:val="tx1"/>
            </w14:solidFill>
          </w14:textFill>
        </w:rPr>
      </w:pPr>
    </w:p>
    <w:p>
      <w:pPr>
        <w:snapToGrid w:val="0"/>
        <w:jc w:val="center"/>
        <w:rPr>
          <w:rFonts w:hint="default" w:ascii="宋体" w:hAnsi="宋体" w:cs="宋体"/>
          <w:b/>
          <w:bCs/>
          <w:color w:val="000000" w:themeColor="text1"/>
          <w:sz w:val="30"/>
          <w:szCs w:val="30"/>
          <w:lang w:val="en"/>
          <w14:textFill>
            <w14:solidFill>
              <w14:schemeClr w14:val="tx1"/>
            </w14:solidFill>
          </w14:textFill>
        </w:rPr>
      </w:pPr>
      <w:r>
        <w:rPr>
          <w:rFonts w:hint="eastAsia" w:ascii="宋体" w:hAnsi="宋体" w:cs="宋体"/>
          <w:b/>
          <w:bCs/>
          <w:color w:val="000000" w:themeColor="text1"/>
          <w:sz w:val="30"/>
          <w:szCs w:val="30"/>
          <w:lang w:val="en-US" w:eastAsia="zh-CN"/>
          <w14:textFill>
            <w14:solidFill>
              <w14:schemeClr w14:val="tx1"/>
            </w14:solidFill>
          </w14:textFill>
        </w:rPr>
        <w:t xml:space="preserve">   </w:t>
      </w:r>
      <w:r>
        <w:rPr>
          <w:rFonts w:hint="eastAsia" w:ascii="宋体" w:hAnsi="宋体" w:cs="宋体"/>
          <w:b/>
          <w:bCs/>
          <w:color w:val="000000" w:themeColor="text1"/>
          <w:sz w:val="30"/>
          <w:szCs w:val="30"/>
          <w14:textFill>
            <w14:solidFill>
              <w14:schemeClr w14:val="tx1"/>
            </w14:solidFill>
          </w14:textFill>
        </w:rPr>
        <w:t>项目编号：</w:t>
      </w:r>
      <w:r>
        <w:rPr>
          <w:rFonts w:hint="default" w:ascii="宋体" w:hAnsi="宋体" w:cs="宋体"/>
          <w:b/>
          <w:bCs/>
          <w:color w:val="000000" w:themeColor="text1"/>
          <w:sz w:val="30"/>
          <w:szCs w:val="30"/>
          <w:lang w:val="en"/>
          <w14:textFill>
            <w14:solidFill>
              <w14:schemeClr w14:val="tx1"/>
            </w14:solidFill>
          </w14:textFill>
        </w:rPr>
        <w:t>GXZC2026-G1-002774-CGZX</w:t>
      </w:r>
    </w:p>
    <w:p>
      <w:pPr>
        <w:snapToGrid w:val="0"/>
        <w:ind w:firstLine="1843"/>
        <w:rPr>
          <w:rFonts w:ascii="宋体" w:hAnsi="宋体" w:cs="宋体"/>
          <w:b/>
          <w:bCs/>
          <w:color w:val="000000" w:themeColor="text1"/>
          <w:sz w:val="30"/>
          <w:szCs w:val="30"/>
          <w14:textFill>
            <w14:solidFill>
              <w14:schemeClr w14:val="tx1"/>
            </w14:solidFill>
          </w14:textFill>
        </w:rPr>
      </w:pPr>
    </w:p>
    <w:p>
      <w:pPr>
        <w:snapToGrid w:val="0"/>
        <w:ind w:firstLine="602" w:firstLineChars="200"/>
        <w:rPr>
          <w:rFonts w:ascii="宋体" w:hAnsi="宋体" w:cs="宋体"/>
          <w:b/>
          <w:color w:val="000000" w:themeColor="text1"/>
          <w:sz w:val="30"/>
          <w:szCs w:val="72"/>
          <w14:textFill>
            <w14:solidFill>
              <w14:schemeClr w14:val="tx1"/>
            </w14:solidFill>
          </w14:textFill>
        </w:rPr>
      </w:pPr>
      <w:r>
        <w:rPr>
          <w:rFonts w:hint="eastAsia" w:ascii="宋体" w:hAnsi="宋体" w:cs="宋体"/>
          <w:b/>
          <w:color w:val="000000" w:themeColor="text1"/>
          <w:sz w:val="30"/>
          <w:szCs w:val="72"/>
          <w14:textFill>
            <w14:solidFill>
              <w14:schemeClr w14:val="tx1"/>
            </w14:solidFill>
          </w14:textFill>
        </w:rPr>
        <w:t xml:space="preserve">            项目名称：图书馆维护提升家具设备采购</w:t>
      </w:r>
    </w:p>
    <w:p>
      <w:pPr>
        <w:snapToGrid w:val="0"/>
        <w:ind w:firstLine="1843" w:firstLineChars="612"/>
        <w:rPr>
          <w:rFonts w:ascii="宋体" w:hAnsi="宋体" w:cs="宋体"/>
          <w:b/>
          <w:color w:val="000000" w:themeColor="text1"/>
          <w:sz w:val="30"/>
          <w:szCs w:val="72"/>
          <w14:textFill>
            <w14:solidFill>
              <w14:schemeClr w14:val="tx1"/>
            </w14:solidFill>
          </w14:textFill>
        </w:rPr>
      </w:pPr>
    </w:p>
    <w:p>
      <w:pPr>
        <w:snapToGrid w:val="0"/>
        <w:ind w:firstLine="602" w:firstLineChars="200"/>
        <w:rPr>
          <w:rFonts w:ascii="宋体" w:hAnsi="宋体" w:cs="宋体"/>
          <w:b/>
          <w:color w:val="000000" w:themeColor="text1"/>
          <w:sz w:val="44"/>
          <w:szCs w:val="44"/>
          <w:lang w:val="en"/>
          <w14:textFill>
            <w14:solidFill>
              <w14:schemeClr w14:val="tx1"/>
            </w14:solidFill>
          </w14:textFill>
        </w:rPr>
      </w:pPr>
      <w:r>
        <w:rPr>
          <w:rFonts w:hint="eastAsia" w:ascii="宋体" w:hAnsi="宋体" w:cs="宋体"/>
          <w:b/>
          <w:color w:val="000000" w:themeColor="text1"/>
          <w:sz w:val="30"/>
          <w:szCs w:val="72"/>
          <w14:textFill>
            <w14:solidFill>
              <w14:schemeClr w14:val="tx1"/>
            </w14:solidFill>
          </w14:textFill>
        </w:rPr>
        <w:t xml:space="preserve">            采购单位：广西中医药大学</w:t>
      </w:r>
    </w:p>
    <w:p>
      <w:pPr>
        <w:snapToGrid w:val="0"/>
        <w:ind w:firstLine="2861" w:firstLineChars="950"/>
        <w:rPr>
          <w:rFonts w:ascii="宋体" w:hAnsi="宋体" w:cs="宋体"/>
          <w:b/>
          <w:color w:val="000000" w:themeColor="text1"/>
          <w:sz w:val="30"/>
          <w:szCs w:val="72"/>
          <w14:textFill>
            <w14:solidFill>
              <w14:schemeClr w14:val="tx1"/>
            </w14:solidFill>
          </w14:textFill>
        </w:rPr>
      </w:pPr>
    </w:p>
    <w:p>
      <w:pPr>
        <w:ind w:firstLine="2861" w:firstLineChars="950"/>
        <w:rPr>
          <w:rFonts w:ascii="宋体" w:hAnsi="宋体" w:cs="宋体"/>
          <w:b/>
          <w:color w:val="000000" w:themeColor="text1"/>
          <w:sz w:val="30"/>
          <w:szCs w:val="72"/>
          <w14:textFill>
            <w14:solidFill>
              <w14:schemeClr w14:val="tx1"/>
            </w14:solidFill>
          </w14:textFill>
        </w:rPr>
      </w:pPr>
    </w:p>
    <w:p>
      <w:pPr>
        <w:ind w:firstLine="2861" w:firstLineChars="950"/>
        <w:rPr>
          <w:rFonts w:ascii="宋体" w:hAnsi="宋体" w:cs="宋体"/>
          <w:b/>
          <w:color w:val="000000" w:themeColor="text1"/>
          <w:sz w:val="30"/>
          <w:szCs w:val="72"/>
          <w14:textFill>
            <w14:solidFill>
              <w14:schemeClr w14:val="tx1"/>
            </w14:solidFill>
          </w14:textFill>
        </w:rPr>
      </w:pPr>
    </w:p>
    <w:p>
      <w:pPr>
        <w:ind w:firstLine="2861" w:firstLineChars="950"/>
        <w:rPr>
          <w:rFonts w:ascii="宋体" w:hAnsi="宋体" w:cs="宋体"/>
          <w:b/>
          <w:color w:val="000000" w:themeColor="text1"/>
          <w:sz w:val="30"/>
          <w:szCs w:val="72"/>
          <w14:textFill>
            <w14:solidFill>
              <w14:schemeClr w14:val="tx1"/>
            </w14:solidFill>
          </w14:textFill>
        </w:rPr>
      </w:pPr>
    </w:p>
    <w:p>
      <w:pPr>
        <w:rPr>
          <w:rFonts w:ascii="宋体" w:hAnsi="宋体" w:cs="宋体"/>
          <w:b/>
          <w:color w:val="000000" w:themeColor="text1"/>
          <w:sz w:val="30"/>
          <w:szCs w:val="72"/>
          <w14:textFill>
            <w14:solidFill>
              <w14:schemeClr w14:val="tx1"/>
            </w14:solidFill>
          </w14:textFill>
        </w:rPr>
      </w:pPr>
    </w:p>
    <w:p>
      <w:pPr>
        <w:pStyle w:val="2"/>
        <w:rPr>
          <w:rFonts w:ascii="宋体" w:hAnsi="宋体" w:cs="宋体"/>
          <w:color w:val="000000" w:themeColor="text1"/>
          <w14:textFill>
            <w14:solidFill>
              <w14:schemeClr w14:val="tx1"/>
            </w14:solidFill>
          </w14:textFill>
        </w:rPr>
      </w:pPr>
    </w:p>
    <w:p>
      <w:pPr>
        <w:snapToGrid w:val="0"/>
        <w:spacing w:before="156" w:beforeLines="50"/>
        <w:jc w:val="center"/>
        <w:rPr>
          <w:rFonts w:ascii="宋体" w:hAnsi="宋体" w:cs="宋体"/>
          <w:b/>
          <w:color w:val="000000" w:themeColor="text1"/>
          <w:sz w:val="30"/>
          <w:szCs w:val="72"/>
          <w14:textFill>
            <w14:solidFill>
              <w14:schemeClr w14:val="tx1"/>
            </w14:solidFill>
          </w14:textFill>
        </w:rPr>
      </w:pPr>
      <w:r>
        <w:rPr>
          <w:rFonts w:hint="eastAsia" w:ascii="宋体" w:hAnsi="宋体" w:cs="宋体"/>
          <w:b/>
          <w:color w:val="000000" w:themeColor="text1"/>
          <w:sz w:val="30"/>
          <w:szCs w:val="72"/>
          <w14:textFill>
            <w14:solidFill>
              <w14:schemeClr w14:val="tx1"/>
            </w14:solidFill>
          </w14:textFill>
        </w:rPr>
        <w:t>采购代理机构：广西壮族自治区政府采购中心</w:t>
      </w:r>
    </w:p>
    <w:p>
      <w:pPr>
        <w:snapToGrid w:val="0"/>
        <w:spacing w:before="156" w:beforeLines="50"/>
        <w:rPr>
          <w:rFonts w:ascii="宋体" w:hAnsi="宋体" w:cs="宋体"/>
          <w:b/>
          <w:color w:val="000000" w:themeColor="text1"/>
          <w:szCs w:val="21"/>
          <w14:textFill>
            <w14:solidFill>
              <w14:schemeClr w14:val="tx1"/>
            </w14:solidFill>
          </w14:textFill>
        </w:rPr>
      </w:pPr>
    </w:p>
    <w:p>
      <w:pPr>
        <w:snapToGrid w:val="0"/>
        <w:spacing w:before="156" w:beforeLines="50"/>
        <w:jc w:val="center"/>
        <w:rPr>
          <w:rFonts w:ascii="宋体" w:hAnsi="宋体" w:cs="宋体"/>
          <w:b/>
          <w:color w:val="000000" w:themeColor="text1"/>
          <w:sz w:val="30"/>
          <w:szCs w:val="72"/>
          <w:lang w:val="en"/>
          <w14:textFill>
            <w14:solidFill>
              <w14:schemeClr w14:val="tx1"/>
            </w14:solidFill>
          </w14:textFill>
        </w:rPr>
      </w:pPr>
      <w:r>
        <w:rPr>
          <w:rFonts w:hint="eastAsia" w:ascii="宋体" w:hAnsi="宋体" w:cs="宋体"/>
          <w:b/>
          <w:color w:val="000000" w:themeColor="text1"/>
          <w:sz w:val="30"/>
          <w:szCs w:val="72"/>
          <w:lang w:val="en"/>
          <w14:textFill>
            <w14:solidFill>
              <w14:schemeClr w14:val="tx1"/>
            </w14:solidFill>
          </w14:textFill>
        </w:rPr>
        <w:t>20</w:t>
      </w:r>
      <w:r>
        <w:rPr>
          <w:rFonts w:hint="eastAsia" w:ascii="宋体" w:hAnsi="宋体" w:cs="宋体"/>
          <w:b/>
          <w:color w:val="000000" w:themeColor="text1"/>
          <w:sz w:val="30"/>
          <w:szCs w:val="72"/>
          <w14:textFill>
            <w14:solidFill>
              <w14:schemeClr w14:val="tx1"/>
            </w14:solidFill>
          </w14:textFill>
        </w:rPr>
        <w:t>26</w:t>
      </w:r>
      <w:r>
        <w:rPr>
          <w:rFonts w:hint="eastAsia" w:ascii="宋体" w:hAnsi="宋体" w:cs="宋体"/>
          <w:b/>
          <w:color w:val="000000" w:themeColor="text1"/>
          <w:sz w:val="30"/>
          <w:szCs w:val="72"/>
          <w:lang w:val="en"/>
          <w14:textFill>
            <w14:solidFill>
              <w14:schemeClr w14:val="tx1"/>
            </w14:solidFill>
          </w14:textFill>
        </w:rPr>
        <w:t>年</w:t>
      </w:r>
      <w:r>
        <w:rPr>
          <w:rFonts w:hint="eastAsia" w:ascii="宋体" w:hAnsi="宋体" w:cs="宋体"/>
          <w:b/>
          <w:color w:val="000000" w:themeColor="text1"/>
          <w:sz w:val="30"/>
          <w:szCs w:val="72"/>
          <w:lang w:val="en-US" w:eastAsia="zh-CN"/>
          <w14:textFill>
            <w14:solidFill>
              <w14:schemeClr w14:val="tx1"/>
            </w14:solidFill>
          </w14:textFill>
        </w:rPr>
        <w:t>9</w:t>
      </w:r>
      <w:r>
        <w:rPr>
          <w:rFonts w:hint="eastAsia" w:ascii="宋体" w:hAnsi="宋体" w:cs="宋体"/>
          <w:b/>
          <w:color w:val="000000" w:themeColor="text1"/>
          <w:sz w:val="30"/>
          <w:szCs w:val="72"/>
          <w:lang w:val="en"/>
          <w14:textFill>
            <w14:solidFill>
              <w14:schemeClr w14:val="tx1"/>
            </w14:solidFill>
          </w14:textFill>
        </w:rPr>
        <w:t>月</w:t>
      </w:r>
    </w:p>
    <w:p>
      <w:pPr>
        <w:rPr>
          <w:rFonts w:ascii="宋体" w:hAnsi="宋体" w:cs="宋体"/>
          <w:color w:val="000000" w:themeColor="text1"/>
          <w14:textFill>
            <w14:solidFill>
              <w14:schemeClr w14:val="tx1"/>
            </w14:solidFill>
          </w14:textFill>
        </w:rPr>
      </w:pPr>
    </w:p>
    <w:p>
      <w:pPr>
        <w:pStyle w:val="28"/>
        <w:tabs>
          <w:tab w:val="left" w:pos="4204"/>
        </w:tabs>
        <w:ind w:firstLine="883" w:firstLineChars="200"/>
        <w:jc w:val="left"/>
        <w:rPr>
          <w:rFonts w:hAnsi="宋体" w:cs="宋体"/>
          <w:b/>
          <w:color w:val="000000" w:themeColor="text1"/>
          <w:sz w:val="44"/>
          <w14:textFill>
            <w14:solidFill>
              <w14:schemeClr w14:val="tx1"/>
            </w14:solidFill>
          </w14:textFill>
        </w:rPr>
      </w:pPr>
      <w:r>
        <w:rPr>
          <w:rFonts w:hint="eastAsia" w:hAnsi="宋体" w:cs="宋体"/>
          <w:b/>
          <w:color w:val="000000" w:themeColor="text1"/>
          <w:sz w:val="44"/>
          <w14:textFill>
            <w14:solidFill>
              <w14:schemeClr w14:val="tx1"/>
            </w14:solidFill>
          </w14:textFill>
        </w:rPr>
        <w:tab/>
      </w:r>
    </w:p>
    <w:p>
      <w:pPr>
        <w:pStyle w:val="28"/>
        <w:tabs>
          <w:tab w:val="left" w:pos="4204"/>
        </w:tabs>
        <w:jc w:val="left"/>
        <w:rPr>
          <w:rFonts w:hAnsi="宋体" w:cs="宋体"/>
          <w:b/>
          <w:color w:val="000000" w:themeColor="text1"/>
          <w:sz w:val="44"/>
          <w14:textFill>
            <w14:solidFill>
              <w14:schemeClr w14:val="tx1"/>
            </w14:solidFill>
          </w14:textFill>
        </w:rPr>
      </w:pPr>
    </w:p>
    <w:sdt>
      <w:sdtPr>
        <w:rPr>
          <w:rFonts w:ascii="宋体" w:hAnsi="宋体" w:eastAsia="宋体" w:cs="Times New Roman"/>
          <w:kern w:val="2"/>
          <w:sz w:val="21"/>
          <w:szCs w:val="24"/>
          <w:lang w:val="en-US" w:eastAsia="zh-CN" w:bidi="ar-SA"/>
        </w:rPr>
        <w:id w:val="842500451"/>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sz w:val="28"/>
              <w:szCs w:val="28"/>
            </w:rPr>
          </w:pPr>
          <w:bookmarkStart w:id="0" w:name="_Toc1503697735_WPSOffice_Type1"/>
          <w:r>
            <w:rPr>
              <w:rFonts w:hint="eastAsia" w:ascii="宋体" w:hAnsi="宋体" w:eastAsia="宋体" w:cs="宋体"/>
              <w:b/>
              <w:bCs/>
              <w:sz w:val="28"/>
              <w:szCs w:val="28"/>
            </w:rPr>
            <w:t>目录</w:t>
          </w:r>
        </w:p>
        <w:p>
          <w:pPr>
            <w:pStyle w:val="496"/>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_Toc357654402_WPSOffice_Level1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2"/>
                <w:sz w:val="28"/>
                <w:szCs w:val="28"/>
                <w:lang w:val="en-US" w:eastAsia="zh-CN" w:bidi="ar-SA"/>
              </w:rPr>
              <w:id w:val="842500451"/>
              <w:placeholder>
                <w:docPart w:val="{fe4ac808-e36f-466c-8e47-16f0a48fa424}"/>
              </w:placeholder>
            </w:sdtPr>
            <w:sdtEndPr>
              <w:rPr>
                <w:rFonts w:hint="eastAsia" w:ascii="宋体" w:hAnsi="宋体" w:eastAsia="宋体" w:cs="宋体"/>
                <w:b/>
                <w:bCs/>
                <w:kern w:val="2"/>
                <w:sz w:val="28"/>
                <w:szCs w:val="28"/>
                <w:lang w:val="en-US" w:eastAsia="zh-CN" w:bidi="ar-SA"/>
              </w:rPr>
            </w:sdtEndPr>
            <w:sdtContent>
              <w:r>
                <w:rPr>
                  <w:rFonts w:hint="eastAsia" w:ascii="宋体" w:hAnsi="宋体" w:eastAsia="宋体" w:cs="宋体"/>
                  <w:b/>
                  <w:bCs/>
                  <w:sz w:val="28"/>
                  <w:szCs w:val="28"/>
                </w:rPr>
                <w:t>第一章  公开招标公告</w:t>
              </w:r>
            </w:sdtContent>
          </w:sdt>
          <w:r>
            <w:rPr>
              <w:rFonts w:hint="eastAsia" w:ascii="宋体" w:hAnsi="宋体" w:eastAsia="宋体" w:cs="宋体"/>
              <w:b/>
              <w:bCs/>
              <w:sz w:val="28"/>
              <w:szCs w:val="28"/>
            </w:rPr>
            <w:tab/>
          </w:r>
          <w:bookmarkStart w:id="1" w:name="_Toc357654402_WPSOffice_Level1Page"/>
          <w:r>
            <w:rPr>
              <w:rFonts w:hint="eastAsia" w:ascii="宋体" w:hAnsi="宋体" w:eastAsia="宋体" w:cs="宋体"/>
              <w:b/>
              <w:bCs/>
              <w:sz w:val="28"/>
              <w:szCs w:val="28"/>
            </w:rPr>
            <w:t>3</w:t>
          </w:r>
          <w:bookmarkEnd w:id="1"/>
          <w:r>
            <w:rPr>
              <w:rFonts w:hint="eastAsia" w:ascii="宋体" w:hAnsi="宋体" w:eastAsia="宋体" w:cs="宋体"/>
              <w:b/>
              <w:bCs/>
              <w:sz w:val="28"/>
              <w:szCs w:val="28"/>
            </w:rPr>
            <w:fldChar w:fldCharType="end"/>
          </w:r>
        </w:p>
        <w:p>
          <w:pPr>
            <w:pStyle w:val="496"/>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_Toc1503697735_WPSOffice_Level1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2"/>
                <w:sz w:val="28"/>
                <w:szCs w:val="28"/>
                <w:lang w:val="en-US" w:eastAsia="zh-CN" w:bidi="ar-SA"/>
              </w:rPr>
              <w:id w:val="842500451"/>
              <w:placeholder>
                <w:docPart w:val="{ccc32736-2752-4e1e-a20e-4ba331d771af}"/>
              </w:placeholder>
            </w:sdtPr>
            <w:sdtEndPr>
              <w:rPr>
                <w:rFonts w:hint="eastAsia" w:ascii="宋体" w:hAnsi="宋体" w:eastAsia="宋体" w:cs="宋体"/>
                <w:b/>
                <w:bCs/>
                <w:kern w:val="2"/>
                <w:sz w:val="28"/>
                <w:szCs w:val="28"/>
                <w:lang w:val="en-US" w:eastAsia="zh-CN" w:bidi="ar-SA"/>
              </w:rPr>
            </w:sdtEndPr>
            <w:sdtContent>
              <w:r>
                <w:rPr>
                  <w:rFonts w:hint="eastAsia" w:ascii="宋体" w:hAnsi="宋体" w:eastAsia="宋体" w:cs="宋体"/>
                  <w:b/>
                  <w:bCs/>
                  <w:sz w:val="28"/>
                  <w:szCs w:val="28"/>
                </w:rPr>
                <w:t>第二章  招标项目采购需求</w:t>
              </w:r>
            </w:sdtContent>
          </w:sdt>
          <w:r>
            <w:rPr>
              <w:rFonts w:hint="eastAsia" w:ascii="宋体" w:hAnsi="宋体" w:eastAsia="宋体" w:cs="宋体"/>
              <w:b/>
              <w:bCs/>
              <w:sz w:val="28"/>
              <w:szCs w:val="28"/>
            </w:rPr>
            <w:tab/>
          </w:r>
          <w:bookmarkStart w:id="2" w:name="_Toc1503697735_WPSOffice_Level1Page"/>
          <w:r>
            <w:rPr>
              <w:rFonts w:hint="eastAsia" w:ascii="宋体" w:hAnsi="宋体" w:eastAsia="宋体" w:cs="宋体"/>
              <w:b/>
              <w:bCs/>
              <w:sz w:val="28"/>
              <w:szCs w:val="28"/>
            </w:rPr>
            <w:t>7</w:t>
          </w:r>
          <w:bookmarkEnd w:id="2"/>
          <w:r>
            <w:rPr>
              <w:rFonts w:hint="eastAsia" w:ascii="宋体" w:hAnsi="宋体" w:eastAsia="宋体" w:cs="宋体"/>
              <w:b/>
              <w:bCs/>
              <w:sz w:val="28"/>
              <w:szCs w:val="28"/>
            </w:rPr>
            <w:fldChar w:fldCharType="end"/>
          </w:r>
        </w:p>
        <w:p>
          <w:pPr>
            <w:pStyle w:val="496"/>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_Toc1519357093_WPSOffice_Level1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2"/>
                <w:sz w:val="28"/>
                <w:szCs w:val="28"/>
                <w:lang w:val="en-US" w:eastAsia="zh-CN" w:bidi="ar-SA"/>
              </w:rPr>
              <w:id w:val="842500451"/>
              <w:placeholder>
                <w:docPart w:val="{4f40925b-7578-4431-8894-c190e0ac016a}"/>
              </w:placeholder>
            </w:sdtPr>
            <w:sdtEndPr>
              <w:rPr>
                <w:rFonts w:hint="eastAsia" w:ascii="宋体" w:hAnsi="宋体" w:eastAsia="宋体" w:cs="宋体"/>
                <w:b/>
                <w:bCs/>
                <w:kern w:val="2"/>
                <w:sz w:val="28"/>
                <w:szCs w:val="28"/>
                <w:lang w:val="en-US" w:eastAsia="zh-CN" w:bidi="ar-SA"/>
              </w:rPr>
            </w:sdtEndPr>
            <w:sdtContent>
              <w:r>
                <w:rPr>
                  <w:rFonts w:hint="eastAsia" w:ascii="宋体" w:hAnsi="宋体" w:eastAsia="宋体" w:cs="宋体"/>
                  <w:b/>
                  <w:bCs/>
                  <w:sz w:val="28"/>
                  <w:szCs w:val="28"/>
                </w:rPr>
                <w:t>第三章  投标人须知</w:t>
              </w:r>
            </w:sdtContent>
          </w:sdt>
          <w:r>
            <w:rPr>
              <w:rFonts w:hint="eastAsia" w:ascii="宋体" w:hAnsi="宋体" w:eastAsia="宋体" w:cs="宋体"/>
              <w:b/>
              <w:bCs/>
              <w:sz w:val="28"/>
              <w:szCs w:val="28"/>
            </w:rPr>
            <w:tab/>
          </w:r>
          <w:bookmarkStart w:id="3" w:name="_Toc1519357093_WPSOffice_Level1Page"/>
          <w:r>
            <w:rPr>
              <w:rFonts w:hint="eastAsia" w:ascii="宋体" w:hAnsi="宋体" w:eastAsia="宋体" w:cs="宋体"/>
              <w:b/>
              <w:bCs/>
              <w:sz w:val="28"/>
              <w:szCs w:val="28"/>
            </w:rPr>
            <w:t>78</w:t>
          </w:r>
          <w:bookmarkEnd w:id="3"/>
          <w:r>
            <w:rPr>
              <w:rFonts w:hint="eastAsia" w:ascii="宋体" w:hAnsi="宋体" w:eastAsia="宋体" w:cs="宋体"/>
              <w:b/>
              <w:bCs/>
              <w:sz w:val="28"/>
              <w:szCs w:val="28"/>
            </w:rPr>
            <w:fldChar w:fldCharType="end"/>
          </w:r>
        </w:p>
        <w:p>
          <w:pPr>
            <w:pStyle w:val="496"/>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_Toc1158015966_WPSOffice_Level1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2"/>
                <w:sz w:val="28"/>
                <w:szCs w:val="28"/>
                <w:lang w:val="en-US" w:eastAsia="zh-CN" w:bidi="ar-SA"/>
              </w:rPr>
              <w:id w:val="842500451"/>
              <w:placeholder>
                <w:docPart w:val="{ab6cb68c-297e-4c80-9527-4a538cf11132}"/>
              </w:placeholder>
            </w:sdtPr>
            <w:sdtEndPr>
              <w:rPr>
                <w:rFonts w:hint="eastAsia" w:ascii="宋体" w:hAnsi="宋体" w:eastAsia="宋体" w:cs="宋体"/>
                <w:b/>
                <w:bCs/>
                <w:kern w:val="2"/>
                <w:sz w:val="28"/>
                <w:szCs w:val="28"/>
                <w:lang w:val="en-US" w:eastAsia="zh-CN" w:bidi="ar-SA"/>
              </w:rPr>
            </w:sdtEndPr>
            <w:sdtContent>
              <w:r>
                <w:rPr>
                  <w:rFonts w:hint="eastAsia" w:ascii="宋体" w:hAnsi="宋体" w:eastAsia="宋体" w:cs="宋体"/>
                  <w:b/>
                  <w:bCs/>
                  <w:sz w:val="28"/>
                  <w:szCs w:val="28"/>
                </w:rPr>
                <w:t>第四章  评标方法及评分标准</w:t>
              </w:r>
            </w:sdtContent>
          </w:sdt>
          <w:r>
            <w:rPr>
              <w:rFonts w:hint="eastAsia" w:ascii="宋体" w:hAnsi="宋体" w:eastAsia="宋体" w:cs="宋体"/>
              <w:b/>
              <w:bCs/>
              <w:sz w:val="28"/>
              <w:szCs w:val="28"/>
            </w:rPr>
            <w:tab/>
          </w:r>
          <w:bookmarkStart w:id="4" w:name="_Toc1158015966_WPSOffice_Level1Page"/>
          <w:r>
            <w:rPr>
              <w:rFonts w:hint="eastAsia" w:ascii="宋体" w:hAnsi="宋体" w:eastAsia="宋体" w:cs="宋体"/>
              <w:b/>
              <w:bCs/>
              <w:sz w:val="28"/>
              <w:szCs w:val="28"/>
            </w:rPr>
            <w:t>92</w:t>
          </w:r>
          <w:bookmarkEnd w:id="4"/>
          <w:r>
            <w:rPr>
              <w:rFonts w:hint="eastAsia" w:ascii="宋体" w:hAnsi="宋体" w:eastAsia="宋体" w:cs="宋体"/>
              <w:b/>
              <w:bCs/>
              <w:sz w:val="28"/>
              <w:szCs w:val="28"/>
            </w:rPr>
            <w:fldChar w:fldCharType="end"/>
          </w:r>
        </w:p>
        <w:p>
          <w:pPr>
            <w:pStyle w:val="496"/>
            <w:tabs>
              <w:tab w:val="right" w:leader="dot" w:pos="9412"/>
            </w:tabs>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_Toc589106283_WPSOffice_Level1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2"/>
                <w:sz w:val="28"/>
                <w:szCs w:val="28"/>
                <w:lang w:val="en-US" w:eastAsia="zh-CN" w:bidi="ar-SA"/>
              </w:rPr>
              <w:id w:val="842500451"/>
              <w:placeholder>
                <w:docPart w:val="{a0700e82-3967-40c4-aacf-9b5c7befd8ab}"/>
              </w:placeholder>
            </w:sdtPr>
            <w:sdtEndPr>
              <w:rPr>
                <w:rFonts w:hint="eastAsia" w:ascii="宋体" w:hAnsi="宋体" w:eastAsia="宋体" w:cs="宋体"/>
                <w:b/>
                <w:bCs/>
                <w:kern w:val="2"/>
                <w:sz w:val="28"/>
                <w:szCs w:val="28"/>
                <w:lang w:val="en-US" w:eastAsia="zh-CN" w:bidi="ar-SA"/>
              </w:rPr>
            </w:sdtEndPr>
            <w:sdtContent>
              <w:r>
                <w:rPr>
                  <w:rFonts w:hint="eastAsia" w:ascii="宋体" w:hAnsi="宋体" w:eastAsia="宋体" w:cs="宋体"/>
                  <w:b/>
                  <w:bCs/>
                  <w:sz w:val="28"/>
                  <w:szCs w:val="28"/>
                </w:rPr>
                <w:t>第五章   政府采购合同主要条款</w:t>
              </w:r>
            </w:sdtContent>
          </w:sdt>
          <w:r>
            <w:rPr>
              <w:rFonts w:hint="eastAsia" w:ascii="宋体" w:hAnsi="宋体" w:eastAsia="宋体" w:cs="宋体"/>
              <w:b/>
              <w:bCs/>
              <w:sz w:val="28"/>
              <w:szCs w:val="28"/>
            </w:rPr>
            <w:tab/>
          </w:r>
          <w:bookmarkStart w:id="5" w:name="_Toc589106283_WPSOffice_Level1Page"/>
          <w:r>
            <w:rPr>
              <w:rFonts w:hint="eastAsia" w:ascii="宋体" w:hAnsi="宋体" w:eastAsia="宋体" w:cs="宋体"/>
              <w:b/>
              <w:bCs/>
              <w:sz w:val="28"/>
              <w:szCs w:val="28"/>
            </w:rPr>
            <w:t>98</w:t>
          </w:r>
          <w:bookmarkEnd w:id="5"/>
          <w:r>
            <w:rPr>
              <w:rFonts w:hint="eastAsia" w:ascii="宋体" w:hAnsi="宋体" w:eastAsia="宋体" w:cs="宋体"/>
              <w:b/>
              <w:bCs/>
              <w:sz w:val="28"/>
              <w:szCs w:val="28"/>
            </w:rPr>
            <w:fldChar w:fldCharType="end"/>
          </w:r>
        </w:p>
        <w:p>
          <w:pPr>
            <w:pStyle w:val="496"/>
            <w:tabs>
              <w:tab w:val="right" w:leader="dot" w:pos="9412"/>
            </w:tabs>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_Toc641098308_WPSOffice_Level1 </w:instrText>
          </w:r>
          <w:r>
            <w:rPr>
              <w:rFonts w:hint="eastAsia" w:ascii="宋体" w:hAnsi="宋体" w:eastAsia="宋体" w:cs="宋体"/>
              <w:b/>
              <w:bCs/>
              <w:sz w:val="28"/>
              <w:szCs w:val="28"/>
            </w:rPr>
            <w:fldChar w:fldCharType="separate"/>
          </w:r>
          <w:sdt>
            <w:sdtPr>
              <w:rPr>
                <w:rFonts w:hint="eastAsia" w:ascii="宋体" w:hAnsi="宋体" w:eastAsia="宋体" w:cs="宋体"/>
                <w:b/>
                <w:bCs/>
                <w:kern w:val="2"/>
                <w:sz w:val="28"/>
                <w:szCs w:val="28"/>
                <w:lang w:val="en-US" w:eastAsia="zh-CN" w:bidi="ar-SA"/>
              </w:rPr>
              <w:id w:val="842500451"/>
              <w:placeholder>
                <w:docPart w:val="{b5f5a878-1011-47e7-9186-bd033969b479}"/>
              </w:placeholder>
            </w:sdtPr>
            <w:sdtEndPr>
              <w:rPr>
                <w:rFonts w:hint="eastAsia" w:ascii="宋体" w:hAnsi="宋体" w:eastAsia="宋体" w:cs="宋体"/>
                <w:b/>
                <w:bCs/>
                <w:kern w:val="2"/>
                <w:sz w:val="28"/>
                <w:szCs w:val="28"/>
                <w:lang w:val="en-US" w:eastAsia="zh-CN" w:bidi="ar-SA"/>
              </w:rPr>
            </w:sdtEndPr>
            <w:sdtContent>
              <w:r>
                <w:rPr>
                  <w:rFonts w:hint="eastAsia" w:ascii="宋体" w:hAnsi="宋体" w:eastAsia="宋体" w:cs="宋体"/>
                  <w:b/>
                  <w:bCs/>
                  <w:sz w:val="28"/>
                  <w:szCs w:val="28"/>
                </w:rPr>
                <w:t>第六章　投标文件格式</w:t>
              </w:r>
            </w:sdtContent>
          </w:sdt>
          <w:r>
            <w:rPr>
              <w:rFonts w:hint="eastAsia" w:ascii="宋体" w:hAnsi="宋体" w:eastAsia="宋体" w:cs="宋体"/>
              <w:b/>
              <w:bCs/>
              <w:sz w:val="28"/>
              <w:szCs w:val="28"/>
            </w:rPr>
            <w:tab/>
          </w:r>
          <w:bookmarkStart w:id="6" w:name="_Toc641098308_WPSOffice_Level1Page"/>
          <w:r>
            <w:rPr>
              <w:rFonts w:hint="eastAsia" w:ascii="宋体" w:hAnsi="宋体" w:eastAsia="宋体" w:cs="宋体"/>
              <w:b/>
              <w:bCs/>
              <w:sz w:val="28"/>
              <w:szCs w:val="28"/>
            </w:rPr>
            <w:t>105</w:t>
          </w:r>
          <w:bookmarkEnd w:id="6"/>
          <w:r>
            <w:rPr>
              <w:rFonts w:hint="eastAsia" w:ascii="宋体" w:hAnsi="宋体" w:eastAsia="宋体" w:cs="宋体"/>
              <w:b/>
              <w:bCs/>
              <w:sz w:val="28"/>
              <w:szCs w:val="28"/>
            </w:rPr>
            <w:fldChar w:fldCharType="end"/>
          </w:r>
        </w:p>
        <w:bookmarkEnd w:id="0"/>
        <w:p>
          <w:pPr>
            <w:pStyle w:val="496"/>
            <w:tabs>
              <w:tab w:val="right" w:leader="dot" w:pos="9412"/>
            </w:tabs>
          </w:pPr>
        </w:p>
      </w:sdtContent>
    </w:sdt>
    <w:p>
      <w:pPr>
        <w:jc w:val="center"/>
        <w:rPr>
          <w:rFonts w:ascii="宋体" w:hAnsi="宋体" w:eastAsia="宋体"/>
          <w:color w:val="000000" w:themeColor="text1"/>
          <w:sz w:val="21"/>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jc w:val="center"/>
        <w:rPr>
          <w:rFonts w:ascii="宋体" w:hAnsi="宋体" w:cs="宋体"/>
          <w:color w:val="000000" w:themeColor="text1"/>
          <w:sz w:val="32"/>
          <w:szCs w:val="32"/>
          <w14:textFill>
            <w14:solidFill>
              <w14:schemeClr w14:val="tx1"/>
            </w14:solidFill>
          </w14:textFill>
        </w:rPr>
      </w:pPr>
      <w:bookmarkStart w:id="7" w:name="_Toc357654402_WPSOffice_Level1"/>
      <w:r>
        <w:rPr>
          <w:rFonts w:hint="eastAsia" w:ascii="宋体" w:hAnsi="宋体" w:cs="宋体"/>
          <w:b/>
          <w:color w:val="000000" w:themeColor="text1"/>
          <w:sz w:val="44"/>
          <w:szCs w:val="44"/>
          <w14:textFill>
            <w14:solidFill>
              <w14:schemeClr w14:val="tx1"/>
            </w14:solidFill>
          </w14:textFill>
        </w:rPr>
        <w:t>第一章  公开招标公告</w:t>
      </w:r>
      <w:bookmarkEnd w:id="7"/>
    </w:p>
    <w:p>
      <w:pPr>
        <w:pStyle w:val="113"/>
        <w:widowControl w:val="0"/>
        <w:spacing w:afterLines="0" w:line="400" w:lineRule="exact"/>
        <w:ind w:firstLine="0" w:firstLineChars="0"/>
        <w:jc w:val="center"/>
        <w:rPr>
          <w:rFonts w:ascii="宋体" w:hAnsi="宋体" w:cs="宋体"/>
          <w:b/>
          <w:color w:val="000000" w:themeColor="text1"/>
          <w:sz w:val="21"/>
          <w:szCs w:val="21"/>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br w:type="page"/>
      </w:r>
      <w:r>
        <w:rPr>
          <w:rFonts w:hint="eastAsia" w:ascii="宋体" w:hAnsi="宋体" w:cs="宋体"/>
          <w:b/>
          <w:bCs/>
          <w:color w:val="000000" w:themeColor="text1"/>
          <w:sz w:val="32"/>
          <w:szCs w:val="32"/>
          <w:lang w:eastAsia="zh-CN"/>
          <w14:textFill>
            <w14:solidFill>
              <w14:schemeClr w14:val="tx1"/>
            </w14:solidFill>
          </w14:textFill>
        </w:rPr>
        <w:t>公开</w:t>
      </w:r>
      <w:r>
        <w:rPr>
          <w:rFonts w:hint="eastAsia" w:ascii="宋体" w:hAnsi="宋体" w:cs="宋体"/>
          <w:b/>
          <w:color w:val="000000" w:themeColor="text1"/>
          <w:sz w:val="30"/>
          <w:szCs w:val="30"/>
          <w14:textFill>
            <w14:solidFill>
              <w14:schemeClr w14:val="tx1"/>
            </w14:solidFill>
          </w14:textFill>
        </w:rPr>
        <w:t>招标公告</w:t>
      </w:r>
    </w:p>
    <w:p>
      <w:pPr>
        <w:pBdr>
          <w:top w:val="single" w:color="auto" w:sz="4" w:space="1"/>
          <w:left w:val="single" w:color="auto" w:sz="4" w:space="4"/>
          <w:bottom w:val="single" w:color="auto" w:sz="4" w:space="1"/>
          <w:right w:val="single" w:color="auto" w:sz="4" w:space="4"/>
        </w:pBdr>
        <w:adjustRightInd w:val="0"/>
        <w:snapToGrid w:val="0"/>
        <w:spacing w:line="4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项目的潜在投标人应在</w:t>
      </w:r>
      <w:r>
        <w:rPr>
          <w:rFonts w:hint="eastAsia" w:ascii="宋体" w:hAnsi="宋体" w:cs="宋体"/>
          <w:color w:val="000000" w:themeColor="text1"/>
          <w:szCs w:val="21"/>
          <w:lang w:val="en"/>
          <w14:textFill>
            <w14:solidFill>
              <w14:schemeClr w14:val="tx1"/>
            </w14:solidFill>
          </w14:textFill>
        </w:rPr>
        <w:t>广西政府采购云平台（网址：http://www.gcy.zfcg.gxzf.gov.cn）</w:t>
      </w:r>
      <w:r>
        <w:rPr>
          <w:rFonts w:hint="eastAsia" w:ascii="宋体" w:hAnsi="宋体" w:cs="宋体"/>
          <w:color w:val="000000" w:themeColor="text1"/>
          <w:szCs w:val="21"/>
          <w14:textFill>
            <w14:solidFill>
              <w14:schemeClr w14:val="tx1"/>
            </w14:solidFill>
          </w14:textFill>
        </w:rPr>
        <w:t xml:space="preserve">获取招标文件，并于 </w:t>
      </w:r>
      <w:r>
        <w:rPr>
          <w:rFonts w:hint="eastAsia" w:ascii="宋体" w:hAnsi="宋体" w:cs="宋体"/>
          <w:color w:val="000000" w:themeColor="text1"/>
          <w:szCs w:val="21"/>
          <w:lang w:val="en"/>
          <w14:textFill>
            <w14:solidFill>
              <w14:schemeClr w14:val="tx1"/>
            </w14:solidFill>
          </w14:textFill>
        </w:rPr>
        <w:t>202</w:t>
      </w:r>
      <w:r>
        <w:rPr>
          <w:rFonts w:hint="eastAsia"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lang w:val="en"/>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lang w:val="en"/>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29</w:t>
      </w:r>
      <w:r>
        <w:rPr>
          <w:rFonts w:hint="eastAsia" w:ascii="宋体" w:hAnsi="宋体" w:cs="宋体"/>
          <w:color w:val="000000" w:themeColor="text1"/>
          <w:szCs w:val="21"/>
          <w:lang w:val="en"/>
          <w14:textFill>
            <w14:solidFill>
              <w14:schemeClr w14:val="tx1"/>
            </w14:solidFill>
          </w14:textFill>
        </w:rPr>
        <w:t>日</w:t>
      </w:r>
      <w:r>
        <w:rPr>
          <w:rFonts w:hint="eastAsia" w:ascii="宋体" w:hAnsi="宋体" w:cs="宋体"/>
          <w:color w:val="000000" w:themeColor="text1"/>
          <w:szCs w:val="21"/>
          <w14:textFill>
            <w14:solidFill>
              <w14:schemeClr w14:val="tx1"/>
            </w14:solidFill>
          </w14:textFill>
        </w:rPr>
        <w:t xml:space="preserve"> 10:00（北京时间）前递交投标文件。</w:t>
      </w:r>
    </w:p>
    <w:p>
      <w:pPr>
        <w:adjustRightInd w:val="0"/>
        <w:snapToGrid w:val="0"/>
        <w:spacing w:line="38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一、项目基本情况</w:t>
      </w:r>
    </w:p>
    <w:p>
      <w:pPr>
        <w:adjustRightInd w:val="0"/>
        <w:snapToGrid w:val="0"/>
        <w:spacing w:line="380" w:lineRule="exact"/>
        <w:ind w:firstLine="420" w:firstLineChars="200"/>
        <w:rPr>
          <w:rFonts w:hint="default"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w:t>
      </w:r>
      <w:r>
        <w:rPr>
          <w:rFonts w:hint="default" w:ascii="宋体" w:hAnsi="宋体" w:cs="宋体"/>
          <w:color w:val="000000" w:themeColor="text1"/>
          <w:szCs w:val="21"/>
          <w:lang w:val="en"/>
          <w14:textFill>
            <w14:solidFill>
              <w14:schemeClr w14:val="tx1"/>
            </w14:solidFill>
          </w14:textFill>
        </w:rPr>
        <w:t>GXZC2026-G1-002774-CGZX</w:t>
      </w:r>
    </w:p>
    <w:p>
      <w:pPr>
        <w:pStyle w:val="17"/>
        <w:spacing w:line="380" w:lineRule="exact"/>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项目名称：图书馆维护提升家具设备采购</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预算总金额（元）：5,785,520.00</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标项一：</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标项名称：广西中医药大学图书馆维护提升项目采购</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数量：1 </w:t>
      </w:r>
      <w:r>
        <w:rPr>
          <w:rFonts w:hint="eastAsia" w:ascii="宋体" w:hAnsi="宋体" w:cs="宋体"/>
          <w:color w:val="000000" w:themeColor="text1"/>
          <w:szCs w:val="21"/>
          <w14:textFill>
            <w14:solidFill>
              <w14:schemeClr w14:val="tx1"/>
            </w14:solidFill>
          </w14:textFill>
        </w:rPr>
        <w:br w:type="textWrapping"/>
      </w:r>
      <w:r>
        <w:rPr>
          <w:rFonts w:hint="eastAsia" w:ascii="宋体" w:hAnsi="宋体" w:cs="宋体"/>
          <w:color w:val="000000" w:themeColor="text1"/>
          <w:szCs w:val="21"/>
          <w14:textFill>
            <w14:solidFill>
              <w14:schemeClr w14:val="tx1"/>
            </w14:solidFill>
          </w14:textFill>
        </w:rPr>
        <w:t xml:space="preserve">    预算金额（元）：5,785,520.00</w:t>
      </w:r>
    </w:p>
    <w:p>
      <w:pPr>
        <w:pStyle w:val="17"/>
        <w:spacing w:line="380" w:lineRule="exact"/>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简要规格描述或项目基本概况介绍、用途：广西中医药大学图书馆维护提升家具设备采购及设备、家具（1批）。</w:t>
      </w:r>
      <w:r>
        <w:rPr>
          <w:rFonts w:hint="eastAsia" w:ascii="宋体" w:hAnsi="宋体" w:cs="宋体"/>
          <w:color w:val="000000" w:themeColor="text1"/>
          <w:sz w:val="21"/>
          <w:szCs w:val="21"/>
          <w:lang w:val="en"/>
          <w14:textFill>
            <w14:solidFill>
              <w14:schemeClr w14:val="tx1"/>
            </w14:solidFill>
          </w14:textFill>
        </w:rPr>
        <w:t>如需进一步了解详细内容，详见采购文件。</w:t>
      </w:r>
    </w:p>
    <w:p>
      <w:pPr>
        <w:adjustRightInd w:val="0"/>
        <w:snapToGrid w:val="0"/>
        <w:spacing w:line="380" w:lineRule="exact"/>
        <w:ind w:firstLine="420" w:firstLineChars="200"/>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最高限价（如有）：\</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合同履约期限：自合同签订之日起至项目履约完毕</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本项目（否）接受联合体投标</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备注：本项目各分标为线上电子招标项目，有意向参与本项目的供应商应当做好参与全流程电子招投标交易的充分准备。</w:t>
      </w:r>
    </w:p>
    <w:p>
      <w:pPr>
        <w:adjustRightInd w:val="0"/>
        <w:snapToGrid w:val="0"/>
        <w:spacing w:line="380" w:lineRule="exact"/>
        <w:rPr>
          <w:rFonts w:ascii="宋体" w:hAnsi="宋体" w:cs="宋体"/>
          <w:b/>
          <w:color w:val="000000" w:themeColor="text1"/>
          <w:szCs w:val="21"/>
          <w14:textFill>
            <w14:solidFill>
              <w14:schemeClr w14:val="tx1"/>
            </w14:solidFill>
          </w14:textFill>
        </w:rPr>
      </w:pPr>
    </w:p>
    <w:p>
      <w:pPr>
        <w:adjustRightInd w:val="0"/>
        <w:snapToGrid w:val="0"/>
        <w:spacing w:line="38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二、申请人的资格要求：</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1.满足《中华人民共和国政府采购法》第二十二条规定；</w:t>
      </w:r>
    </w:p>
    <w:p>
      <w:pPr>
        <w:pStyle w:val="17"/>
        <w:spacing w:line="380" w:lineRule="exact"/>
        <w:ind w:firstLine="42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2.落实政府采购政策需满足的资格要求：本项目专门面向</w:t>
      </w:r>
      <w:r>
        <w:rPr>
          <w:rFonts w:hint="eastAsia" w:ascii="宋体" w:hAnsi="宋体" w:cs="宋体"/>
          <w:color w:val="000000" w:themeColor="text1"/>
          <w:sz w:val="21"/>
          <w:szCs w:val="21"/>
          <w:lang w:val="en-US" w:eastAsia="zh-CN"/>
          <w14:textFill>
            <w14:solidFill>
              <w14:schemeClr w14:val="tx1"/>
            </w14:solidFill>
          </w14:textFill>
        </w:rPr>
        <w:t>中</w:t>
      </w:r>
      <w:r>
        <w:rPr>
          <w:rFonts w:hint="eastAsia" w:ascii="宋体" w:hAnsi="宋体" w:cs="宋体"/>
          <w:color w:val="000000" w:themeColor="text1"/>
          <w:sz w:val="21"/>
          <w:szCs w:val="21"/>
          <w:lang w:eastAsia="zh-CN"/>
          <w14:textFill>
            <w14:solidFill>
              <w14:schemeClr w14:val="tx1"/>
            </w14:solidFill>
          </w14:textFill>
        </w:rPr>
        <w:t>小</w:t>
      </w:r>
      <w:r>
        <w:rPr>
          <w:rFonts w:hint="eastAsia" w:ascii="宋体" w:hAnsi="宋体" w:cs="宋体"/>
          <w:color w:val="000000" w:themeColor="text1"/>
          <w:sz w:val="21"/>
          <w:szCs w:val="21"/>
          <w14:textFill>
            <w14:solidFill>
              <w14:schemeClr w14:val="tx1"/>
            </w14:solidFill>
          </w14:textFill>
        </w:rPr>
        <w:t>企业</w:t>
      </w:r>
      <w:r>
        <w:rPr>
          <w:rFonts w:hint="eastAsia" w:ascii="宋体" w:hAnsi="宋体" w:cs="宋体"/>
          <w:color w:val="000000" w:themeColor="text1"/>
          <w:sz w:val="21"/>
          <w:szCs w:val="21"/>
          <w:lang w:eastAsia="zh-CN"/>
          <w14:textFill>
            <w14:solidFill>
              <w14:schemeClr w14:val="tx1"/>
            </w14:solidFill>
          </w14:textFill>
        </w:rPr>
        <w:t>；</w:t>
      </w:r>
    </w:p>
    <w:p>
      <w:pPr>
        <w:pStyle w:val="17"/>
        <w:spacing w:line="380" w:lineRule="exact"/>
        <w:ind w:firstLine="420"/>
        <w:rPr>
          <w:rFonts w:ascii="宋体" w:hAnsi="宋体" w:cs="宋体"/>
          <w:color w:val="000000" w:themeColor="text1"/>
          <w:sz w:val="21"/>
          <w:szCs w:val="21"/>
          <w:lang w:val="e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3.本项目的特定资格要求：无</w:t>
      </w:r>
      <w:r>
        <w:rPr>
          <w:rFonts w:hint="eastAsia" w:ascii="宋体" w:hAnsi="宋体" w:cs="宋体"/>
          <w:color w:val="000000" w:themeColor="text1"/>
          <w:sz w:val="21"/>
          <w:szCs w:val="21"/>
          <w:lang w:val="en"/>
          <w14:textFill>
            <w14:solidFill>
              <w14:schemeClr w14:val="tx1"/>
            </w14:solidFill>
          </w14:textFill>
        </w:rPr>
        <w:t>。</w:t>
      </w:r>
    </w:p>
    <w:p>
      <w:pPr>
        <w:adjustRightInd w:val="0"/>
        <w:snapToGrid w:val="0"/>
        <w:spacing w:line="380" w:lineRule="exact"/>
        <w:rPr>
          <w:rFonts w:ascii="宋体" w:hAnsi="宋体" w:cs="宋体"/>
          <w:b/>
          <w:color w:val="000000" w:themeColor="text1"/>
          <w:szCs w:val="21"/>
          <w14:textFill>
            <w14:solidFill>
              <w14:schemeClr w14:val="tx1"/>
            </w14:solidFill>
          </w14:textFill>
        </w:rPr>
      </w:pPr>
    </w:p>
    <w:p>
      <w:pPr>
        <w:adjustRightInd w:val="0"/>
        <w:snapToGrid w:val="0"/>
        <w:spacing w:line="38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三、获取招标文件 </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时间：</w:t>
      </w:r>
      <w:r>
        <w:rPr>
          <w:rFonts w:hint="eastAsia" w:ascii="宋体" w:hAnsi="宋体" w:cs="宋体"/>
          <w:color w:val="000000" w:themeColor="text1"/>
          <w:szCs w:val="21"/>
          <w:lang w:val="en"/>
          <w14:textFill>
            <w14:solidFill>
              <w14:schemeClr w14:val="tx1"/>
            </w14:solidFill>
          </w14:textFill>
        </w:rPr>
        <w:t>202</w:t>
      </w:r>
      <w:r>
        <w:rPr>
          <w:rFonts w:hint="eastAsia"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lang w:val="en"/>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lang w:val="en"/>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lang w:val="en"/>
          <w14:textFill>
            <w14:solidFill>
              <w14:schemeClr w14:val="tx1"/>
            </w14:solidFill>
          </w14:textFill>
        </w:rPr>
        <w:t>日</w:t>
      </w:r>
      <w:r>
        <w:rPr>
          <w:rFonts w:hint="eastAsia" w:ascii="宋体" w:hAnsi="宋体" w:cs="宋体"/>
          <w:color w:val="000000" w:themeColor="text1"/>
          <w:szCs w:val="21"/>
          <w14:textFill>
            <w14:solidFill>
              <w14:schemeClr w14:val="tx1"/>
            </w14:solidFill>
          </w14:textFill>
        </w:rPr>
        <w:t>至</w:t>
      </w:r>
      <w:r>
        <w:rPr>
          <w:rFonts w:hint="eastAsia" w:ascii="宋体" w:hAnsi="宋体" w:cs="宋体"/>
          <w:color w:val="000000" w:themeColor="text1"/>
          <w:szCs w:val="21"/>
          <w:lang w:val="en"/>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lang w:val="en"/>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lang w:val="en"/>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15</w:t>
      </w:r>
      <w:r>
        <w:rPr>
          <w:rFonts w:hint="eastAsia" w:ascii="宋体" w:hAnsi="宋体" w:cs="宋体"/>
          <w:color w:val="000000" w:themeColor="text1"/>
          <w:szCs w:val="21"/>
          <w:lang w:val="en"/>
          <w14:textFill>
            <w14:solidFill>
              <w14:schemeClr w14:val="tx1"/>
            </w14:solidFill>
          </w14:textFill>
        </w:rPr>
        <w:t>日</w:t>
      </w:r>
      <w:r>
        <w:rPr>
          <w:rFonts w:hint="eastAsia" w:ascii="宋体" w:hAnsi="宋体" w:cs="宋体"/>
          <w:color w:val="000000" w:themeColor="text1"/>
          <w:szCs w:val="21"/>
          <w14:textFill>
            <w14:solidFill>
              <w14:schemeClr w14:val="tx1"/>
            </w14:solidFill>
          </w14:textFill>
        </w:rPr>
        <w:t>，每天上午0</w:t>
      </w:r>
      <w:r>
        <w:rPr>
          <w:rFonts w:hint="eastAsia" w:ascii="宋体" w:hAnsi="宋体" w:cs="宋体"/>
          <w:color w:val="000000" w:themeColor="text1"/>
          <w:szCs w:val="21"/>
          <w:lang w:val="e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:00至12:00，下午12:00至23:59（北京时间，法定节假日除外）</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地点（网址）：</w:t>
      </w:r>
      <w:r>
        <w:rPr>
          <w:rFonts w:hint="eastAsia" w:ascii="宋体" w:hAnsi="宋体" w:cs="宋体"/>
          <w:color w:val="000000" w:themeColor="text1"/>
          <w:szCs w:val="21"/>
          <w:lang w:val="en"/>
          <w14:textFill>
            <w14:solidFill>
              <w14:schemeClr w14:val="tx1"/>
            </w14:solidFill>
          </w14:textFill>
        </w:rPr>
        <w:t>广西政府采购云平台（网址：http://www.gcy.zfcg.gxzf.gov.cn）</w:t>
      </w:r>
      <w:r>
        <w:rPr>
          <w:rFonts w:hint="eastAsia" w:ascii="宋体" w:hAnsi="宋体" w:cs="宋体"/>
          <w:color w:val="000000" w:themeColor="text1"/>
          <w:szCs w:val="21"/>
          <w14:textFill>
            <w14:solidFill>
              <w14:schemeClr w14:val="tx1"/>
            </w14:solidFill>
          </w14:textFill>
        </w:rPr>
        <w:t xml:space="preserve"> </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方式：请登录</w:t>
      </w:r>
      <w:r>
        <w:rPr>
          <w:rFonts w:hint="eastAsia" w:ascii="宋体" w:hAnsi="宋体" w:cs="宋体"/>
          <w:color w:val="000000" w:themeColor="text1"/>
          <w:szCs w:val="21"/>
          <w:lang w:val="en"/>
          <w14:textFill>
            <w14:solidFill>
              <w14:schemeClr w14:val="tx1"/>
            </w14:solidFill>
          </w14:textFill>
        </w:rPr>
        <w:t>广西政府采购云平台（网址：http://www.gcy.zfcg.gxzf.gov.cn）</w:t>
      </w:r>
      <w:r>
        <w:rPr>
          <w:rFonts w:hint="eastAsia" w:ascii="宋体" w:hAnsi="宋体" w:cs="宋体"/>
          <w:color w:val="000000" w:themeColor="text1"/>
          <w:szCs w:val="21"/>
          <w14:textFill>
            <w14:solidFill>
              <w14:schemeClr w14:val="tx1"/>
            </w14:solidFill>
          </w14:textFill>
        </w:rPr>
        <w:t>进行报名并获取采购文件；未注册的供应商可在广西政府采购云平台完成注册后再行报名。如在操作过程中遇到问题或需技术支持，请致电</w:t>
      </w:r>
      <w:r>
        <w:rPr>
          <w:rFonts w:hint="eastAsia" w:ascii="宋体" w:hAnsi="宋体" w:cs="宋体"/>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客服热线：95763。提示：公开招标公告附件内的招标文件仅供阅览使用；供应商只有在“</w:t>
      </w:r>
      <w:r>
        <w:rPr>
          <w:rFonts w:hint="eastAsia" w:ascii="宋体" w:hAnsi="宋体" w:cs="宋体"/>
          <w:color w:val="000000" w:themeColor="text1"/>
          <w:szCs w:val="21"/>
          <w:lang w:val="en"/>
          <w14:textFill>
            <w14:solidFill>
              <w14:schemeClr w14:val="tx1"/>
            </w14:solidFill>
          </w14:textFill>
        </w:rPr>
        <w:t>广西政府采购云平台</w:t>
      </w:r>
      <w:r>
        <w:rPr>
          <w:rFonts w:hint="eastAsia" w:ascii="宋体" w:hAnsi="宋体" w:cs="宋体"/>
          <w:color w:val="000000" w:themeColor="text1"/>
          <w:szCs w:val="21"/>
          <w14:textFill>
            <w14:solidFill>
              <w14:schemeClr w14:val="tx1"/>
            </w14:solidFill>
          </w14:textFill>
        </w:rPr>
        <w:t>”完成获取招标文件申请并下载了招标文件后才视作依法获取招标文件（法律法规所指的供应商获取招标文件时间以供应商完成获取招标文件申请后下载招标文件的时间为准）。</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售价（元）：0 </w:t>
      </w:r>
    </w:p>
    <w:p>
      <w:pPr>
        <w:adjustRightInd w:val="0"/>
        <w:snapToGrid w:val="0"/>
        <w:spacing w:line="380" w:lineRule="exact"/>
        <w:rPr>
          <w:rFonts w:ascii="宋体" w:hAnsi="宋体" w:cs="宋体"/>
          <w:b/>
          <w:color w:val="000000" w:themeColor="text1"/>
          <w:szCs w:val="21"/>
          <w14:textFill>
            <w14:solidFill>
              <w14:schemeClr w14:val="tx1"/>
            </w14:solidFill>
          </w14:textFill>
        </w:rPr>
      </w:pPr>
    </w:p>
    <w:p>
      <w:pPr>
        <w:adjustRightInd w:val="0"/>
        <w:snapToGrid w:val="0"/>
        <w:spacing w:line="38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四、提交投标文件截止时间、开标时间和地点</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提交投标文件截止时间：</w:t>
      </w:r>
      <w:r>
        <w:rPr>
          <w:rFonts w:hint="eastAsia" w:ascii="宋体" w:hAnsi="宋体" w:cs="宋体"/>
          <w:color w:val="000000" w:themeColor="text1"/>
          <w:szCs w:val="21"/>
          <w:lang w:val="en"/>
          <w14:textFill>
            <w14:solidFill>
              <w14:schemeClr w14:val="tx1"/>
            </w14:solidFill>
          </w14:textFill>
        </w:rPr>
        <w:t>202</w:t>
      </w:r>
      <w:r>
        <w:rPr>
          <w:rFonts w:hint="eastAsia"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lang w:val="en"/>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9月29</w:t>
      </w:r>
      <w:r>
        <w:rPr>
          <w:rFonts w:hint="eastAsia" w:ascii="宋体" w:hAnsi="宋体" w:cs="宋体"/>
          <w:color w:val="000000" w:themeColor="text1"/>
          <w:szCs w:val="21"/>
          <w:lang w:val="en"/>
          <w14:textFill>
            <w14:solidFill>
              <w14:schemeClr w14:val="tx1"/>
            </w14:solidFill>
          </w14:textFill>
        </w:rPr>
        <w:t>日</w:t>
      </w:r>
      <w:r>
        <w:rPr>
          <w:rFonts w:hint="eastAsia" w:ascii="宋体" w:hAnsi="宋体" w:cs="宋体"/>
          <w:color w:val="000000" w:themeColor="text1"/>
          <w:szCs w:val="21"/>
          <w14:textFill>
            <w14:solidFill>
              <w14:schemeClr w14:val="tx1"/>
            </w14:solidFill>
          </w14:textFill>
        </w:rPr>
        <w:t>10:00（北京时间）</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投标地点（网址）：</w:t>
      </w:r>
      <w:r>
        <w:rPr>
          <w:rFonts w:hint="eastAsia" w:ascii="宋体" w:hAnsi="宋体" w:cs="宋体"/>
          <w:color w:val="000000" w:themeColor="text1"/>
          <w:szCs w:val="21"/>
          <w:lang w:val="en"/>
          <w14:textFill>
            <w14:solidFill>
              <w14:schemeClr w14:val="tx1"/>
            </w14:solidFill>
          </w14:textFill>
        </w:rPr>
        <w:t>http://www.gcy.zfcg.gxzf.gov.cn</w:t>
      </w:r>
      <w:r>
        <w:rPr>
          <w:rFonts w:hint="eastAsia" w:ascii="宋体" w:hAnsi="宋体" w:cs="宋体"/>
          <w:color w:val="000000" w:themeColor="text1"/>
          <w:szCs w:val="21"/>
          <w14:textFill>
            <w14:solidFill>
              <w14:schemeClr w14:val="tx1"/>
            </w14:solidFill>
          </w14:textFill>
        </w:rPr>
        <w:t>（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开标时间： </w:t>
      </w:r>
      <w:r>
        <w:rPr>
          <w:rFonts w:hint="eastAsia" w:ascii="宋体" w:hAnsi="宋体" w:cs="宋体"/>
          <w:color w:val="000000" w:themeColor="text1"/>
          <w:szCs w:val="21"/>
          <w:lang w:val="en"/>
          <w14:textFill>
            <w14:solidFill>
              <w14:schemeClr w14:val="tx1"/>
            </w14:solidFill>
          </w14:textFill>
        </w:rPr>
        <w:t>202</w:t>
      </w:r>
      <w:r>
        <w:rPr>
          <w:rFonts w:hint="eastAsia"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lang w:val="en"/>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lang w:val="en"/>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29</w:t>
      </w:r>
      <w:r>
        <w:rPr>
          <w:rFonts w:hint="eastAsia" w:ascii="宋体" w:hAnsi="宋体" w:cs="宋体"/>
          <w:color w:val="000000" w:themeColor="text1"/>
          <w:szCs w:val="21"/>
          <w:lang w:val="en"/>
          <w14:textFill>
            <w14:solidFill>
              <w14:schemeClr w14:val="tx1"/>
            </w14:solidFill>
          </w14:textFill>
        </w:rPr>
        <w:t>日</w:t>
      </w:r>
      <w:r>
        <w:rPr>
          <w:rFonts w:hint="eastAsia" w:ascii="宋体" w:hAnsi="宋体" w:cs="宋体"/>
          <w:color w:val="000000" w:themeColor="text1"/>
          <w:szCs w:val="21"/>
          <w14:textFill>
            <w14:solidFill>
              <w14:schemeClr w14:val="tx1"/>
            </w14:solidFill>
          </w14:textFill>
        </w:rPr>
        <w:t xml:space="preserve">10:00 </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开标地点：广西壮族自治区南宁市青秀区广西政府采购云平台开标大厅</w:t>
      </w:r>
    </w:p>
    <w:p>
      <w:pPr>
        <w:adjustRightInd w:val="0"/>
        <w:snapToGrid w:val="0"/>
        <w:spacing w:line="380" w:lineRule="exact"/>
        <w:rPr>
          <w:rFonts w:ascii="宋体" w:hAnsi="宋体" w:cs="宋体"/>
          <w:b/>
          <w:color w:val="000000" w:themeColor="text1"/>
          <w:szCs w:val="21"/>
          <w14:textFill>
            <w14:solidFill>
              <w14:schemeClr w14:val="tx1"/>
            </w14:solidFill>
          </w14:textFill>
        </w:rPr>
      </w:pPr>
    </w:p>
    <w:p>
      <w:pPr>
        <w:adjustRightInd w:val="0"/>
        <w:snapToGrid w:val="0"/>
        <w:spacing w:line="38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五、公告期限 </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pPr>
        <w:adjustRightInd w:val="0"/>
        <w:snapToGrid w:val="0"/>
        <w:spacing w:line="380" w:lineRule="exact"/>
        <w:rPr>
          <w:rFonts w:ascii="宋体" w:hAnsi="宋体" w:cs="宋体"/>
          <w:b/>
          <w:color w:val="000000" w:themeColor="text1"/>
          <w:szCs w:val="21"/>
          <w14:textFill>
            <w14:solidFill>
              <w14:schemeClr w14:val="tx1"/>
            </w14:solidFill>
          </w14:textFill>
        </w:rPr>
      </w:pPr>
    </w:p>
    <w:p>
      <w:pPr>
        <w:adjustRightInd w:val="0"/>
        <w:snapToGrid w:val="0"/>
        <w:spacing w:line="38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六、其他补充事宜</w:t>
      </w:r>
    </w:p>
    <w:p>
      <w:pPr>
        <w:adjustRightInd w:val="0"/>
        <w:snapToGrid w:val="0"/>
        <w:spacing w:line="380" w:lineRule="exact"/>
        <w:ind w:firstLine="420" w:firstLineChars="200"/>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1.投标保证金（人民币）：</w:t>
      </w:r>
      <w:r>
        <w:rPr>
          <w:rFonts w:hint="eastAsia" w:ascii="宋体" w:hAnsi="宋体" w:cs="宋体"/>
          <w:b/>
          <w:bCs/>
          <w:color w:val="000000" w:themeColor="text1"/>
          <w:szCs w:val="21"/>
          <w:u w:val="single"/>
          <w:lang w:val="en-US" w:eastAsia="zh-CN"/>
          <w14:textFill>
            <w14:solidFill>
              <w14:schemeClr w14:val="tx1"/>
            </w14:solidFill>
          </w14:textFill>
        </w:rPr>
        <w:t>5</w:t>
      </w:r>
      <w:r>
        <w:rPr>
          <w:rFonts w:hint="eastAsia" w:ascii="宋体" w:hAnsi="宋体" w:cs="宋体"/>
          <w:b/>
          <w:bCs/>
          <w:color w:val="000000" w:themeColor="text1"/>
          <w:szCs w:val="21"/>
          <w14:textFill>
            <w14:solidFill>
              <w14:schemeClr w14:val="tx1"/>
            </w14:solidFill>
          </w14:textFill>
        </w:rPr>
        <w:t>万元。</w:t>
      </w:r>
      <w:r>
        <w:rPr>
          <w:rFonts w:hint="eastAsia" w:ascii="宋体" w:hAnsi="宋体" w:cs="宋体"/>
          <w:color w:val="000000" w:themeColor="text1"/>
          <w:szCs w:val="21"/>
          <w:lang w:val="e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必须足额交纳</w:t>
      </w:r>
      <w:r>
        <w:rPr>
          <w:rFonts w:hint="eastAsia" w:ascii="宋体" w:hAnsi="宋体" w:cs="宋体"/>
          <w:color w:val="000000" w:themeColor="text1"/>
          <w:szCs w:val="21"/>
          <w:lang w:val="en"/>
          <w14:textFill>
            <w14:solidFill>
              <w14:schemeClr w14:val="tx1"/>
            </w14:solidFill>
          </w14:textFill>
        </w:rPr>
        <w:t>）</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（1）投标保证金交纳形式：支票、汇票、本票、金融机构、担保机构出具的保函等非现金形式。</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（2）采用网上银行转账形式的，投标人应于提交投标文件截止时间前将投标保证金交至以下账户。</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开户名称：广西壮族自治区政府采购中心</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开户银行：中国农业银行股份有限公司南宁市古城支行</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银行账号：20009101040051648</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采用支票、汇票、本票或者保函等形式的，投标人应于提交投标文件截止时间前递交单独密封的支票、汇票、本票或者保函原件至我中心财务处。</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（4）本中心财务处联系方式：</w:t>
      </w:r>
    </w:p>
    <w:p>
      <w:pPr>
        <w:adjustRightInd w:val="0"/>
        <w:snapToGrid w:val="0"/>
        <w:spacing w:line="380" w:lineRule="exact"/>
        <w:ind w:firstLine="420" w:firstLineChars="200"/>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地址：广西南宁市星湖路22号广西壮族自治区政府采购中心综合楼3楼306室；</w:t>
      </w:r>
    </w:p>
    <w:p>
      <w:pPr>
        <w:adjustRightInd w:val="0"/>
        <w:snapToGrid w:val="0"/>
        <w:spacing w:line="380" w:lineRule="exact"/>
        <w:ind w:firstLine="420" w:firstLineChars="200"/>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电话：0771-8600309。</w:t>
      </w:r>
    </w:p>
    <w:p>
      <w:pPr>
        <w:adjustRightInd w:val="0"/>
        <w:snapToGrid w:val="0"/>
        <w:spacing w:line="380" w:lineRule="exact"/>
        <w:ind w:firstLine="420" w:firstLineChars="200"/>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本项目需要落实的政府采购政策</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政府采购促进中小企业发展；政府采购支持采用本国产品的政策；</w:t>
      </w:r>
      <w:r>
        <w:rPr>
          <w:rFonts w:hint="eastAsia" w:ascii="宋体" w:hAnsi="宋体" w:cs="宋体"/>
          <w:b/>
          <w:color w:val="000000" w:themeColor="text1"/>
          <w:kern w:val="0"/>
          <w:szCs w:val="21"/>
          <w14:textFill>
            <w14:solidFill>
              <w14:schemeClr w14:val="tx1"/>
            </w14:solidFill>
          </w14:textFill>
        </w:rPr>
        <w:t>政府采购支持采用本国产品的政策；</w:t>
      </w:r>
      <w:r>
        <w:rPr>
          <w:rFonts w:hint="eastAsia" w:ascii="宋体" w:hAnsi="宋体" w:cs="宋体"/>
          <w:color w:val="000000" w:themeColor="text1"/>
          <w:szCs w:val="21"/>
          <w14:textFill>
            <w14:solidFill>
              <w14:schemeClr w14:val="tx1"/>
            </w14:solidFill>
          </w14:textFill>
        </w:rPr>
        <w:t>强制采购节能产品；优先采购节能产品、环境标志产品；政府采购促进残疾人就业政策；政府采购支持监狱企业发展；政府采购扶持不发达地区和少数民族地区等。</w:t>
      </w:r>
    </w:p>
    <w:p>
      <w:pPr>
        <w:adjustRightInd w:val="0"/>
        <w:snapToGrid w:val="0"/>
        <w:spacing w:line="380" w:lineRule="exact"/>
        <w:ind w:firstLine="420" w:firstLineChars="200"/>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网上公告媒体查询</w:t>
      </w:r>
      <w:r>
        <w:rPr>
          <w:rFonts w:hint="eastAsia" w:ascii="宋体" w:hAnsi="宋体" w:cs="宋体"/>
          <w:color w:val="000000" w:themeColor="text1"/>
          <w:szCs w:val="21"/>
          <w:lang w:val="en"/>
          <w14:textFill>
            <w14:solidFill>
              <w14:schemeClr w14:val="tx1"/>
            </w14:solidFill>
          </w14:textFill>
        </w:rPr>
        <w:t>：</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中国政府采购网（www.ccgp.gov.cn）、广西壮族自治区政府采购网（zfcg.gxzf.gov.cn）、广西壮族自治区政府采购中心网站（gxggzy.gxzf.gov.cn）。</w:t>
      </w:r>
    </w:p>
    <w:p>
      <w:pPr>
        <w:adjustRightInd w:val="0"/>
        <w:snapToGrid w:val="0"/>
        <w:spacing w:line="380" w:lineRule="exact"/>
        <w:ind w:firstLine="420" w:firstLineChars="200"/>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其他注意事项</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（1）本项目实行电子投标，供应商应按照本项目招标文件和</w:t>
      </w:r>
      <w:r>
        <w:rPr>
          <w:rFonts w:hint="eastAsia" w:ascii="宋体" w:hAnsi="宋体" w:cs="宋体"/>
          <w:color w:val="000000" w:themeColor="text1"/>
          <w:szCs w:val="21"/>
          <w:lang w:val="en"/>
          <w14:textFill>
            <w14:solidFill>
              <w14:schemeClr w14:val="tx1"/>
            </w14:solidFill>
          </w14:textFill>
        </w:rPr>
        <w:t>广西政府采购云平台</w:t>
      </w:r>
      <w:r>
        <w:rPr>
          <w:rFonts w:hint="eastAsia" w:ascii="宋体" w:hAnsi="宋体" w:cs="宋体"/>
          <w:color w:val="000000" w:themeColor="text1"/>
          <w:szCs w:val="21"/>
          <w14:textFill>
            <w14:solidFill>
              <w14:schemeClr w14:val="tx1"/>
            </w14:solidFill>
          </w14:textFill>
        </w:rPr>
        <w:t>的要求编制、加密并提交投标文件。供应商在使用系统参与投标过程中遇到涉及平台使用的任何问题，可致电</w:t>
      </w:r>
      <w:r>
        <w:rPr>
          <w:rFonts w:hint="eastAsia" w:ascii="宋体" w:hAnsi="宋体" w:cs="宋体"/>
          <w:color w:val="000000" w:themeColor="text1"/>
          <w:szCs w:val="21"/>
          <w:lang w:val="en"/>
          <w14:textFill>
            <w14:solidFill>
              <w14:schemeClr w14:val="tx1"/>
            </w14:solidFill>
          </w14:textFill>
        </w:rPr>
        <w:t>广西政府采购云平台</w:t>
      </w:r>
      <w:r>
        <w:rPr>
          <w:rFonts w:hint="eastAsia" w:ascii="宋体" w:hAnsi="宋体" w:cs="宋体"/>
          <w:color w:val="000000" w:themeColor="text1"/>
          <w:szCs w:val="21"/>
          <w14:textFill>
            <w14:solidFill>
              <w14:schemeClr w14:val="tx1"/>
            </w14:solidFill>
          </w14:textFill>
        </w:rPr>
        <w:t>技术支持热线咨询，联系方式：95763。</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（2）供应商应及时熟悉掌握电子标系统操作指南（见</w:t>
      </w:r>
      <w:r>
        <w:rPr>
          <w:rFonts w:hint="eastAsia" w:ascii="宋体" w:hAnsi="宋体" w:cs="宋体"/>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电子卖场首页右上角—服务中心—帮助文档—项目采购）：</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"https://service.zcygov.cn/" \l "/knowledges/tree?tag=AG1DtGwBFdiHxlNdhY0r。" </w:instrText>
      </w:r>
      <w:r>
        <w:rPr>
          <w:color w:val="000000" w:themeColor="text1"/>
          <w14:textFill>
            <w14:solidFill>
              <w14:schemeClr w14:val="tx1"/>
            </w14:solidFill>
          </w14:textFill>
        </w:rPr>
        <w:fldChar w:fldCharType="separate"/>
      </w:r>
      <w:r>
        <w:rPr>
          <w:rFonts w:hint="eastAsia" w:ascii="宋体" w:hAnsi="宋体" w:cs="宋体"/>
          <w:color w:val="000000" w:themeColor="text1"/>
          <w:szCs w:val="21"/>
          <w14:textFill>
            <w14:solidFill>
              <w14:schemeClr w14:val="tx1"/>
            </w14:solidFill>
          </w14:textFill>
        </w:rPr>
        <w:t>https://service.zcygov.cn/#/knowledges/tree?tag=AG1DtGwBFdiHxlNdhY0r。</w:t>
      </w:r>
      <w:r>
        <w:rPr>
          <w:rFonts w:hint="eastAsia" w:ascii="宋体" w:hAnsi="宋体" w:cs="宋体"/>
          <w:color w:val="000000" w:themeColor="text1"/>
          <w:szCs w:val="21"/>
          <w14:textFill>
            <w14:solidFill>
              <w14:schemeClr w14:val="tx1"/>
            </w14:solidFill>
          </w14:textFill>
        </w:rPr>
        <w:fldChar w:fldCharType="end"/>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（3）供应商应及时完成CA申领和绑定（见广西壮族自治区政府采购网—办事服务—下载专区-政采云CA证书办理操作指南）。</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（4）供应商通过</w:t>
      </w:r>
      <w:r>
        <w:rPr>
          <w:rFonts w:hint="eastAsia" w:ascii="宋体" w:hAnsi="宋体" w:cs="宋体"/>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投标客户端软件制作投标文件，</w:t>
      </w:r>
      <w:r>
        <w:rPr>
          <w:rFonts w:hint="eastAsia" w:ascii="宋体" w:hAnsi="宋体" w:cs="宋体"/>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 xml:space="preserve">投标客户端软件请供应商自行前往下载并安装（见广西壮族自治区政府采购网—办事服务—下载专区-广西壮族自治区全流程电子招投标项目管理系统--供应商客户端）。 </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（5）因未注册入库、未办理CA数字证书、CA证书故障、操作不当等原因造成无法投标或投标失败等后果由供应商自行承担。</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（6）投标文件网上提交截止后，</w:t>
      </w:r>
      <w:r>
        <w:rPr>
          <w:rFonts w:hint="eastAsia" w:ascii="宋体" w:hAnsi="宋体" w:cs="宋体"/>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（电子标系统）自动提取所有投标文件，各供应商须在开标开始后30分钟内对上传</w:t>
      </w:r>
      <w:r>
        <w:rPr>
          <w:rFonts w:hint="eastAsia" w:ascii="宋体" w:hAnsi="宋体" w:cs="宋体"/>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的投标文件进行解密，所有供应商在规定的解密时限内解密完成或解密时限结束后，我中心开启投标文件；供应商超过解密时限的，系统默认自动放弃。</w:t>
      </w:r>
    </w:p>
    <w:p>
      <w:pPr>
        <w:adjustRightInd w:val="0"/>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  </w:t>
      </w:r>
    </w:p>
    <w:p>
      <w:pPr>
        <w:adjustRightInd w:val="0"/>
        <w:snapToGrid w:val="0"/>
        <w:spacing w:line="38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七、对本次采购提出询问，请按以下方式联系</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 广西中医药大学</w:t>
      </w:r>
    </w:p>
    <w:p>
      <w:pPr>
        <w:pStyle w:val="48"/>
        <w:spacing w:line="380" w:lineRule="exact"/>
        <w:rPr>
          <w:rFonts w:hAnsi="宋体" w:cs="宋体"/>
          <w:b w:val="0"/>
          <w:bCs/>
          <w:color w:val="000000" w:themeColor="text1"/>
          <w:szCs w:val="21"/>
          <w14:textFill>
            <w14:solidFill>
              <w14:schemeClr w14:val="tx1"/>
            </w14:solidFill>
          </w14:textFill>
        </w:rPr>
      </w:pPr>
      <w:r>
        <w:rPr>
          <w:rFonts w:hint="eastAsia" w:hAnsi="宋体" w:cs="宋体"/>
          <w:b w:val="0"/>
          <w:bCs/>
          <w:color w:val="000000" w:themeColor="text1"/>
          <w:szCs w:val="21"/>
          <w14:textFill>
            <w14:solidFill>
              <w14:schemeClr w14:val="tx1"/>
            </w14:solidFill>
          </w14:textFill>
        </w:rPr>
        <w:t>地    址：</w:t>
      </w:r>
      <w:r>
        <w:rPr>
          <w:rFonts w:hint="eastAsia" w:hAnsi="宋体" w:cs="宋体"/>
          <w:b w:val="0"/>
          <w:bCs/>
          <w:color w:val="000000" w:themeColor="text1"/>
          <w:kern w:val="0"/>
          <w:szCs w:val="21"/>
          <w14:textFill>
            <w14:solidFill>
              <w14:schemeClr w14:val="tx1"/>
            </w14:solidFill>
          </w14:textFill>
        </w:rPr>
        <w:t>广西南宁市五合大道13号</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项目联系人： </w:t>
      </w:r>
      <w:r>
        <w:rPr>
          <w:rFonts w:hint="eastAsia" w:ascii="宋体" w:hAnsi="宋体" w:cs="宋体"/>
          <w:bCs/>
          <w:color w:val="000000" w:themeColor="text1"/>
          <w:kern w:val="0"/>
          <w:szCs w:val="21"/>
          <w14:textFill>
            <w14:solidFill>
              <w14:schemeClr w14:val="tx1"/>
            </w14:solidFill>
          </w14:textFill>
        </w:rPr>
        <w:t>黄建</w:t>
      </w:r>
      <w:r>
        <w:rPr>
          <w:rFonts w:hint="eastAsia" w:ascii="宋体" w:hAnsi="宋体" w:cs="宋体"/>
          <w:color w:val="000000" w:themeColor="text1"/>
          <w:kern w:val="0"/>
          <w:szCs w:val="21"/>
          <w14:textFill>
            <w14:solidFill>
              <w14:schemeClr w14:val="tx1"/>
            </w14:solidFill>
          </w14:textFill>
        </w:rPr>
        <w:t xml:space="preserve">民  </w:t>
      </w:r>
      <w:r>
        <w:rPr>
          <w:rFonts w:hint="eastAsia" w:ascii="宋体" w:hAnsi="宋体" w:cs="宋体"/>
          <w:color w:val="000000" w:themeColor="text1"/>
          <w:szCs w:val="21"/>
          <w14:textFill>
            <w14:solidFill>
              <w14:schemeClr w14:val="tx1"/>
            </w14:solidFill>
          </w14:textFill>
        </w:rPr>
        <w:t>秦燕</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项目联系方式：0771-4733924</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称：广西壮族自治区政府采购中心</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地    址：广西南宁市星湖路22号  </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项目联系人：许佩玲</w:t>
      </w:r>
    </w:p>
    <w:p>
      <w:pPr>
        <w:adjustRightInd w:val="0"/>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项目联系方式：0771-8600346</w:t>
      </w:r>
    </w:p>
    <w:p>
      <w:pPr>
        <w:adjustRightInd w:val="0"/>
        <w:snapToGrid w:val="0"/>
        <w:spacing w:line="380" w:lineRule="exact"/>
        <w:ind w:firstLine="630" w:firstLineChars="300"/>
        <w:rPr>
          <w:rFonts w:ascii="宋体" w:hAnsi="宋体" w:cs="宋体"/>
          <w:color w:val="000000" w:themeColor="text1"/>
          <w:szCs w:val="21"/>
          <w14:textFill>
            <w14:solidFill>
              <w14:schemeClr w14:val="tx1"/>
            </w14:solidFill>
          </w14:textFill>
        </w:rPr>
      </w:pPr>
    </w:p>
    <w:p>
      <w:pPr>
        <w:snapToGrid w:val="0"/>
        <w:spacing w:line="380" w:lineRule="exact"/>
        <w:ind w:left="238" w:firstLine="420" w:firstLineChars="200"/>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广西壮族自治区政府采购中心</w:t>
      </w:r>
    </w:p>
    <w:p>
      <w:pPr>
        <w:snapToGrid w:val="0"/>
        <w:spacing w:line="380" w:lineRule="exact"/>
        <w:ind w:left="238" w:firstLine="420" w:firstLineChars="200"/>
        <w:jc w:val="right"/>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202</w:t>
      </w:r>
      <w:r>
        <w:rPr>
          <w:rFonts w:hint="eastAsia"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lang w:val="en"/>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lang w:val="en"/>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lang w:val="en"/>
          <w14:textFill>
            <w14:solidFill>
              <w14:schemeClr w14:val="tx1"/>
            </w14:solidFill>
          </w14:textFill>
        </w:rPr>
        <w:t>日</w:t>
      </w:r>
    </w:p>
    <w:p>
      <w:pPr>
        <w:snapToGrid w:val="0"/>
        <w:spacing w:before="156" w:beforeLines="50" w:after="156" w:afterLines="50" w:line="340" w:lineRule="exact"/>
        <w:ind w:left="238" w:firstLine="640" w:firstLineChars="200"/>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br w:type="page"/>
      </w:r>
    </w:p>
    <w:p>
      <w:pPr>
        <w:snapToGrid w:val="0"/>
        <w:spacing w:before="156" w:beforeLines="50" w:after="156" w:afterLines="50" w:line="360" w:lineRule="exact"/>
        <w:ind w:left="238"/>
        <w:jc w:val="center"/>
        <w:rPr>
          <w:rFonts w:ascii="黑体" w:eastAsia="黑体"/>
          <w:color w:val="000000" w:themeColor="text1"/>
          <w:sz w:val="32"/>
          <w:szCs w:val="32"/>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14:textFill>
            <w14:solidFill>
              <w14:schemeClr w14:val="tx1"/>
            </w14:solidFill>
          </w14:textFill>
        </w:rPr>
      </w:pPr>
    </w:p>
    <w:p>
      <w:pPr>
        <w:pStyle w:val="2"/>
        <w:rPr>
          <w:color w:val="000000" w:themeColor="text1"/>
          <w14:textFill>
            <w14:solidFill>
              <w14:schemeClr w14:val="tx1"/>
            </w14:solidFill>
          </w14:textFill>
        </w:rPr>
      </w:pPr>
    </w:p>
    <w:p>
      <w:pPr>
        <w:snapToGrid w:val="0"/>
        <w:spacing w:before="156" w:beforeLines="50" w:after="156" w:afterLines="50" w:line="360" w:lineRule="exact"/>
        <w:ind w:left="238"/>
        <w:jc w:val="center"/>
        <w:rPr>
          <w:rFonts w:ascii="黑体" w:eastAsia="黑体"/>
          <w:color w:val="000000" w:themeColor="text1"/>
          <w:sz w:val="32"/>
          <w:szCs w:val="32"/>
          <w14:textFill>
            <w14:solidFill>
              <w14:schemeClr w14:val="tx1"/>
            </w14:solidFill>
          </w14:textFill>
        </w:rPr>
      </w:pPr>
    </w:p>
    <w:p>
      <w:pPr>
        <w:snapToGrid w:val="0"/>
        <w:spacing w:before="156" w:beforeLines="50" w:after="156" w:afterLines="50"/>
        <w:ind w:left="238"/>
        <w:rPr>
          <w:rFonts w:ascii="黑体" w:eastAsia="黑体"/>
          <w:color w:val="000000" w:themeColor="text1"/>
          <w:sz w:val="36"/>
          <w:szCs w:val="36"/>
          <w14:textFill>
            <w14:solidFill>
              <w14:schemeClr w14:val="tx1"/>
            </w14:solidFill>
          </w14:textFill>
        </w:rPr>
      </w:pPr>
    </w:p>
    <w:p>
      <w:pPr>
        <w:snapToGrid w:val="0"/>
        <w:spacing w:before="156" w:beforeLines="50" w:after="156" w:afterLines="50"/>
        <w:jc w:val="center"/>
        <w:rPr>
          <w:rFonts w:ascii="黑体" w:eastAsia="黑体"/>
          <w:color w:val="000000" w:themeColor="text1"/>
          <w:sz w:val="36"/>
          <w:szCs w:val="36"/>
          <w14:textFill>
            <w14:solidFill>
              <w14:schemeClr w14:val="tx1"/>
            </w14:solidFill>
          </w14:textFill>
        </w:rPr>
      </w:pPr>
      <w:bookmarkStart w:id="8" w:name="_Toc1503697735_WPSOffice_Level1"/>
      <w:r>
        <w:rPr>
          <w:rFonts w:hint="eastAsia" w:ascii="宋体" w:hAnsi="宋体" w:cs="宋体"/>
          <w:b/>
          <w:color w:val="000000" w:themeColor="text1"/>
          <w:sz w:val="44"/>
          <w:szCs w:val="44"/>
          <w14:textFill>
            <w14:solidFill>
              <w14:schemeClr w14:val="tx1"/>
            </w14:solidFill>
          </w14:textFill>
        </w:rPr>
        <w:t xml:space="preserve">第二章  </w:t>
      </w:r>
      <w:r>
        <w:rPr>
          <w:rFonts w:hint="eastAsia" w:ascii="宋体" w:hAnsi="宋体" w:cs="宋体"/>
          <w:b/>
          <w:bCs/>
          <w:color w:val="000000" w:themeColor="text1"/>
          <w:sz w:val="44"/>
          <w:szCs w:val="44"/>
          <w14:textFill>
            <w14:solidFill>
              <w14:schemeClr w14:val="tx1"/>
            </w14:solidFill>
          </w14:textFill>
        </w:rPr>
        <w:t>招</w:t>
      </w:r>
      <w:r>
        <w:rPr>
          <w:rFonts w:hint="eastAsia" w:ascii="宋体" w:hAnsi="宋体" w:cs="宋体"/>
          <w:b/>
          <w:color w:val="000000" w:themeColor="text1"/>
          <w:sz w:val="44"/>
          <w:szCs w:val="44"/>
          <w14:textFill>
            <w14:solidFill>
              <w14:schemeClr w14:val="tx1"/>
            </w14:solidFill>
          </w14:textFill>
        </w:rPr>
        <w:t>标项目采购需求</w:t>
      </w:r>
      <w:bookmarkEnd w:id="8"/>
    </w:p>
    <w:p>
      <w:pPr>
        <w:spacing w:line="380" w:lineRule="exact"/>
        <w:ind w:firstLine="420" w:firstLineChars="200"/>
        <w:jc w:val="center"/>
        <w:rPr>
          <w:rFonts w:ascii="宋体" w:hAnsi="宋体"/>
          <w:b/>
          <w:bCs/>
          <w:color w:val="000000" w:themeColor="text1"/>
          <w:sz w:val="36"/>
          <w:szCs w:val="36"/>
          <w14:textFill>
            <w14:solidFill>
              <w14:schemeClr w14:val="tx1"/>
            </w14:solidFill>
          </w14:textFill>
        </w:rPr>
      </w:pPr>
      <w:r>
        <w:rPr>
          <w:color w:val="000000" w:themeColor="text1"/>
          <w14:textFill>
            <w14:solidFill>
              <w14:schemeClr w14:val="tx1"/>
            </w14:solidFill>
          </w14:textFill>
        </w:rPr>
        <w:br w:type="page"/>
      </w:r>
      <w:r>
        <w:rPr>
          <w:rFonts w:hint="eastAsia" w:ascii="宋体" w:hAnsi="宋体"/>
          <w:b/>
          <w:bCs/>
          <w:color w:val="000000" w:themeColor="text1"/>
          <w:sz w:val="36"/>
          <w:szCs w:val="36"/>
          <w14:textFill>
            <w14:solidFill>
              <w14:schemeClr w14:val="tx1"/>
            </w14:solidFill>
          </w14:textFill>
        </w:rPr>
        <w:t>招标项目采购需求</w:t>
      </w:r>
    </w:p>
    <w:p>
      <w:pPr>
        <w:snapToGrid w:val="0"/>
        <w:spacing w:line="38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说明：</w:t>
      </w:r>
    </w:p>
    <w:p>
      <w:pPr>
        <w:snapToGrid w:val="0"/>
        <w:spacing w:line="38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本需求中有参考品牌时，货物品牌型号、技术参数及其性能（配置）仅起参考作用，投标人可选用其他品牌型号替代，但这些替代的产品要实质上相当于或优于参考品牌型号及其技术参数性能（配置）要求；本采购需求中材质的要求及材质的厚度须满足或优于采购需求；产品性能须满足或优于用户要求；引用的所有标准，如有更新或替换时，应执行最新标准。</w:t>
      </w:r>
    </w:p>
    <w:p>
      <w:pPr>
        <w:snapToGrid w:val="0"/>
        <w:spacing w:line="38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snapToGrid w:val="0"/>
        <w:spacing w:line="380" w:lineRule="exact"/>
        <w:ind w:firstLine="421" w:firstLineChars="200"/>
        <w:jc w:val="left"/>
        <w:rPr>
          <w:rFonts w:ascii="宋体" w:hAnsi="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w:t>
      </w:r>
      <w:r>
        <w:rPr>
          <w:rFonts w:hint="eastAsia" w:ascii="宋体" w:hAnsi="宋体" w:cs="宋体"/>
          <w:b/>
          <w:bCs/>
          <w:color w:val="000000" w:themeColor="text1"/>
          <w14:textFill>
            <w14:solidFill>
              <w14:schemeClr w14:val="tx1"/>
            </w14:solidFill>
          </w14:textFill>
        </w:rPr>
        <w:t>“技术参数及性能（配置）要求”中</w:t>
      </w:r>
      <w:r>
        <w:rPr>
          <w:rFonts w:hint="eastAsia" w:ascii="宋体" w:hAnsi="宋体"/>
          <w:b/>
          <w:bCs/>
          <w:color w:val="000000" w:themeColor="text1"/>
          <w:szCs w:val="21"/>
          <w14:textFill>
            <w14:solidFill>
              <w14:schemeClr w14:val="tx1"/>
            </w14:solidFill>
          </w14:textFill>
        </w:rPr>
        <w:t>的“≥”和“≤”偏离情况说明如下：</w:t>
      </w:r>
    </w:p>
    <w:p>
      <w:pPr>
        <w:snapToGrid w:val="0"/>
        <w:spacing w:line="38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“≥”：“=”为无偏离，“＞”为正偏离；“＜”为负偏离；“≤”：“=”为无偏离，“＜”为正偏离，“＞”为负偏离。投标人响应时必须明确</w:t>
      </w:r>
      <w:r>
        <w:rPr>
          <w:rStyle w:val="206"/>
          <w:rFonts w:hint="eastAsia" w:ascii="宋体" w:hAnsi="宋体" w:cs="宋体"/>
          <w:b/>
          <w:bCs/>
          <w:color w:val="000000" w:themeColor="text1"/>
          <w:u w:val="none"/>
          <w14:textFill>
            <w14:solidFill>
              <w14:schemeClr w14:val="tx1"/>
            </w14:solidFill>
          </w14:textFill>
        </w:rPr>
        <w:t>具体响应数值</w:t>
      </w:r>
      <w:r>
        <w:rPr>
          <w:rFonts w:hint="eastAsia" w:ascii="宋体" w:hAnsi="宋体" w:cs="宋体"/>
          <w:b/>
          <w:bCs/>
          <w:color w:val="000000" w:themeColor="text1"/>
          <w:szCs w:val="21"/>
          <w14:textFill>
            <w14:solidFill>
              <w14:schemeClr w14:val="tx1"/>
            </w14:solidFill>
          </w14:textFill>
        </w:rPr>
        <w:t>。</w:t>
      </w:r>
    </w:p>
    <w:p>
      <w:pPr>
        <w:snapToGrid w:val="0"/>
        <w:spacing w:line="38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4、凡在“技术参数及性能（配置）要求”中表述为“标配”或“标准配置”的设备，投标人应在投标报价明细表中将其标配参数详细列明。</w:t>
      </w:r>
    </w:p>
    <w:p>
      <w:pPr>
        <w:snapToGrid w:val="0"/>
        <w:spacing w:line="38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5、招标文件中带“▲”的条款为本次采购的实质性(关键性)的商务、技术或服务要求，投标人须满足或优于，否则，将会被认定为无效投标</w:t>
      </w:r>
      <w:r>
        <w:rPr>
          <w:rStyle w:val="206"/>
          <w:rFonts w:hint="eastAsia" w:ascii="宋体" w:hAnsi="宋体"/>
          <w:b/>
          <w:bCs/>
          <w:color w:val="000000" w:themeColor="text1"/>
          <w:szCs w:val="21"/>
          <w:u w:val="none"/>
          <w14:textFill>
            <w14:solidFill>
              <w14:schemeClr w14:val="tx1"/>
            </w14:solidFill>
          </w14:textFill>
        </w:rPr>
        <w:t>。</w:t>
      </w:r>
    </w:p>
    <w:p>
      <w:pPr>
        <w:snapToGrid w:val="0"/>
        <w:spacing w:line="38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6、本项目为</w:t>
      </w:r>
      <w:r>
        <w:rPr>
          <w:rFonts w:hint="eastAsia" w:ascii="宋体" w:hAnsi="宋体" w:cs="宋体"/>
          <w:b/>
          <w:bCs/>
          <w:color w:val="000000" w:themeColor="text1"/>
          <w:szCs w:val="21"/>
          <w:u w:val="single"/>
          <w14:textFill>
            <w14:solidFill>
              <w14:schemeClr w14:val="tx1"/>
            </w14:solidFill>
          </w14:textFill>
        </w:rPr>
        <w:t xml:space="preserve"> 货物类 </w:t>
      </w:r>
      <w:r>
        <w:rPr>
          <w:rFonts w:hint="eastAsia" w:ascii="宋体" w:hAnsi="宋体" w:cs="宋体"/>
          <w:b/>
          <w:bCs/>
          <w:color w:val="000000" w:themeColor="text1"/>
          <w:szCs w:val="21"/>
          <w14:textFill>
            <w14:solidFill>
              <w14:schemeClr w14:val="tx1"/>
            </w14:solidFill>
          </w14:textFill>
        </w:rPr>
        <w:t>项目；本项目标的所属行业均为：</w:t>
      </w:r>
      <w:r>
        <w:rPr>
          <w:rFonts w:hint="eastAsia" w:ascii="宋体" w:hAnsi="宋体" w:cs="宋体"/>
          <w:b/>
          <w:bCs/>
          <w:color w:val="000000" w:themeColor="text1"/>
          <w:szCs w:val="21"/>
          <w:u w:val="single"/>
          <w14:textFill>
            <w14:solidFill>
              <w14:schemeClr w14:val="tx1"/>
            </w14:solidFill>
          </w14:textFill>
        </w:rPr>
        <w:t xml:space="preserve"> 工业 </w:t>
      </w:r>
      <w:r>
        <w:rPr>
          <w:rFonts w:hint="eastAsia" w:ascii="宋体" w:hAnsi="宋体" w:cs="宋体"/>
          <w:b/>
          <w:bCs/>
          <w:color w:val="000000" w:themeColor="text1"/>
          <w:szCs w:val="21"/>
          <w14:textFill>
            <w14:solidFill>
              <w14:schemeClr w14:val="tx1"/>
            </w14:solidFill>
          </w14:textFill>
        </w:rPr>
        <w:t>；划分依据：《关于印发中小企业划型标准规定的通知》（工信部联企业[2011]300号）。</w:t>
      </w:r>
    </w:p>
    <w:p>
      <w:pPr>
        <w:adjustRightInd w:val="0"/>
        <w:snapToGrid w:val="0"/>
        <w:spacing w:line="380" w:lineRule="exact"/>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7、本项目采购总预算：</w:t>
      </w:r>
      <w:r>
        <w:rPr>
          <w:rFonts w:hint="eastAsia" w:ascii="宋体" w:hAnsi="宋体" w:cs="宋体"/>
          <w:b/>
          <w:color w:val="000000" w:themeColor="text1"/>
          <w:szCs w:val="21"/>
          <w:u w:val="single"/>
          <w14:textFill>
            <w14:solidFill>
              <w14:schemeClr w14:val="tx1"/>
            </w14:solidFill>
          </w14:textFill>
        </w:rPr>
        <w:t>5,785,520.00</w:t>
      </w:r>
      <w:r>
        <w:rPr>
          <w:rFonts w:hint="eastAsia" w:ascii="宋体" w:hAnsi="宋体" w:cs="宋体"/>
          <w:b/>
          <w:bCs/>
          <w:color w:val="000000" w:themeColor="text1"/>
          <w:szCs w:val="21"/>
          <w:u w:val="single"/>
          <w14:textFill>
            <w14:solidFill>
              <w14:schemeClr w14:val="tx1"/>
            </w14:solidFill>
          </w14:textFill>
        </w:rPr>
        <w:t>元。</w:t>
      </w:r>
    </w:p>
    <w:tbl>
      <w:tblPr>
        <w:tblStyle w:val="52"/>
        <w:tblW w:w="0" w:type="auto"/>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036"/>
        <w:gridCol w:w="1023"/>
        <w:gridCol w:w="4746"/>
        <w:gridCol w:w="1909"/>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b/>
                <w:iCs/>
                <w:color w:val="000000" w:themeColor="text1"/>
                <w:szCs w:val="21"/>
                <w14:textFill>
                  <w14:solidFill>
                    <w14:schemeClr w14:val="tx1"/>
                  </w14:solidFill>
                </w14:textFill>
              </w:rPr>
            </w:pPr>
            <w:bookmarkStart w:id="9" w:name="OLE_LINK15"/>
            <w:r>
              <w:rPr>
                <w:rFonts w:hint="eastAsia" w:ascii="宋体" w:hAnsi="宋体" w:cs="宋体"/>
                <w:b/>
                <w:iCs/>
                <w:color w:val="000000" w:themeColor="text1"/>
                <w:szCs w:val="21"/>
                <w14:textFill>
                  <w14:solidFill>
                    <w14:schemeClr w14:val="tx1"/>
                  </w14:solidFill>
                </w14:textFill>
              </w:rPr>
              <w:t>项号</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b/>
                <w:iCs/>
                <w:color w:val="000000" w:themeColor="text1"/>
                <w:szCs w:val="21"/>
                <w14:textFill>
                  <w14:solidFill>
                    <w14:schemeClr w14:val="tx1"/>
                  </w14:solidFill>
                </w14:textFill>
              </w:rPr>
            </w:pPr>
            <w:r>
              <w:rPr>
                <w:rFonts w:hint="eastAsia" w:ascii="宋体" w:hAnsi="宋体" w:cs="宋体"/>
                <w:b/>
                <w:iCs/>
                <w:color w:val="000000" w:themeColor="text1"/>
                <w:szCs w:val="21"/>
                <w14:textFill>
                  <w14:solidFill>
                    <w14:schemeClr w14:val="tx1"/>
                  </w14:solidFill>
                </w14:textFill>
              </w:rPr>
              <w:t>采购标的</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b/>
                <w:iCs/>
                <w:color w:val="000000" w:themeColor="text1"/>
                <w:szCs w:val="21"/>
                <w14:textFill>
                  <w14:solidFill>
                    <w14:schemeClr w14:val="tx1"/>
                  </w14:solidFill>
                </w14:textFill>
              </w:rPr>
              <w:t>数量</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b/>
                <w:bCs/>
                <w:i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技术参数及性能（配置）要求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ascii="宋体" w:hAnsi="宋体" w:cs="宋体"/>
                <w:b/>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六层书架</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846组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一、主体部分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1.参考尺寸：长×宽×高≥900×450×2200mm（允许偏差±5mm），双面六层结构。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2.钢制书架：钢制结构拆装式榫卯结构，安装简单、方便、牢固，便于拆迁和搬运。可根据用户需求进行多架组合拼接使用。主体为双柱双面六层结构，采用优质冷轧钢。整体符合GB/T 13667.1-2015《钢制书架第1部分：单、复柱书架》，所用钢板各项性能均符合国家标准或行业的标准要求。所用塑粉符合 HG/T 2006-2022《热固性和热塑性粉末涂料》要求。</w:t>
            </w:r>
          </w:p>
          <w:p>
            <w:pPr>
              <w:pStyle w:val="659"/>
              <w:spacing w:before="0" w:beforeAutospacing="0" w:after="0" w:afterAutospacing="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3.立柱：采用≥1.5mm优质冷轧钢板一体成型工艺，立柱均匀冲孔，层数和间距可按需要调整，挂板安装后挂板表面不超出立柱侧表面。立柱满足或优于符合国家标准或行业的标准要求。</w:t>
            </w:r>
          </w:p>
          <w:p>
            <w:pPr>
              <w:pStyle w:val="659"/>
              <w:spacing w:before="0" w:beforeAutospacing="0" w:after="0" w:afterAutospacing="0"/>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4.搁板：采用≥1.2mm优质冷轧钢板，层（搁）板采用一体成型工艺，搁板</w:t>
            </w:r>
            <w:r>
              <w:rPr>
                <w:rFonts w:hint="eastAsia" w:ascii="宋体" w:hAnsi="宋体" w:eastAsia="宋体" w:cs="宋体"/>
                <w:color w:val="000000" w:themeColor="text1"/>
                <w:sz w:val="21"/>
                <w:szCs w:val="21"/>
                <w:lang w:val="en-US" w:eastAsia="zh-CN"/>
                <w14:textFill>
                  <w14:solidFill>
                    <w14:schemeClr w14:val="tx1"/>
                  </w14:solidFill>
                </w14:textFill>
              </w:rPr>
              <w:t>满足或优于符合国家</w:t>
            </w:r>
            <w:r>
              <w:rPr>
                <w:rFonts w:hint="eastAsia" w:ascii="宋体" w:hAnsi="宋体" w:eastAsia="宋体" w:cs="宋体"/>
                <w:color w:val="000000" w:themeColor="text1"/>
                <w:sz w:val="21"/>
                <w:szCs w:val="21"/>
                <w14:textFill>
                  <w14:solidFill>
                    <w14:schemeClr w14:val="tx1"/>
                  </w14:solidFill>
                </w14:textFill>
              </w:rPr>
              <w:t>标准</w:t>
            </w:r>
            <w:r>
              <w:rPr>
                <w:rFonts w:hint="eastAsia" w:ascii="宋体" w:hAnsi="宋体" w:eastAsia="宋体" w:cs="宋体"/>
                <w:color w:val="000000" w:themeColor="text1"/>
                <w:sz w:val="21"/>
                <w:szCs w:val="21"/>
                <w:lang w:val="en-US" w:eastAsia="zh-CN"/>
                <w14:textFill>
                  <w14:solidFill>
                    <w14:schemeClr w14:val="tx1"/>
                  </w14:solidFill>
                </w14:textFill>
              </w:rPr>
              <w:t>或行业的标准要求。</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挂板：采用≥1.2mm优质钢板一体成型工艺，两端单排四挂钩结构设计，挂板中间档棒孔为方孔，档棒插入方孔后可挂扣，可防止档棒两端滑落；中间腰形拉伸翻边模成形两个台阶加强孔，孔上下位置设有四根圆筋，挂板上下端直角折弯，并冲有四个凸槽，使搁板嵌置于弯边凸肩上，可防止搁板前后窜动。挂板与立柱之间连接方式采用八挂钩扣接，组装后，挂板表面不超出立柱侧表面。挂板满足或优于符合国家标准或行业的标准要求。</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6.挡棒：采用≥1.0mm优质冷轧钢板下冲折一体成型，挡棒设计为挂扣式挡棒，当挡棒插入挂板方孔后，将挡棒上的异形孔挂扣在挂板方孔梯形上，使挡棒与挂板通过机械组合达到锁紧功能。</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7.顶板：采用优质冷轧钢板厚≥1.0mm，经双面六折弯，使用螺栓紧固于立柱上端，四角对焊，使其成框架结构。</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8.底梁：采用≥1.5mm厚优质冷轧钢板，钢性足，不变形，结实坚固。</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9.侧护板：采用≥1.0mm厚优质冷轧钢板，木纹转印，颜色为深胡桃色，钢性足，不变形，结实坚固，中间设置木纹卡片框。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二、生产工艺</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1.木纹转印工艺。</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组装后的书架上，凡触及人体和存放物品的部分，应无毛边、锐角、棱角等；凡需焊接的部件要求焊接牢固，表面要平整，不允许出现漏焊、焊穿、气孔、咬边等缺陷；冲压件表面不允许有裂痕；表面涂层应平整光滑，色泽均匀一致，不允许有流挂、起粒、皱皮、露底、剥落、伤痕等缺陷；各钢制构件应酸洗、磷化、钝化、脱脂、表调。</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3.磷化液中有害元素含量的测定方法符合GB/T30647-2014标准。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4.金属表面纳米抗菌静电喷涂膜（喷涂钢板）满足或优于GB/T 9286-2021标准。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三、附件部分：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架标：侧面板外面带亚克力标签框。优质品牌单层透明亚克力板，电脑切割、雕刻；底层亚克力板雕刻平面用于插装纸张，板厚3mm；表层亚克力板，板边缘倒边各端面打磨、抛光处理（规格按采购方的要求定做）。</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51"/>
              <w:spacing w:line="240" w:lineRule="auto"/>
              <w:ind w:firstLine="240"/>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0288" behindDoc="1" locked="0" layoutInCell="1" allowOverlap="1">
                  <wp:simplePos x="0" y="0"/>
                  <wp:positionH relativeFrom="column">
                    <wp:posOffset>114935</wp:posOffset>
                  </wp:positionH>
                  <wp:positionV relativeFrom="paragraph">
                    <wp:posOffset>3175</wp:posOffset>
                  </wp:positionV>
                  <wp:extent cx="1086485" cy="1657350"/>
                  <wp:effectExtent l="0" t="0" r="56515" b="38100"/>
                  <wp:wrapTight wrapText="bothSides">
                    <wp:wrapPolygon>
                      <wp:start x="0" y="0"/>
                      <wp:lineTo x="0" y="21352"/>
                      <wp:lineTo x="21209" y="21352"/>
                      <wp:lineTo x="21209" y="0"/>
                      <wp:lineTo x="0" y="0"/>
                    </wp:wrapPolygon>
                  </wp:wrapTight>
                  <wp:docPr id="2" name="图片 7" descr="e99011e9cf37e83e0c642ecf15de1d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e99011e9cf37e83e0c642ecf15de1d5c"/>
                          <pic:cNvPicPr>
                            <a:picLocks noChangeAspect="1"/>
                          </pic:cNvPicPr>
                        </pic:nvPicPr>
                        <pic:blipFill>
                          <a:blip r:embed="rId6"/>
                          <a:stretch>
                            <a:fillRect/>
                          </a:stretch>
                        </pic:blipFill>
                        <pic:spPr>
                          <a:xfrm>
                            <a:off x="0" y="0"/>
                            <a:ext cx="1086485" cy="165735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加工桌（铁架脚）</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加工桌（铁架脚）规格：2000*1000*740mm； </w:t>
            </w:r>
            <w:r>
              <w:rPr>
                <w:rFonts w:hint="eastAsia" w:ascii="宋体" w:hAnsi="宋体" w:cs="宋体"/>
                <w:color w:val="000000" w:themeColor="text1"/>
                <w:szCs w:val="21"/>
                <w14:textFill>
                  <w14:solidFill>
                    <w14:schemeClr w14:val="tx1"/>
                  </w14:solidFill>
                </w14:textFill>
              </w:rPr>
              <w:t xml:space="preserve">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1.基材：桌面采用40mm厚E1级环保橡胶木实木板材。橡胶木符合GB/T3324-2024《木家具通用技术条件》标准。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2.桌脚：采用50*50mm无缝钢管。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3.生产工艺：</w:t>
            </w:r>
          </w:p>
          <w:p>
            <w:pPr>
              <w:pStyle w:val="17"/>
              <w:rPr>
                <w:rFonts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1）环保无尘烤漆工艺，所有木制板材都必须精细打磨上漆，五底三面八道工序，漆面光泽度≤65%，无颗粒、无气泡、无渣点，颜色均匀、漆膜硬度达2H~3H之间，要求美观、无气味、不变色，光滑耐磨；表面光亮平整、无颗粒、无毒害、易清洁。符合GB18581-2020《木器涂料中有害物质限量》标准；投标时必须注明油漆品牌（含PU透明底漆和面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钢管经焊接、打磨处理，表面应无毛边、锐角、棱角等；凡需焊接的部件要求焊接牢固，表面要平整，不允许出现漏焊、焊穿、气孔、咬边等缺陷；冲压件表面不允许有裂痕；表面涂层颜色由需方指定，但涂层表面应平整光滑，色泽均匀一致，不允许有流挂、起粒、皱皮、露底、剥落、伤痕等缺陷；各钢制构件表面应酸洗、磷化、钝化、脱脂、表调。</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lang w:val="en"/>
                <w14:textFill>
                  <w14:solidFill>
                    <w14:schemeClr w14:val="tx1"/>
                  </w14:solidFill>
                </w14:textFill>
              </w:rPr>
            </w:pPr>
            <w:r>
              <w:rPr>
                <w:color w:val="000000" w:themeColor="text1"/>
                <w14:textFill>
                  <w14:solidFill>
                    <w14:schemeClr w14:val="tx1"/>
                  </w14:solidFill>
                </w14:textFill>
              </w:rPr>
              <w:drawing>
                <wp:inline distT="0" distB="0" distL="114300" distR="114300">
                  <wp:extent cx="1290955" cy="1995170"/>
                  <wp:effectExtent l="0" t="0" r="4445" b="11430"/>
                  <wp:docPr id="5" name="图片 105613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56135532"/>
                          <pic:cNvPicPr>
                            <a:picLocks noChangeAspect="1"/>
                          </pic:cNvPicPr>
                        </pic:nvPicPr>
                        <pic:blipFill>
                          <a:blip r:embed="rId7"/>
                          <a:stretch>
                            <a:fillRect/>
                          </a:stretch>
                        </pic:blipFill>
                        <pic:spPr>
                          <a:xfrm>
                            <a:off x="0" y="0"/>
                            <a:ext cx="1290955" cy="19951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书架包边</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500块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一、包边材料要求：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1.基材：采用优质环保≥15mm厚度E0级多层实木板，板材经过高温干燥、脱脂、防潮、防虫、防腐等化学处理，符合GB/T 35601-2024《绿色产品评价 人造板和木质地板》标准要求。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2.饰面材料：采用优质三聚氰胺贴面，甲醛释放量符合国家标准，具有防火、耐磨、防污、表面硬度高等特点</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中间设置卡片框，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3.封边：采用同色PV封边条，封边条的耐干热、耐磨性、耐冷热达到国家标准。采用全自动封边机封边、修边，不允许手工封边、修边。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4.热熔胶：采用优质热熔胶，热熔胶中的有害物质限量符合国家标准。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5.五金配件：采用优质五金配件，盐水及盐雾测试48小时以上，不生锈。</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二、工艺要求：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1.包边要求：对书架顶面、侧边的边框外露面采用符合“包边材料要求”要求的板材进行面贴覆盖，侧板中间设置木纹卡片框。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2.清理基材：对原书架顶面、侧边的边框外露面进行工序前的彻底清洁，把原基材已经剥离、松动的材质进行清除；对预施工面积累的灰尘等能影响施工强度的附着物彻底清洗干净。</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3.胶粘剂：采用强力结构胶作为粘合剂，施工板材的边框需达到满胶工艺。</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施工要求：板材粘合到书架边框后需用带保护垫的木工夹具固定，待胶粘剂固化后方能取下，边框溢出的胶粘剂需及时进行清理。施工成品后需板材粘合牢固，无松动掉落的情况出现，在达到美观、工整、牢固效果同时不影响原有功能的使用。</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lang w:val="en"/>
                <w14:textFill>
                  <w14:solidFill>
                    <w14:schemeClr w14:val="tx1"/>
                  </w14:solidFill>
                </w14:textFill>
              </w:rPr>
            </w:pPr>
            <w:r>
              <w:rPr>
                <w:color w:val="000000" w:themeColor="text1"/>
                <w14:textFill>
                  <w14:solidFill>
                    <w14:schemeClr w14:val="tx1"/>
                  </w14:solidFill>
                </w14:textFill>
              </w:rPr>
              <w:drawing>
                <wp:inline distT="0" distB="0" distL="114300" distR="114300">
                  <wp:extent cx="829310" cy="2218055"/>
                  <wp:effectExtent l="0" t="0" r="8890" b="4445"/>
                  <wp:docPr id="8" name="图片 27" descr="8c03a5b3707acb8ba0302d7cd962b1fb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7" descr="8c03a5b3707acb8ba0302d7cd962b1fb_720"/>
                          <pic:cNvPicPr>
                            <a:picLocks noChangeAspect="1"/>
                          </pic:cNvPicPr>
                        </pic:nvPicPr>
                        <pic:blipFill>
                          <a:blip r:embed="rId8"/>
                          <a:stretch>
                            <a:fillRect/>
                          </a:stretch>
                        </pic:blipFill>
                        <pic:spPr>
                          <a:xfrm>
                            <a:off x="0" y="0"/>
                            <a:ext cx="829310" cy="221805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四人阅览桌（补上插座、USB接口、LED灯带）</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107张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1.灯具采用面直发光设计，独立开关控制。灯体采用航空级铝合金材质，保证LED光源更好的散热，延长灯具的使用寿命。</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2.表面处理采用多层静电喷涂工艺。</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3.透光隔板采用PMMA材质，通过灼热丝550度极限测试。</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4.灯具的安装方式单侧为两个螺杆，并用螺母在桌面下方固定。</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5.灯具高度按照人体工程学结构设计，为避免灯光直对着眼睛，灯具发光面与桌面的距离为450mm。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6.光照度AA级，桌面照度600Lux，符合阅览桌灯照度的要求，避免长时间阅读导致眼睛疲劳。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7.色温4000K，显色度Ra=97，无频闪，防蓝光；功率：36瓦。</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8.书桌有阻燃走线槽，保证走线规整，线缆不外露。将已预埋的电源线引线至桌子内部指定插座位置（须用符合国家标准的2.5平方的铜线），强弱电接头按规范接牢并挂锡，安装牢固并做好防水和绝缘处理。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9.灯架侧柱配具有2套16A5孔插座 带3位USB插口阻燃面板的插座，整体采用阻燃PP料，通过750度灼热丝实验；线芯加粗至1.5m㎡；优质铜片，配合铜条一体化结构。USB单口充电电流2.4A，保证护眼灯能够正常使用。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10.灯架采用顶板1.5mm厚、侧柱2.0mm 厚优质阻燃铝合金，光源分布合理，光源采用优质品牌 LED 灯带，灯带板面平角设计，灯架下配厚1.4mm厚半透明亚克力面板，透光率87。驱动电源适配器须通过国家强制3C认证。</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114300" distR="114300">
                  <wp:extent cx="838200" cy="1310005"/>
                  <wp:effectExtent l="0" t="0" r="0" b="10795"/>
                  <wp:docPr id="11" name="图片 28" descr="20077e5e5971030d097c7d199ab3dc19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8" descr="20077e5e5971030d097c7d199ab3dc19_720"/>
                          <pic:cNvPicPr>
                            <a:picLocks noChangeAspect="1"/>
                          </pic:cNvPicPr>
                        </pic:nvPicPr>
                        <pic:blipFill>
                          <a:blip r:embed="rId9"/>
                          <a:stretch>
                            <a:fillRect/>
                          </a:stretch>
                        </pic:blipFill>
                        <pic:spPr>
                          <a:xfrm>
                            <a:off x="0" y="0"/>
                            <a:ext cx="838200" cy="13100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实木椅子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▲规格：580*480*870mm；</w:t>
            </w:r>
          </w:p>
          <w:p>
            <w:pPr>
              <w:pStyle w:val="17"/>
              <w:rPr>
                <w:color w:val="000000" w:themeColor="text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1.整体采用橡胶木实木板材制作，符合GB/T3324-2024《木家具通用技术条件》标准。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油漆满足或优于GB18581-2020《木器涂料中有害物质限量》标准</w:t>
            </w:r>
            <w:r>
              <w:rPr>
                <w:rFonts w:hint="eastAsia" w:ascii="宋体" w:hAnsi="宋体" w:cs="宋体"/>
                <w:bCs/>
                <w:color w:val="000000" w:themeColor="text1"/>
                <w:szCs w:val="21"/>
                <w14:textFill>
                  <w14:solidFill>
                    <w14:schemeClr w14:val="tx1"/>
                  </w14:solidFill>
                </w14:textFill>
              </w:rPr>
              <w:t>。</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3.实木椅满足或优于GB/T3324-2024《木家具通用技术条件》</w:t>
            </w:r>
            <w:r>
              <w:rPr>
                <w:rFonts w:hint="eastAsia" w:ascii="宋体" w:hAnsi="宋体" w:cs="宋体"/>
                <w:color w:val="000000" w:themeColor="text1"/>
                <w:szCs w:val="21"/>
                <w14:textFill>
                  <w14:solidFill>
                    <w14:schemeClr w14:val="tx1"/>
                  </w14:solidFill>
                </w14:textFill>
              </w:rPr>
              <w:t>标准</w:t>
            </w:r>
            <w:r>
              <w:rPr>
                <w:rFonts w:hint="eastAsia" w:ascii="宋体" w:hAnsi="宋体" w:cs="宋体"/>
                <w:bCs/>
                <w:color w:val="000000" w:themeColor="text1"/>
                <w:szCs w:val="21"/>
                <w14:textFill>
                  <w14:solidFill>
                    <w14:schemeClr w14:val="tx1"/>
                  </w14:solidFill>
                </w14:textFill>
              </w:rPr>
              <w:t>，检测报告内容符合：1、甲醛释放量(干燥器法)≤0.12mg/L；2、椅座椅背耐久性≥12万次要求；3、底脚平稳性≤0.5mm；4、木材含水率≤10%标准</w:t>
            </w:r>
            <w:r>
              <w:rPr>
                <w:rFonts w:hint="eastAsia" w:ascii="宋体" w:hAnsi="宋体" w:cs="宋体"/>
                <w:color w:val="000000" w:themeColor="text1"/>
                <w:szCs w:val="21"/>
                <w14:textFill>
                  <w14:solidFill>
                    <w14:schemeClr w14:val="tx1"/>
                  </w14:solidFill>
                </w14:textFill>
              </w:rPr>
              <w:t>。</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114300" distR="114300">
                  <wp:extent cx="847090" cy="1482090"/>
                  <wp:effectExtent l="0" t="0" r="3810" b="3810"/>
                  <wp:docPr id="14" name="图片 627345608" descr="3f7df89c8a8f35ed7c6bda42990fdcbd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27345608" descr="3f7df89c8a8f35ed7c6bda42990fdcbd_720"/>
                          <pic:cNvPicPr>
                            <a:picLocks noChangeAspect="1"/>
                          </pic:cNvPicPr>
                        </pic:nvPicPr>
                        <pic:blipFill>
                          <a:blip r:embed="rId10"/>
                          <a:stretch>
                            <a:fillRect/>
                          </a:stretch>
                        </pic:blipFill>
                        <pic:spPr>
                          <a:xfrm>
                            <a:off x="0" y="0"/>
                            <a:ext cx="847090" cy="14820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档案馆手动六层密集书柜</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580m³</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▲一、每组规格W900*D600*H2500mm，6组一列。</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二、具体要求：</w:t>
            </w:r>
          </w:p>
          <w:p>
            <w:pPr>
              <w:spacing w:line="380" w:lineRule="exact"/>
              <w:jc w:val="left"/>
              <w:rPr>
                <w:rFonts w:hint="eastAsia" w:ascii="宋体" w:hAnsi="宋体" w:cs="宋体"/>
                <w:color w:val="000000" w:themeColor="text1"/>
                <w:szCs w:val="21"/>
                <w:lang w:val="en"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1.产品设计、制造、安装及验收应遵循但不限于以下最新版本的中华人民共和国国家标准和行业标准：GB/T 13667.3-2013《钢制书架 第3部分：手动密集书架》</w:t>
            </w:r>
            <w:r>
              <w:rPr>
                <w:rFonts w:hint="eastAsia" w:ascii="宋体" w:hAnsi="宋体" w:cs="宋体"/>
                <w:color w:val="000000" w:themeColor="text1"/>
                <w:szCs w:val="21"/>
                <w:lang w:val="en" w:eastAsia="zh-CN"/>
                <w14:textFill>
                  <w14:solidFill>
                    <w14:schemeClr w14:val="tx1"/>
                  </w14:solidFill>
                </w14:textFill>
              </w:rPr>
              <w:t>。</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2.轨道技术要求：密集架轨道需由导轨、轨道座塞焊成形，采用分段定位销连接。轨道需采用切割预埋，轨道两端应设有限位装置，防止密集架脱轨。根据单排密集架节数，轨道数量须符合以下要求： 1—3节至少用2根，4—5节至少用3根，6—7节至少用4根，8节以上的至少用5根。性能要求和相关技术参数见下表：</w:t>
            </w:r>
          </w:p>
          <w:tbl>
            <w:tblPr>
              <w:tblStyle w:val="53"/>
              <w:tblW w:w="0" w:type="auto"/>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27"/>
              <w:gridCol w:w="764"/>
              <w:gridCol w:w="72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5"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部件名称</w:t>
                  </w:r>
                </w:p>
              </w:tc>
              <w:tc>
                <w:tcPr>
                  <w:tcW w:w="627"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配置</w:t>
                  </w:r>
                </w:p>
              </w:tc>
              <w:tc>
                <w:tcPr>
                  <w:tcW w:w="764"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材料要求</w:t>
                  </w:r>
                </w:p>
              </w:tc>
              <w:tc>
                <w:tcPr>
                  <w:tcW w:w="72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w:t>
                  </w:r>
                </w:p>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参数</w:t>
                  </w:r>
                </w:p>
              </w:tc>
              <w:tc>
                <w:tcPr>
                  <w:tcW w:w="106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性能要求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5" w:type="dxa"/>
                  <w:vMerge w:val="restart"/>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w:t>
                  </w:r>
                </w:p>
              </w:tc>
              <w:tc>
                <w:tcPr>
                  <w:tcW w:w="627"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轨道垫板</w:t>
                  </w:r>
                </w:p>
              </w:tc>
              <w:tc>
                <w:tcPr>
                  <w:tcW w:w="764"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304不锈钢</w:t>
                  </w:r>
                </w:p>
              </w:tc>
              <w:tc>
                <w:tcPr>
                  <w:tcW w:w="72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≥3.0mm</w:t>
                  </w:r>
                </w:p>
              </w:tc>
              <w:tc>
                <w:tcPr>
                  <w:tcW w:w="1063" w:type="dxa"/>
                  <w:vMerge w:val="restart"/>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轨道与轨道采用销轴定位对接。安装后即平整、美观、承重性能好。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5" w:type="dxa"/>
                  <w:vMerge w:val="continue"/>
                  <w:vAlign w:val="center"/>
                </w:tcPr>
                <w:p>
                  <w:pPr>
                    <w:spacing w:line="380" w:lineRule="exact"/>
                    <w:jc w:val="center"/>
                    <w:rPr>
                      <w:rFonts w:ascii="宋体" w:hAnsi="宋体" w:cs="宋体"/>
                      <w:color w:val="000000" w:themeColor="text1"/>
                      <w:szCs w:val="21"/>
                      <w14:textFill>
                        <w14:solidFill>
                          <w14:schemeClr w14:val="tx1"/>
                        </w14:solidFill>
                      </w14:textFill>
                    </w:rPr>
                  </w:pPr>
                </w:p>
              </w:tc>
              <w:tc>
                <w:tcPr>
                  <w:tcW w:w="627"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导轨</w:t>
                  </w:r>
                </w:p>
              </w:tc>
              <w:tc>
                <w:tcPr>
                  <w:tcW w:w="764"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304实心不锈钢方钢</w:t>
                  </w:r>
                </w:p>
              </w:tc>
              <w:tc>
                <w:tcPr>
                  <w:tcW w:w="72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≥25*20mm </w:t>
                  </w:r>
                </w:p>
              </w:tc>
              <w:tc>
                <w:tcPr>
                  <w:tcW w:w="1063" w:type="dxa"/>
                  <w:vMerge w:val="continue"/>
                  <w:vAlign w:val="center"/>
                </w:tcPr>
                <w:p>
                  <w:pPr>
                    <w:spacing w:line="380" w:lineRule="exact"/>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5"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轨道封头</w:t>
                  </w:r>
                </w:p>
              </w:tc>
              <w:tc>
                <w:tcPr>
                  <w:tcW w:w="627"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不锈钢</w:t>
                  </w:r>
                </w:p>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限位装置</w:t>
                  </w:r>
                </w:p>
              </w:tc>
              <w:tc>
                <w:tcPr>
                  <w:tcW w:w="764"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304不锈钢</w:t>
                  </w:r>
                </w:p>
              </w:tc>
              <w:tc>
                <w:tcPr>
                  <w:tcW w:w="72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≥20*20mm</w:t>
                  </w:r>
                </w:p>
              </w:tc>
              <w:tc>
                <w:tcPr>
                  <w:tcW w:w="1063" w:type="dxa"/>
                  <w:vAlign w:val="center"/>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轨道封头采用螺丝固定在轨道二端。</w:t>
                  </w:r>
                </w:p>
              </w:tc>
            </w:tr>
          </w:tbl>
          <w:p>
            <w:pPr>
              <w:pStyle w:val="659"/>
              <w:spacing w:before="0" w:beforeAutospacing="0" w:after="0" w:afterAutospacing="0" w:line="276" w:lineRule="auto"/>
              <w:jc w:val="both"/>
              <w:rPr>
                <w:color w:val="000000" w:themeColor="text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（1）轨道轨芯（导轨）满足或优于GB/T3280-2015《不锈钢冷轧钢板和钢带》、GB/T10125-2021《人造气氛腐蚀试验 盐雾试验》标准。</w:t>
            </w:r>
          </w:p>
          <w:p>
            <w:pPr>
              <w:pStyle w:val="659"/>
              <w:spacing w:before="0" w:beforeAutospacing="0" w:after="0" w:afterAutospacing="0" w:line="276" w:lineRule="auto"/>
              <w:jc w:val="both"/>
              <w:rPr>
                <w:color w:val="000000" w:themeColor="text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（2）轨道护板（垫板）满足或优于GB/T3280-2015《不锈钢冷轧钢板和钢带》、GB/T10125-2021《人造气氛腐蚀试验 盐雾试验》标准。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3.轨道预埋安装要求：</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（1）轨道沟槽标准：中标方按照用户确认的密集架布局图制订轨道沟槽安装方案，由中标方负责开凿沟槽。开凿沟槽时应保证对非轨道区域地面不造成损坏。</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（2）轨道安装需符合GB/T13667.3-2013《钢制书架第3部分手动密集书架》中的相关规定。</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安装过程与配合：具备安装条件后，中标供应商进行现场勘察划线并进行图纸汇签。按规定铺设轨道，轨道用膨胀螺丝固定在地面上，导轨护板上沿与装修地面齐平。轨道的平行偏差≤1mm，轨道之间任何位置的水平偏差≤0.5mm；同一截面上的平行度的偏差≤1.5mm/m，全长偏差≤2mm，对接处高低偏差≤0.3mm；全部轨道安装完毕后需经用户验收合格，沟槽安装费用包括在投标报价中。</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4.结构要求：</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移动图书密集架主要由导轨、底盘、传动机构和架体（包括立柱、挂板、搁（隔、托、层）板、顶板、门板及侧护板）等零（部）件组成。架顶设有防尘装置，列与列之间装有20mm最新型插入式抗老化橡塑磁性密封条闭合。门面列装有锁具，中间移动列装有制动装置，每团体密集架闭合后两边可用总锁锁住，形成一个封闭的整体。每列架体侧板上设有制动装置，底部设有防鼠、防倾倒装置，因而整个架体具有良好的防尘、防鼠、防潮、防火、防盗、防倾倒和保密功能。</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传动机构主要由精铸滚轮、传动轴、连接管、调心轴承、精密滚子摩托车链条，机械式离合摇手柄、多级速比1：6精制链轮等零（部）件组成。采用中轴带动两根边轴传动方式，手柄摇动轻便、灵活、耐用、美观、无噪声、手柄摇动时能自动挂挡，密集架处于从动或不动状态时，摇柄自行停于垂直位置，手柄可折叠，避免通行障碍。传动机构满足或优于国家标准或行业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（3）底梁、轴承档、夹紧块：采用3.0mm 优质冷轧钢板，底盘采用分段焊接后整体组装式，连接牢固、运输、安装方便，底盘各段连接采用Ml0螺栓紧固，滚轮横梁采用四折成型，确保在外力作用下无任何变形情况发生。底梁下部装有防倒支架以防架体倾倒。底盘两端封头横梁与纵梁牢固焊接，在直角处上、下两平面均焊上三角形加强板，有效保证底盘架体不扭曲、错位、变形，密集架在轨移动轻便、平滑、平整。底梁满足或优于国家标准或行业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压筋立柱：采用≥1.5mm优质冷轧钢板一次滚压成型，立柱正面50mm，两截面≥39mm；正面压槽；两侧面冲挂扣调节孔。压筋立柱设计更人性，外形美观，结构新颖，承重能力强，钢性足。立柱满足或优于国家标准或行业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压筋挂板：采用≥1.2mm优质冷轧钢板，模具一体冲压成型，两端二排四挂钩结构设计，挂板中间挡棒孔为方孔内梯形结构，挡棒插入方孔后可挂扣在梯形上，可防止挡棒两端滑落；挂板上下端直角折弯，并冲有四个凸槽，使搁板嵌置于弯边凸肩上，组装后平整、牢固。承重性好，外观新颖，可防止搁板前后窜动，通用性互换性好。表面再采用酸洗磷化后进行喷塑处理，外形美观，色泽鲜亮，使基本材质不会腐蚀，经久耐用。挂板与立柱之间连接方式采用四挂钩扣接，强度高，承重性能更优越，挂板与立柱对接处更牢固。挂板满足或优于国家标准或行业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压筋搁（隔、托、层）板：采用≥1.2mm优质冷轧钢板一次滚压成型，托板正面压二筋，结构新颖，钢性足。表面采用酸洗磷化后进行喷塑处理，外形美观，结构新颖，色泽鲜亮。搁板满足或优于国家标准或行业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（7）挡棒：采用≥1.0mm优质冷轧钢板下冲折一体成型，挡棒设计为挂扣式挡棒，当挡棒插入挂板方孔后，使挡棒与挂板通过机械组合达到锁紧功能。挡棒满足或优于国家标准或行业标准。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侧板：采用≥1.0mm优质冷轧钢板制成,整块侧板分为上、中、下三节，侧板都是木纹边，中节侧板正面四角冲木纹边，中间设置木纹卡片框，侧板款式新颖、结构独特、造型美观，强度高，正面按压不变形。侧板满足或优于国家标准或行业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密集架门板：采用≥1.0mm优质冷轧钢板制作而成，配有豪华闪电锁，锁杆封闭、内面带加强筋，背面点焊加强筋，门面平整、时尚简约、美观大方，组装后缝隙均匀，锁定紧密，开启灵活。拉手处通过R2.5圆弧过渡，不伤手、不割手，线条优美、美观别致、安全可靠、手感舒适、使用方便。</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（10）隐藏式旋钮豪华锁：</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1）黑色锁盘，带限位钢片装配；</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2）隐藏式旋钮，当门锁定时，将旋钮转动，开关方便，定位准确、外形美观。</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锌合金压铸锁，具有三级管理功能，单个库房1把钥匙（即管理钥匙）可控制一个团体柜架，也可以1把钥匙（即管理钥匙）控制整个库房多个团体柜架，供用户自行选择。锁头损坏或钥匙损坏丢失等情况下，不用电钻、钳子、螺丝刀等工具重砸，损坏锁具，让锁头钥匙方便更换。</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（11）顶板：采用≥1.0mm优质冷轧钢板一次成型，顶板正面通过M6螺栓紧固于立柱上端既能加强存储设备的整体刚性又能起到防尘、防水的作用。顶板满足或优于国家标准或行业标准。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（12）防倾倒装置：安装在底盘外侧底部，通过四点固定使路轨与底盘连接整体，防倒性能好，结构设计合理。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（13）防鼠板装置：架体合拢后底盘之间缝隙小于 2mm，使灰尘与老鼠无法进入。</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（14）铝合金静音摇把：</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①内置加强筋及双轴承结构，确保坚固耐用。</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②双向超越离合器结构：具备双向超越离合器结构，实现自动复位功能，使用更加安全可靠。</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静音设计：摇手盘移动密集架过程中无噪音。（15）NFC琐智能安全开关：每个团体均具备智能安全开关，可锁定整个团体。具有人员权限管理功能，授权人通讯设备（安卓、苹果均支持）无源感应NFC琐开启功能，已授权的通讯设备远程分享钥匙开启功能，开启记录系统保存管理员可查询。停电情况下仍可正常使用，不依赖于外部电源及电池供电。</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（16）磁性密封条：采用最新型插入式抗老化橡塑磁性密封条，满足或优于国家标准。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（17）搁板、挂板可沿立柱垂直方向调整高度，层高可任意调节，可根据需要增加或减少层数。</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（18）承重量：单列架体每层搁板上均布载重400N,双面搁板每层上均布静载荷800N，负载质量精度为额定值的±1%,24小时卸载后，无裂纹及永久变形。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集中锁定功能：每列设有锁紧装置，当工作人员进入存储设备工作时，将锁紧装置扭到锁紧位置，此时其他人员无法摇动存储设备，以保证架内人员的安全。每组存储设备边列装有锁具，其闭合锁住后，形成一个封闭的整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5.技术标准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（1）每标准节组装后，外形尺寸的极限偏差为±2mm，立柱与导轨的垂直度不大于2mm。侧面板和中腰带的对缝处的间隙不大于2mm，门缝间隙均匀并在1～2mm之间。</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（2）传动机构应转动灵活、平稳、不得有失灵现象。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（3）导轨安装平行度偏差不大于1mm/m，全长不大于2mm，导轨对接处高低差不大于0.3mm。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（4）底梁必须平直，直线度不大于 0.5mm／m，全长不大于 2mm。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（5）架体安装垂直度偏差小于2mm，达到横平竖直。</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（6）各零件、组合件表面光滑、平整，不得有尖角、突起。</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（7）所有焊接件焊接牢固，焊痕打磨光滑平整。</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（8）喷塑表面色泽一致，塑面均匀光滑，无划伤。</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（9）产品各零件、组合件之间应能具有互换性。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（10）搁板上均匀载重400N，放置24h最大挠度小于4mm，卸载后2h搁板不得有裂缝，残余变形量不大于0.3mm。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（11）每标准节在全负载的情况下，各结构件和架体没有明显变形，架体不应产生倾斜现象。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（12）在全负载的情况下，各列密集架应运动自如，不得有阻滞现象，单列密集架运行，手柄摇力不大于11.5N。</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6.工艺特点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（1）制定严格的产品企业标准，并有完善的质量检验制度和控制手段。有高精度的剪板机、折弯机、各种机械加工设备及全自动高压静电喷塑设备，工艺装备齐全。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（2）所有钣金件、机加工件加工后均打磨毛刺，无裂痕及伤痕。</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（3）所有焊接件均焊接牢固，外表光滑平整。</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（4）每标准节组装后，质量符合技术标准要求。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产品的全部钣金件经过严格的酸洗、除锈、磷化等十三道工序处理，选用大型流水线自动前处理喷涂设备。表面喷涂粉末材料采用具有环保性质的高强度树脂粉末，喷涂无死角。经此表面处理的零件耐环境腐蚀性强、涂层牢固、美观大方。表面处理工艺过程如下：预处理——60℃-80℃热脱脂——冷水清洗——除锈——冷水清洗——中和——冷水清洗——表调——60℃-70℃热磷化——冷水清洗——65℃-80℃热钝化——静电喷粉——180℃固化。漆膜附着力达到GB1720中的二级指标。塑膜厚度为60-70μm，塑层防锈能力20年以上。</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（6）表面处理：各部件在喷涂前，进行硅烷处理，每道工序分槽处理，所用标准件及紧固件均氧化或镀锌处理。</w:t>
            </w:r>
          </w:p>
          <w:p>
            <w:pPr>
              <w:spacing w:line="288"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（7）塑粉采用优质环保型高附着力的金属表面纳米抗菌热固性粉末，表面涂层高温固化而成，提高其防锈蚀和抗菌性能。金属表面纳米抗菌静电喷涂膜（喷涂钢板）满足或优于GB/T 9286-2021标准。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（8）产品涉及对存放物品隐患因素，防霉等级为0级，阴性对照为0级，阳性对照为2级。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（9）所有标准件及紧固件均经氧化或镀锌处理。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7.材料选用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（1）金属钢板产品均选用冷轧钢板。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（2）传动机构：</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①传动轴：采用φ20,45#冷拉实心圆钢，加工精度为3.2，经热处理调质，HB220-290。</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②链轮：采用链轮为12 -48齿45#钢，经锻压精密加工成型，回火去除应力，加工车、滚齿、插键槽、去毛齿、齿部经高频淬火HRC60-62。</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③轴承：采用P204E级调心轴承。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④链条：采用φ8.5，节距12.7摩托车滚子链条。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⑤摇手体：采用自脱挂式摇手。</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⑥紧固件为45#、Q235-A钢标准化零件。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⑦滚轮为HT200铸铁，经加工成型。</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⑧连接管：采用优质无缝钢管，表面镀锌防腐处理。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8.载重性能</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（1）单面搁板上均布载重400N，最大挠度为3mm, 24小时卸载后，无裂纹及永久变形。</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（2）每标准节在全负载的情况下，架体、立柱无明显变形，架体无倾倒现象。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（3）标准列在全静载荷的情况下，沿X、Y轴两个方向进行水平拉力试验，水平拉力为自重与全静载荷之和的1/15，经连续试验50次，取消外力，架体所产生的倾斜不大于总高的1%，各结构部件无塑性变形。</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9.手动密集架满足或优于国家标准或行业标准标准。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中列明的密集架数量为暂估数量。最终结算数量以采购人现场实际安装验收合格的数量为准。投标人应充分考虑因现场实际安装数量变动（包括但不限于数量减少）可能带来的各类风险，中标单价在合同执行期间固定不变，结算总价=实际安装合格数量×中标单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1080135" cy="2249170"/>
                  <wp:effectExtent l="0" t="0" r="5715" b="0"/>
                  <wp:docPr id="18" name="图片 62734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27345609"/>
                          <pic:cNvPicPr>
                            <a:picLocks noChangeAspect="1"/>
                          </pic:cNvPicPr>
                        </pic:nvPicPr>
                        <pic:blipFill>
                          <a:blip r:embed="rId11"/>
                          <a:stretch>
                            <a:fillRect/>
                          </a:stretch>
                        </pic:blipFill>
                        <pic:spPr>
                          <a:xfrm>
                            <a:off x="0" y="0"/>
                            <a:ext cx="1083469" cy="22555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图书馆手动六层密集书柜</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1232组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▲一、每组规格W900*D600*H2500mm，6组一列。</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二、具体要求：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1.产品设计、制造、安装及验收应遵循但不限于以下最新版本的中华人民共和国国家标准和行业标准：GB/T 13667.3-2013《钢制书架 第3部分：手动密集书架》。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2.轨道技术要求：密集架轨道需由导轨、轨道座塞焊成形，采用分段定位销连接。轨道需采用切割预埋，轨道两端应设有限位装置，防止密集架脱轨。根据单排密集架节数，轨道数量须符合以下要求： 1—3节至少用2根，4—5节至少用3根，6—7节至少用4根，8节以上的至少用5根。性能要求和相关技术参数见下表：</w:t>
            </w:r>
          </w:p>
          <w:tbl>
            <w:tblPr>
              <w:tblStyle w:val="53"/>
              <w:tblW w:w="0" w:type="auto"/>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627"/>
              <w:gridCol w:w="764"/>
              <w:gridCol w:w="72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5"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部件名称</w:t>
                  </w:r>
                </w:p>
              </w:tc>
              <w:tc>
                <w:tcPr>
                  <w:tcW w:w="627"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配置</w:t>
                  </w:r>
                </w:p>
              </w:tc>
              <w:tc>
                <w:tcPr>
                  <w:tcW w:w="764"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材料要求</w:t>
                  </w:r>
                </w:p>
              </w:tc>
              <w:tc>
                <w:tcPr>
                  <w:tcW w:w="72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w:t>
                  </w:r>
                </w:p>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参数</w:t>
                  </w:r>
                </w:p>
              </w:tc>
              <w:tc>
                <w:tcPr>
                  <w:tcW w:w="106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性能要求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5" w:type="dxa"/>
                  <w:vMerge w:val="restart"/>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w:t>
                  </w:r>
                </w:p>
              </w:tc>
              <w:tc>
                <w:tcPr>
                  <w:tcW w:w="627"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轨道垫板</w:t>
                  </w:r>
                </w:p>
              </w:tc>
              <w:tc>
                <w:tcPr>
                  <w:tcW w:w="764"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304不锈钢</w:t>
                  </w:r>
                </w:p>
              </w:tc>
              <w:tc>
                <w:tcPr>
                  <w:tcW w:w="72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≥3.0mm</w:t>
                  </w:r>
                </w:p>
              </w:tc>
              <w:tc>
                <w:tcPr>
                  <w:tcW w:w="1063" w:type="dxa"/>
                  <w:vMerge w:val="restart"/>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轨道与轨道采用销轴定位对接。安装后即平整、美观、承重性能好。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5" w:type="dxa"/>
                  <w:vMerge w:val="continue"/>
                  <w:vAlign w:val="center"/>
                </w:tcPr>
                <w:p>
                  <w:pPr>
                    <w:spacing w:line="380" w:lineRule="exact"/>
                    <w:jc w:val="center"/>
                    <w:rPr>
                      <w:rFonts w:ascii="宋体" w:hAnsi="宋体" w:cs="宋体"/>
                      <w:color w:val="000000" w:themeColor="text1"/>
                      <w:szCs w:val="21"/>
                      <w14:textFill>
                        <w14:solidFill>
                          <w14:schemeClr w14:val="tx1"/>
                        </w14:solidFill>
                      </w14:textFill>
                    </w:rPr>
                  </w:pPr>
                </w:p>
              </w:tc>
              <w:tc>
                <w:tcPr>
                  <w:tcW w:w="627"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导轨</w:t>
                  </w:r>
                </w:p>
              </w:tc>
              <w:tc>
                <w:tcPr>
                  <w:tcW w:w="764"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304实心不锈钢方钢</w:t>
                  </w:r>
                </w:p>
              </w:tc>
              <w:tc>
                <w:tcPr>
                  <w:tcW w:w="72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≥25*20mm </w:t>
                  </w:r>
                </w:p>
              </w:tc>
              <w:tc>
                <w:tcPr>
                  <w:tcW w:w="1063" w:type="dxa"/>
                  <w:vMerge w:val="continue"/>
                  <w:vAlign w:val="center"/>
                </w:tcPr>
                <w:p>
                  <w:pPr>
                    <w:spacing w:line="380" w:lineRule="exact"/>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45"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轨道封头</w:t>
                  </w:r>
                </w:p>
              </w:tc>
              <w:tc>
                <w:tcPr>
                  <w:tcW w:w="627"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不锈钢</w:t>
                  </w:r>
                </w:p>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限位装置</w:t>
                  </w:r>
                </w:p>
              </w:tc>
              <w:tc>
                <w:tcPr>
                  <w:tcW w:w="764"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304不锈钢</w:t>
                  </w:r>
                </w:p>
              </w:tc>
              <w:tc>
                <w:tcPr>
                  <w:tcW w:w="723" w:type="dxa"/>
                  <w:vAlign w:val="center"/>
                </w:tcPr>
                <w:p>
                  <w:pPr>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≥20*20mm</w:t>
                  </w:r>
                </w:p>
              </w:tc>
              <w:tc>
                <w:tcPr>
                  <w:tcW w:w="1063" w:type="dxa"/>
                  <w:vAlign w:val="center"/>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轨道封头采用螺丝固定在轨道二端。</w:t>
                  </w:r>
                </w:p>
              </w:tc>
            </w:tr>
          </w:tbl>
          <w:p>
            <w:pPr>
              <w:pStyle w:val="659"/>
              <w:spacing w:before="0" w:beforeAutospacing="0" w:after="0" w:afterAutospacing="0" w:line="276" w:lineRule="auto"/>
              <w:jc w:val="both"/>
              <w:rPr>
                <w:color w:val="000000" w:themeColor="text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（1）轨道轨芯（导轨）满足或优于GB/T3280-2015《不锈钢冷轧钢板和钢带》、GB/T10125-2021《人造气氛腐蚀试验 盐雾试验》标准。</w:t>
            </w:r>
          </w:p>
          <w:p>
            <w:pPr>
              <w:pStyle w:val="659"/>
              <w:spacing w:before="0" w:beforeAutospacing="0" w:after="0" w:afterAutospacing="0" w:line="276" w:lineRule="auto"/>
              <w:jc w:val="both"/>
              <w:rPr>
                <w:color w:val="000000" w:themeColor="text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（2）轨道护板（垫板）满足或优于GB/T3280-2015《不锈钢冷轧钢板和钢带》、GB/T10125-2021《人造气氛腐蚀试验 盐雾试验》标准。</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3.轨道预埋安装要求：</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（1）轨道沟槽标准：中标方按照用户确认的密集架布局图制订轨道沟槽安装方案，由中标方负责开凿沟槽。开凿沟槽时应保证对非轨道区域地面不造成损坏。</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（2）轨道安装需符合GB/T13667.3-2013《钢制书架第3部分手动密集书架》中的相关规定。</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安装过程与配合：具备安装条件后，中标供应商进行现场勘察划线并进行图纸汇签。按规定铺设轨道，轨道用膨胀螺丝固定在地面上，导轨护板上沿与装修地面齐平。轨道的平行偏差≤1mm，轨道之间任何位置的水平偏差≤0.5mm；同一截面上的平行度的偏差≤1.5mm/m，全长偏差≤2mm，对接处高低偏差≤0.3mm；全部轨道安装完毕后需经用户验收合格，沟槽安装费用包括在投标报价中。</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4.结构要求：</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1）移动图书密集架主要由导轨、底盘、传动机构和架体（包括立柱、挂板、搁（隔、托、层）板、顶板、门板及侧护板）等零（部）件组成。架顶设有防尘装置，列与列之间装有20mm最新型插入式抗老化橡塑磁性密封条闭合。门面列装有锁具，中间移动列装有制动装置，每团体密集架闭合后两边可用总锁锁住，形成一个封闭的整体。每列架体侧板上设有制动装置，底部设有防鼠、防倾倒装置，因而整个架体具有良好的防尘、防鼠、防潮、防火、防盗、防倾倒和保密功能。</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2）传动机构主要由精铸滚轮、传动轴、连接管、调心轴承、精密滚子摩托车链条，机械式离合摇手柄、多级速比1：6精制链轮等零（部）件组成。采用中轴带动两根边轴传动方式，手柄摇动轻便、灵活、耐用、美观、无噪声、手柄摇动时能自动挂挡，密集架处于从动或不动状态时，摇柄自行停于垂直位置，手柄可折叠，避免通行障碍。传动机构满足或优于国家标准或行业标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（3）底梁、轴承档、夹紧块：采用3.0mm 优质冷轧钢板，底盘采用分段焊接后整体组装式，连接牢固、运输、安装方便，底盘各段连接采用Ml0螺栓紧固，滚轮横梁采用四折成型，确保在外力作用下无任何变形情况发生。底梁下部装有防倒支架以防架体倾倒。底盘两端封头横梁与纵梁牢固焊接，在直角处上、下两平面均焊上三角形加强板，有效保证底盘架体不扭曲、错位、变形，密集架在轨移动轻便、平滑、平整。底梁满足或优于国家标准或行业标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4）压筋立柱：采用≥1.5mm优质冷轧钢板一次滚压成型，立柱正面50mm，两截面≥39mm；正面压槽；两侧面冲挂扣调节孔。压筋立柱设计更人性，外形美观，结构新颖，承重能力强，钢性足。立柱满足或优于国家标准或行业标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5）压筋挂板：采用≥1.2mm优质冷轧钢板，模具一体冲压成型，两端二排四挂钩结构设计，挂板中间挡棒孔为方孔内梯形结构，挡棒插入方孔后可挂扣在梯形上，可防止挡棒两端滑落；挂板上下端直角折弯，并冲有四个凸槽，使搁板嵌置于弯边凸肩上，组装后平整、牢固。承重性好，外观新颖，可防止搁板前后窜动，通用性互换性好。表面再采用酸洗磷化后进行喷塑处理，外形美观，色泽鲜亮，使基本材质不会腐蚀，经久耐用。挂板与立柱之间连接方式采用四挂钩扣接，强度高，承重性能更优越，挂板与立柱对接处更牢固。挂板满足或优于国家标准或行业标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6）压筋搁（隔、托、层）板：采用≥1.2mm优质冷轧钢板一次滚压成型，托板正面压二筋，结构新颖，钢性足。表面采用酸洗磷化后进行喷塑处理，外形美观，结构新颖，色泽鲜亮。搁板满足或优于国家标准或行业标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（7）挡棒：采用≥1.0mm优质冷轧钢板下冲折一体成型，挡棒设计为挂扣式挡棒，当挡棒插入挂板方孔后，使挡棒与挂板通过机械组合达到锁紧功能。挡棒满足或优于国家标准或行业标准。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8）侧板：采用≥1.0mm优质冷轧钢板制成,整块侧板分为上、中、下三节，侧板都是木纹边，中节侧板正面四角冲木纹边，中间设置木纹卡片框，侧板款式新颖、结构独特、造型美观，强度高，正面按压不变形。侧板满足或优于国家标准或行业标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9）密集架门板：采用≥1.0mm优质冷轧钢板制作而成，配有豪华闪电锁，锁杆封闭、内面带加强筋，背面点焊加强筋，门面平整、时尚简约、美观大方，组装后缝隙均匀，锁定紧密，开启灵活。拉手处通过R2.5圆弧过渡，不伤手、不割手，线条优美、美观别致、安全可靠、手感舒适、使用方便。</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（10）隐藏式旋钮豪华锁：</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1）黑色锁盘，带限位钢片装配；</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2）隐藏式旋钮，当门锁定时，将旋钮转动，开关方便，定位准确、外形美观。</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3）锌合金压铸锁，具有三级管理功能，单个库房1把钥匙（即管理钥匙）可控制一个团体柜架，也可以1把钥匙（即管理钥匙）控制整个库房多个团体柜架，供用户自行选择。锁头损坏或钥匙损坏丢失等情况下，不用电钻、钳子、螺丝刀等工具重砸，损坏锁具，让锁头钥匙方便更换。</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（11）顶板：采用≥1.0mm优质冷轧钢板一次成型，顶板正面通过M6螺栓紧固于立柱上端既能加强存储设备的整体刚性又能起到防尘、防水的作用。顶板满足或优于国家标准或行业标准。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（12）防倾倒装置：安装在底盘外侧底部，通过四点固定使路轨与底盘连接整体，防倒性能好，结构设计合理。</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（13）防鼠板装置：架体合拢后底盘之间缝隙小于 2mm，使灰尘与老鼠无法进入。</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（14）铝合金静音摇把：</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①内置加强筋及双轴承结构，确保坚固耐用。</w:t>
            </w:r>
          </w:p>
          <w:p>
            <w:pPr>
              <w:pStyle w:val="515"/>
              <w:jc w:val="left"/>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②双向超越离合器结构：具备双向超越离合器结构，实现自动复位功能，使用更加安全可靠。</w:t>
            </w:r>
          </w:p>
          <w:p>
            <w:pPr>
              <w:pStyle w:val="515"/>
              <w:jc w:val="left"/>
              <w:rPr>
                <w:rFonts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③静音设计：摇手盘移动密集架过程中无噪音。</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NFC琐智能安全开关：每个团体均具备智能安全开关，可锁定整个团体。具有人员权限管理功能，授权人通讯设备（安卓、苹果均支持）无源感应NFC琐开启功能，已授权的通讯设备远程分享钥匙开启功能，开启记录系统保存管理员可查询。停电情况下仍可正常使用，不依赖于外部电源及电池供电。</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（16）磁性密封条：采用最新型插入式抗老化橡塑磁性密封条，满足或优于国家标准。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（17）搁板、挂板可沿立柱垂直方向调整高度，层高可任意调节，可根据需要增加或减少层数。</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（18）承重量：单列架体每层搁板上均布载重400N,双面搁板每层上均布静载荷800N，负载质量精度为额定值的±1%,24小时卸载后，无裂纹及永久变形。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集中锁定功能：每列设有锁紧装置，当工作人员进入存储设备工作时，将锁紧装置扭到锁紧位置，此时其他人员无法摇动存储设备，以保证架内人员的安全。每组存储设备边列装有锁具，其闭合锁住后，形成一个封闭的整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5.技术标准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（1）每标准节组装后，外形尺寸的极限偏差为±2mm，立柱与导轨的垂直度不大于2mm。侧面板和中腰带的对缝处的间隙不大于2mm，门缝间隙均匀并在1～2mm之间。</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（2）传动机构应转动灵活、平稳、不得有失灵现象。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（3）导轨安装平行度偏差不大于1mm/m，全长不大于2mm，导轨对接处高低差不大于0.3mm。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（4）底梁必须平直，直线度不大于0.5mm／m，全长不大于2mm。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（5）架体安装垂直度偏差小于2mm，达到横平竖直。</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（6）各零件、组合件表面光滑、平整，不得有尖角、突起。</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（7）所有焊接件焊接牢固，焊痕打磨光滑平整。</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（8）喷塑表面色泽一致，塑面均匀光滑，无划伤。</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（9）产品各零件、组合件之间应能具有互换性。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（10）搁板上均匀载重400N，放置24h最大挠度小于4mm，卸载后2h搁板不得有裂缝，残余变形量不大于0.3mm。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（11）每标准节在全负载的情况下，各结构件和架体没有明显变形，架体不应产生倾斜现象。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（12）在全负载的情况下，各列密集架应运动自如，不得有阻滞现象，单列密集架运行，手柄摇力不大于11.5N。</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6.工艺特点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（1）制定严格的产品企业标准，并有完善的质量检验制度和控制手段。有高精度的剪板机、折弯机、各种机械加工设备及全自动高压静电喷塑设备，工艺装备齐全。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（2）所有钣金件、机加工件加工后均打磨毛刺，无裂痕及伤痕。</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（3）所有焊接件均焊接牢固，外表光滑平整。</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（4）每标准节组装后，质量符合技术标准要求。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产品的全部钣金件经过严格的酸洗、除锈、磷化等十三道工序处理，选用大型流水线自动前处理喷涂设备。表面喷涂粉末材料采用具有环保性质的高强度树脂粉末，喷涂无死角。经此表面处理的零件耐环境腐蚀性强、涂层牢固、美观大方。表面处理工艺过程如下：预处理——60℃-80℃热脱脂——冷水清洗——除锈——冷水清洗——中和——冷水清洗——表调——60℃-70℃热磷化——冷水清洗——65℃-80℃热钝化——静电喷粉——180℃固化。漆膜附着力达到GB1720中的二级指标。塑膜厚度为60-70μm，塑层防锈能力20年以上。</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（6）表面处理：各部件在喷涂前，进行硅烷处理，每道工序分槽处理，所用标准件及紧固件均氧化或镀锌处理。</w:t>
            </w:r>
          </w:p>
          <w:p>
            <w:pPr>
              <w:spacing w:line="288"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（7）塑粉采用优质环保型高附着力的金属表面纳米抗菌热固性粉末，表面涂层高温固化而成，提高其防锈蚀和抗菌性能。金属表面纳米抗菌静电喷涂膜（喷涂钢板）满足或优于GB/T 9286-2021标准。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（8）产品涉及对存放物品隐患因素，防霉等级为0级，阴性对照为0级，阳性对照为2级。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（9）所有标准件及紧固件均经氧化或镀锌处理。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7.材料选用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（1）金属钢板产品均选用冷轧钢板。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（2）传动机构：</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①传动轴：采用φ20,45#冷拉实心圆钢，加工精度为3.2，经热处理调质，HB220-290。</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②链轮：采用链轮为12-48齿45#钢，经锻压精密加工成型，回火去除应力，加工车、滚齿、插键槽、去毛齿、齿部经高频淬火HRC60-62。</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③轴承：采用P204E 级调心轴承。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④链条：采用φ8.5，节距12.7.摩托车滚子链条。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⑤摇手体：采用自脱挂式摇手。</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⑥紧固件为45#、Q235-A钢标准化零件。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⑦滚轮为HT200铸铁，经加工成型。</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⑧连接管：采用优质无缝钢管，表面镀锌防腐处理。</w:t>
            </w:r>
          </w:p>
          <w:p>
            <w:pPr>
              <w:spacing w:line="380" w:lineRule="exac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8.载重性能</w:t>
            </w:r>
          </w:p>
          <w:p>
            <w:pPr>
              <w:spacing w:line="380" w:lineRule="exac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（1）单面搁板上均布载重400N，最大挠度为3mm, 24小时卸载后，无裂纹及永久变形。</w:t>
            </w:r>
          </w:p>
          <w:p>
            <w:pPr>
              <w:spacing w:line="380" w:lineRule="exac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（2）每标准节在全负载的情况下，架体、立柱无明显变形，架体无倾倒现象。</w:t>
            </w:r>
          </w:p>
          <w:p>
            <w:pPr>
              <w:spacing w:line="380" w:lineRule="exac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（3）标准列在全静载荷的情况下，沿X、Y轴两个方向进行水平拉力试验，水平拉力为自重与全静载荷之和的1/15，经连续试验50次，取消外力，架体所产生的倾斜不大于总高的1%，各结构部件无塑性变形。</w:t>
            </w:r>
          </w:p>
          <w:p>
            <w:pPr>
              <w:spacing w:line="38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9.手动密集架满足或优于国家标准或行业标准标准。</w:t>
            </w:r>
          </w:p>
          <w:p>
            <w:pPr>
              <w:spacing w:line="380" w:lineRule="exact"/>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中列明的密集架数量为暂估数量。最终结算数量以采购人现场实际安装验收合格的数量为准。投标人应充分考虑因现场实际安装数量变动（包括但不限于数量减少）可能带来的各类风险，中标单价在合同执行期间固定不变，结算总价=实际安装合格数量×中标单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114300" distR="114300">
                  <wp:extent cx="1080135" cy="2249170"/>
                  <wp:effectExtent l="0" t="0" r="5715" b="0"/>
                  <wp:docPr id="44" name="图片 62734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627345609"/>
                          <pic:cNvPicPr>
                            <a:picLocks noChangeAspect="1"/>
                          </pic:cNvPicPr>
                        </pic:nvPicPr>
                        <pic:blipFill>
                          <a:blip r:embed="rId11"/>
                          <a:stretch>
                            <a:fillRect/>
                          </a:stretch>
                        </pic:blipFill>
                        <pic:spPr>
                          <a:xfrm>
                            <a:off x="0" y="0"/>
                            <a:ext cx="1083469" cy="22555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阅览桌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整体外观规格：长×宽×高≥1800×1200×750mm。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▲1.整体采用橡胶木实木板材制作，桌面厚度50mm。橡胶木满足或优于GB/T3324-2024《木家具通用技术条件》标准。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114300" distR="114300">
                  <wp:extent cx="1152525" cy="1661160"/>
                  <wp:effectExtent l="0" t="0" r="3175" b="2540"/>
                  <wp:docPr id="4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0"/>
                          <pic:cNvPicPr>
                            <a:picLocks noChangeAspect="1"/>
                          </pic:cNvPicPr>
                        </pic:nvPicPr>
                        <pic:blipFill>
                          <a:blip r:embed="rId12"/>
                          <a:stretch>
                            <a:fillRect/>
                          </a:stretch>
                        </pic:blipFill>
                        <pic:spPr>
                          <a:xfrm>
                            <a:off x="0" y="0"/>
                            <a:ext cx="1152525" cy="166116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实木椅子+坐垫</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规格：530*420*840mm  </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▲1.椅架采用橡胶木实木板材制作。橡胶木满足或优于GB/T3324-2024《木家具通用技术条件》标准。  </w:t>
            </w:r>
          </w:p>
          <w:p>
            <w:pPr>
              <w:jc w:val="left"/>
              <w:rPr>
                <w:rFonts w:ascii="宋体" w:hAnsi="宋体" w:cs="宋体"/>
                <w:strike/>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3.坐面采用亚麻面料，反面采用高密度的藤席，内填充高密度海绵，回弹佳，久坐不塌陷。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color w:val="000000" w:themeColor="text1"/>
                <w14:textFill>
                  <w14:solidFill>
                    <w14:schemeClr w14:val="tx1"/>
                  </w14:solidFill>
                </w14:textFill>
              </w:rPr>
            </w:pPr>
          </w:p>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114300" distR="114300">
                  <wp:extent cx="814705" cy="1090295"/>
                  <wp:effectExtent l="0" t="0" r="0" b="0"/>
                  <wp:docPr id="50" name="图片 32" descr="4e50bc98bff0aa8f2d28a2f60b1abafe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2" descr="4e50bc98bff0aa8f2d28a2f60b1abafe_720"/>
                          <pic:cNvPicPr>
                            <a:picLocks noChangeAspect="1"/>
                          </pic:cNvPicPr>
                        </pic:nvPicPr>
                        <pic:blipFill>
                          <a:blip r:embed="rId13"/>
                          <a:srcRect l="-7326" t="23105" r="13333" b="20784"/>
                          <a:stretch>
                            <a:fillRect/>
                          </a:stretch>
                        </pic:blipFill>
                        <pic:spPr>
                          <a:xfrm>
                            <a:off x="0" y="0"/>
                            <a:ext cx="814705" cy="1090295"/>
                          </a:xfrm>
                          <a:prstGeom prst="rect">
                            <a:avLst/>
                          </a:prstGeom>
                          <a:noFill/>
                          <a:ln w="9525">
                            <a:noFill/>
                          </a:ln>
                        </pic:spPr>
                      </pic:pic>
                    </a:graphicData>
                  </a:graphic>
                </wp:inline>
              </w:drawing>
            </w:r>
            <w:r>
              <w:rPr>
                <w:rFonts w:hint="eastAsia" w:ascii="宋体" w:hAnsi="宋体" w:cs="宋体"/>
                <w:color w:val="000000" w:themeColor="text1"/>
                <w:szCs w:val="2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休闲沙发/圆几（1桌4椅）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一、沙发规格：2000×1000（mm），1半圆形沙发+2圆凳+1茶几沙发规格：半径2000*1000，圆凳规格：300*380mm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1.椅面：采用优质猫爪皮，皮面光泽度好，柔软度高，扩张性好，耐磨性强，耐折牢度高，不含有毒有害物质。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2.海绵：座42.0kg/m³；背35.0kg/m³高密度海棉制作，软硬适中，回弹力为50%，不变形。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3.打底：高强度蛇簧及专用弹性绷带作托承，与泡棉之间麻布隔垫（座双层麻布、背单层麻布）。</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4.框架：优质实木板材，木材含水率符合国家标准，防腐、防虫、永不变形。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5.根据人体工学原理设计、制造，坐感舒适，造型大方美观。缝纫线线条顺畅均匀、平整，转角平滑。座垫及靠背饱满，左右对称、线条平直、拉深一致、安装牢固。</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二、茶几规格：600*600mm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1.桌面采用优质板材，厚度25mm。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2.桌脚采用实木框架，内包海绵，外面包优质皮革。                    </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1312" behindDoc="0" locked="0" layoutInCell="1" allowOverlap="1">
                  <wp:simplePos x="0" y="0"/>
                  <wp:positionH relativeFrom="column">
                    <wp:posOffset>64135</wp:posOffset>
                  </wp:positionH>
                  <wp:positionV relativeFrom="paragraph">
                    <wp:posOffset>3175</wp:posOffset>
                  </wp:positionV>
                  <wp:extent cx="1223645" cy="1473835"/>
                  <wp:effectExtent l="0" t="0" r="8255" b="12065"/>
                  <wp:wrapSquare wrapText="bothSides"/>
                  <wp:docPr id="5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4"/>
                          <pic:cNvPicPr>
                            <a:picLocks noChangeAspect="1"/>
                          </pic:cNvPicPr>
                        </pic:nvPicPr>
                        <pic:blipFill>
                          <a:blip r:embed="rId14"/>
                          <a:stretch>
                            <a:fillRect/>
                          </a:stretch>
                        </pic:blipFill>
                        <pic:spPr>
                          <a:xfrm>
                            <a:off x="0" y="0"/>
                            <a:ext cx="1223645" cy="1473835"/>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椅子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规格：620*580*780mm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1.椅架采用橡胶木实木板材。橡胶木满足或优于GB/T3324-2024《木家具通用技术条件》标准。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3.坐面采用优质布艺面料，内填充高密度海绵，厚实饱满，回弹性强，坐感舒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2336" behindDoc="0" locked="0" layoutInCell="1" allowOverlap="1">
                  <wp:simplePos x="0" y="0"/>
                  <wp:positionH relativeFrom="column">
                    <wp:posOffset>-38100</wp:posOffset>
                  </wp:positionH>
                  <wp:positionV relativeFrom="paragraph">
                    <wp:posOffset>-6350</wp:posOffset>
                  </wp:positionV>
                  <wp:extent cx="976630" cy="1376045"/>
                  <wp:effectExtent l="0" t="0" r="13970" b="14605"/>
                  <wp:wrapSquare wrapText="bothSides"/>
                  <wp:docPr id="56" name="图片 4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2" descr="11"/>
                          <pic:cNvPicPr>
                            <a:picLocks noChangeAspect="1"/>
                          </pic:cNvPicPr>
                        </pic:nvPicPr>
                        <pic:blipFill>
                          <a:blip r:embed="rId15"/>
                          <a:stretch>
                            <a:fillRect/>
                          </a:stretch>
                        </pic:blipFill>
                        <pic:spPr>
                          <a:xfrm>
                            <a:off x="0" y="0"/>
                            <a:ext cx="976630" cy="1376045"/>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正方形桌子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规格：800*800*750mm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1.整体采用橡胶木实木板材，桌面厚度≥20mm。橡胶木满足或优于GB/T3324-2024《木家具通用技术条件》标准。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76672" behindDoc="0" locked="0" layoutInCell="1" allowOverlap="1">
                  <wp:simplePos x="0" y="0"/>
                  <wp:positionH relativeFrom="column">
                    <wp:posOffset>29210</wp:posOffset>
                  </wp:positionH>
                  <wp:positionV relativeFrom="paragraph">
                    <wp:posOffset>55880</wp:posOffset>
                  </wp:positionV>
                  <wp:extent cx="1090930" cy="1276350"/>
                  <wp:effectExtent l="0" t="0" r="13970" b="0"/>
                  <wp:wrapSquare wrapText="bothSides"/>
                  <wp:docPr id="59" name="图片 4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6" descr="11"/>
                          <pic:cNvPicPr>
                            <a:picLocks noChangeAspect="1"/>
                          </pic:cNvPicPr>
                        </pic:nvPicPr>
                        <pic:blipFill>
                          <a:blip r:embed="rId15"/>
                          <a:stretch>
                            <a:fillRect/>
                          </a:stretch>
                        </pic:blipFill>
                        <pic:spPr>
                          <a:xfrm>
                            <a:off x="0" y="0"/>
                            <a:ext cx="1090930" cy="127635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1.7米长方形桌子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规格：1700*600*750mm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1.整体采用橡胶木实木板材，桌面厚度≥20mm。橡胶木满足或优于GB/T3324-2024《木家具通用技术条件》标准。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3360" behindDoc="0" locked="0" layoutInCell="1" allowOverlap="1">
                  <wp:simplePos x="0" y="0"/>
                  <wp:positionH relativeFrom="column">
                    <wp:posOffset>-12700</wp:posOffset>
                  </wp:positionH>
                  <wp:positionV relativeFrom="paragraph">
                    <wp:posOffset>10795</wp:posOffset>
                  </wp:positionV>
                  <wp:extent cx="1051560" cy="1045210"/>
                  <wp:effectExtent l="0" t="0" r="2540" b="8890"/>
                  <wp:wrapSquare wrapText="bothSides"/>
                  <wp:docPr id="62" name="图片 4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8" descr="11"/>
                          <pic:cNvPicPr>
                            <a:picLocks noChangeAspect="1"/>
                          </pic:cNvPicPr>
                        </pic:nvPicPr>
                        <pic:blipFill>
                          <a:blip r:embed="rId15"/>
                          <a:stretch>
                            <a:fillRect/>
                          </a:stretch>
                        </pic:blipFill>
                        <pic:spPr>
                          <a:xfrm>
                            <a:off x="0" y="0"/>
                            <a:ext cx="1051560" cy="104521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三人沙发</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规格：2.1米长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1.框架采用白蜡木实木框架。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3.坐面采用绒布面料，内填充高密度海绵，回弹佳，久坐不塌陷。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4384" behindDoc="0" locked="0" layoutInCell="1" allowOverlap="1">
                  <wp:simplePos x="0" y="0"/>
                  <wp:positionH relativeFrom="column">
                    <wp:posOffset>266700</wp:posOffset>
                  </wp:positionH>
                  <wp:positionV relativeFrom="paragraph">
                    <wp:posOffset>3175</wp:posOffset>
                  </wp:positionV>
                  <wp:extent cx="1116330" cy="1348740"/>
                  <wp:effectExtent l="0" t="0" r="1270" b="10160"/>
                  <wp:wrapSquare wrapText="bothSides"/>
                  <wp:docPr id="65" name="图片 5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0" descr="11"/>
                          <pic:cNvPicPr>
                            <a:picLocks noChangeAspect="1"/>
                          </pic:cNvPicPr>
                        </pic:nvPicPr>
                        <pic:blipFill>
                          <a:blip r:embed="rId16"/>
                          <a:stretch>
                            <a:fillRect/>
                          </a:stretch>
                        </pic:blipFill>
                        <pic:spPr>
                          <a:xfrm>
                            <a:off x="0" y="0"/>
                            <a:ext cx="1116330" cy="134874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双人沙发</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规格：1.85米长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1.框架采用白蜡木实木框架。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3.坐面采用绒布面料，内填充高密度海绵，回弹佳，久坐不塌陷。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5408" behindDoc="0" locked="0" layoutInCell="1" allowOverlap="1">
                  <wp:simplePos x="0" y="0"/>
                  <wp:positionH relativeFrom="column">
                    <wp:posOffset>59055</wp:posOffset>
                  </wp:positionH>
                  <wp:positionV relativeFrom="paragraph">
                    <wp:posOffset>-18415</wp:posOffset>
                  </wp:positionV>
                  <wp:extent cx="999490" cy="1330960"/>
                  <wp:effectExtent l="0" t="0" r="3810" b="2540"/>
                  <wp:wrapSquare wrapText="bothSides"/>
                  <wp:docPr id="6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2"/>
                          <pic:cNvPicPr>
                            <a:picLocks noChangeAspect="1"/>
                          </pic:cNvPicPr>
                        </pic:nvPicPr>
                        <pic:blipFill>
                          <a:blip r:embed="rId17"/>
                          <a:stretch>
                            <a:fillRect/>
                          </a:stretch>
                        </pic:blipFill>
                        <pic:spPr>
                          <a:xfrm>
                            <a:off x="0" y="0"/>
                            <a:ext cx="999490" cy="133096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单人椅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规格：620*580*780mm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1.框架采用白蜡木实木框架。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3.坐面采用绒布面料，内填充高密度海绵，回弹佳，久坐不塌陷。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6432" behindDoc="0" locked="0" layoutInCell="1" allowOverlap="1">
                  <wp:simplePos x="0" y="0"/>
                  <wp:positionH relativeFrom="column">
                    <wp:posOffset>0</wp:posOffset>
                  </wp:positionH>
                  <wp:positionV relativeFrom="paragraph">
                    <wp:posOffset>26670</wp:posOffset>
                  </wp:positionV>
                  <wp:extent cx="1089660" cy="1330325"/>
                  <wp:effectExtent l="0" t="0" r="2540" b="3175"/>
                  <wp:wrapSquare wrapText="bothSides"/>
                  <wp:docPr id="7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4"/>
                          <pic:cNvPicPr>
                            <a:picLocks noChangeAspect="1"/>
                          </pic:cNvPicPr>
                        </pic:nvPicPr>
                        <pic:blipFill>
                          <a:blip r:embed="rId18"/>
                          <a:stretch>
                            <a:fillRect/>
                          </a:stretch>
                        </pic:blipFill>
                        <pic:spPr>
                          <a:xfrm>
                            <a:off x="0" y="0"/>
                            <a:ext cx="1089660" cy="1330325"/>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长方形方桌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规格：800*400*800mm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1.整体采用白蜡木实木。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7456" behindDoc="0" locked="0" layoutInCell="1" allowOverlap="1">
                  <wp:simplePos x="0" y="0"/>
                  <wp:positionH relativeFrom="column">
                    <wp:posOffset>58420</wp:posOffset>
                  </wp:positionH>
                  <wp:positionV relativeFrom="paragraph">
                    <wp:posOffset>77470</wp:posOffset>
                  </wp:positionV>
                  <wp:extent cx="913765" cy="1175385"/>
                  <wp:effectExtent l="0" t="0" r="635" b="5715"/>
                  <wp:wrapSquare wrapText="bothSides"/>
                  <wp:docPr id="74"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0"/>
                          <pic:cNvPicPr>
                            <a:picLocks noChangeAspect="1"/>
                          </pic:cNvPicPr>
                        </pic:nvPicPr>
                        <pic:blipFill>
                          <a:blip r:embed="rId19"/>
                          <a:stretch>
                            <a:fillRect/>
                          </a:stretch>
                        </pic:blipFill>
                        <pic:spPr>
                          <a:xfrm>
                            <a:off x="0" y="0"/>
                            <a:ext cx="913765" cy="1175385"/>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国学桌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一、桌子规格：1200*600*700mm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▲1.整体采用胡桃木实木制作，桌面厚度≥20mm。橡胶木满足或优于GB/T3324-2024《木家具通用技术条件》标准。 </w:t>
            </w:r>
          </w:p>
          <w:p>
            <w:pPr>
              <w:spacing w:line="380" w:lineRule="exact"/>
              <w:jc w:val="left"/>
              <w:rPr>
                <w:rFonts w:ascii="宋体" w:hAnsi="宋体" w:cs="宋体"/>
                <w:strike/>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二、椅子规格：540*440*850mm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▲1.整体采用胡桃木实木板材制作。胡桃木满足或优于GB/T3324-2024《木家具通用技术条件》标准。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1028700" cy="1239520"/>
                  <wp:effectExtent l="0" t="0" r="0" b="5080"/>
                  <wp:docPr id="77" name="图片 6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2" descr="11"/>
                          <pic:cNvPicPr>
                            <a:picLocks noChangeAspect="1"/>
                          </pic:cNvPicPr>
                        </pic:nvPicPr>
                        <pic:blipFill>
                          <a:blip r:embed="rId20"/>
                          <a:stretch>
                            <a:fillRect/>
                          </a:stretch>
                        </pic:blipFill>
                        <pic:spPr>
                          <a:xfrm>
                            <a:off x="0" y="0"/>
                            <a:ext cx="1028700" cy="12395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沙发组（双人沙发+1个茶几）</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一、实木双人沙发规格：1400×700×1000mm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1.框架采用优质实木板制作。</w:t>
            </w:r>
          </w:p>
          <w:p>
            <w:pPr>
              <w:spacing w:line="380" w:lineRule="exact"/>
              <w:jc w:val="left"/>
              <w:rPr>
                <w:rFonts w:ascii="宋体" w:hAnsi="宋体" w:cs="宋体"/>
                <w:strike/>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3.坐垫、靠包、扶手枕均采用透气棉麻材质，填充高回弹海绵，柔软亲肤，面料挺实，久用不易塌陷。二、茶几规格：1000*500*450mm；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838200" cy="883285"/>
                  <wp:effectExtent l="0" t="0" r="0" b="5715"/>
                  <wp:docPr id="80" name="图片 6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64" descr="11"/>
                          <pic:cNvPicPr>
                            <a:picLocks noChangeAspect="1"/>
                          </pic:cNvPicPr>
                        </pic:nvPicPr>
                        <pic:blipFill>
                          <a:blip r:embed="rId21"/>
                          <a:stretch>
                            <a:fillRect/>
                          </a:stretch>
                        </pic:blipFill>
                        <pic:spPr>
                          <a:xfrm>
                            <a:off x="0" y="0"/>
                            <a:ext cx="838200" cy="88328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p>
          <w:p>
            <w:pPr>
              <w:jc w:val="left"/>
              <w:rPr>
                <w:color w:val="000000" w:themeColor="text1"/>
                <w14:textFill>
                  <w14:solidFill>
                    <w14:schemeClr w14:val="tx1"/>
                  </w14:solidFill>
                </w14:textFill>
              </w:rPr>
            </w:pP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829310" cy="1166495"/>
                  <wp:effectExtent l="0" t="0" r="8890" b="1905"/>
                  <wp:docPr id="83" name="图片 43" descr="调整沙发颜色为浅棕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3" descr="调整沙发颜色为浅棕色"/>
                          <pic:cNvPicPr>
                            <a:picLocks noChangeAspect="1"/>
                          </pic:cNvPicPr>
                        </pic:nvPicPr>
                        <pic:blipFill>
                          <a:blip r:embed="rId22"/>
                          <a:stretch>
                            <a:fillRect/>
                          </a:stretch>
                        </pic:blipFill>
                        <pic:spPr>
                          <a:xfrm>
                            <a:off x="0" y="0"/>
                            <a:ext cx="829310" cy="116649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休闲圆几/座椅（1桌2椅）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▲一、4个中式实木沙发组规格：480*500*760*430（坐高）mm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1.基材：进口白蜡实木，含水率≤9%，经高温烘烤，防虫、防霉变；表面采用水性清漆处理，抗磨花能力强、防水性能好。</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易涂宝”“大宝”“华润”或同等档次品牌环保水性漆，有害物质释放量达到国家相关环保标准；表面平整，无明显颗粒、渣点，颜色均匀，硬度高，耐磨性强，能长久保持漆面效果；封闭底着色油漆工艺，经四底两面，清晰体现实木质感。</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3.坐板：E1级实木多层板，甲醛释放量≤0.025mg/m³；表面采用优质木皮贴面，纹理自然高档、防污、耐冲击、耐磨性强，无节疤、腐朽、裂纹、虫眼、夹皮、变色等缺陷，无色差基材，承重力强，坐板厚度55mm。</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▲二、圆形茶几规格：φ1000*755mm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1.基础信息 产品名称：海棠圆餐桌 ，主体材质：全实木榆木（支持定制胡桃色）</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2.工艺结构：全实木榫卯结构 尺寸参数 桌面直径：1000mm（1 米） 整体高度：755mm，桌腿设计：上粗下窄的圆腿造型 设计细节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桌面造型：圆形实木桌面 桌身工艺：海棠花镂空开光设计 结构特点：榫卯工艺加固，稳固耐用 风格属性：原木风 / 北欧风 / 日式风实木家具 。4.其他说明 适用场景：餐厅、小户型客厅、休闲区等 定制说明：支持将原木色改做胡桃色，满足不同家居风格搭配 材质优势：榆木实木材质，纹理自然，结实耐用，承重力强。</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p>
          <w:p>
            <w:pPr>
              <w:jc w:val="left"/>
              <w:rPr>
                <w:rFonts w:ascii="宋体" w:hAnsi="宋体"/>
                <w:color w:val="000000" w:themeColor="text1"/>
                <w:sz w:val="20"/>
                <w14:textFill>
                  <w14:solidFill>
                    <w14:schemeClr w14:val="tx1"/>
                  </w14:solidFill>
                </w14:textFill>
              </w:rPr>
            </w:pP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666115" cy="868045"/>
                  <wp:effectExtent l="0" t="0" r="6985" b="8255"/>
                  <wp:docPr id="86" name="图片 44" descr="tb_image_share_177267499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4" descr="tb_image_share_1772674990385"/>
                          <pic:cNvPicPr>
                            <a:picLocks noChangeAspect="1"/>
                          </pic:cNvPicPr>
                        </pic:nvPicPr>
                        <pic:blipFill>
                          <a:blip r:embed="rId23"/>
                          <a:stretch>
                            <a:fillRect/>
                          </a:stretch>
                        </pic:blipFill>
                        <pic:spPr>
                          <a:xfrm>
                            <a:off x="0" y="0"/>
                            <a:ext cx="666115" cy="86804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657225" cy="546735"/>
                  <wp:effectExtent l="0" t="0" r="3175" b="12065"/>
                  <wp:docPr id="89" name="图片 45" descr="tb_image_share_177267494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5" descr="tb_image_share_1772674945823"/>
                          <pic:cNvPicPr>
                            <a:picLocks noChangeAspect="1"/>
                          </pic:cNvPicPr>
                        </pic:nvPicPr>
                        <pic:blipFill>
                          <a:blip r:embed="rId24"/>
                          <a:stretch>
                            <a:fillRect/>
                          </a:stretch>
                        </pic:blipFill>
                        <pic:spPr>
                          <a:xfrm>
                            <a:off x="0" y="0"/>
                            <a:ext cx="657225" cy="5467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阅览区桌椅（1桌4椅）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一、阅览桌规格：1600×700×750mm，榆木；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1.整体采用榆木制作。</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二、阅览椅规格：470×1100×430mm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1.整体采用榆木制作，坐面采用亚麻面料，反面采用高密度的藤席，内填充高密度海绵，回弹佳，久坐不塌陷。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8480" behindDoc="0" locked="0" layoutInCell="1" allowOverlap="1">
                  <wp:simplePos x="0" y="0"/>
                  <wp:positionH relativeFrom="column">
                    <wp:posOffset>-45720</wp:posOffset>
                  </wp:positionH>
                  <wp:positionV relativeFrom="paragraph">
                    <wp:posOffset>92075</wp:posOffset>
                  </wp:positionV>
                  <wp:extent cx="1200150" cy="986155"/>
                  <wp:effectExtent l="0" t="0" r="6350" b="4445"/>
                  <wp:wrapSquare wrapText="bothSides"/>
                  <wp:docPr id="9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75"/>
                          <pic:cNvPicPr>
                            <a:picLocks noChangeAspect="1"/>
                          </pic:cNvPicPr>
                        </pic:nvPicPr>
                        <pic:blipFill>
                          <a:blip r:embed="rId12"/>
                          <a:stretch>
                            <a:fillRect/>
                          </a:stretch>
                        </pic:blipFill>
                        <pic:spPr>
                          <a:xfrm>
                            <a:off x="0" y="0"/>
                            <a:ext cx="1200150" cy="986155"/>
                          </a:xfrm>
                          <a:prstGeom prst="rect">
                            <a:avLst/>
                          </a:prstGeom>
                          <a:noFill/>
                          <a:ln w="9525">
                            <a:noFill/>
                          </a:ln>
                        </pic:spPr>
                      </pic:pic>
                    </a:graphicData>
                  </a:graphic>
                </wp:anchor>
              </w:drawing>
            </w:r>
          </w:p>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1172210" cy="1185545"/>
                  <wp:effectExtent l="0" t="0" r="8890" b="14605"/>
                  <wp:docPr id="92" name="图片 47" descr="tb_image_share_1772680809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7" descr="tb_image_share_1772680809131"/>
                          <pic:cNvPicPr>
                            <a:picLocks noChangeAspect="1"/>
                          </pic:cNvPicPr>
                        </pic:nvPicPr>
                        <pic:blipFill>
                          <a:blip r:embed="rId25"/>
                          <a:stretch>
                            <a:fillRect/>
                          </a:stretch>
                        </pic:blipFill>
                        <pic:spPr>
                          <a:xfrm>
                            <a:off x="0" y="0"/>
                            <a:ext cx="1172210" cy="11855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研讨区会议桌椅（1桌4椅）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一、整体外观规格：长×宽×高≥1800×1200×750mm。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1.桌面采用纯实木制作，桌面厚度30mm。</w:t>
            </w:r>
          </w:p>
          <w:p>
            <w:pPr>
              <w:spacing w:line="380" w:lineRule="exact"/>
              <w:jc w:val="left"/>
              <w:rPr>
                <w:rFonts w:ascii="宋体" w:hAnsi="宋体" w:cs="宋体"/>
                <w:strike/>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3.桌架采用铁艺桌脚，结实耐用，万象滑轮，360°滚动无痕，移动方便，固定耐磨万向滑轮牢靠承重性能好，防滑防刮地板。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二、配套会议椅规格：380*350*730mm；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▲1.椅架采用橡胶木实木制作，橡胶木满足或优于GB/T3324-2024《木家具通用技术条件》标准。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满足或优于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3.pu革座包，防水、防污、防油渍；内包高密度海绵。</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95985" cy="1697990"/>
                  <wp:effectExtent l="0" t="0" r="5715" b="3810"/>
                  <wp:docPr id="98" name="图片 7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79" descr="11"/>
                          <pic:cNvPicPr>
                            <a:picLocks noChangeAspect="1"/>
                          </pic:cNvPicPr>
                        </pic:nvPicPr>
                        <pic:blipFill>
                          <a:blip r:embed="rId26"/>
                          <a:stretch>
                            <a:fillRect/>
                          </a:stretch>
                        </pic:blipFill>
                        <pic:spPr>
                          <a:xfrm>
                            <a:off x="0" y="0"/>
                            <a:ext cx="895985" cy="16979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休闲沙发/圆几（1桌4椅）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一、4个中式实木沙发组规格：480*500*760*430（坐高）mm；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1.整体采用全实木榆木制作，坐板厚度55mm。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二、圆形茶几规格：φ1000*755mm；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1.整体采用榆木制作，桌面厚度33mm。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2.桌腿采用上粗下窄设计，最粗为55mm；梯形结构，四平八稳。</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38200" cy="800100"/>
                  <wp:effectExtent l="0" t="0" r="0" b="0"/>
                  <wp:docPr id="101" name="图片 40" descr="tb_image_share_177259607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0" descr="tb_image_share_1772596071057"/>
                          <pic:cNvPicPr>
                            <a:picLocks noChangeAspect="1"/>
                          </pic:cNvPicPr>
                        </pic:nvPicPr>
                        <pic:blipFill>
                          <a:blip r:embed="rId27"/>
                          <a:stretch>
                            <a:fillRect/>
                          </a:stretch>
                        </pic:blipFill>
                        <pic:spPr>
                          <a:xfrm>
                            <a:off x="0" y="0"/>
                            <a:ext cx="838200" cy="8001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会议桌椅（每套需1桌4椅）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一、整体外观规格：长×宽×高≥1800×1200×750mm，榆木。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1.整体采用榆木制作，桌面厚度50mm。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油漆：采用环保油漆，经五底三面工艺，漆面平整无颗粒、气泡、积粉、渣点，色泽均匀，表面色泽剔透，具有较好的耐磨性、耐高温性能、附着力强。所用PU透明底漆和PU亚光清面漆符合GB18581-2020《木器涂料中有害物质限量》标准。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二、椅子规格：530*420*840mm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866775" cy="717550"/>
                  <wp:effectExtent l="0" t="0" r="9525" b="6350"/>
                  <wp:docPr id="104" name="图片 1524561311" descr="b3e34d9004f81026faf28006c6d5f409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524561311" descr="b3e34d9004f81026faf28006c6d5f409_720"/>
                          <pic:cNvPicPr>
                            <a:picLocks noChangeAspect="1"/>
                          </pic:cNvPicPr>
                        </pic:nvPicPr>
                        <pic:blipFill>
                          <a:blip r:embed="rId28"/>
                          <a:srcRect t="27402" b="20644"/>
                          <a:stretch>
                            <a:fillRect/>
                          </a:stretch>
                        </pic:blipFill>
                        <pic:spPr>
                          <a:xfrm>
                            <a:off x="0" y="0"/>
                            <a:ext cx="866775" cy="717550"/>
                          </a:xfrm>
                          <a:prstGeom prst="rect">
                            <a:avLst/>
                          </a:prstGeom>
                          <a:noFill/>
                          <a:ln w="9525">
                            <a:noFill/>
                          </a:ln>
                        </pic:spPr>
                      </pic:pic>
                    </a:graphicData>
                  </a:graphic>
                </wp:inline>
              </w:drawing>
            </w:r>
          </w:p>
          <w:p>
            <w:pPr>
              <w:jc w:val="left"/>
              <w:rPr>
                <w:color w:val="000000" w:themeColor="text1"/>
                <w14:textFill>
                  <w14:solidFill>
                    <w14:schemeClr w14:val="tx1"/>
                  </w14:solidFill>
                </w14:textFill>
              </w:rPr>
            </w:pPr>
          </w:p>
          <w:p>
            <w:pPr>
              <w:jc w:val="left"/>
              <w:rPr>
                <w:color w:val="000000" w:themeColor="text1"/>
                <w14:textFill>
                  <w14:solidFill>
                    <w14:schemeClr w14:val="tx1"/>
                  </w14:solidFill>
                </w14:textFill>
              </w:rPr>
            </w:pP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742950" cy="1588135"/>
                  <wp:effectExtent l="0" t="0" r="6350" b="12065"/>
                  <wp:docPr id="10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7"/>
                          <pic:cNvPicPr>
                            <a:picLocks noChangeAspect="1"/>
                          </pic:cNvPicPr>
                        </pic:nvPicPr>
                        <pic:blipFill>
                          <a:blip r:embed="rId29"/>
                          <a:stretch>
                            <a:fillRect/>
                          </a:stretch>
                        </pic:blipFill>
                        <pic:spPr>
                          <a:xfrm>
                            <a:off x="0" y="0"/>
                            <a:ext cx="742950" cy="15881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接待桌椅（1桌4椅）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一、接待桌（1张）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1.规格：直径800*高750mm（±5mm）；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▲2.桌面：采用橡胶木实木板材制作，桌面厚度30mm橡胶木满足或优于GB/T3324-2024《木家具通用技术条件》标准。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3.桌架：采用≧1.5mm厚钢制桌架，架体经焊接打磨，表面做防锈处理后，采用国标环保粉沫涂料环氧聚脂塑粉，经高压静电喷涂，200度高温烘烤融化，塑粉通过HG/T 2006-2022《热固性和热塑性粉沫涂料》标准检测合格；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4.颜色：胡桃木色桌面+黑色桌架。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二、接待椅（4张）+抱枕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1.长520×宽550×高790mm（±5mm）；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2.皮面：采用国标一级或同等级以西皮覆面，西皮厚度≥0.8mm，西皮通过GB/T 16799-2018《家具用皮革》标准检测合格；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3.海绵：采用≥40mm厚高弹性聚胺脂定型海绵(模具一次成型)高弹阻燃海绵填充，海绵通过GB/T 10802-2023《通用软质聚氨酯泡沫塑料》、《泡沫塑料及橡胶 表观密度的测定》国家标准检测合格；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4.脚架：采用≧1.5mm厚钢制椅架，架体经焊接打磨，表面做防锈处理后，采用国标环保粉沫涂料环氧聚脂塑粉，经高压静电喷涂，200度高温烘烤融化，塑粉通过HG/T 2006-2022《热固性和热塑性粉沫涂料》标准检测合格；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5.颜色：米色皮面+黑色椅架。</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9504" behindDoc="0" locked="0" layoutInCell="1" allowOverlap="1">
                  <wp:simplePos x="0" y="0"/>
                  <wp:positionH relativeFrom="column">
                    <wp:posOffset>0</wp:posOffset>
                  </wp:positionH>
                  <wp:positionV relativeFrom="paragraph">
                    <wp:posOffset>499110</wp:posOffset>
                  </wp:positionV>
                  <wp:extent cx="752475" cy="1242060"/>
                  <wp:effectExtent l="0" t="0" r="0" b="0"/>
                  <wp:wrapSquare wrapText="bothSides"/>
                  <wp:docPr id="110" name="图片 1562139779" descr="f17e36974a92de3c4b982beef922e4c2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562139779" descr="f17e36974a92de3c4b982beef922e4c2_720"/>
                          <pic:cNvPicPr>
                            <a:picLocks noChangeAspect="1"/>
                          </pic:cNvPicPr>
                        </pic:nvPicPr>
                        <pic:blipFill>
                          <a:blip r:embed="rId30"/>
                          <a:srcRect t="20615" b="17349"/>
                          <a:stretch>
                            <a:fillRect/>
                          </a:stretch>
                        </pic:blipFill>
                        <pic:spPr>
                          <a:xfrm>
                            <a:off x="0" y="0"/>
                            <a:ext cx="752475" cy="124206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会议桌椅（1桌4椅）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一、阅读学习桌规格：长×宽×高≥1800×1200×750mm。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▲1.整体采用橡胶木实木板材制作，桌面厚度30mm；桌腿厚度50mm，Z形桌腿。橡胶木满足或优于GB/T3324-2024《木家具通用技术条件》标准。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2.采用优质五金配件。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二、配套沙发椅6张规格：560*520*840mm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3.坐面采用优质亚麻布透气面料，触感揉软，坐感舒适，久坐不闷；内填充高密度海绵，厚实饱满，回弹性强，坐感舒适。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57250" cy="1488440"/>
                  <wp:effectExtent l="0" t="0" r="6350" b="10160"/>
                  <wp:docPr id="11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32"/>
                          <pic:cNvPicPr>
                            <a:picLocks noChangeAspect="1"/>
                          </pic:cNvPicPr>
                        </pic:nvPicPr>
                        <pic:blipFill>
                          <a:blip r:embed="rId31"/>
                          <a:stretch>
                            <a:fillRect/>
                          </a:stretch>
                        </pic:blipFill>
                        <pic:spPr>
                          <a:xfrm>
                            <a:off x="0" y="0"/>
                            <a:ext cx="857250" cy="14884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会议桌椅（1桌4椅）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▲1.桌面采用橡胶木实木板材制作，桌面厚度50mm，橡胶木满足或优于GB/T3324-2024《木家具通用技术条件》标准。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3.桌脚采用加粗加厚钢架，承重力强，结实耐用。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二、椅子规格：560*460*750mm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3.坐面采用亚麻面料，内填充高密度海绵，回弹佳，久坐不塌陷。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924560" cy="1551940"/>
                  <wp:effectExtent l="0" t="0" r="0" b="0"/>
                  <wp:docPr id="116" name="图片 1562139794" descr="b22b833144f156fa97e563e004342b31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562139794" descr="b22b833144f156fa97e563e004342b31_720"/>
                          <pic:cNvPicPr>
                            <a:picLocks noChangeAspect="1"/>
                          </pic:cNvPicPr>
                        </pic:nvPicPr>
                        <pic:blipFill>
                          <a:blip r:embed="rId32"/>
                          <a:srcRect t="26389" b="22948"/>
                          <a:stretch>
                            <a:fillRect/>
                          </a:stretch>
                        </pic:blipFill>
                        <pic:spPr>
                          <a:xfrm>
                            <a:off x="0" y="0"/>
                            <a:ext cx="924560" cy="15519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接待桌椅（1桌4椅）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一、桌子，规格：800直径×750（mm）；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1.基材：采用优质胡桃木实木基材，桌面板材厚度≥30mm，实木经过防虫、防潮、防腐及多次烘干蒸发处理,整体框架结构合理,牢固,含水率低于9%，整椅无腐裂修补现象，表面洁净无污染。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2.油漆：采用环保型油漆，经五底三面工艺处理，采用全自动喷涂漆、滚涂线，完全密闭环境工作，杜绝粉尘，感应喷头，自动调节油漆量，保证油漆面光洁平整,木纹纹理清晰，色泽均匀，底漆、面漆符合GB 18581-2020《木器涂料中有害物质限量》标准要求。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二、椅子，规格：560*460*750mm；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1.椅架：采用优质胡桃木实木基材，实木经过防虫、防潮、防腐及多次烘干蒸发处理,整体框架结构合理,牢固,含水率低于9%，整体无腐裂修补现象，表面洁净无污染。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2.面料：采用优质环保西皮（皮革）面料，皮面光泽度好，透气性强，柔软而富于韧性厚度适中，纹路细致、色泽均匀，经浸色、防腐、防潮处理。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3.海绵：采用PU成型发泡高密度海绵,高回弹海绵,软硬适中，回弹性好，不变形，整体切割，不得使用拼接再生类海绵，根椐人体工程学原理设计，坐感舒适。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4.座垫、靠背：采用≥15mm厚优质实木多层板经模具热压一体成型并双面压防火板饰面作为内板，板材经过高温干燥、脱脂、防潮、防虫、防腐等化学处理。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6.胶粘剂：采用优质品牌胶粘剂，胶粘剂中的有害物质限量符合GB 18583-2008《室内装饰装修材料胶粘剂中有害物质限量》标准要求。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7.五金配件：采用优质五金配件。盐水及盐雾测试48小时以上，不生锈。</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8.坐面采用亚麻面料，内填充高密度海绵，回弹佳，久坐不塌陷。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95985" cy="1657350"/>
                  <wp:effectExtent l="0" t="0" r="5715" b="6350"/>
                  <wp:docPr id="11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99"/>
                          <pic:cNvPicPr>
                            <a:picLocks noChangeAspect="1"/>
                          </pic:cNvPicPr>
                        </pic:nvPicPr>
                        <pic:blipFill>
                          <a:blip r:embed="rId33"/>
                          <a:stretch>
                            <a:fillRect/>
                          </a:stretch>
                        </pic:blipFill>
                        <pic:spPr>
                          <a:xfrm>
                            <a:off x="0" y="0"/>
                            <a:ext cx="895985" cy="16573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棋桌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一、桌子，规格：定制（约800*800mm），整体采用实木制作。</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771525" cy="1009015"/>
                  <wp:effectExtent l="0" t="0" r="3175" b="6985"/>
                  <wp:docPr id="122"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01"/>
                          <pic:cNvPicPr>
                            <a:picLocks noChangeAspect="1"/>
                          </pic:cNvPicPr>
                        </pic:nvPicPr>
                        <pic:blipFill>
                          <a:blip r:embed="rId34"/>
                          <a:stretch>
                            <a:fillRect/>
                          </a:stretch>
                        </pic:blipFill>
                        <pic:spPr>
                          <a:xfrm>
                            <a:off x="0" y="0"/>
                            <a:ext cx="771525" cy="10090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实木会客椅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规格：600*550*700mm。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1.整体采用白蜡木实木制作。</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3.坐面采用亚麻面料，内填充高密度海绵，回弹佳，久坐不塌陷。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47090" cy="1446530"/>
                  <wp:effectExtent l="0" t="0" r="3810" b="1270"/>
                  <wp:docPr id="125"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03"/>
                          <pic:cNvPicPr>
                            <a:picLocks noChangeAspect="1"/>
                          </pic:cNvPicPr>
                        </pic:nvPicPr>
                        <pic:blipFill>
                          <a:blip r:embed="rId35"/>
                          <a:stretch>
                            <a:fillRect/>
                          </a:stretch>
                        </pic:blipFill>
                        <pic:spPr>
                          <a:xfrm>
                            <a:off x="0" y="0"/>
                            <a:ext cx="847090" cy="14465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观影椅子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一、规格：宽550mm×深700mm×高1000mm；手高600mm，座面高450mm；座板和背板：采用橡胶木实木，橡胶木满足GB/T3324-2024《木家具通用技术条件》或优于GB/T 9846-2015《普通胶合板》、GB/T 17657-2013《人造板及饰面人造板理化性能试验方法》、GB18580-2017《室内装饰装修材料人造板及其制品中甲醛释放限量》、GB/T39600-2021《人造板及其制品甲醛释放量分级》标准。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1.座背海棉：采用高密度冷发泡PU定型海棉。背海棉长度约≥730mm，宽度约≥470mm，头顶高度为约≥98mm，底高≥度约95mm，海棉密度为≥54KG/M3。</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2.座海棉：采用高密度冷发泡PU定型海棉。座海棉长度为≥480mm，宽度为≥420mm，头顶高度为97mm，底高度为60mm，海棉密度为≥54KG/M3。</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3.背内板：采用优质夹板经模具压弯成型。外型成弧型，美观大方，具有曲线美。尺寸规格：长度约≥685 mm（±10mm），宽度为≥440mm，厚度≥11 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4.背胶壳：基材为多层实木板（胶合板），厚度≥15mm。表面喷涂油漆，采用环保型聚氨酯漆，保证所有木制外露部分油漆喷涂完整，防止回潮，表面过烤漆工艺处理，外表美观、耐磨。油漆性符合GB 18581-2020《木器涂料中有害物质限量》及GB/T 23997-2009《室内装饰装修用溶剂型聚氨酯木器涂料》标准。座外板有吸音小孔，以加强座椅的吸音功能，声学要求达国家相关标准。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5.回位功能：座内采用弹簧加钢架回位结构，持久耐用，而且无回位噪音。</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6.扶手面：采用优质橡胶木或榉木原料,经锣机打锣成型,表面喷PE环保油漆处理，规格：≥430mm*65mm*23mm.符合</w:t>
            </w:r>
            <w:r>
              <w:rPr>
                <w:rFonts w:hint="default" w:ascii="宋体" w:hAnsi="宋体" w:cs="宋体"/>
                <w:color w:val="000000" w:themeColor="text1"/>
                <w:szCs w:val="21"/>
                <w:highlight w:val="yellow"/>
                <w:lang w:val="en"/>
                <w14:textFill>
                  <w14:solidFill>
                    <w14:schemeClr w14:val="tx1"/>
                  </w14:solidFill>
                </w14:textFill>
              </w:rPr>
              <w:t>GB/T 3324-2024</w:t>
            </w:r>
            <w:r>
              <w:rPr>
                <w:rFonts w:hint="eastAsia" w:ascii="宋体" w:hAnsi="宋体" w:cs="宋体"/>
                <w:color w:val="000000" w:themeColor="text1"/>
                <w:szCs w:val="21"/>
                <w14:textFill>
                  <w14:solidFill>
                    <w14:schemeClr w14:val="tx1"/>
                  </w14:solidFill>
                </w14:textFill>
              </w:rPr>
              <w:t>《木家具通用技术条件》、 GB/T29894-2013《木材鉴别方法通则》材质鉴别符合材质需求，木材含水率优于12%；</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7.面料：采用高级专用布料，手感舒适，抗污，抗静电，防褪色。有多种颜色可供选择；</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8.侧板：采用优质PP（聚丙烯）多元素复合材料经模具压注成型；</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9.扶手架及站脚：采用优质热轧钢模压并焊制成形，座椅的所有金属表面经磷化处理后静电喷塑饰面。具有良好的抗腐蚀性和表面光洁度。</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10.地面固定：采用优质铝合金底座。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11.座椅外形：设计符合人体工程学原理，舒适度好。</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12.配牌号、前后都要有号码牌。</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723900" cy="1515110"/>
                  <wp:effectExtent l="0" t="0" r="0" b="8890"/>
                  <wp:docPr id="1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6"/>
                          <pic:cNvPicPr>
                            <a:picLocks noChangeAspect="1"/>
                          </pic:cNvPicPr>
                        </pic:nvPicPr>
                        <pic:blipFill>
                          <a:blip r:embed="rId36"/>
                          <a:stretch>
                            <a:fillRect/>
                          </a:stretch>
                        </pic:blipFill>
                        <pic:spPr>
                          <a:xfrm>
                            <a:off x="0" y="0"/>
                            <a:ext cx="723900" cy="151511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户外休闲桌椅+太阳伞</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一、桌子，规格：直径800×720（mm），黑丝玻璃，碳钢框架。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椅子规格：520*500*710mm1。椅子碳钢框架十PVC材质。1桌4椅。</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桌架、椅架：采用冷轧钢型材，经数控激光切割、数控折弯，用二氧化碳气体保护焊接成型，成品表面须经过“预脱脂→主脱脂→水洗→水洗→陶化→水洗→纯水洗→预烘干→静电喷塑→高温固化”十工序处理，预备处理后表面无氧化皮、锈蚀、粘砂等其他杂质并及时进行涂饰；</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2.塑粉：采用热固性粉末涂料，静电喷塑前零部件经过除锈，防腐处理，表面平整光滑不起泡。热固性粉末涂料符合HG/T 2006-2022《热固性和热塑性粉末涂料》标准要求，包括但不限于：附着力、铅笔硬度、杯突试验、弯曲试验、耐磨性、耐盐雾性、耐湿性，检测合格。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二、伞的规格：2.7米卡其色；</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1.加厚色织布，耐晒；荷叶边顶布，防水，不易漏雨。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2.8根加粗伞骨，伞盘加固，旋转手摇把，直径37mm碳钢主杆，45斤注水底座。</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771525" cy="1322070"/>
                  <wp:effectExtent l="0" t="0" r="3175" b="11430"/>
                  <wp:docPr id="131" name="图片 627345602"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27345602" descr="44"/>
                          <pic:cNvPicPr>
                            <a:picLocks noChangeAspect="1"/>
                          </pic:cNvPicPr>
                        </pic:nvPicPr>
                        <pic:blipFill>
                          <a:blip r:embed="rId37"/>
                          <a:stretch>
                            <a:fillRect/>
                          </a:stretch>
                        </pic:blipFill>
                        <pic:spPr>
                          <a:xfrm>
                            <a:off x="0" y="0"/>
                            <a:ext cx="771525" cy="13220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封闭式书桌椅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166套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一、桌子规格：800*650*1000（mm），样式：按图施工，颜色：浅胡桃木色。</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▲1.整体采用E1级环保橡胶木实木制作，桌面厚度25 mm，其余部分板厚18mm，橡胶木满足或优于GB/T3324-2024《木家具通用技术条件》标准。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2.安装LED节能灯及插座。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油漆：采用环保油漆，经五底三面工艺，漆面平整无颗粒、气泡、积粉、渣点，色泽均匀，表面色泽剔透，具有较好的耐磨性、耐高温性能、附着力强。所用PU透明底漆和PU亚光清面漆满足或优于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二、椅子规格：430*480*800mm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29310" cy="1028700"/>
                  <wp:effectExtent l="0" t="0" r="8890" b="0"/>
                  <wp:docPr id="134" name="图片 1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21" descr="IMG_256"/>
                          <pic:cNvPicPr>
                            <a:picLocks noChangeAspect="1"/>
                          </pic:cNvPicPr>
                        </pic:nvPicPr>
                        <pic:blipFill>
                          <a:blip r:embed="rId38"/>
                          <a:stretch>
                            <a:fillRect/>
                          </a:stretch>
                        </pic:blipFill>
                        <pic:spPr>
                          <a:xfrm>
                            <a:off x="0" y="0"/>
                            <a:ext cx="829310" cy="10287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四人阅览桌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37张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整体外观规格：长×宽×高≥1800×1200×750mm。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▲1.整体采用橡胶木实木板材制作，桌面厚度≥50mm。橡胶木满足或优于GB/T3324-2024《木家具通用技术条件》标准。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752475" cy="1044575"/>
                  <wp:effectExtent l="0" t="0" r="9525" b="9525"/>
                  <wp:docPr id="137"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23"/>
                          <pic:cNvPicPr>
                            <a:picLocks noChangeAspect="1"/>
                          </pic:cNvPicPr>
                        </pic:nvPicPr>
                        <pic:blipFill>
                          <a:blip r:embed="rId39"/>
                          <a:stretch>
                            <a:fillRect/>
                          </a:stretch>
                        </pic:blipFill>
                        <pic:spPr>
                          <a:xfrm>
                            <a:off x="0" y="0"/>
                            <a:ext cx="752475" cy="104457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二人阅览桌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整体外观规格：长×宽×高≥1000×1200×750mm；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▲1.整体采用橡胶木实木板材制作，桌面厚度≥50mm。橡胶木满足或优于GB/T3324-2024《木家具通用技术条件》标准。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780415" cy="1053465"/>
                  <wp:effectExtent l="0" t="0" r="6985" b="635"/>
                  <wp:docPr id="140"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25"/>
                          <pic:cNvPicPr>
                            <a:picLocks noChangeAspect="1"/>
                          </pic:cNvPicPr>
                        </pic:nvPicPr>
                        <pic:blipFill>
                          <a:blip r:embed="rId39"/>
                          <a:stretch>
                            <a:fillRect/>
                          </a:stretch>
                        </pic:blipFill>
                        <pic:spPr>
                          <a:xfrm>
                            <a:off x="0" y="0"/>
                            <a:ext cx="780415" cy="10534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实木椅子+坐垫</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281张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规格：530*420*840mm；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3.坐面采用亚麻面料，反面采用高密度的藤席，内填充高密度海绵，回弹佳，久坐不塌陷。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534035" cy="1095375"/>
                  <wp:effectExtent l="0" t="0" r="12065" b="9525"/>
                  <wp:docPr id="14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37"/>
                          <pic:cNvPicPr>
                            <a:picLocks noChangeAspect="1"/>
                          </pic:cNvPicPr>
                        </pic:nvPicPr>
                        <pic:blipFill>
                          <a:blip r:embed="rId29"/>
                          <a:stretch>
                            <a:fillRect/>
                          </a:stretch>
                        </pic:blipFill>
                        <pic:spPr>
                          <a:xfrm>
                            <a:off x="0" y="0"/>
                            <a:ext cx="534035" cy="109537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讲堂椅子背面带桌板</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103张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规格：宽≥550mm×深≥700mm×高≥1000mm；手高≥600mm，座面高≥450mm；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1.座背海棉：采用高密度冷发泡PU定型海棉。背海棉长度约≥730mm，宽度约≥470mm，头顶高度为约≥98mm，底高≥度约95mm，海棉密度为≥54KG/M3。</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2.座海棉：采用高密度冷发泡PU定型海棉。座海棉长度为≥480mm，宽度为≥420mm，头顶高度为≥97mm，底高度为≥60mm，海棉密度为≥54KG/M</w:t>
            </w:r>
            <w:r>
              <w:rPr>
                <w:rFonts w:hint="eastAsia" w:ascii="宋体" w:hAnsi="宋体" w:cs="宋体"/>
                <w:color w:val="000000" w:themeColor="text1"/>
                <w:szCs w:val="21"/>
                <w:vertAlign w:val="superscript"/>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3.背内板：采用优质夹板经模具压弯成型。外型成弧型，美观大方，具有曲线美。尺寸规格：长度约≥685 mm（±10mm），宽度为≥440mm，厚度≥11mm。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背胶壳：基材为多层实木板（胶合板），厚度≥15mm。表面喷涂油漆，采用环保型聚氨酯漆，保证所有木制外露部分油漆喷涂完整，防止回潮，表面过烤漆工艺处理，外表美观、耐磨。油漆性符合GB18581-2020《木器涂料中有害物质限量》及GB/T 23997-2009《室内装饰装修用溶剂型聚氨酯木器涂料》标准。座外板有吸音小孔，以加强座椅的吸音功能，声学要求达国家相关标准。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5.回位功能：座内采用弹簧加钢架回位结构，持久耐用，而且无回位噪音。</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6.扶手面：采用优质橡胶木或榉木原料,经锣机打锣成型,表面喷PE环保油漆处理，规格：≥430mm*65mm*23mm.符合</w:t>
            </w:r>
            <w:r>
              <w:rPr>
                <w:rFonts w:hint="default" w:ascii="宋体" w:hAnsi="宋体" w:cs="宋体"/>
                <w:color w:val="000000" w:themeColor="text1"/>
                <w:szCs w:val="21"/>
                <w:highlight w:val="yellow"/>
                <w:lang w:val="en"/>
                <w14:textFill>
                  <w14:solidFill>
                    <w14:schemeClr w14:val="tx1"/>
                  </w14:solidFill>
                </w14:textFill>
              </w:rPr>
              <w:t>GB/T 3324-2024</w:t>
            </w:r>
            <w:bookmarkStart w:id="52" w:name="_GoBack"/>
            <w:bookmarkEnd w:id="52"/>
            <w:r>
              <w:rPr>
                <w:rFonts w:hint="eastAsia" w:ascii="宋体" w:hAnsi="宋体" w:cs="宋体"/>
                <w:color w:val="000000" w:themeColor="text1"/>
                <w:szCs w:val="21"/>
                <w14:textFill>
                  <w14:solidFill>
                    <w14:schemeClr w14:val="tx1"/>
                  </w14:solidFill>
                </w14:textFill>
              </w:rPr>
              <w:t>《木家具通用技术条件》、 GB/T29894-2013《木材鉴别方法通则》材质鉴别符合材质需求，木材含水率优于12%；</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7.面料：采用高级专用布料，手感舒适，抗污，抗静电，防褪色。有多种颜色可供选择；</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8.侧板：采用优质PP（聚丙烯）多元素复合材料经模具压注成型；</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9.扶手架及站脚：采用优质热轧钢模压并焊制成形，座椅的所有金属表面经磷化处理后静电喷塑饰面。具有良好的抗腐蚀性和表面光洁度。</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10.带后写字板面板采用高密度中纤板，外冷压防火面板，四周PU封边。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11.地面固定：采用防锈静电喷涂内六角膨胀螺丝，不易生锈。</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12.座椅外形：设计符合人体工程学原理，舒适度好。</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13.配牌号、前后都要有号码牌。</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75665" cy="2374265"/>
                  <wp:effectExtent l="0" t="0" r="635" b="6985"/>
                  <wp:docPr id="1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8"/>
                          <pic:cNvPicPr>
                            <a:picLocks noChangeAspect="1"/>
                          </pic:cNvPicPr>
                        </pic:nvPicPr>
                        <pic:blipFill>
                          <a:blip r:embed="rId40"/>
                          <a:stretch>
                            <a:fillRect/>
                          </a:stretch>
                        </pic:blipFill>
                        <pic:spPr>
                          <a:xfrm>
                            <a:off x="0" y="0"/>
                            <a:ext cx="875665" cy="23742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前排桌子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规格：1800×400×750（mm）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1.基材：采用优质环保≥18mm厚度E0级多层实木板，板材经过高温干燥、脱脂、防潮、防虫、防腐等化学处理，符合GB/T 35601-2024《绿色产品评价 人造板和木质地板》、JC/T2039-2010《抗菌防霉木质装饰板》标准要求，包括但不限于：甲醛释放量、挥发性有机化合物释放量浓度（7d）、可溶性重金属含量、抗细菌性能，检测合格。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2.饰面材料：采用优质三聚氰胺贴面，甲醛释放量符合国家标准。具有防火、耐磨、防污、表面硬度高等特点。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3.封边：采用同色PV封边条，封边条的耐干热、耐磨性、耐冷热达到国家标准。采用全自动封边机封边、修边，不允许手工封边、修边。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4.热熔胶：采用优质热熔胶。热熔胶中的有害物质限量符合国家标准。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799465" cy="771525"/>
                  <wp:effectExtent l="0" t="0" r="635" b="3175"/>
                  <wp:docPr id="149"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33"/>
                          <pic:cNvPicPr>
                            <a:picLocks noChangeAspect="1"/>
                          </pic:cNvPicPr>
                        </pic:nvPicPr>
                        <pic:blipFill>
                          <a:blip r:embed="rId41"/>
                          <a:stretch>
                            <a:fillRect/>
                          </a:stretch>
                        </pic:blipFill>
                        <pic:spPr>
                          <a:xfrm>
                            <a:off x="0" y="0"/>
                            <a:ext cx="799465" cy="77152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前排桌子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2种规格：（1）长宽高≥2200×400×750（mm）一张；规格（2）：长宽高≥1800×400×750（mm）九张。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1、基材：采用优质环保≥25mm厚度E0级多层实木板，板材经过高温干燥、脱脂、防潮、防虫、防腐等化学处理，符合GB/T 35601-2024《绿色产品评价 人造板和木质地板》、JC/T2039-2010《抗菌防霉木质装饰板》标准要求，包括但不限于：甲醛释放量、挥发性有机化合物释放量浓度（7d）、可溶性重金属含量、抗细菌性能，检测合格。环保性好，强度大，不易弯曲。</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2、饰面材料：采用优质三聚氰胺贴面，甲醛释放量符合国家标准。具有防火、耐磨、防污、表面硬度高等特点。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3、专用热熔封边，2.0mm加厚封边条。采用同色PV封边条，封边条的耐干热、耐磨性、耐冷热达到国家标准。采用全自动封边机封边、修边，不允许手工封边、修边。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4、热熔胶：采用优质热熔胶。热熔胶中的有害物质限量符合国家标准。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29310" cy="603885"/>
                  <wp:effectExtent l="0" t="0" r="8890" b="5715"/>
                  <wp:docPr id="1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9"/>
                          <pic:cNvPicPr>
                            <a:picLocks noChangeAspect="1"/>
                          </pic:cNvPicPr>
                        </pic:nvPicPr>
                        <pic:blipFill>
                          <a:blip r:embed="rId42"/>
                          <a:stretch>
                            <a:fillRect/>
                          </a:stretch>
                        </pic:blipFill>
                        <pic:spPr>
                          <a:xfrm>
                            <a:off x="0" y="0"/>
                            <a:ext cx="829310" cy="60388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实木会议桌椅（1桌4椅）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一、桌子规格：长×宽×高≥1800×1200×750mm。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▲1.桌面采用橡胶木实木板材制作，桌面厚度50mm。橡胶木满足或优于GB/T3324-2024《木家具通用技术条件》标准。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3.桌脚采用加粗加厚钢架，承重力强，结实耐用。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二、椅子规格：长×宽×高≥560×460×750mm；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3.坐面采用亚麻面料，内填充高密度海绵，回弹佳，久坐不塌陷。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799465" cy="885825"/>
                  <wp:effectExtent l="0" t="0" r="635" b="3175"/>
                  <wp:docPr id="155"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49"/>
                          <pic:cNvPicPr>
                            <a:picLocks noChangeAspect="1"/>
                          </pic:cNvPicPr>
                        </pic:nvPicPr>
                        <pic:blipFill>
                          <a:blip r:embed="rId43"/>
                          <a:stretch>
                            <a:fillRect/>
                          </a:stretch>
                        </pic:blipFill>
                        <pic:spPr>
                          <a:xfrm>
                            <a:off x="0" y="0"/>
                            <a:ext cx="799465" cy="88582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819150" cy="941070"/>
                  <wp:effectExtent l="0" t="0" r="6350" b="11430"/>
                  <wp:docPr id="158" name="图片 165282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652828236"/>
                          <pic:cNvPicPr>
                            <a:picLocks noChangeAspect="1"/>
                          </pic:cNvPicPr>
                        </pic:nvPicPr>
                        <pic:blipFill>
                          <a:blip r:embed="rId44"/>
                          <a:stretch>
                            <a:fillRect/>
                          </a:stretch>
                        </pic:blipFill>
                        <pic:spPr>
                          <a:xfrm>
                            <a:off x="0" y="0"/>
                            <a:ext cx="819150" cy="941070"/>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790575" cy="922655"/>
                  <wp:effectExtent l="0" t="0" r="9525" b="4445"/>
                  <wp:docPr id="161" name="图片 165282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52828235"/>
                          <pic:cNvPicPr>
                            <a:picLocks noChangeAspect="1"/>
                          </pic:cNvPicPr>
                        </pic:nvPicPr>
                        <pic:blipFill>
                          <a:blip r:embed="rId45"/>
                          <a:stretch>
                            <a:fillRect/>
                          </a:stretch>
                        </pic:blipFill>
                        <pic:spPr>
                          <a:xfrm>
                            <a:off x="0" y="0"/>
                            <a:ext cx="790575" cy="92265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771525" cy="922655"/>
                  <wp:effectExtent l="0" t="0" r="3175" b="4445"/>
                  <wp:docPr id="164" name="图片 165282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52828238"/>
                          <pic:cNvPicPr>
                            <a:picLocks noChangeAspect="1"/>
                          </pic:cNvPicPr>
                        </pic:nvPicPr>
                        <pic:blipFill>
                          <a:blip r:embed="rId46"/>
                          <a:stretch>
                            <a:fillRect/>
                          </a:stretch>
                        </pic:blipFill>
                        <pic:spPr>
                          <a:xfrm>
                            <a:off x="0" y="0"/>
                            <a:ext cx="771525" cy="92265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742950" cy="867410"/>
                  <wp:effectExtent l="0" t="0" r="6350" b="8890"/>
                  <wp:docPr id="167" name="图片 165282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52828247"/>
                          <pic:cNvPicPr>
                            <a:picLocks noChangeAspect="1"/>
                          </pic:cNvPicPr>
                        </pic:nvPicPr>
                        <pic:blipFill>
                          <a:blip r:embed="rId47"/>
                          <a:stretch>
                            <a:fillRect/>
                          </a:stretch>
                        </pic:blipFill>
                        <pic:spPr>
                          <a:xfrm>
                            <a:off x="0" y="0"/>
                            <a:ext cx="742950" cy="86741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现代简约办公桌椅（1桌4椅）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▲1.采用橡胶木实木板材制作，桌面厚度50mm。橡胶木满足或优于GB/T3324-2024《木家具通用技术条件》标准。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油漆：采用环保油漆，经五底三面工艺，漆面平整无颗粒、气泡、积粉、渣点，色泽均匀，表面色泽剔透，具有较好的耐磨性、耐高温性能、附着力强。所用PU透明底漆和PU亚光清面漆符合GB18581-2020《木器涂料中有害物质限量》标准。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二、椅子规格：长×宽×高≥430×430×760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3、坐面采用优质皮革，皮质细腻光滑，耐磨耐脏；内填充高密度海绵，厚实饱满，回弹性强，坐感舒适。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866775" cy="1162685"/>
                  <wp:effectExtent l="0" t="0" r="9525" b="5715"/>
                  <wp:docPr id="170" name="图片 165282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652828245"/>
                          <pic:cNvPicPr>
                            <a:picLocks noChangeAspect="1"/>
                          </pic:cNvPicPr>
                        </pic:nvPicPr>
                        <pic:blipFill>
                          <a:blip r:embed="rId48"/>
                          <a:stretch>
                            <a:fillRect/>
                          </a:stretch>
                        </pic:blipFill>
                        <pic:spPr>
                          <a:xfrm>
                            <a:off x="0" y="0"/>
                            <a:ext cx="866775" cy="116268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904875" cy="1144270"/>
                  <wp:effectExtent l="0" t="0" r="9525" b="11430"/>
                  <wp:docPr id="173" name="图片 1652828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652828246"/>
                          <pic:cNvPicPr>
                            <a:picLocks noChangeAspect="1"/>
                          </pic:cNvPicPr>
                        </pic:nvPicPr>
                        <pic:blipFill>
                          <a:blip r:embed="rId49"/>
                          <a:stretch>
                            <a:fillRect/>
                          </a:stretch>
                        </pic:blipFill>
                        <pic:spPr>
                          <a:xfrm>
                            <a:off x="0" y="0"/>
                            <a:ext cx="904875" cy="1144270"/>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895985" cy="1069975"/>
                  <wp:effectExtent l="0" t="0" r="5715" b="9525"/>
                  <wp:docPr id="176" name="图片 1652828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652828237"/>
                          <pic:cNvPicPr>
                            <a:picLocks noChangeAspect="1"/>
                          </pic:cNvPicPr>
                        </pic:nvPicPr>
                        <pic:blipFill>
                          <a:blip r:embed="rId50"/>
                          <a:stretch>
                            <a:fillRect/>
                          </a:stretch>
                        </pic:blipFill>
                        <pic:spPr>
                          <a:xfrm>
                            <a:off x="0" y="0"/>
                            <a:ext cx="895985" cy="106997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一、实木桌子规格：长×宽×高≥1800×1200×750mm。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▲1.桌面采用橡胶木实木板材制作，桌面厚度≥45mm。橡胶木满足或优于GB/T3324-2024《木家具通用技术条件》标准。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3.桌脚采用加粗加厚钢架，乙型交叉钢架结构，承重力强，结实耐用。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二、实木牛角椅规格：长×宽×高≥430×430×760mm；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3、坐面采用优质皮革，皮质细腻光滑，耐磨耐脏；内填充高密度海绵，厚实饱满，回弹性强，坐感舒适。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885825" cy="1217930"/>
                  <wp:effectExtent l="0" t="0" r="3175" b="1270"/>
                  <wp:docPr id="179"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60"/>
                          <pic:cNvPicPr>
                            <a:picLocks noChangeAspect="1"/>
                          </pic:cNvPicPr>
                        </pic:nvPicPr>
                        <pic:blipFill>
                          <a:blip r:embed="rId51"/>
                          <a:stretch>
                            <a:fillRect/>
                          </a:stretch>
                        </pic:blipFill>
                        <pic:spPr>
                          <a:xfrm>
                            <a:off x="0" y="0"/>
                            <a:ext cx="885825" cy="1217930"/>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771525" cy="1945005"/>
                  <wp:effectExtent l="0" t="0" r="3175" b="10795"/>
                  <wp:docPr id="18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5"/>
                          <pic:cNvPicPr>
                            <a:picLocks noChangeAspect="1"/>
                          </pic:cNvPicPr>
                        </pic:nvPicPr>
                        <pic:blipFill>
                          <a:blip r:embed="rId52"/>
                          <a:stretch>
                            <a:fillRect/>
                          </a:stretch>
                        </pic:blipFill>
                        <pic:spPr>
                          <a:xfrm>
                            <a:off x="0" y="0"/>
                            <a:ext cx="771525" cy="19450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简约现代办公桌椅（1桌4椅）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▲1.采用橡胶木实木板材制作，桌面厚度≥25mm。橡胶木满足或优于GB/T3324-2024《木家具通用技术条件》标准。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二、椅子规格：长×宽×高≥520×400×780mm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3.坐面采用亚麻面料，内填充高密度海绵，回弹佳，久坐不塌陷。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943610" cy="1033780"/>
                  <wp:effectExtent l="0" t="0" r="8890" b="7620"/>
                  <wp:docPr id="18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4"/>
                          <pic:cNvPicPr>
                            <a:picLocks noChangeAspect="1"/>
                          </pic:cNvPicPr>
                        </pic:nvPicPr>
                        <pic:blipFill>
                          <a:blip r:embed="rId53"/>
                          <a:stretch>
                            <a:fillRect/>
                          </a:stretch>
                        </pic:blipFill>
                        <pic:spPr>
                          <a:xfrm>
                            <a:off x="0" y="0"/>
                            <a:ext cx="943610" cy="1033780"/>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1075690" cy="848995"/>
                  <wp:effectExtent l="0" t="0" r="3810" b="1905"/>
                  <wp:docPr id="1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7"/>
                          <pic:cNvPicPr>
                            <a:picLocks noChangeAspect="1"/>
                          </pic:cNvPicPr>
                        </pic:nvPicPr>
                        <pic:blipFill>
                          <a:blip r:embed="rId54"/>
                          <a:stretch>
                            <a:fillRect/>
                          </a:stretch>
                        </pic:blipFill>
                        <pic:spPr>
                          <a:xfrm>
                            <a:off x="0" y="0"/>
                            <a:ext cx="1075690" cy="84899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913765" cy="1346835"/>
                  <wp:effectExtent l="0" t="0" r="635" b="12065"/>
                  <wp:docPr id="191" name="图片 165282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652828242"/>
                          <pic:cNvPicPr>
                            <a:picLocks noChangeAspect="1"/>
                          </pic:cNvPicPr>
                        </pic:nvPicPr>
                        <pic:blipFill>
                          <a:blip r:embed="rId55"/>
                          <a:stretch>
                            <a:fillRect/>
                          </a:stretch>
                        </pic:blipFill>
                        <pic:spPr>
                          <a:xfrm>
                            <a:off x="0" y="0"/>
                            <a:ext cx="913765" cy="134683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885825" cy="1070610"/>
                  <wp:effectExtent l="0" t="0" r="3175" b="8890"/>
                  <wp:docPr id="19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3"/>
                          <pic:cNvPicPr>
                            <a:picLocks noChangeAspect="1"/>
                          </pic:cNvPicPr>
                        </pic:nvPicPr>
                        <pic:blipFill>
                          <a:blip r:embed="rId56"/>
                          <a:stretch>
                            <a:fillRect/>
                          </a:stretch>
                        </pic:blipFill>
                        <pic:spPr>
                          <a:xfrm>
                            <a:off x="0" y="0"/>
                            <a:ext cx="885825" cy="107061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阅览桌椅（1桌4椅）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一、桌子规格：长×宽×高≥1800×1200×750mm。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▲1.采用橡胶木实木板材制作，桌面厚度30mm。橡胶木满足或优于GB/T3324-2024《木家具通用技术条件》标准。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油漆：采用环保油漆，经五底三面工艺，漆面平整无颗粒、气泡、积粉、渣点，色泽均匀，表面色泽剔透，具有较好的耐磨性、耐高温性能、附着力强。所用PU透明底漆和PU亚光清面漆符合GB18581-2020《木器涂料中有害物质限量》标准。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二、椅子规格：530*560*820mm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3.坐面采用亚麻面料，内填充高密度海绵，回弹佳，久坐不塌陷。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57250" cy="1088390"/>
                  <wp:effectExtent l="0" t="0" r="6350" b="3810"/>
                  <wp:docPr id="19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6"/>
                          <pic:cNvPicPr>
                            <a:picLocks noChangeAspect="1"/>
                          </pic:cNvPicPr>
                        </pic:nvPicPr>
                        <pic:blipFill>
                          <a:blip r:embed="rId57"/>
                          <a:stretch>
                            <a:fillRect/>
                          </a:stretch>
                        </pic:blipFill>
                        <pic:spPr>
                          <a:xfrm>
                            <a:off x="0" y="0"/>
                            <a:ext cx="857250" cy="10883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可移动组合桌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桌子规格：1600*400*750（mm）；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1、基材：采用优质环保E0级多层实木板桌面≥25mm，挡板18mm厚度，板材经过高温干燥、脱脂、防潮、防虫、防腐等化学处理，符合GB/T 35601-2024《绿色产品评价 人造板和木质地板》、JC/T2039-2010《抗菌防霉木质装饰板》标准要求，包括但不限于：甲醛释放量、挥发性有机化合物释放量浓度（7d）、可溶性重金属含量、抗细菌性能，检测合格。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2、饰面材料：采用优质三聚氰胺贴面，甲醛释放量符合国家标准。具有防火、耐磨、防污、表面硬度高等特点。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3、封边：采用同色PV封边条，封边条的耐干热、耐磨性、耐冷热达到国家标准。采用全自动封边机封边、修边，不允许手工封边、修边。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4、热熔胶：采用优质热熔胶。热熔胶中的有害物质限量符合国家标准。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脚架：采用冷轧钢管，经数控激光切割、数控折弯，用二氧化碳气体保护焊接成型，成品表面须经过“预脱脂→主脱脂→水洗→水洗→陶化→水洗→纯水洗→预烘干→静电喷塑→高温固化”十工序处理，预备处理后表面无氧化皮、锈蚀、粘砂等其他杂质并及时进行涂饰；</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6、塑粉：采用热固性粉末涂料，静电喷塑前零部件经过除锈，防腐处理，表面平整光滑不起泡。热固性粉末涂料符合HG/T 2006-2022《热固性和热塑性粉末涂料》标准要求，包括但不限于：附着力、铅笔硬度、杯突试验、弯曲试验、耐磨性、耐盐雾性、耐湿性，检测合格。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732790" cy="1393190"/>
                  <wp:effectExtent l="0" t="0" r="3810" b="3810"/>
                  <wp:docPr id="200"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72"/>
                          <pic:cNvPicPr>
                            <a:picLocks noChangeAspect="1"/>
                          </pic:cNvPicPr>
                        </pic:nvPicPr>
                        <pic:blipFill>
                          <a:blip r:embed="rId58"/>
                          <a:stretch>
                            <a:fillRect/>
                          </a:stretch>
                        </pic:blipFill>
                        <pic:spPr>
                          <a:xfrm>
                            <a:off x="0" y="0"/>
                            <a:ext cx="732790" cy="13931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培训椅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椅子规格：500*500*820mm ；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1、面料：采用高密度加密网布制作，含尼龙弹力筋，仿人体工程学，原体加厚工学坐垫；</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2、座垫：采用优质海绵填充，防火阻燃性能达到国家B1级要求，海绵密度大于65 kg/m³，软硬适中，回弹性好。座垫底部采用15mm厚优质多层实木板作为内板，板材经过高温干燥、脱脂、防潮、防虫、防腐等化学处理；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靠背、扶手：靠背（含头枕）采用PP工程塑料注塑而成，耐用，不变色，无异味，背框顶部有向后翻折部分，使头部坐感更加舒适；扶手为7字型尼龙扶手，扶手多面渐变设计，突破传统扁条或方正设计，表面磨沙处理，手感舒适而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4、静音脚轮：采用万向静音脚轮，产品质量优，各项技术指标须符合《家具用脚轮》标准的要求。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715010" cy="1393190"/>
                  <wp:effectExtent l="0" t="0" r="8890" b="3810"/>
                  <wp:docPr id="203"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74"/>
                          <pic:cNvPicPr>
                            <a:picLocks noChangeAspect="1"/>
                          </pic:cNvPicPr>
                        </pic:nvPicPr>
                        <pic:blipFill>
                          <a:blip r:embed="rId58"/>
                          <a:stretch>
                            <a:fillRect/>
                          </a:stretch>
                        </pic:blipFill>
                        <pic:spPr>
                          <a:xfrm>
                            <a:off x="0" y="0"/>
                            <a:ext cx="715010" cy="13931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沙发+2茶几（大+小）</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▲规格：3+1+1沙发组合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1.采用全实木框架；坐面采用加厚耐磨猫抓皮；内填充高密度海绵座包，厚实饱满，回弹性强，坐感舒适。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2.面料与填充</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填充：高密度海绵 + 独立弹簧（可选），高回弹、久坐不塌陷，坐感舒适软糯</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靠背：饱满海绵填充，贴合背部人体工学，支撑舒适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3.框架与底座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（1）框架：实木框架 + 多层板加固，承重力强、稳固不摇晃，使用寿命长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（2）底座：蛇形弹簧 + 绷带底座结构，弹性好、承重稳定，不易变形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4.工艺细节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（1）走线：精密车缝工艺，走线工整、无跳线、无开线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（2）工艺处理：边角圆润打磨，无毛刺；表面环保涂层 / 面料印染，无异味、环保安全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▲茶几规格：1400*600*450mm，680*480*550mm,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1.整体采用橡胶木实木板材制作，桌面厚度50mm。橡胶木满足或优于GB/T3324-2024《木家具通用技术条件》标准。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85825" cy="584200"/>
                  <wp:effectExtent l="0" t="0" r="3175" b="0"/>
                  <wp:docPr id="20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36"/>
                          <pic:cNvPicPr>
                            <a:picLocks noChangeAspect="1"/>
                          </pic:cNvPicPr>
                        </pic:nvPicPr>
                        <pic:blipFill>
                          <a:blip r:embed="rId59"/>
                          <a:stretch>
                            <a:fillRect/>
                          </a:stretch>
                        </pic:blipFill>
                        <pic:spPr>
                          <a:xfrm>
                            <a:off x="0" y="0"/>
                            <a:ext cx="885825" cy="5842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办公桌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一、桌子规格：1400*700*780mm；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▲1.电脑桌（包含副柜和主机架），桌面采用橡胶木实木板材制作，桌面厚度50mm。橡胶木满足或优于GB/T3324-2024《木家具通用技术条件》标准。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油漆：采用环保油漆，经五底三面工艺，漆面平整无颗粒、气泡、积粉、渣点，色泽均匀，表面色泽剔透，具有较好的耐磨性、耐高温性能、附着力强。所用PU透明底漆和PU亚光清面漆符合GB18581-2020《木器涂料中有害物质限量》标准。 </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895985" cy="645795"/>
                  <wp:effectExtent l="0" t="0" r="5715" b="1905"/>
                  <wp:docPr id="209"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84"/>
                          <pic:cNvPicPr>
                            <a:picLocks noChangeAspect="1"/>
                          </pic:cNvPicPr>
                        </pic:nvPicPr>
                        <pic:blipFill>
                          <a:blip r:embed="rId60"/>
                          <a:srcRect l="5936" t="7756" r="15842" b="11819"/>
                          <a:stretch>
                            <a:fillRect/>
                          </a:stretch>
                        </pic:blipFill>
                        <pic:spPr>
                          <a:xfrm>
                            <a:off x="0" y="0"/>
                            <a:ext cx="895985" cy="64579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实木长凳</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规格：3000×900×750（mm）；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153160" cy="831850"/>
                  <wp:effectExtent l="0" t="0" r="2540" b="6350"/>
                  <wp:docPr id="212" name="图片 152456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524561288"/>
                          <pic:cNvPicPr>
                            <a:picLocks noChangeAspect="1"/>
                          </pic:cNvPicPr>
                        </pic:nvPicPr>
                        <pic:blipFill>
                          <a:blip r:embed="rId61"/>
                          <a:stretch>
                            <a:fillRect/>
                          </a:stretch>
                        </pic:blipFill>
                        <pic:spPr>
                          <a:xfrm>
                            <a:off x="0" y="0"/>
                            <a:ext cx="1153160" cy="8318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V型书车</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1.整体规格：长×宽×高≥800×360×900mm，双层设计；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2.全车采用优质304不锈钢材质，各项指标符合国家标准。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焊点打磨光滑无毛边，接触人体或收藏物品部位无毛刺、刃口、棱角，焊接稳固，推动无异响。四周方管厚≥1.5mm，大圆柱厚≥2.0mm周长≥110mm，小圆柱厚≥1.0mm周长≥60mm，藏书面板厚≥1.5mm，称重≥100kg，藏书面板有加固方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4.采用优质方向静音轮，各项指标符合国家标准，万向轮轮径≥80mm，轮宽≥35mm，配备两个轮刹车装置。</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094740" cy="697865"/>
                  <wp:effectExtent l="0" t="0" r="10160" b="635"/>
                  <wp:docPr id="215"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82"/>
                          <pic:cNvPicPr>
                            <a:picLocks noChangeAspect="1"/>
                          </pic:cNvPicPr>
                        </pic:nvPicPr>
                        <pic:blipFill>
                          <a:blip r:embed="rId62"/>
                          <a:stretch>
                            <a:fillRect/>
                          </a:stretch>
                        </pic:blipFill>
                        <pic:spPr>
                          <a:xfrm>
                            <a:off x="0" y="0"/>
                            <a:ext cx="1094740" cy="6978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钢板折叠手推车</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12辆</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规格：1000×550×880（展开高度）mm；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车架：采用冷轧钢材料，经数控激光切割、数控折弯，用二氧化碳气体保护焊接成型，成品表面须经过“预脱脂→主脱脂→水洗→水洗→陶化→水洗→纯水洗→预烘干→静电喷塑→高温固化”十工序处理，预备处理后表面无氧化皮、锈蚀、粘砂等其他杂质并及时进行涂饰；</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2.塑粉：采用热固性粉末涂料，静电喷塑前零部件经过除锈，防腐处理，表面平整光滑不起泡。热固性粉末涂料符合HG/T 2006-2022《热固性和热塑性粉末涂料》标准要求，包括但不限于：附着力、铅笔硬度、杯突试验、弯曲试验、耐磨性、耐盐雾性、耐湿性，检测合格。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3.五金配件：采用优质五金配件。盐水及盐雾测试48小时以上，不生锈。</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4.功能，配置：具备折叠锁紧功能，配置四个静音万向脚轮。</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057910" cy="597535"/>
                  <wp:effectExtent l="0" t="0" r="8890" b="12065"/>
                  <wp:docPr id="218"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81"/>
                          <pic:cNvPicPr>
                            <a:picLocks noChangeAspect="1"/>
                          </pic:cNvPicPr>
                        </pic:nvPicPr>
                        <pic:blipFill>
                          <a:blip r:embed="rId63"/>
                          <a:stretch>
                            <a:fillRect/>
                          </a:stretch>
                        </pic:blipFill>
                        <pic:spPr>
                          <a:xfrm>
                            <a:off x="0" y="0"/>
                            <a:ext cx="1057910" cy="5975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实木长凳</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规格：1500×350×450（mm）；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238885" cy="980440"/>
                  <wp:effectExtent l="0" t="0" r="5715" b="10160"/>
                  <wp:docPr id="221" name="图片 152456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524561289"/>
                          <pic:cNvPicPr>
                            <a:picLocks noChangeAspect="1"/>
                          </pic:cNvPicPr>
                        </pic:nvPicPr>
                        <pic:blipFill>
                          <a:blip r:embed="rId64"/>
                          <a:stretch>
                            <a:fillRect/>
                          </a:stretch>
                        </pic:blipFill>
                        <pic:spPr>
                          <a:xfrm>
                            <a:off x="0" y="0"/>
                            <a:ext cx="1238885" cy="9804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三层岛式书架</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规格：2米X1.6米；</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1.整体采用18mm橡胶木实木板材。橡胶木满足或优于GB/T3324-2024《木家具通用技术条件》标准。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104900" cy="738505"/>
                  <wp:effectExtent l="0" t="0" r="0" b="10795"/>
                  <wp:docPr id="224"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05"/>
                          <pic:cNvPicPr>
                            <a:picLocks noChangeAspect="1"/>
                          </pic:cNvPicPr>
                        </pic:nvPicPr>
                        <pic:blipFill>
                          <a:blip r:embed="rId65"/>
                          <a:stretch>
                            <a:fillRect/>
                          </a:stretch>
                        </pic:blipFill>
                        <pic:spPr>
                          <a:xfrm>
                            <a:off x="0" y="0"/>
                            <a:ext cx="1104900" cy="7385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三层书架</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规格：4.5米+4米；</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1.整体采用18mm橡胶木实木板材。橡胶木满足或优于GB/T3324-2024《木家具通用技术条件》标准。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142365" cy="692785"/>
                  <wp:effectExtent l="0" t="0" r="635" b="5715"/>
                  <wp:docPr id="227"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03"/>
                          <pic:cNvPicPr>
                            <a:picLocks noChangeAspect="1"/>
                          </pic:cNvPicPr>
                        </pic:nvPicPr>
                        <pic:blipFill>
                          <a:blip r:embed="rId65"/>
                          <a:stretch>
                            <a:fillRect/>
                          </a:stretch>
                        </pic:blipFill>
                        <pic:spPr>
                          <a:xfrm>
                            <a:off x="0" y="0"/>
                            <a:ext cx="1142365" cy="69278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主持台</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规格：0.6米x0.4米；</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1.整体采用18mm橡胶木实木板材。橡胶木满足或优于GB/T3324-2024《木家具通用技术条件》标准。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油漆：采用环保油漆，经五底三面工艺，漆面平整无颗粒、气泡、积粉、渣点，色泽均匀，表面色泽剔透，具有较好的耐磨性、耐高温性能、附着力强。所用PU透明底漆和PU亚光清面漆符合GB18581-2020《木器涂料中有害物质限量》标准。 </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171575" cy="1194435"/>
                  <wp:effectExtent l="0" t="0" r="9525" b="12065"/>
                  <wp:docPr id="230" name="图片 11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10" descr="11"/>
                          <pic:cNvPicPr>
                            <a:picLocks noChangeAspect="1"/>
                          </pic:cNvPicPr>
                        </pic:nvPicPr>
                        <pic:blipFill>
                          <a:blip r:embed="rId15"/>
                          <a:stretch>
                            <a:fillRect/>
                          </a:stretch>
                        </pic:blipFill>
                        <pic:spPr>
                          <a:xfrm>
                            <a:off x="0" y="0"/>
                            <a:ext cx="1171575" cy="11944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长方桌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规格：3米x1米；</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1.整体采用橡胶木实木板材，桌面厚度≥20mm。橡胶木满足或优于GB/T3324-2024《木家具通用技术条件》标准。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61390" cy="528955"/>
                  <wp:effectExtent l="0" t="0" r="3810" b="4445"/>
                  <wp:docPr id="233" name="图片 627345615" descr="b3bef2ba55b9f26191eeb1b0567de5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627345615" descr="b3bef2ba55b9f26191eeb1b0567de5df"/>
                          <pic:cNvPicPr>
                            <a:picLocks noChangeAspect="1"/>
                          </pic:cNvPicPr>
                        </pic:nvPicPr>
                        <pic:blipFill>
                          <a:blip r:embed="rId66"/>
                          <a:stretch>
                            <a:fillRect/>
                          </a:stretch>
                        </pic:blipFill>
                        <pic:spPr>
                          <a:xfrm>
                            <a:off x="0" y="0"/>
                            <a:ext cx="961390" cy="52895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茶几</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规格：1000*1000*450mm；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1.整体采用白蜡木实木。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23925" cy="814705"/>
                  <wp:effectExtent l="0" t="0" r="3175" b="10795"/>
                  <wp:docPr id="236"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21"/>
                          <pic:cNvPicPr>
                            <a:picLocks noChangeAspect="1"/>
                          </pic:cNvPicPr>
                        </pic:nvPicPr>
                        <pic:blipFill>
                          <a:blip r:embed="rId67"/>
                          <a:stretch>
                            <a:fillRect/>
                          </a:stretch>
                        </pic:blipFill>
                        <pic:spPr>
                          <a:xfrm>
                            <a:off x="0" y="0"/>
                            <a:ext cx="923925" cy="8147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角几</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规格：500*500*560mm；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1.整体采用白蜡木实木。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80440" cy="716915"/>
                  <wp:effectExtent l="0" t="0" r="10160" b="6985"/>
                  <wp:docPr id="239"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22"/>
                          <pic:cNvPicPr>
                            <a:picLocks noChangeAspect="1"/>
                          </pic:cNvPicPr>
                        </pic:nvPicPr>
                        <pic:blipFill>
                          <a:blip r:embed="rId68"/>
                          <a:stretch>
                            <a:fillRect/>
                          </a:stretch>
                        </pic:blipFill>
                        <pic:spPr>
                          <a:xfrm>
                            <a:off x="0" y="0"/>
                            <a:ext cx="980440" cy="7169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三层书架区（双门矮柜）</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规格：两门板式书柜（800×400×2000mm）；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42975" cy="661035"/>
                  <wp:effectExtent l="0" t="0" r="9525" b="12065"/>
                  <wp:docPr id="242" name="图片 41" descr="tb_image_share_177267334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41" descr="tb_image_share_1772673347097"/>
                          <pic:cNvPicPr>
                            <a:picLocks noChangeAspect="1"/>
                          </pic:cNvPicPr>
                        </pic:nvPicPr>
                        <pic:blipFill>
                          <a:blip r:embed="rId69"/>
                          <a:stretch>
                            <a:fillRect/>
                          </a:stretch>
                        </pic:blipFill>
                        <pic:spPr>
                          <a:xfrm>
                            <a:off x="0" y="0"/>
                            <a:ext cx="942975" cy="6610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讲台</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规格：定制化讲台（1200×600×1000mm） 1、优选乌金实木，使用寿命更长栏栅实木支撑；加粗实木桌腿，稳固扎实不摇晃。</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066800" cy="523240"/>
                  <wp:effectExtent l="0" t="0" r="0" b="10160"/>
                  <wp:docPr id="24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39"/>
                          <pic:cNvPicPr>
                            <a:picLocks noChangeAspect="1"/>
                          </pic:cNvPicPr>
                        </pic:nvPicPr>
                        <pic:blipFill>
                          <a:blip r:embed="rId70"/>
                          <a:stretch>
                            <a:fillRect/>
                          </a:stretch>
                        </pic:blipFill>
                        <pic:spPr>
                          <a:xfrm>
                            <a:off x="0" y="0"/>
                            <a:ext cx="1066800" cy="5232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藤编沙发、茶几</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1.藤编沙发规格：1+2+3+茶几+角几 主体框架；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2.框架材质：进口实木（可选榆木 / 白蜡木 / 海棠木等），全实木榫卯结构</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工艺处理：实木打磨抛光，环保木蜡油 / 清漆涂装，无甲醛，环保耐用；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3.结构特点：加固承重设计，承重力强，结构稳固，使用寿命长，藤编 / 软包部分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4.藤编工艺：天然真藤 / 仿藤编织，手工编织工艺，透气防潮，质感复古；</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5.填充材质：高回弹海绵填充，搭配独立弹簧（可选），坐感舒适，久坐不塌陷；</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6.软包面料：棉麻 / 亚麻 / 科技布面料（多材质可选），耐磨透气，亲肤舒适，可拆洗；</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7.靠垫：配套同色系实木纹 / 棉麻靠枕，提升坐感与美观度；</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8.五金与细节：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五金配件：防锈五金连接件，加固结构，耐用性强；</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9.工艺细节：实木雕花 / 弧形扶手设计，中式古典造型，手工打磨，无毛刺；</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10.椅脚：实木雕花脚 / 弧形脚，防滑耐磨，稳固承重，防潮防蛀；</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068705" cy="1875790"/>
                  <wp:effectExtent l="0" t="0" r="0" b="0"/>
                  <wp:docPr id="248" name="图片 1562139786" descr="e3513ce2df0103770ae466b71fea4e47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562139786" descr="e3513ce2df0103770ae466b71fea4e47_720"/>
                          <pic:cNvPicPr>
                            <a:picLocks noChangeAspect="1"/>
                          </pic:cNvPicPr>
                        </pic:nvPicPr>
                        <pic:blipFill>
                          <a:blip r:embed="rId71"/>
                          <a:srcRect l="7729" t="13908" r="5707" b="29108"/>
                          <a:stretch>
                            <a:fillRect/>
                          </a:stretch>
                        </pic:blipFill>
                        <pic:spPr>
                          <a:xfrm>
                            <a:off x="0" y="0"/>
                            <a:ext cx="1067166" cy="18734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接待桌椅（1桌4椅）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一、桌子，规格：800×800×750（mm），椅子规格：560*470*720mm，1桌+2椅；</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1.整体采用实木制作。基材：采用优质胡桃木实木基材，实木经过防虫、防潮、防腐及多次烘干蒸发处理,整体框架结构合理,牢固,含水率低于9%，整椅无腐裂修补现象，表面洁净无污染；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32815" cy="937260"/>
                  <wp:effectExtent l="0" t="0" r="6985" b="2540"/>
                  <wp:docPr id="251"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144"/>
                          <pic:cNvPicPr>
                            <a:picLocks noChangeAspect="1"/>
                          </pic:cNvPicPr>
                        </pic:nvPicPr>
                        <pic:blipFill>
                          <a:blip r:embed="rId72"/>
                          <a:stretch>
                            <a:fillRect/>
                          </a:stretch>
                        </pic:blipFill>
                        <pic:spPr>
                          <a:xfrm>
                            <a:off x="0" y="0"/>
                            <a:ext cx="932815" cy="93726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高脚凳</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椅子，规格：540*540*860-1110mm；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1.面料：采用优质环保西皮（皮革）面料，皮面光泽度好，透气性强，柔软而富于韧性厚度适中，纹路细致、色泽均匀，经浸色、防腐、防潮处理。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2.海绵：采用PU成型发泡高密度海绵,高回弹海绵,软硬适中，回弹性好，不变形，整体切割，不得使用拼接再生类海绵，根椐人体工程学原理设计，坐感舒适。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3.框架：采用多层实木板经高频热压机一次成型，经防虫、防潮、防腐及多次烘干蒸发处理,整体框架结构合理,牢固,含水率低于9%。</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4.气压棒：可升降转动气杆，采用原装气压棒；带前后倾仰同步锁止机构。</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5.脚架：采用不锈钢材质，反重力磁浮气压杆,金属件表面经过电镀或烤漆处理，焊点平顺，结构稳固；</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6.底座采用φ45mm实心不锈钢底座，稳定不侧翻。</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7.胶粘剂：采用优质品牌胶粘剂，胶粘剂中的有害物质限量符合GB 18583-2008《室内装饰装修材料胶粘剂中有害物质限量》标准要求。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771525" cy="1696720"/>
                  <wp:effectExtent l="0" t="0" r="3175" b="5080"/>
                  <wp:docPr id="254" name="图片 151" descr="3e4b9ae357cee71b1b6fd480d02074a5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151" descr="3e4b9ae357cee71b1b6fd480d02074a5_720"/>
                          <pic:cNvPicPr>
                            <a:picLocks noChangeAspect="1"/>
                          </pic:cNvPicPr>
                        </pic:nvPicPr>
                        <pic:blipFill>
                          <a:blip r:embed="rId73"/>
                          <a:stretch>
                            <a:fillRect/>
                          </a:stretch>
                        </pic:blipFill>
                        <pic:spPr>
                          <a:xfrm>
                            <a:off x="0" y="0"/>
                            <a:ext cx="771525" cy="1696720"/>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799465" cy="1272540"/>
                  <wp:effectExtent l="0" t="0" r="635" b="10160"/>
                  <wp:docPr id="257" name="图片 152" descr="c730bafc53c4b068dab676213f7328da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52" descr="c730bafc53c4b068dab676213f7328da_720"/>
                          <pic:cNvPicPr>
                            <a:picLocks noChangeAspect="1"/>
                          </pic:cNvPicPr>
                        </pic:nvPicPr>
                        <pic:blipFill>
                          <a:blip r:embed="rId74"/>
                          <a:stretch>
                            <a:fillRect/>
                          </a:stretch>
                        </pic:blipFill>
                        <pic:spPr>
                          <a:xfrm>
                            <a:off x="0" y="0"/>
                            <a:ext cx="799465" cy="12725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实木长凳</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规格：1500×350×450（mm）；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13765" cy="621030"/>
                  <wp:effectExtent l="0" t="0" r="635" b="1270"/>
                  <wp:docPr id="260" name="图片 152456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524561293"/>
                          <pic:cNvPicPr>
                            <a:picLocks noChangeAspect="1"/>
                          </pic:cNvPicPr>
                        </pic:nvPicPr>
                        <pic:blipFill>
                          <a:blip r:embed="rId75"/>
                          <a:stretch>
                            <a:fillRect/>
                          </a:stretch>
                        </pic:blipFill>
                        <pic:spPr>
                          <a:xfrm>
                            <a:off x="0" y="0"/>
                            <a:ext cx="913765" cy="6210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发言台</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规格：600*550*1100mm；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1.基材：采用符合国家E1环保要求的优质中密度纤维板制作，甲醛释放量达E1级环保，经防虫防腐处理，板材硬度强，永不变形，通过国家标准。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满足或优于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1161415" cy="967105"/>
                  <wp:effectExtent l="0" t="0" r="6985" b="10795"/>
                  <wp:docPr id="263" name="图片 17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76" descr="11"/>
                          <pic:cNvPicPr>
                            <a:picLocks noChangeAspect="1"/>
                          </pic:cNvPicPr>
                        </pic:nvPicPr>
                        <pic:blipFill>
                          <a:blip r:embed="rId76"/>
                          <a:stretch>
                            <a:fillRect/>
                          </a:stretch>
                        </pic:blipFill>
                        <pic:spPr>
                          <a:xfrm>
                            <a:off x="0" y="0"/>
                            <a:ext cx="1161415" cy="9671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大主席台（大讲台）+2椅子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规格：1400*600*760mm；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1.基材：采用符合国家E1环保要求的优质中密度纤维板制作，甲醛释放量达E1级环保，经防虫防腐处理，板材硬度强，永不变形，通过国家标准。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满足或优于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二、椅子规格：530*420*840mm；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▲1.整体采用采用橡胶木实木板材制作，坐垫采用软包坐垫。橡胶木满足或优于GB/T3324-2024《木家具通用技术条件》标准。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857250" cy="1200150"/>
                  <wp:effectExtent l="0" t="0" r="6350" b="6350"/>
                  <wp:docPr id="2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10"/>
                          <pic:cNvPicPr>
                            <a:picLocks noChangeAspect="1"/>
                          </pic:cNvPicPr>
                        </pic:nvPicPr>
                        <pic:blipFill>
                          <a:blip r:embed="rId77"/>
                          <a:srcRect t="22243" b="28625"/>
                          <a:stretch>
                            <a:fillRect/>
                          </a:stretch>
                        </pic:blipFill>
                        <pic:spPr>
                          <a:xfrm>
                            <a:off x="0" y="0"/>
                            <a:ext cx="857250" cy="12001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定制固定长凳</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规格：定制；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2.饰面材料：采用优质三聚氰胺贴面，甲醛释放量符合国家标准。具有防火、耐磨、防污、表面硬度高等特点。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3.封边：采用同色PV封边条，封边条的耐干热、耐磨性、耐冷热达到国家标准。采用全自动封边机封边、修边，不允许手工封边、修边。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4.热熔胶：采用优质热熔胶。热熔胶中的有害物质限量符合国家标准。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028700" cy="494665"/>
                  <wp:effectExtent l="0" t="0" r="0" b="635"/>
                  <wp:docPr id="269" name="图片 152456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524561295"/>
                          <pic:cNvPicPr>
                            <a:picLocks noChangeAspect="1"/>
                          </pic:cNvPicPr>
                        </pic:nvPicPr>
                        <pic:blipFill>
                          <a:blip r:embed="rId78"/>
                          <a:stretch>
                            <a:fillRect/>
                          </a:stretch>
                        </pic:blipFill>
                        <pic:spPr>
                          <a:xfrm>
                            <a:off x="0" y="0"/>
                            <a:ext cx="1028700" cy="4946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实木长凳</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规格：2200×500×550（mm）；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18"/>
                <w14:textFill>
                  <w14:solidFill>
                    <w14:schemeClr w14:val="tx1"/>
                  </w14:solidFill>
                </w14:textFill>
              </w:rPr>
            </w:pPr>
            <w:r>
              <w:rPr>
                <w:color w:val="000000" w:themeColor="text1"/>
                <w14:textFill>
                  <w14:solidFill>
                    <w14:schemeClr w14:val="tx1"/>
                  </w14:solidFill>
                </w14:textFill>
              </w:rPr>
              <w:drawing>
                <wp:inline distT="0" distB="0" distL="114300" distR="114300">
                  <wp:extent cx="971550" cy="692150"/>
                  <wp:effectExtent l="0" t="0" r="6350" b="6350"/>
                  <wp:docPr id="272" name="图片 152456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524561296"/>
                          <pic:cNvPicPr>
                            <a:picLocks noChangeAspect="1"/>
                          </pic:cNvPicPr>
                        </pic:nvPicPr>
                        <pic:blipFill>
                          <a:blip r:embed="rId79"/>
                          <a:stretch>
                            <a:fillRect/>
                          </a:stretch>
                        </pic:blipFill>
                        <pic:spPr>
                          <a:xfrm>
                            <a:off x="0" y="0"/>
                            <a:ext cx="971550" cy="6921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卡座式办公桌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规格：2200*2000*1100mm；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1.屏风：采用优质30铝合金框架屏风，镀膜氧化，铝材平直，整体方正，铝材壁厚≥1.0mm；屏风厚度为30MM。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基材：采用优质环保E0级多层实木板，桌面板厚度≥25mm，其余板材厚度≥15mm，桌面板开1孔，配铝合金线合盖；每位配一三抽矮柜、边柜、储物矮柜。板材经过高温干燥、脱脂、防潮、防虫、防腐等化学处理，符合GB/T 35601-2024《绿色产品评价 人造板和木质地板》。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3.饰面材料：采用优质三聚氰胺贴面，甲醛释放量符合国家标准，具有防火、耐磨、防污、表面硬度高等特点。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4.封边条：采用同色PVC封边条，封边条的耐干热、耐磨性、耐冷热达到国家标准。采用全自动封边机封边、修边，不允许手工封边、修边。</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5.热熔胶：采用优质热熔胶。热熔胶中的有害物质限量符合国家标准。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6.铰链：采用优质液压缓冲铰链，1.0mm 厚静音导轨，铰链通过QB/T 2189-2013《家具五金杯状暗铰链》检测合格；导轨通过QB/T 2454-2013《家用五金抽屉导轨》检测合格；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7.五金配件：采用优质五金配件。盐水及盐雾测试48小时以上，不生锈。</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8.响应时提供“多层实木板”的的检测报告，符合以下检测标准及检测内容，包括但不限于：符合GB/T 9846-2015《普通胶合板》标准要求。响应时提供“封边条”的检测报告，符合GB/T 10125-2021《人造气氛腐蚀试验 盐雾试验》检测标准及检测内容。</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819150" cy="1734820"/>
                  <wp:effectExtent l="0" t="0" r="6350" b="5080"/>
                  <wp:docPr id="275"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88"/>
                          <pic:cNvPicPr>
                            <a:picLocks noChangeAspect="1"/>
                          </pic:cNvPicPr>
                        </pic:nvPicPr>
                        <pic:blipFill>
                          <a:blip r:embed="rId80"/>
                          <a:stretch>
                            <a:fillRect/>
                          </a:stretch>
                        </pic:blipFill>
                        <pic:spPr>
                          <a:xfrm>
                            <a:off x="0" y="0"/>
                            <a:ext cx="819150" cy="173482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实木长凳</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规格：2200×450×500（mm）；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18"/>
                <w14:textFill>
                  <w14:solidFill>
                    <w14:schemeClr w14:val="tx1"/>
                  </w14:solidFill>
                </w14:textFill>
              </w:rPr>
            </w:pPr>
            <w:r>
              <w:rPr>
                <w:color w:val="000000" w:themeColor="text1"/>
                <w14:textFill>
                  <w14:solidFill>
                    <w14:schemeClr w14:val="tx1"/>
                  </w14:solidFill>
                </w14:textFill>
              </w:rPr>
              <w:drawing>
                <wp:inline distT="0" distB="0" distL="114300" distR="114300">
                  <wp:extent cx="933450" cy="710565"/>
                  <wp:effectExtent l="0" t="0" r="6350" b="635"/>
                  <wp:docPr id="278" name="图片 152456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1524561297"/>
                          <pic:cNvPicPr>
                            <a:picLocks noChangeAspect="1"/>
                          </pic:cNvPicPr>
                        </pic:nvPicPr>
                        <pic:blipFill>
                          <a:blip r:embed="rId81"/>
                          <a:stretch>
                            <a:fillRect/>
                          </a:stretch>
                        </pic:blipFill>
                        <pic:spPr>
                          <a:xfrm>
                            <a:off x="0" y="0"/>
                            <a:ext cx="933450" cy="7105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小主席台（小讲台）</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▲规格：800×600×1050-1400（可升降）mm； </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1、基材：采用环保型中纤板，板材经过高温干燥、脱脂、防潮、防虫、防腐等化学处理，符合GB/T 17657-2022</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《人造板及饰面人造板理化性能试验方法》标准。</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饰面：采用优质胡桃木皮，厚度≥0.6mm，宽度≥200mm，含水率≤9%，所有木皮均经过严格挑选，木纹清晰，木皮要颜色一致，纹理自然清晰，无明显节眼、黑斑、破损等。同时，木皮经过高温烘干、除虫等处理。</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3、油漆：采用环保型聚氨酯油漆，经五底三面工艺处理，保证油漆面光洁平整, 木纹纹理清晰，色泽均匀，油漆满足或优于GB 18581-2020《木器涂料中有害物质限量》标准。</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4、胶粘剂：采用优质环保型胶粘剂白乳胶，白乳胶满足或优于GB 18583-2008《室内装饰装修材料胶粘剂中有害物质限量》标准。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5、五金配件：采用优质五金配件。</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23925" cy="1402080"/>
                  <wp:effectExtent l="0" t="0" r="3175" b="7620"/>
                  <wp:docPr id="2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12"/>
                          <pic:cNvPicPr>
                            <a:picLocks noChangeAspect="1"/>
                          </pic:cNvPicPr>
                        </pic:nvPicPr>
                        <pic:blipFill>
                          <a:blip r:embed="rId82"/>
                          <a:stretch>
                            <a:fillRect/>
                          </a:stretch>
                        </pic:blipFill>
                        <pic:spPr>
                          <a:xfrm>
                            <a:off x="0" y="0"/>
                            <a:ext cx="923925" cy="140208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电脑椅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55张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规格：430*430*760mm；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▲1.椅架采用采用橡胶木实木板材制作，橡胶木满足或优于GB/T3324-2024《木家具通用技术条件》标准。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3.坐面采用高品质油蜡皮，皮质细腻光滑，耐磨耐脏；内填充高密度海绵，厚实饱满，回弹性强，坐感舒适。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057910" cy="1717040"/>
                  <wp:effectExtent l="0" t="0" r="8890" b="10160"/>
                  <wp:docPr id="284" name="图片 21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10" descr="11"/>
                          <pic:cNvPicPr>
                            <a:picLocks noChangeAspect="1"/>
                          </pic:cNvPicPr>
                        </pic:nvPicPr>
                        <pic:blipFill>
                          <a:blip r:embed="rId83"/>
                          <a:stretch>
                            <a:fillRect/>
                          </a:stretch>
                        </pic:blipFill>
                        <pic:spPr>
                          <a:xfrm>
                            <a:off x="0" y="0"/>
                            <a:ext cx="1057910" cy="17170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屏风隔断</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12扇</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1.基材：采用优质胡桃木实木基材，实木经过防虫、防潮、防腐及多次烘干蒸发处理,整体框架结构合理,牢固,木材含水率符合国家标准，经防腐、防虫化学处理，拼接严密牢固，不易变形，不开裂。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5989-2021《绿色设计产品评价技术规范 家具用胶粘剂》标准要求，包括但不限于：游离甲醛、苯、甲苯+二甲苯、总挥发有机物、可溶性重金属，检测合格。</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1057275" cy="784225"/>
                  <wp:effectExtent l="0" t="0" r="9525" b="3175"/>
                  <wp:docPr id="287" name="图片 1652828255" descr="5c8b454d688483cb42e844a66aa55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1652828255" descr="5c8b454d688483cb42e844a66aa55d58"/>
                          <pic:cNvPicPr>
                            <a:picLocks noChangeAspect="1"/>
                          </pic:cNvPicPr>
                        </pic:nvPicPr>
                        <pic:blipFill>
                          <a:blip r:embed="rId84"/>
                          <a:stretch>
                            <a:fillRect/>
                          </a:stretch>
                        </pic:blipFill>
                        <pic:spPr>
                          <a:xfrm>
                            <a:off x="0" y="0"/>
                            <a:ext cx="1057275" cy="784225"/>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1056640" cy="770255"/>
                  <wp:effectExtent l="0" t="0" r="0" b="0"/>
                  <wp:docPr id="290" name="图片 207" descr="f5159267eaba4895b6d43507811767df_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07" descr="f5159267eaba4895b6d43507811767df_720"/>
                          <pic:cNvPicPr>
                            <a:picLocks noChangeAspect="1"/>
                          </pic:cNvPicPr>
                        </pic:nvPicPr>
                        <pic:blipFill>
                          <a:blip r:embed="rId85"/>
                          <a:srcRect t="28206" b="33673"/>
                          <a:stretch>
                            <a:fillRect/>
                          </a:stretch>
                        </pic:blipFill>
                        <pic:spPr>
                          <a:xfrm>
                            <a:off x="0" y="0"/>
                            <a:ext cx="1060539" cy="7734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魔方凳子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规格：350*350*350（mm）；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1.采用全实木框架；坐面采用加厚耐磨猫抓皮；内填充高密度海绵座包，厚实饱满，回弹性强，坐感舒适。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2.面料与填充</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填充：高密度海绵 + 独立弹簧（可选），高回弹、久坐不塌陷，坐感舒适软糯</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靠背：饱满海绵填充，贴合背部人体工学，支撑舒适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3.框架与底座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（1）框架：实木框架 + 多层板加固，承重力强、稳固不摇晃，使用寿命长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（2）底座：蛇形弹簧 + 绷带底座结构，弹性好、承重稳定，不易变形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4.工艺细节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（1）走线：精密车缝工艺，走线工整、无跳线、无开线</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（2）工艺处理：边角圆润打磨，无毛刺；表面环保涂层 / 面料印染，无异味、环保安全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5.颜色：咖啡色</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18"/>
                <w14:textFill>
                  <w14:solidFill>
                    <w14:schemeClr w14:val="tx1"/>
                  </w14:solidFill>
                </w14:textFill>
              </w:rPr>
            </w:pPr>
            <w:r>
              <w:rPr>
                <w:color w:val="000000" w:themeColor="text1"/>
                <w14:textFill>
                  <w14:solidFill>
                    <w14:schemeClr w14:val="tx1"/>
                  </w14:solidFill>
                </w14:textFill>
              </w:rPr>
              <w:drawing>
                <wp:inline distT="0" distB="0" distL="0" distR="0">
                  <wp:extent cx="1057275" cy="1409700"/>
                  <wp:effectExtent l="0" t="0" r="0" b="0"/>
                  <wp:docPr id="17" name="图片 17" descr="C:\Users\Administrator\Documents\Tencent Files\1494656929\nt_qq\nt_data\Pic\2026-06\Thumb\66f0c5888c7e708d533b67adf633a6b1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ocuments\Tencent Files\1494656929\nt_qq\nt_data\Pic\2026-06\Thumb\66f0c5888c7e708d533b67adf633a6b1_720.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1056832" cy="140938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单人阅览桌椅（1桌2椅）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一、桌子规格：1200*580*750mm，海棠色；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▲1.整体采用乌金木实木制作，桌面厚度≥20mm。乌金木满足或优于GB/T3324-2024《木家具通用技术条件》标准。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3.胶粘剂：采用优质环保型胶粘剂白乳胶，白乳胶符合GB 18583-2008《室内装饰装修材料胶粘剂中有害物质限量》、HG/T 5989-2021《绿色设计产品评价技术规范 家具用胶粘剂》标准要求，包括但不限于：游离甲醛、苯、甲苯+二甲苯、总挥发有机物、可溶性重金属，检测合格。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二、椅子规格：580*480*880mm，海棠色；</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1.整体采用乌金木实木板材制作。乌金木满足或优于GB/T3324-2024《木家具通用技术条件》标准。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685800" cy="836930"/>
                  <wp:effectExtent l="0" t="0" r="0" b="1270"/>
                  <wp:docPr id="29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306"/>
                          <pic:cNvPicPr>
                            <a:picLocks noChangeAspect="1"/>
                          </pic:cNvPicPr>
                        </pic:nvPicPr>
                        <pic:blipFill>
                          <a:blip r:embed="rId87"/>
                          <a:stretch>
                            <a:fillRect/>
                          </a:stretch>
                        </pic:blipFill>
                        <pic:spPr>
                          <a:xfrm>
                            <a:off x="0" y="0"/>
                            <a:ext cx="685800" cy="836930"/>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495300" cy="836930"/>
                  <wp:effectExtent l="0" t="0" r="0" b="1270"/>
                  <wp:docPr id="299"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307"/>
                          <pic:cNvPicPr>
                            <a:picLocks noChangeAspect="1"/>
                          </pic:cNvPicPr>
                        </pic:nvPicPr>
                        <pic:blipFill>
                          <a:blip r:embed="rId88"/>
                          <a:stretch>
                            <a:fillRect/>
                          </a:stretch>
                        </pic:blipFill>
                        <pic:spPr>
                          <a:xfrm>
                            <a:off x="0" y="0"/>
                            <a:ext cx="495300" cy="8369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四人阅览桌椅（1桌4椅）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规格：2000*850*750（mm）；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1.基材：采用优质乌金木实木基材，实木经过防虫、防潮、防腐及多次烘干蒸发处理,整体框架结构合理,牢固,含水率低于9%，整椅无腐裂修补现象，表面洁净无污染；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二、椅子规格：580*480*880mm，海棠色；</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▲1.整体采用乌金木实木板材制作。乌金木满足或优于GB/T3324-2024《木家具通用技术条件》标准。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695960" cy="891540"/>
                  <wp:effectExtent l="0" t="0" r="2540" b="10160"/>
                  <wp:docPr id="3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2"/>
                          <pic:cNvPicPr>
                            <a:picLocks noChangeAspect="1"/>
                          </pic:cNvPicPr>
                        </pic:nvPicPr>
                        <pic:blipFill>
                          <a:blip r:embed="rId89"/>
                          <a:stretch>
                            <a:fillRect/>
                          </a:stretch>
                        </pic:blipFill>
                        <pic:spPr>
                          <a:xfrm>
                            <a:off x="0" y="0"/>
                            <a:ext cx="695960" cy="891540"/>
                          </a:xfrm>
                          <a:prstGeom prst="rect">
                            <a:avLst/>
                          </a:prstGeom>
                          <a:noFill/>
                          <a:ln w="9525">
                            <a:noFill/>
                          </a:ln>
                        </pic:spPr>
                      </pic:pic>
                    </a:graphicData>
                  </a:graphic>
                </wp:inline>
              </w:drawing>
            </w:r>
          </w:p>
          <w:p>
            <w:pPr>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457200" cy="773430"/>
                  <wp:effectExtent l="0" t="0" r="0" b="1270"/>
                  <wp:docPr id="305"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9"/>
                          <pic:cNvPicPr>
                            <a:picLocks noChangeAspect="1"/>
                          </pic:cNvPicPr>
                        </pic:nvPicPr>
                        <pic:blipFill>
                          <a:blip r:embed="rId90"/>
                          <a:stretch>
                            <a:fillRect/>
                          </a:stretch>
                        </pic:blipFill>
                        <pic:spPr>
                          <a:xfrm>
                            <a:off x="0" y="0"/>
                            <a:ext cx="457200" cy="7734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三层书架</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规格：800*500*1200 mm（双面，海棠色）； 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 《绿色设计产品评价技术规范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4.布局要求：书架为三层布局，双面，中间有隔板，上两层作开放式，方便书本的展示，最底层为对开木门。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609600" cy="1045845"/>
                  <wp:effectExtent l="0" t="0" r="0" b="8255"/>
                  <wp:docPr id="308" name="图片 310" descr="cdcf97a2fe33d20300d5d46a4d06fa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10" descr="cdcf97a2fe33d20300d5d46a4d06fa0f"/>
                          <pic:cNvPicPr>
                            <a:picLocks noChangeAspect="1"/>
                          </pic:cNvPicPr>
                        </pic:nvPicPr>
                        <pic:blipFill>
                          <a:blip r:embed="rId91"/>
                          <a:stretch>
                            <a:fillRect/>
                          </a:stretch>
                        </pic:blipFill>
                        <pic:spPr>
                          <a:xfrm>
                            <a:off x="0" y="0"/>
                            <a:ext cx="609600" cy="10458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实木长凳</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规格：1200×400×450（mm）；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1.基材：采用优质胡桃木实木基材，实木经过防虫、防潮、防腐及多次烘干蒸发处理,整体框架结构合理,牢固,含水率低于9%，整椅无腐裂修补现象，表面洁净无污染；</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2.油漆：采用环保型油漆，经五底三面工艺处理，采用全自动喷涂漆、滚涂线，完全密闭环境工作，杜绝粉尘，感应喷头，自动调节油漆量，保证油漆面光洁平整, 木纹纹理清晰，色泽均匀，底漆、面漆符合GB 18581-2020《木器涂料中有害物质限量》标准要求，包括但不限于：VOC含量、甲醛含量、总铅含量、可溶性重金属含量，检测合格。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3.胶粘剂：采用优质环保型胶粘剂白乳胶，白乳胶符合GB 18583-2008《室内装饰装修材料胶粘剂中有害物质限量》、HG/T 5989-2021《绿色设计产品评价技术规范 家具用胶粘剂》标准要求，包括但不限于：游离甲醛、苯、甲苯+二甲苯、总挥发有机物、可溶性重金属，检测合格。</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4.五金配件：采用优质五金配件，盐水及盐雾测试48小时以上，不生锈。</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66140" cy="488315"/>
                  <wp:effectExtent l="0" t="0" r="10160" b="6985"/>
                  <wp:docPr id="3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7"/>
                          <pic:cNvPicPr>
                            <a:picLocks noChangeAspect="1"/>
                          </pic:cNvPicPr>
                        </pic:nvPicPr>
                        <pic:blipFill>
                          <a:blip r:embed="rId92"/>
                          <a:stretch>
                            <a:fillRect/>
                          </a:stretch>
                        </pic:blipFill>
                        <pic:spPr>
                          <a:xfrm>
                            <a:off x="0" y="0"/>
                            <a:ext cx="866140" cy="4883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可拼接梯形桌子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55张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规格：800*500*750mm；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1.桌面采用白蜡木制作，桌面厚度30mm。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所用PU透明底漆和PU亚光清面漆符合GB18581-2020《木器涂料中有害物质限量》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3.桌脚采用碳素钢桌脚，桌脚装有万向轮，360°可移动。</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仿宋" w:hAnsi="仿宋" w:eastAsia="仿宋"/>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724535" cy="1505585"/>
                  <wp:effectExtent l="0" t="0" r="12065" b="5715"/>
                  <wp:docPr id="314" name="图片 20" descr="Screenshot_2026-03-13-16-59-19-495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20" descr="Screenshot_2026-03-13-16-59-19-495_com"/>
                          <pic:cNvPicPr>
                            <a:picLocks noChangeAspect="1"/>
                          </pic:cNvPicPr>
                        </pic:nvPicPr>
                        <pic:blipFill>
                          <a:blip r:embed="rId93"/>
                          <a:stretch>
                            <a:fillRect/>
                          </a:stretch>
                        </pic:blipFill>
                        <pic:spPr>
                          <a:xfrm>
                            <a:off x="0" y="0"/>
                            <a:ext cx="724535" cy="150558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六楼电梯间摆件</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1个</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根雕茶台</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609600" cy="534035"/>
                  <wp:effectExtent l="0" t="0" r="0" b="12065"/>
                  <wp:docPr id="3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4"/>
                          <pic:cNvPicPr>
                            <a:picLocks noChangeAspect="1"/>
                          </pic:cNvPicPr>
                        </pic:nvPicPr>
                        <pic:blipFill>
                          <a:blip r:embed="rId94"/>
                          <a:stretch>
                            <a:fillRect/>
                          </a:stretch>
                        </pic:blipFill>
                        <pic:spPr>
                          <a:xfrm>
                            <a:off x="0" y="0"/>
                            <a:ext cx="609600" cy="5340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档案柜</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1.整体尺寸：1800*850*390mm，五层。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2.材质：采用1mm厚优质冷轧钢板经剪切，冲压，折弯，焊接，装配而成。表面经防锈处理后静电粉末喷塑，锁具安全可靠，不易仿配。经久耐用，不易变形。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3.表面处理：表面经过脱脂→酸洗→表调→磷化→水洗→烘干→静电喷塑→烘干等九工位处理，无锈迹，不变色，不起皱，不失光泽，成品表面光滑、光亮、无有害气体产生，无味不脱落。</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4.配件：优质国标铝合金及一级电镀配件，优质锁具。</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5.颜色：灰白，表面涂层：喷涂后涂层表面应色泽均匀一致，工件的各部位不应有起粒、皱皮、露底、剥落、伤痕或漏喷等现象。</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913765" cy="787400"/>
                  <wp:effectExtent l="0" t="0" r="635" b="0"/>
                  <wp:docPr id="320" name="图片 321"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1" descr="IMG_261"/>
                          <pic:cNvPicPr>
                            <a:picLocks noChangeAspect="1"/>
                          </pic:cNvPicPr>
                        </pic:nvPicPr>
                        <pic:blipFill>
                          <a:blip r:embed="rId95"/>
                          <a:stretch>
                            <a:fillRect/>
                          </a:stretch>
                        </pic:blipFill>
                        <pic:spPr>
                          <a:xfrm>
                            <a:off x="0" y="0"/>
                            <a:ext cx="913765" cy="7874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通体五节柜</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30组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1.整体尺寸：1800*850*390mm。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2.材质：采用1mm厚优质冷轧钢板经剪切，冲压，折弯，焊接，装配而成。表面经防锈处理后静电粉末喷塑，锁具安全可靠，不易仿配。经久耐用，不易变形。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3.表面处理：表面经过脱脂→酸洗→表调→磷化→水洗→烘干→静电喷塑→烘干等九工位处理，无锈迹，不变色，不起皱，不失光泽，成品表面光滑、光亮、无有害气体产生，无味不脱落。</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4.配件：优质国标铝合金及一级电镀配件，优质锁具。</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5.颜色：灰白，表面涂层：喷涂后涂层表面应色泽均匀一致，工件的各部位不应有起粒、皱皮、露底、剥落、伤痕或漏喷等现象。</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819150" cy="1235710"/>
                  <wp:effectExtent l="0" t="0" r="6350" b="8890"/>
                  <wp:docPr id="323" name="图片 32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4" descr="IMG_262"/>
                          <pic:cNvPicPr>
                            <a:picLocks noChangeAspect="1"/>
                          </pic:cNvPicPr>
                        </pic:nvPicPr>
                        <pic:blipFill>
                          <a:blip r:embed="rId96"/>
                          <a:stretch>
                            <a:fillRect/>
                          </a:stretch>
                        </pic:blipFill>
                        <pic:spPr>
                          <a:xfrm>
                            <a:off x="0" y="0"/>
                            <a:ext cx="819150" cy="123571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通体四节柜</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1.整体尺寸：1800*850*390mm。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2.材质：采用1mm厚优质冷轧钢板经剪切，冲压，折弯，焊接，装配而成。表面经防锈处理后静电粉末喷塑，锁具安全可靠，不易仿配。经久耐用，不易变形。</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3.表面处理：表面经过脱脂→酸洗→表调→磷化→水洗→烘干→静电喷塑→烘干等九工位处理，无锈迹，不变色，不起皱，不失光泽，成品表面光滑、光亮、无有害气体产生，无味不脱落。</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4.配件：优质国标铝合金及一级电镀配件，优质锁具。</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5.颜色：灰白，表面涂层：喷涂后涂层表面应色泽均匀一致，工件的各部位不应有起粒、皱皮、露底、剥落、伤痕或漏喷等现象。</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133475" cy="988695"/>
                  <wp:effectExtent l="0" t="0" r="9525" b="1905"/>
                  <wp:docPr id="326" name="图片 32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326" descr="IMG_263"/>
                          <pic:cNvPicPr>
                            <a:picLocks noChangeAspect="1"/>
                          </pic:cNvPicPr>
                        </pic:nvPicPr>
                        <pic:blipFill>
                          <a:blip r:embed="rId97"/>
                          <a:stretch>
                            <a:fillRect/>
                          </a:stretch>
                        </pic:blipFill>
                        <pic:spPr>
                          <a:xfrm>
                            <a:off x="0" y="0"/>
                            <a:ext cx="1133475" cy="98869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普通档案推车</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5辆</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推车层板0.7mm厚的优质冷轧钢板折弯成型、表面冲凸防滑处理，整体框架采用20*20*1.1mm钢管弯制、焊接而成，车轮采用万向超静音轮。</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732790" cy="608965"/>
                  <wp:effectExtent l="0" t="0" r="3810" b="635"/>
                  <wp:docPr id="329" name="图片 328"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28" descr="IMG_264"/>
                          <pic:cNvPicPr>
                            <a:picLocks noChangeAspect="1"/>
                          </pic:cNvPicPr>
                        </pic:nvPicPr>
                        <pic:blipFill>
                          <a:blip r:embed="rId98"/>
                          <a:stretch>
                            <a:fillRect/>
                          </a:stretch>
                        </pic:blipFill>
                        <pic:spPr>
                          <a:xfrm>
                            <a:off x="0" y="0"/>
                            <a:ext cx="732790" cy="6089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档案梯</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10辆</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档案梯踏板采用0.7mm厚的优质冷轧钢板折弯成型、表面冲凸防滑处理，整体框架采用20*20*1.1mm钢管弯制、焊接而成，车轮采用万向超静音轮。静电喷塑工艺：钢质部件采用乳化剂和碱性助剂，磷酸除锈、锌系薄膜型磷化、钝化，亚光热固性环氧聚酯粉末，高温固化（塑粉为灰色、喷涂厚度0.025～0.03mm、硬度≧0.4mm、冲击强度≧3.92J略剥落、裂纹或皱纹等、附着力一级、光泽度≧65%、耐腐蚀耐盐水24H，不锈蚀、不鼓泡、不裂。）工艺结构要求：磷化处理、静电喷塑，要求表面喷涂均匀、光滑、略裂痕、不摇晃。</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618490" cy="877570"/>
                  <wp:effectExtent l="0" t="0" r="3810" b="11430"/>
                  <wp:docPr id="332" name="图片 33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0" descr="IMG_265"/>
                          <pic:cNvPicPr>
                            <a:picLocks noChangeAspect="1"/>
                          </pic:cNvPicPr>
                        </pic:nvPicPr>
                        <pic:blipFill>
                          <a:blip r:embed="rId99"/>
                          <a:stretch>
                            <a:fillRect/>
                          </a:stretch>
                        </pic:blipFill>
                        <pic:spPr>
                          <a:xfrm>
                            <a:off x="0" y="0"/>
                            <a:ext cx="618490" cy="8775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会议台</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带轮子的拼接会议桌规格：1800×600×750（mm）。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采用E0级实木颗粒板环保板材，无异味；桌面厚度2.5公分，挡板厚度1.6公分 ；架子、侧脚：冷轧钢，壁厚度1.5mm，高温静电喷粉 ；横梁：冷轧钢，厚度1.2—3.0mm；椅轮材质：2.5尼龙脚轮。</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038225" cy="1920875"/>
                  <wp:effectExtent l="0" t="0" r="3175" b="9525"/>
                  <wp:docPr id="335"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2"/>
                          <pic:cNvPicPr>
                            <a:picLocks noChangeAspect="1"/>
                          </pic:cNvPicPr>
                        </pic:nvPicPr>
                        <pic:blipFill>
                          <a:blip r:embed="rId100"/>
                          <a:stretch>
                            <a:fillRect/>
                          </a:stretch>
                        </pic:blipFill>
                        <pic:spPr>
                          <a:xfrm>
                            <a:off x="0" y="0"/>
                            <a:ext cx="1038225" cy="192087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控制台（3位）</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定制全钢3人位专业控制台。规格：柜体高度950mm、台面离地高度750mm、宽度950mm、长度3500mm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整体钢铝结合材质；箱体为优质冷轧钢板，板材厚度后背支架2.0MM；箱体框架1.5MM；前后门1.2MM；经过酸洗磷化防锈处理；表面静电喷涂。台面为25MM厚度钢板；表面HPL抗划贴面；前端封黑色聚氨酯鸭嘴软边。后背2.0MM氧化铝型材；可安装显示器悬空固定支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桌面上配备高100—120mm*厚8mm透明亚格力板隔板，宽度与桌子一致。</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114300" distR="114300">
                  <wp:extent cx="1047115" cy="1297940"/>
                  <wp:effectExtent l="0" t="0" r="6985" b="10160"/>
                  <wp:docPr id="338"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6"/>
                          <pic:cNvPicPr>
                            <a:picLocks noChangeAspect="1"/>
                          </pic:cNvPicPr>
                        </pic:nvPicPr>
                        <pic:blipFill>
                          <a:blip r:embed="rId101"/>
                          <a:stretch>
                            <a:fillRect/>
                          </a:stretch>
                        </pic:blipFill>
                        <pic:spPr>
                          <a:xfrm>
                            <a:off x="0" y="0"/>
                            <a:ext cx="1047115" cy="12979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运维专用椅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产品名称：人体工学办公椅。</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尺寸：120*52*68cm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核心设计：镂空网布靠背 + 可调节腰枕 + 翻转扶手材质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靠背：高弹透气网布，三档可；</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坐垫：高密度海绵/网布；</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框架：高强度尼龙塑料；</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气压杆：4级气压杆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头枕：上下升降、前后旋转，适配颈部支撑</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腰枕：四向调节（上下60mm、前后50mm，左右10°）</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扶手：360°可调节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椅轮材质：PU包裹轻音轮。</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1075690" cy="1555115"/>
                  <wp:effectExtent l="0" t="0" r="3810" b="6985"/>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pic:cNvPicPr>
                            <a:picLocks noChangeAspect="1"/>
                          </pic:cNvPicPr>
                        </pic:nvPicPr>
                        <pic:blipFill>
                          <a:blip r:embed="rId102"/>
                          <a:stretch>
                            <a:fillRect/>
                          </a:stretch>
                        </pic:blipFill>
                        <pic:spPr>
                          <a:xfrm>
                            <a:off x="0" y="0"/>
                            <a:ext cx="1075690" cy="15551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拆装密集柜一批</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176组</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176组，要求：拆除原有密集柜，安装至指定位置，本次费用需包含原有密集架的拆装、搬运、安装工作以及配件补充完整及所有人工费用，所有密集柜均按要求就位，安装牢固、养护、测试，可正常使用，整体验收合格。</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原有密集柜增加轨道</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73米</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规格：30*30mm，304不锈钢</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原有密集柜增加护坡</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145米</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1.0厚冷轧钢板</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整理桌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1.整体外观规格：长×宽×高=2000×1000×750mm，桌面采用实木橡胶木板材，桌面厚度≥40mm。桌脚框架采用优质实木橡胶木，框架厚度≥40mm。桌面底下加固挡板厚度≥20mm、高度≥300mm。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2.油漆：采用环保油漆，经五底三面工艺，漆面平整无颗粒、气泡、积粉、渣点，色泽均匀，表面色泽剔透，具有较好的耐磨性、耐高温性能、附着力强。油漆必须注明品牌（含PU透明底漆和面漆）。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3.五金件：铰链等配件选用优质五金配件，连接处均紧密拼接，金属件表面无锈蚀、毛刺刃口、露底，光滑平整，无起泡、泛黄、花斑、烤焦、裂纹、划痕、磕碰等缺陷。</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1256665" cy="808990"/>
                  <wp:effectExtent l="0" t="0" r="635" b="3810"/>
                  <wp:docPr id="344" name="图片 6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69" descr="IMG_257"/>
                          <pic:cNvPicPr>
                            <a:picLocks noChangeAspect="1"/>
                          </pic:cNvPicPr>
                        </pic:nvPicPr>
                        <pic:blipFill>
                          <a:blip r:embed="rId103"/>
                          <a:stretch>
                            <a:fillRect/>
                          </a:stretch>
                        </pic:blipFill>
                        <pic:spPr>
                          <a:xfrm>
                            <a:off x="0" y="0"/>
                            <a:ext cx="1256665" cy="8089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阅览椅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1.阅览椅规格(mm)：W560*D530*H880mm；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2.椅架：采用优质橡胶木实木，木材经高温干燥、除虫、防虫、防腐处理，具有很好的尺寸稳定性,含水率低于15%，五氯苯酚含量小于5mg/kg。</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3.油漆：采用环保型PU聚酯漆，底漆和面漆中的有害物质限量均符合GB 18581-2020《木器涂料中有害物质限量》的要求。</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4.胶粘剂：采用环保型胶粘剂(白乳胶)。胶粘剂(白乳胶)中的有害物质限量须符合GB 18583-2008《室内装饰装修材料胶粘剂中有害物质限量》的要求。</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09625" cy="723265"/>
                  <wp:effectExtent l="0" t="0" r="3175" b="635"/>
                  <wp:docPr id="347" name="图片 7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71" descr="IMG_258"/>
                          <pic:cNvPicPr>
                            <a:picLocks noChangeAspect="1"/>
                          </pic:cNvPicPr>
                        </pic:nvPicPr>
                        <pic:blipFill>
                          <a:blip r:embed="rId104"/>
                          <a:stretch>
                            <a:fillRect/>
                          </a:stretch>
                        </pic:blipFill>
                        <pic:spPr>
                          <a:xfrm>
                            <a:off x="0" y="0"/>
                            <a:ext cx="809625" cy="7232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会议桌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1.整体外观规格：长×宽×高=3800*1600*750mm；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2.基材：桌面采用25mm厚度优质E1级多层实木板，强度高、刚性好、不易变形、比重合理，所有板材均经防虫防腐化学处理，表面握钉力及静曲强度均达到国际标准；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3.饰面：表面饰面为浸渍胶膜纸饰面，要求双面饰面颜色为同一颜色的饰面，热压贴合，表面无鼓泡、污斑、起皱、脱胶等现象；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4.封边：桌面厚度不小于1.5mm PVC近色封边条，其他厚度不小于1.2mm PVC近色封边条；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5.五金配件：采用优质导轨、三合一连接件等五金配件；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6.热熔胶：采用优质品牌热熔胶。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7.钢制桌架采用1.0mm厚度，冲压，折弯，焊接，装配而成冲压成型厚度为1.2mm钢制脚架。所有焊点都打磨光滑，在接触人体或收藏物品的部位无毛刺、刃口、棱角。涂料为热固性粉末喷塑， 耐磨，经过除锈，防腐处理。表面平整光滑不起泡。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8.桌子中间有插座，或配滑轨插座，方便链接线路使用。</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1114425" cy="732155"/>
                  <wp:effectExtent l="0" t="0" r="3175" b="4445"/>
                  <wp:docPr id="350" name="图片 73"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73" descr="IMG_259"/>
                          <pic:cNvPicPr>
                            <a:picLocks noChangeAspect="1"/>
                          </pic:cNvPicPr>
                        </pic:nvPicPr>
                        <pic:blipFill>
                          <a:blip r:embed="rId105"/>
                          <a:stretch>
                            <a:fillRect/>
                          </a:stretch>
                        </pic:blipFill>
                        <pic:spPr>
                          <a:xfrm>
                            <a:off x="0" y="0"/>
                            <a:ext cx="1114425" cy="73215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智能页码机</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▲规格：1122mm*419mm*569mm；</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1.打码纸质尺寸：标准A4,标准A3。</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2.打印速度:≥90页/分钟，≥180面/分钟</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3.打印方式：单色喷墨</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4.扫描速度：≥90页/分钟，扫描分辨率为1200dpi,打码扫描一体嵌入式结构，支持红章蓝章渗透识别功能，AI智能识别空白页。</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5.支持页码打印,具备扫描功能，具备打码后，扫描存储的能力，支持扫描图片批量处理，支持可视化模板(LW)调节，号码清零，页数统计，总计数。</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6.可自定义字体大小，字体粗细，打印起始号，一键清零</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7.页码印制位置任意调整;可在软件上调节，不需要拆机</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8.打印位数:0--99999；位数可以选择，可以补零或者不补零</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9.支持双面打印/单面打印/智能模式打印；</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10.高精度CIS检测系统，可精准判断纸张是否需要打码，系统能自动判别空白页识别，支持状态及时停机报警。</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11.采用走纸直通道，可完全适用于翘边、褶皱等文件编码。如文件粘有票据有装订孔等特殊性纸张也可进行页码编辑打码</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12.走纸采用多个高性能步进电机，响应更敏，走纸稳定，AI打码，AI人工干预选择;纸张自动学习记忆功能;支持重张报警功能)</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13.纸张容量：100(max)页；</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14.进纸口宽度：≥298mm；</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15.内置工作日志计数功能，实时效验；</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16.专用的页码印刷系统;具有3C,节能证书。</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17.识别字体：支持包括但不限于宋、仿宋、黑体、楷体等字体的识别。</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18.智能、彩色、10.1英寸触摸工业控制器；</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19.墨盒：采用47ml大容量水性墨盒；</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20.工作时长：可连续工作24小时；</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21.电源：220V±5%、50Hz；</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22.工作电压：≤24V（安全电压）；</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23.整机功率：非工作状态P≤20w；</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24.整机重量：50kg；</w:t>
            </w:r>
          </w:p>
          <w:p>
            <w:pPr>
              <w:pStyle w:val="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25.外形尺寸：732mm长x419mm宽x569mm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26.支持系统升级，可接入图像处理系统及数字化加工系统，实现无缝升级。</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16"/>
                <w14:textFill>
                  <w14:solidFill>
                    <w14:schemeClr w14:val="tx1"/>
                  </w14:solidFill>
                </w14:textFill>
              </w:rPr>
            </w:pPr>
            <w:r>
              <w:rPr>
                <w:color w:val="000000" w:themeColor="text1"/>
                <w14:textFill>
                  <w14:solidFill>
                    <w14:schemeClr w14:val="tx1"/>
                  </w14:solidFill>
                </w14:textFill>
              </w:rPr>
              <w:drawing>
                <wp:inline distT="0" distB="0" distL="114300" distR="114300">
                  <wp:extent cx="1142365" cy="1257300"/>
                  <wp:effectExtent l="0" t="0" r="635" b="0"/>
                  <wp:docPr id="353" name="图片 73" descr="14智能页码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73" descr="14智能页码机"/>
                          <pic:cNvPicPr>
                            <a:picLocks noChangeAspect="1"/>
                          </pic:cNvPicPr>
                        </pic:nvPicPr>
                        <pic:blipFill>
                          <a:blip r:embed="rId106"/>
                          <a:stretch>
                            <a:fillRect/>
                          </a:stretch>
                        </pic:blipFill>
                        <pic:spPr>
                          <a:xfrm>
                            <a:off x="0" y="0"/>
                            <a:ext cx="1142365" cy="12573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档案消毒柜</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1.推车层数≥3层，推车尺寸：≥550×1000×1300mm（长宽高）。</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2.单次可消毒1cm厚的书本≥500册。</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3.材质：冷轧钢板制作。柜体≥1.2mm厚的冷轧钢板制作，门为≥5.0mm厚钢化玻璃门。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4.消毒方式：紫外线+臭氧消毒，臭氧产量≥1000MG/H</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5.消毒时间根据消毒模式分为：臭氧消毒60min+20min分解；紫外线消毒20min；臭氧+紫外线消毒20min+20min分解；</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6.单次消毒书/档案本数：单次可消毒3mm厚的档案盒≥180册；</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7.产品规格：≥730×1050×1600mm（长宽高）；</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8.电源：AC 220V，功率≤300W。</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9.容量：≥900L</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用于图书馆和档案馆工作人员进行大批量图书档案杀菌作业。能监控当前环境的温度和湿度并以数字的形式在彩屏上显示。显示屏上有独立的消毒与分解图标提示用户当前机器工作状态，并以倒计时状态显示工作进度。</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11.采用紫外线UV-C消毒和臭氧杀菌技术。紫外线灯管为4组或以上36W灯管，灯管长≥1.2米/组，臭氧模块为单独的臭氧发生器模块。</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12.根据消毒书籍的满载量，所供产品可以自行设定消毒时间，消毒时间为5-90分钟可调。</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13.内置除尘装置，柜内≥6个风机，柜内左右风机同步吸尘。</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用户可选择三种不同的消毒模式：1.臭氧模式；2.紫外线模式；3.臭氧与紫外线同步消毒模式。</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14.设有安全保护装置立即暂停运转，以避免紫外线对人体造成伤害。</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内置可移动式推档车，推档车采用超静音脚轮，可直接由地面推入到柜体内，无需使用摆渡车</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1162050" cy="1275080"/>
                  <wp:effectExtent l="0" t="0" r="6350" b="7620"/>
                  <wp:docPr id="356" name="图片 75" descr="消毒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75" descr="消毒柜"/>
                          <pic:cNvPicPr>
                            <a:picLocks noChangeAspect="1"/>
                          </pic:cNvPicPr>
                        </pic:nvPicPr>
                        <pic:blipFill>
                          <a:blip r:embed="rId107"/>
                          <a:stretch>
                            <a:fillRect/>
                          </a:stretch>
                        </pic:blipFill>
                        <pic:spPr>
                          <a:xfrm>
                            <a:off x="0" y="0"/>
                            <a:ext cx="1162050" cy="127508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会议椅</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12张</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1.符合人体工学原理；</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2.靠背为高分子尼龙靠背，坐垫为3层透气网布，健康环保无刺激性气味，不易受潮发霉，长久使用不塌陷；</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3.稳固弓形不锈钢腿，质优钢材，承重力好。</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jc w:val="left"/>
              <w:rPr>
                <w:rFonts w:ascii="宋体" w:hAnsi="宋体"/>
                <w:color w:val="000000" w:themeColor="text1"/>
                <w:sz w:val="20"/>
                <w14:textFill>
                  <w14:solidFill>
                    <w14:schemeClr w14:val="tx1"/>
                  </w14:solidFill>
                </w14:textFill>
              </w:rPr>
            </w:pPr>
            <w:r>
              <w:rPr>
                <w:color w:val="000000" w:themeColor="text1"/>
                <w14:textFill>
                  <w14:solidFill>
                    <w14:schemeClr w14:val="tx1"/>
                  </w14:solidFill>
                </w14:textFill>
              </w:rPr>
              <w:drawing>
                <wp:inline distT="0" distB="0" distL="114300" distR="114300">
                  <wp:extent cx="847090" cy="513080"/>
                  <wp:effectExtent l="0" t="0" r="3810" b="7620"/>
                  <wp:docPr id="359" name="图片 7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77" descr="IMG_260"/>
                          <pic:cNvPicPr>
                            <a:picLocks noChangeAspect="1"/>
                          </pic:cNvPicPr>
                        </pic:nvPicPr>
                        <pic:blipFill>
                          <a:blip r:embed="rId108"/>
                          <a:stretch>
                            <a:fillRect/>
                          </a:stretch>
                        </pic:blipFill>
                        <pic:spPr>
                          <a:xfrm>
                            <a:off x="0" y="0"/>
                            <a:ext cx="847090" cy="51308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移动椅子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40套</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可折叠人体工学椅背</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框架：高承重金属支架</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靠背：环保塑胶靠背、透气网布，15°后仰设计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座板材质：高密度纯海绵</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椅子腿材质：1.5mm加厚壁管</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扶手类型：可移动</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椅轮材质：PP静音轮</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五金配件：铝合金电镀链接</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是否需要安装：需要</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114300" distR="114300">
                  <wp:extent cx="695960" cy="506095"/>
                  <wp:effectExtent l="0" t="0" r="2540" b="1905"/>
                  <wp:docPr id="362"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86"/>
                          <pic:cNvPicPr>
                            <a:picLocks noChangeAspect="1"/>
                          </pic:cNvPicPr>
                        </pic:nvPicPr>
                        <pic:blipFill>
                          <a:blip r:embed="rId109"/>
                          <a:stretch>
                            <a:fillRect/>
                          </a:stretch>
                        </pic:blipFill>
                        <pic:spPr>
                          <a:xfrm>
                            <a:off x="0" y="0"/>
                            <a:ext cx="695960" cy="50609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窗帘（手动卷帘）</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1430平方米</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一、卷帘布；</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布料：采用100%聚酯纤维；单位面积质量280-380g/㎡,厚度0.5-0.7mm；织物密度径向：100-120根/10cm，纬向：80-100根/10cm；安全标准：异味、PH值、甲醛含量、可分解致癌芳香胺燃料、耐干摩擦色牢度、耐水色牢度、耐酸汗渍色牢度、耐碱汗渍色牢度、耐唾液色牢度符合GB18401-2010防火等级B1级阻燃（半透明常规家装）• 防水：防泼水、易擦拭• 防紫外线：UV 阻隔率 95%+• 抗拉强度：高，适合大尺寸卷帘• 环保：无异味、符合室内软装标准。</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二、卷管、下杆、下杆封口、拉珠 </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1．卷管：壁厚≥1.6mm，内含≥5条加强筋，管材径向弯曲≤1.5mm/米，外表面带插槽；外径：≥38mm，圆管铝合金    </w:t>
            </w:r>
          </w:p>
          <w:p>
            <w:pPr>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2.下杆：采用≥Ø20mm的圆形铝合金材质，表面采用拉丝工艺，壁厚≥1.1mm；中间横向加强筋。</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3.下杆封口：下杆封口为高强度铝材，加工配合银色氧化拉丝工艺的封口，外加尼龙塑料内插，封口颜色与下杆一致，封口外露12mm-14mm。</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4.拉珠：采用优质工程塑料，6.5mm*12mm拉珠，表面光滑，无毛刺，配色和谐，耐磨、耐老化，性能优异；拉绳采用高强聚酯纤维。</w:t>
            </w:r>
          </w:p>
          <w:p>
            <w:pPr>
              <w:spacing w:line="380" w:lineRule="exac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三、定制图案印刷、颜色可指定。现有的挂在窗户上的旧窗帘包拆下来和包安装，拆、安装材料全包</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如果所购买的窗帘与预估的数据有误差，需全包干图书馆所有窗户需要新卷帘的数据。</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drawing>
                <wp:anchor distT="0" distB="0" distL="114300" distR="114300" simplePos="0" relativeHeight="251670528" behindDoc="0" locked="0" layoutInCell="1" allowOverlap="1">
                  <wp:simplePos x="0" y="0"/>
                  <wp:positionH relativeFrom="column">
                    <wp:posOffset>266700</wp:posOffset>
                  </wp:positionH>
                  <wp:positionV relativeFrom="paragraph">
                    <wp:posOffset>-5523230</wp:posOffset>
                  </wp:positionV>
                  <wp:extent cx="1098550" cy="1493520"/>
                  <wp:effectExtent l="0" t="0" r="6350" b="5080"/>
                  <wp:wrapSquare wrapText="bothSides"/>
                  <wp:docPr id="365" name="图片 103" descr="WPS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103" descr="WPS图片(1)"/>
                          <pic:cNvPicPr>
                            <a:picLocks noChangeAspect="1"/>
                          </pic:cNvPicPr>
                        </pic:nvPicPr>
                        <pic:blipFill>
                          <a:blip r:embed="rId110"/>
                          <a:stretch>
                            <a:fillRect/>
                          </a:stretch>
                        </pic:blipFill>
                        <pic:spPr>
                          <a:xfrm>
                            <a:off x="0" y="0"/>
                            <a:ext cx="1098550" cy="149352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台灯+插座</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美式复古蘑菇触摸感应三色LED书桌灯：φ250*H470mm +4个五孔插座（公牛牌）</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1.灯罩：25*12.5cm，米黄色半透明材质，带有波浪形边缘，透光柔和。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2.灯体：复古风格，由深棕色木质圆珠与古铜色金属连接件组合而成，层次分明。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3.底座：13CM深色实木底座，保证放置稳定性。</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4.光源类型：上灯为 LED 灯泡，功率 10W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5.光效模式：支持三色变光（白光 / 暖光 / 中性光），不可调节亮度。</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6.控制方式：线控按钮开关，直接切换三种光色。 </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7.供电方式：国标两插电源插头，220V 市电供电。</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1000125" cy="2198370"/>
                  <wp:effectExtent l="0" t="0" r="0" b="0"/>
                  <wp:docPr id="368" name="图片 30" descr="C:\Users\Administrator\Documents\Tencent Files\1494656929\nt_qq\nt_data\Pic\2026-05\Thumb\5d10a7f4652eb99f6b2f895e34892421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0" descr="C:\Users\Administrator\Documents\Tencent Files\1494656929\nt_qq\nt_data\Pic\2026-05\Thumb\5d10a7f4652eb99f6b2f895e34892421_720.jpg"/>
                          <pic:cNvPicPr>
                            <a:picLocks noChangeAspect="1" noChangeArrowheads="1"/>
                          </pic:cNvPicPr>
                        </pic:nvPicPr>
                        <pic:blipFill>
                          <a:blip r:embed="rId111" cstate="print"/>
                          <a:srcRect/>
                          <a:stretch>
                            <a:fillRect/>
                          </a:stretch>
                        </pic:blipFill>
                        <pic:spPr>
                          <a:xfrm>
                            <a:off x="0" y="0"/>
                            <a:ext cx="1002702" cy="2204636"/>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古代十大名医简介展具</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11个</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1.规格(mm)：W1400*D700；</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2.框架：采用优质金属架，直角拼接，边角打磨光滑，内置防潮背板与金属挂环，兼具耐用性与美观度；</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3.面板：高透亚克力面板，防眩光、防刮、防水，保证画面清晰通透；</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4.画芯：采用油画布，表面覆防水哑光膜，色彩还原度高，耐光不褪色。</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71552" behindDoc="0" locked="0" layoutInCell="1" allowOverlap="1">
                  <wp:simplePos x="0" y="0"/>
                  <wp:positionH relativeFrom="column">
                    <wp:posOffset>266700</wp:posOffset>
                  </wp:positionH>
                  <wp:positionV relativeFrom="paragraph">
                    <wp:posOffset>-8101330</wp:posOffset>
                  </wp:positionV>
                  <wp:extent cx="1010285" cy="715645"/>
                  <wp:effectExtent l="0" t="0" r="5715" b="8255"/>
                  <wp:wrapSquare wrapText="bothSides"/>
                  <wp:docPr id="371"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118"/>
                          <pic:cNvPicPr>
                            <a:picLocks noChangeAspect="1"/>
                          </pic:cNvPicPr>
                        </pic:nvPicPr>
                        <pic:blipFill>
                          <a:blip r:embed="rId112"/>
                          <a:stretch>
                            <a:fillRect/>
                          </a:stretch>
                        </pic:blipFill>
                        <pic:spPr>
                          <a:xfrm>
                            <a:off x="0" y="0"/>
                            <a:ext cx="1010285" cy="715645"/>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饮水机</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3台</w:t>
            </w:r>
          </w:p>
        </w:tc>
        <w:tc>
          <w:tcPr>
            <w:tcW w:w="4746" w:type="dxa"/>
            <w:tcBorders>
              <w:top w:val="single" w:color="auto" w:sz="4" w:space="0"/>
              <w:left w:val="single" w:color="auto" w:sz="4" w:space="0"/>
              <w:bottom w:val="single" w:color="auto" w:sz="4" w:space="0"/>
              <w:right w:val="single" w:color="auto" w:sz="4" w:space="0"/>
            </w:tcBorders>
            <w:shd w:val="clear" w:color="auto" w:fill="auto"/>
          </w:tcPr>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1.加热与供水系统（双开，不加温），加热方式：步进式加热（逐层加热，即开即饮），避免千滚水，出水温度：沸水（100℃）/ 温水（40-55℃，可调），冷热双温可选</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控制方式：智能数显触控面板，精准控温，LED 实时显示水温 / 水量 / 运行状态</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过滤系统：多级过滤（PP 棉 + 活性炭 + RO 反渗透 / 超滤可选），过滤精度高，去除杂质、重金属、细菌；</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2.容量与功率规格（900*440*1480mm）</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额定功率：3kW-6kW（根据型号而定）</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日供水量：30L-100L/h（高功率款），满足 200-500 人日常饮水需求，水箱容积：内置大容量储水箱，持续供水不中断；</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3.材质与结构：机身外壳：不锈钢 304 材质，防腐防锈，易清洁，耐用性强；内胆材质：食品级不锈钢内胆，无铅无异味，符合饮用水卫生标准；保温层：高密度发泡保温层，保温效果好，减少能耗损耗</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4.智能安全防护：防干烧保护、防漏电保护、防烫伤保护、超温自动断电；童锁设计：触控面板童锁功能，防止误操作；水电分离：水电分离加热技术，使用安全无隐患；</w:t>
            </w:r>
          </w:p>
          <w:p>
            <w:pPr>
              <w:spacing w:line="38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5.便捷设计，自动进水：自动补水，无需人工干预，水位感应控制；自动清洗：设备定期自动清洗内胆，保持水质卫生排水设计：底部自带排污口，维护清理便捷</w:t>
            </w:r>
          </w:p>
          <w:p>
            <w:pPr>
              <w:spacing w:line="380" w:lineRule="exact"/>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6.节能低耗：高效热能回收技术，节能省电，待机保温模式，低能耗运行，机身尺寸：宽约 45-55cm × 深约 40-45cm × 高约 120-140cm（根据型号而定），安装方式：落地式安装，占地面积小，适配走廊、茶水间、办公室角落，显示面板：高清数字显示屏，操作界面简洁易懂，颜色：经典黑白配色 / 不锈钢原色，商务稳重风格；</w:t>
            </w:r>
            <w:r>
              <w:rPr>
                <w:rFonts w:hint="eastAsia" w:ascii="宋体" w:hAnsi="宋体" w:cs="宋体"/>
                <w:color w:val="000000" w:themeColor="text1"/>
                <w:szCs w:val="21"/>
                <w:lang w:val="en-US" w:eastAsia="zh-CN"/>
                <w14:textFill>
                  <w14:solidFill>
                    <w14:schemeClr w14:val="tx1"/>
                  </w14:solidFill>
                </w14:textFill>
              </w:rPr>
              <w:t>每台饮水机都需要增加缴费的功能。</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72576" behindDoc="0" locked="0" layoutInCell="1" allowOverlap="1">
                  <wp:simplePos x="0" y="0"/>
                  <wp:positionH relativeFrom="column">
                    <wp:posOffset>266700</wp:posOffset>
                  </wp:positionH>
                  <wp:positionV relativeFrom="paragraph">
                    <wp:posOffset>3175</wp:posOffset>
                  </wp:positionV>
                  <wp:extent cx="1105535" cy="2376170"/>
                  <wp:effectExtent l="0" t="0" r="12065" b="11430"/>
                  <wp:wrapSquare wrapText="bothSides"/>
                  <wp:docPr id="374" name="图片 627345600" descr="JO-3Q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627345600" descr="JO-3Q5E"/>
                          <pic:cNvPicPr>
                            <a:picLocks noChangeAspect="1"/>
                          </pic:cNvPicPr>
                        </pic:nvPicPr>
                        <pic:blipFill>
                          <a:blip r:embed="rId113"/>
                          <a:stretch>
                            <a:fillRect/>
                          </a:stretch>
                        </pic:blipFill>
                        <pic:spPr>
                          <a:xfrm>
                            <a:off x="0" y="0"/>
                            <a:ext cx="1105535" cy="2376170"/>
                          </a:xfrm>
                          <a:prstGeom prst="rect">
                            <a:avLst/>
                          </a:prstGeom>
                          <a:noFill/>
                          <a:ln w="9525">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台灯+插座</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110台</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中式宋代美学触摸感应三档LED台灯：φ250*H470mm +4个五孔插座（公牛牌）</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1.灯罩：灯罩下口直接30cm，米黄色半透明布艺材质，透光柔和。 </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2.灯体：复古风格，由深棕色木质圆珠与古铜色金属连接件组合而成，层次分明。 </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3.底座：13CM深色实木底座，保证放置稳定性。</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4.光源类型：上灯为LED灯泡，功率10W。</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5.光效模式：支持 三色变光（白光 / 暖光 / 中性光），不可调节亮度。</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6.控制方式：线控按钮开关，直接切换三种光色。 </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7.供电方式：国标两插电源插头，220V 市电供电。</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tcPr>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114425" cy="2628900"/>
                  <wp:effectExtent l="0" t="0" r="9525" b="0"/>
                  <wp:docPr id="377" name="图片 225" descr="C:\Users\Administrator\Documents\Tencent Files\1494656929\nt_qq\nt_data\Pic\2026-05\Ori\faf4bde7c4e5c692f291635cd500e6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225" descr="C:\Users\Administrator\Documents\Tencent Files\1494656929\nt_qq\nt_data\Pic\2026-05\Ori\faf4bde7c4e5c692f291635cd500e6e5.jpg"/>
                          <pic:cNvPicPr>
                            <a:picLocks noChangeAspect="1" noChangeArrowheads="1"/>
                          </pic:cNvPicPr>
                        </pic:nvPicPr>
                        <pic:blipFill>
                          <a:blip r:embed="rId114" cstate="print"/>
                          <a:srcRect/>
                          <a:stretch>
                            <a:fillRect/>
                          </a:stretch>
                        </pic:blipFill>
                        <pic:spPr>
                          <a:xfrm flipH="1">
                            <a:off x="0" y="0"/>
                            <a:ext cx="1120529" cy="2643299"/>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挂画框</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11个</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规格：1200*600mm ；原木色边框+油画布</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114300" distR="114300">
                  <wp:extent cx="685800" cy="307975"/>
                  <wp:effectExtent l="0" t="0" r="0" b="9525"/>
                  <wp:docPr id="380" name="图片 627345628" descr="796e024b768248cdc21d7356a72b14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627345628" descr="796e024b768248cdc21d7356a72b143d"/>
                          <pic:cNvPicPr>
                            <a:picLocks noChangeAspect="1"/>
                          </pic:cNvPicPr>
                        </pic:nvPicPr>
                        <pic:blipFill>
                          <a:blip r:embed="rId115"/>
                          <a:stretch>
                            <a:fillRect/>
                          </a:stretch>
                        </pic:blipFill>
                        <pic:spPr>
                          <a:xfrm>
                            <a:off x="0" y="0"/>
                            <a:ext cx="685800" cy="30797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绿植</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50盆</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jc w:val="left"/>
              <w:rPr>
                <w:rFonts w:ascii="宋体" w:hAnsi="宋体" w:cs="宋体"/>
                <w:iCs/>
                <w:color w:val="000000" w:themeColor="text1"/>
                <w:kern w:val="0"/>
                <w:szCs w:val="21"/>
                <w14:textFill>
                  <w14:solidFill>
                    <w14:schemeClr w14:val="tx1"/>
                  </w14:solidFill>
                </w14:textFill>
              </w:rPr>
            </w:pPr>
            <w:r>
              <w:rPr>
                <w:rFonts w:hint="eastAsia" w:ascii="宋体" w:hAnsi="宋体" w:cs="宋体"/>
                <w:iCs/>
                <w:color w:val="000000" w:themeColor="text1"/>
                <w:kern w:val="0"/>
                <w:szCs w:val="21"/>
                <w14:textFill>
                  <w14:solidFill>
                    <w14:schemeClr w14:val="tx1"/>
                  </w14:solidFill>
                </w14:textFill>
              </w:rPr>
              <w:t>花盆  特大、大、中尺寸规格：口径280-500mm，盆高约300—600mm。底径80—300mm，</w:t>
            </w:r>
          </w:p>
          <w:p>
            <w:pPr>
              <w:spacing w:line="380" w:lineRule="exact"/>
              <w:jc w:val="left"/>
              <w:rPr>
                <w:rFonts w:ascii="宋体" w:hAnsi="宋体" w:cs="宋体"/>
                <w:iCs/>
                <w:color w:val="000000" w:themeColor="text1"/>
                <w:szCs w:val="21"/>
                <w14:textFill>
                  <w14:solidFill>
                    <w14:schemeClr w14:val="tx1"/>
                  </w14:solidFill>
                </w14:textFill>
              </w:rPr>
            </w:pPr>
            <w:r>
              <w:rPr>
                <w:rFonts w:hint="eastAsia" w:ascii="宋体" w:hAnsi="宋体" w:cs="宋体"/>
                <w:iCs/>
                <w:color w:val="000000" w:themeColor="text1"/>
                <w:szCs w:val="21"/>
                <w14:textFill>
                  <w14:solidFill>
                    <w14:schemeClr w14:val="tx1"/>
                  </w14:solidFill>
                </w14:textFill>
              </w:rPr>
              <w:t>植物：金钱树、 发财树、 幸福树、天堂鸟、散尾葵等等。</w:t>
            </w:r>
          </w:p>
          <w:p>
            <w:pPr>
              <w:pStyle w:val="51"/>
              <w:ind w:firstLine="0" w:firstLineChars="0"/>
              <w:jc w:val="left"/>
              <w:rPr>
                <w:rFonts w:ascii="宋体" w:hAnsi="宋体" w:cs="宋体"/>
                <w:iCs/>
                <w:color w:val="000000" w:themeColor="text1"/>
                <w:sz w:val="21"/>
                <w:szCs w:val="21"/>
                <w14:textFill>
                  <w14:solidFill>
                    <w14:schemeClr w14:val="tx1"/>
                  </w14:solidFill>
                </w14:textFill>
              </w:rPr>
            </w:pPr>
            <w:r>
              <w:rPr>
                <w:rFonts w:hint="eastAsia" w:ascii="宋体" w:hAnsi="宋体" w:cs="宋体"/>
                <w:iCs/>
                <w:color w:val="000000" w:themeColor="text1"/>
                <w:sz w:val="21"/>
                <w:szCs w:val="21"/>
                <w14:textFill>
                  <w14:solidFill>
                    <w14:schemeClr w14:val="tx1"/>
                  </w14:solidFill>
                </w14:textFill>
              </w:rPr>
              <w:t>特大盆：20</w:t>
            </w:r>
          </w:p>
          <w:p>
            <w:pPr>
              <w:pStyle w:val="51"/>
              <w:ind w:firstLine="0" w:firstLineChars="0"/>
              <w:jc w:val="left"/>
              <w:rPr>
                <w:rFonts w:ascii="宋体" w:hAnsi="宋体" w:cs="宋体"/>
                <w:iCs/>
                <w:color w:val="000000" w:themeColor="text1"/>
                <w:sz w:val="21"/>
                <w:szCs w:val="21"/>
                <w14:textFill>
                  <w14:solidFill>
                    <w14:schemeClr w14:val="tx1"/>
                  </w14:solidFill>
                </w14:textFill>
              </w:rPr>
            </w:pPr>
            <w:r>
              <w:rPr>
                <w:rFonts w:hint="eastAsia" w:ascii="宋体" w:hAnsi="宋体" w:cs="宋体"/>
                <w:iCs/>
                <w:color w:val="000000" w:themeColor="text1"/>
                <w:sz w:val="21"/>
                <w:szCs w:val="21"/>
                <w14:textFill>
                  <w14:solidFill>
                    <w14:schemeClr w14:val="tx1"/>
                  </w14:solidFill>
                </w14:textFill>
              </w:rPr>
              <w:t>大盆：15</w:t>
            </w:r>
          </w:p>
          <w:p>
            <w:pPr>
              <w:pStyle w:val="51"/>
              <w:ind w:firstLine="0" w:firstLineChars="0"/>
              <w:jc w:val="left"/>
              <w:rPr>
                <w:rFonts w:ascii="宋体" w:hAnsi="宋体" w:cs="宋体"/>
                <w:iCs/>
                <w:color w:val="000000" w:themeColor="text1"/>
                <w:sz w:val="21"/>
                <w:szCs w:val="21"/>
                <w14:textFill>
                  <w14:solidFill>
                    <w14:schemeClr w14:val="tx1"/>
                  </w14:solidFill>
                </w14:textFill>
              </w:rPr>
            </w:pPr>
            <w:r>
              <w:rPr>
                <w:rFonts w:hint="eastAsia" w:ascii="宋体" w:hAnsi="宋体" w:cs="宋体"/>
                <w:iCs/>
                <w:color w:val="000000" w:themeColor="text1"/>
                <w:sz w:val="21"/>
                <w:szCs w:val="21"/>
                <w14:textFill>
                  <w14:solidFill>
                    <w14:schemeClr w14:val="tx1"/>
                  </w14:solidFill>
                </w14:textFill>
              </w:rPr>
              <w:t>中盆：15</w:t>
            </w:r>
          </w:p>
          <w:p>
            <w:pPr>
              <w:pStyle w:val="515"/>
              <w:spacing w:line="380" w:lineRule="exact"/>
              <w:rPr>
                <w:rFonts w:hAnsi="宋体"/>
                <w:color w:val="000000" w:themeColor="text1"/>
                <w:sz w:val="21"/>
                <w:szCs w:val="21"/>
                <w14:textFill>
                  <w14:solidFill>
                    <w14:schemeClr w14:val="tx1"/>
                  </w14:solidFill>
                </w14:textFill>
              </w:rPr>
            </w:pPr>
            <w:r>
              <w:rPr>
                <w:rFonts w:hint="eastAsia" w:hAnsi="宋体"/>
                <w:iCs/>
                <w:color w:val="000000" w:themeColor="text1"/>
                <w:sz w:val="21"/>
                <w:szCs w:val="21"/>
                <w14:textFill>
                  <w14:solidFill>
                    <w14:schemeClr w14:val="tx1"/>
                  </w14:solidFill>
                </w14:textFill>
              </w:rPr>
              <w:t>展示面积：单盆约0.8-1.2平方米。</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1044575" cy="581025"/>
                  <wp:effectExtent l="0" t="0" r="3175" b="0"/>
                  <wp:docPr id="383" name="图片 18" descr="C:\Users\Administrator\Documents\Tencent Files\1494656929\nt_qq\nt_data\Pic\2026-05\Ori\efc146b5c219bb0973236f4d0f0418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18" descr="C:\Users\Administrator\Documents\Tencent Files\1494656929\nt_qq\nt_data\Pic\2026-05\Ori\efc146b5c219bb0973236f4d0f0418dd.png"/>
                          <pic:cNvPicPr>
                            <a:picLocks noChangeAspect="1" noChangeArrowheads="1"/>
                          </pic:cNvPicPr>
                        </pic:nvPicPr>
                        <pic:blipFill>
                          <a:blip r:embed="rId116" cstate="print"/>
                          <a:srcRect/>
                          <a:stretch>
                            <a:fillRect/>
                          </a:stretch>
                        </pic:blipFill>
                        <pic:spPr>
                          <a:xfrm flipH="1">
                            <a:off x="0" y="0"/>
                            <a:ext cx="1056434" cy="587544"/>
                          </a:xfrm>
                          <a:prstGeom prst="rect">
                            <a:avLst/>
                          </a:prstGeom>
                          <a:noFill/>
                          <a:ln>
                            <a:noFill/>
                          </a:ln>
                        </pic:spPr>
                      </pic:pic>
                    </a:graphicData>
                  </a:graphic>
                </wp:inline>
              </w:drawing>
            </w:r>
          </w:p>
          <w:p>
            <w:pPr>
              <w:pStyle w:val="20"/>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0" distR="0" simplePos="0" relativeHeight="251674624" behindDoc="0" locked="0" layoutInCell="1" allowOverlap="1">
                  <wp:simplePos x="0" y="0"/>
                  <wp:positionH relativeFrom="column">
                    <wp:posOffset>5080</wp:posOffset>
                  </wp:positionH>
                  <wp:positionV relativeFrom="paragraph">
                    <wp:posOffset>118745</wp:posOffset>
                  </wp:positionV>
                  <wp:extent cx="1033145" cy="652780"/>
                  <wp:effectExtent l="0" t="0" r="0" b="0"/>
                  <wp:wrapTopAndBottom/>
                  <wp:docPr id="386" name="图片 19" descr="C:\Users\Administrator\Documents\Tencent Files\1494656929\nt_qq\nt_data\Pic\2026-05\Ori\c5d8ae2b88740119ca80e8d32a1cec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19" descr="C:\Users\Administrator\Documents\Tencent Files\1494656929\nt_qq\nt_data\Pic\2026-05\Ori\c5d8ae2b88740119ca80e8d32a1cec7b.png"/>
                          <pic:cNvPicPr>
                            <a:picLocks noChangeAspect="1" noChangeArrowheads="1"/>
                          </pic:cNvPicPr>
                        </pic:nvPicPr>
                        <pic:blipFill>
                          <a:blip r:embed="rId117" cstate="print"/>
                          <a:srcRect/>
                          <a:stretch>
                            <a:fillRect/>
                          </a:stretch>
                        </pic:blipFill>
                        <pic:spPr>
                          <a:xfrm>
                            <a:off x="0" y="0"/>
                            <a:ext cx="1033145" cy="652780"/>
                          </a:xfrm>
                          <a:prstGeom prst="rect">
                            <a:avLst/>
                          </a:prstGeom>
                          <a:noFill/>
                          <a:ln>
                            <a:noFill/>
                          </a:ln>
                        </pic:spPr>
                      </pic:pic>
                    </a:graphicData>
                  </a:graphic>
                </wp:anchor>
              </w:drawing>
            </w:r>
          </w:p>
          <w:p>
            <w:pP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0" distR="0" simplePos="0" relativeHeight="251675648" behindDoc="1" locked="0" layoutInCell="1" allowOverlap="1">
                  <wp:simplePos x="0" y="0"/>
                  <wp:positionH relativeFrom="column">
                    <wp:posOffset>21590</wp:posOffset>
                  </wp:positionH>
                  <wp:positionV relativeFrom="paragraph">
                    <wp:posOffset>70485</wp:posOffset>
                  </wp:positionV>
                  <wp:extent cx="1044575" cy="687705"/>
                  <wp:effectExtent l="0" t="0" r="3175" b="0"/>
                  <wp:wrapTight wrapText="bothSides">
                    <wp:wrapPolygon>
                      <wp:start x="0" y="0"/>
                      <wp:lineTo x="0" y="20942"/>
                      <wp:lineTo x="21272" y="20942"/>
                      <wp:lineTo x="21272" y="0"/>
                      <wp:lineTo x="0" y="0"/>
                    </wp:wrapPolygon>
                  </wp:wrapTight>
                  <wp:docPr id="389" name="图片 21" descr="C:\Users\Administrator\Documents\Tencent Files\1494656929\nt_qq\nt_data\Pic\2026-05\Ori\e942a71d5cfa325ef707e2259aad7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21" descr="C:\Users\Administrator\Documents\Tencent Files\1494656929\nt_qq\nt_data\Pic\2026-05\Ori\e942a71d5cfa325ef707e2259aad7275.png"/>
                          <pic:cNvPicPr>
                            <a:picLocks noChangeAspect="1" noChangeArrowheads="1"/>
                          </pic:cNvPicPr>
                        </pic:nvPicPr>
                        <pic:blipFill>
                          <a:blip r:embed="rId118" cstate="print"/>
                          <a:srcRect/>
                          <a:stretch>
                            <a:fillRect/>
                          </a:stretch>
                        </pic:blipFill>
                        <pic:spPr>
                          <a:xfrm flipH="1">
                            <a:off x="0" y="0"/>
                            <a:ext cx="1044575" cy="68770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59"/>
              <w:spacing w:before="0" w:beforeAutospacing="0" w:after="0" w:afterAutospacing="0"/>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药材树脂圆柱标本</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10个</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59"/>
              <w:spacing w:before="0" w:beforeAutospacing="0" w:after="0" w:afterAutospacing="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“桂十味”道地药材（10种）；</w:t>
            </w:r>
          </w:p>
          <w:p>
            <w:pPr>
              <w:pStyle w:val="659"/>
              <w:spacing w:before="0" w:beforeAutospacing="0" w:after="0" w:afterAutospacing="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尺寸规格：120*350mm的圆柱体；</w:t>
            </w:r>
          </w:p>
          <w:p>
            <w:pPr>
              <w:pStyle w:val="659"/>
              <w:spacing w:before="0" w:beforeAutospacing="0" w:after="0" w:afterAutospacing="0" w:line="380" w:lineRule="exact"/>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内容物：树脂＋药材；</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659"/>
              <w:spacing w:before="0" w:beforeAutospacing="0" w:after="0" w:afterAutospacing="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749935" cy="939800"/>
                  <wp:effectExtent l="0" t="0" r="0" b="0"/>
                  <wp:docPr id="1" name="图片 1" descr="IMG_20260522_11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60522_113809"/>
                          <pic:cNvPicPr>
                            <a:picLocks noChangeAspect="1"/>
                          </pic:cNvPicPr>
                        </pic:nvPicPr>
                        <pic:blipFill>
                          <a:blip r:embed="rId119"/>
                          <a:srcRect l="38953" t="14211" r="20233" b="21186"/>
                          <a:stretch>
                            <a:fillRect/>
                          </a:stretch>
                        </pic:blipFill>
                        <pic:spPr>
                          <a:xfrm>
                            <a:off x="0" y="0"/>
                            <a:ext cx="751129" cy="94107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59"/>
              <w:spacing w:before="0" w:beforeAutospacing="0" w:after="0" w:afterAutospacing="0"/>
              <w:jc w:val="center"/>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药材树脂标本</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31个</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59"/>
              <w:spacing w:before="0" w:beforeAutospacing="0" w:after="0" w:afterAutospacing="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广西区域特色药材（31种）；</w:t>
            </w:r>
          </w:p>
          <w:p>
            <w:pPr>
              <w:pStyle w:val="659"/>
              <w:spacing w:before="0" w:beforeAutospacing="0" w:after="0" w:afterAutospacing="0"/>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尺寸规格：150*30mm的圆柱体；</w:t>
            </w:r>
          </w:p>
          <w:p>
            <w:pPr>
              <w:pStyle w:val="659"/>
              <w:spacing w:before="0" w:beforeAutospacing="0" w:after="0" w:afterAutospacing="0" w:line="380" w:lineRule="exact"/>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内容物：树脂＋药材；</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659"/>
              <w:spacing w:before="0" w:beforeAutospacing="0" w:after="0" w:afterAutospacing="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114300" distR="114300">
                  <wp:extent cx="1021715" cy="711835"/>
                  <wp:effectExtent l="0" t="0" r="6985" b="12065"/>
                  <wp:docPr id="3" name="图片 3" descr="tb_image_share_1780649739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b_image_share_1780649739508"/>
                          <pic:cNvPicPr>
                            <a:picLocks noChangeAspect="1"/>
                          </pic:cNvPicPr>
                        </pic:nvPicPr>
                        <pic:blipFill>
                          <a:blip r:embed="rId120"/>
                          <a:srcRect l="25116" b="47859"/>
                          <a:stretch>
                            <a:fillRect/>
                          </a:stretch>
                        </pic:blipFill>
                        <pic:spPr>
                          <a:xfrm>
                            <a:off x="0" y="0"/>
                            <a:ext cx="1021715" cy="71183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108</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展板固定框</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40个</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亚克力透明双层夹板，宽80厘米，高120厘米</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Calibri" w:hAnsi="Calibri" w:cs="Calibri"/>
                <w:color w:val="000000" w:themeColor="text1"/>
                <w:szCs w:val="21"/>
                <w14:textFill>
                  <w14:solidFill>
                    <w14:schemeClr w14:val="tx1"/>
                  </w14:solidFill>
                </w14:textFill>
              </w:rPr>
            </w:pPr>
            <w:r>
              <w:rPr>
                <w:rFonts w:ascii="Calibri" w:hAnsi="Calibri" w:cs="Calibri"/>
                <w:color w:val="000000" w:themeColor="text1"/>
                <w:kern w:val="0"/>
                <w:szCs w:val="21"/>
                <w:bdr w:val="single" w:color="000000" w:sz="4" w:space="0"/>
                <w14:textFill>
                  <w14:solidFill>
                    <w14:schemeClr w14:val="tx1"/>
                  </w14:solidFill>
                </w14:textFill>
              </w:rPr>
              <w:drawing>
                <wp:anchor distT="0" distB="0" distL="114300" distR="114300" simplePos="0" relativeHeight="251673600" behindDoc="0" locked="0" layoutInCell="1" allowOverlap="1">
                  <wp:simplePos x="0" y="0"/>
                  <wp:positionH relativeFrom="column">
                    <wp:posOffset>123825</wp:posOffset>
                  </wp:positionH>
                  <wp:positionV relativeFrom="paragraph">
                    <wp:posOffset>-5715</wp:posOffset>
                  </wp:positionV>
                  <wp:extent cx="828675" cy="361315"/>
                  <wp:effectExtent l="0" t="0" r="9525" b="6985"/>
                  <wp:wrapNone/>
                  <wp:docPr id="395" name="图片_3"/>
                  <wp:cNvGraphicFramePr/>
                  <a:graphic xmlns:a="http://schemas.openxmlformats.org/drawingml/2006/main">
                    <a:graphicData uri="http://schemas.openxmlformats.org/drawingml/2006/picture">
                      <pic:pic xmlns:pic="http://schemas.openxmlformats.org/drawingml/2006/picture">
                        <pic:nvPicPr>
                          <pic:cNvPr id="395" name="图片_3"/>
                          <pic:cNvPicPr/>
                        </pic:nvPicPr>
                        <pic:blipFill>
                          <a:blip r:embed="rId121"/>
                          <a:stretch>
                            <a:fillRect/>
                          </a:stretch>
                        </pic:blipFill>
                        <pic:spPr>
                          <a:xfrm>
                            <a:off x="0" y="0"/>
                            <a:ext cx="828675" cy="36131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109</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中医文化殷墟甲骨文模型</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2个</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中医起源甲骨文（文物复制1套3件）中医起源甲骨文（文物复制1套5件）</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114300" distR="114300">
                  <wp:extent cx="848360" cy="677545"/>
                  <wp:effectExtent l="0" t="0" r="2540" b="8255"/>
                  <wp:docPr id="3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1"/>
                          <pic:cNvPicPr>
                            <a:picLocks noChangeAspect="1"/>
                          </pic:cNvPicPr>
                        </pic:nvPicPr>
                        <pic:blipFill>
                          <a:blip r:embed="rId122"/>
                          <a:stretch>
                            <a:fillRect/>
                          </a:stretch>
                        </pic:blipFill>
                        <pic:spPr>
                          <a:xfrm>
                            <a:off x="0" y="0"/>
                            <a:ext cx="848360" cy="67754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110</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医学碑刻仿制</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5个</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①桂林刘仙岩《吕渭养气汤方》石刻仿制品，青石，50×70×5厘米；</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②桂林刘仙岩《桂林刘真人》石刻仿制品，青石，50×70×5厘米；</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③《地黄汤帖》石刻仿制品，青石，30×30×5厘米；</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④《扁鹊针灸画像石》石刻仿制品，青石，42×40×5厘米；</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⑤《酿酒画像砖》仿制品，陶制，25×20×3.5厘米，</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碑刻定制，可用于拓印练习</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drawing>
                <wp:inline distT="0" distB="0" distL="114300" distR="114300">
                  <wp:extent cx="752475" cy="982980"/>
                  <wp:effectExtent l="0" t="0" r="9525" b="7620"/>
                  <wp:docPr id="401"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109"/>
                          <pic:cNvPicPr>
                            <a:picLocks noChangeAspect="1"/>
                          </pic:cNvPicPr>
                        </pic:nvPicPr>
                        <pic:blipFill>
                          <a:blip r:embed="rId123"/>
                          <a:stretch>
                            <a:fillRect/>
                          </a:stretch>
                        </pic:blipFill>
                        <pic:spPr>
                          <a:xfrm>
                            <a:off x="0" y="0"/>
                            <a:ext cx="752475" cy="98298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111</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壁灯</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4个</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规格：实木支架，距墙220mm,地盘250mm,长度380*180mm</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1.材质：五金+实木+布艺</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2.光源：E27*1， 16w/三色变光</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3.光通量：LED壁灯约为230lm。</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4.显色指数：国家标准要求≥80。</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5.色温：3000K-4000K,舒适且不易产生视觉疲劳。</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6.防眩光：选择带遮光角设计。定制LED壁灯</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1047750" cy="1304925"/>
                  <wp:effectExtent l="0" t="0" r="0" b="9525"/>
                  <wp:docPr id="404" name="图片 28" descr="C:\Users\Administrator\Documents\Tencent Files\1494656929\nt_qq\nt_data\Pic\2026-05\Ori\8c6695898a4b727ecfcf326ee4a6e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28" descr="C:\Users\Administrator\Documents\Tencent Files\1494656929\nt_qq\nt_data\Pic\2026-05\Ori\8c6695898a4b727ecfcf326ee4a6e473.png"/>
                          <pic:cNvPicPr>
                            <a:picLocks noChangeAspect="1" noChangeArrowheads="1"/>
                          </pic:cNvPicPr>
                        </pic:nvPicPr>
                        <pic:blipFill>
                          <a:blip r:embed="rId124" cstate="print"/>
                          <a:srcRect/>
                          <a:stretch>
                            <a:fillRect/>
                          </a:stretch>
                        </pic:blipFill>
                        <pic:spPr>
                          <a:xfrm>
                            <a:off x="0" y="0"/>
                            <a:ext cx="1046465" cy="130332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9"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112</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明式花架子</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规格：黑酸枝木花架，尺寸： 330*330*800mm</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材质：加粗加厚的黑酸枝木板材，厚度3cm,加厚底板置物，摆放面大，承重力好，边角圆润细腻打磨，占地面积0.1平方米，双层置物架，整体支撑更稳固，不摇晃。</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057275" cy="2027555"/>
                  <wp:effectExtent l="0" t="0" r="9525" b="0"/>
                  <wp:docPr id="20" name="图片 20" descr="C:\Users\Administrator\Documents\Tencent Files\1494656929\nt_qq\nt_data\Pic\2026-06\Thumb\30ba9b7cab5befcbef18947531f13c6d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strator\Documents\Tencent Files\1494656929\nt_qq\nt_data\Pic\2026-06\Thumb\30ba9b7cab5befcbef18947531f13c6d_720.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1063049" cy="2038179"/>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复古壁灯</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规格：实木弧形灯臂，尺寸：300*200*600mm</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1.材质：五金+实木+布艺</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2.光源：E27*1， 16w/三色变光</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3.光通量：LED壁灯约为230lm。</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4.显色指数：国家标准要求≥80。</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5.色温：3000K-4000K,舒适且不易产生视觉疲劳。</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6.防眩光：选择带遮光角设计。</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057275" cy="2035175"/>
                  <wp:effectExtent l="0" t="0" r="9525" b="3175"/>
                  <wp:docPr id="23" name="图片 23" descr="C:\Users\Administrator\Documents\Tencent Files\1494656929\nt_qq\nt_data\Pic\2026-06\Thumb\8dc57869b6f447a238e772e7e73a7cbd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Documents\Tencent Files\1494656929\nt_qq\nt_data\Pic\2026-06\Thumb\8dc57869b6f447a238e772e7e73a7cbd_720.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062249" cy="2044632"/>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东南亚复古泰式灯</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规格：繁花款，尺寸：340*200mm</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1.材质：五金+实木+柳编</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2.工艺：雕刻</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3.光源： 16w/三色变光</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4.光通量：LED</w:t>
            </w:r>
            <w:r>
              <w:rPr>
                <w:rFonts w:ascii="宋体" w:hAnsi="宋体" w:cs="宋体"/>
                <w:color w:val="000000" w:themeColor="text1"/>
                <w:kern w:val="0"/>
                <w:szCs w:val="21"/>
                <w14:textFill>
                  <w14:solidFill>
                    <w14:schemeClr w14:val="tx1"/>
                  </w14:solidFill>
                </w14:textFill>
              </w:rPr>
              <w:t xml:space="preserve"> </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5.显色指数：国家标准要求≥80。</w:t>
            </w:r>
          </w:p>
          <w:p>
            <w:pPr>
              <w:autoSpaceDE w:val="0"/>
              <w:autoSpaceDN w:val="0"/>
              <w:adjustRightInd w:val="0"/>
              <w:spacing w:line="38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6.色温：3300K以下,舒适且不易产生视觉疲劳。</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7.防眩光：选择带遮光角设计。</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049020" cy="2325370"/>
                  <wp:effectExtent l="0" t="0" r="0" b="0"/>
                  <wp:docPr id="26" name="图片 26" descr="C:\Users\Administrator\Documents\Tencent Files\1494656929\nt_qq\nt_data\Pic\2026-06\Thumb\663144eba958f2665962c2d47b3e5956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istrator\Documents\Tencent Files\1494656929\nt_qq\nt_data\Pic\2026-06\Thumb\663144eba958f2665962c2d47b3e5956_720.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1049494" cy="2325389"/>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115</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大象摆件</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 540*350*420mm</w:t>
            </w:r>
          </w:p>
          <w:p>
            <w:pPr>
              <w:pStyle w:val="660"/>
              <w:numPr>
                <w:ilvl w:val="0"/>
                <w:numId w:val="11"/>
              </w:numPr>
              <w:spacing w:line="380" w:lineRule="exact"/>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材质：树脂</w:t>
            </w:r>
          </w:p>
          <w:p>
            <w:pPr>
              <w:pStyle w:val="20"/>
              <w:numPr>
                <w:ilvl w:val="0"/>
                <w:numId w:val="11"/>
              </w:numPr>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工艺：注塑</w:t>
            </w:r>
          </w:p>
          <w:p>
            <w:pPr>
              <w:pStyle w:val="660"/>
              <w:ind w:left="360" w:firstLine="0" w:firstLineChars="0"/>
              <w:rPr>
                <w:rFonts w:ascii="宋体" w:hAnsi="宋体"/>
                <w:color w:val="000000" w:themeColor="text1"/>
                <w:szCs w:val="21"/>
                <w14:textFill>
                  <w14:solidFill>
                    <w14:schemeClr w14:val="tx1"/>
                  </w14:solidFill>
                </w14:textFill>
              </w:rPr>
            </w:pP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858520" cy="1605915"/>
                  <wp:effectExtent l="0" t="0" r="0" b="0"/>
                  <wp:docPr id="29" name="图片 29" descr="C:\Users\Administrator\Documents\Tencent Files\1494656929\nt_qq\nt_data\Pic\2026-06\Thumb\fd7c8e3b79fd452a0fc06d3c0f52b2fc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strator\Documents\Tencent Files\1494656929\nt_qq\nt_data\Pic\2026-06\Thumb\fd7c8e3b79fd452a0fc06d3c0f52b2fc_720.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860546" cy="1609539"/>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116</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玄关桌</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 140*35*80*86cm</w:t>
            </w:r>
          </w:p>
          <w:p>
            <w:pPr>
              <w:pStyle w:val="660"/>
              <w:numPr>
                <w:ilvl w:val="0"/>
                <w:numId w:val="12"/>
              </w:numPr>
              <w:spacing w:line="380" w:lineRule="exact"/>
              <w:ind w:firstLineChars="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材质：全实木(榆木)制作，胡桃色玄关台</w:t>
            </w:r>
          </w:p>
          <w:p>
            <w:pPr>
              <w:pStyle w:val="20"/>
              <w:numPr>
                <w:ilvl w:val="0"/>
                <w:numId w:val="12"/>
              </w:numPr>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工艺：镂空雕花牙板，加宽台面，用料厚实，圆润打磨，稳固、承重力强，经久耐用。</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049020" cy="1071245"/>
                  <wp:effectExtent l="0" t="0" r="0" b="0"/>
                  <wp:docPr id="32" name="图片 32" descr="C:\Users\Administrator\Documents\Tencent Files\1494656929\nt_qq\nt_data\Pic\2026-06\Ori\46ba3534187098cee8bb8f4f781ac0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Administrator\Documents\Tencent Files\1494656929\nt_qq\nt_data\Pic\2026-06\Ori\46ba3534187098cee8bb8f4f781ac0f4.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1049155" cy="1071338"/>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w:t>
            </w:r>
          </w:p>
        </w:tc>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圆形玄关装饰墙壁画</w:t>
            </w:r>
          </w:p>
        </w:tc>
        <w:tc>
          <w:tcPr>
            <w:tcW w:w="10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7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规格：直径90cm</w:t>
            </w:r>
          </w:p>
          <w:p>
            <w:pPr>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1.材质：铝合金画框 </w:t>
            </w:r>
          </w:p>
          <w:p>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2.工艺：喷绘</w:t>
            </w:r>
          </w:p>
          <w:p>
            <w:pPr>
              <w:pStyle w:val="2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3.颜色：黑框</w:t>
            </w:r>
          </w:p>
        </w:tc>
        <w:tc>
          <w:tcPr>
            <w:tcW w:w="19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897890" cy="1645920"/>
                  <wp:effectExtent l="0" t="0" r="0" b="0"/>
                  <wp:docPr id="33" name="图片 33" descr="C:\Users\Administrator\Documents\Tencent Files\1494656929\nt_qq\nt_data\Pic\2026-06\Thumb\5e5698e430b8735e898b2f9d5eaf2998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Administrator\Documents\Tencent Files\1494656929\nt_qq\nt_data\Pic\2026-06\Thumb\5e5698e430b8735e898b2f9d5eaf2998_720.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898989" cy="1646821"/>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2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b/>
                <w:bCs/>
                <w:color w:val="000000" w:themeColor="text1"/>
                <w:szCs w:val="21"/>
                <w:lang w:eastAsia="zh-CN"/>
                <w14:textFill>
                  <w14:solidFill>
                    <w14:schemeClr w14:val="tx1"/>
                  </w14:solidFill>
                </w14:textFill>
              </w:rPr>
              <w:t>商务及其他要求表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验收标准</w:t>
            </w:r>
          </w:p>
        </w:tc>
        <w:tc>
          <w:tcPr>
            <w:tcW w:w="769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1.所供产品的规格、数量符合招标项目采购需求及采购合同约定的要求。</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2.所供产品的材质、颜色符合招标项目采购需求及采购合同约定的要求。</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3.所供产品的外观完好，无碰撞、五金件生锈等明显瑕疵。</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4.所供产品结构牢固，无安全隐患。</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5.如有抽检要求的，检测结果符合招标项目采购需求及采购合同约定的要求。 </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6.所有产品均已运输至指定地点，并安装调试完毕。</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7.招标文件招标项目采购需求及采购合同约定的附件、工具、技术资料等齐全；提供产品使用说明书、合格等证明材料。</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8.所有家具安装完毕后，清理干净包装使用的纸皮，包装打包绑带及薄膜等垃圾。</w:t>
            </w:r>
          </w:p>
          <w:p>
            <w:pPr>
              <w:pStyle w:val="17"/>
              <w:adjustRightInd/>
              <w:spacing w:line="400" w:lineRule="exact"/>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9.采购人有权要求中标供应商所供产品后进行甲醛、挥发性有机物检测，并提供检测报告，检测费用由中标人负责。验收时供应商需提供产品现场检测报告（检测结果须符合招标文件招标项目采购需求及采购合同约定的要求，</w:t>
            </w:r>
            <w:r>
              <w:rPr>
                <w:rFonts w:hint="eastAsia" w:ascii="宋体" w:hAnsi="宋体" w:eastAsia="宋体" w:cs="宋体"/>
                <w:color w:val="000000" w:themeColor="text1"/>
                <w:sz w:val="21"/>
                <w:szCs w:val="21"/>
                <w:lang w:eastAsia="zh-CN"/>
                <w14:textFill>
                  <w14:solidFill>
                    <w14:schemeClr w14:val="tx1"/>
                  </w14:solidFill>
                </w14:textFill>
              </w:rPr>
              <w:t>检测机构必须是有检测资质的第三方检测机构，</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检测结果不合格的，不予验收，所有检测费用由中标供应商负责）。</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10.</w:t>
            </w:r>
            <w:r>
              <w:rPr>
                <w:rFonts w:hint="eastAsia" w:ascii="宋体" w:hAnsi="宋体" w:eastAsia="宋体" w:cs="宋体"/>
                <w:color w:val="000000" w:themeColor="text1"/>
                <w:szCs w:val="21"/>
                <w:lang w:eastAsia="zh-CN"/>
                <w14:textFill>
                  <w14:solidFill>
                    <w14:schemeClr w14:val="tx1"/>
                  </w14:solidFill>
                </w14:textFill>
              </w:rPr>
              <w:t>中标供应商</w:t>
            </w:r>
            <w:r>
              <w:rPr>
                <w:rFonts w:hint="eastAsia" w:ascii="宋体" w:hAnsi="宋体" w:eastAsia="宋体" w:cs="宋体"/>
                <w:color w:val="000000" w:themeColor="text1"/>
                <w:szCs w:val="21"/>
                <w14:textFill>
                  <w14:solidFill>
                    <w14:schemeClr w14:val="tx1"/>
                  </w14:solidFill>
                </w14:textFill>
              </w:rPr>
              <w:t>的</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样品将作为货物验收参照标本，</w:t>
            </w:r>
            <w:r>
              <w:rPr>
                <w:rFonts w:hint="eastAsia" w:ascii="宋体" w:hAnsi="宋体" w:eastAsia="宋体" w:cs="宋体"/>
                <w:color w:val="000000" w:themeColor="text1"/>
                <w:szCs w:val="21"/>
                <w:lang w:eastAsia="zh-CN"/>
                <w14:textFill>
                  <w14:solidFill>
                    <w14:schemeClr w14:val="tx1"/>
                  </w14:solidFill>
                </w14:textFill>
              </w:rPr>
              <w:t>中标供应商</w:t>
            </w:r>
            <w:r>
              <w:rPr>
                <w:rFonts w:hint="eastAsia" w:ascii="宋体" w:hAnsi="宋体" w:eastAsia="宋体" w:cs="宋体"/>
                <w:color w:val="000000" w:themeColor="text1"/>
                <w:szCs w:val="21"/>
                <w14:textFill>
                  <w14:solidFill>
                    <w14:schemeClr w14:val="tx1"/>
                  </w14:solidFill>
                </w14:textFill>
              </w:rPr>
              <w:t>所提供的货物与</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样品必须一致，否则将视为验收不合格。另外，验收时如</w:t>
            </w:r>
            <w:r>
              <w:rPr>
                <w:rFonts w:hint="eastAsia" w:ascii="宋体" w:hAnsi="宋体" w:eastAsia="宋体" w:cs="宋体"/>
                <w:color w:val="000000" w:themeColor="text1"/>
                <w:szCs w:val="21"/>
                <w:lang w:eastAsia="zh-CN"/>
                <w14:textFill>
                  <w14:solidFill>
                    <w14:schemeClr w14:val="tx1"/>
                  </w14:solidFill>
                </w14:textFill>
              </w:rPr>
              <w:t>中标供应商</w:t>
            </w:r>
            <w:r>
              <w:rPr>
                <w:rFonts w:hint="eastAsia" w:ascii="宋体" w:hAnsi="宋体" w:eastAsia="宋体" w:cs="宋体"/>
                <w:color w:val="000000" w:themeColor="text1"/>
                <w:szCs w:val="21"/>
                <w14:textFill>
                  <w14:solidFill>
                    <w14:schemeClr w14:val="tx1"/>
                  </w14:solidFill>
                </w14:textFill>
              </w:rPr>
              <w:t>所提供的产品与其</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时所响应的参数不一致或出现其他可能影响产品质量的问题时，采购人有权对交付的货物委托有资质的第三方检测机构进行抽样检验。如果所抽取的成品：六层书架、手动六层密集书柜、阅览桌与提供样品的参数一致经检验合格的，采购人应将整批货物判定合格，对整批货物按合格品验收；如果所抽取的成品经检验不合格的，采购人应将整批货物判定为不合格产品，不予验收，采购人可同时向</w:t>
            </w:r>
            <w:r>
              <w:rPr>
                <w:rFonts w:hint="eastAsia" w:ascii="宋体" w:hAnsi="宋体" w:eastAsia="宋体" w:cs="宋体"/>
                <w:color w:val="000000" w:themeColor="text1"/>
                <w:szCs w:val="21"/>
                <w:lang w:eastAsia="zh-CN"/>
                <w14:textFill>
                  <w14:solidFill>
                    <w14:schemeClr w14:val="tx1"/>
                  </w14:solidFill>
                </w14:textFill>
              </w:rPr>
              <w:t>中标供应商</w:t>
            </w:r>
            <w:r>
              <w:rPr>
                <w:rFonts w:hint="eastAsia" w:ascii="宋体" w:hAnsi="宋体" w:eastAsia="宋体" w:cs="宋体"/>
                <w:color w:val="000000" w:themeColor="text1"/>
                <w:szCs w:val="21"/>
                <w14:textFill>
                  <w14:solidFill>
                    <w14:schemeClr w14:val="tx1"/>
                  </w14:solidFill>
                </w14:textFill>
              </w:rPr>
              <w:t>提出直接换新产品的赔偿。所产生的检验费、样品费由</w:t>
            </w:r>
            <w:r>
              <w:rPr>
                <w:rFonts w:hint="eastAsia" w:ascii="宋体" w:hAnsi="宋体" w:eastAsia="宋体" w:cs="宋体"/>
                <w:color w:val="000000" w:themeColor="text1"/>
                <w:szCs w:val="21"/>
                <w:lang w:eastAsia="zh-CN"/>
                <w14:textFill>
                  <w14:solidFill>
                    <w14:schemeClr w14:val="tx1"/>
                  </w14:solidFill>
                </w14:textFill>
              </w:rPr>
              <w:t>中标供应商</w:t>
            </w:r>
            <w:r>
              <w:rPr>
                <w:rFonts w:hint="eastAsia" w:ascii="宋体" w:hAnsi="宋体" w:eastAsia="宋体" w:cs="宋体"/>
                <w:color w:val="000000" w:themeColor="text1"/>
                <w:szCs w:val="21"/>
                <w14:textFill>
                  <w14:solidFill>
                    <w14:schemeClr w14:val="tx1"/>
                  </w14:solidFill>
                </w14:textFill>
              </w:rPr>
              <w:t>承担。</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11.货物或服务技术参数与</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文件中响应表或证明材料一致，性能或指标达到规定的标准，否则，以实际货物或服务技术参数与</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文件响应表参数或证明材料比较，按如下情况处理：</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1）供应商</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文件响应表或证明材料中满足或优于的技术参数，在验收时实际不满足技术参数要求的，视为供货商虚假应标，采购人有权终止合同拒收货物，并追究供应商责任，同时报财政部门备案。</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2）供应商</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文件响应表或证明材料中优于的技术参数，在验收时实际仅满足并未优于技术参数要求的，视为供货商虚假应标，采购人有权终止合同拒收货物，并追究供应商责任，同时报财政部门备案。</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3）供应商</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文件响应表或证明材料中满足的技术参数，在验收时实际优于技术参数的要求，以满足技术参数的要求验收。</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4）实际货物与</w:t>
            </w:r>
            <w:r>
              <w:rPr>
                <w:rFonts w:hint="eastAsia" w:ascii="宋体" w:hAnsi="宋体" w:eastAsia="宋体" w:cs="宋体"/>
                <w:color w:val="000000" w:themeColor="text1"/>
                <w:szCs w:val="21"/>
                <w:lang w:eastAsia="zh-CN"/>
                <w14:textFill>
                  <w14:solidFill>
                    <w14:schemeClr w14:val="tx1"/>
                  </w14:solidFill>
                </w14:textFill>
              </w:rPr>
              <w:t>投标</w:t>
            </w:r>
            <w:r>
              <w:rPr>
                <w:rFonts w:hint="eastAsia" w:ascii="宋体" w:hAnsi="宋体" w:eastAsia="宋体" w:cs="宋体"/>
                <w:color w:val="000000" w:themeColor="text1"/>
                <w:szCs w:val="21"/>
                <w14:textFill>
                  <w14:solidFill>
                    <w14:schemeClr w14:val="tx1"/>
                  </w14:solidFill>
                </w14:textFill>
              </w:rPr>
              <w:t>货物型号不一致的，验收时不论实际是优于还是满足技术参数的要求，采购人均有权拒收货物并终止合同。如影响货物或服务的使用、质量、档次及采购人需求的，还可视为供货商违约，追究供应商责任，同时报财政部门备案。</w:t>
            </w:r>
            <w:r>
              <w:rPr>
                <w:rFonts w:hint="eastAsia" w:ascii="宋体" w:hAnsi="宋体" w:eastAsia="宋体" w:cs="宋体"/>
                <w:color w:val="000000" w:themeColor="text1"/>
                <w:szCs w:val="21"/>
                <w:lang w:val="zh-CN"/>
                <w14:textFill>
                  <w14:solidFill>
                    <w14:schemeClr w14:val="tx1"/>
                  </w14:solidFill>
                </w14:textFill>
              </w:rPr>
              <w:t>验收不合格或不能按期履行合同的处理：中标供应商必须在合同指定时间内将货物运送到安装地点并完成安装工作，否则中标供应商必须承担</w:t>
            </w:r>
            <w:r>
              <w:rPr>
                <w:rFonts w:hint="eastAsia" w:ascii="宋体" w:hAnsi="宋体" w:eastAsia="宋体" w:cs="宋体"/>
                <w:color w:val="000000" w:themeColor="text1"/>
                <w:szCs w:val="21"/>
                <w14:textFill>
                  <w14:solidFill>
                    <w14:schemeClr w14:val="tx1"/>
                  </w14:solidFill>
                </w14:textFill>
              </w:rPr>
              <w:t>超期以每天为单位缴纳罚款</w:t>
            </w:r>
            <w:r>
              <w:rPr>
                <w:rFonts w:hint="eastAsia" w:ascii="宋体" w:hAnsi="宋体" w:eastAsia="宋体" w:cs="宋体"/>
                <w:color w:val="000000" w:themeColor="text1"/>
                <w:szCs w:val="21"/>
                <w:lang w:val="zh-CN"/>
                <w14:textFill>
                  <w14:solidFill>
                    <w14:schemeClr w14:val="tx1"/>
                  </w14:solidFill>
                </w14:textFill>
              </w:rPr>
              <w:t>。</w:t>
            </w:r>
          </w:p>
          <w:p>
            <w:pPr>
              <w:spacing w:line="400" w:lineRule="exac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12.货物验收合格后，中标供应商需配合采购人进行资产入账及粘贴资产标签。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投标报价</w:t>
            </w:r>
          </w:p>
        </w:tc>
        <w:tc>
          <w:tcPr>
            <w:tcW w:w="769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投标报价为采购人指定地点的现场交货价，包括：</w:t>
            </w:r>
          </w:p>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（1）货物的价格：包括货款、零配件、安装调试费、验收费、验收时检测费用；</w:t>
            </w:r>
          </w:p>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（2）货物的标准附件、备品备件、专用工具的价格；</w:t>
            </w:r>
          </w:p>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（3）运输、装卸、调试、培训、技术支持、售后服务费；</w:t>
            </w:r>
          </w:p>
          <w:p>
            <w:pPr>
              <w:pStyle w:val="20"/>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（4）与使用单位协调对接发生的所有费用</w:t>
            </w:r>
          </w:p>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（5）按采购人要求进行摆放的费用。</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注：投标人自行考虑完成项目所需的辅材、零配件等数量，投标报价中应包含全部内容，中标后采购人不再另行支付额外费用。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付款方式</w:t>
            </w:r>
          </w:p>
        </w:tc>
        <w:tc>
          <w:tcPr>
            <w:tcW w:w="769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1.中标人为</w:t>
            </w:r>
            <w:r>
              <w:rPr>
                <w:rFonts w:hint="eastAsia" w:ascii="宋体" w:hAnsi="宋体" w:eastAsia="宋体" w:cs="宋体"/>
                <w:color w:val="000000" w:themeColor="text1"/>
                <w:sz w:val="21"/>
                <w:szCs w:val="21"/>
                <w:lang w:val="en-US" w:eastAsia="zh-CN"/>
                <w14:textFill>
                  <w14:solidFill>
                    <w14:schemeClr w14:val="tx1"/>
                  </w14:solidFill>
                </w14:textFill>
              </w:rPr>
              <w:t>中、</w:t>
            </w:r>
            <w:r>
              <w:rPr>
                <w:rFonts w:hint="eastAsia" w:ascii="宋体" w:hAnsi="宋体" w:eastAsia="宋体" w:cs="宋体"/>
                <w:color w:val="000000" w:themeColor="text1"/>
                <w:sz w:val="21"/>
                <w:szCs w:val="21"/>
                <w14:textFill>
                  <w14:solidFill>
                    <w14:schemeClr w14:val="tx1"/>
                  </w14:solidFill>
                </w14:textFill>
              </w:rPr>
              <w:t>小企业，自签订合同之日起</w:t>
            </w:r>
            <w:r>
              <w:rPr>
                <w:rFonts w:hint="eastAsia" w:ascii="宋体" w:hAnsi="宋体" w:eastAsia="宋体" w:cs="宋体"/>
                <w:color w:val="000000" w:themeColor="text1"/>
                <w:sz w:val="21"/>
                <w:szCs w:val="21"/>
                <w:lang w:val="en-US" w:eastAsia="zh-CN"/>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t>个工作日内，采购人支付合同款总额30%作为预付款，待项目全部验收合格后，经采购人有关部门结算后十</w:t>
            </w:r>
            <w:r>
              <w:rPr>
                <w:rFonts w:hint="eastAsia" w:ascii="宋体" w:hAnsi="宋体" w:eastAsia="宋体" w:cs="宋体"/>
                <w:color w:val="000000" w:themeColor="text1"/>
                <w:sz w:val="21"/>
                <w:szCs w:val="21"/>
                <w:lang w:val="en-US" w:eastAsia="zh-CN"/>
                <w14:textFill>
                  <w14:solidFill>
                    <w14:schemeClr w14:val="tx1"/>
                  </w14:solidFill>
                </w14:textFill>
              </w:rPr>
              <w:t>五</w:t>
            </w:r>
            <w:r>
              <w:rPr>
                <w:rFonts w:hint="eastAsia" w:ascii="宋体" w:hAnsi="宋体" w:eastAsia="宋体" w:cs="宋体"/>
                <w:color w:val="000000" w:themeColor="text1"/>
                <w:sz w:val="21"/>
                <w:szCs w:val="21"/>
                <w14:textFill>
                  <w14:solidFill>
                    <w14:schemeClr w14:val="tx1"/>
                  </w14:solidFill>
                </w14:textFill>
              </w:rPr>
              <w:t>个工作日内以转账方式付清中标人支付剩余的款项。</w:t>
            </w:r>
          </w:p>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.采购人在每次付款前，中标人需提供相应金额的增值税专用发票。</w:t>
            </w:r>
          </w:p>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中标人必须按照采购人要求提供真实、有效、合法的增值税专用发票。一旦发现中标人提供虚假发票，除须向采购人补开合法发票外，须赔偿采购人发票票面金额一倍的违约金，且采购人有权终止合同，供应商不得提出异议，因终止合同而产生的一切损失均由供应商承担。</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.项目验收通过后，</w:t>
            </w:r>
            <w:r>
              <w:rPr>
                <w:rFonts w:hint="eastAsia" w:ascii="宋体" w:hAnsi="宋体" w:eastAsia="宋体" w:cs="宋体"/>
                <w:color w:val="000000" w:themeColor="text1"/>
                <w:sz w:val="21"/>
                <w:szCs w:val="21"/>
                <w:lang w:val="en-US" w:eastAsia="zh-CN"/>
                <w14:textFill>
                  <w14:solidFill>
                    <w14:schemeClr w14:val="tx1"/>
                  </w14:solidFill>
                </w14:textFill>
              </w:rPr>
              <w:t>采购人根据采购合同的约定，向供应商支付采购资金、退还履约保证金。</w:t>
            </w:r>
          </w:p>
          <w:p>
            <w:pPr>
              <w:pStyle w:val="20"/>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设备验收：验收合格并收到供应商开具的发票后，15个工作日内支付合同全款。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履约保证金</w:t>
            </w:r>
          </w:p>
        </w:tc>
        <w:tc>
          <w:tcPr>
            <w:tcW w:w="769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1.履约保证金金额：履约保证金为合同金额的2%，（以响应文件中提交的中小企业声明函为依据）；签订合同前交至指定账户，否则不予签订合同。</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2.履约保证金递交方式：银行转账、电汇或者银行出具的保函等非现金方式。由中标人在付预付款前按规定的金额直接缴入以下采购人账户。凭履约保证金缴纳凭证签订合同。</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（注：供应商采用转账方式提交履约保证金的，须从供应商基本账户汇出到达指定账户。）</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统一社会信用代码：12450000498502664R</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户  名：广西中医药大学</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开户行：中国银行股份有限公司南宁市明秀东支行</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账  号：621057498215</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3.备注：</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（1）履约保证金不足额缴纳的，或银行出具的保函额度不足的或者银行保函有效期低于合同履行期限（即签订采购合同之日起至履行完合同约定的权利及义务之日止）的，不予签订合同。</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（2）采用银行出具的保函的，必须为无条件的银行保函，否则不予签订合同。</w:t>
            </w:r>
          </w:p>
          <w:p>
            <w:pPr>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（3）履约保证金缴纳时须备注项目名称+项目编号。</w:t>
            </w:r>
          </w:p>
          <w:p>
            <w:pPr>
              <w:pStyle w:val="20"/>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（4）履约保证金：验收合格后5个工作日内办理退还。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本项目核心产品</w:t>
            </w:r>
          </w:p>
        </w:tc>
        <w:tc>
          <w:tcPr>
            <w:tcW w:w="7678" w:type="dxa"/>
            <w:gridSpan w:val="3"/>
            <w:vAlign w:val="center"/>
          </w:tcPr>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货物名称：六层书架、手动六层密集书柜</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阅览桌椅</w:t>
            </w:r>
            <w:r>
              <w:rPr>
                <w:rFonts w:hint="eastAsia" w:ascii="宋体" w:hAnsi="宋体" w:eastAsia="宋体" w:cs="宋体"/>
                <w:color w:val="000000" w:themeColor="text1"/>
                <w:sz w:val="21"/>
                <w:szCs w:val="21"/>
                <w14:textFill>
                  <w14:solidFill>
                    <w14:schemeClr w14:val="tx1"/>
                  </w14:solidFill>
                </w14:textFill>
              </w:rPr>
              <w:t>（核心产品品牌相同的，视为提供同品牌产品）</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注：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定标准》中的推荐原则确定一个投标人获得中标人推荐资格，其他同品牌投标人不作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售后服务及其他要求</w:t>
            </w:r>
          </w:p>
        </w:tc>
        <w:tc>
          <w:tcPr>
            <w:tcW w:w="7678" w:type="dxa"/>
            <w:gridSpan w:val="3"/>
            <w:vAlign w:val="center"/>
          </w:tcPr>
          <w:p>
            <w:pPr>
              <w:pStyle w:val="659"/>
              <w:spacing w:before="0" w:beforeAutospacing="0" w:after="0" w:afterAutospacing="0" w:line="40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一、家具售后服务要求：</w:t>
            </w:r>
          </w:p>
          <w:p>
            <w:pPr>
              <w:pStyle w:val="659"/>
              <w:spacing w:before="0" w:beforeAutospacing="0" w:after="0" w:afterAutospacing="0" w:line="400" w:lineRule="exact"/>
              <w:ind w:firstLine="105" w:firstLineChars="5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（1）免费送货上门，按现场条件全程免费安装调试，直至最终验收前产生的所有费用由中标供应商承担；</w:t>
            </w:r>
          </w:p>
          <w:p>
            <w:pPr>
              <w:pStyle w:val="659"/>
              <w:spacing w:before="0" w:beforeAutospacing="0" w:after="0" w:afterAutospacing="0" w:line="400" w:lineRule="exact"/>
              <w:ind w:firstLine="105" w:firstLineChars="5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（2）所有家具收货时间：2026年10月</w:t>
            </w:r>
            <w:r>
              <w:rPr>
                <w:rFonts w:hint="eastAsia" w:ascii="宋体" w:hAnsi="宋体" w:eastAsia="宋体" w:cs="宋体"/>
                <w:color w:val="000000" w:themeColor="text1"/>
                <w:sz w:val="21"/>
                <w:szCs w:val="21"/>
                <w:lang w:val="en-US" w:eastAsia="zh-CN"/>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t>日之前完成，具体时间配合校方通知为准。</w:t>
            </w:r>
          </w:p>
          <w:p>
            <w:pPr>
              <w:pStyle w:val="659"/>
              <w:spacing w:before="0" w:beforeAutospacing="0" w:after="0" w:afterAutospacing="0" w:line="400" w:lineRule="exact"/>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（3）免费保修期：对所售设备提供</w:t>
            </w:r>
            <w:r>
              <w:rPr>
                <w:rFonts w:hint="eastAsia" w:ascii="宋体" w:hAnsi="宋体" w:eastAsia="宋体" w:cs="宋体"/>
                <w:color w:val="000000" w:themeColor="text1"/>
                <w:sz w:val="21"/>
                <w:szCs w:val="21"/>
                <w:lang w:val="en-US" w:eastAsia="zh-CN"/>
                <w14:textFill>
                  <w14:solidFill>
                    <w14:schemeClr w14:val="tx1"/>
                  </w14:solidFill>
                </w14:textFill>
              </w:rPr>
              <w:t>36——120</w:t>
            </w:r>
            <w:r>
              <w:rPr>
                <w:rFonts w:hint="eastAsia" w:ascii="宋体" w:hAnsi="宋体" w:eastAsia="宋体" w:cs="宋体"/>
                <w:color w:val="000000" w:themeColor="text1"/>
                <w:sz w:val="21"/>
                <w:szCs w:val="21"/>
                <w14:textFill>
                  <w14:solidFill>
                    <w14:schemeClr w14:val="tx1"/>
                  </w14:solidFill>
                </w14:textFill>
              </w:rPr>
              <w:t>个月的上门全免费保修期，保修期内非人为因素发生的故障均由中标供应商免费维修或更换</w:t>
            </w:r>
            <w:r>
              <w:rPr>
                <w:rFonts w:hint="eastAsia" w:ascii="宋体" w:hAnsi="宋体" w:eastAsia="宋体" w:cs="宋体"/>
                <w:color w:val="000000" w:themeColor="text1"/>
                <w:sz w:val="21"/>
                <w:szCs w:val="21"/>
                <w:lang w:eastAsia="zh-CN"/>
                <w14:textFill>
                  <w14:solidFill>
                    <w14:schemeClr w14:val="tx1"/>
                  </w14:solidFill>
                </w14:textFill>
              </w:rPr>
              <w:t>。</w:t>
            </w:r>
          </w:p>
          <w:p>
            <w:pPr>
              <w:pStyle w:val="659"/>
              <w:spacing w:before="0" w:beforeAutospacing="0" w:after="0" w:afterAutospacing="0" w:line="40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（4）质量保证期：</w:t>
            </w:r>
            <w:r>
              <w:rPr>
                <w:rFonts w:hint="eastAsia" w:ascii="宋体" w:hAnsi="宋体" w:eastAsia="宋体" w:cs="宋体"/>
                <w:color w:val="000000" w:themeColor="text1"/>
                <w:sz w:val="21"/>
                <w:szCs w:val="21"/>
                <w:lang w:val="en-US" w:eastAsia="zh-CN"/>
                <w14:textFill>
                  <w14:solidFill>
                    <w14:schemeClr w14:val="tx1"/>
                  </w14:solidFill>
                </w14:textFill>
              </w:rPr>
              <w:t>易碎货物的保质期为3年，其他</w:t>
            </w:r>
            <w:r>
              <w:rPr>
                <w:rFonts w:hint="eastAsia" w:ascii="宋体" w:hAnsi="宋体" w:eastAsia="宋体" w:cs="宋体"/>
                <w:color w:val="000000" w:themeColor="text1"/>
                <w:sz w:val="21"/>
                <w:szCs w:val="21"/>
                <w14:textFill>
                  <w14:solidFill>
                    <w14:schemeClr w14:val="tx1"/>
                  </w14:solidFill>
                </w14:textFill>
              </w:rPr>
              <w:t>货物免费保修期为</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10 </w:t>
            </w:r>
            <w:r>
              <w:rPr>
                <w:rFonts w:hint="eastAsia" w:ascii="宋体" w:hAnsi="宋体" w:eastAsia="宋体" w:cs="宋体"/>
                <w:color w:val="000000" w:themeColor="text1"/>
                <w:sz w:val="21"/>
                <w:szCs w:val="21"/>
                <w14:textFill>
                  <w14:solidFill>
                    <w14:schemeClr w14:val="tx1"/>
                  </w14:solidFill>
                </w14:textFill>
              </w:rPr>
              <w:t>年，在此保证期内，如在正常使用过程中出现的质量问题，供应商须负责免费维修或免费换新家具；</w:t>
            </w:r>
          </w:p>
          <w:p>
            <w:pPr>
              <w:pStyle w:val="659"/>
              <w:spacing w:before="0" w:beforeAutospacing="0" w:after="0" w:afterAutospacing="0" w:line="40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（5）故障响应时间：货物发生故障时，在接到采购人通知后5小时内到达现场处理，一般故障处理时限不超过8小时，12小时内不能修复的，提供替代品；</w:t>
            </w:r>
          </w:p>
          <w:p>
            <w:pPr>
              <w:pStyle w:val="659"/>
              <w:spacing w:before="0" w:beforeAutospacing="0" w:after="0" w:afterAutospacing="0" w:line="40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（6）验收所需工具、器材由中标供应商自理；各项性能指标达到技术要求的，由供需双方共同签字认可，现场验收；</w:t>
            </w:r>
          </w:p>
          <w:p>
            <w:pPr>
              <w:pStyle w:val="659"/>
              <w:spacing w:before="0" w:beforeAutospacing="0" w:after="0" w:afterAutospacing="0" w:line="400" w:lineRule="exac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中标供应商负责处理解决货物出现的质量及安全问题并承担一切费用，所有非故意性损坏以及正常使用范围内造成的损坏均要免费维修，因人为因素出现的故障不在免费保修范围内，但中标供应商也要积极帮助采购人修理，并提供优惠价格的配件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投标样品（小样）要求</w:t>
            </w:r>
          </w:p>
        </w:tc>
        <w:tc>
          <w:tcPr>
            <w:tcW w:w="7678" w:type="dxa"/>
            <w:gridSpan w:val="3"/>
            <w:vAlign w:val="center"/>
          </w:tcPr>
          <w:p>
            <w:pPr>
              <w:spacing w:line="400" w:lineRule="exact"/>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投标时可提供以下小样供评审： </w:t>
            </w:r>
          </w:p>
          <w:tbl>
            <w:tblPr>
              <w:tblStyle w:val="52"/>
              <w:tblW w:w="0" w:type="auto"/>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925"/>
              <w:gridCol w:w="1077"/>
              <w:gridCol w:w="1228"/>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项号</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小样名称</w:t>
                  </w:r>
                </w:p>
              </w:tc>
              <w:tc>
                <w:tcPr>
                  <w:tcW w:w="1077"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数量</w:t>
                  </w:r>
                </w:p>
              </w:tc>
              <w:tc>
                <w:tcPr>
                  <w:tcW w:w="1228"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参考尺寸</w:t>
                  </w:r>
                </w:p>
              </w:tc>
              <w:tc>
                <w:tcPr>
                  <w:tcW w:w="1254"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手动六层密集书柜立柱</w:t>
                  </w:r>
                </w:p>
              </w:tc>
              <w:tc>
                <w:tcPr>
                  <w:tcW w:w="1077"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1根</w:t>
                  </w:r>
                </w:p>
              </w:tc>
              <w:tc>
                <w:tcPr>
                  <w:tcW w:w="1228"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长300mm</w:t>
                  </w:r>
                </w:p>
              </w:tc>
              <w:tc>
                <w:tcPr>
                  <w:tcW w:w="1254"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手动六层密集书柜搁板</w:t>
                  </w:r>
                </w:p>
              </w:tc>
              <w:tc>
                <w:tcPr>
                  <w:tcW w:w="1077"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1块</w:t>
                  </w:r>
                </w:p>
              </w:tc>
              <w:tc>
                <w:tcPr>
                  <w:tcW w:w="1228"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长300mm</w:t>
                  </w:r>
                </w:p>
              </w:tc>
              <w:tc>
                <w:tcPr>
                  <w:tcW w:w="1254"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手动六层密集书柜挂板</w:t>
                  </w:r>
                </w:p>
              </w:tc>
              <w:tc>
                <w:tcPr>
                  <w:tcW w:w="1077"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1块</w:t>
                  </w:r>
                </w:p>
              </w:tc>
              <w:tc>
                <w:tcPr>
                  <w:tcW w:w="1228"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长300mm</w:t>
                  </w:r>
                </w:p>
              </w:tc>
              <w:tc>
                <w:tcPr>
                  <w:tcW w:w="1254"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手动六层密集书柜门板（带锁）</w:t>
                  </w:r>
                </w:p>
              </w:tc>
              <w:tc>
                <w:tcPr>
                  <w:tcW w:w="1077"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1块</w:t>
                  </w:r>
                </w:p>
              </w:tc>
              <w:tc>
                <w:tcPr>
                  <w:tcW w:w="1228"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长300mm</w:t>
                  </w:r>
                </w:p>
              </w:tc>
              <w:tc>
                <w:tcPr>
                  <w:tcW w:w="1254"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六层书架立柱</w:t>
                  </w:r>
                </w:p>
              </w:tc>
              <w:tc>
                <w:tcPr>
                  <w:tcW w:w="1077"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1根</w:t>
                  </w:r>
                </w:p>
              </w:tc>
              <w:tc>
                <w:tcPr>
                  <w:tcW w:w="1228"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长300mm</w:t>
                  </w:r>
                </w:p>
              </w:tc>
              <w:tc>
                <w:tcPr>
                  <w:tcW w:w="1254"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六层书架侧护板</w:t>
                  </w:r>
                </w:p>
              </w:tc>
              <w:tc>
                <w:tcPr>
                  <w:tcW w:w="1077"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1块</w:t>
                  </w:r>
                </w:p>
              </w:tc>
              <w:tc>
                <w:tcPr>
                  <w:tcW w:w="1228"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长300mm</w:t>
                  </w:r>
                </w:p>
              </w:tc>
              <w:tc>
                <w:tcPr>
                  <w:tcW w:w="1254"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木纹转印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六层书架挂板</w:t>
                  </w:r>
                </w:p>
              </w:tc>
              <w:tc>
                <w:tcPr>
                  <w:tcW w:w="1077"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1块</w:t>
                  </w:r>
                </w:p>
              </w:tc>
              <w:tc>
                <w:tcPr>
                  <w:tcW w:w="1228" w:type="dxa"/>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长300mm</w:t>
                  </w:r>
                </w:p>
              </w:tc>
              <w:tc>
                <w:tcPr>
                  <w:tcW w:w="1254" w:type="dxa"/>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8</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六层书架搁板</w:t>
                  </w:r>
                </w:p>
              </w:tc>
              <w:tc>
                <w:tcPr>
                  <w:tcW w:w="1077" w:type="dxa"/>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1块</w:t>
                  </w:r>
                </w:p>
              </w:tc>
              <w:tc>
                <w:tcPr>
                  <w:tcW w:w="1228" w:type="dxa"/>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长300mm</w:t>
                  </w:r>
                </w:p>
              </w:tc>
              <w:tc>
                <w:tcPr>
                  <w:tcW w:w="1254" w:type="dxa"/>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10"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9</w:t>
                  </w:r>
                </w:p>
              </w:tc>
              <w:tc>
                <w:tcPr>
                  <w:tcW w:w="2925" w:type="dxa"/>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阅览桌桌面板</w:t>
                  </w:r>
                </w:p>
              </w:tc>
              <w:tc>
                <w:tcPr>
                  <w:tcW w:w="1077" w:type="dxa"/>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1块</w:t>
                  </w:r>
                </w:p>
              </w:tc>
              <w:tc>
                <w:tcPr>
                  <w:tcW w:w="1228" w:type="dxa"/>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长300*宽300mm</w:t>
                  </w:r>
                </w:p>
              </w:tc>
              <w:tc>
                <w:tcPr>
                  <w:tcW w:w="1254" w:type="dxa"/>
                  <w:shd w:val="clear" w:color="auto" w:fill="auto"/>
                  <w:vAlign w:val="center"/>
                </w:tcPr>
                <w:p>
                  <w:pPr>
                    <w:spacing w:line="400" w:lineRule="exac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烤漆</w:t>
                  </w:r>
                </w:p>
              </w:tc>
            </w:tr>
          </w:tbl>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备注：</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（1）小样只是作为加分项，不作为投标的必须要求；小样的尺寸不作为评定要求。</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（2）小样递交时间：为开标当天提交投标文件截止时间前。</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（3）小样递交要求：</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①提交小样的代表须向采购代理机构工作人员提交“小样授权委托书”原件。</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②所有小样按以下规定要求密封（包装）：小样包装外面贴上项目名称和项目编号及投标人名称等信息；包装里面的各小样不能出现有关投标人的标识，如出现透露投标人的信息，小样不得进行评定。 </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③评标前由采购代理机构工作人员将对投标人的标签进行遮盖，评定小样时由采购代理机构工作人员及评委一起打开，待评定小样完毕后，再统一拆封所有投标人的标签。</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采购结果公告后，中标人小样不退，作为验收依据之一。未中标的小样，在采购结果公告发出（或接到本中心通知）后五个工作日内，原路径退回样品，逾期一个月内未办理的领取小样的，所造成的损失，投标人自行承担。</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（5）样品提交地址：南宁市星湖路22号广西壮族自治区公共资源交易中心评标楼303室；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违约要求</w:t>
            </w:r>
          </w:p>
        </w:tc>
        <w:tc>
          <w:tcPr>
            <w:tcW w:w="7678" w:type="dxa"/>
            <w:gridSpan w:val="3"/>
            <w:vAlign w:val="center"/>
          </w:tcPr>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1.乙方所提供的货物规格、技术标准、材料等质量不合格的，应在</w:t>
            </w:r>
            <w:r>
              <w:rPr>
                <w:rFonts w:hint="eastAsia" w:ascii="宋体" w:hAnsi="宋体" w:eastAsia="宋体" w:cs="宋体"/>
                <w:color w:val="000000" w:themeColor="text1"/>
                <w:sz w:val="21"/>
                <w:szCs w:val="21"/>
                <w:lang w:val="en-US" w:eastAsia="zh-CN"/>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t>日内及时更换，更换不及时的按逾期交货处罚</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因质量问题甲方不同意接收的或特殊情况甲方同意接收的，乙方应向甲方支付违约货款额10%违约金并赔偿甲方经济损失。</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2.乙方提供的货物如侵犯了第三方合法权益而引发的任何纠纷或诉讼，均由乙方负责交涉并承担全部责任。</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3.因包装、运输引起的货物损坏，按质量不合格处罚。</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4.乙方逾期交货的，每天向甲方支付违约货款额</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%违约金，逾期交货超过</w:t>
            </w:r>
            <w:r>
              <w:rPr>
                <w:rFonts w:hint="eastAsia" w:ascii="宋体" w:hAnsi="宋体" w:eastAsia="宋体" w:cs="宋体"/>
                <w:color w:val="000000" w:themeColor="text1"/>
                <w:sz w:val="21"/>
                <w:szCs w:val="21"/>
                <w:lang w:val="en-US" w:eastAsia="zh-CN"/>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t>天的，甲方有权单方解除合同，造成甲方损失的，应继续承担赔偿责任;甲方延期付货款的，每天向乙方支付延期货款额</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%违约金，但违约金累计不得超过延期货款额5%。</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5.乙方未按本合同和投标文件中规定的服务承诺提供售后服务的，乙方应按本合同合计金额 5%</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向甲方支付违约金。</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6.乙方提供的货物在质量保证期内，因设计、工艺或材料的缺陷和其它质量原因造成的问题，由乙方负责，费用从履约保证金中扣除，履约保证金不足以支付的，由乙方另行支付。</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7.乙方其它违约行为按违约货款额</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%收取违约金</w:t>
            </w:r>
            <w:r>
              <w:rPr>
                <w:rFonts w:hint="eastAsia" w:ascii="宋体" w:hAnsi="宋体" w:eastAsia="宋体" w:cs="宋体"/>
                <w:color w:val="000000" w:themeColor="text1"/>
                <w:sz w:val="21"/>
                <w:szCs w:val="21"/>
                <w:lang w:val="en-US" w:eastAsia="zh-CN"/>
                <w14:textFill>
                  <w14:solidFill>
                    <w14:schemeClr w14:val="tx1"/>
                  </w14:solidFill>
                </w14:textFill>
              </w:rPr>
              <w:t>给</w:t>
            </w:r>
            <w:r>
              <w:rPr>
                <w:rFonts w:hint="eastAsia" w:ascii="宋体" w:hAnsi="宋体" w:eastAsia="宋体" w:cs="宋体"/>
                <w:color w:val="000000" w:themeColor="text1"/>
                <w:sz w:val="21"/>
                <w:szCs w:val="21"/>
                <w14:textFill>
                  <w14:solidFill>
                    <w14:schemeClr w14:val="tx1"/>
                  </w14:solidFill>
                </w14:textFill>
              </w:rPr>
              <w:t>甲方赔偿经济损失。</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8.本合同项下违约责任、损失赔偿范围，包括但不限于:甲方的直接经济损失、可预见的间接经济损失、消除不良影响的合理费用以及甲方为维护自身合法权益所支出的律师费、诉讼费、保全费</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保函费、鉴定费、公证费、差旅费等全部合理费用由乙方负责</w:t>
            </w:r>
            <w:r>
              <w:rPr>
                <w:rFonts w:hint="eastAsia" w:ascii="宋体" w:hAnsi="宋体" w:eastAsia="宋体" w:cs="宋体"/>
                <w:color w:val="000000" w:themeColor="text1"/>
                <w:sz w:val="21"/>
                <w:szCs w:val="21"/>
                <w14:textFill>
                  <w14:solidFill>
                    <w14:schemeClr w14:val="tx1"/>
                  </w14:solidFill>
                </w14:textFill>
              </w:rPr>
              <w:t>。</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9.乙方不能转让合同给其他人，如果发现乙方合同转让给其他人，乙方需向甲方赔偿合同总金额的50%，并追究其违约责任。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567" w:hRule="atLeast"/>
        </w:trPr>
        <w:tc>
          <w:tcPr>
            <w:tcW w:w="17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其它要求及说明</w:t>
            </w:r>
          </w:p>
        </w:tc>
        <w:tc>
          <w:tcPr>
            <w:tcW w:w="7678" w:type="dxa"/>
            <w:gridSpan w:val="3"/>
            <w:vAlign w:val="center"/>
          </w:tcPr>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1.中标人保证向采购人提供的货物是全新、完整、未使用过的。</w:t>
            </w:r>
          </w:p>
          <w:p>
            <w:pPr>
              <w:spacing w:line="400" w:lineRule="exact"/>
              <w:rPr>
                <w:rFonts w:hint="eastAsia" w:ascii="宋体" w:hAnsi="宋体" w:eastAsia="宋体" w:cs="宋体"/>
                <w:color w:val="000000" w:themeColor="text1"/>
                <w:sz w:val="21"/>
                <w:szCs w:val="21"/>
                <w:lang w:val="e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r>
              <w:rPr>
                <w:rFonts w:hint="eastAsia" w:ascii="宋体" w:hAnsi="宋体" w:eastAsia="宋体" w:cs="宋体"/>
                <w:color w:val="000000" w:themeColor="text1"/>
                <w:sz w:val="21"/>
                <w:szCs w:val="21"/>
                <w:lang w:val="en"/>
                <w14:textFill>
                  <w14:solidFill>
                    <w14:schemeClr w14:val="tx1"/>
                  </w14:solidFill>
                </w14:textFill>
              </w:rPr>
              <w:t>本分标货物不接受进口产品（即通过中国海关报关验放进入中国境内且产自关境外的产品）参与投标。</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3.如投标人投标产品存在侵犯他人的知识产权或者专利成果行为的，由投标人自行承担相应法律责任。</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4.免费送货上门，按现场条件全程免费安装调试，直至最终验收前产生的所有费用由中标供应商承担。</w:t>
            </w:r>
          </w:p>
          <w:p>
            <w:pPr>
              <w:spacing w:line="400" w:lineRule="exac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5.如果预估采购的家具数量不够需追加采购金额不得超过原合同采购金额10%。</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为保证价格的正当竞争，同时也是为了保证服务质量及合同的正常履行，评标委员会在采购过程中发现供应商的总报价明显低于其他通过符合性审查投标人的报价，有可能影响产品质量或者不能诚信履约的，应当要求其在评标现场合理的时间内提供书面说明，必要时提交相关证明材料；供应商不能证明其报价合理性的，评标委员会应当将其作为无效投标处理。</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7</w:t>
            </w:r>
            <w:r>
              <w:rPr>
                <w:rFonts w:hint="eastAsia" w:ascii="宋体" w:hAnsi="宋体" w:eastAsia="宋体" w:cs="宋体"/>
                <w:color w:val="000000" w:themeColor="text1"/>
                <w:sz w:val="21"/>
                <w:szCs w:val="21"/>
                <w14:textFill>
                  <w14:solidFill>
                    <w14:schemeClr w14:val="tx1"/>
                  </w14:solidFill>
                </w14:textFill>
              </w:rPr>
              <w:t>.投标人应当承诺提交的检验检测报告证明材料符合《检验检测机构监督管理办法》、《检验检测机构资质认定管理办法》相关规定，经过真实检验检测具有第三方证明作用，出具报告的第三方检测机构依法获得有效的国家认可资质和具有本项目采购产品的检验检测能力范围认定。如检验检测报告涉嫌虚假不实或采购人需要查证时自愿按采购人要求在规定的期限内提交包括但不限于检测机构许可资质、检验能力证明材料（如检测机构所在市场监督管理局官方网站查询截图等）、检验检测报告原件、送检票证等其他能够证明检测报告合法真实有效的佐证材料，经查证为虚假报告或投标人有违以上承诺内容的将承担追究提供虚假报告谋取中标资格以及给采购人造成损失的赔偿责任等法律不利后果。（投标时提供承诺函，格式自定）</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本项目现场勘察，环境复杂且技术要求高，投标人可委派本公司负责本次项目的人员在指定时间内前往现场勘察，采购人将统一组织投标人进行现场勘查，采购人不单独或者分别组织只有投标人参加的现场考察。现场考察所发生的一切费用由投标人自行承担。具体规定如下：</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r>
              <w:rPr>
                <w:rFonts w:hint="eastAsia" w:ascii="宋体" w:hAnsi="宋体" w:eastAsia="宋体" w:cs="宋体"/>
                <w:color w:val="000000" w:themeColor="text1"/>
                <w:sz w:val="21"/>
                <w:szCs w:val="21"/>
                <w:lang w:eastAsia="zh-CN"/>
                <w14:textFill>
                  <w14:solidFill>
                    <w14:schemeClr w14:val="tx1"/>
                  </w14:solidFill>
                </w14:textFill>
              </w:rPr>
              <w:t>供应商</w:t>
            </w:r>
            <w:r>
              <w:rPr>
                <w:rFonts w:hint="eastAsia" w:ascii="宋体" w:hAnsi="宋体" w:eastAsia="宋体" w:cs="宋体"/>
                <w:color w:val="000000" w:themeColor="text1"/>
                <w:sz w:val="21"/>
                <w:szCs w:val="21"/>
                <w14:textFill>
                  <w14:solidFill>
                    <w14:schemeClr w14:val="tx1"/>
                  </w14:solidFill>
                </w14:textFill>
              </w:rPr>
              <w:t>可以在</w:t>
            </w:r>
            <w:r>
              <w:rPr>
                <w:rFonts w:hint="eastAsia" w:ascii="宋体" w:hAnsi="宋体" w:cs="宋体"/>
                <w:color w:val="000000" w:themeColor="text1"/>
                <w:sz w:val="21"/>
                <w:szCs w:val="21"/>
                <w:lang w:eastAsia="zh-CN"/>
                <w14:textFill>
                  <w14:solidFill>
                    <w14:schemeClr w14:val="tx1"/>
                  </w14:solidFill>
                </w14:textFill>
              </w:rPr>
              <w:t>报名截止</w:t>
            </w:r>
            <w:r>
              <w:rPr>
                <w:rFonts w:hint="eastAsia" w:ascii="宋体" w:hAnsi="宋体" w:eastAsia="宋体" w:cs="宋体"/>
                <w:color w:val="000000" w:themeColor="text1"/>
                <w:sz w:val="21"/>
                <w:szCs w:val="21"/>
                <w14:textFill>
                  <w14:solidFill>
                    <w14:schemeClr w14:val="tx1"/>
                  </w14:solidFill>
                </w14:textFill>
              </w:rPr>
              <w:t>后第二天（即2026年</w:t>
            </w:r>
            <w:r>
              <w:rPr>
                <w:rFonts w:hint="eastAsia" w:ascii="宋体" w:hAnsi="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cs="宋体"/>
                <w:color w:val="000000" w:themeColor="text1"/>
                <w:sz w:val="21"/>
                <w:szCs w:val="21"/>
                <w:lang w:val="en-US" w:eastAsia="zh-CN"/>
                <w14:textFill>
                  <w14:solidFill>
                    <w14:schemeClr w14:val="tx1"/>
                  </w14:solidFill>
                </w14:textFill>
              </w:rPr>
              <w:t>17</w:t>
            </w:r>
            <w:r>
              <w:rPr>
                <w:rFonts w:hint="eastAsia" w:ascii="宋体" w:hAnsi="宋体" w:eastAsia="宋体" w:cs="宋体"/>
                <w:color w:val="000000" w:themeColor="text1"/>
                <w:sz w:val="21"/>
                <w:szCs w:val="21"/>
                <w14:textFill>
                  <w14:solidFill>
                    <w14:schemeClr w14:val="tx1"/>
                  </w14:solidFill>
                </w14:textFill>
              </w:rPr>
              <w:t>日）跟采购人电话预约约时间，自筹经费到广西中医药大学仙葫校区图书馆进行现场勘查。集合地点：图书馆1楼101室，勘查联系人： 唐老师； 联系电话：18878834798。</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(2)现场勘查时所有人员必须遵守采购单位的勘查规定，投标人需在勘查日之前报名，请向联系人提供现场勘查人员详细信息，以便采购人提前申报勘查人员入校资格，故勘查当日不再接收现场入校申请。</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(3)参与现场勘查的人员必须提供本人身份证复印件（核原件）、授权委托书原件（法定代表人亲自参与时不需要提供委托书）、法人身份证复印件、营业执照副本复印件，以上文件需加盖公章。</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(4)如投标人未按上述要求进行现场考察的，造成的一切不利后果由中标投标人自行承担。</w:t>
            </w:r>
          </w:p>
          <w:p>
            <w:pPr>
              <w:spacing w:line="400" w:lineRule="exac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严格执行（财库〔2019〕9号）及（财库〔2019〕19号），本次招标类别如有属于政府强制采购产品类别的，须按照（2019年第16号）要求提供依据国家确定的认证机构出具的、处于有效期之内的节能产品认证证书复印件并加盖投标人公章，否则投标无效。</w:t>
            </w:r>
          </w:p>
        </w:tc>
      </w:tr>
      <w:bookmarkEnd w:id="9"/>
    </w:tbl>
    <w:p>
      <w:pPr>
        <w:spacing w:line="400" w:lineRule="exact"/>
        <w:ind w:left="6" w:firstLine="431"/>
        <w:rPr>
          <w:rFonts w:ascii="宋体" w:hAnsi="宋体"/>
          <w:b/>
          <w:bCs/>
          <w:color w:val="000000" w:themeColor="text1"/>
          <w:szCs w:val="21"/>
          <w14:textFill>
            <w14:solidFill>
              <w14:schemeClr w14:val="tx1"/>
            </w14:solidFill>
          </w14:textFill>
        </w:rPr>
      </w:pPr>
    </w:p>
    <w:p>
      <w:pPr>
        <w:jc w:val="left"/>
        <w:rPr>
          <w:rFonts w:ascii="宋体" w:hAnsi="宋体" w:cs="Courier New"/>
          <w:b/>
          <w:color w:val="000000" w:themeColor="text1"/>
          <w:sz w:val="44"/>
          <w:szCs w:val="44"/>
          <w14:textFill>
            <w14:solidFill>
              <w14:schemeClr w14:val="tx1"/>
            </w14:solidFill>
          </w14:textFill>
        </w:rPr>
      </w:pPr>
      <w:r>
        <w:rPr>
          <w:rFonts w:hint="eastAsia" w:ascii="宋体" w:hAnsi="宋体" w:cs="Courier New"/>
          <w:b/>
          <w:color w:val="000000" w:themeColor="text1"/>
          <w:sz w:val="44"/>
          <w:szCs w:val="44"/>
          <w14:textFill>
            <w14:solidFill>
              <w14:schemeClr w14:val="tx1"/>
            </w14:solidFill>
          </w14:textFill>
        </w:rPr>
        <w:br w:type="page"/>
      </w:r>
    </w:p>
    <w:p>
      <w:pPr>
        <w:pStyle w:val="113"/>
        <w:widowControl w:val="0"/>
        <w:spacing w:afterLines="0"/>
        <w:ind w:firstLine="883"/>
        <w:jc w:val="center"/>
        <w:rPr>
          <w:rFonts w:ascii="宋体" w:hAnsi="宋体" w:cs="宋体"/>
          <w:b/>
          <w:color w:val="000000" w:themeColor="text1"/>
          <w:sz w:val="44"/>
          <w:szCs w:val="44"/>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pStyle w:val="113"/>
        <w:widowControl w:val="0"/>
        <w:spacing w:afterLines="0"/>
        <w:ind w:firstLine="422"/>
        <w:jc w:val="center"/>
        <w:rPr>
          <w:rFonts w:ascii="宋体" w:hAnsi="宋体" w:cs="宋体"/>
          <w:b/>
          <w:color w:val="000000" w:themeColor="text1"/>
          <w:sz w:val="21"/>
          <w:szCs w:val="21"/>
          <w14:textFill>
            <w14:solidFill>
              <w14:schemeClr w14:val="tx1"/>
            </w14:solidFill>
          </w14:textFill>
        </w:rPr>
      </w:pPr>
    </w:p>
    <w:p>
      <w:pPr>
        <w:snapToGrid w:val="0"/>
        <w:jc w:val="center"/>
        <w:rPr>
          <w:rFonts w:ascii="宋体" w:hAnsi="宋体" w:cs="Courier New"/>
          <w:b/>
          <w:color w:val="000000" w:themeColor="text1"/>
          <w:sz w:val="44"/>
          <w:szCs w:val="44"/>
          <w14:textFill>
            <w14:solidFill>
              <w14:schemeClr w14:val="tx1"/>
            </w14:solidFill>
          </w14:textFill>
        </w:rPr>
      </w:pPr>
      <w:bookmarkStart w:id="10" w:name="_Toc1519357093_WPSOffice_Level1"/>
      <w:r>
        <w:rPr>
          <w:rFonts w:hint="eastAsia" w:ascii="宋体" w:hAnsi="宋体" w:cs="Courier New"/>
          <w:b/>
          <w:color w:val="000000" w:themeColor="text1"/>
          <w:sz w:val="44"/>
          <w:szCs w:val="44"/>
          <w14:textFill>
            <w14:solidFill>
              <w14:schemeClr w14:val="tx1"/>
            </w14:solidFill>
          </w14:textFill>
        </w:rPr>
        <w:t>第三章  投标人须知</w:t>
      </w:r>
      <w:bookmarkEnd w:id="10"/>
    </w:p>
    <w:p>
      <w:pPr>
        <w:spacing w:line="360" w:lineRule="exact"/>
        <w:ind w:firstLine="421" w:firstLineChars="200"/>
        <w:jc w:val="center"/>
        <w:rPr>
          <w:rFonts w:ascii="仿宋_GB2312" w:eastAsia="仿宋_GB2312"/>
          <w:b/>
          <w:color w:val="000000" w:themeColor="text1"/>
          <w:szCs w:val="21"/>
          <w14:textFill>
            <w14:solidFill>
              <w14:schemeClr w14:val="tx1"/>
            </w14:solidFill>
          </w14:textFill>
        </w:rPr>
      </w:pPr>
      <w:r>
        <w:rPr>
          <w:rFonts w:ascii="仿宋_GB2312" w:eastAsia="仿宋_GB2312"/>
          <w:b/>
          <w:color w:val="000000" w:themeColor="text1"/>
          <w:szCs w:val="21"/>
          <w14:textFill>
            <w14:solidFill>
              <w14:schemeClr w14:val="tx1"/>
            </w14:solidFill>
          </w14:textFill>
        </w:rPr>
        <w:br w:type="page"/>
      </w:r>
    </w:p>
    <w:p>
      <w:pPr>
        <w:spacing w:line="36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投标人须知及前附表</w:t>
      </w:r>
    </w:p>
    <w:tbl>
      <w:tblPr>
        <w:tblStyle w:val="52"/>
        <w:tblW w:w="0" w:type="auto"/>
        <w:tblInd w:w="7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1"/>
        <w:gridCol w:w="86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项目名称：图书馆维护提升家具设备采购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保证金：详见公开招标公告；</w:t>
            </w:r>
          </w:p>
          <w:p>
            <w:pPr>
              <w:snapToGrid w:val="0"/>
              <w:spacing w:line="30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b/>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现场勘查：详见采购需求（如有）。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演示时间及地点：无。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（1）答疑、澄清：</w:t>
            </w:r>
            <w:r>
              <w:rPr>
                <w:rFonts w:hint="eastAsia" w:ascii="宋体" w:hAnsi="宋体" w:cs="宋体"/>
                <w:b/>
                <w:color w:val="000000" w:themeColor="text1"/>
                <w:szCs w:val="21"/>
                <w:u w:val="single"/>
                <w14:textFill>
                  <w14:solidFill>
                    <w14:schemeClr w14:val="tx1"/>
                  </w14:solidFill>
                </w14:textFill>
              </w:rPr>
              <w:t>投标人如认为招标文件表述不清晰、</w:t>
            </w:r>
            <w:r>
              <w:rPr>
                <w:rFonts w:hint="eastAsia" w:ascii="宋体" w:hAnsi="宋体" w:cs="宋体"/>
                <w:b/>
                <w:bCs/>
                <w:color w:val="000000" w:themeColor="text1"/>
                <w:szCs w:val="21"/>
                <w:u w:val="single"/>
                <w14:textFill>
                  <w14:solidFill>
                    <w14:schemeClr w14:val="tx1"/>
                  </w14:solidFill>
                </w14:textFill>
              </w:rPr>
              <w:t>有误或有不合理要求的</w:t>
            </w:r>
            <w:r>
              <w:rPr>
                <w:rFonts w:hint="eastAsia" w:ascii="宋体" w:hAnsi="宋体" w:cs="宋体"/>
                <w:color w:val="000000" w:themeColor="text1"/>
                <w:szCs w:val="21"/>
                <w14:textFill>
                  <w14:solidFill>
                    <w14:schemeClr w14:val="tx1"/>
                  </w14:solidFill>
                </w14:textFill>
              </w:rPr>
              <w:t>，应当以书面形式要求采购人或者本中心作出书面答疑、澄清；</w:t>
            </w:r>
          </w:p>
          <w:p>
            <w:pPr>
              <w:snapToGrid w:val="0"/>
              <w:spacing w:line="3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（2）询问、质疑：</w:t>
            </w:r>
            <w:r>
              <w:rPr>
                <w:rFonts w:hint="eastAsia" w:ascii="宋体" w:hAnsi="宋体" w:cs="宋体"/>
                <w:b/>
                <w:color w:val="000000" w:themeColor="text1"/>
                <w:szCs w:val="21"/>
                <w:u w:val="single"/>
                <w14:textFill>
                  <w14:solidFill>
                    <w14:schemeClr w14:val="tx1"/>
                  </w14:solidFill>
                </w14:textFill>
              </w:rPr>
              <w:t>如投标人认为招标文件存在歧视性、排他性或者其他违法内容的</w:t>
            </w:r>
            <w:r>
              <w:rPr>
                <w:rFonts w:hint="eastAsia" w:ascii="宋体" w:hAnsi="宋体" w:cs="宋体"/>
                <w:color w:val="000000" w:themeColor="text1"/>
                <w:szCs w:val="21"/>
                <w14:textFill>
                  <w14:solidFill>
                    <w14:schemeClr w14:val="tx1"/>
                  </w14:solidFill>
                </w14:textFill>
              </w:rPr>
              <w:t>，按投标人须知“一、总则（九）询问、质疑和投诉”中的要求向采购人或者采购代理机构提出书面询问、质疑，并提供必要的证明材料。</w:t>
            </w:r>
          </w:p>
          <w:p>
            <w:pPr>
              <w:snapToGrid w:val="0"/>
              <w:spacing w:line="3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cs="宋体"/>
                <w:snapToGrid w:val="0"/>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投标文件形式：</w:t>
            </w:r>
            <w:r>
              <w:rPr>
                <w:rFonts w:hint="eastAsia" w:ascii="宋体" w:hAnsi="宋体" w:cs="宋体"/>
                <w:snapToGrid w:val="0"/>
                <w:color w:val="000000" w:themeColor="text1"/>
                <w:szCs w:val="21"/>
                <w14:textFill>
                  <w14:solidFill>
                    <w14:schemeClr w14:val="tx1"/>
                  </w14:solidFill>
                </w14:textFill>
              </w:rPr>
              <w:t>投标供应商应准备电子投标文件。</w:t>
            </w:r>
          </w:p>
          <w:p>
            <w:pPr>
              <w:autoSpaceDE w:val="0"/>
              <w:autoSpaceDN w:val="0"/>
              <w:snapToGrid w:val="0"/>
              <w:spacing w:line="300" w:lineRule="exact"/>
              <w:ind w:firstLine="420" w:firstLineChars="200"/>
              <w:textAlignment w:val="bottom"/>
              <w:rPr>
                <w:rFonts w:ascii="宋体" w:hAnsi="宋体" w:cs="宋体"/>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电子投标文件是指通过“</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投标文件的编制：供应商应先安装“</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客户端”，并按照本招标文件和“</w:t>
            </w:r>
            <w:r>
              <w:rPr>
                <w:rFonts w:hint="eastAsia" w:ascii="宋体" w:hAnsi="宋体" w:cs="宋体"/>
                <w:snapToGrid w:val="0"/>
                <w:color w:val="000000" w:themeColor="text1"/>
                <w:szCs w:val="21"/>
                <w:lang w:val="en"/>
                <w14:textFill>
                  <w14:solidFill>
                    <w14:schemeClr w14:val="tx1"/>
                  </w14:solidFill>
                </w14:textFill>
              </w:rPr>
              <w:t>广西政府采购云平台</w:t>
            </w:r>
            <w:r>
              <w:rPr>
                <w:rFonts w:hint="eastAsia" w:ascii="宋体" w:hAnsi="宋体" w:cs="宋体"/>
                <w:snapToGrid w:val="0"/>
                <w:color w:val="000000" w:themeColor="text1"/>
                <w:szCs w:val="21"/>
                <w14:textFill>
                  <w14:solidFill>
                    <w14:schemeClr w14:val="tx1"/>
                  </w14:solidFill>
                </w14:textFill>
              </w:rPr>
              <w:t>”的要求，通过“</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法定代表人或其授权代表签字或签章：本招标文件所涉及的法定代表人或其授权代表签字或签章的内容，如果投标单位没有法定代表人电子签章，涉及到法定代表人或其授权代表签字或签章的内容，投标单位可以线下签字或签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投标文件的上传和提交：本项目通过“</w:t>
            </w:r>
            <w:r>
              <w:rPr>
                <w:rFonts w:hint="eastAsia" w:ascii="宋体" w:hAnsi="宋体" w:cs="宋体"/>
                <w:snapToGrid w:val="0"/>
                <w:color w:val="000000" w:themeColor="text1"/>
                <w:szCs w:val="21"/>
                <w:lang w:val="en"/>
                <w14:textFill>
                  <w14:solidFill>
                    <w14:schemeClr w14:val="tx1"/>
                  </w14:solidFill>
                </w14:textFill>
              </w:rPr>
              <w:t>广西政府采购云平台（http://www.gcy.zfcg.gxzf.gov.cn）</w:t>
            </w:r>
            <w:r>
              <w:rPr>
                <w:rFonts w:hint="eastAsia" w:ascii="宋体" w:hAnsi="宋体" w:cs="宋体"/>
                <w:snapToGrid w:val="0"/>
                <w:color w:val="000000" w:themeColor="text1"/>
                <w:szCs w:val="21"/>
                <w14:textFill>
                  <w14:solidFill>
                    <w14:schemeClr w14:val="tx1"/>
                  </w14:solidFill>
                </w14:textFill>
              </w:rPr>
              <w:t>”实行在线投标响应（电子投标），投标供应商应当在投标截止时间前，将生成的“电子加密投标文件”上传提交至“广西政府采购云平台”。</w:t>
            </w:r>
          </w:p>
          <w:p>
            <w:pPr>
              <w:spacing w:line="300" w:lineRule="exact"/>
              <w:ind w:firstLine="420" w:firstLineChars="200"/>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“电子加密投标文件”的上传、提交：</w:t>
            </w:r>
          </w:p>
          <w:p>
            <w:pPr>
              <w:spacing w:line="300" w:lineRule="exact"/>
              <w:ind w:firstLine="420" w:firstLineChars="200"/>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a.投标供应商应在投标截止时间前将“电子加密投标文件”成功上传提交至“广西政府采购云平台”，否则投标无效。</w:t>
            </w:r>
          </w:p>
          <w:p>
            <w:pPr>
              <w:spacing w:line="300" w:lineRule="exact"/>
              <w:ind w:firstLine="420" w:firstLineChars="200"/>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电子加密投标文件的解密：</w:t>
            </w:r>
          </w:p>
          <w:p>
            <w:pPr>
              <w:spacing w:line="300" w:lineRule="exact"/>
              <w:ind w:firstLine="420" w:firstLineChars="200"/>
              <w:rPr>
                <w:rFonts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投标截止时间及地点：</w:t>
            </w:r>
            <w:r>
              <w:rPr>
                <w:rFonts w:hint="eastAsia" w:ascii="宋体" w:hAnsi="宋体" w:cs="宋体"/>
                <w:b/>
                <w:bCs/>
                <w:color w:val="000000" w:themeColor="text1"/>
                <w:szCs w:val="21"/>
                <w:lang w:val="en"/>
                <w14:textFill>
                  <w14:solidFill>
                    <w14:schemeClr w14:val="tx1"/>
                  </w14:solidFill>
                </w14:textFill>
              </w:rPr>
              <w:t>20</w:t>
            </w:r>
            <w:r>
              <w:rPr>
                <w:rFonts w:hint="eastAsia" w:ascii="宋体" w:hAnsi="宋体" w:cs="宋体"/>
                <w:b/>
                <w:bCs/>
                <w:color w:val="000000" w:themeColor="text1"/>
                <w:szCs w:val="21"/>
                <w14:textFill>
                  <w14:solidFill>
                    <w14:schemeClr w14:val="tx1"/>
                  </w14:solidFill>
                </w14:textFill>
              </w:rPr>
              <w:t>26</w:t>
            </w:r>
            <w:r>
              <w:rPr>
                <w:rFonts w:hint="eastAsia" w:ascii="宋体" w:hAnsi="宋体" w:cs="宋体"/>
                <w:b/>
                <w:bCs/>
                <w:color w:val="000000" w:themeColor="text1"/>
                <w:szCs w:val="21"/>
                <w:lang w:val="en"/>
                <w14:textFill>
                  <w14:solidFill>
                    <w14:schemeClr w14:val="tx1"/>
                  </w14:solidFill>
                </w14:textFill>
              </w:rPr>
              <w:t>年</w:t>
            </w:r>
            <w:r>
              <w:rPr>
                <w:rFonts w:hint="eastAsia" w:ascii="宋体" w:hAnsi="宋体" w:cs="宋体"/>
                <w:b/>
                <w:bCs/>
                <w:color w:val="000000" w:themeColor="text1"/>
                <w:szCs w:val="21"/>
                <w:lang w:val="en-US" w:eastAsia="zh-CN"/>
                <w14:textFill>
                  <w14:solidFill>
                    <w14:schemeClr w14:val="tx1"/>
                  </w14:solidFill>
                </w14:textFill>
              </w:rPr>
              <w:t>10</w:t>
            </w:r>
            <w:r>
              <w:rPr>
                <w:rFonts w:hint="eastAsia" w:ascii="宋体" w:hAnsi="宋体" w:cs="宋体"/>
                <w:b/>
                <w:bCs/>
                <w:color w:val="000000" w:themeColor="text1"/>
                <w:szCs w:val="21"/>
                <w:lang w:val="en"/>
                <w14:textFill>
                  <w14:solidFill>
                    <w14:schemeClr w14:val="tx1"/>
                  </w14:solidFill>
                </w14:textFill>
              </w:rPr>
              <w:t>月</w:t>
            </w:r>
            <w:r>
              <w:rPr>
                <w:rFonts w:hint="eastAsia" w:ascii="宋体" w:hAnsi="宋体" w:cs="宋体"/>
                <w:b/>
                <w:bCs/>
                <w:color w:val="000000" w:themeColor="text1"/>
                <w:szCs w:val="21"/>
                <w:lang w:val="en-US" w:eastAsia="zh-CN"/>
                <w14:textFill>
                  <w14:solidFill>
                    <w14:schemeClr w14:val="tx1"/>
                  </w14:solidFill>
                </w14:textFill>
              </w:rPr>
              <w:t>9</w:t>
            </w:r>
            <w:r>
              <w:rPr>
                <w:rFonts w:hint="eastAsia" w:ascii="宋体" w:hAnsi="宋体" w:cs="宋体"/>
                <w:b/>
                <w:bCs/>
                <w:color w:val="000000" w:themeColor="text1"/>
                <w:szCs w:val="21"/>
                <w:lang w:val="en"/>
                <w14:textFill>
                  <w14:solidFill>
                    <w14:schemeClr w14:val="tx1"/>
                  </w14:solidFill>
                </w14:textFill>
              </w:rPr>
              <w:t>日</w:t>
            </w:r>
            <w:r>
              <w:rPr>
                <w:rFonts w:hint="eastAsia" w:ascii="宋体" w:hAnsi="宋体" w:cs="宋体"/>
                <w:b/>
                <w:color w:val="000000" w:themeColor="text1"/>
                <w:szCs w:val="21"/>
                <w14:textFill>
                  <w14:solidFill>
                    <w14:schemeClr w14:val="tx1"/>
                  </w14:solidFill>
                </w14:textFill>
              </w:rPr>
              <w:t>上午10时整，</w:t>
            </w:r>
            <w:r>
              <w:rPr>
                <w:rFonts w:hint="eastAsia" w:ascii="宋体" w:hAnsi="宋体" w:cs="宋体"/>
                <w:b/>
                <w:color w:val="000000" w:themeColor="text1"/>
                <w:szCs w:val="21"/>
                <w:u w:val="single"/>
                <w:lang w:val="en"/>
                <w14:textFill>
                  <w14:solidFill>
                    <w14:schemeClr w14:val="tx1"/>
                  </w14:solidFill>
                </w14:textFill>
              </w:rPr>
              <w:t>南宁市星湖路22号</w:t>
            </w:r>
            <w:r>
              <w:rPr>
                <w:rFonts w:hint="eastAsia" w:ascii="宋体" w:hAnsi="宋体" w:cs="宋体"/>
                <w:b/>
                <w:color w:val="000000" w:themeColor="text1"/>
                <w:szCs w:val="21"/>
                <w:u w:val="single"/>
                <w14:textFill>
                  <w14:solidFill>
                    <w14:schemeClr w14:val="tx1"/>
                  </w14:solidFill>
                </w14:textFill>
              </w:rPr>
              <w:t>广西壮族自治区政府采购中心开标大厅。</w:t>
            </w:r>
            <w:r>
              <w:rPr>
                <w:rFonts w:hint="eastAsia" w:ascii="宋体" w:hAnsi="宋体" w:cs="宋体"/>
                <w:b/>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本项目采用在线开评标方式，投标供应商无须前往开标现场</w:t>
            </w:r>
            <w:r>
              <w:rPr>
                <w:rFonts w:hint="eastAsia" w:ascii="宋体" w:hAnsi="宋体" w:cs="宋体"/>
                <w:b/>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开标时间及地点：</w:t>
            </w:r>
            <w:r>
              <w:rPr>
                <w:rFonts w:hint="eastAsia" w:ascii="宋体" w:hAnsi="宋体" w:cs="宋体"/>
                <w:b/>
                <w:bCs/>
                <w:color w:val="000000" w:themeColor="text1"/>
                <w:szCs w:val="21"/>
                <w:lang w:val="en"/>
                <w14:textFill>
                  <w14:solidFill>
                    <w14:schemeClr w14:val="tx1"/>
                  </w14:solidFill>
                </w14:textFill>
              </w:rPr>
              <w:t>20</w:t>
            </w:r>
            <w:r>
              <w:rPr>
                <w:rFonts w:hint="eastAsia" w:ascii="宋体" w:hAnsi="宋体" w:cs="宋体"/>
                <w:b/>
                <w:bCs/>
                <w:color w:val="000000" w:themeColor="text1"/>
                <w:szCs w:val="21"/>
                <w14:textFill>
                  <w14:solidFill>
                    <w14:schemeClr w14:val="tx1"/>
                  </w14:solidFill>
                </w14:textFill>
              </w:rPr>
              <w:t>26</w:t>
            </w:r>
            <w:r>
              <w:rPr>
                <w:rFonts w:hint="eastAsia" w:ascii="宋体" w:hAnsi="宋体" w:cs="宋体"/>
                <w:b/>
                <w:bCs/>
                <w:color w:val="000000" w:themeColor="text1"/>
                <w:szCs w:val="21"/>
                <w:lang w:val="en"/>
                <w14:textFill>
                  <w14:solidFill>
                    <w14:schemeClr w14:val="tx1"/>
                  </w14:solidFill>
                </w14:textFill>
              </w:rPr>
              <w:t>年</w:t>
            </w:r>
            <w:r>
              <w:rPr>
                <w:rFonts w:hint="eastAsia" w:ascii="宋体" w:hAnsi="宋体" w:cs="宋体"/>
                <w:b/>
                <w:bCs/>
                <w:color w:val="000000" w:themeColor="text1"/>
                <w:szCs w:val="21"/>
                <w:lang w:val="en-US" w:eastAsia="zh-CN"/>
                <w14:textFill>
                  <w14:solidFill>
                    <w14:schemeClr w14:val="tx1"/>
                  </w14:solidFill>
                </w14:textFill>
              </w:rPr>
              <w:t>10</w:t>
            </w:r>
            <w:r>
              <w:rPr>
                <w:rFonts w:hint="eastAsia" w:ascii="宋体" w:hAnsi="宋体" w:cs="宋体"/>
                <w:b/>
                <w:bCs/>
                <w:color w:val="000000" w:themeColor="text1"/>
                <w:szCs w:val="21"/>
                <w:lang w:val="en"/>
                <w14:textFill>
                  <w14:solidFill>
                    <w14:schemeClr w14:val="tx1"/>
                  </w14:solidFill>
                </w14:textFill>
              </w:rPr>
              <w:t>月</w:t>
            </w:r>
            <w:r>
              <w:rPr>
                <w:rFonts w:hint="eastAsia" w:ascii="宋体" w:hAnsi="宋体" w:cs="宋体"/>
                <w:b/>
                <w:bCs/>
                <w:color w:val="000000" w:themeColor="text1"/>
                <w:szCs w:val="21"/>
                <w:lang w:val="en-US" w:eastAsia="zh-CN"/>
                <w14:textFill>
                  <w14:solidFill>
                    <w14:schemeClr w14:val="tx1"/>
                  </w14:solidFill>
                </w14:textFill>
              </w:rPr>
              <w:t>9</w:t>
            </w:r>
            <w:r>
              <w:rPr>
                <w:rFonts w:hint="eastAsia" w:ascii="宋体" w:hAnsi="宋体" w:cs="宋体"/>
                <w:b/>
                <w:bCs/>
                <w:color w:val="000000" w:themeColor="text1"/>
                <w:szCs w:val="21"/>
                <w:lang w:val="en"/>
                <w14:textFill>
                  <w14:solidFill>
                    <w14:schemeClr w14:val="tx1"/>
                  </w14:solidFill>
                </w14:textFill>
              </w:rPr>
              <w:t>日</w:t>
            </w:r>
            <w:r>
              <w:rPr>
                <w:rFonts w:hint="eastAsia" w:ascii="宋体" w:hAnsi="宋体" w:cs="宋体"/>
                <w:b/>
                <w:color w:val="000000" w:themeColor="text1"/>
                <w:szCs w:val="21"/>
                <w14:textFill>
                  <w14:solidFill>
                    <w14:schemeClr w14:val="tx1"/>
                  </w14:solidFill>
                </w14:textFill>
              </w:rPr>
              <w:t>上午10时整，</w:t>
            </w:r>
            <w:r>
              <w:rPr>
                <w:rFonts w:hint="eastAsia" w:ascii="宋体" w:hAnsi="宋体" w:cs="宋体"/>
                <w:b/>
                <w:color w:val="000000" w:themeColor="text1"/>
                <w:szCs w:val="21"/>
                <w:u w:val="single"/>
                <w:lang w:val="en"/>
                <w14:textFill>
                  <w14:solidFill>
                    <w14:schemeClr w14:val="tx1"/>
                  </w14:solidFill>
                </w14:textFill>
              </w:rPr>
              <w:t>南宁市星湖路22号</w:t>
            </w:r>
            <w:r>
              <w:rPr>
                <w:rFonts w:hint="eastAsia" w:ascii="宋体" w:hAnsi="宋体" w:cs="宋体"/>
                <w:b/>
                <w:color w:val="000000" w:themeColor="text1"/>
                <w:szCs w:val="21"/>
                <w:u w:val="single"/>
                <w14:textFill>
                  <w14:solidFill>
                    <w14:schemeClr w14:val="tx1"/>
                  </w14:solidFill>
                </w14:textFill>
              </w:rPr>
              <w:t>广西壮族自治区政府采购中心开标大厅。</w:t>
            </w:r>
            <w:r>
              <w:rPr>
                <w:rFonts w:hint="eastAsia" w:ascii="宋体" w:hAnsi="宋体" w:cs="宋体"/>
                <w:b/>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本项目采用在线开评标方式，投标供应商无须前往开标现场</w:t>
            </w:r>
            <w:r>
              <w:rPr>
                <w:rFonts w:hint="eastAsia" w:ascii="宋体" w:hAnsi="宋体" w:cs="宋体"/>
                <w:b/>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评标方法</w:t>
            </w:r>
            <w:r>
              <w:rPr>
                <w:rFonts w:hint="eastAsia" w:ascii="宋体" w:hAnsi="宋体" w:cs="宋体"/>
                <w:color w:val="000000" w:themeColor="text1"/>
                <w:szCs w:val="21"/>
                <w14:textFill>
                  <w14:solidFill>
                    <w14:schemeClr w14:val="tx1"/>
                  </w14:solidFill>
                </w14:textFill>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中标公告及中标通知书：本中心在采购人依法确认中标人后二个工作日内发布中标公告和中标通知书，中标公告发布于上述媒体（详细见公告中公布的网站）。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861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付款方式：</w:t>
            </w:r>
            <w:r>
              <w:rPr>
                <w:rFonts w:hint="eastAsia" w:ascii="宋体" w:hAnsi="宋体" w:cs="宋体"/>
                <w:color w:val="000000" w:themeColor="text1"/>
                <w:kern w:val="0"/>
                <w:szCs w:val="21"/>
                <w14:textFill>
                  <w14:solidFill>
                    <w14:schemeClr w14:val="tx1"/>
                  </w14:solidFill>
                </w14:textFill>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投标文件有效期：</w:t>
            </w:r>
            <w:r>
              <w:rPr>
                <w:rFonts w:hint="eastAsia" w:ascii="宋体" w:hAnsi="宋体" w:cs="宋体"/>
                <w:color w:val="000000" w:themeColor="text1"/>
                <w:szCs w:val="21"/>
                <w:u w:val="single"/>
                <w14:textFill>
                  <w14:solidFill>
                    <w14:schemeClr w14:val="tx1"/>
                  </w14:solidFill>
                </w14:textFill>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21</w:t>
            </w:r>
          </w:p>
        </w:tc>
        <w:tc>
          <w:tcPr>
            <w:tcW w:w="8619" w:type="dxa"/>
            <w:tcBorders>
              <w:top w:val="single" w:color="auto" w:sz="4" w:space="0"/>
              <w:left w:val="single" w:color="auto" w:sz="4" w:space="0"/>
              <w:bottom w:val="single" w:color="auto" w:sz="4" w:space="0"/>
              <w:right w:val="single" w:color="auto" w:sz="4" w:space="0"/>
            </w:tcBorders>
            <w:vAlign w:val="center"/>
          </w:tcPr>
          <w:p>
            <w:pPr>
              <w:ind w:firstLine="421" w:firstLineChars="200"/>
              <w:rPr>
                <w:rFonts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对招标文件、采购过程或者中标结果的质疑由采购人接收或采购代理机构代为接收，由采购人负责答复。</w:t>
            </w:r>
          </w:p>
          <w:p>
            <w:pPr>
              <w:ind w:firstLine="421" w:firstLineChars="200"/>
              <w:rPr>
                <w:rFonts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接收质疑函方式：以书面形式。</w:t>
            </w:r>
          </w:p>
          <w:p>
            <w:pPr>
              <w:ind w:firstLine="421" w:firstLineChars="200"/>
              <w:rPr>
                <w:rFonts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质疑联系部门及联系方式：</w:t>
            </w:r>
          </w:p>
          <w:p>
            <w:pPr>
              <w:ind w:firstLine="421" w:firstLineChars="200"/>
              <w:rPr>
                <w:rFonts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 xml:space="preserve">（1）广西壮族自治区政府采购中心内审科     </w:t>
            </w:r>
          </w:p>
          <w:p>
            <w:pPr>
              <w:ind w:firstLine="421" w:firstLineChars="200"/>
              <w:rPr>
                <w:rFonts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电话：0771-8600453</w:t>
            </w:r>
          </w:p>
          <w:p>
            <w:pPr>
              <w:ind w:firstLine="421" w:firstLineChars="200"/>
              <w:rPr>
                <w:rFonts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地址：广西南宁市星湖路22号</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（2）广西中医药大学</w:t>
            </w:r>
          </w:p>
          <w:p>
            <w:pPr>
              <w:ind w:firstLine="421"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电话：秦燕，0771-4733924</w:t>
            </w:r>
          </w:p>
          <w:p>
            <w:pPr>
              <w:ind w:firstLine="421" w:firstLineChars="200"/>
              <w:rPr>
                <w:rFonts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地址：广西南宁市五合大道13号</w:t>
            </w:r>
          </w:p>
          <w:p>
            <w:pPr>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en"/>
                <w14:textFill>
                  <w14:solidFill>
                    <w14:schemeClr w14:val="tx1"/>
                  </w14:solidFill>
                </w14:textFill>
              </w:rPr>
              <w:t>2</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本招标文件解释权属广西壮族自治区政府采购中心。</w:t>
            </w:r>
          </w:p>
        </w:tc>
      </w:tr>
    </w:tbl>
    <w:p>
      <w:pPr>
        <w:pStyle w:val="28"/>
        <w:snapToGrid w:val="0"/>
        <w:spacing w:before="120" w:after="120" w:line="360" w:lineRule="exact"/>
        <w:jc w:val="center"/>
        <w:rPr>
          <w:rFonts w:ascii="仿宋_GB2312" w:eastAsia="仿宋_GB2312"/>
          <w:b/>
          <w:color w:val="000000" w:themeColor="text1"/>
          <w:sz w:val="32"/>
          <w:szCs w:val="32"/>
          <w14:textFill>
            <w14:solidFill>
              <w14:schemeClr w14:val="tx1"/>
            </w14:solidFill>
          </w14:textFill>
        </w:rPr>
      </w:pPr>
    </w:p>
    <w:p>
      <w:pPr>
        <w:pStyle w:val="28"/>
        <w:snapToGrid w:val="0"/>
        <w:spacing w:before="120" w:after="120" w:line="400" w:lineRule="exact"/>
        <w:jc w:val="center"/>
        <w:rPr>
          <w:rFonts w:hAnsi="宋体" w:cs="宋体"/>
          <w:b/>
          <w:color w:val="000000" w:themeColor="text1"/>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r>
        <w:rPr>
          <w:rFonts w:hint="eastAsia" w:hAnsi="宋体" w:cs="宋体"/>
          <w:b/>
          <w:color w:val="000000" w:themeColor="text1"/>
          <w:sz w:val="32"/>
          <w:szCs w:val="32"/>
          <w14:textFill>
            <w14:solidFill>
              <w14:schemeClr w14:val="tx1"/>
            </w14:solidFill>
          </w14:textFill>
        </w:rPr>
        <w:t>投标人须知</w:t>
      </w:r>
    </w:p>
    <w:p>
      <w:pPr>
        <w:pStyle w:val="28"/>
        <w:snapToGrid w:val="0"/>
        <w:spacing w:line="40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一、总  则</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（一） 适用范围</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本招标文件适用本项目的招标、投标、评标、定标、验收、合同履约、付款等行为（法律、法规另有规定的，从其规定）。</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（二）定义</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1.“采购人”系指组织本次招标的采购单位。</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2.“采购代理机构”系指广西壮族自治区政府采购中心（以下简称“本中心”）。</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3.“投标人”系指响应招标、参加投标竞争的法人、其他组织或者自然人。</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4.“产品”系指供方按招标文件规定，须向采购人提供的一切设备、保险、税金、备品备件、工具、手册及其它有关技术资料和材料。</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5.“服务”系指招标文件规定投标人须承担的安装、调试、技术协助、校准、培训、技术指导以及其他类似的义务。</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6.“项目”系指投标人按招标文件规定向采购人提供的产品和服务。</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7.“书面形式”包括信函、传真、电报等。</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8.“▲”系指在投标人须知中的实质性要求条款。</w:t>
      </w:r>
    </w:p>
    <w:p>
      <w:pPr>
        <w:snapToGrid w:val="0"/>
        <w:spacing w:line="400" w:lineRule="exact"/>
        <w:ind w:firstLine="421" w:firstLineChars="200"/>
        <w:jc w:val="left"/>
        <w:outlineLvl w:val="1"/>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（三）招标方式</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公开招标方式。</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（四）投标委托</w:t>
      </w:r>
    </w:p>
    <w:p>
      <w:pPr>
        <w:pStyle w:val="21"/>
        <w:snapToGrid w:val="0"/>
        <w:spacing w:line="400" w:lineRule="exact"/>
        <w:ind w:firstLine="420" w:firstLineChars="200"/>
        <w:jc w:val="left"/>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如投标人代表不是法定代表人(负责人)，须有法定代表人(负责人)出具的授权委托书，格式见第六章《投标文件格式》。</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（五）投标费用</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投标人均应自行承担所有与投标有关的全部费用（招标文件有相关的规定除外）。</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（六）本项目不接受联合体投标</w:t>
      </w:r>
    </w:p>
    <w:p>
      <w:pPr>
        <w:snapToGrid w:val="0"/>
        <w:spacing w:line="400" w:lineRule="exact"/>
        <w:ind w:firstLine="421" w:firstLineChars="200"/>
        <w:outlineLvl w:val="0"/>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（七）</w:t>
      </w:r>
      <w:r>
        <w:rPr>
          <w:rFonts w:hint="eastAsia" w:ascii="宋体" w:hAnsi="宋体" w:cs="宋体"/>
          <w:b/>
          <w:color w:val="000000" w:themeColor="text1"/>
          <w:kern w:val="0"/>
          <w:szCs w:val="21"/>
          <w14:textFill>
            <w14:solidFill>
              <w14:schemeClr w14:val="tx1"/>
            </w14:solidFill>
          </w14:textFill>
        </w:rPr>
        <w:t>转包与分包</w:t>
      </w:r>
    </w:p>
    <w:p>
      <w:pPr>
        <w:snapToGrid w:val="0"/>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1.本项目不允许转包。</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2.本项目不可以分包。</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（八）特别说明：</w:t>
      </w:r>
    </w:p>
    <w:p>
      <w:pPr>
        <w:snapToGrid w:val="0"/>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▲1.单位负责人为同一人或者存在直接控股、管理关系的不同供应商，不得参加同一合同项下的政府采购活动。</w:t>
      </w:r>
    </w:p>
    <w:p>
      <w:pPr>
        <w:snapToGrid w:val="0"/>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ascii="宋体" w:hAnsi="宋体" w:cs="宋体"/>
          <w:color w:val="000000" w:themeColor="text1"/>
          <w:szCs w:val="21"/>
          <w:lang w:val="en"/>
          <w14:textFill>
            <w14:solidFill>
              <w14:schemeClr w14:val="tx1"/>
            </w14:solidFill>
          </w14:textFill>
        </w:rPr>
        <w:t>评标方法及评分标准</w:t>
      </w:r>
      <w:r>
        <w:rPr>
          <w:rFonts w:hint="eastAsia" w:ascii="宋体" w:hAnsi="宋体" w:cs="宋体"/>
          <w:color w:val="000000" w:themeColor="text1"/>
          <w:szCs w:val="21"/>
          <w14:textFill>
            <w14:solidFill>
              <w14:schemeClr w14:val="tx1"/>
            </w14:solidFill>
          </w14:textFill>
        </w:rPr>
        <w:t>》中的推荐原则确定一个投标人获得中标人推荐资格，其他同品牌投标人不作为中标候选人。</w:t>
      </w:r>
    </w:p>
    <w:p>
      <w:pPr>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非单一产品采购项目中，多家投标人提供的招标文件中载明的核心产品品牌相同的，视为提供相同品牌产品。</w:t>
      </w:r>
    </w:p>
    <w:p>
      <w:pPr>
        <w:snapToGrid w:val="0"/>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▲3.投标人应仔细阅读招标文件的所有内容，按照招标文件的要求提交投标文件，并对所提供的全部资料的真实性承担法律责任。</w:t>
      </w:r>
    </w:p>
    <w:p>
      <w:pPr>
        <w:snapToGrid w:val="0"/>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▲4.投标人在投标活动中提供任何虚假材料、互相串通投标，其投标无效，并报监管部门查处。</w:t>
      </w:r>
    </w:p>
    <w:p>
      <w:pPr>
        <w:pStyle w:val="28"/>
        <w:snapToGrid w:val="0"/>
        <w:spacing w:line="400" w:lineRule="exact"/>
        <w:ind w:firstLine="420" w:firstLineChars="200"/>
        <w:rPr>
          <w:rFonts w:hAnsi="宋体" w:cs="宋体"/>
          <w:color w:val="000000" w:themeColor="text1"/>
          <w:kern w:val="0"/>
          <w14:textFill>
            <w14:solidFill>
              <w14:schemeClr w14:val="tx1"/>
            </w14:solidFill>
          </w14:textFill>
        </w:rPr>
      </w:pPr>
      <w:r>
        <w:rPr>
          <w:rFonts w:hint="eastAsia" w:hAnsi="宋体" w:cs="宋体"/>
          <w:color w:val="000000" w:themeColor="text1"/>
          <w:kern w:val="0"/>
          <w14:textFill>
            <w14:solidFill>
              <w14:schemeClr w14:val="tx1"/>
            </w14:solidFill>
          </w14:textFill>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515"/>
        <w:spacing w:line="400" w:lineRule="exact"/>
        <w:ind w:firstLine="420" w:firstLineChars="200"/>
        <w:rPr>
          <w:rFonts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6.中小企业价格评审优惠：根据《政府采购促进中小企业发展管理办法》（财库〔2020〕46号）的规定，本项目为专门面向中小企业采购的项目，投标人（服务项目）/投标人所供产品生产厂家（货物）须为中小企业，并按要求提交《中小企业声明函》。在此情况下，不执行价格扣除优惠，所有合格投标人均按其原报价计算价格分。</w:t>
      </w:r>
    </w:p>
    <w:p>
      <w:pPr>
        <w:snapToGrid w:val="0"/>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标方法及评分标准。投标人如申请享受此项价格扣除，必须按本文件“投标文件格式”要求，填写并提交《关于符合本国产品标准的声明函》。未提交或提交不符合要求的，不享受扣除，按其原报价计算价格分。</w:t>
      </w:r>
    </w:p>
    <w:p>
      <w:pPr>
        <w:snapToGrid w:val="0"/>
        <w:spacing w:line="400" w:lineRule="exact"/>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8"/>
        <w:snapToGrid w:val="0"/>
        <w:spacing w:line="400" w:lineRule="exact"/>
        <w:ind w:firstLine="421" w:firstLineChars="200"/>
        <w:outlineLvl w:val="0"/>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（九）</w:t>
      </w:r>
      <w:r>
        <w:rPr>
          <w:rFonts w:hint="eastAsia" w:hAnsi="宋体" w:cs="宋体"/>
          <w:b/>
          <w:color w:val="000000" w:themeColor="text1"/>
          <w14:textFill>
            <w14:solidFill>
              <w14:schemeClr w14:val="tx1"/>
            </w14:solidFill>
          </w14:textFill>
        </w:rPr>
        <w:t>询问、质疑和投诉</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1.投标人对政府采购活动事项有疑问的，可以向采购人、采购代理机构提出询问。</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2.投标人认为招标文件、招标过程或中标结果使自己的合法权益受到损害的，应当在知道或者应知其权益受到损害之日起7个工作日内，以书面形式向采购人提出质疑。具体计算时间如下：</w:t>
      </w:r>
    </w:p>
    <w:p>
      <w:pPr>
        <w:pStyle w:val="28"/>
        <w:snapToGrid w:val="0"/>
        <w:spacing w:line="400" w:lineRule="exact"/>
        <w:ind w:firstLine="421" w:firstLineChars="200"/>
        <w:rPr>
          <w:rFonts w:hAnsi="宋体" w:cs="宋体"/>
          <w:bCs/>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（一）对可以质疑的招标采购文件提出质疑的，为收到采购文件之日；</w:t>
      </w:r>
    </w:p>
    <w:p>
      <w:pPr>
        <w:widowControl/>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（二）对招标采购过程提出质疑的，为各采购程序环节结束之日；</w:t>
      </w:r>
    </w:p>
    <w:p>
      <w:pPr>
        <w:widowControl/>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（三）对中标结果提出质疑的，为中标结果公告期限届满之日。投标人对采购单位的质疑答复不满意或者采购人未在规定时间内作出答复的，可以在答复期满后15个工作日内向同级采购监管部门投诉。</w:t>
      </w:r>
    </w:p>
    <w:p>
      <w:pPr>
        <w:pStyle w:val="28"/>
        <w:snapToGrid w:val="0"/>
        <w:spacing w:line="400" w:lineRule="exact"/>
        <w:ind w:firstLine="420" w:firstLineChars="200"/>
        <w:rPr>
          <w:rFonts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8"/>
        <w:spacing w:line="400" w:lineRule="exact"/>
        <w:ind w:firstLine="421" w:firstLineChars="200"/>
        <w:rPr>
          <w:rFonts w:hAnsi="宋体" w:cs="宋体"/>
          <w:b/>
          <w:color w:val="000000" w:themeColor="text1"/>
          <w:lang w:val="en"/>
          <w14:textFill>
            <w14:solidFill>
              <w14:schemeClr w14:val="tx1"/>
            </w14:solidFill>
          </w14:textFill>
        </w:rPr>
      </w:pPr>
      <w:r>
        <w:rPr>
          <w:rFonts w:hint="eastAsia" w:hAnsi="宋体" w:cs="宋体"/>
          <w:b/>
          <w:color w:val="000000" w:themeColor="text1"/>
          <w:lang w:val="en"/>
          <w14:textFill>
            <w14:solidFill>
              <w14:schemeClr w14:val="tx1"/>
            </w14:solidFill>
          </w14:textFill>
        </w:rPr>
        <w:t>4.采购人、采购代理机构接收质疑函的方式、联系部门、联系电话和地址等信息详见“投标人须知前附表”。</w:t>
      </w:r>
    </w:p>
    <w:p>
      <w:pPr>
        <w:pStyle w:val="28"/>
        <w:snapToGrid w:val="0"/>
        <w:spacing w:line="400" w:lineRule="exact"/>
        <w:ind w:firstLine="420" w:firstLineChars="200"/>
        <w:rPr>
          <w:rFonts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5.质疑供应商提起质疑应当符合下列条件：</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（1）质疑供应商是参与所质疑项目采购活动的供应商（潜在供应商已依法获取可</w:t>
      </w:r>
      <w:r>
        <w:rPr>
          <w:rFonts w:hint="eastAsia" w:hAnsi="宋体" w:cs="宋体"/>
          <w:color w:val="000000" w:themeColor="text1"/>
          <w:lang w:eastAsia="zh-CN"/>
          <w14:textFill>
            <w14:solidFill>
              <w14:schemeClr w14:val="tx1"/>
            </w14:solidFill>
          </w14:textFill>
        </w:rPr>
        <w:t>质疑</w:t>
      </w:r>
      <w:r>
        <w:rPr>
          <w:rFonts w:hint="eastAsia" w:hAnsi="宋体" w:cs="宋体"/>
          <w:color w:val="000000" w:themeColor="text1"/>
          <w14:textFill>
            <w14:solidFill>
              <w14:schemeClr w14:val="tx1"/>
            </w14:solidFill>
          </w14:textFill>
        </w:rPr>
        <w:t>的采购文件的，可以对该采购文件质疑）；</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（2）质疑函内容符合本章第3项的规定；</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（3）在质疑有效期限内提起质疑；</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（4）属于所质疑的采购人或采购人委托的采购代理机构组织的采购活动；</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（5）同一质疑事项未经采购人或采购人委托的采购代理机构质疑处理； </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（6）供应商对同一采购程序环节的质疑应当在质疑有效期内一次性提出；</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（7）供应商提交质疑应当提交必要的证明材料，证明材料应以合法手段取得；</w:t>
      </w:r>
    </w:p>
    <w:p>
      <w:pPr>
        <w:pStyle w:val="28"/>
        <w:spacing w:line="400" w:lineRule="exact"/>
        <w:ind w:firstLine="420" w:firstLineChars="20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（8）财政部门规定的其他条件。</w:t>
      </w:r>
    </w:p>
    <w:p>
      <w:pPr>
        <w:pStyle w:val="28"/>
        <w:snapToGrid w:val="0"/>
        <w:spacing w:line="400" w:lineRule="exact"/>
        <w:ind w:firstLine="421" w:firstLineChars="200"/>
        <w:outlineLvl w:val="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二、招标文件</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（一）招标文件的构成。</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1.公开招标公告；</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2.招标项目采购需求</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3.投标人须知；</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lang w:val="en"/>
          <w14:textFill>
            <w14:solidFill>
              <w14:schemeClr w14:val="tx1"/>
            </w14:solidFill>
          </w14:textFill>
        </w:rPr>
        <w:t>评标方法及评分标准</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5.政府采购合同主要条款；</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6.投标文件格式。</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（二）投标人的风险</w:t>
      </w:r>
    </w:p>
    <w:p>
      <w:pPr>
        <w:tabs>
          <w:tab w:val="left" w:pos="180"/>
          <w:tab w:val="left" w:pos="1620"/>
        </w:tabs>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pPr>
        <w:tabs>
          <w:tab w:val="left" w:pos="180"/>
          <w:tab w:val="left" w:pos="1620"/>
        </w:tabs>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3.采购货物的主要技术参数和性能配置由评标委员会在评标前评定，但不能改变实质性内容。</w:t>
      </w:r>
    </w:p>
    <w:p>
      <w:pPr>
        <w:pStyle w:val="13"/>
        <w:widowControl w:val="0"/>
        <w:tabs>
          <w:tab w:val="clear" w:pos="454"/>
        </w:tabs>
        <w:snapToGrid w:val="0"/>
        <w:spacing w:after="0" w:afterLines="0" w:line="400" w:lineRule="exact"/>
        <w:ind w:left="0" w:firstLine="421" w:firstLineChars="200"/>
        <w:outlineLvl w:val="0"/>
        <w:rPr>
          <w:rFonts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 xml:space="preserve">（三）招标文件的澄清与修改 </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w:t>
      </w:r>
      <w:r>
        <w:rPr>
          <w:rFonts w:hint="eastAsia" w:hAnsi="宋体" w:cs="宋体"/>
          <w:bCs/>
          <w:color w:val="000000" w:themeColor="text1"/>
          <w14:textFill>
            <w14:solidFill>
              <w14:schemeClr w14:val="tx1"/>
            </w14:solidFill>
          </w14:textFill>
        </w:rPr>
        <w:t>投标人应认真阅读本招标文件，发现其中有误或有不合理要求的，投标人</w:t>
      </w:r>
      <w:r>
        <w:rPr>
          <w:rFonts w:hint="eastAsia" w:hAnsi="宋体" w:cs="宋体"/>
          <w:b/>
          <w:bCs/>
          <w:color w:val="000000" w:themeColor="text1"/>
          <w14:textFill>
            <w14:solidFill>
              <w14:schemeClr w14:val="tx1"/>
            </w14:solidFill>
          </w14:textFill>
        </w:rPr>
        <w:t>应当</w:t>
      </w:r>
      <w:r>
        <w:rPr>
          <w:rFonts w:hint="eastAsia" w:hAnsi="宋体" w:cs="宋体"/>
          <w:bCs/>
          <w:color w:val="000000" w:themeColor="text1"/>
          <w14:textFill>
            <w14:solidFill>
              <w14:schemeClr w14:val="tx1"/>
            </w14:solidFill>
          </w14:textFill>
        </w:rPr>
        <w:t>在</w:t>
      </w:r>
      <w:r>
        <w:rPr>
          <w:rFonts w:hint="eastAsia" w:hAnsi="宋体" w:cs="宋体"/>
          <w:bCs/>
          <w:color w:val="000000" w:themeColor="text1"/>
          <w:u w:val="single"/>
          <w14:textFill>
            <w14:solidFill>
              <w14:schemeClr w14:val="tx1"/>
            </w14:solidFill>
          </w14:textFill>
        </w:rPr>
        <w:t>“采购文件：第三章 《投标人须知及前附表》序号6”规定的时间</w:t>
      </w:r>
      <w:r>
        <w:rPr>
          <w:rFonts w:hint="eastAsia" w:hAnsi="宋体" w:cs="宋体"/>
          <w:bCs/>
          <w:color w:val="000000" w:themeColor="text1"/>
          <w14:textFill>
            <w14:solidFill>
              <w14:schemeClr w14:val="tx1"/>
            </w14:solidFill>
          </w14:textFill>
        </w:rPr>
        <w:t>前以书面形式要求招标采购单位</w:t>
      </w:r>
      <w:r>
        <w:rPr>
          <w:rFonts w:hint="eastAsia" w:hAnsi="宋体" w:cs="宋体"/>
          <w:color w:val="000000" w:themeColor="text1"/>
          <w14:textFill>
            <w14:solidFill>
              <w14:schemeClr w14:val="tx1"/>
            </w14:solidFill>
          </w14:textFill>
        </w:rPr>
        <w:t>答疑、澄清</w:t>
      </w:r>
      <w:r>
        <w:rPr>
          <w:rFonts w:hint="eastAsia" w:hAnsi="宋体" w:cs="宋体"/>
          <w:bCs/>
          <w:color w:val="000000" w:themeColor="text1"/>
          <w14:textFill>
            <w14:solidFill>
              <w14:schemeClr w14:val="tx1"/>
            </w14:solidFill>
          </w14:textFill>
        </w:rPr>
        <w:t>。本中心对已发出的招标文件进行必要澄清或者修改</w:t>
      </w:r>
      <w:r>
        <w:rPr>
          <w:rFonts w:hint="eastAsia" w:hAnsi="宋体" w:cs="宋体"/>
          <w:b/>
          <w:bCs/>
          <w:color w:val="000000" w:themeColor="text1"/>
          <w14:textFill>
            <w14:solidFill>
              <w14:schemeClr w14:val="tx1"/>
            </w14:solidFill>
          </w14:textFill>
        </w:rPr>
        <w:t>可能影响投标文件编制的</w:t>
      </w:r>
      <w:r>
        <w:rPr>
          <w:rFonts w:hint="eastAsia" w:hAnsi="宋体" w:cs="宋体"/>
          <w:bCs/>
          <w:color w:val="000000" w:themeColor="text1"/>
          <w14:textFill>
            <w14:solidFill>
              <w14:schemeClr w14:val="tx1"/>
            </w14:solidFill>
          </w14:textFill>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s="宋体"/>
          <w:color w:val="000000" w:themeColor="text1"/>
          <w14:textFill>
            <w14:solidFill>
              <w14:schemeClr w14:val="tx1"/>
            </w14:solidFill>
          </w14:textFill>
        </w:rPr>
        <w:t>。</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2.本中心必须以书面形式答复投标人要求澄清的问题，并将不包含问题来源的答复书面通知所有报名登记的投标人；除书面答复以外的其他澄清方式及澄清内容均无效。</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3.招标文件的答疑、澄清、修改、补充的内容为招标文件的组成部分。当招标文件与招标文件的答疑、澄清、修改、补充通知就同一内容的表述不一致时，以最后发出的书面文件为准。</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4.招标文件的答疑、澄清、修改、补充都应该通过本中心以法定形式发布，采购人非通过本机构，不得擅自答疑、澄清、修改、补充招标文件。</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5.本中心可以视采购具体情况，延长招标文件或者资格预审文件提供期限，并在财政部门指定的政府采购信息发布媒体及本中心网站上发布公告。</w:t>
      </w:r>
    </w:p>
    <w:p>
      <w:pPr>
        <w:pStyle w:val="28"/>
        <w:snapToGrid w:val="0"/>
        <w:spacing w:line="400" w:lineRule="exact"/>
        <w:ind w:firstLine="421" w:firstLineChars="200"/>
        <w:outlineLvl w:val="1"/>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三、投标文件的编制</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（一）投标文件的组成</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投标文件由资格文件、资信及商务文件、技术文件、投标报价文件</w:t>
      </w:r>
      <w:r>
        <w:rPr>
          <w:rFonts w:hint="eastAsia" w:ascii="宋体" w:hAnsi="宋体" w:cs="宋体"/>
          <w:b/>
          <w:color w:val="000000" w:themeColor="text1"/>
          <w:szCs w:val="21"/>
          <w14:textFill>
            <w14:solidFill>
              <w14:schemeClr w14:val="tx1"/>
            </w14:solidFill>
          </w14:textFill>
        </w:rPr>
        <w:t>四部份</w:t>
      </w:r>
      <w:r>
        <w:rPr>
          <w:rFonts w:hint="eastAsia" w:ascii="宋体" w:hAnsi="宋体" w:cs="宋体"/>
          <w:color w:val="000000" w:themeColor="text1"/>
          <w:szCs w:val="21"/>
          <w14:textFill>
            <w14:solidFill>
              <w14:schemeClr w14:val="tx1"/>
            </w14:solidFill>
          </w14:textFill>
        </w:rPr>
        <w:t>组成。</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1.资格文件：</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（1）有效的营业执照等证明文件复印件；</w:t>
      </w:r>
    </w:p>
    <w:p>
      <w:pPr>
        <w:pStyle w:val="28"/>
        <w:adjustRightInd w:val="0"/>
        <w:snapToGrid w:val="0"/>
        <w:spacing w:line="400" w:lineRule="exact"/>
        <w:ind w:firstLine="420" w:firstLineChars="20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14:textFill>
            <w14:solidFill>
              <w14:schemeClr w14:val="tx1"/>
            </w14:solidFill>
          </w14:textFill>
        </w:rPr>
        <w:t>（必须提供）</w:t>
      </w:r>
      <w:r>
        <w:rPr>
          <w:rFonts w:hint="eastAsia" w:hAnsi="宋体" w:cs="宋体"/>
          <w:color w:val="000000" w:themeColor="text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②对于有经营资质要求的，投标人必须提供有效的经营资质证书副本内页扫描件或其他电子文件，同时要加盖单位公章。</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kern w:val="0"/>
          <w:szCs w:val="21"/>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14:textFill>
            <w14:solidFill>
              <w14:schemeClr w14:val="tx1"/>
            </w14:solidFill>
          </w14:textFill>
        </w:rPr>
        <w:t>和信用记录查询方法；</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w:t>
      </w:r>
      <w:r>
        <w:rPr>
          <w:rFonts w:hint="eastAsia" w:ascii="宋体" w:hAnsi="宋体" w:cs="宋体"/>
          <w:color w:val="000000" w:themeColor="text1"/>
          <w:kern w:val="0"/>
          <w:szCs w:val="21"/>
          <w14:textFill>
            <w14:solidFill>
              <w14:schemeClr w14:val="tx1"/>
            </w14:solidFill>
          </w14:textFill>
        </w:rPr>
        <w:t>参加政府采购活动前三年内在经营活动中没有</w:t>
      </w:r>
      <w:r>
        <w:rPr>
          <w:rFonts w:hint="eastAsia" w:ascii="宋体" w:hAnsi="宋体" w:cs="宋体"/>
          <w:bCs/>
          <w:color w:val="000000" w:themeColor="text1"/>
          <w:kern w:val="0"/>
          <w:szCs w:val="21"/>
          <w14:textFill>
            <w14:solidFill>
              <w14:schemeClr w14:val="tx1"/>
            </w14:solidFill>
          </w14:textFill>
        </w:rPr>
        <w:t>重大违法记录的书面声明</w:t>
      </w:r>
      <w:r>
        <w:rPr>
          <w:rFonts w:hint="eastAsia" w:ascii="宋体" w:hAnsi="宋体" w:cs="宋体"/>
          <w:color w:val="000000" w:themeColor="text1"/>
          <w:szCs w:val="21"/>
          <w14:textFill>
            <w14:solidFill>
              <w14:schemeClr w14:val="tx1"/>
            </w14:solidFill>
          </w14:textFill>
        </w:rPr>
        <w:t>（格式自拟，必须提供）；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②供应商可在“信用中国”网站（www.creditchina.gov.cn）、中国政府采购网（www.ccgp.gov.cn）查询相关供应商主体信用记录。</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“信用中国”网站查询方法：投标人在本项目投标截止时间前10日内,进入投标人基本信息页面，点击“下载信用报告”后点击“下载”。</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（3）中小企业声明函（按最新政策执行，格式见第六章，必须提供）；</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2.资信及商务文件：</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（1）投标保证金的相关证明扫描件或其他电子文件</w:t>
      </w:r>
      <w:r>
        <w:rPr>
          <w:rFonts w:hint="eastAsia" w:ascii="宋体" w:hAnsi="宋体" w:cs="宋体"/>
          <w:b/>
          <w:color w:val="000000" w:themeColor="text1"/>
          <w:szCs w:val="21"/>
          <w14:textFill>
            <w14:solidFill>
              <w14:schemeClr w14:val="tx1"/>
            </w14:solidFill>
          </w14:textFill>
        </w:rPr>
        <w:t>（必须提供）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（2）投标声明书</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（3）法定代表人授权委托书和委托代理人身份证扫描件或其他电子文件</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zCs w:val="21"/>
          <w14:textFill>
            <w14:solidFill>
              <w14:schemeClr w14:val="tx1"/>
            </w14:solidFill>
          </w14:textFill>
        </w:rPr>
        <w:t>当法定代表人参加投标时，必须提供法定代表人身份证扫描件或其他电子文件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14:textFill>
            <w14:solidFill>
              <w14:schemeClr w14:val="tx1"/>
            </w14:solidFill>
          </w14:textFill>
        </w:rPr>
        <w:t>（扫描件或其他电子文件，格式自拟，必须提供）</w:t>
      </w:r>
      <w:r>
        <w:rPr>
          <w:rFonts w:hint="eastAsia" w:ascii="宋体" w:hAnsi="宋体" w:cs="宋体"/>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14:textFill>
            <w14:solidFill>
              <w14:schemeClr w14:val="tx1"/>
            </w14:solidFill>
          </w14:textFill>
        </w:rPr>
        <w:t>（扫</w:t>
      </w:r>
      <w:r>
        <w:rPr>
          <w:rFonts w:hint="eastAsia" w:ascii="宋体" w:hAnsi="宋体" w:cs="宋体"/>
          <w:b/>
          <w:color w:val="000000" w:themeColor="text1"/>
          <w:szCs w:val="21"/>
          <w14:textFill>
            <w14:solidFill>
              <w14:schemeClr w14:val="tx1"/>
            </w14:solidFill>
          </w14:textFill>
        </w:rPr>
        <w:t>描件或其他电子文件，格式自拟，必须提供）；</w:t>
      </w:r>
      <w:r>
        <w:rPr>
          <w:rFonts w:hint="eastAsia" w:ascii="宋体" w:hAnsi="宋体" w:cs="宋体"/>
          <w:color w:val="000000" w:themeColor="text1"/>
          <w:szCs w:val="21"/>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（6）财务状况报告</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bCs/>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（7）</w:t>
      </w:r>
      <w:r>
        <w:rPr>
          <w:rFonts w:hint="eastAsia" w:ascii="宋体" w:hAnsi="宋体" w:cs="宋体"/>
          <w:bCs/>
          <w:color w:val="000000" w:themeColor="text1"/>
          <w:szCs w:val="21"/>
          <w14:textFill>
            <w14:solidFill>
              <w14:schemeClr w14:val="tx1"/>
            </w14:solidFill>
          </w14:textFill>
        </w:rPr>
        <w:t>具备履行合同所必需的设备和专业技术能力的证明材料</w:t>
      </w:r>
      <w:r>
        <w:rPr>
          <w:rFonts w:hint="eastAsia" w:ascii="宋体" w:hAnsi="宋体" w:cs="宋体"/>
          <w:b/>
          <w:color w:val="000000" w:themeColor="text1"/>
          <w:szCs w:val="21"/>
          <w14:textFill>
            <w14:solidFill>
              <w14:schemeClr w14:val="tx1"/>
            </w14:solidFill>
          </w14:textFill>
        </w:rPr>
        <w:t>（内容、格式自拟，必须提供）</w:t>
      </w:r>
      <w:r>
        <w:rPr>
          <w:rFonts w:hint="eastAsia" w:ascii="宋体" w:hAnsi="宋体" w:cs="宋体"/>
          <w:bCs/>
          <w:color w:val="000000" w:themeColor="text1"/>
          <w:kern w:val="0"/>
          <w:szCs w:val="21"/>
          <w14:textFill>
            <w14:solidFill>
              <w14:schemeClr w14:val="tx1"/>
            </w14:solidFill>
          </w14:textFill>
        </w:rPr>
        <w:t>；</w:t>
      </w:r>
    </w:p>
    <w:p>
      <w:pPr>
        <w:snapToGrid w:val="0"/>
        <w:spacing w:line="400" w:lineRule="exact"/>
        <w:ind w:firstLine="420" w:firstLineChars="200"/>
        <w:jc w:val="lef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（8）商务响应表（格式见第六章，必须提供）；</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（9）招标项目采购需求中要求必须提供的材料等</w:t>
      </w:r>
      <w:r>
        <w:rPr>
          <w:rFonts w:hint="eastAsia" w:ascii="宋体" w:hAnsi="宋体" w:cs="宋体"/>
          <w:b/>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（10）具备法律、行政法规规定的其他条件的证明材料</w:t>
      </w:r>
      <w:r>
        <w:rPr>
          <w:rFonts w:hint="eastAsia" w:ascii="宋体" w:hAnsi="宋体" w:cs="宋体"/>
          <w:b/>
          <w:color w:val="000000" w:themeColor="text1"/>
          <w:szCs w:val="21"/>
          <w14:textFill>
            <w14:solidFill>
              <w14:schemeClr w14:val="tx1"/>
            </w14:solidFill>
          </w14:textFill>
        </w:rPr>
        <w:t>（如有规定,则必须提供）。</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可作为投标人资信评分的资质证明材料【（11）-（1</w:t>
      </w:r>
      <w:r>
        <w:rPr>
          <w:rFonts w:hint="eastAsia" w:ascii="宋体" w:hAnsi="宋体" w:cs="宋体"/>
          <w:b/>
          <w:bCs/>
          <w:color w:val="000000" w:themeColor="text1"/>
          <w:szCs w:val="21"/>
          <w:lang w:val="en-US" w:eastAsia="zh-CN"/>
          <w14:textFill>
            <w14:solidFill>
              <w14:schemeClr w14:val="tx1"/>
            </w14:solidFill>
          </w14:textFill>
        </w:rPr>
        <w:t>8</w:t>
      </w:r>
      <w:r>
        <w:rPr>
          <w:rFonts w:hint="eastAsia" w:ascii="宋体" w:hAnsi="宋体" w:cs="宋体"/>
          <w:b/>
          <w:bCs/>
          <w:color w:val="000000" w:themeColor="text1"/>
          <w:szCs w:val="21"/>
          <w14:textFill>
            <w14:solidFill>
              <w14:schemeClr w14:val="tx1"/>
            </w14:solidFill>
          </w14:textFill>
        </w:rPr>
        <w:t xml:space="preserve">）可选，如有，可提供】 </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（11）类似案例成功的业绩（投标人同类项目实施情况一览表、合同扫描件）；</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（12）其他特殊资质证书（如本地化服务能力等）；</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（13）节能环保产品或政府强制采购节能产品清单证书；</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（14）投标人质量管理和质量保证体系等方面的认证证书；</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（15）投标人认为可以证明其能力或业绩的其他材料；</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（16）投标人关于产品生产时间、升级或者更新淘汰计划、配件供应以及本单位债务纠纷、违法违规记录等方面的情况（内容见投标声明书）；</w:t>
      </w:r>
    </w:p>
    <w:p>
      <w:pPr>
        <w:adjustRightInd w:val="0"/>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（17）关于符合本国产品标准的声明函（格式见第六章，如有，请提供）；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（18）投标人情况介绍。</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3.技术文件</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（1）对本项目系统总体要求的理解（如有，可提供）；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技术响应表</w:t>
      </w:r>
      <w:r>
        <w:rPr>
          <w:rFonts w:hint="eastAsia" w:ascii="宋体" w:hAnsi="宋体" w:cs="宋体"/>
          <w:b/>
          <w:color w:val="000000" w:themeColor="text1"/>
          <w:szCs w:val="21"/>
          <w14:textFill>
            <w14:solidFill>
              <w14:schemeClr w14:val="tx1"/>
            </w14:solidFill>
          </w14:textFill>
        </w:rPr>
        <w:t>（必须提供）；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（3）设备配置清单（均不含报价，如有，可提供）；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售后服务承诺书</w:t>
      </w:r>
      <w:r>
        <w:rPr>
          <w:rFonts w:hint="eastAsia" w:ascii="宋体" w:hAnsi="宋体" w:cs="宋体"/>
          <w:color w:val="000000" w:themeColor="text1"/>
          <w:szCs w:val="21"/>
          <w14:textFill>
            <w14:solidFill>
              <w14:schemeClr w14:val="tx1"/>
            </w14:solidFill>
          </w14:textFill>
        </w:rPr>
        <w:t>（应据项目实际要求描述如：投标人建议的安装、调试、验收方法或方案；技术服务、技术培训、售后服务的内容和措施等，</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（5）投标人拥有主要装备和检测设施的情况和现状及项目实施人员一览表（格式自拟，如有，可提供）； </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（6）优惠条件：投标人承诺给予招标人的各种优惠条件，包括备品备件、专用耗材、售后服务等方面的优惠（如有，可提供）；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（7）投标人对本项目的合理化建议和改进措施（如有，可提供）；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（8）投标人需要说明的其他文件和说明（格式略，如有，可提供）；</w:t>
      </w:r>
    </w:p>
    <w:p>
      <w:pPr>
        <w:snapToGrid w:val="0"/>
        <w:spacing w:line="400" w:lineRule="exact"/>
        <w:ind w:firstLine="421"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▲（9）招标项目采购需求中要求必须提供的材料（如有规定，则必须提供）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4.报价文件：</w:t>
      </w:r>
    </w:p>
    <w:p>
      <w:pPr>
        <w:tabs>
          <w:tab w:val="left" w:pos="3870"/>
          <w:tab w:val="left" w:pos="408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（1）投标函</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 xml:space="preserve">； </w:t>
      </w:r>
    </w:p>
    <w:p>
      <w:pPr>
        <w:tabs>
          <w:tab w:val="left" w:pos="3870"/>
          <w:tab w:val="left" w:pos="408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（2）投标报价明细表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tabs>
          <w:tab w:val="left" w:pos="3870"/>
          <w:tab w:val="left" w:pos="408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（3）投标人针对报价需要说明的其他文件和说明（格式自拟，如有，可提供）；</w:t>
      </w:r>
    </w:p>
    <w:p>
      <w:pPr>
        <w:tabs>
          <w:tab w:val="left" w:pos="3870"/>
          <w:tab w:val="left" w:pos="408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（4）开标一览表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pStyle w:val="45"/>
        <w:spacing w:after="0"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注：法定代表人授权委托书、投标声明书、投标函、开标一览表必须按</w:t>
      </w:r>
      <w:r>
        <w:rPr>
          <w:rFonts w:hint="eastAsia" w:ascii="宋体" w:hAnsi="宋体" w:cs="宋体"/>
          <w:b/>
          <w:color w:val="000000" w:themeColor="text1"/>
          <w:szCs w:val="21"/>
          <w14:textFill>
            <w14:solidFill>
              <w14:schemeClr w14:val="tx1"/>
            </w14:solidFill>
          </w14:textFill>
        </w:rPr>
        <w:t>招标文件格式要求</w:t>
      </w:r>
      <w:r>
        <w:rPr>
          <w:rFonts w:hint="eastAsia" w:ascii="宋体" w:hAnsi="宋体" w:cs="宋体"/>
          <w:b/>
          <w:color w:val="000000" w:themeColor="text1"/>
          <w:szCs w:val="21"/>
          <w:lang w:val="en"/>
          <w14:textFill>
            <w14:solidFill>
              <w14:schemeClr w14:val="tx1"/>
            </w14:solidFill>
          </w14:textFill>
        </w:rPr>
        <w:t>签字或签章</w:t>
      </w:r>
      <w:r>
        <w:rPr>
          <w:rFonts w:hint="eastAsia" w:ascii="宋体" w:hAnsi="宋体" w:cs="宋体"/>
          <w:b/>
          <w:bCs/>
          <w:color w:val="000000" w:themeColor="text1"/>
          <w:szCs w:val="21"/>
          <w14:textFill>
            <w14:solidFill>
              <w14:schemeClr w14:val="tx1"/>
            </w14:solidFill>
          </w14:textFill>
        </w:rPr>
        <w:t>并加盖单位公章。</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（二）投标文件的语言及计量</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▲1.投标文件以及投标方与招标方就有关投标事宜的所有来往函电，均应以中文汉语书写。除签名、盖章、专用名称等特殊情形外，以中文汉语以外的文字表述的投标文件视同未提供。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▲2.投标计量单位，招标文件已有明确规定的，使用招标文件规定的计量单位；招标文件没有规定的，应采用中华人民共和国法定计量单位（货币单位：人民币元），否则视同未响应。</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（三）投标报价</w:t>
      </w:r>
    </w:p>
    <w:p>
      <w:pPr>
        <w:pStyle w:val="28"/>
        <w:snapToGrid w:val="0"/>
        <w:spacing w:line="400" w:lineRule="exact"/>
        <w:ind w:firstLine="420" w:firstLineChars="200"/>
        <w:jc w:val="lef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1.投标报价应按招标文件中相关附表格式填写。</w:t>
      </w:r>
      <w:r>
        <w:rPr>
          <w:rFonts w:hint="eastAsia" w:hAnsi="宋体" w:cs="宋体"/>
          <w:b/>
          <w:bCs/>
          <w:color w:val="000000" w:themeColor="text1"/>
          <w14:textFill>
            <w14:solidFill>
              <w14:schemeClr w14:val="tx1"/>
            </w14:solidFill>
          </w14:textFill>
        </w:rPr>
        <w:t>投标人可就《项目采购需求》中所有分标的货物和服务内容按分标分别作完整唯一报价，也可对某个分标或几个分标的货物和服务内容按分标分别作完整唯一报价。</w:t>
      </w:r>
    </w:p>
    <w:p>
      <w:pPr>
        <w:pStyle w:val="28"/>
        <w:snapToGrid w:val="0"/>
        <w:spacing w:line="400" w:lineRule="exact"/>
        <w:ind w:firstLine="420" w:firstLineChars="200"/>
        <w:jc w:val="lef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3.投标文件只允许有一个报价，有选择的或有条件的报价将不予接受。</w:t>
      </w:r>
    </w:p>
    <w:p>
      <w:pPr>
        <w:pStyle w:val="13"/>
        <w:widowControl w:val="0"/>
        <w:tabs>
          <w:tab w:val="clear" w:pos="454"/>
        </w:tabs>
        <w:snapToGrid w:val="0"/>
        <w:spacing w:after="0" w:afterLines="0" w:line="400" w:lineRule="exact"/>
        <w:ind w:left="0" w:firstLine="421" w:firstLineChars="200"/>
        <w:outlineLvl w:val="0"/>
        <w:rPr>
          <w:rFonts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（四）投标文件的有效期</w:t>
      </w:r>
    </w:p>
    <w:p>
      <w:pPr>
        <w:pStyle w:val="13"/>
        <w:widowControl w:val="0"/>
        <w:tabs>
          <w:tab w:val="clear" w:pos="454"/>
        </w:tabs>
        <w:snapToGrid w:val="0"/>
        <w:spacing w:after="0" w:afterLines="0" w:line="400" w:lineRule="exact"/>
        <w:ind w:left="0" w:firstLine="420" w:firstLineChars="20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1.自投标截止日起</w:t>
      </w:r>
      <w:r>
        <w:rPr>
          <w:rFonts w:hint="eastAsia" w:ascii="宋体" w:hAnsi="宋体" w:cs="宋体"/>
          <w:b/>
          <w:color w:val="000000" w:themeColor="text1"/>
          <w:sz w:val="21"/>
          <w:szCs w:val="21"/>
          <w:u w:val="single"/>
          <w14:textFill>
            <w14:solidFill>
              <w14:schemeClr w14:val="tx1"/>
            </w14:solidFill>
          </w14:textFill>
        </w:rPr>
        <w:t>六十日</w:t>
      </w:r>
      <w:r>
        <w:rPr>
          <w:rFonts w:hint="eastAsia" w:ascii="宋体" w:hAnsi="宋体" w:cs="宋体"/>
          <w:color w:val="000000" w:themeColor="text1"/>
          <w:sz w:val="21"/>
          <w:szCs w:val="21"/>
          <w14:textFill>
            <w14:solidFill>
              <w14:schemeClr w14:val="tx1"/>
            </w14:solidFill>
          </w14:textFill>
        </w:rPr>
        <w:t>投标文件应保持有效。有效期不足的投标文件将被拒绝。</w:t>
      </w:r>
    </w:p>
    <w:p>
      <w:pPr>
        <w:pStyle w:val="13"/>
        <w:widowControl w:val="0"/>
        <w:tabs>
          <w:tab w:val="clear" w:pos="454"/>
        </w:tabs>
        <w:snapToGrid w:val="0"/>
        <w:spacing w:after="0" w:afterLines="0" w:line="400" w:lineRule="exact"/>
        <w:ind w:left="0" w:firstLine="420" w:firstLineChars="20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2.在特殊情况下，招标人可与投标人协商延长投标书的有效期，这种要求和答复均以书面形式进行。</w:t>
      </w:r>
    </w:p>
    <w:p>
      <w:pPr>
        <w:snapToGrid w:val="0"/>
        <w:spacing w:line="400" w:lineRule="exact"/>
        <w:ind w:firstLine="420"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3.投标人可拒绝接受延期要求而不会导致投标保证金被没收。同意延长有效期的投标人需要相应延长投标保证金的有效期，但不能修改投标文件。</w:t>
      </w:r>
      <w:r>
        <w:rPr>
          <w:rFonts w:hint="eastAsia" w:ascii="宋体" w:hAnsi="宋体" w:cs="宋体"/>
          <w:b/>
          <w:color w:val="000000" w:themeColor="text1"/>
          <w:szCs w:val="21"/>
          <w14:textFill>
            <w14:solidFill>
              <w14:schemeClr w14:val="tx1"/>
            </w14:solidFill>
          </w14:textFill>
        </w:rPr>
        <w:t xml:space="preserve"> </w:t>
      </w:r>
    </w:p>
    <w:p>
      <w:pPr>
        <w:snapToGrid w:val="0"/>
        <w:spacing w:line="400" w:lineRule="exact"/>
        <w:ind w:firstLine="420"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4.中标人的投标文件自开标之日起至合同履行完毕止均应保持有效。</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（五）投标保证金</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1.投标保证金应用人民币，投标人须按规定提交投标保证金。否则，其投标将被拒绝。</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2.保证金交纳形式：支票、汇票、本票、金融机构、担保机构出具的保函等非现金形式。</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3.投标人应按本须知及招标公告中所明确的开户名称、开户银行、账号，于投标截止前交到本中心账户上（投标人交纳投标保证金时应充分考虑保证金到达本中心账户上的清算时间）。</w:t>
      </w:r>
    </w:p>
    <w:p>
      <w:pPr>
        <w:snapToGrid w:val="0"/>
        <w:spacing w:line="400" w:lineRule="exact"/>
        <w:ind w:firstLine="421"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本中心财务</w:t>
      </w:r>
      <w:r>
        <w:rPr>
          <w:rFonts w:hint="eastAsia" w:ascii="宋体" w:hAnsi="宋体" w:cs="宋体"/>
          <w:b/>
          <w:color w:val="000000" w:themeColor="text1"/>
          <w:szCs w:val="21"/>
          <w:lang w:val="en"/>
          <w14:textFill>
            <w14:solidFill>
              <w14:schemeClr w14:val="tx1"/>
            </w14:solidFill>
          </w14:textFill>
        </w:rPr>
        <w:t>地址：广西南宁市星湖路22号广西壮族自治区政府采购中心综合楼3楼306室； 电话：0771-8600309。</w:t>
      </w:r>
    </w:p>
    <w:p>
      <w:pPr>
        <w:pStyle w:val="28"/>
        <w:spacing w:line="400" w:lineRule="exact"/>
        <w:ind w:firstLine="361" w:firstLineChars="200"/>
        <w:rPr>
          <w:rFonts w:hAnsi="宋体" w:cs="宋体"/>
          <w:b/>
          <w:color w:val="000000" w:themeColor="text1"/>
          <w:sz w:val="18"/>
          <w:szCs w:val="18"/>
          <w14:textFill>
            <w14:solidFill>
              <w14:schemeClr w14:val="tx1"/>
            </w14:solidFill>
          </w14:textFill>
        </w:rPr>
      </w:pPr>
      <w:r>
        <w:rPr>
          <w:rFonts w:hint="eastAsia" w:hAnsi="宋体" w:cs="宋体"/>
          <w:b/>
          <w:color w:val="000000" w:themeColor="text1"/>
          <w:sz w:val="18"/>
          <w:szCs w:val="18"/>
          <w14:textFill>
            <w14:solidFill>
              <w14:schemeClr w14:val="tx1"/>
            </w14:solidFill>
          </w14:textFill>
        </w:rPr>
        <w:t>注：</w:t>
      </w:r>
    </w:p>
    <w:p>
      <w:pPr>
        <w:pStyle w:val="28"/>
        <w:spacing w:line="400" w:lineRule="exact"/>
        <w:ind w:firstLine="361" w:firstLineChars="200"/>
        <w:rPr>
          <w:rFonts w:hAnsi="宋体" w:cs="宋体"/>
          <w:b/>
          <w:color w:val="000000" w:themeColor="text1"/>
          <w:sz w:val="18"/>
          <w:szCs w:val="18"/>
          <w14:textFill>
            <w14:solidFill>
              <w14:schemeClr w14:val="tx1"/>
            </w14:solidFill>
          </w14:textFill>
        </w:rPr>
      </w:pPr>
      <w:r>
        <w:rPr>
          <w:rFonts w:hint="eastAsia" w:hAnsi="宋体" w:cs="宋体"/>
          <w:b/>
          <w:color w:val="000000" w:themeColor="text1"/>
          <w:sz w:val="18"/>
          <w:szCs w:val="18"/>
          <w14:textFill>
            <w14:solidFill>
              <w14:schemeClr w14:val="tx1"/>
            </w14:solidFill>
          </w14:textFill>
        </w:rPr>
        <w:t>①办理投标保证金手续时，请务必在保证金凭据上注明或写明项目名称及项目编号，以免耽误投标。</w:t>
      </w:r>
    </w:p>
    <w:p>
      <w:pPr>
        <w:snapToGrid w:val="0"/>
        <w:spacing w:line="400" w:lineRule="exact"/>
        <w:ind w:firstLine="361" w:firstLineChars="200"/>
        <w:jc w:val="left"/>
        <w:rPr>
          <w:rFonts w:ascii="宋体" w:hAnsi="宋体" w:cs="宋体"/>
          <w:b/>
          <w:color w:val="000000" w:themeColor="text1"/>
          <w:sz w:val="18"/>
          <w:szCs w:val="18"/>
          <w14:textFill>
            <w14:solidFill>
              <w14:schemeClr w14:val="tx1"/>
            </w14:solidFill>
          </w14:textFill>
        </w:rPr>
      </w:pPr>
      <w:r>
        <w:rPr>
          <w:rFonts w:hint="eastAsia" w:ascii="宋体" w:hAnsi="宋体" w:cs="宋体"/>
          <w:b/>
          <w:color w:val="000000" w:themeColor="text1"/>
          <w:sz w:val="18"/>
          <w:szCs w:val="18"/>
          <w14:textFill>
            <w14:solidFill>
              <w14:schemeClr w14:val="tx1"/>
            </w14:solidFill>
          </w14:textFill>
        </w:rPr>
        <w:t>②未中标人的投标保证金在中标通知书发出后4个工作日内退还，不计利息。</w:t>
      </w:r>
    </w:p>
    <w:p>
      <w:pPr>
        <w:snapToGrid w:val="0"/>
        <w:spacing w:line="400" w:lineRule="exact"/>
        <w:ind w:firstLine="36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 w:val="18"/>
          <w:szCs w:val="18"/>
          <w14:textFill>
            <w14:solidFill>
              <w14:schemeClr w14:val="tx1"/>
            </w14:solidFill>
          </w14:textFill>
        </w:rPr>
        <w:t>③</w:t>
      </w:r>
      <w:r>
        <w:rPr>
          <w:rFonts w:hint="eastAsia" w:ascii="宋体" w:hAnsi="宋体" w:cs="宋体"/>
          <w:b/>
          <w:color w:val="000000" w:themeColor="text1"/>
          <w:spacing w:val="-4"/>
          <w:sz w:val="18"/>
          <w:szCs w:val="18"/>
          <w14:textFill>
            <w14:solidFill>
              <w14:schemeClr w14:val="tx1"/>
            </w14:solidFill>
          </w14:textFill>
        </w:rPr>
        <w:t>中标人的投标保证金自政府采购合同签订之日起4个工作日内（合同签订后送达本中心)退还，不计利息。</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中标人应在中标通知书发出之日起</w:t>
      </w:r>
      <w:r>
        <w:rPr>
          <w:rFonts w:hint="eastAsia" w:ascii="宋体" w:hAnsi="宋体" w:cs="宋体"/>
          <w:color w:val="000000" w:themeColor="text1"/>
          <w:szCs w:val="21"/>
          <w:u w:val="single"/>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日内与采购人签订合同。</w:t>
      </w:r>
      <w:r>
        <w:rPr>
          <w:rFonts w:hint="eastAsia" w:ascii="宋体" w:hAnsi="宋体" w:cs="宋体"/>
          <w:bCs/>
          <w:color w:val="000000" w:themeColor="text1"/>
          <w:szCs w:val="21"/>
          <w14:textFill>
            <w14:solidFill>
              <w14:schemeClr w14:val="tx1"/>
            </w14:solidFill>
          </w14:textFill>
        </w:rPr>
        <w:t>采购需求另有要求的，按照其要求执行。</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5.投标保证金不计息。</w:t>
      </w:r>
    </w:p>
    <w:p>
      <w:pPr>
        <w:snapToGrid w:val="0"/>
        <w:spacing w:line="40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6.投标人有下列情形之一的，投标保证金将不予退还：</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（1）投标人在投标有效期内撤回投标文件的；</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（2）投标人在投标过程中弄虚作假，提供虚假材料的；</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（3）中标人无正当理由不与采购人签订合同的；</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Cs/>
          <w:color w:val="000000" w:themeColor="text1"/>
          <w:spacing w:val="-6"/>
          <w:szCs w:val="21"/>
          <w14:textFill>
            <w14:solidFill>
              <w14:schemeClr w14:val="tx1"/>
            </w14:solidFill>
          </w14:textFill>
        </w:rPr>
        <w:t>将中标项目转让给他人或者在投标文件中未说明且未经招标采购人同意，将中标项目分包给他人的；</w:t>
      </w:r>
    </w:p>
    <w:p>
      <w:pPr>
        <w:snapToGrid w:val="0"/>
        <w:spacing w:line="400" w:lineRule="exact"/>
        <w:ind w:firstLine="420" w:firstLineChars="200"/>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（5）拒绝履行合同义务的；</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（6）其他严重扰乱招投标程序的。</w:t>
      </w:r>
    </w:p>
    <w:p>
      <w:pPr>
        <w:snapToGrid w:val="0"/>
        <w:spacing w:line="40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（六）投标文件的签署和份数</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1.投标人应按本招标文件规定的格式和顺序编制投标文件并标注页码，投标文件内容不完整、编排混乱导致投标文件被误读、漏读或者查找不到相关内容的，是投标人的责任。</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2.投标文件份数：见投标人须知及前附表。</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3.投标文件须由投标人在规定位置盖章并由法定代表人或法定代表人的授权委托人签字或签章，投标人应写全称。</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4.投标文件不得涂改，若有修改错漏处，须加盖单位公章或者法定代表人或授权委托人签字或签章。投标文件扫描不清晰或乱码或表达不清所引起的后果由投标人负责。</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（七）投标文件的上传、提交、修改、撤回和解密</w:t>
      </w:r>
    </w:p>
    <w:p>
      <w:pPr>
        <w:adjustRightInd w:val="0"/>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▲1.投</w:t>
      </w:r>
      <w:r>
        <w:rPr>
          <w:rFonts w:hint="eastAsia" w:ascii="宋体" w:hAnsi="宋体" w:cs="宋体"/>
          <w:b/>
          <w:color w:val="000000" w:themeColor="text1"/>
          <w:szCs w:val="21"/>
          <w14:textFill>
            <w14:solidFill>
              <w14:schemeClr w14:val="tx1"/>
            </w14:solidFill>
          </w14:textFill>
        </w:rPr>
        <w:t>标文件的上传、提交：见投标人须知及前附表。</w:t>
      </w:r>
    </w:p>
    <w:p>
      <w:pPr>
        <w:adjustRightInd w:val="0"/>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kern w:val="0"/>
          <w:szCs w:val="21"/>
          <w:lang w:val="zh-CN"/>
          <w14:textFill>
            <w14:solidFill>
              <w14:schemeClr w14:val="tx1"/>
            </w14:solidFill>
          </w14:textFill>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04" w:firstLineChars="200"/>
        <w:rPr>
          <w:rFonts w:ascii="宋体" w:hAnsi="宋体" w:cs="宋体"/>
          <w:color w:val="000000" w:themeColor="text1"/>
          <w:spacing w:val="-4"/>
          <w:szCs w:val="21"/>
          <w14:textFill>
            <w14:solidFill>
              <w14:schemeClr w14:val="tx1"/>
            </w14:solidFill>
          </w14:textFill>
        </w:rPr>
      </w:pPr>
      <w:r>
        <w:rPr>
          <w:rFonts w:hint="eastAsia" w:ascii="宋体" w:hAnsi="宋体" w:cs="宋体"/>
          <w:color w:val="000000" w:themeColor="text1"/>
          <w:spacing w:val="-4"/>
          <w:szCs w:val="21"/>
          <w14:textFill>
            <w14:solidFill>
              <w14:schemeClr w14:val="tx1"/>
            </w14:solidFill>
          </w14:textFill>
        </w:rPr>
        <w:t>3.</w:t>
      </w:r>
      <w:r>
        <w:rPr>
          <w:rFonts w:hint="eastAsia" w:ascii="宋体" w:hAnsi="宋体" w:cs="宋体"/>
          <w:snapToGrid w:val="0"/>
          <w:color w:val="000000" w:themeColor="text1"/>
          <w:szCs w:val="21"/>
          <w14:textFill>
            <w14:solidFill>
              <w14:schemeClr w14:val="tx1"/>
            </w14:solidFill>
          </w14:textFill>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400" w:lineRule="exact"/>
        <w:ind w:firstLine="404" w:firstLineChars="200"/>
        <w:jc w:val="left"/>
        <w:rPr>
          <w:rFonts w:ascii="宋体" w:hAnsi="宋体" w:cs="宋体"/>
          <w:color w:val="000000" w:themeColor="text1"/>
          <w:spacing w:val="-4"/>
          <w:szCs w:val="21"/>
          <w14:textFill>
            <w14:solidFill>
              <w14:schemeClr w14:val="tx1"/>
            </w14:solidFill>
          </w14:textFill>
        </w:rPr>
      </w:pPr>
      <w:r>
        <w:rPr>
          <w:rFonts w:hint="eastAsia" w:ascii="宋体" w:hAnsi="宋体" w:cs="宋体"/>
          <w:color w:val="000000" w:themeColor="text1"/>
          <w:spacing w:val="-4"/>
          <w:szCs w:val="21"/>
          <w14:textFill>
            <w14:solidFill>
              <w14:schemeClr w14:val="tx1"/>
            </w14:solidFill>
          </w14:textFill>
        </w:rPr>
        <w:t>4.投标人已经被推荐为第一中标候选供应商后撤回投标或放弃中标的，其投标保证金将不予退还，并上缴国库，给采购人造成损失的，还应当赔偿损失，并作为不良行为记录在案。</w:t>
      </w:r>
    </w:p>
    <w:p>
      <w:pPr>
        <w:snapToGrid w:val="0"/>
        <w:spacing w:line="40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（八）投标无效的情形</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实质上没有响应招标文件要求的投标将被视为无效投标。投标人不得通过修正或撤销不</w:t>
      </w:r>
      <w:r>
        <w:rPr>
          <w:rFonts w:hint="eastAsia" w:ascii="宋体" w:hAnsi="宋体" w:eastAsia="宋体" w:cs="宋体"/>
          <w:color w:val="000000" w:themeColor="text1"/>
          <w:spacing w:val="-4"/>
          <w:sz w:val="21"/>
          <w:szCs w:val="21"/>
          <w:lang w:eastAsia="zh-CN"/>
          <w14:textFill>
            <w14:solidFill>
              <w14:schemeClr w14:val="tx1"/>
            </w14:solidFill>
          </w14:textFill>
        </w:rPr>
        <w:t>符合</w:t>
      </w:r>
      <w:r>
        <w:rPr>
          <w:rFonts w:hint="eastAsia" w:ascii="宋体" w:hAnsi="宋体" w:eastAsia="宋体" w:cs="宋体"/>
          <w:color w:val="000000" w:themeColor="text1"/>
          <w:spacing w:val="-4"/>
          <w:sz w:val="21"/>
          <w:szCs w:val="21"/>
          <w14:textFill>
            <w14:solidFill>
              <w14:schemeClr w14:val="tx1"/>
            </w14:solidFill>
          </w14:textFill>
        </w:rPr>
        <w:t>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1.在符合性审查和资格性审查时，如发现下列情形之一的，投标文件将被视为无效：</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（1）超越了按照法律法规规定必须获得行政许可或者行政审批的经营范围的；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（2）资格证明文件不全的，或者不符合招标文件标明的资格要求的；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（3）投标文件无法定代表人（负责人）或其授权委托代理人</w:t>
      </w:r>
      <w:r>
        <w:rPr>
          <w:rFonts w:hint="eastAsia" w:ascii="宋体" w:hAnsi="宋体" w:eastAsia="宋体" w:cs="宋体"/>
          <w:color w:val="000000" w:themeColor="text1"/>
          <w:spacing w:val="-4"/>
          <w:sz w:val="21"/>
          <w:szCs w:val="21"/>
          <w:lang w:val="en"/>
          <w14:textFill>
            <w14:solidFill>
              <w14:schemeClr w14:val="tx1"/>
            </w14:solidFill>
          </w14:textFill>
        </w:rPr>
        <w:t>签字或签章</w:t>
      </w:r>
      <w:r>
        <w:rPr>
          <w:rFonts w:hint="eastAsia" w:ascii="宋体" w:hAnsi="宋体" w:eastAsia="宋体" w:cs="宋体"/>
          <w:color w:val="000000" w:themeColor="text1"/>
          <w:spacing w:val="-4"/>
          <w:sz w:val="21"/>
          <w:szCs w:val="21"/>
          <w14:textFill>
            <w14:solidFill>
              <w14:schemeClr w14:val="tx1"/>
            </w14:solidFill>
          </w14:textFill>
        </w:rPr>
        <w:t>，或未提供法定代表人（负责人）授权委托书、投标声明书或者填写项目不齐全的；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（4）投标代表人未能出具身份证明或与法定代表人（负责人）授权委托人身份不符的；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（5）项目不齐全或者内容虚假的；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（6）投标文件的实质性内容未使用中文表述、意思表述不明确、前后矛盾或者使用计量单位不符合投标文件要求的（经评标委员会认定并允许其当场更正的笔误除外）；</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（7）投标有效期、交付使用时间、质保期等商务条款不能满足招标文件要求的；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（8）未实质性响应招标文件要求或者投标文件有招标方不能接受的附加条件的；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（9）未按照招标文件的规定提交投标保证金的（说明：评标时，评标委员会将以本中心财务室编制的《采购文件购买名单及保证金收缴情况表》作为评审依据）。</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2.在技术评审时，如发现下列情形之一的，投标文件将被视为无效：</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（1）未提供或未如实提供投标货物的技术参数，或者投标文件标明的响应或偏离与事实不符或虚假投标的；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（2）明显不符合招标文件要求的规格型号、质量标准，或者与招标文件中的技术指标、主要功能项目发生实质性偏离的；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（3）标星号“</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themeColor="text1"/>
          <w:spacing w:val="-4"/>
          <w:sz w:val="21"/>
          <w:szCs w:val="21"/>
          <w14:textFill>
            <w14:solidFill>
              <w14:schemeClr w14:val="tx1"/>
            </w14:solidFill>
          </w14:textFill>
        </w:rPr>
        <w:t>”的技术、性能指标发生负偏离达</w:t>
      </w:r>
      <w:r>
        <w:rPr>
          <w:rFonts w:hint="eastAsia" w:ascii="宋体" w:hAnsi="宋体" w:eastAsia="宋体" w:cs="宋体"/>
          <w:color w:val="000000" w:themeColor="text1"/>
          <w:spacing w:val="-4"/>
          <w:sz w:val="21"/>
          <w:szCs w:val="21"/>
          <w:u w:val="single"/>
          <w14:textFill>
            <w14:solidFill>
              <w14:schemeClr w14:val="tx1"/>
            </w14:solidFill>
          </w14:textFill>
        </w:rPr>
        <w:t xml:space="preserve">  1  </w:t>
      </w:r>
      <w:r>
        <w:rPr>
          <w:rFonts w:hint="eastAsia" w:ascii="宋体" w:hAnsi="宋体" w:eastAsia="宋体" w:cs="宋体"/>
          <w:color w:val="000000" w:themeColor="text1"/>
          <w:spacing w:val="-4"/>
          <w:sz w:val="21"/>
          <w:szCs w:val="21"/>
          <w14:textFill>
            <w14:solidFill>
              <w14:schemeClr w14:val="tx1"/>
            </w14:solidFill>
          </w14:textFill>
        </w:rPr>
        <w:t>项（含）以上的；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（4）投标技术方案不明确，存在一个或一个以上备选（替换）投标方案的；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（5）与其他参加本次投标供应商的投标文件（技术文件）的文字表述内容差错相同二处以上的。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3.在报价评审时，如发现下列情形之一的，投标文件将被视为无效：</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（1）未采用人民币报价或者未按照招标文件标明的币种报价的；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（2）报价超出最高限价，或者超出采购预算金额，采购人不能支付的；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（3）投标报价具有选择性，或者开标价格与投标文件承诺的优惠（折扣）价格不一致的。</w:t>
      </w:r>
    </w:p>
    <w:p>
      <w:pPr>
        <w:pStyle w:val="21"/>
        <w:snapToGrid w:val="0"/>
        <w:spacing w:line="400" w:lineRule="exact"/>
        <w:ind w:firstLine="420" w:firstLineChars="200"/>
        <w:outlineLvl w:val="0"/>
        <w:rPr>
          <w:rFonts w:ascii="宋体" w:hAnsi="宋体" w:eastAsia="宋体" w:cs="宋体"/>
          <w:color w:val="000000" w:themeColor="text1"/>
          <w:kern w:val="0"/>
          <w:sz w:val="21"/>
          <w:szCs w:val="21"/>
          <w:lang w:val="zh-CN"/>
          <w14:textFill>
            <w14:solidFill>
              <w14:schemeClr w14:val="tx1"/>
            </w14:solidFill>
          </w14:textFill>
        </w:rPr>
      </w:pPr>
      <w:r>
        <w:rPr>
          <w:rFonts w:hint="eastAsia" w:ascii="宋体" w:hAnsi="宋体" w:eastAsia="宋体" w:cs="宋体"/>
          <w:color w:val="000000" w:themeColor="text1"/>
          <w:kern w:val="0"/>
          <w:sz w:val="21"/>
          <w:szCs w:val="21"/>
          <w:lang w:val="zh-CN"/>
          <w14:textFill>
            <w14:solidFill>
              <w14:schemeClr w14:val="tx1"/>
            </w14:solidFill>
          </w14:textFill>
        </w:rPr>
        <w:t>（4）评标委员会在评审中，经启动异常低价审查程序后供应商未能</w:t>
      </w:r>
      <w:r>
        <w:rPr>
          <w:rFonts w:hint="eastAsia" w:ascii="宋体" w:hAnsi="宋体" w:eastAsia="宋体" w:cs="宋体"/>
          <w:bCs/>
          <w:color w:val="000000" w:themeColor="text1"/>
          <w:sz w:val="21"/>
          <w:szCs w:val="21"/>
          <w14:textFill>
            <w14:solidFill>
              <w14:schemeClr w14:val="tx1"/>
            </w14:solidFill>
          </w14:textFill>
        </w:rPr>
        <w:t>证明其报价合理性的</w:t>
      </w:r>
      <w:r>
        <w:rPr>
          <w:rFonts w:hint="eastAsia" w:ascii="宋体" w:hAnsi="宋体" w:eastAsia="宋体" w:cs="宋体"/>
          <w:color w:val="000000" w:themeColor="text1"/>
          <w:kern w:val="0"/>
          <w:sz w:val="21"/>
          <w:szCs w:val="21"/>
          <w:lang w:val="zh-CN"/>
          <w14:textFill>
            <w14:solidFill>
              <w14:schemeClr w14:val="tx1"/>
            </w14:solidFill>
          </w14:textFill>
        </w:rPr>
        <w:t>。</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4.有下列情形之一的视为投标人相互串通投标，投标文件将被视为无效:</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（1）不同投标人的投标文件由同一单位或者个人编制；或不同投标人报名的IP地址一致的；</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（2）不同投标人委托同一单位或者个人办理投标事宜；</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（3）不同投标人的投标文件载明的项目管理成员或者联系人员为同一人；</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（4）不同投标人的投标文件异常一致或投标报价呈规律性差异；</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（5）不同投标人的投标文件相互混装；</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（6）不同投标人的投标保证金从同一个单位或者个人账户转出。</w:t>
      </w:r>
    </w:p>
    <w:p>
      <w:pPr>
        <w:pStyle w:val="21"/>
        <w:adjustRightInd w:val="0"/>
        <w:snapToGrid w:val="0"/>
        <w:spacing w:line="400" w:lineRule="exact"/>
        <w:ind w:firstLine="404" w:firstLineChars="200"/>
        <w:rPr>
          <w:rFonts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
          <w14:textFill>
            <w14:solidFill>
              <w14:schemeClr w14:val="tx1"/>
            </w14:solidFill>
          </w14:textFill>
        </w:rPr>
        <w:t>5</w:t>
      </w:r>
      <w:r>
        <w:rPr>
          <w:rFonts w:hint="eastAsia" w:ascii="宋体" w:hAnsi="宋体" w:eastAsia="宋体" w:cs="宋体"/>
          <w:color w:val="000000" w:themeColor="text1"/>
          <w:spacing w:val="-4"/>
          <w:sz w:val="21"/>
          <w:szCs w:val="21"/>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其他投标无效的情形：</w:t>
      </w:r>
    </w:p>
    <w:p>
      <w:pPr>
        <w:pStyle w:val="21"/>
        <w:adjustRightInd w:val="0"/>
        <w:snapToGrid w:val="0"/>
        <w:spacing w:line="400" w:lineRule="exact"/>
        <w:ind w:firstLine="421" w:firstLineChars="200"/>
        <w:rPr>
          <w:rFonts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（1）投标文件未按招标文件要求签署或CA电子签章的；</w:t>
      </w:r>
    </w:p>
    <w:p>
      <w:pPr>
        <w:pStyle w:val="21"/>
        <w:adjustRightInd w:val="0"/>
        <w:snapToGrid w:val="0"/>
        <w:spacing w:line="400" w:lineRule="exact"/>
        <w:ind w:firstLine="421" w:firstLineChars="200"/>
        <w:rPr>
          <w:rFonts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（2）供应商提交两份或两份以上内容不同的投标文件；</w:t>
      </w:r>
    </w:p>
    <w:p>
      <w:pPr>
        <w:pStyle w:val="28"/>
        <w:adjustRightInd w:val="0"/>
        <w:snapToGrid w:val="0"/>
        <w:spacing w:line="400" w:lineRule="exact"/>
        <w:ind w:firstLine="421" w:firstLineChars="200"/>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（3）投标供应商在线制作投标文件时填写的报价金额与解密后“电子加密投标文件”中《开标一览表》填写的金额不一致并拒绝按招标文件要求接受调整的；</w:t>
      </w:r>
    </w:p>
    <w:p>
      <w:pPr>
        <w:pStyle w:val="21"/>
        <w:snapToGrid w:val="0"/>
        <w:spacing w:line="400" w:lineRule="exact"/>
        <w:ind w:firstLine="421"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（4）法律、法规和招标文件规定的其他无效情形（或出现重大偏差）。</w:t>
      </w:r>
    </w:p>
    <w:p>
      <w:pPr>
        <w:pStyle w:val="21"/>
        <w:snapToGrid w:val="0"/>
        <w:spacing w:line="400" w:lineRule="exact"/>
        <w:ind w:firstLine="404" w:firstLineChars="200"/>
        <w:outlineLvl w:val="0"/>
        <w:rPr>
          <w:rFonts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lang w:val="en"/>
          <w14:textFill>
            <w14:solidFill>
              <w14:schemeClr w14:val="tx1"/>
            </w14:solidFill>
          </w14:textFill>
        </w:rPr>
        <w:t>6</w:t>
      </w:r>
      <w:r>
        <w:rPr>
          <w:rFonts w:hint="eastAsia" w:ascii="宋体" w:hAnsi="宋体" w:eastAsia="宋体" w:cs="宋体"/>
          <w:color w:val="000000" w:themeColor="text1"/>
          <w:spacing w:val="-4"/>
          <w:sz w:val="21"/>
          <w:szCs w:val="21"/>
          <w14:textFill>
            <w14:solidFill>
              <w14:schemeClr w14:val="tx1"/>
            </w14:solidFill>
          </w14:textFill>
        </w:rPr>
        <w:t>.被拒绝的投标文件为无效。</w:t>
      </w:r>
    </w:p>
    <w:p>
      <w:pPr>
        <w:pStyle w:val="21"/>
        <w:snapToGrid w:val="0"/>
        <w:spacing w:line="400" w:lineRule="exact"/>
        <w:ind w:firstLine="421" w:firstLineChars="200"/>
        <w:outlineLvl w:val="0"/>
        <w:rPr>
          <w:rFonts w:ascii="宋体" w:hAnsi="宋体" w:eastAsia="宋体" w:cs="宋体"/>
          <w:b/>
          <w:snapToGrid w:val="0"/>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四、开标</w:t>
      </w:r>
    </w:p>
    <w:p>
      <w:pPr>
        <w:pStyle w:val="28"/>
        <w:snapToGrid w:val="0"/>
        <w:spacing w:line="400" w:lineRule="exact"/>
        <w:ind w:firstLine="421" w:firstLineChars="200"/>
        <w:outlineLvl w:val="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（一）开标准备</w:t>
      </w:r>
    </w:p>
    <w:p>
      <w:pPr>
        <w:pStyle w:val="28"/>
        <w:snapToGrid w:val="0"/>
        <w:spacing w:line="400" w:lineRule="exact"/>
        <w:ind w:firstLine="420" w:firstLineChars="200"/>
        <w:rPr>
          <w:rFonts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本中心将</w:t>
      </w:r>
      <w:r>
        <w:rPr>
          <w:rFonts w:hint="eastAsia" w:hAnsi="宋体" w:cs="宋体"/>
          <w:color w:val="000000" w:themeColor="text1"/>
          <w14:textFill>
            <w14:solidFill>
              <w14:schemeClr w14:val="tx1"/>
            </w14:solidFill>
          </w14:textFill>
        </w:rPr>
        <w:t>按招标文件规定的时间、地点通过“广西政府采购云平台”组织开标、开启投标文件，所有供应商均应当准时在线参加。投标供应商因未在线参加开标而导致投标文件无法按时解密等一切后果由供应商自行承担。</w:t>
      </w:r>
    </w:p>
    <w:p>
      <w:pPr>
        <w:pStyle w:val="28"/>
        <w:snapToGrid w:val="0"/>
        <w:spacing w:line="400" w:lineRule="exact"/>
        <w:ind w:firstLine="421" w:firstLineChars="200"/>
        <w:outlineLvl w:val="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（二）开标程序：</w:t>
      </w:r>
    </w:p>
    <w:p>
      <w:pPr>
        <w:pStyle w:val="28"/>
        <w:adjustRightInd w:val="0"/>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1.电子开标会由本中心主持</w:t>
      </w:r>
    </w:p>
    <w:p>
      <w:pPr>
        <w:pStyle w:val="28"/>
        <w:adjustRightInd w:val="0"/>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2.本中心工作人员向各投标供应商发出电子加密投标文件【开始解密】通知，由供应商按招标文件规定的时间内自行进行投标文件解密。</w:t>
      </w:r>
      <w:r>
        <w:rPr>
          <w:rFonts w:hint="eastAsia" w:hAnsi="宋体" w:cs="宋体"/>
          <w:snapToGrid w:val="0"/>
          <w:color w:val="000000" w:themeColor="text1"/>
          <w14:textFill>
            <w14:solidFill>
              <w14:schemeClr w14:val="tx1"/>
            </w14:solidFill>
          </w14:textFill>
        </w:rPr>
        <w:t>投标供应商未在规定时间内完成解密的，系统默认自动放弃。</w:t>
      </w:r>
    </w:p>
    <w:p>
      <w:pPr>
        <w:pStyle w:val="28"/>
        <w:adjustRightInd w:val="0"/>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pPr>
        <w:pStyle w:val="28"/>
        <w:adjustRightInd w:val="0"/>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4.进入资格文件审查环节，本中心或者招标采购单位依法对投标供应商的资格进行审查。</w:t>
      </w:r>
    </w:p>
    <w:p>
      <w:pPr>
        <w:pStyle w:val="28"/>
        <w:adjustRightInd w:val="0"/>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5.开启资格审查通过的投标供应商的商务技术文件进入符合性审查及商务技术评审。</w:t>
      </w:r>
    </w:p>
    <w:p>
      <w:pPr>
        <w:pStyle w:val="28"/>
        <w:adjustRightInd w:val="0"/>
        <w:snapToGrid w:val="0"/>
        <w:spacing w:line="400" w:lineRule="exact"/>
        <w:ind w:firstLine="421" w:firstLineChars="200"/>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注：①当整个招标项目的投标人不足3家的不开标，本中心将按政府采购管理的有关规定处理。</w:t>
      </w:r>
    </w:p>
    <w:p>
      <w:pPr>
        <w:pStyle w:val="28"/>
        <w:adjustRightInd w:val="0"/>
        <w:snapToGrid w:val="0"/>
        <w:spacing w:line="400" w:lineRule="exact"/>
        <w:ind w:firstLine="421" w:firstLineChars="200"/>
        <w:rPr>
          <w:rFonts w:hAnsi="宋体" w:cs="宋体"/>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②开标后,某分标投标人不足3家的，本中心将按政府采购管理的有关规定处理。</w:t>
      </w:r>
    </w:p>
    <w:p>
      <w:pPr>
        <w:pStyle w:val="28"/>
        <w:snapToGrid w:val="0"/>
        <w:spacing w:line="400" w:lineRule="exact"/>
        <w:ind w:firstLine="421" w:firstLineChars="200"/>
        <w:rPr>
          <w:rFonts w:hAnsi="宋体" w:cs="宋体"/>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特别说明：如遇“</w:t>
      </w:r>
      <w:r>
        <w:rPr>
          <w:rFonts w:hint="eastAsia" w:hAnsi="宋体" w:cs="宋体"/>
          <w:b/>
          <w:bCs/>
          <w:color w:val="000000" w:themeColor="text1"/>
          <w:lang w:val="en"/>
          <w14:textFill>
            <w14:solidFill>
              <w14:schemeClr w14:val="tx1"/>
            </w14:solidFill>
          </w14:textFill>
        </w:rPr>
        <w:t>广西政府采购云平台</w:t>
      </w:r>
      <w:r>
        <w:rPr>
          <w:rFonts w:hint="eastAsia" w:hAnsi="宋体" w:cs="宋体"/>
          <w:b/>
          <w:bCs/>
          <w:color w:val="000000" w:themeColor="text1"/>
          <w14:textFill>
            <w14:solidFill>
              <w14:schemeClr w14:val="tx1"/>
            </w14:solidFill>
          </w14:textFill>
        </w:rPr>
        <w:t>”电子化开标或评审程序调整的，按调整后程序执行。</w:t>
      </w:r>
    </w:p>
    <w:p>
      <w:pPr>
        <w:pStyle w:val="28"/>
        <w:snapToGrid w:val="0"/>
        <w:spacing w:line="400" w:lineRule="exact"/>
        <w:ind w:firstLine="421" w:firstLineChars="200"/>
        <w:outlineLvl w:val="1"/>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五、</w:t>
      </w:r>
      <w:r>
        <w:rPr>
          <w:rFonts w:hint="eastAsia" w:hAnsi="宋体" w:cs="宋体"/>
          <w:b/>
          <w:bCs/>
          <w:color w:val="000000" w:themeColor="text1"/>
          <w14:textFill>
            <w14:solidFill>
              <w14:schemeClr w14:val="tx1"/>
            </w14:solidFill>
          </w14:textFill>
        </w:rPr>
        <w:t>资格审查</w:t>
      </w:r>
    </w:p>
    <w:p>
      <w:pPr>
        <w:pStyle w:val="28"/>
        <w:snapToGrid w:val="0"/>
        <w:spacing w:line="400" w:lineRule="exact"/>
        <w:ind w:firstLine="420" w:firstLineChars="200"/>
        <w:outlineLvl w:val="1"/>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采购人</w:t>
      </w:r>
      <w:r>
        <w:rPr>
          <w:rFonts w:hint="eastAsia" w:hAnsi="宋体" w:cs="宋体"/>
          <w:color w:val="000000" w:themeColor="text1"/>
          <w:spacing w:val="-4"/>
          <w14:textFill>
            <w14:solidFill>
              <w14:schemeClr w14:val="tx1"/>
            </w14:solidFill>
          </w14:textFill>
        </w:rPr>
        <w:t>或本中心工作人员</w:t>
      </w:r>
      <w:r>
        <w:rPr>
          <w:rFonts w:hint="eastAsia" w:hAnsi="宋体" w:cs="宋体"/>
          <w:color w:val="000000" w:themeColor="text1"/>
          <w14:textFill>
            <w14:solidFill>
              <w14:schemeClr w14:val="tx1"/>
            </w14:solidFill>
          </w14:textFill>
        </w:rPr>
        <w:t>依法对投标人的资格进行审查。合格投标人不足3家的，不得评标。</w:t>
      </w:r>
    </w:p>
    <w:p>
      <w:pPr>
        <w:pStyle w:val="28"/>
        <w:snapToGrid w:val="0"/>
        <w:spacing w:line="400" w:lineRule="exact"/>
        <w:ind w:firstLine="421" w:firstLineChars="200"/>
        <w:outlineLvl w:val="1"/>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六、评标</w:t>
      </w:r>
    </w:p>
    <w:p>
      <w:pPr>
        <w:pStyle w:val="28"/>
        <w:snapToGrid w:val="0"/>
        <w:spacing w:line="40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（一）组建评标委员会</w:t>
      </w:r>
    </w:p>
    <w:p>
      <w:pPr>
        <w:pStyle w:val="28"/>
        <w:snapToGrid w:val="0"/>
        <w:spacing w:line="400" w:lineRule="exact"/>
        <w:ind w:firstLine="420" w:firstLineChars="200"/>
        <w:rPr>
          <w:rFonts w:hAnsi="宋体" w:cs="宋体"/>
          <w:color w:val="000000" w:themeColor="text1"/>
          <w:spacing w:val="-4"/>
          <w14:textFill>
            <w14:solidFill>
              <w14:schemeClr w14:val="tx1"/>
            </w14:solidFill>
          </w14:textFill>
        </w:rPr>
      </w:pPr>
      <w:r>
        <w:rPr>
          <w:rFonts w:hint="eastAsia" w:hAnsi="宋体" w:cs="宋体"/>
          <w:bCs/>
          <w:color w:val="000000" w:themeColor="text1"/>
          <w14:textFill>
            <w14:solidFill>
              <w14:schemeClr w14:val="tx1"/>
            </w14:solidFill>
          </w14:textFill>
        </w:rPr>
        <w:t>本招标采购项目的</w:t>
      </w:r>
      <w:r>
        <w:rPr>
          <w:rFonts w:hint="eastAsia" w:hAnsi="宋体" w:cs="宋体"/>
          <w:color w:val="000000" w:themeColor="text1"/>
          <w:spacing w:val="-4"/>
          <w14:textFill>
            <w14:solidFill>
              <w14:schemeClr w14:val="tx1"/>
            </w14:solidFill>
          </w14:textFill>
        </w:rPr>
        <w:t>评标委员会由采购人代表和评审专家组成，成员人数应当为5人以上单数，其中评审专家不得少于成员总数的三分之二。</w:t>
      </w:r>
    </w:p>
    <w:p>
      <w:pPr>
        <w:pStyle w:val="28"/>
        <w:snapToGrid w:val="0"/>
        <w:spacing w:line="40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（二）评标的方式</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本项目采用不公开方式评标，评标的依据为招标文件和投标文件。</w:t>
      </w:r>
    </w:p>
    <w:p>
      <w:pPr>
        <w:pStyle w:val="28"/>
        <w:snapToGrid w:val="0"/>
        <w:spacing w:line="40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w:t>
      </w:r>
      <w:r>
        <w:rPr>
          <w:rFonts w:hint="eastAsia" w:hAnsi="宋体" w:cs="宋体"/>
          <w:b/>
          <w:bCs/>
          <w:color w:val="000000" w:themeColor="text1"/>
          <w14:textFill>
            <w14:solidFill>
              <w14:schemeClr w14:val="tx1"/>
            </w14:solidFill>
          </w14:textFill>
        </w:rPr>
        <w:t>评标程序</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评标委员会仅对通过资格审查的投标文件进行后续评审，程序如下：</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（1）符合性审查：评标委员会审查投标文件是否实质性响应招标文件要求。未通过审查的投标，不进入详细评审。</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（3）商务与技术评审：评标委员会依据评分标准，对通过符合性审查的投标进行详细评审。</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（4）报价评审</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a)</w:t>
      </w:r>
      <w:r>
        <w:rPr>
          <w:rFonts w:hint="eastAsia" w:ascii="宋体" w:hAnsi="宋体" w:cs="宋体"/>
          <w:color w:val="000000" w:themeColor="text1"/>
          <w:szCs w:val="21"/>
          <w14:textFill>
            <w14:solidFill>
              <w14:schemeClr w14:val="tx1"/>
            </w14:solidFill>
          </w14:textFill>
        </w:rPr>
        <w:t>报价符合性审查：评标委员会审查投标报价是否符合招标文件关于报价的格式、币种、范围（如报价是否完全响应并覆盖招标文件“采购需求”及“货物</w:t>
      </w:r>
      <w:r>
        <w:rPr>
          <w:rFonts w:hint="eastAsia" w:ascii="宋体" w:hAnsi="宋体" w:cs="宋体"/>
          <w:color w:val="000000" w:themeColor="text1"/>
          <w:szCs w:val="21"/>
          <w:lang w:val="e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服务</w:t>
      </w:r>
      <w:r>
        <w:rPr>
          <w:rFonts w:hint="eastAsia" w:ascii="宋体" w:hAnsi="宋体" w:cs="宋体"/>
          <w:color w:val="000000" w:themeColor="text1"/>
          <w:szCs w:val="21"/>
          <w:lang w:val="e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清单中所列全部内容、是否超采购预算或最高限价）等基础要求。</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b)</w:t>
      </w:r>
      <w:r>
        <w:rPr>
          <w:rFonts w:hint="eastAsia" w:ascii="宋体" w:hAnsi="宋体" w:cs="宋体"/>
          <w:color w:val="000000" w:themeColor="text1"/>
          <w:szCs w:val="21"/>
          <w14:textFill>
            <w14:solidFill>
              <w14:schemeClr w14:val="tx1"/>
            </w14:solidFill>
          </w14:textFill>
        </w:rPr>
        <w:t>异常低价甄别与说明：对通过报价符合性审查的投标，如触发下列情形，评标委员会应当启动异常低价审查程序：</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１）报价低于全部通过符合性审查投标人投标报价平均值50%的；</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２）报价低于通过符合性审查的次低报价投标人投标报价50%的；</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３）报价低于采购项目最高限价45%的；</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４）评标委员会基于专业判断，认为投标人报价过低，有可能影响产品质量或者不能诚信履约的其他情形。</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通过电子询标方式，要求相关投标人在规定时间内提供有关书面说明及必要的证明材料。投标人不能提供书面说明、证明材料，或者提供的提供书面说明、证明材料不能证明其报价合理性的，评标委员会应将其作为无效投标处理。</w:t>
      </w:r>
    </w:p>
    <w:p>
      <w:pPr>
        <w:snapToGrid w:val="0"/>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c)</w:t>
      </w:r>
      <w:r>
        <w:rPr>
          <w:rFonts w:hint="eastAsia" w:ascii="宋体" w:hAnsi="宋体" w:cs="宋体"/>
          <w:color w:val="000000" w:themeColor="text1"/>
          <w:szCs w:val="21"/>
          <w14:textFill>
            <w14:solidFill>
              <w14:schemeClr w14:val="tx1"/>
            </w14:solidFill>
          </w14:textFill>
        </w:rPr>
        <w:t>价格评分：对通过上述全部审查的有效报价，由系统按招标文件规定计算价格分。</w:t>
      </w:r>
    </w:p>
    <w:p>
      <w:pPr>
        <w:snapToGrid w:val="0"/>
        <w:spacing w:line="400" w:lineRule="exact"/>
        <w:ind w:firstLine="420" w:firstLineChars="200"/>
        <w:outlineLvl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（5）评分汇总与推荐：评标委员会在评审系统内完成评审后，系统将自动计算、汇总得分并生成排序结果。评标委员会据此集体审议推荐中标候选人，并对《评标报告》予以确认。</w:t>
      </w:r>
    </w:p>
    <w:p>
      <w:pPr>
        <w:pStyle w:val="28"/>
        <w:snapToGrid w:val="0"/>
        <w:spacing w:line="400" w:lineRule="exact"/>
        <w:ind w:firstLine="421" w:firstLineChars="200"/>
        <w:outlineLvl w:val="0"/>
        <w:rPr>
          <w:rFonts w:hAnsi="宋体" w:cs="宋体"/>
          <w:b/>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（四）错</w:t>
      </w:r>
      <w:r>
        <w:rPr>
          <w:rFonts w:hint="eastAsia" w:hAnsi="宋体" w:cs="宋体"/>
          <w:b/>
          <w:color w:val="000000" w:themeColor="text1"/>
          <w14:textFill>
            <w14:solidFill>
              <w14:schemeClr w14:val="tx1"/>
            </w14:solidFill>
          </w14:textFill>
        </w:rPr>
        <w:t>误修正</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投标文件如果出现计算或表达上的错误，修正错误的原则如下：</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1.投标文件中开标一览表（报价表）内容与投标文件中相应内容不一致的，以开标一览表（报价表）为准；</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2.大写金额和小写金额不一致的，以大写金额为准；</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3.单价金额小数点或者百分比有明显错位的，以开标一览表的总价为准，并修改单价；</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4.总价金额与按单价汇总金额不一致的，以单价金额计算结果为准。</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5.对不同文字文本投标文件的解释发生异议的，以中文文本为准。</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同时出现两种以上不一致的，按照前款规定的顺序修正。</w:t>
      </w:r>
    </w:p>
    <w:p>
      <w:pPr>
        <w:pStyle w:val="28"/>
        <w:snapToGrid w:val="0"/>
        <w:spacing w:line="400" w:lineRule="exact"/>
        <w:ind w:firstLine="421" w:firstLineChars="200"/>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按上述修正错误的原则及方法调整或修正投标文件的投标报价，投标人同意并</w:t>
      </w:r>
      <w:r>
        <w:rPr>
          <w:rFonts w:hint="eastAsia" w:hAnsi="宋体" w:cs="宋体"/>
          <w:b/>
          <w:bCs/>
          <w:color w:val="000000" w:themeColor="text1"/>
          <w:lang w:val="en"/>
          <w14:textFill>
            <w14:solidFill>
              <w14:schemeClr w14:val="tx1"/>
            </w14:solidFill>
          </w14:textFill>
        </w:rPr>
        <w:t>签字或签章</w:t>
      </w:r>
      <w:r>
        <w:rPr>
          <w:rFonts w:hint="eastAsia" w:hAnsi="宋体" w:cs="宋体"/>
          <w:b/>
          <w:bCs/>
          <w:color w:val="000000" w:themeColor="text1"/>
          <w14:textFill>
            <w14:solidFill>
              <w14:schemeClr w14:val="tx1"/>
            </w14:solidFill>
          </w14:textFill>
        </w:rPr>
        <w:t>确认后，调整后的投标报价对投标人具有约束作用。如果投标人不接受修正后的报价，则其投标将作为无效投标处理。</w:t>
      </w:r>
    </w:p>
    <w:p>
      <w:pPr>
        <w:pStyle w:val="28"/>
        <w:tabs>
          <w:tab w:val="left" w:pos="630"/>
        </w:tabs>
        <w:snapToGrid w:val="0"/>
        <w:spacing w:line="400" w:lineRule="exact"/>
        <w:ind w:firstLine="421" w:firstLineChars="200"/>
        <w:outlineLvl w:val="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（五）评标原则和评标方法</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2.评标方法。本项目评标方法是</w:t>
      </w:r>
      <w:r>
        <w:rPr>
          <w:rFonts w:hint="eastAsia" w:hAnsi="宋体" w:cs="宋体"/>
          <w:b/>
          <w:color w:val="000000" w:themeColor="text1"/>
          <w:u w:val="single"/>
          <w14:textFill>
            <w14:solidFill>
              <w14:schemeClr w14:val="tx1"/>
            </w14:solidFill>
          </w14:textFill>
        </w:rPr>
        <w:t>综合评分法</w:t>
      </w:r>
      <w:r>
        <w:rPr>
          <w:rFonts w:hint="eastAsia" w:hAnsi="宋体" w:cs="宋体"/>
          <w:color w:val="000000" w:themeColor="text1"/>
          <w14:textFill>
            <w14:solidFill>
              <w14:schemeClr w14:val="tx1"/>
            </w14:solidFill>
          </w14:textFill>
        </w:rPr>
        <w:t>，具体评标内容及评分标准等详见第四章：</w:t>
      </w:r>
      <w:r>
        <w:rPr>
          <w:rFonts w:hint="eastAsia" w:hAnsi="宋体" w:cs="宋体"/>
          <w:color w:val="000000" w:themeColor="text1"/>
          <w:lang w:val="en"/>
          <w14:textFill>
            <w14:solidFill>
              <w14:schemeClr w14:val="tx1"/>
            </w14:solidFill>
          </w14:textFill>
        </w:rPr>
        <w:t>评标方法及评分标准</w:t>
      </w:r>
      <w:r>
        <w:rPr>
          <w:rFonts w:hint="eastAsia" w:hAnsi="宋体" w:cs="宋体"/>
          <w:color w:val="000000" w:themeColor="text1"/>
          <w14:textFill>
            <w14:solidFill>
              <w14:schemeClr w14:val="tx1"/>
            </w14:solidFill>
          </w14:textFill>
        </w:rPr>
        <w:t>。</w:t>
      </w:r>
    </w:p>
    <w:p>
      <w:pPr>
        <w:pStyle w:val="28"/>
        <w:snapToGrid w:val="0"/>
        <w:spacing w:line="400" w:lineRule="exact"/>
        <w:ind w:firstLine="421" w:firstLineChars="200"/>
        <w:outlineLvl w:val="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（六）评标过程的监控</w:t>
      </w:r>
    </w:p>
    <w:p>
      <w:pPr>
        <w:pStyle w:val="28"/>
        <w:snapToGrid w:val="0"/>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本项目评标过程实行全程录音、录像监控，投标人在评标过程中所进行的试图影响评标结果的不公正活动，可能导致其投标被拒绝。</w:t>
      </w:r>
    </w:p>
    <w:p>
      <w:pPr>
        <w:pStyle w:val="28"/>
        <w:snapToGrid w:val="0"/>
        <w:spacing w:line="400" w:lineRule="exact"/>
        <w:ind w:firstLine="421" w:firstLineChars="200"/>
        <w:outlineLvl w:val="1"/>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七、评标结果</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（一）本中心将在评标结束后2个工作日内将评标报告送采购人，采购人在5个工作日内按照评标报告中推荐的中标候选供应商顺序确定中标供应商。</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（二）中标供应商确定后，本中心在中国政府采购网、广西财政网、广西壮族自治区政府采购中心网站发布中标结果公告。</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（三）在发布中标结果公告的同时，本中心向中标供应商发出中标通知书。</w:t>
      </w:r>
    </w:p>
    <w:p>
      <w:pPr>
        <w:pStyle w:val="28"/>
        <w:spacing w:line="400" w:lineRule="exact"/>
        <w:ind w:firstLine="420" w:firstLineChars="200"/>
        <w:rPr>
          <w:rFonts w:hAnsi="宋体" w:cs="宋体"/>
          <w:bCs/>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（四）</w:t>
      </w:r>
      <w:r>
        <w:rPr>
          <w:rFonts w:hint="eastAsia" w:hAnsi="宋体" w:cs="宋体"/>
          <w:bCs/>
          <w:color w:val="000000" w:themeColor="text1"/>
          <w14:textFill>
            <w14:solidFill>
              <w14:schemeClr w14:val="tx1"/>
            </w14:solidFill>
          </w14:textFill>
        </w:rPr>
        <w:t>投标人认为招标文件、招标过程和中标结果使自己的权益受到损害的，可以在知道或者应知其权益受到损害之日起七个工作日内，以书面形式向本中心提出质疑，并及时索要书面回执。</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（五）</w:t>
      </w:r>
      <w:r>
        <w:rPr>
          <w:rFonts w:hint="eastAsia" w:hAnsi="宋体" w:cs="宋体"/>
          <w:bCs/>
          <w:color w:val="000000" w:themeColor="text1"/>
          <w14:textFill>
            <w14:solidFill>
              <w14:schemeClr w14:val="tx1"/>
            </w14:solidFill>
          </w14:textFill>
        </w:rPr>
        <w:t>本中心应当按照有关规定就采购人委托授权范围内的事项在收到投标人的书面质疑后七个工作日内做出答复，但答复的内容不得涉及商业秘密。</w:t>
      </w:r>
    </w:p>
    <w:p>
      <w:pPr>
        <w:pStyle w:val="28"/>
        <w:snapToGrid w:val="0"/>
        <w:spacing w:line="400" w:lineRule="exact"/>
        <w:ind w:firstLine="421" w:firstLineChars="200"/>
        <w:outlineLvl w:val="1"/>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八、签订合同</w:t>
      </w:r>
    </w:p>
    <w:p>
      <w:pPr>
        <w:pStyle w:val="28"/>
        <w:snapToGrid w:val="0"/>
        <w:spacing w:line="400" w:lineRule="exact"/>
        <w:ind w:firstLine="421" w:firstLineChars="200"/>
        <w:outlineLvl w:val="1"/>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（一）合同授予标准</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合同将授予被确定投标文件满足招标文件全部实质性要求，具备履行合同能力，评审得分最高，综合评分排名第一的供应商。</w:t>
      </w:r>
    </w:p>
    <w:p>
      <w:pPr>
        <w:pStyle w:val="28"/>
        <w:snapToGrid w:val="0"/>
        <w:spacing w:line="400" w:lineRule="exact"/>
        <w:ind w:firstLine="421" w:firstLineChars="200"/>
        <w:outlineLvl w:val="1"/>
        <w:rPr>
          <w:rFonts w:hAnsi="宋体" w:cs="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（二）签订合同</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（1）投标人接到中标通知书后，应按中标通知书规定的时间、地点与采购人签订合同。中标人无正当理由不得放弃中标。</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（2）如中标供应商不按中标通知书的规定签订合同，则按中标供应商违约处理，本中心将没收中标供应商投标的全部投标保证金。</w:t>
      </w:r>
    </w:p>
    <w:p>
      <w:pPr>
        <w:pStyle w:val="28"/>
        <w:spacing w:line="400" w:lineRule="exact"/>
        <w:ind w:firstLine="420" w:firstLineChars="20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中标供应商拒绝与采购人签订合同或因不可抗力或者自身原因不能履行采购合同的，采购人可以与中标供应商之后排名第一的中标候选供应商签订采购合同，以此类推,也可以重新招标。中标供应商放弃中标项目，拒绝与采购人签订合同的，其投标保证金将不予退还，并上缴国库，给采购人造成损失的，还应当赔偿损失，并作为不良行为记录在案。</w:t>
      </w:r>
    </w:p>
    <w:p>
      <w:pPr>
        <w:pStyle w:val="28"/>
        <w:spacing w:line="40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九、其他事项</w:t>
      </w:r>
    </w:p>
    <w:p>
      <w:pPr>
        <w:pStyle w:val="28"/>
        <w:spacing w:line="40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（1）解释权：</w:t>
      </w:r>
      <w:r>
        <w:rPr>
          <w:rFonts w:hint="eastAsia" w:hAnsi="宋体" w:cs="宋体"/>
          <w:color w:val="000000" w:themeColor="text1"/>
          <w:spacing w:val="-4"/>
          <w14:textFill>
            <w14:solidFill>
              <w14:schemeClr w14:val="tx1"/>
            </w14:solidFill>
          </w14:textFill>
        </w:rPr>
        <w:t>本招标文件解释权属本中心。</w:t>
      </w:r>
    </w:p>
    <w:p>
      <w:pPr>
        <w:pStyle w:val="28"/>
        <w:spacing w:line="400" w:lineRule="exact"/>
        <w:ind w:firstLine="421" w:firstLineChars="200"/>
        <w:rPr>
          <w:rFonts w:hAnsi="宋体" w:cs="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（2）有关事宜</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所有与本招标文件有关的函件请按下列通讯地址联系：</w:t>
      </w:r>
    </w:p>
    <w:p>
      <w:pPr>
        <w:pStyle w:val="28"/>
        <w:tabs>
          <w:tab w:val="left" w:pos="1990"/>
        </w:tabs>
        <w:spacing w:line="400" w:lineRule="exac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邮政编码：530022</w:t>
      </w:r>
    </w:p>
    <w:p>
      <w:pPr>
        <w:pStyle w:val="28"/>
        <w:tabs>
          <w:tab w:val="left" w:pos="1990"/>
        </w:tabs>
        <w:spacing w:line="400" w:lineRule="exact"/>
        <w:ind w:firstLine="420" w:firstLineChars="200"/>
        <w:rPr>
          <w:rFonts w:hAnsi="宋体" w:cs="宋体"/>
          <w:color w:val="000000" w:themeColor="text1"/>
          <w:spacing w:val="-4"/>
          <w:lang w:val="en"/>
          <w14:textFill>
            <w14:solidFill>
              <w14:schemeClr w14:val="tx1"/>
            </w14:solidFill>
          </w14:textFill>
        </w:rPr>
      </w:pPr>
      <w:r>
        <w:rPr>
          <w:rFonts w:hint="eastAsia" w:hAnsi="宋体" w:cs="宋体"/>
          <w:color w:val="000000" w:themeColor="text1"/>
          <w14:textFill>
            <w14:solidFill>
              <w14:schemeClr w14:val="tx1"/>
            </w14:solidFill>
          </w14:textFill>
        </w:rPr>
        <w:t xml:space="preserve">通讯地址：广西南宁市星湖路22号 </w:t>
      </w:r>
    </w:p>
    <w:p>
      <w:pPr>
        <w:pStyle w:val="28"/>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电    话： 0771-8600346</w:t>
      </w:r>
    </w:p>
    <w:p>
      <w:pPr>
        <w:pStyle w:val="28"/>
        <w:spacing w:line="360" w:lineRule="exact"/>
        <w:ind w:firstLine="824"/>
        <w:rPr>
          <w:color w:val="000000" w:themeColor="text1"/>
          <w14:textFill>
            <w14:solidFill>
              <w14:schemeClr w14:val="tx1"/>
            </w14:solidFill>
          </w14:textFill>
        </w:rPr>
      </w:pPr>
    </w:p>
    <w:p>
      <w:pPr>
        <w:pStyle w:val="28"/>
        <w:snapToGrid w:val="0"/>
        <w:spacing w:before="120" w:after="120"/>
        <w:ind w:firstLine="883" w:firstLineChars="200"/>
        <w:jc w:val="center"/>
        <w:outlineLvl w:val="0"/>
        <w:rPr>
          <w:rFonts w:ascii="黑体" w:eastAsia="黑体"/>
          <w:b/>
          <w:color w:val="000000" w:themeColor="text1"/>
          <w:sz w:val="44"/>
          <w:szCs w:val="44"/>
          <w14:textFill>
            <w14:solidFill>
              <w14:schemeClr w14:val="tx1"/>
            </w14:solidFill>
          </w14:textFill>
        </w:rPr>
      </w:pPr>
      <w:r>
        <w:rPr>
          <w:rFonts w:hint="eastAsia" w:ascii="黑体" w:eastAsia="黑体"/>
          <w:b/>
          <w:color w:val="000000" w:themeColor="text1"/>
          <w:sz w:val="44"/>
          <w:szCs w:val="44"/>
          <w14:textFill>
            <w14:solidFill>
              <w14:schemeClr w14:val="tx1"/>
            </w14:solidFill>
          </w14:textFill>
        </w:rPr>
        <w:br w:type="page"/>
      </w:r>
    </w:p>
    <w:p>
      <w:pPr>
        <w:pStyle w:val="28"/>
        <w:snapToGrid w:val="0"/>
        <w:spacing w:before="120" w:after="120"/>
        <w:jc w:val="center"/>
        <w:outlineLvl w:val="0"/>
        <w:rPr>
          <w:rFonts w:ascii="黑体" w:eastAsia="黑体"/>
          <w:b/>
          <w:color w:val="000000" w:themeColor="text1"/>
          <w:sz w:val="32"/>
          <w:szCs w:val="32"/>
          <w14:textFill>
            <w14:solidFill>
              <w14:schemeClr w14:val="tx1"/>
            </w14:solidFill>
          </w14:textFill>
        </w:rPr>
      </w:pPr>
    </w:p>
    <w:p>
      <w:pPr>
        <w:pStyle w:val="28"/>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8"/>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8"/>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8"/>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8"/>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28"/>
        <w:snapToGrid w:val="0"/>
        <w:spacing w:before="120" w:after="120"/>
        <w:jc w:val="center"/>
        <w:outlineLvl w:val="0"/>
        <w:rPr>
          <w:rFonts w:ascii="黑体" w:eastAsia="黑体"/>
          <w:b/>
          <w:color w:val="000000" w:themeColor="text1"/>
          <w:sz w:val="44"/>
          <w:szCs w:val="44"/>
          <w14:textFill>
            <w14:solidFill>
              <w14:schemeClr w14:val="tx1"/>
            </w14:solidFill>
          </w14:textFill>
        </w:rPr>
      </w:pPr>
    </w:p>
    <w:p>
      <w:pPr>
        <w:pStyle w:val="5"/>
        <w:rPr>
          <w:color w:val="000000" w:themeColor="text1"/>
          <w14:textFill>
            <w14:solidFill>
              <w14:schemeClr w14:val="tx1"/>
            </w14:solidFill>
          </w14:textFill>
        </w:rPr>
      </w:pPr>
    </w:p>
    <w:p>
      <w:pPr>
        <w:pStyle w:val="28"/>
        <w:snapToGrid w:val="0"/>
        <w:spacing w:before="120" w:after="120"/>
        <w:jc w:val="center"/>
        <w:outlineLvl w:val="0"/>
        <w:rPr>
          <w:rFonts w:ascii="黑体" w:eastAsia="黑体"/>
          <w:b/>
          <w:color w:val="000000" w:themeColor="text1"/>
          <w:sz w:val="44"/>
          <w:szCs w:val="44"/>
          <w14:textFill>
            <w14:solidFill>
              <w14:schemeClr w14:val="tx1"/>
            </w14:solidFill>
          </w14:textFill>
        </w:rPr>
      </w:pPr>
      <w:bookmarkStart w:id="11" w:name="_Toc1158015966_WPSOffice_Level1"/>
      <w:r>
        <w:rPr>
          <w:rFonts w:hint="eastAsia" w:hAnsi="宋体" w:cs="宋体"/>
          <w:b/>
          <w:color w:val="000000" w:themeColor="text1"/>
          <w:sz w:val="44"/>
          <w:szCs w:val="44"/>
          <w14:textFill>
            <w14:solidFill>
              <w14:schemeClr w14:val="tx1"/>
            </w14:solidFill>
          </w14:textFill>
        </w:rPr>
        <w:t>第四章  评标方法及评分标准</w:t>
      </w:r>
      <w:bookmarkEnd w:id="11"/>
    </w:p>
    <w:p>
      <w:pPr>
        <w:spacing w:line="340" w:lineRule="exact"/>
        <w:ind w:firstLine="420" w:firstLineChars="200"/>
        <w:jc w:val="center"/>
        <w:rPr>
          <w:bCs/>
          <w:color w:val="000000" w:themeColor="text1"/>
          <w14:textFill>
            <w14:solidFill>
              <w14:schemeClr w14:val="tx1"/>
            </w14:solidFill>
          </w14:textFill>
        </w:rPr>
      </w:pPr>
      <w:r>
        <w:rPr>
          <w:bCs/>
          <w:color w:val="000000" w:themeColor="text1"/>
          <w14:textFill>
            <w14:solidFill>
              <w14:schemeClr w14:val="tx1"/>
            </w14:solidFill>
          </w14:textFill>
        </w:rPr>
        <w:br w:type="page"/>
      </w:r>
    </w:p>
    <w:p>
      <w:pPr>
        <w:spacing w:line="380" w:lineRule="exact"/>
        <w:jc w:val="center"/>
        <w:rPr>
          <w:rFonts w:ascii="宋体" w:hAnsi="宋体" w:cs="宋体"/>
          <w:b/>
          <w:color w:val="000000" w:themeColor="text1"/>
          <w:szCs w:val="21"/>
          <w:lang w:val="en"/>
          <w14:textFill>
            <w14:solidFill>
              <w14:schemeClr w14:val="tx1"/>
            </w14:solidFill>
          </w14:textFill>
        </w:rPr>
      </w:pPr>
      <w:r>
        <w:rPr>
          <w:rFonts w:hint="eastAsia" w:ascii="宋体" w:hAnsi="宋体" w:cs="宋体"/>
          <w:b/>
          <w:color w:val="000000" w:themeColor="text1"/>
          <w:sz w:val="28"/>
          <w:szCs w:val="28"/>
          <w:lang w:val="en"/>
          <w14:textFill>
            <w14:solidFill>
              <w14:schemeClr w14:val="tx1"/>
            </w14:solidFill>
          </w14:textFill>
        </w:rPr>
        <w:t>评标方法及评分标准</w:t>
      </w:r>
    </w:p>
    <w:p>
      <w:pPr>
        <w:pStyle w:val="28"/>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一、评标原则</w:t>
      </w:r>
    </w:p>
    <w:p>
      <w:pPr>
        <w:pStyle w:val="28"/>
        <w:spacing w:line="380" w:lineRule="exact"/>
        <w:ind w:firstLine="420" w:firstLineChars="200"/>
        <w:rPr>
          <w:rFonts w:hAnsi="宋体" w:cs="宋体"/>
          <w:bCs/>
          <w:color w:val="000000" w:themeColor="text1"/>
          <w14:textFill>
            <w14:solidFill>
              <w14:schemeClr w14:val="tx1"/>
            </w14:solidFill>
          </w14:textFill>
        </w:rPr>
      </w:pPr>
      <w:r>
        <w:rPr>
          <w:rFonts w:hint="eastAsia" w:hAnsi="宋体" w:cs="宋体"/>
          <w:color w:val="000000" w:themeColor="text1"/>
          <w:kern w:val="0"/>
          <w14:textFill>
            <w14:solidFill>
              <w14:schemeClr w14:val="tx1"/>
            </w14:solidFill>
          </w14:textFill>
        </w:rPr>
        <w:t>（一）</w:t>
      </w:r>
      <w:r>
        <w:rPr>
          <w:rFonts w:hint="eastAsia" w:hAnsi="宋体" w:cs="宋体"/>
          <w:bCs/>
          <w:color w:val="000000" w:themeColor="text1"/>
          <w14:textFill>
            <w14:solidFill>
              <w14:schemeClr w14:val="tx1"/>
            </w14:solidFill>
          </w14:textFill>
        </w:rPr>
        <w:t>评委组成：本招标采购项目的</w:t>
      </w:r>
      <w:r>
        <w:rPr>
          <w:rFonts w:hint="eastAsia" w:hAnsi="宋体" w:cs="宋体"/>
          <w:color w:val="000000" w:themeColor="text1"/>
          <w:spacing w:val="-4"/>
          <w14:textFill>
            <w14:solidFill>
              <w14:schemeClr w14:val="tx1"/>
            </w14:solidFill>
          </w14:textFill>
        </w:rPr>
        <w:t>评标委员会由采购人代表和评审专家组成，成员人数应当为5人以上单数，其中评审专家不得少于成员总数的三分之二。</w:t>
      </w:r>
    </w:p>
    <w:p>
      <w:pPr>
        <w:pStyle w:val="28"/>
        <w:spacing w:line="380" w:lineRule="exact"/>
        <w:ind w:firstLine="420" w:firstLineChars="200"/>
        <w:rPr>
          <w:rFonts w:hAnsi="宋体" w:cs="宋体"/>
          <w:bCs/>
          <w:color w:val="000000" w:themeColor="text1"/>
          <w14:textFill>
            <w14:solidFill>
              <w14:schemeClr w14:val="tx1"/>
            </w14:solidFill>
          </w14:textFill>
        </w:rPr>
      </w:pPr>
      <w:r>
        <w:rPr>
          <w:rFonts w:hint="eastAsia" w:hAnsi="宋体" w:cs="宋体"/>
          <w:color w:val="000000" w:themeColor="text1"/>
          <w:kern w:val="0"/>
          <w14:textFill>
            <w14:solidFill>
              <w14:schemeClr w14:val="tx1"/>
            </w14:solidFill>
          </w14:textFill>
        </w:rPr>
        <w:t>（二）</w:t>
      </w:r>
      <w:r>
        <w:rPr>
          <w:rFonts w:hint="eastAsia" w:hAnsi="宋体" w:cs="宋体"/>
          <w:bCs/>
          <w:color w:val="000000" w:themeColor="text1"/>
          <w14:textFill>
            <w14:solidFill>
              <w14:schemeClr w14:val="tx1"/>
            </w14:solidFill>
          </w14:textFill>
        </w:rPr>
        <w:t>评标依据：评委将以招投标文件为评标依据，对投标人的投标内容按百分制打分。</w:t>
      </w:r>
    </w:p>
    <w:p>
      <w:pPr>
        <w:pStyle w:val="28"/>
        <w:spacing w:line="380" w:lineRule="exact"/>
        <w:ind w:firstLine="420" w:firstLineChars="200"/>
        <w:rPr>
          <w:rFonts w:hAnsi="宋体" w:cs="宋体"/>
          <w:bCs/>
          <w:color w:val="000000" w:themeColor="text1"/>
          <w14:textFill>
            <w14:solidFill>
              <w14:schemeClr w14:val="tx1"/>
            </w14:solidFill>
          </w14:textFill>
        </w:rPr>
      </w:pPr>
      <w:r>
        <w:rPr>
          <w:rFonts w:hint="eastAsia" w:hAnsi="宋体" w:cs="宋体"/>
          <w:color w:val="000000" w:themeColor="text1"/>
          <w:kern w:val="0"/>
          <w14:textFill>
            <w14:solidFill>
              <w14:schemeClr w14:val="tx1"/>
            </w14:solidFill>
          </w14:textFill>
        </w:rPr>
        <w:t>（三）</w:t>
      </w:r>
      <w:r>
        <w:rPr>
          <w:rFonts w:hint="eastAsia" w:hAnsi="宋体" w:cs="宋体"/>
          <w:bCs/>
          <w:color w:val="000000" w:themeColor="text1"/>
          <w14:textFill>
            <w14:solidFill>
              <w14:schemeClr w14:val="tx1"/>
            </w14:solidFill>
          </w14:textFill>
        </w:rPr>
        <w:t>评标方式：以封闭方式进行。</w:t>
      </w:r>
    </w:p>
    <w:p>
      <w:pPr>
        <w:pStyle w:val="28"/>
        <w:spacing w:line="380" w:lineRule="exact"/>
        <w:ind w:firstLine="420" w:firstLineChars="200"/>
        <w:rPr>
          <w:rFonts w:hAnsi="宋体" w:cs="宋体"/>
          <w:color w:val="000000" w:themeColor="text1"/>
          <w:kern w:val="0"/>
          <w14:textFill>
            <w14:solidFill>
              <w14:schemeClr w14:val="tx1"/>
            </w14:solidFill>
          </w14:textFill>
        </w:rPr>
      </w:pPr>
      <w:r>
        <w:rPr>
          <w:rFonts w:hint="eastAsia" w:hAnsi="宋体" w:cs="宋体"/>
          <w:color w:val="000000" w:themeColor="text1"/>
          <w:kern w:val="0"/>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8"/>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二、评标方法</w:t>
      </w:r>
    </w:p>
    <w:p>
      <w:pPr>
        <w:pStyle w:val="28"/>
        <w:spacing w:line="380" w:lineRule="exact"/>
        <w:ind w:firstLine="420" w:firstLineChars="200"/>
        <w:outlineLvl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（一）对进入详评的，采用百分制综合评分法。</w:t>
      </w:r>
    </w:p>
    <w:p>
      <w:pPr>
        <w:pStyle w:val="28"/>
        <w:spacing w:line="380" w:lineRule="exact"/>
        <w:ind w:firstLine="420" w:firstLineChars="200"/>
        <w:outlineLvl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（二）计分办法（按四舍五入取至百分位）：</w:t>
      </w:r>
    </w:p>
    <w:p>
      <w:pPr>
        <w:pStyle w:val="28"/>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1、价格分</w:t>
      </w:r>
      <w:r>
        <w:rPr>
          <w:rFonts w:hint="eastAsia" w:hAnsi="宋体" w:cs="宋体"/>
          <w:b/>
          <w:bCs/>
          <w:color w:val="000000" w:themeColor="text1"/>
          <w:spacing w:val="-8"/>
          <w14:textFill>
            <w14:solidFill>
              <w14:schemeClr w14:val="tx1"/>
            </w14:solidFill>
          </w14:textFill>
        </w:rPr>
        <w:t>………………………………………………………………………………………30</w:t>
      </w:r>
      <w:r>
        <w:rPr>
          <w:rFonts w:hint="eastAsia" w:hAnsi="宋体" w:cs="宋体"/>
          <w:b/>
          <w:color w:val="000000" w:themeColor="text1"/>
          <w14:textFill>
            <w14:solidFill>
              <w14:schemeClr w14:val="tx1"/>
            </w14:solidFill>
          </w14:textFill>
        </w:rPr>
        <w:t>分</w:t>
      </w:r>
    </w:p>
    <w:p>
      <w:pPr>
        <w:pStyle w:val="507"/>
        <w:adjustRightInd w:val="0"/>
        <w:snapToGrid w:val="0"/>
        <w:spacing w:line="38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（1）符合《国务院办公厅关于在政府采购中实施本国产品标准及相关政策的通知》（国办发〔2025〕34号）规定</w:t>
      </w:r>
      <w:r>
        <w:rPr>
          <w:rFonts w:hint="eastAsia"/>
          <w:bCs/>
          <w:color w:val="000000" w:themeColor="text1"/>
          <w14:textFill>
            <w14:solidFill>
              <w14:schemeClr w14:val="tx1"/>
            </w14:solidFill>
          </w14:textFill>
        </w:rPr>
        <w:t>条件且按该通知中规定的格式提供了《关于符合本国产品标准的声明函》的供应商参与投标，对其投标报价给予20%的扣除，</w:t>
      </w:r>
      <w:r>
        <w:rPr>
          <w:rFonts w:hint="eastAsia"/>
          <w:color w:val="000000" w:themeColor="text1"/>
          <w14:textFill>
            <w14:solidFill>
              <w14:schemeClr w14:val="tx1"/>
            </w14:solidFill>
          </w14:textFill>
        </w:rPr>
        <w:t>扣除后的价格为评标价，即评标价=投标价×（1-20%）；除上述情况外，评标价=投标价。</w:t>
      </w:r>
    </w:p>
    <w:p>
      <w:pPr>
        <w:pStyle w:val="28"/>
        <w:spacing w:line="380" w:lineRule="exact"/>
        <w:ind w:firstLine="420" w:firstLineChars="200"/>
        <w:outlineLvl w:val="0"/>
        <w:rPr>
          <w:rFonts w:hAnsi="宋体" w:cs="宋体"/>
          <w:color w:val="000000" w:themeColor="text1"/>
          <w14:textFill>
            <w14:solidFill>
              <w14:schemeClr w14:val="tx1"/>
            </w14:solidFill>
          </w14:textFill>
        </w:rPr>
      </w:pPr>
      <w:r>
        <w:rPr>
          <w:rFonts w:hint="eastAsia" w:hAnsi="宋体" w:cs="宋体"/>
          <w:color w:val="000000" w:themeColor="text1"/>
          <w:kern w:val="0"/>
          <w14:textFill>
            <w14:solidFill>
              <w14:schemeClr w14:val="tx1"/>
            </w14:solidFill>
          </w14:textFill>
        </w:rPr>
        <w:t>投标产品生产企业</w:t>
      </w:r>
      <w:r>
        <w:rPr>
          <w:rFonts w:hint="eastAsia" w:hAnsi="宋体" w:cs="宋体"/>
          <w:color w:val="000000" w:themeColor="text1"/>
          <w14:textFill>
            <w14:solidFill>
              <w14:schemeClr w14:val="tx1"/>
            </w14:solidFill>
          </w14:textFill>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8"/>
        <w:spacing w:line="380" w:lineRule="exact"/>
        <w:ind w:firstLine="420" w:firstLineChars="200"/>
        <w:outlineLvl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投标</w:t>
      </w:r>
      <w:r>
        <w:rPr>
          <w:rFonts w:hint="eastAsia" w:hAnsi="宋体" w:cs="宋体"/>
          <w:bCs/>
          <w:color w:val="000000" w:themeColor="text1"/>
          <w14:textFill>
            <w14:solidFill>
              <w14:schemeClr w14:val="tx1"/>
            </w14:solidFill>
          </w14:textFill>
        </w:rPr>
        <w:t>产品</w:t>
      </w:r>
      <w:r>
        <w:rPr>
          <w:rFonts w:hint="eastAsia" w:hAnsi="宋体" w:cs="宋体"/>
          <w:color w:val="000000" w:themeColor="text1"/>
          <w14:textFill>
            <w14:solidFill>
              <w14:schemeClr w14:val="tx1"/>
            </w14:solidFill>
          </w14:textFill>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8"/>
        <w:spacing w:line="380" w:lineRule="exact"/>
        <w:ind w:firstLine="420" w:firstLineChars="200"/>
        <w:outlineLvl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（2）以满足招标文件要求且评标价最低的投标人的评标价为评标基准价，其价格分为30分。</w:t>
      </w:r>
    </w:p>
    <w:p>
      <w:pPr>
        <w:pStyle w:val="28"/>
        <w:spacing w:line="380" w:lineRule="exact"/>
        <w:ind w:firstLine="421" w:firstLineChars="200"/>
        <w:outlineLvl w:val="0"/>
        <w:rPr>
          <w:rFonts w:hAnsi="宋体" w:cs="宋体"/>
          <w:b/>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（3）某投标人价格分</w:t>
      </w:r>
      <w:r>
        <w:rPr>
          <w:rFonts w:hint="eastAsia" w:hAnsi="宋体" w:cs="宋体"/>
          <w:b/>
          <w:color w:val="000000" w:themeColor="text1"/>
          <w14:textFill>
            <w14:solidFill>
              <w14:schemeClr w14:val="tx1"/>
            </w14:solidFill>
          </w14:textFill>
        </w:rPr>
        <w:t xml:space="preserve"> =评标基准价（金额）/某投标人评标价（金额）×30分</w:t>
      </w:r>
    </w:p>
    <w:p>
      <w:pPr>
        <w:pStyle w:val="28"/>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 xml:space="preserve"> 2、</w:t>
      </w:r>
      <w:r>
        <w:rPr>
          <w:rFonts w:hint="eastAsia" w:hAnsi="宋体" w:cs="宋体"/>
          <w:b/>
          <w:color w:val="000000" w:themeColor="text1"/>
          <w:lang w:val="en"/>
          <w14:textFill>
            <w14:solidFill>
              <w14:schemeClr w14:val="tx1"/>
            </w14:solidFill>
          </w14:textFill>
        </w:rPr>
        <w:t>技术分</w:t>
      </w:r>
      <w:r>
        <w:rPr>
          <w:rFonts w:hint="eastAsia" w:hAnsi="宋体" w:cs="宋体"/>
          <w:b/>
          <w:color w:val="000000" w:themeColor="text1"/>
          <w14:textFill>
            <w14:solidFill>
              <w14:schemeClr w14:val="tx1"/>
            </w14:solidFill>
          </w14:textFill>
        </w:rPr>
        <w:t xml:space="preserve"> </w:t>
      </w:r>
      <w:r>
        <w:rPr>
          <w:rFonts w:hint="eastAsia" w:hAnsi="宋体" w:cs="宋体"/>
          <w:b/>
          <w:bCs/>
          <w:color w:val="000000" w:themeColor="text1"/>
          <w:spacing w:val="-8"/>
          <w14:textFill>
            <w14:solidFill>
              <w14:schemeClr w14:val="tx1"/>
            </w14:solidFill>
          </w14:textFill>
        </w:rPr>
        <w:t>………………………………………………………………………………………64</w:t>
      </w:r>
      <w:r>
        <w:rPr>
          <w:rFonts w:hint="eastAsia" w:hAnsi="宋体" w:cs="宋体"/>
          <w:b/>
          <w:color w:val="000000" w:themeColor="text1"/>
          <w14:textFill>
            <w14:solidFill>
              <w14:schemeClr w14:val="tx1"/>
            </w14:solidFill>
          </w14:textFill>
        </w:rPr>
        <w:t>分</w:t>
      </w:r>
    </w:p>
    <w:p>
      <w:pPr>
        <w:pStyle w:val="507"/>
        <w:adjustRightInd w:val="0"/>
        <w:snapToGrid w:val="0"/>
        <w:spacing w:line="288" w:lineRule="auto"/>
        <w:ind w:firstLine="379" w:firstLineChars="180"/>
        <w:rPr>
          <w:b/>
          <w:bCs/>
          <w:color w:val="000000" w:themeColor="text1"/>
          <w14:textFill>
            <w14:solidFill>
              <w14:schemeClr w14:val="tx1"/>
            </w14:solidFill>
          </w14:textFill>
        </w:rPr>
      </w:pPr>
      <w:bookmarkStart w:id="12" w:name="OLE_LINK77"/>
      <w:bookmarkStart w:id="13" w:name="OLE_LINK4"/>
      <w:r>
        <w:rPr>
          <w:rFonts w:hint="eastAsia"/>
          <w:b/>
          <w:color w:val="000000" w:themeColor="text1"/>
          <w14:textFill>
            <w14:solidFill>
              <w14:schemeClr w14:val="tx1"/>
            </w14:solidFill>
          </w14:textFill>
        </w:rPr>
        <w:t>（1）核心产品符合性得分</w:t>
      </w:r>
      <w:r>
        <w:rPr>
          <w:rFonts w:hint="eastAsia"/>
          <w:b/>
          <w:bCs/>
          <w:color w:val="000000" w:themeColor="text1"/>
          <w14:textFill>
            <w14:solidFill>
              <w14:schemeClr w14:val="tx1"/>
            </w14:solidFill>
          </w14:textFill>
        </w:rPr>
        <w:t>(满分2分)</w:t>
      </w:r>
    </w:p>
    <w:p>
      <w:pPr>
        <w:spacing w:line="288"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提供2025年1月1日以来有检测资质的第三方检验机构出具的符合以下要求的检测报告复印件；检验报告名称可以不完全一致，只需要检测事项（内容）相符；检验报告的送检单位必须是投标人或相应的生产厂家、原材料商。</w:t>
      </w:r>
    </w:p>
    <w:p>
      <w:pPr>
        <w:spacing w:line="288"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①提供“手动密集架”的检测报告，检测依据满足或优于GB/T13667.3-2013标准，检测报告内容包括但不限于：1、外观：各零部件表面应光滑、平整、不应有尖角和突起；焊接处应焊接牢固，焊痕光滑平整；涂层表面应平整光滑，色泽均匀一致，不应有流挂、起粒、皱皮、露底、剥落、伤痕等缺陷；电镀件镀层应明亮，外露部位不应有烧焦、气泡、针孔、裂纹、花斑、明显划痕和毛刺等缺陷；2、装配要求：尺寸偏差；垂直度；间隙；可调性；互换性；传动装置的性能；防倾倒；限位；固定等符合要求；3、载重性能：搁板静载荷无裂缝，符合国家标准；全静载荷经24h连续试验卸载后，挂板、搁板、立柱及其结合部位应无塑性变形和其他异常现象；载重运行架体运动自如，无阻滞现象，手柄摇力符合国家标准；4、稳定性：防尘门打开时的空载稳定性架体不应倾倒；防尘门打开时的加载稳定性架体不应倾倒；搁板水平加载稳定性架体不应倾倒；5、结构强度。提供有符合或优于以上或招标要求检测内容的检测报告得1分。</w:t>
      </w:r>
    </w:p>
    <w:p>
      <w:pPr>
        <w:spacing w:line="288"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②提供“六层双面书架”的检测报告，检测依据满足或优于GB/T13667.1-2015《钢制书架第1部分:单、复柱书架》标准，检测报告内容包括但不限于：1、搁板弯曲：最大挠度应符合国家标准；残余变形量应符合国家标准；2、全静载荷：每层搁板均布静载荷120kg，总计720kg（经24h连续试验卸载后，书架的挂板、搁板、立柱及其结合部位应无塑性变形）；3、结构强度：试验中架体不得发生倾倒现象，X轴方向试验后和Y轴方向试验后架体倾斜量δ均不得大于架体总高的1%；4、零部件的互换性：同一型号规格的零部件应能互换；提供有符合或优于以上或招标要求检测内容的检测报告得1分。</w:t>
      </w:r>
    </w:p>
    <w:p>
      <w:pPr>
        <w:pStyle w:val="28"/>
        <w:spacing w:line="288" w:lineRule="auto"/>
        <w:ind w:firstLine="420"/>
        <w:outlineLvl w:val="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（2）核心产品主材性能分（满分</w:t>
      </w:r>
      <w:r>
        <w:rPr>
          <w:rFonts w:hint="eastAsia" w:hAnsi="宋体" w:cs="宋体"/>
          <w:b/>
          <w:color w:val="000000" w:themeColor="text1"/>
          <w:lang w:val="en-US" w:eastAsia="zh-CN"/>
          <w14:textFill>
            <w14:solidFill>
              <w14:schemeClr w14:val="tx1"/>
            </w14:solidFill>
          </w14:textFill>
        </w:rPr>
        <w:t>7</w:t>
      </w:r>
      <w:r>
        <w:rPr>
          <w:rFonts w:hint="eastAsia" w:hAnsi="宋体" w:cs="宋体"/>
          <w:b/>
          <w:color w:val="000000" w:themeColor="text1"/>
          <w14:textFill>
            <w14:solidFill>
              <w14:schemeClr w14:val="tx1"/>
            </w14:solidFill>
          </w14:textFill>
        </w:rPr>
        <w:t>分）</w:t>
      </w:r>
    </w:p>
    <w:p>
      <w:pPr>
        <w:pStyle w:val="28"/>
        <w:spacing w:line="288" w:lineRule="auto"/>
        <w:ind w:firstLine="420"/>
        <w:outlineLvl w:val="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主材技术参数性能（配置）要求有优于招标文件要求的（出具有效的检测报告证明文件），经评标委员会认可的，每项得0.5分，技术参数性能（配置）要求有多个指标优于招标文件要求的，只计一项，满分7分。</w:t>
      </w:r>
    </w:p>
    <w:p>
      <w:pPr>
        <w:pStyle w:val="28"/>
        <w:spacing w:line="288" w:lineRule="auto"/>
        <w:ind w:firstLine="420"/>
        <w:outlineLvl w:val="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提供主要部件自 2025年1月1日至开标截止时间前具有检测资质的第三方检测（验）机构出具的依据国标或行业标准的检测（验）报告复印件：①钢制书架立柱、②钢制书架搁板、③钢制书架挂板、④钢制书架挡棒、⑤钢制书架顶板、⑥钢制书架底架、⑦密集架立柱、⑧密集架挂板、⑨密集架搁板、⑩密集架侧板、⑪密集架挡棒、⑫密集架顶板、⑬密集架底梁、⑭密集架门板，原件备查；检验报告的送检单位必须是投标人或相应的生产厂家、原材料商。以上评分项检测报告，采购人签合同时有权请中标人提供原件核查，并有权向出具报告的单位进行查验复核，若存在虚假应标，采购人有权追究其法律责任并向监督部门举报。</w:t>
      </w:r>
    </w:p>
    <w:p>
      <w:pPr>
        <w:pStyle w:val="168"/>
        <w:adjustRightInd w:val="0"/>
        <w:spacing w:line="288" w:lineRule="auto"/>
        <w:ind w:left="360" w:firstLine="0" w:firstLineChars="0"/>
        <w:textAlignment w:val="baseline"/>
        <w:outlineLvl w:val="0"/>
        <w:rPr>
          <w:rFonts w:ascii="宋体" w:hAnsi="宋体" w:cs="宋体"/>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（3）生产能力和质量保障分（满分10分）</w:t>
      </w:r>
    </w:p>
    <w:p>
      <w:pPr>
        <w:spacing w:line="288"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投标人或投标产品生产厂家具备或租赁有以下与本项目生产相关的机械设备或同档（类）设备：①折弯机，②转塔冲床，③数控激光加工中心，④自动喷塑流水线，⑤</w:t>
      </w:r>
      <w:r>
        <w:rPr>
          <w:rFonts w:hint="eastAsia" w:ascii="宋体" w:hAnsi="宋体" w:cs="宋体"/>
          <w:color w:val="000000" w:themeColor="text1"/>
          <w:kern w:val="0"/>
          <w:szCs w:val="21"/>
          <w14:textFill>
            <w14:solidFill>
              <w14:schemeClr w14:val="tx1"/>
            </w14:solidFill>
          </w14:textFill>
        </w:rPr>
        <w:t>木材加工中心，⑥木材自动送料机，⑦</w:t>
      </w:r>
      <w:r>
        <w:rPr>
          <w:rFonts w:hint="eastAsia" w:ascii="宋体" w:hAnsi="宋体" w:cs="宋体"/>
          <w:color w:val="000000" w:themeColor="text1"/>
          <w:szCs w:val="21"/>
          <w14:textFill>
            <w14:solidFill>
              <w14:schemeClr w14:val="tx1"/>
            </w14:solidFill>
          </w14:textFill>
        </w:rPr>
        <w:t>中央除尘设备，⑧小型漆膜附着力测试仪、微型漆膜冲击测试仪，⑨简易盐雾测试仪，⑩简易多通道炉温跟踪仪等设备，每具备一项得1分，满分10分。（提供投标人或投标产品生产厂家设备发票或出租方设备发票复印件以及车间实物生产照片佐证。以上不提供不得分）中标人在投标文件中提到的发票，采购人签合同时有权请中标人提供原件核查，并有权向出具票据的单位进行查验复核（若存在虚假应标，采购人有权追究其法律责任并向监督部门举报）。说明：机器设备名称可以不同，只要功能相同也可以得分。</w:t>
      </w:r>
    </w:p>
    <w:p>
      <w:pPr>
        <w:spacing w:line="288"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   （4）</w:t>
      </w:r>
      <w:bookmarkEnd w:id="12"/>
      <w:bookmarkStart w:id="14" w:name="OLE_LINK107"/>
      <w:r>
        <w:rPr>
          <w:rFonts w:hint="eastAsia" w:ascii="宋体" w:hAnsi="宋体" w:cs="宋体"/>
          <w:b/>
          <w:bCs/>
          <w:color w:val="000000" w:themeColor="text1"/>
          <w:szCs w:val="21"/>
          <w14:textFill>
            <w14:solidFill>
              <w14:schemeClr w14:val="tx1"/>
            </w14:solidFill>
          </w14:textFill>
        </w:rPr>
        <w:t>项目管理实施方案（满分10分）</w:t>
      </w:r>
      <w:bookmarkEnd w:id="14"/>
    </w:p>
    <w:p>
      <w:pPr>
        <w:spacing w:line="288" w:lineRule="auto"/>
        <w:ind w:firstLine="420" w:firstLineChars="200"/>
        <w:rPr>
          <w:rFonts w:ascii="宋体" w:hAnsi="宋体" w:cs="宋体"/>
          <w:color w:val="000000" w:themeColor="text1"/>
          <w:szCs w:val="21"/>
          <w14:textFill>
            <w14:solidFill>
              <w14:schemeClr w14:val="tx1"/>
            </w14:solidFill>
          </w14:textFill>
        </w:rPr>
      </w:pPr>
      <w:bookmarkStart w:id="15" w:name="OLE_LINK78"/>
      <w:r>
        <w:rPr>
          <w:rFonts w:hint="eastAsia" w:ascii="宋体" w:hAnsi="宋体" w:cs="宋体"/>
          <w:color w:val="000000" w:themeColor="text1"/>
          <w:szCs w:val="21"/>
          <w14:textFill>
            <w14:solidFill>
              <w14:schemeClr w14:val="tx1"/>
            </w14:solidFill>
          </w14:textFill>
        </w:rPr>
        <w:t>由评委对投标人或投标产品生产厂家提供的以下内容进行评审：</w:t>
      </w:r>
    </w:p>
    <w:p>
      <w:pPr>
        <w:spacing w:line="288" w:lineRule="auto"/>
        <w:ind w:firstLine="420" w:firstLineChars="200"/>
        <w:rPr>
          <w:rFonts w:ascii="宋体" w:hAnsi="宋体" w:cs="宋体"/>
          <w:color w:val="000000" w:themeColor="text1"/>
          <w:szCs w:val="21"/>
          <w14:textFill>
            <w14:solidFill>
              <w14:schemeClr w14:val="tx1"/>
            </w14:solidFill>
          </w14:textFill>
        </w:rPr>
      </w:pPr>
      <w:bookmarkStart w:id="16" w:name="OLE_LINK70"/>
      <w:r>
        <w:rPr>
          <w:rFonts w:hint="eastAsia" w:ascii="宋体" w:hAnsi="宋体" w:cs="宋体"/>
          <w:color w:val="000000" w:themeColor="text1"/>
          <w:szCs w:val="21"/>
          <w14:textFill>
            <w14:solidFill>
              <w14:schemeClr w14:val="tx1"/>
            </w14:solidFill>
          </w14:textFill>
        </w:rPr>
        <w:t>注：未满足一档、提供的内容与本项目无关的本项得0分</w:t>
      </w:r>
      <w:bookmarkEnd w:id="16"/>
      <w:r>
        <w:rPr>
          <w:rFonts w:hint="eastAsia" w:ascii="宋体" w:hAnsi="宋体" w:cs="宋体"/>
          <w:color w:val="000000" w:themeColor="text1"/>
          <w:szCs w:val="21"/>
          <w14:textFill>
            <w14:solidFill>
              <w14:schemeClr w14:val="tx1"/>
            </w14:solidFill>
          </w14:textFill>
        </w:rPr>
        <w:t>。</w:t>
      </w:r>
    </w:p>
    <w:p>
      <w:pPr>
        <w:spacing w:line="288" w:lineRule="auto"/>
        <w:ind w:firstLine="420" w:firstLineChars="20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分）：</w:t>
      </w:r>
      <w:bookmarkStart w:id="17" w:name="OLE_LINK97"/>
      <w:r>
        <w:rPr>
          <w:rFonts w:hint="eastAsia" w:ascii="宋体" w:hAnsi="宋体" w:cs="宋体"/>
          <w:color w:val="000000" w:themeColor="text1"/>
          <w:szCs w:val="21"/>
          <w14:textFill>
            <w14:solidFill>
              <w14:schemeClr w14:val="tx1"/>
            </w14:solidFill>
          </w14:textFill>
        </w:rPr>
        <w:t>在项目管理实施方案中提供生产技术方案、进度安排、方案推进保证具体措施、供货配送方案、安装质量和安全保证措施；配套有货物存放场地、运输工具；</w:t>
      </w:r>
      <w:r>
        <w:rPr>
          <w:rFonts w:hint="eastAsia" w:ascii="宋体" w:hAnsi="宋体" w:cs="宋体"/>
          <w:color w:val="000000" w:themeColor="text1"/>
          <w:szCs w:val="21"/>
          <w:lang w:eastAsia="zh-CN"/>
          <w14:textFill>
            <w14:solidFill>
              <w14:schemeClr w14:val="tx1"/>
            </w14:solidFill>
          </w14:textFill>
        </w:rPr>
        <w:t>承诺拟投入有资质证书或操作证书的项目实施人员达3人或以上</w:t>
      </w:r>
    </w:p>
    <w:bookmarkEnd w:id="17"/>
    <w:p>
      <w:pPr>
        <w:spacing w:line="288" w:lineRule="auto"/>
        <w:ind w:firstLine="420" w:firstLineChars="200"/>
        <w:rPr>
          <w:rFonts w:hint="eastAsia" w:ascii="宋体" w:hAnsi="宋体" w:cs="宋体"/>
          <w:color w:val="000000" w:themeColor="text1"/>
          <w:szCs w:val="21"/>
          <w14:textFill>
            <w14:solidFill>
              <w14:schemeClr w14:val="tx1"/>
            </w14:solidFill>
          </w14:textFill>
        </w:rPr>
      </w:pPr>
      <w:bookmarkStart w:id="18" w:name="OLE_LINK114"/>
      <w:r>
        <w:rPr>
          <w:rFonts w:hint="eastAsia" w:ascii="宋体" w:hAnsi="宋体" w:cs="宋体"/>
          <w:color w:val="000000" w:themeColor="text1"/>
          <w:szCs w:val="21"/>
          <w14:textFill>
            <w14:solidFill>
              <w14:schemeClr w14:val="tx1"/>
            </w14:solidFill>
          </w14:textFill>
        </w:rPr>
        <w:t>二档（</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分）：在项目管理实施方案中提供生产技术方案、进度安排、方案推进保证具体措施、供货配送方案、安装质量和安全保证措施；交货日期优于采购需求，能提供对本项目的风险预见、风险应对措施。配套有货物存放场地、运输工具；</w:t>
      </w:r>
      <w:r>
        <w:rPr>
          <w:rFonts w:hint="eastAsia" w:ascii="宋体" w:hAnsi="宋体" w:cs="宋体"/>
          <w:color w:val="000000" w:themeColor="text1"/>
          <w:szCs w:val="21"/>
          <w:lang w:eastAsia="zh-CN"/>
          <w14:textFill>
            <w14:solidFill>
              <w14:schemeClr w14:val="tx1"/>
            </w14:solidFill>
          </w14:textFill>
        </w:rPr>
        <w:t>承诺</w:t>
      </w:r>
      <w:r>
        <w:rPr>
          <w:rFonts w:hint="eastAsia" w:ascii="宋体" w:hAnsi="宋体" w:cs="宋体"/>
          <w:b w:val="0"/>
          <w:bCs w:val="0"/>
          <w:strike w:val="0"/>
          <w:dstrike w:val="0"/>
          <w:color w:val="000000" w:themeColor="text1"/>
          <w:szCs w:val="21"/>
          <w14:textFill>
            <w14:solidFill>
              <w14:schemeClr w14:val="tx1"/>
            </w14:solidFill>
          </w14:textFill>
        </w:rPr>
        <w:t>拟投入</w:t>
      </w:r>
      <w:r>
        <w:rPr>
          <w:rFonts w:hint="eastAsia" w:ascii="宋体" w:hAnsi="宋体" w:cs="宋体"/>
          <w:b w:val="0"/>
          <w:bCs w:val="0"/>
          <w:color w:val="000000" w:themeColor="text1"/>
          <w:szCs w:val="21"/>
          <w:lang w:eastAsia="zh-CN"/>
          <w14:textFill>
            <w14:solidFill>
              <w14:schemeClr w14:val="tx1"/>
            </w14:solidFill>
          </w14:textFill>
        </w:rPr>
        <w:t>有资质证书或操作证书的</w:t>
      </w:r>
      <w:r>
        <w:rPr>
          <w:rFonts w:hint="eastAsia" w:ascii="宋体" w:hAnsi="宋体" w:cs="宋体"/>
          <w:b w:val="0"/>
          <w:bCs w:val="0"/>
          <w:strike w:val="0"/>
          <w:dstrike w:val="0"/>
          <w:color w:val="000000" w:themeColor="text1"/>
          <w:szCs w:val="21"/>
          <w14:textFill>
            <w14:solidFill>
              <w14:schemeClr w14:val="tx1"/>
            </w14:solidFill>
          </w14:textFill>
        </w:rPr>
        <w:t>项目实施人员达5人或以上</w:t>
      </w:r>
      <w:r>
        <w:rPr>
          <w:rFonts w:hint="eastAsia" w:ascii="宋体" w:hAnsi="宋体" w:cs="宋体"/>
          <w:color w:val="000000" w:themeColor="text1"/>
          <w:szCs w:val="21"/>
          <w14:textFill>
            <w14:solidFill>
              <w14:schemeClr w14:val="tx1"/>
            </w14:solidFill>
          </w14:textFill>
        </w:rPr>
        <w:t>。</w:t>
      </w:r>
      <w:bookmarkEnd w:id="18"/>
    </w:p>
    <w:p>
      <w:pPr>
        <w:spacing w:line="288"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三档（10分）</w:t>
      </w:r>
      <w:bookmarkStart w:id="19" w:name="OLE_LINK24"/>
      <w:r>
        <w:rPr>
          <w:rFonts w:hint="eastAsia" w:ascii="宋体" w:hAnsi="宋体" w:cs="宋体"/>
          <w:color w:val="000000" w:themeColor="text1"/>
          <w:szCs w:val="21"/>
          <w14:textFill>
            <w14:solidFill>
              <w14:schemeClr w14:val="tx1"/>
            </w14:solidFill>
          </w14:textFill>
        </w:rPr>
        <w:t>：在项目管理实施方案中提供生产技术方案、进度安排、方案推进保证具体措施、供货配送方案、安装质量和安全保证措施；交货日期优于采购需求，能提供对本项目的风险预见，提供应急预案，具有对突发计划外供货需求的应对能力，大件家具需要紧急搬运重组需求的应对能力，承诺紧急服务时限；配套有货物存放场地、运输工具；</w:t>
      </w:r>
      <w:r>
        <w:rPr>
          <w:rFonts w:hint="eastAsia" w:ascii="宋体" w:hAnsi="宋体" w:cs="宋体"/>
          <w:color w:val="000000" w:themeColor="text1"/>
          <w:szCs w:val="21"/>
          <w:lang w:eastAsia="zh-CN"/>
          <w14:textFill>
            <w14:solidFill>
              <w14:schemeClr w14:val="tx1"/>
            </w14:solidFill>
          </w14:textFill>
        </w:rPr>
        <w:t>承诺</w:t>
      </w:r>
      <w:r>
        <w:rPr>
          <w:rFonts w:hint="eastAsia" w:ascii="宋体" w:hAnsi="宋体" w:cs="宋体"/>
          <w:strike w:val="0"/>
          <w:dstrike w:val="0"/>
          <w:color w:val="000000" w:themeColor="text1"/>
          <w:szCs w:val="21"/>
          <w14:textFill>
            <w14:solidFill>
              <w14:schemeClr w14:val="tx1"/>
            </w14:solidFill>
          </w14:textFill>
        </w:rPr>
        <w:t>拟投入</w:t>
      </w:r>
      <w:r>
        <w:rPr>
          <w:rFonts w:hint="eastAsia" w:ascii="宋体" w:hAnsi="宋体" w:cs="宋体"/>
          <w:color w:val="000000" w:themeColor="text1"/>
          <w:szCs w:val="21"/>
          <w:lang w:eastAsia="zh-CN"/>
          <w14:textFill>
            <w14:solidFill>
              <w14:schemeClr w14:val="tx1"/>
            </w14:solidFill>
          </w14:textFill>
        </w:rPr>
        <w:t>有资质证书或操作证书的</w:t>
      </w:r>
      <w:r>
        <w:rPr>
          <w:rFonts w:hint="eastAsia" w:ascii="宋体" w:hAnsi="宋体" w:cs="宋体"/>
          <w:strike w:val="0"/>
          <w:dstrike w:val="0"/>
          <w:color w:val="000000" w:themeColor="text1"/>
          <w:szCs w:val="21"/>
          <w14:textFill>
            <w14:solidFill>
              <w14:schemeClr w14:val="tx1"/>
            </w14:solidFill>
          </w14:textFill>
        </w:rPr>
        <w:t>项目实施人员达10人或以上</w:t>
      </w:r>
      <w:bookmarkEnd w:id="19"/>
      <w:r>
        <w:rPr>
          <w:rFonts w:hint="eastAsia" w:ascii="宋体" w:hAnsi="宋体" w:cs="宋体"/>
          <w:color w:val="000000" w:themeColor="text1"/>
          <w:szCs w:val="21"/>
          <w14:textFill>
            <w14:solidFill>
              <w14:schemeClr w14:val="tx1"/>
            </w14:solidFill>
          </w14:textFill>
        </w:rPr>
        <w:t>。</w:t>
      </w:r>
    </w:p>
    <w:bookmarkEnd w:id="13"/>
    <w:p>
      <w:pPr>
        <w:spacing w:line="288"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    （5）设计方案</w:t>
      </w:r>
      <w:bookmarkEnd w:id="15"/>
      <w:r>
        <w:rPr>
          <w:rFonts w:hint="eastAsia" w:ascii="宋体" w:hAnsi="宋体" w:cs="宋体"/>
          <w:b/>
          <w:bCs/>
          <w:color w:val="000000" w:themeColor="text1"/>
          <w:szCs w:val="21"/>
          <w14:textFill>
            <w14:solidFill>
              <w14:schemeClr w14:val="tx1"/>
            </w14:solidFill>
          </w14:textFill>
        </w:rPr>
        <w:t>（满分12分）</w:t>
      </w:r>
    </w:p>
    <w:p>
      <w:pPr>
        <w:spacing w:line="288"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投标人根据本项目情况，按文件要求自费勘查现场，提供整体布局平面图、效果图及核心产品的效果图（主视图、俯视图、侧视图）、结构图。  </w:t>
      </w:r>
    </w:p>
    <w:p>
      <w:pPr>
        <w:pStyle w:val="507"/>
        <w:adjustRightInd w:val="0"/>
        <w:snapToGrid w:val="0"/>
        <w:spacing w:line="288" w:lineRule="auto"/>
        <w:ind w:firstLine="378" w:firstLineChars="180"/>
        <w:rPr>
          <w:color w:val="000000" w:themeColor="text1"/>
          <w14:textFill>
            <w14:solidFill>
              <w14:schemeClr w14:val="tx1"/>
            </w14:solidFill>
          </w14:textFill>
        </w:rPr>
      </w:pPr>
      <w:r>
        <w:rPr>
          <w:rFonts w:hint="eastAsia"/>
          <w:color w:val="000000" w:themeColor="text1"/>
          <w14:textFill>
            <w14:solidFill>
              <w14:schemeClr w14:val="tx1"/>
            </w14:solidFill>
          </w14:textFill>
        </w:rPr>
        <w:t>评标委员会对投标人提供的整体布局平面图、效果图及核心产品的效果图（主视图、俯视图、侧视图）、结构图及规格尺寸、产品使用功能描述等内容，考核产品设计的规范合理性、安全实用性、创新性等。</w:t>
      </w:r>
    </w:p>
    <w:p>
      <w:pPr>
        <w:pStyle w:val="507"/>
        <w:adjustRightInd w:val="0"/>
        <w:snapToGrid w:val="0"/>
        <w:spacing w:line="288" w:lineRule="auto"/>
        <w:ind w:firstLine="378" w:firstLineChars="180"/>
        <w:rPr>
          <w:color w:val="000000" w:themeColor="text1"/>
          <w14:textFill>
            <w14:solidFill>
              <w14:schemeClr w14:val="tx1"/>
            </w14:solidFill>
          </w14:textFill>
        </w:rPr>
      </w:pPr>
      <w:r>
        <w:rPr>
          <w:rFonts w:hint="eastAsia"/>
          <w:color w:val="000000" w:themeColor="text1"/>
          <w14:textFill>
            <w14:solidFill>
              <w14:schemeClr w14:val="tx1"/>
            </w14:solidFill>
          </w14:textFill>
        </w:rPr>
        <w:t>一档（3分）：无整体的图书馆布局平面图、效果图。核心产品的效果图（主视图、俯视图、侧视图）、结构图等图纸不完整，规格尺寸等细节不明确，无产品使用功能描述等。</w:t>
      </w:r>
    </w:p>
    <w:p>
      <w:pPr>
        <w:pStyle w:val="507"/>
        <w:adjustRightInd w:val="0"/>
        <w:snapToGrid w:val="0"/>
        <w:spacing w:line="288" w:lineRule="auto"/>
        <w:ind w:firstLine="378" w:firstLineChars="180"/>
        <w:rPr>
          <w:color w:val="000000" w:themeColor="text1"/>
          <w14:textFill>
            <w14:solidFill>
              <w14:schemeClr w14:val="tx1"/>
            </w14:solidFill>
          </w14:textFill>
        </w:rPr>
      </w:pPr>
      <w:r>
        <w:rPr>
          <w:rFonts w:hint="eastAsia"/>
          <w:color w:val="000000" w:themeColor="text1"/>
          <w14:textFill>
            <w14:solidFill>
              <w14:schemeClr w14:val="tx1"/>
            </w14:solidFill>
          </w14:textFill>
        </w:rPr>
        <w:t>二档（6分）：有整体的图书馆布局平面图、效果图，但提供不完整。核心产品的效果图（主视图、俯视图、侧视图）、结构图等图纸提供完整，规格尺寸等细节明确，有产品使用功能描述等。</w:t>
      </w:r>
    </w:p>
    <w:p>
      <w:pPr>
        <w:pStyle w:val="507"/>
        <w:adjustRightInd w:val="0"/>
        <w:snapToGrid w:val="0"/>
        <w:spacing w:line="288" w:lineRule="auto"/>
        <w:ind w:firstLine="378" w:firstLineChars="180"/>
        <w:rPr>
          <w:color w:val="000000" w:themeColor="text1"/>
          <w14:textFill>
            <w14:solidFill>
              <w14:schemeClr w14:val="tx1"/>
            </w14:solidFill>
          </w14:textFill>
        </w:rPr>
      </w:pPr>
      <w:r>
        <w:rPr>
          <w:rFonts w:hint="eastAsia"/>
          <w:color w:val="000000" w:themeColor="text1"/>
          <w14:textFill>
            <w14:solidFill>
              <w14:schemeClr w14:val="tx1"/>
            </w14:solidFill>
          </w14:textFill>
        </w:rPr>
        <w:t>三档（9分）：有完整的图书馆整体布局平面图、效果图。核心产品的效果图（主视图、俯视图、侧视图）、结构图等图纸提供完整，规格尺寸等细节清晰明确，有产品使用功能描述、产品结构说明，能对应现场尺寸。</w:t>
      </w:r>
    </w:p>
    <w:p>
      <w:pPr>
        <w:pStyle w:val="507"/>
        <w:adjustRightInd w:val="0"/>
        <w:snapToGrid w:val="0"/>
        <w:spacing w:line="288" w:lineRule="auto"/>
        <w:ind w:firstLine="378" w:firstLineChars="180"/>
        <w:rPr>
          <w:color w:val="000000" w:themeColor="text1"/>
          <w14:textFill>
            <w14:solidFill>
              <w14:schemeClr w14:val="tx1"/>
            </w14:solidFill>
          </w14:textFill>
        </w:rPr>
      </w:pPr>
      <w:r>
        <w:rPr>
          <w:rFonts w:hint="eastAsia"/>
          <w:color w:val="000000" w:themeColor="text1"/>
          <w14:textFill>
            <w14:solidFill>
              <w14:schemeClr w14:val="tx1"/>
            </w14:solidFill>
          </w14:textFill>
        </w:rPr>
        <w:t>四档（12分）：有完整的图书馆整体布局平面图、效果图，有设计标准、设计理念、功能分区、产品规格等。核心产品的效果图（主视图、俯视图、侧视图）、结构图等图纸提供完整，规格尺寸等细节清晰明确，有产品使用功能描述、产品结构说明，产品材料说明，能对应现场尺寸。</w:t>
      </w:r>
    </w:p>
    <w:p>
      <w:pPr>
        <w:spacing w:line="288"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（注：未提供设计方案或提供的设计方案不满足技术参数要求的不得分。）</w:t>
      </w:r>
    </w:p>
    <w:p>
      <w:pPr>
        <w:spacing w:line="288" w:lineRule="auto"/>
        <w:ind w:firstLine="421" w:firstLineChars="200"/>
        <w:rPr>
          <w:rFonts w:hint="eastAsia"/>
          <w:b w:val="0"/>
          <w:bCs w:val="0"/>
          <w:color w:val="000000" w:themeColor="text1"/>
          <w14:textFill>
            <w14:solidFill>
              <w14:schemeClr w14:val="tx1"/>
            </w14:solidFill>
          </w14:textFill>
        </w:rPr>
      </w:pPr>
      <w:bookmarkStart w:id="20" w:name="OLE_LINK79"/>
      <w:bookmarkStart w:id="21" w:name="OLE_LINK68"/>
      <w:r>
        <w:rPr>
          <w:rFonts w:hint="eastAsia"/>
          <w:b/>
          <w:bCs/>
          <w:color w:val="000000" w:themeColor="text1"/>
          <w14:textFill>
            <w14:solidFill>
              <w14:schemeClr w14:val="tx1"/>
            </w14:solidFill>
          </w14:textFill>
        </w:rPr>
        <w:t>（6）小样分（满分</w:t>
      </w:r>
      <w:r>
        <w:rPr>
          <w:rFonts w:hint="eastAsia"/>
          <w:b/>
          <w:bCs/>
          <w:color w:val="000000" w:themeColor="text1"/>
          <w:lang w:val="en-US" w:eastAsia="zh-CN"/>
          <w14:textFill>
            <w14:solidFill>
              <w14:schemeClr w14:val="tx1"/>
            </w14:solidFill>
          </w14:textFill>
        </w:rPr>
        <w:t>7</w:t>
      </w:r>
      <w:r>
        <w:rPr>
          <w:rFonts w:hint="eastAsia"/>
          <w:b/>
          <w:bCs/>
          <w:color w:val="000000" w:themeColor="text1"/>
          <w14:textFill>
            <w14:solidFill>
              <w14:schemeClr w14:val="tx1"/>
            </w14:solidFill>
          </w14:textFill>
        </w:rPr>
        <w:t>分）</w:t>
      </w:r>
      <w:r>
        <w:rPr>
          <w:rFonts w:hint="eastAsia"/>
          <w:b w:val="0"/>
          <w:bCs w:val="0"/>
          <w:color w:val="000000" w:themeColor="text1"/>
          <w14:textFill>
            <w14:solidFill>
              <w14:schemeClr w14:val="tx1"/>
            </w14:solidFill>
          </w14:textFill>
        </w:rPr>
        <w:t>对投标人提供的小样整体外观、焊接工艺、喷涂工艺、金属件、木质件和小样的稳定、样式、工艺、硬度、厚度、材质及结构设计、外观、做工等方面进行综合评定，并按照技术要求打分。投标人未提供或提供小样数量不全的，本项不得分。</w:t>
      </w:r>
    </w:p>
    <w:p>
      <w:pPr>
        <w:spacing w:line="288" w:lineRule="auto"/>
        <w:ind w:firstLine="420" w:firstLineChars="200"/>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1）手动六层密集书柜立柱、搁板、挂板、门板（带锁）小样：①外观、形状及厚度完全满足或优于招标文件技术要求；②焊接牢靠，无脱焊、无虚焊、无焊穿，焊缝均匀、无毛刺、无锐棱、无飞溅、无裂纹，无瑕疵；③喷涂件涂层光滑均匀、色泽一致、无流挂、无疙瘩、无皱皮、无飞漆、无漏喷、无露底、无锈蚀，无瑕疵。完全满足或优于上述要求的小样得2分，有1项以上瑕疵的得1分，不符合招标文件技术要求的不得分。（满分2分）</w:t>
      </w:r>
    </w:p>
    <w:p>
      <w:pPr>
        <w:spacing w:line="288" w:lineRule="auto"/>
        <w:ind w:firstLine="420" w:firstLineChars="200"/>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2）手动六层密集书柜静音摇把小样：①外观、形状及直径完全满足或优于招标文件技术要求，②双向超越离合器结构、静音；③部件焊接牢靠，无脱焊，焊缝均匀、无毛刺、无锐棱、无飞溅、无裂纹，无瑕疵。完全满足或优于上述要求的小样得1分，有1项以上瑕疵的得0.5分，不符合招标文件技术参数要求的不得分。（满分1分）</w:t>
      </w:r>
    </w:p>
    <w:p>
      <w:pPr>
        <w:spacing w:line="288" w:lineRule="auto"/>
        <w:ind w:firstLine="420" w:firstLineChars="200"/>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3）六层书架立柱、侧护板、挂板小样：①外观、形状及厚度完全满足或优于招标文件技术要求；②焊接牢靠，无脱焊、无虚焊、无焊穿，焊缝均匀、无毛刺、无锐棱、无飞溅、无裂纹，无瑕疵；③喷涂件涂层光滑均匀、色泽一致、无流挂、无疙瘩、无皱皮、无飞漆、无漏喷、无露底、无锈蚀，无瑕疵。完全满足或优于上述要求的小样得2分，有1项以上瑕疵的得1分，不符合招标文件技术要求的不得分。（满分2分）</w:t>
      </w:r>
    </w:p>
    <w:p>
      <w:pPr>
        <w:spacing w:line="288" w:lineRule="auto"/>
        <w:ind w:firstLine="420" w:firstLineChars="200"/>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4）阅览桌桌面板小样：①板材厚度符合要求；②油漆喷涂表面均匀光滑、坚硬耐刮、无挂流、环保无异味；③板件或部件的接口表面应光滑，倒棱、圆角、圆线应均匀一致，在接触人体部位不应有毛刺、刃口或棱角，表面平整无颗粒、气泡、积粉、渣点，色泽均匀。完全满足或优于上述要求的小样得2分，有1项以上瑕疵的得1分，不符合招标文件技术要求的不得分。（满分2分）</w:t>
      </w:r>
    </w:p>
    <w:p>
      <w:pPr>
        <w:spacing w:line="288" w:lineRule="auto"/>
        <w:ind w:firstLine="421" w:firstLineChars="20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（7）售后服务方案</w:t>
      </w:r>
      <w:bookmarkEnd w:id="20"/>
      <w:r>
        <w:rPr>
          <w:rFonts w:hint="eastAsia" w:ascii="宋体" w:hAnsi="宋体" w:cs="宋体"/>
          <w:b/>
          <w:bCs/>
          <w:color w:val="000000" w:themeColor="text1"/>
          <w:szCs w:val="21"/>
          <w14:textFill>
            <w14:solidFill>
              <w14:schemeClr w14:val="tx1"/>
            </w14:solidFill>
          </w14:textFill>
        </w:rPr>
        <w:t>（满分1</w:t>
      </w:r>
      <w:r>
        <w:rPr>
          <w:rFonts w:hint="eastAsia" w:ascii="宋体" w:hAnsi="宋体" w:cs="宋体"/>
          <w:b/>
          <w:bCs/>
          <w:color w:val="000000" w:themeColor="text1"/>
          <w:szCs w:val="21"/>
          <w:lang w:val="en-US" w:eastAsia="zh-CN"/>
          <w14:textFill>
            <w14:solidFill>
              <w14:schemeClr w14:val="tx1"/>
            </w14:solidFill>
          </w14:textFill>
        </w:rPr>
        <w:t>6</w:t>
      </w:r>
      <w:r>
        <w:rPr>
          <w:rFonts w:hint="eastAsia" w:ascii="宋体" w:hAnsi="宋体" w:cs="宋体"/>
          <w:b/>
          <w:bCs/>
          <w:color w:val="000000" w:themeColor="text1"/>
          <w:szCs w:val="21"/>
          <w14:textFill>
            <w14:solidFill>
              <w14:schemeClr w14:val="tx1"/>
            </w14:solidFill>
          </w14:textFill>
        </w:rPr>
        <w:t>分）</w:t>
      </w:r>
    </w:p>
    <w:bookmarkEnd w:id="21"/>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评标委员会根据投标人或投标产品生产厂家提供的售后服务方案材料，对照以下各档次要求进行独立评审并打分。未提供售后服务方案的，得0分。</w:t>
      </w:r>
    </w:p>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评审因素包括但不限于：售后服务承诺书、保修期限、到达故障现场时间、定期回访维护次数、质量保修期满后的维修方案、其他优惠措施、售后维修的服务方案等。</w:t>
      </w:r>
    </w:p>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一档（</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14:textFill>
            <w14:solidFill>
              <w14:schemeClr w14:val="tx1"/>
            </w14:solidFill>
          </w14:textFill>
        </w:rPr>
        <w:t>分）：基本售后保障能力</w:t>
      </w:r>
    </w:p>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投标人须在售后服务方案中同时满足以下全部要求，并提供对应证明材料，缺任一项，本档不得分：</w:t>
      </w:r>
    </w:p>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售后服务承诺书：提供正式售后服务承诺书，内容涵盖故障响应、现场处理、替代品、回访维护、备件折扣等基本承诺。到达故障现场时间：承诺货物发生故障时，在接到采购人通知后 3小时内 到达现场处理。故障处理时限：承诺一般故障处理时限不超过 4小时；4小时内不能修复的，提供替代品。售后服务人员清单：提供在职售后服务人员名单，列明——姓名、岗位、联系方式；擅长维修的产品类型；维修人员1名。</w:t>
      </w:r>
    </w:p>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二档（1</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14:textFill>
            <w14:solidFill>
              <w14:schemeClr w14:val="tx1"/>
            </w14:solidFill>
          </w14:textFill>
        </w:rPr>
        <w:t>分）：增强售后保障能力</w:t>
      </w:r>
    </w:p>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在满足一档全部条件的基础上，投标人须额外满足以下全部要求，并提供对应证明材料，缺任一项，不得晋升本档：质保期延长：承诺在原质保期基础上延长1年</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免费保修期服务</w:t>
      </w:r>
      <w:r>
        <w:rPr>
          <w:rFonts w:hint="eastAsia" w:asciiTheme="minorEastAsia" w:hAnsiTheme="minorEastAsia" w:eastAsiaTheme="minorEastAsia" w:cstheme="minorEastAsia"/>
          <w:color w:val="000000" w:themeColor="text1"/>
          <w14:textFill>
            <w14:solidFill>
              <w14:schemeClr w14:val="tx1"/>
            </w14:solidFill>
          </w14:textFill>
        </w:rPr>
        <w:t>。故障出现解决方案：提供书面故障出现解决方案（含故障分类、处理流程、责任人、闭环机制）。定期维护时间明确：在定期维护方案中明确具体维护时间节点（如：每季度首月、寒暑假期间等）。缩短到达现场时间：承诺货物发生故障时，在接到采购人通知后 2.5小时内 到达现场处理。缩短故障处理时限：承诺一般故障处理时限不超过 3小时；3小时内不能修复的，提供替代品。承诺回访维护频次：承诺质保期内定期回访并维护，每年不少于 2次。售后服务人员清单：提供在职售后服务人员名单，列明——姓名、岗位、联系方式；擅长维修的产品类型；维修人员3名。</w:t>
      </w:r>
    </w:p>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三档（1</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14:textFill>
            <w14:solidFill>
              <w14:schemeClr w14:val="tx1"/>
            </w14:solidFill>
          </w14:textFill>
        </w:rPr>
        <w:t>分）：优质售后保障能力</w:t>
      </w:r>
    </w:p>
    <w:p>
      <w:pPr>
        <w:pStyle w:val="507"/>
        <w:adjustRightInd w:val="0"/>
        <w:snapToGrid w:val="0"/>
        <w:spacing w:line="380" w:lineRule="exact"/>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在满足二档全部条件的基础上，投标人须额外满足以下全部要求，并提供对应证明材料，缺任一项，不得晋升本档：质保期进一步延长：承诺在原质保期基础上延长2年</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免费保修期服务</w:t>
      </w:r>
      <w:r>
        <w:rPr>
          <w:rFonts w:hint="eastAsia" w:asciiTheme="minorEastAsia" w:hAnsiTheme="minorEastAsia" w:eastAsiaTheme="minorEastAsia" w:cstheme="minorEastAsia"/>
          <w:color w:val="000000" w:themeColor="text1"/>
          <w14:textFill>
            <w14:solidFill>
              <w14:schemeClr w14:val="tx1"/>
            </w14:solidFill>
          </w14:textFill>
        </w:rPr>
        <w:t>。回访方案：提供书面回访方案，内容包括——回访方式（电话、上门、问卷等）；回访记录表单模板；回访结果处理流程。技术服务：提供技术服务方案，明确技术支持热线、在线诊断、远程协助等服务方式及响应时间。技术培训：提供技术培训方案，内容包括：培训对象（使用单位操作人员、维护人员）；培训内容（产品使用、日常保养、简单故障判断）；培训方式及时长。售后服务人员清单：提供在职售后服务人员名单，列明——姓名、岗位、联系方式；擅长维修的产品类型；维修人员5名。缩短到达现场时间：承诺货物发生故障时，在接到采购人通知后 2小时内 到达现场处理。缩短故障处理时限：承诺一般故障处理时限不超过 2小时；2小时内不能修复的，提供替代品。增加回访维护频次：承诺质保期内定期回访并维护，每年不少于 3次。（注：未提供人员名单和在职证明不得分）</w:t>
      </w:r>
    </w:p>
    <w:p>
      <w:pPr>
        <w:widowControl/>
        <w:spacing w:line="38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3、商务分 </w:t>
      </w:r>
      <w:r>
        <w:rPr>
          <w:rFonts w:hint="eastAsia" w:ascii="宋体" w:hAnsi="宋体" w:cs="宋体"/>
          <w:b/>
          <w:bCs/>
          <w:color w:val="000000" w:themeColor="text1"/>
          <w:spacing w:val="-8"/>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分</w:t>
      </w:r>
    </w:p>
    <w:p>
      <w:pPr>
        <w:spacing w:line="288" w:lineRule="auto"/>
        <w:ind w:firstLine="421" w:firstLineChars="200"/>
        <w:rPr>
          <w:rFonts w:ascii="宋体" w:hAnsi="宋体" w:cs="宋体"/>
          <w:b/>
          <w:bCs/>
          <w:color w:val="000000" w:themeColor="text1"/>
          <w:szCs w:val="21"/>
          <w14:textFill>
            <w14:solidFill>
              <w14:schemeClr w14:val="tx1"/>
            </w14:solidFill>
          </w14:textFill>
        </w:rPr>
      </w:pPr>
      <w:bookmarkStart w:id="22" w:name="OLE_LINK82"/>
      <w:bookmarkStart w:id="23" w:name="OLE_LINK180"/>
      <w:r>
        <w:rPr>
          <w:rFonts w:hint="eastAsia" w:ascii="宋体" w:hAnsi="宋体" w:cs="宋体"/>
          <w:b/>
          <w:bCs/>
          <w:color w:val="000000" w:themeColor="text1"/>
          <w:szCs w:val="21"/>
          <w14:textFill>
            <w14:solidFill>
              <w14:schemeClr w14:val="tx1"/>
            </w14:solidFill>
          </w14:textFill>
        </w:rPr>
        <w:t>（1）信誉分</w:t>
      </w:r>
      <w:bookmarkEnd w:id="22"/>
      <w:r>
        <w:rPr>
          <w:rFonts w:hint="eastAsia" w:ascii="宋体" w:hAnsi="宋体" w:cs="宋体"/>
          <w:b/>
          <w:bCs/>
          <w:color w:val="000000" w:themeColor="text1"/>
          <w:szCs w:val="21"/>
          <w14:textFill>
            <w14:solidFill>
              <w14:schemeClr w14:val="tx1"/>
            </w14:solidFill>
          </w14:textFill>
        </w:rPr>
        <w:t>（满分3分）</w:t>
      </w:r>
    </w:p>
    <w:bookmarkEnd w:id="23"/>
    <w:p>
      <w:pPr>
        <w:spacing w:line="288" w:lineRule="auto"/>
        <w:ind w:firstLine="420" w:firstLineChars="200"/>
        <w:rPr>
          <w:rFonts w:ascii="宋体" w:hAnsi="宋体" w:cs="宋体"/>
          <w:color w:val="000000" w:themeColor="text1"/>
          <w:szCs w:val="21"/>
          <w14:textFill>
            <w14:solidFill>
              <w14:schemeClr w14:val="tx1"/>
            </w14:solidFill>
          </w14:textFill>
        </w:rPr>
      </w:pPr>
      <w:bookmarkStart w:id="24" w:name="OLE_LINK106"/>
      <w:r>
        <w:rPr>
          <w:rFonts w:hint="eastAsia" w:ascii="宋体" w:hAnsi="宋体" w:cs="宋体"/>
          <w:color w:val="000000" w:themeColor="text1"/>
          <w:szCs w:val="21"/>
          <w14:textFill>
            <w14:solidFill>
              <w14:schemeClr w14:val="tx1"/>
            </w14:solidFill>
          </w14:textFill>
        </w:rPr>
        <w:t>①投标人</w:t>
      </w:r>
      <w:bookmarkEnd w:id="24"/>
      <w:r>
        <w:rPr>
          <w:rFonts w:hint="eastAsia" w:ascii="宋体" w:hAnsi="宋体" w:cs="宋体"/>
          <w:color w:val="000000" w:themeColor="text1"/>
          <w:szCs w:val="21"/>
          <w14:textFill>
            <w14:solidFill>
              <w14:schemeClr w14:val="tx1"/>
            </w14:solidFill>
          </w14:textFill>
        </w:rPr>
        <w:t>或投标产品生产厂家通过</w:t>
      </w:r>
      <w:bookmarkStart w:id="25" w:name="OLE_LINK112"/>
      <w:bookmarkStart w:id="26" w:name="OLE_LINK150"/>
      <w:bookmarkStart w:id="27" w:name="OLE_LINK110"/>
      <w:r>
        <w:rPr>
          <w:rFonts w:hint="eastAsia" w:ascii="宋体" w:hAnsi="宋体" w:cs="宋体"/>
          <w:color w:val="000000" w:themeColor="text1"/>
          <w:szCs w:val="21"/>
          <w14:textFill>
            <w14:solidFill>
              <w14:schemeClr w14:val="tx1"/>
            </w14:solidFill>
          </w14:textFill>
        </w:rPr>
        <w:t>ISO9001</w:t>
      </w:r>
      <w:bookmarkEnd w:id="25"/>
      <w:r>
        <w:rPr>
          <w:rFonts w:hint="eastAsia" w:ascii="宋体" w:hAnsi="宋体" w:cs="宋体"/>
          <w:color w:val="000000" w:themeColor="text1"/>
          <w:szCs w:val="21"/>
          <w14:textFill>
            <w14:solidFill>
              <w14:schemeClr w14:val="tx1"/>
            </w14:solidFill>
          </w14:textFill>
        </w:rPr>
        <w:t>质量管理体系</w:t>
      </w:r>
      <w:bookmarkEnd w:id="26"/>
      <w:bookmarkStart w:id="28" w:name="OLE_LINK153"/>
      <w:r>
        <w:rPr>
          <w:rFonts w:hint="eastAsia" w:ascii="宋体" w:hAnsi="宋体" w:cs="宋体"/>
          <w:color w:val="000000" w:themeColor="text1"/>
          <w:szCs w:val="21"/>
          <w14:textFill>
            <w14:solidFill>
              <w14:schemeClr w14:val="tx1"/>
            </w14:solidFill>
          </w14:textFill>
        </w:rPr>
        <w:t>认证</w:t>
      </w:r>
      <w:bookmarkEnd w:id="28"/>
      <w:bookmarkStart w:id="29" w:name="OLE_LINK151"/>
      <w:r>
        <w:rPr>
          <w:rFonts w:hint="eastAsia" w:ascii="宋体" w:hAnsi="宋体" w:cs="宋体"/>
          <w:color w:val="000000" w:themeColor="text1"/>
          <w:szCs w:val="21"/>
          <w14:textFill>
            <w14:solidFill>
              <w14:schemeClr w14:val="tx1"/>
            </w14:solidFill>
          </w14:textFill>
        </w:rPr>
        <w:t>，且认证在有效期内的，得1分。</w:t>
      </w:r>
    </w:p>
    <w:p>
      <w:pPr>
        <w:spacing w:line="288"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②投标人或投标产品生产厂家通过ISO14001环境管理体系</w:t>
      </w:r>
      <w:bookmarkEnd w:id="29"/>
      <w:r>
        <w:rPr>
          <w:rFonts w:hint="eastAsia" w:ascii="宋体" w:hAnsi="宋体" w:cs="宋体"/>
          <w:color w:val="000000" w:themeColor="text1"/>
          <w:szCs w:val="21"/>
          <w14:textFill>
            <w14:solidFill>
              <w14:schemeClr w14:val="tx1"/>
            </w14:solidFill>
          </w14:textFill>
        </w:rPr>
        <w:t>认证</w:t>
      </w:r>
      <w:bookmarkStart w:id="30" w:name="OLE_LINK152"/>
      <w:r>
        <w:rPr>
          <w:rFonts w:hint="eastAsia" w:ascii="宋体" w:hAnsi="宋体" w:cs="宋体"/>
          <w:color w:val="000000" w:themeColor="text1"/>
          <w:szCs w:val="21"/>
          <w14:textFill>
            <w14:solidFill>
              <w14:schemeClr w14:val="tx1"/>
            </w14:solidFill>
          </w14:textFill>
        </w:rPr>
        <w:t>，且认证在有效期内的，得1分。</w:t>
      </w:r>
    </w:p>
    <w:p>
      <w:pPr>
        <w:spacing w:line="288"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③投标人或投标产品生产厂家通过ISO45001职业健康安全管理体系</w:t>
      </w:r>
      <w:bookmarkEnd w:id="30"/>
      <w:r>
        <w:rPr>
          <w:rFonts w:hint="eastAsia" w:ascii="宋体" w:hAnsi="宋体" w:cs="宋体"/>
          <w:color w:val="000000" w:themeColor="text1"/>
          <w:szCs w:val="21"/>
          <w14:textFill>
            <w14:solidFill>
              <w14:schemeClr w14:val="tx1"/>
            </w14:solidFill>
          </w14:textFill>
        </w:rPr>
        <w:t>认证</w:t>
      </w:r>
      <w:bookmarkEnd w:id="27"/>
      <w:r>
        <w:rPr>
          <w:rFonts w:hint="eastAsia" w:ascii="宋体" w:hAnsi="宋体" w:cs="宋体"/>
          <w:color w:val="000000" w:themeColor="text1"/>
          <w:szCs w:val="21"/>
          <w14:textFill>
            <w14:solidFill>
              <w14:schemeClr w14:val="tx1"/>
            </w14:solidFill>
          </w14:textFill>
        </w:rPr>
        <w:t>，</w:t>
      </w:r>
      <w:bookmarkStart w:id="31" w:name="OLE_LINK111"/>
      <w:r>
        <w:rPr>
          <w:rFonts w:hint="eastAsia" w:ascii="宋体" w:hAnsi="宋体" w:cs="宋体"/>
          <w:color w:val="000000" w:themeColor="text1"/>
          <w:szCs w:val="21"/>
          <w14:textFill>
            <w14:solidFill>
              <w14:schemeClr w14:val="tx1"/>
            </w14:solidFill>
          </w14:textFill>
        </w:rPr>
        <w:t>且认证在有效期内的，得1分</w:t>
      </w:r>
      <w:bookmarkEnd w:id="31"/>
      <w:r>
        <w:rPr>
          <w:rFonts w:hint="eastAsia" w:ascii="宋体" w:hAnsi="宋体" w:cs="宋体"/>
          <w:color w:val="000000" w:themeColor="text1"/>
          <w:szCs w:val="21"/>
          <w14:textFill>
            <w14:solidFill>
              <w14:schemeClr w14:val="tx1"/>
            </w14:solidFill>
          </w14:textFill>
        </w:rPr>
        <w:t>。</w:t>
      </w:r>
    </w:p>
    <w:p>
      <w:pPr>
        <w:spacing w:line="288" w:lineRule="auto"/>
        <w:ind w:firstLine="421" w:firstLineChars="20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（2）业绩分（满分</w:t>
      </w:r>
      <w:r>
        <w:rPr>
          <w:rFonts w:hint="eastAsia" w:ascii="宋体" w:hAnsi="宋体" w:cs="宋体"/>
          <w:b/>
          <w:bCs/>
          <w:color w:val="000000" w:themeColor="text1"/>
          <w:szCs w:val="21"/>
          <w:lang w:val="en-US" w:eastAsia="zh-CN"/>
          <w14:textFill>
            <w14:solidFill>
              <w14:schemeClr w14:val="tx1"/>
            </w14:solidFill>
          </w14:textFill>
        </w:rPr>
        <w:t>2</w:t>
      </w:r>
      <w:r>
        <w:rPr>
          <w:rFonts w:hint="eastAsia" w:ascii="宋体" w:hAnsi="宋体" w:cs="宋体"/>
          <w:b/>
          <w:bCs/>
          <w:color w:val="000000" w:themeColor="text1"/>
          <w:szCs w:val="21"/>
          <w14:textFill>
            <w14:solidFill>
              <w14:schemeClr w14:val="tx1"/>
            </w14:solidFill>
          </w14:textFill>
        </w:rPr>
        <w:t>分）</w:t>
      </w:r>
    </w:p>
    <w:p>
      <w:pPr>
        <w:spacing w:line="288"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投标人或投标产品生产厂家提供自2024年1月1日以来有核心产品密集架和书架项目业绩证明，每提供一份1分，本项满分</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分。（须提合同复印件、发票复印件或电子发票，提供对应项目其中的一张发票即可，发票上的购买方名称与合同相对应，每份业绩需提供验收报告或使用单位满意度证明）。</w:t>
      </w:r>
      <w:bookmarkStart w:id="32" w:name="OLE_LINK83"/>
    </w:p>
    <w:p>
      <w:pPr>
        <w:spacing w:line="288" w:lineRule="auto"/>
        <w:ind w:firstLine="421" w:firstLineChars="20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w:t>
      </w:r>
      <w:bookmarkStart w:id="33" w:name="OLE_LINK108"/>
      <w:r>
        <w:rPr>
          <w:rFonts w:hint="eastAsia" w:ascii="宋体" w:hAnsi="宋体" w:cs="宋体"/>
          <w:b/>
          <w:bCs/>
          <w:color w:val="000000" w:themeColor="text1"/>
          <w:szCs w:val="21"/>
          <w14:textFill>
            <w14:solidFill>
              <w14:schemeClr w14:val="tx1"/>
            </w14:solidFill>
          </w14:textFill>
        </w:rPr>
        <w:t>政策功能分</w:t>
      </w:r>
      <w:bookmarkEnd w:id="33"/>
      <w:r>
        <w:rPr>
          <w:rFonts w:hint="eastAsia" w:ascii="宋体" w:hAnsi="宋体" w:cs="宋体"/>
          <w:b/>
          <w:bCs/>
          <w:color w:val="000000" w:themeColor="text1"/>
          <w:szCs w:val="21"/>
          <w14:textFill>
            <w14:solidFill>
              <w14:schemeClr w14:val="tx1"/>
            </w14:solidFill>
          </w14:textFill>
        </w:rPr>
        <w:t>(满分1分)</w:t>
      </w:r>
    </w:p>
    <w:p>
      <w:pPr>
        <w:spacing w:line="288"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投标产品纳入（财库[2019]19号）中节能产品政府采购清单的（适用于非强制采购节能产品，依据《市场监管总局关于发布参与实施政府采购节能产品、环境标志产品认证机构名录的公告》，提供所投相应型号产品有效的认证证书扫描件或其他电子文件），得0.5分。</w:t>
      </w:r>
    </w:p>
    <w:p>
      <w:pPr>
        <w:spacing w:line="288" w:lineRule="auto"/>
        <w:ind w:firstLine="420" w:firstLineChars="200"/>
        <w:rPr>
          <w:rFonts w:ascii="宋体" w:hAnsi="宋体" w:cs="宋体"/>
          <w:b/>
          <w:bCs/>
          <w:color w:val="000000" w:themeColor="text1"/>
          <w:spacing w:val="-2"/>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投标产品纳入（财库[2019]18号）中环境标志产品政府采购清单的（依据《市场监管总局关于发布参与实施政府采购节能产品、环境标志产品认证机构名录的公告》，提供所投相应型号产品有效的认证证书扫描件或其他电子文件），得0.5分。</w:t>
      </w:r>
      <w:bookmarkEnd w:id="32"/>
    </w:p>
    <w:p>
      <w:pPr>
        <w:spacing w:line="380" w:lineRule="exact"/>
        <w:ind w:firstLine="413" w:firstLineChars="200"/>
        <w:outlineLvl w:val="0"/>
        <w:rPr>
          <w:rFonts w:ascii="宋体" w:hAnsi="宋体" w:cs="宋体"/>
          <w:b/>
          <w:bCs/>
          <w:color w:val="000000" w:themeColor="text1"/>
          <w:spacing w:val="-2"/>
          <w:szCs w:val="21"/>
          <w14:textFill>
            <w14:solidFill>
              <w14:schemeClr w14:val="tx1"/>
            </w14:solidFill>
          </w14:textFill>
        </w:rPr>
      </w:pPr>
    </w:p>
    <w:p>
      <w:pPr>
        <w:spacing w:line="380" w:lineRule="exact"/>
        <w:ind w:firstLine="413" w:firstLineChars="200"/>
        <w:outlineLvl w:val="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pacing w:val="-2"/>
          <w:szCs w:val="21"/>
          <w14:textFill>
            <w14:solidFill>
              <w14:schemeClr w14:val="tx1"/>
            </w14:solidFill>
          </w14:textFill>
        </w:rPr>
        <w:t>（三）总得分=</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 xml:space="preserve">1 + 2 + 3 </w:t>
      </w:r>
    </w:p>
    <w:p>
      <w:pPr>
        <w:spacing w:line="380" w:lineRule="exact"/>
        <w:ind w:firstLine="421" w:firstLineChars="200"/>
        <w:rPr>
          <w:rFonts w:ascii="宋体" w:hAnsi="宋体" w:cs="宋体"/>
          <w:b/>
          <w:bCs/>
          <w:color w:val="000000" w:themeColor="text1"/>
          <w:szCs w:val="21"/>
          <w14:textFill>
            <w14:solidFill>
              <w14:schemeClr w14:val="tx1"/>
            </w14:solidFill>
          </w14:textFill>
        </w:rPr>
      </w:pPr>
    </w:p>
    <w:p>
      <w:pPr>
        <w:spacing w:line="380" w:lineRule="exact"/>
        <w:ind w:firstLine="421" w:firstLineChars="20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三、中标候选人推荐原则</w:t>
      </w:r>
    </w:p>
    <w:p>
      <w:pPr>
        <w:spacing w:line="380" w:lineRule="exact"/>
        <w:ind w:firstLine="420" w:firstLineChars="200"/>
        <w:jc w:val="lef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一）评标委员会将根据得分由高到低排列次序（得分相同时，以评标价由低到高顺序排列；得分相同且评标价相同的，按技术指标优劣顺序排列）并推荐中标候选供应商。采购人应当确定评审委员会推荐排名第一的中标候选人为中标人。</w:t>
      </w:r>
    </w:p>
    <w:p>
      <w:pPr>
        <w:spacing w:line="380" w:lineRule="exact"/>
        <w:ind w:firstLine="420" w:firstLineChars="200"/>
        <w:jc w:val="lef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二）排名第一的中标候选人放弃中标、拒绝签订政府采购合同的，采购人可以确定排名第二的中标候选人为中标人。排名第二的中标候选人因前款规定的同样原因不能签订合同的，采购人可以确定排名第三的中标候选人为中标人，其余以此类推。</w:t>
      </w:r>
    </w:p>
    <w:p>
      <w:pPr>
        <w:rPr>
          <w:rFonts w:ascii="黑体" w:eastAsia="黑体"/>
          <w:b/>
          <w:color w:val="000000" w:themeColor="text1"/>
          <w:sz w:val="44"/>
          <w:szCs w:val="44"/>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pStyle w:val="113"/>
        <w:widowControl w:val="0"/>
        <w:spacing w:afterLines="0"/>
        <w:ind w:firstLine="0" w:firstLineChars="0"/>
        <w:rPr>
          <w:rFonts w:ascii="宋体" w:hAnsi="宋体" w:cs="宋体"/>
          <w:b/>
          <w:color w:val="000000" w:themeColor="text1"/>
          <w:sz w:val="21"/>
          <w:szCs w:val="21"/>
          <w14:textFill>
            <w14:solidFill>
              <w14:schemeClr w14:val="tx1"/>
            </w14:solidFill>
          </w14:textFill>
        </w:rPr>
      </w:pPr>
    </w:p>
    <w:p>
      <w:pPr>
        <w:jc w:val="center"/>
        <w:rPr>
          <w:rFonts w:ascii="宋体" w:hAnsi="宋体" w:cs="宋体"/>
          <w:b/>
          <w:dstrike/>
          <w:color w:val="000000" w:themeColor="text1"/>
          <w:sz w:val="36"/>
          <w:szCs w:val="36"/>
          <w14:textFill>
            <w14:solidFill>
              <w14:schemeClr w14:val="tx1"/>
            </w14:solidFill>
          </w14:textFill>
        </w:rPr>
      </w:pPr>
      <w:bookmarkStart w:id="34" w:name="_Toc589106283_WPSOffice_Level1"/>
      <w:r>
        <w:rPr>
          <w:rFonts w:hint="eastAsia" w:ascii="宋体" w:hAnsi="宋体" w:cs="宋体"/>
          <w:b/>
          <w:color w:val="000000" w:themeColor="text1"/>
          <w:sz w:val="44"/>
          <w:szCs w:val="44"/>
          <w14:textFill>
            <w14:solidFill>
              <w14:schemeClr w14:val="tx1"/>
            </w14:solidFill>
          </w14:textFill>
        </w:rPr>
        <w:t>第五章   政府采购合同主要条款</w:t>
      </w:r>
      <w:bookmarkEnd w:id="34"/>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p>
    <w:p>
      <w:pPr>
        <w:pStyle w:val="28"/>
        <w:ind w:firstLine="420" w:firstLineChars="20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br w:type="page"/>
      </w:r>
    </w:p>
    <w:p>
      <w:pPr>
        <w:pStyle w:val="28"/>
        <w:jc w:val="center"/>
        <w:rPr>
          <w:rFonts w:hAnsi="宋体" w:cs="宋体"/>
          <w:color w:val="000000" w:themeColor="text1"/>
          <w14:textFill>
            <w14:solidFill>
              <w14:schemeClr w14:val="tx1"/>
            </w14:solidFill>
          </w14:textFill>
        </w:rPr>
      </w:pPr>
    </w:p>
    <w:p>
      <w:pPr>
        <w:pStyle w:val="28"/>
        <w:jc w:val="center"/>
        <w:rPr>
          <w:rFonts w:hAnsi="宋体" w:cs="宋体"/>
          <w:color w:val="000000" w:themeColor="text1"/>
          <w14:textFill>
            <w14:solidFill>
              <w14:schemeClr w14:val="tx1"/>
            </w14:solidFill>
          </w14:textFill>
        </w:rPr>
      </w:pPr>
    </w:p>
    <w:p>
      <w:pPr>
        <w:pStyle w:val="28"/>
        <w:jc w:val="center"/>
        <w:rPr>
          <w:rFonts w:hAnsi="宋体" w:cs="宋体"/>
          <w:b/>
          <w:color w:val="000000" w:themeColor="text1"/>
          <w:sz w:val="52"/>
          <w:szCs w:val="52"/>
          <w14:textFill>
            <w14:solidFill>
              <w14:schemeClr w14:val="tx1"/>
            </w14:solidFill>
          </w14:textFill>
        </w:rPr>
      </w:pPr>
      <w:r>
        <w:rPr>
          <w:rFonts w:hint="eastAsia" w:hAnsi="宋体" w:cs="宋体"/>
          <w:b/>
          <w:color w:val="000000" w:themeColor="text1"/>
          <w:sz w:val="52"/>
          <w:szCs w:val="52"/>
          <w14:textFill>
            <w14:solidFill>
              <w14:schemeClr w14:val="tx1"/>
            </w14:solidFill>
          </w14:textFill>
        </w:rPr>
        <w:t>广西壮族自治区政府采购合同</w:t>
      </w:r>
    </w:p>
    <w:p>
      <w:pPr>
        <w:pStyle w:val="28"/>
        <w:rPr>
          <w:rFonts w:hAnsi="宋体" w:cs="宋体"/>
          <w:color w:val="000000" w:themeColor="text1"/>
          <w14:textFill>
            <w14:solidFill>
              <w14:schemeClr w14:val="tx1"/>
            </w14:solidFill>
          </w14:textFill>
        </w:rPr>
      </w:pPr>
    </w:p>
    <w:p>
      <w:pPr>
        <w:pStyle w:val="28"/>
        <w:rPr>
          <w:rFonts w:hAnsi="宋体" w:cs="宋体"/>
          <w:color w:val="000000" w:themeColor="text1"/>
          <w14:textFill>
            <w14:solidFill>
              <w14:schemeClr w14:val="tx1"/>
            </w14:solidFill>
          </w14:textFill>
        </w:rPr>
      </w:pPr>
    </w:p>
    <w:p>
      <w:pPr>
        <w:pStyle w:val="28"/>
        <w:rPr>
          <w:rFonts w:hAnsi="宋体" w:cs="宋体"/>
          <w:color w:val="000000" w:themeColor="text1"/>
          <w14:textFill>
            <w14:solidFill>
              <w14:schemeClr w14:val="tx1"/>
            </w14:solidFill>
          </w14:textFill>
        </w:rPr>
      </w:pPr>
    </w:p>
    <w:p>
      <w:pPr>
        <w:pStyle w:val="28"/>
        <w:rPr>
          <w:rFonts w:hAnsi="宋体" w:cs="宋体"/>
          <w:color w:val="000000" w:themeColor="text1"/>
          <w14:textFill>
            <w14:solidFill>
              <w14:schemeClr w14:val="tx1"/>
            </w14:solidFill>
          </w14:textFill>
        </w:rPr>
      </w:pPr>
    </w:p>
    <w:p>
      <w:pPr>
        <w:pStyle w:val="28"/>
        <w:rPr>
          <w:rFonts w:hAnsi="宋体" w:cs="宋体"/>
          <w:b/>
          <w:color w:val="000000" w:themeColor="text1"/>
          <w:sz w:val="32"/>
          <w:szCs w:val="32"/>
          <w:u w:val="single"/>
          <w14:textFill>
            <w14:solidFill>
              <w14:schemeClr w14:val="tx1"/>
            </w14:solidFill>
          </w14:textFill>
        </w:rPr>
      </w:pPr>
      <w:r>
        <w:rPr>
          <w:rFonts w:hint="eastAsia" w:hAnsi="宋体" w:cs="宋体"/>
          <w:b/>
          <w:color w:val="000000" w:themeColor="text1"/>
          <w:sz w:val="32"/>
          <w:szCs w:val="32"/>
          <w14:textFill>
            <w14:solidFill>
              <w14:schemeClr w14:val="tx1"/>
            </w14:solidFill>
          </w14:textFill>
        </w:rPr>
        <w:t xml:space="preserve">        合同名称：</w:t>
      </w:r>
      <w:r>
        <w:rPr>
          <w:rFonts w:hint="eastAsia" w:hAnsi="宋体" w:cs="宋体"/>
          <w:b/>
          <w:color w:val="000000" w:themeColor="text1"/>
          <w:sz w:val="32"/>
          <w:szCs w:val="32"/>
          <w:u w:val="single"/>
          <w14:textFill>
            <w14:solidFill>
              <w14:schemeClr w14:val="tx1"/>
            </w14:solidFill>
          </w14:textFill>
        </w:rPr>
        <w:t xml:space="preserve">                            </w:t>
      </w:r>
    </w:p>
    <w:p>
      <w:pPr>
        <w:pStyle w:val="28"/>
        <w:ind w:firstLine="1590" w:firstLineChars="495"/>
        <w:rPr>
          <w:rFonts w:hAnsi="宋体" w:cs="宋体"/>
          <w:b/>
          <w:color w:val="000000" w:themeColor="text1"/>
          <w:sz w:val="32"/>
          <w:szCs w:val="32"/>
          <w14:textFill>
            <w14:solidFill>
              <w14:schemeClr w14:val="tx1"/>
            </w14:solidFill>
          </w14:textFill>
        </w:rPr>
      </w:pPr>
    </w:p>
    <w:p>
      <w:pPr>
        <w:pStyle w:val="28"/>
        <w:ind w:firstLine="642" w:firstLineChars="200"/>
        <w:rPr>
          <w:rFonts w:hAnsi="宋体" w:cs="宋体"/>
          <w:b/>
          <w:color w:val="000000" w:themeColor="text1"/>
          <w:sz w:val="32"/>
          <w:szCs w:val="32"/>
          <w:u w:val="single"/>
          <w14:textFill>
            <w14:solidFill>
              <w14:schemeClr w14:val="tx1"/>
            </w14:solidFill>
          </w14:textFill>
        </w:rPr>
      </w:pPr>
      <w:r>
        <w:rPr>
          <w:rFonts w:hint="eastAsia" w:hAnsi="宋体" w:cs="宋体"/>
          <w:b/>
          <w:color w:val="000000" w:themeColor="text1"/>
          <w:sz w:val="32"/>
          <w:szCs w:val="32"/>
          <w14:textFill>
            <w14:solidFill>
              <w14:schemeClr w14:val="tx1"/>
            </w14:solidFill>
          </w14:textFill>
        </w:rPr>
        <w:t xml:space="preserve">    合同编号：</w:t>
      </w:r>
      <w:r>
        <w:rPr>
          <w:rFonts w:hint="eastAsia" w:hAnsi="宋体" w:cs="宋体"/>
          <w:b/>
          <w:color w:val="000000" w:themeColor="text1"/>
          <w:sz w:val="32"/>
          <w:szCs w:val="32"/>
          <w:u w:val="single"/>
          <w14:textFill>
            <w14:solidFill>
              <w14:schemeClr w14:val="tx1"/>
            </w14:solidFill>
          </w14:textFill>
        </w:rPr>
        <w:t xml:space="preserve">                            </w:t>
      </w:r>
    </w:p>
    <w:p>
      <w:pPr>
        <w:pStyle w:val="28"/>
        <w:jc w:val="center"/>
        <w:rPr>
          <w:rFonts w:hAnsi="宋体" w:cs="宋体"/>
          <w:color w:val="000000" w:themeColor="text1"/>
          <w14:textFill>
            <w14:solidFill>
              <w14:schemeClr w14:val="tx1"/>
            </w14:solidFill>
          </w14:textFill>
        </w:rPr>
      </w:pPr>
    </w:p>
    <w:p>
      <w:pPr>
        <w:pStyle w:val="28"/>
        <w:jc w:val="center"/>
        <w:rPr>
          <w:rFonts w:hAnsi="宋体" w:cs="宋体"/>
          <w:color w:val="000000" w:themeColor="text1"/>
          <w14:textFill>
            <w14:solidFill>
              <w14:schemeClr w14:val="tx1"/>
            </w14:solidFill>
          </w14:textFill>
        </w:rPr>
      </w:pPr>
    </w:p>
    <w:p>
      <w:pPr>
        <w:pStyle w:val="28"/>
        <w:jc w:val="center"/>
        <w:rPr>
          <w:rFonts w:hAnsi="宋体" w:cs="宋体"/>
          <w:color w:val="000000" w:themeColor="text1"/>
          <w14:textFill>
            <w14:solidFill>
              <w14:schemeClr w14:val="tx1"/>
            </w14:solidFill>
          </w14:textFill>
        </w:rPr>
      </w:pPr>
    </w:p>
    <w:p>
      <w:pPr>
        <w:pStyle w:val="28"/>
        <w:spacing w:after="156" w:afterLines="50" w:line="340" w:lineRule="exact"/>
        <w:ind w:firstLine="642" w:firstLineChars="200"/>
        <w:rPr>
          <w:rFonts w:hAnsi="宋体" w:cs="宋体"/>
          <w:b/>
          <w:color w:val="000000" w:themeColor="text1"/>
          <w:sz w:val="32"/>
          <w:szCs w:val="32"/>
          <w:u w:val="single"/>
          <w14:textFill>
            <w14:solidFill>
              <w14:schemeClr w14:val="tx1"/>
            </w14:solidFill>
          </w14:textFill>
        </w:rPr>
      </w:pPr>
      <w:r>
        <w:rPr>
          <w:rFonts w:hint="eastAsia" w:hAnsi="宋体" w:cs="宋体"/>
          <w:b/>
          <w:color w:val="000000" w:themeColor="text1"/>
          <w:sz w:val="32"/>
          <w:szCs w:val="32"/>
          <w14:textFill>
            <w14:solidFill>
              <w14:schemeClr w14:val="tx1"/>
            </w14:solidFill>
          </w14:textFill>
        </w:rPr>
        <w:t xml:space="preserve">    采购单位（甲方）</w:t>
      </w:r>
      <w:r>
        <w:rPr>
          <w:rFonts w:hint="eastAsia" w:hAnsi="宋体" w:cs="宋体"/>
          <w:b/>
          <w:color w:val="000000" w:themeColor="text1"/>
          <w:sz w:val="32"/>
          <w:szCs w:val="32"/>
          <w:u w:val="single"/>
          <w14:textFill>
            <w14:solidFill>
              <w14:schemeClr w14:val="tx1"/>
            </w14:solidFill>
          </w14:textFill>
        </w:rPr>
        <w:t xml:space="preserve">                      </w:t>
      </w:r>
    </w:p>
    <w:p>
      <w:pPr>
        <w:pStyle w:val="28"/>
        <w:spacing w:line="340" w:lineRule="exact"/>
        <w:ind w:firstLine="642" w:firstLineChars="200"/>
        <w:rPr>
          <w:rFonts w:hAnsi="宋体" w:cs="宋体"/>
          <w:b/>
          <w:color w:val="000000" w:themeColor="text1"/>
          <w:sz w:val="32"/>
          <w:szCs w:val="32"/>
          <w:u w:val="single"/>
          <w14:textFill>
            <w14:solidFill>
              <w14:schemeClr w14:val="tx1"/>
            </w14:solidFill>
          </w14:textFill>
        </w:rPr>
      </w:pPr>
      <w:r>
        <w:rPr>
          <w:rFonts w:hint="eastAsia" w:hAnsi="宋体" w:cs="宋体"/>
          <w:b/>
          <w:color w:val="000000" w:themeColor="text1"/>
          <w:sz w:val="32"/>
          <w:szCs w:val="32"/>
          <w14:textFill>
            <w14:solidFill>
              <w14:schemeClr w14:val="tx1"/>
            </w14:solidFill>
          </w14:textFill>
        </w:rPr>
        <w:t xml:space="preserve">    住   所：</w:t>
      </w:r>
      <w:r>
        <w:rPr>
          <w:rFonts w:hint="eastAsia" w:hAnsi="宋体" w:cs="宋体"/>
          <w:b/>
          <w:color w:val="000000" w:themeColor="text1"/>
          <w:sz w:val="32"/>
          <w:szCs w:val="32"/>
          <w:u w:val="single"/>
          <w14:textFill>
            <w14:solidFill>
              <w14:schemeClr w14:val="tx1"/>
            </w14:solidFill>
          </w14:textFill>
        </w:rPr>
        <w:t xml:space="preserve">                            </w:t>
      </w:r>
    </w:p>
    <w:p>
      <w:pPr>
        <w:pStyle w:val="28"/>
        <w:spacing w:line="340" w:lineRule="exact"/>
        <w:ind w:firstLine="1590" w:firstLineChars="495"/>
        <w:rPr>
          <w:rFonts w:hAnsi="宋体" w:cs="宋体"/>
          <w:b/>
          <w:color w:val="000000" w:themeColor="text1"/>
          <w:sz w:val="32"/>
          <w:szCs w:val="32"/>
          <w14:textFill>
            <w14:solidFill>
              <w14:schemeClr w14:val="tx1"/>
            </w14:solidFill>
          </w14:textFill>
        </w:rPr>
      </w:pPr>
    </w:p>
    <w:p>
      <w:pPr>
        <w:pStyle w:val="28"/>
        <w:spacing w:line="340" w:lineRule="exact"/>
        <w:ind w:firstLine="1590" w:firstLineChars="495"/>
        <w:rPr>
          <w:rFonts w:hAnsi="宋体" w:cs="宋体"/>
          <w:b/>
          <w:color w:val="000000" w:themeColor="text1"/>
          <w:sz w:val="32"/>
          <w:szCs w:val="32"/>
          <w14:textFill>
            <w14:solidFill>
              <w14:schemeClr w14:val="tx1"/>
            </w14:solidFill>
          </w14:textFill>
        </w:rPr>
      </w:pPr>
    </w:p>
    <w:p>
      <w:pPr>
        <w:pStyle w:val="28"/>
        <w:spacing w:after="156" w:afterLines="50" w:line="340" w:lineRule="exact"/>
        <w:ind w:firstLine="642" w:firstLineChars="200"/>
        <w:rPr>
          <w:rFonts w:hAnsi="宋体" w:cs="宋体"/>
          <w:b/>
          <w:color w:val="000000" w:themeColor="text1"/>
          <w:sz w:val="32"/>
          <w:szCs w:val="32"/>
          <w:u w:val="single"/>
          <w14:textFill>
            <w14:solidFill>
              <w14:schemeClr w14:val="tx1"/>
            </w14:solidFill>
          </w14:textFill>
        </w:rPr>
      </w:pPr>
      <w:r>
        <w:rPr>
          <w:rFonts w:hint="eastAsia" w:hAnsi="宋体" w:cs="宋体"/>
          <w:b/>
          <w:color w:val="000000" w:themeColor="text1"/>
          <w:sz w:val="32"/>
          <w:szCs w:val="32"/>
          <w14:textFill>
            <w14:solidFill>
              <w14:schemeClr w14:val="tx1"/>
            </w14:solidFill>
          </w14:textFill>
        </w:rPr>
        <w:t xml:space="preserve">    供 应 商（乙方）</w:t>
      </w:r>
      <w:r>
        <w:rPr>
          <w:rFonts w:hint="eastAsia" w:hAnsi="宋体" w:cs="宋体"/>
          <w:b/>
          <w:color w:val="000000" w:themeColor="text1"/>
          <w:sz w:val="32"/>
          <w:szCs w:val="32"/>
          <w:u w:val="single"/>
          <w14:textFill>
            <w14:solidFill>
              <w14:schemeClr w14:val="tx1"/>
            </w14:solidFill>
          </w14:textFill>
        </w:rPr>
        <w:t xml:space="preserve">                      </w:t>
      </w:r>
    </w:p>
    <w:p>
      <w:pPr>
        <w:pStyle w:val="28"/>
        <w:spacing w:line="340" w:lineRule="exact"/>
        <w:ind w:firstLine="642" w:firstLineChars="200"/>
        <w:rPr>
          <w:rFonts w:hAnsi="宋体" w:cs="宋体"/>
          <w:b/>
          <w:color w:val="000000" w:themeColor="text1"/>
          <w:sz w:val="32"/>
          <w:szCs w:val="32"/>
          <w:u w:val="single"/>
          <w14:textFill>
            <w14:solidFill>
              <w14:schemeClr w14:val="tx1"/>
            </w14:solidFill>
          </w14:textFill>
        </w:rPr>
      </w:pPr>
      <w:r>
        <w:rPr>
          <w:rFonts w:hint="eastAsia" w:hAnsi="宋体" w:cs="宋体"/>
          <w:b/>
          <w:color w:val="000000" w:themeColor="text1"/>
          <w:sz w:val="32"/>
          <w:szCs w:val="32"/>
          <w14:textFill>
            <w14:solidFill>
              <w14:schemeClr w14:val="tx1"/>
            </w14:solidFill>
          </w14:textFill>
        </w:rPr>
        <w:t xml:space="preserve">    住   所：</w:t>
      </w:r>
      <w:r>
        <w:rPr>
          <w:rFonts w:hint="eastAsia" w:hAnsi="宋体" w:cs="宋体"/>
          <w:b/>
          <w:color w:val="000000" w:themeColor="text1"/>
          <w:sz w:val="32"/>
          <w:szCs w:val="32"/>
          <w:u w:val="single"/>
          <w14:textFill>
            <w14:solidFill>
              <w14:schemeClr w14:val="tx1"/>
            </w14:solidFill>
          </w14:textFill>
        </w:rPr>
        <w:t xml:space="preserve">                            </w:t>
      </w:r>
    </w:p>
    <w:p>
      <w:pPr>
        <w:pStyle w:val="28"/>
        <w:spacing w:line="340" w:lineRule="exact"/>
        <w:ind w:firstLine="1590" w:firstLineChars="495"/>
        <w:rPr>
          <w:rFonts w:hAnsi="宋体" w:cs="宋体"/>
          <w:b/>
          <w:color w:val="000000" w:themeColor="text1"/>
          <w:sz w:val="32"/>
          <w:szCs w:val="32"/>
          <w14:textFill>
            <w14:solidFill>
              <w14:schemeClr w14:val="tx1"/>
            </w14:solidFill>
          </w14:textFill>
        </w:rPr>
      </w:pPr>
    </w:p>
    <w:p>
      <w:pPr>
        <w:pStyle w:val="28"/>
        <w:ind w:firstLine="420" w:firstLineChars="20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 </w:t>
      </w:r>
    </w:p>
    <w:p>
      <w:pPr>
        <w:pStyle w:val="28"/>
        <w:jc w:val="center"/>
        <w:rPr>
          <w:rFonts w:hAnsi="宋体" w:cs="宋体"/>
          <w:color w:val="000000" w:themeColor="text1"/>
          <w14:textFill>
            <w14:solidFill>
              <w14:schemeClr w14:val="tx1"/>
            </w14:solidFill>
          </w14:textFill>
        </w:rPr>
      </w:pPr>
    </w:p>
    <w:p>
      <w:pPr>
        <w:pStyle w:val="28"/>
        <w:jc w:val="center"/>
        <w:rPr>
          <w:rFonts w:hAnsi="宋体" w:cs="宋体"/>
          <w:color w:val="000000" w:themeColor="text1"/>
          <w14:textFill>
            <w14:solidFill>
              <w14:schemeClr w14:val="tx1"/>
            </w14:solidFill>
          </w14:textFill>
        </w:rPr>
      </w:pPr>
    </w:p>
    <w:p>
      <w:pPr>
        <w:pStyle w:val="28"/>
        <w:ind w:firstLine="642" w:firstLineChars="200"/>
        <w:rPr>
          <w:rFonts w:hAnsi="宋体" w:cs="宋体"/>
          <w:b/>
          <w:color w:val="000000" w:themeColor="text1"/>
          <w:sz w:val="32"/>
          <w:szCs w:val="32"/>
          <w:u w:val="single"/>
          <w14:textFill>
            <w14:solidFill>
              <w14:schemeClr w14:val="tx1"/>
            </w14:solidFill>
          </w14:textFill>
        </w:rPr>
      </w:pPr>
      <w:r>
        <w:rPr>
          <w:rFonts w:hint="eastAsia" w:hAnsi="宋体" w:cs="宋体"/>
          <w:b/>
          <w:color w:val="000000" w:themeColor="text1"/>
          <w:sz w:val="32"/>
          <w:szCs w:val="32"/>
          <w14:textFill>
            <w14:solidFill>
              <w14:schemeClr w14:val="tx1"/>
            </w14:solidFill>
          </w14:textFill>
        </w:rPr>
        <w:t xml:space="preserve">    签订合同地点：</w:t>
      </w:r>
      <w:r>
        <w:rPr>
          <w:rFonts w:hint="eastAsia" w:hAnsi="宋体" w:cs="宋体"/>
          <w:b/>
          <w:color w:val="000000" w:themeColor="text1"/>
          <w:sz w:val="32"/>
          <w:szCs w:val="32"/>
          <w:u w:val="single"/>
          <w14:textFill>
            <w14:solidFill>
              <w14:schemeClr w14:val="tx1"/>
            </w14:solidFill>
          </w14:textFill>
        </w:rPr>
        <w:t xml:space="preserve">                       </w:t>
      </w:r>
    </w:p>
    <w:p>
      <w:pPr>
        <w:pStyle w:val="28"/>
        <w:ind w:firstLine="1590" w:firstLineChars="495"/>
        <w:rPr>
          <w:rFonts w:hAnsi="宋体" w:cs="宋体"/>
          <w:b/>
          <w:color w:val="000000" w:themeColor="text1"/>
          <w:sz w:val="32"/>
          <w:szCs w:val="32"/>
          <w14:textFill>
            <w14:solidFill>
              <w14:schemeClr w14:val="tx1"/>
            </w14:solidFill>
          </w14:textFill>
        </w:rPr>
      </w:pPr>
    </w:p>
    <w:p>
      <w:pPr>
        <w:pStyle w:val="28"/>
        <w:ind w:firstLine="642" w:firstLineChars="200"/>
        <w:rPr>
          <w:rFonts w:hAnsi="宋体" w:cs="宋体"/>
          <w:b/>
          <w:color w:val="000000" w:themeColor="text1"/>
          <w:sz w:val="32"/>
          <w:szCs w:val="32"/>
          <w14:textFill>
            <w14:solidFill>
              <w14:schemeClr w14:val="tx1"/>
            </w14:solidFill>
          </w14:textFill>
        </w:rPr>
      </w:pPr>
      <w:r>
        <w:rPr>
          <w:rFonts w:hint="eastAsia" w:hAnsi="宋体" w:cs="宋体"/>
          <w:b/>
          <w:color w:val="000000" w:themeColor="text1"/>
          <w:sz w:val="32"/>
          <w:szCs w:val="32"/>
          <w14:textFill>
            <w14:solidFill>
              <w14:schemeClr w14:val="tx1"/>
            </w14:solidFill>
          </w14:textFill>
        </w:rPr>
        <w:t xml:space="preserve">    签订合同时间：</w:t>
      </w:r>
      <w:r>
        <w:rPr>
          <w:rFonts w:hint="eastAsia" w:hAnsi="宋体" w:cs="宋体"/>
          <w:b/>
          <w:color w:val="000000" w:themeColor="text1"/>
          <w:sz w:val="32"/>
          <w:szCs w:val="32"/>
          <w:u w:val="single"/>
          <w14:textFill>
            <w14:solidFill>
              <w14:schemeClr w14:val="tx1"/>
            </w14:solidFill>
          </w14:textFill>
        </w:rPr>
        <w:t xml:space="preserve">                       </w:t>
      </w:r>
    </w:p>
    <w:p>
      <w:pPr>
        <w:pStyle w:val="28"/>
        <w:jc w:val="center"/>
        <w:rPr>
          <w:rFonts w:hAnsi="宋体" w:cs="宋体"/>
          <w:color w:val="000000" w:themeColor="text1"/>
          <w14:textFill>
            <w14:solidFill>
              <w14:schemeClr w14:val="tx1"/>
            </w14:solidFill>
          </w14:textFill>
        </w:rPr>
      </w:pPr>
    </w:p>
    <w:p>
      <w:pPr>
        <w:pStyle w:val="28"/>
        <w:jc w:val="center"/>
        <w:rPr>
          <w:rFonts w:hAnsi="宋体" w:cs="宋体"/>
          <w:color w:val="000000" w:themeColor="text1"/>
          <w14:textFill>
            <w14:solidFill>
              <w14:schemeClr w14:val="tx1"/>
            </w14:solidFill>
          </w14:textFill>
        </w:rPr>
      </w:pPr>
    </w:p>
    <w:p>
      <w:pPr>
        <w:pStyle w:val="28"/>
        <w:jc w:val="center"/>
        <w:rPr>
          <w:rFonts w:hAnsi="宋体" w:cs="宋体"/>
          <w:color w:val="000000" w:themeColor="text1"/>
          <w14:textFill>
            <w14:solidFill>
              <w14:schemeClr w14:val="tx1"/>
            </w14:solidFill>
          </w14:textFill>
        </w:rPr>
      </w:pPr>
    </w:p>
    <w:p>
      <w:pPr>
        <w:pStyle w:val="28"/>
        <w:jc w:val="center"/>
        <w:rPr>
          <w:rFonts w:hAnsi="宋体" w:cs="宋体"/>
          <w:color w:val="000000" w:themeColor="text1"/>
          <w14:textFill>
            <w14:solidFill>
              <w14:schemeClr w14:val="tx1"/>
            </w14:solidFill>
          </w14:textFill>
        </w:rPr>
      </w:pPr>
    </w:p>
    <w:p>
      <w:pPr>
        <w:pStyle w:val="28"/>
        <w:spacing w:line="420" w:lineRule="exact"/>
        <w:ind w:firstLine="420" w:firstLineChars="20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合同使用说明：根据《中华人民共和国政府采购法》、《中华人民共和国民法典》等法律、法规规定，按照招标文件规定条款和中标供应商投标文件及其承诺，甲乙双方签订本合同。</w:t>
      </w:r>
    </w:p>
    <w:p>
      <w:pPr>
        <w:pStyle w:val="28"/>
        <w:snapToGrid w:val="0"/>
        <w:spacing w:before="120" w:after="120"/>
        <w:jc w:val="center"/>
        <w:outlineLvl w:val="0"/>
        <w:rPr>
          <w:rFonts w:hAnsi="宋体" w:cs="宋体"/>
          <w:color w:val="000000" w:themeColor="text1"/>
          <w14:textFill>
            <w14:solidFill>
              <w14:schemeClr w14:val="tx1"/>
            </w14:solidFill>
          </w14:textFill>
        </w:rPr>
      </w:pPr>
    </w:p>
    <w:p>
      <w:pPr>
        <w:pStyle w:val="28"/>
        <w:snapToGrid w:val="0"/>
        <w:spacing w:before="120" w:after="120"/>
        <w:jc w:val="center"/>
        <w:outlineLvl w:val="0"/>
        <w:rPr>
          <w:rFonts w:hAnsi="宋体" w:cs="宋体"/>
          <w:color w:val="000000" w:themeColor="text1"/>
          <w14:textFill>
            <w14:solidFill>
              <w14:schemeClr w14:val="tx1"/>
            </w14:solidFill>
          </w14:textFill>
        </w:rPr>
      </w:pPr>
    </w:p>
    <w:p>
      <w:pPr>
        <w:spacing w:line="300" w:lineRule="auto"/>
        <w:jc w:val="center"/>
        <w:rPr>
          <w:rFonts w:ascii="宋体" w:hAnsi="宋体" w:cs="宋体"/>
          <w:b/>
          <w:bCs/>
          <w:color w:val="000000" w:themeColor="text1"/>
          <w:sz w:val="44"/>
          <w:szCs w:val="44"/>
          <w14:textFill>
            <w14:solidFill>
              <w14:schemeClr w14:val="tx1"/>
            </w14:solidFill>
          </w14:textFill>
        </w:rPr>
      </w:pPr>
      <w:r>
        <w:rPr>
          <w:rFonts w:hint="eastAsia" w:ascii="宋体" w:hAnsi="宋体" w:cs="宋体"/>
          <w:b/>
          <w:color w:val="000000" w:themeColor="text1"/>
          <w:sz w:val="44"/>
          <w:szCs w:val="44"/>
          <w14:textFill>
            <w14:solidFill>
              <w14:schemeClr w14:val="tx1"/>
            </w14:solidFill>
          </w14:textFill>
        </w:rPr>
        <w:t>采购</w:t>
      </w:r>
      <w:r>
        <w:rPr>
          <w:rFonts w:hint="eastAsia" w:ascii="宋体" w:hAnsi="宋体" w:cs="宋体"/>
          <w:b/>
          <w:bCs/>
          <w:color w:val="000000" w:themeColor="text1"/>
          <w:sz w:val="44"/>
          <w:szCs w:val="44"/>
          <w14:textFill>
            <w14:solidFill>
              <w14:schemeClr w14:val="tx1"/>
            </w14:solidFill>
          </w14:textFill>
        </w:rPr>
        <w:t>合同文本（格式）</w:t>
      </w:r>
    </w:p>
    <w:p>
      <w:pPr>
        <w:snapToGrid w:val="0"/>
        <w:spacing w:line="380" w:lineRule="exact"/>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广西壮族自治区政府采购合同</w:t>
      </w:r>
    </w:p>
    <w:p>
      <w:pPr>
        <w:snapToGrid w:val="0"/>
        <w:spacing w:line="380" w:lineRule="exact"/>
        <w:ind w:right="480" w:firstLine="420" w:firstLineChars="200"/>
        <w:rPr>
          <w:rFonts w:ascii="宋体" w:hAnsi="宋体" w:cs="宋体"/>
          <w:bCs/>
          <w:color w:val="000000" w:themeColor="text1"/>
          <w:szCs w:val="21"/>
          <w:u w:val="single"/>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合同编号：</w:t>
      </w:r>
    </w:p>
    <w:p>
      <w:pPr>
        <w:snapToGrid w:val="0"/>
        <w:spacing w:line="380" w:lineRule="exact"/>
        <w:rPr>
          <w:rFonts w:ascii="宋体" w:hAnsi="宋体" w:cs="宋体"/>
          <w:color w:val="000000" w:themeColor="text1"/>
          <w:szCs w:val="21"/>
          <w14:textFill>
            <w14:solidFill>
              <w14:schemeClr w14:val="tx1"/>
            </w14:solidFill>
          </w14:textFill>
        </w:rPr>
      </w:pPr>
    </w:p>
    <w:p>
      <w:pPr>
        <w:snapToGrid w:val="0"/>
        <w:spacing w:line="380" w:lineRule="exac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采购单位（甲方）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采 购 计 划 号</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 应 商（乙方）</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项目名称编号</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签  订  地  点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签 订 时 间</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p>
    <w:p>
      <w:pPr>
        <w:pStyle w:val="28"/>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根据《中华人民共和国政府采购法》、《中华人民共和国民法典》等法律、法规规定，按照招标文件规定条款和中标供应商投标文件及其承诺，甲乙双方签订本合同。</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第一条　合同标的</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087"/>
        <w:gridCol w:w="1364"/>
        <w:gridCol w:w="1568"/>
        <w:gridCol w:w="1268"/>
        <w:gridCol w:w="668"/>
        <w:gridCol w:w="655"/>
        <w:gridCol w:w="1063"/>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364"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商标品牌</w:t>
            </w:r>
          </w:p>
        </w:tc>
        <w:tc>
          <w:tcPr>
            <w:tcW w:w="15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规格型号</w:t>
            </w:r>
          </w:p>
        </w:tc>
        <w:tc>
          <w:tcPr>
            <w:tcW w:w="12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生产厂家</w:t>
            </w:r>
          </w:p>
        </w:tc>
        <w:tc>
          <w:tcPr>
            <w:tcW w:w="66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w:t>
            </w:r>
          </w:p>
        </w:tc>
        <w:tc>
          <w:tcPr>
            <w:tcW w:w="6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w:t>
            </w:r>
          </w:p>
        </w:tc>
        <w:tc>
          <w:tcPr>
            <w:tcW w:w="1063"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单价（元）</w:t>
            </w: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8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p>
        </w:tc>
        <w:tc>
          <w:tcPr>
            <w:tcW w:w="8756" w:type="dxa"/>
            <w:gridSpan w:val="8"/>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38"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人民币合计金额（大写）                          （小写）                 </w:t>
            </w:r>
          </w:p>
        </w:tc>
      </w:tr>
    </w:tbl>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合同合计金额包括货物价款，标准附件、备品配件、专用工具、包装、运输、装卸、保险、税金、货物到就位以及安装、调试、检验、技术培训及技术资料、软件费、保修等全部费用。如招投标文件对其另有规定的，从其规定。</w:t>
      </w:r>
    </w:p>
    <w:p>
      <w:pPr>
        <w:snapToGrid w:val="0"/>
        <w:spacing w:line="380" w:lineRule="exact"/>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第二条　质量保证</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1.乙方所提供的货物型号、技术规格、技术参数等质量必须与招投标文件和承诺相一致。乙方提供的节能和环保产品必须是列入政府采购清单的产品。</w:t>
      </w:r>
    </w:p>
    <w:p>
      <w:pPr>
        <w:snapToGrid w:val="0"/>
        <w:spacing w:line="38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2.乙方所提供的货物必须是全新、未使用的原装产品，且在正常安装、使用和保养条件下，其使用寿命期内各项指标均达到质量要求。</w:t>
      </w:r>
    </w:p>
    <w:p>
      <w:pPr>
        <w:snapToGrid w:val="0"/>
        <w:spacing w:line="380" w:lineRule="exact"/>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第三条　权利保证</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乙方应保证所提供货物在使用时不会侵犯任何第三方的专利权、商标权、工业设计权或其他权利。</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乙方应按招标文件规定的时间向甲方提供使用货物的有关技术资料。</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乙方保证所交付的货物的所有权完全属于乙方且无任何抵押、质押、查封等产权瑕疵。</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第四条　包装和运输</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1.乙方提供的货物均应按招投标文件要求的包装材料、包装标准、包装方式进行包装，每一包装单元内应附详细的装箱单和质量合格证。</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2.货物的运输方式：</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3.乙方负责货物运输，货物运输合理损耗及计算方法：</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380" w:lineRule="exact"/>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第五条　交付和验收</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1.交付使用时间、地点。</w:t>
      </w:r>
    </w:p>
    <w:p>
      <w:pPr>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交付使用时间：按乙方投标文件中所承诺的时间；交付使用地点：采购人指定地点。</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2.乙方提供不符合招投标文件和本合同规定的货物，甲方有权拒绝接受。</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3.乙方应将所提供货物的装箱清单、用户手册、原厂保修卡、随机资料、工具和备品、备件等交付给甲方，如有缺失应及时补齐，否则视为逾期交货。</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4.甲方应当在到货（安装、调试完）后十个工作日内进行验收，逾期不验收的，乙方可视同验收合格。验收合格后由甲乙双方签署货物验收单并加盖采购单位公章，甲乙双方各执一份。</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5.甲方对验收有异议的，在验收后五个工作日内以书面形式向乙方提出，乙方应自收到甲方书面异议后 </w:t>
      </w:r>
      <w:r>
        <w:rPr>
          <w:rFonts w:hint="eastAsia" w:ascii="宋体" w:hAnsi="宋体" w:cs="宋体"/>
          <w:color w:val="000000" w:themeColor="text1"/>
          <w:szCs w:val="21"/>
          <w:u w:val="single"/>
          <w14:textFill>
            <w14:solidFill>
              <w14:schemeClr w14:val="tx1"/>
            </w14:solidFill>
          </w14:textFill>
        </w:rPr>
        <w:t xml:space="preserve">五 </w:t>
      </w:r>
      <w:r>
        <w:rPr>
          <w:rFonts w:hint="eastAsia" w:ascii="宋体" w:hAnsi="宋体" w:cs="宋体"/>
          <w:color w:val="000000" w:themeColor="text1"/>
          <w:szCs w:val="21"/>
          <w14:textFill>
            <w14:solidFill>
              <w14:schemeClr w14:val="tx1"/>
            </w14:solidFill>
          </w14:textFill>
        </w:rPr>
        <w:t>日内及时予以解决。</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第六条　安装和培训</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1.甲方应提供必要安装条件（如场地、电源、水源等）。</w:t>
      </w:r>
    </w:p>
    <w:p>
      <w:pPr>
        <w:snapToGrid w:val="0"/>
        <w:spacing w:line="38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2.乙方负责甲方有关人员的培训。培训时间、地点：</w:t>
      </w:r>
      <w:r>
        <w:rPr>
          <w:rFonts w:hint="eastAsia" w:ascii="宋体" w:hAnsi="宋体" w:cs="宋体"/>
          <w:b/>
          <w:color w:val="000000" w:themeColor="text1"/>
          <w:szCs w:val="21"/>
          <w:u w:val="single"/>
          <w14:textFill>
            <w14:solidFill>
              <w14:schemeClr w14:val="tx1"/>
            </w14:solidFill>
          </w14:textFill>
        </w:rPr>
        <w:t>按交付使用时间、地点培训</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第七条  售后服务、保修期</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1.乙方应按照国家有关法律法规和“三包”规定以及招投标文件和本合同所附的《服务承诺》，为甲方提供售后服务。</w:t>
      </w:r>
    </w:p>
    <w:p>
      <w:pPr>
        <w:snapToGrid w:val="0"/>
        <w:spacing w:line="38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2.货物保修期：</w:t>
      </w:r>
      <w:r>
        <w:rPr>
          <w:rFonts w:hint="eastAsia" w:ascii="宋体" w:hAnsi="宋体" w:cs="宋体"/>
          <w:b/>
          <w:color w:val="000000" w:themeColor="text1"/>
          <w:szCs w:val="21"/>
          <w:u w:val="single"/>
          <w14:textFill>
            <w14:solidFill>
              <w14:schemeClr w14:val="tx1"/>
            </w14:solidFill>
          </w14:textFill>
        </w:rPr>
        <w:t>分项有要求的按分项要求，分项无要求的按国家标准实行“三包”</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3.乙方提供的服务承诺和售后服务及保修期责任等其它具体约定事项。（见合同附件）</w:t>
      </w:r>
    </w:p>
    <w:p>
      <w:pPr>
        <w:snapToGrid w:val="0"/>
        <w:spacing w:line="380" w:lineRule="exact"/>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第八条　付款方式和保证金</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t>当采购数量与实际使用数量不一致时，乙方应根据实际使用量供货，合同的最终结算金额按实际使用量乘以成交单价进行计算。</w:t>
      </w:r>
    </w:p>
    <w:p>
      <w:pPr>
        <w:snapToGrid w:val="0"/>
        <w:spacing w:line="38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2.资金性质：</w:t>
      </w:r>
      <w:r>
        <w:rPr>
          <w:rFonts w:hint="eastAsia" w:ascii="宋体" w:hAnsi="宋体" w:cs="宋体"/>
          <w:b/>
          <w:color w:val="000000" w:themeColor="text1"/>
          <w:szCs w:val="21"/>
          <w:u w:val="single"/>
          <w14:textFill>
            <w14:solidFill>
              <w14:schemeClr w14:val="tx1"/>
            </w14:solidFill>
          </w14:textFill>
        </w:rPr>
        <w:t>财政性资金</w:t>
      </w:r>
      <w:r>
        <w:rPr>
          <w:rFonts w:hint="eastAsia" w:ascii="宋体" w:hAnsi="宋体" w:cs="宋体"/>
          <w:b/>
          <w:color w:val="000000" w:themeColor="text1"/>
          <w:szCs w:val="21"/>
          <w14:textFill>
            <w14:solidFill>
              <w14:schemeClr w14:val="tx1"/>
            </w14:solidFill>
          </w14:textFill>
        </w:rPr>
        <w:t>。</w:t>
      </w:r>
    </w:p>
    <w:p>
      <w:pPr>
        <w:pStyle w:val="440"/>
        <w:spacing w:after="0" w:line="380" w:lineRule="exact"/>
        <w:ind w:firstLine="400" w:firstLineChars="200"/>
        <w:rPr>
          <w:rFonts w:ascii="宋体" w:hAnsi="宋体" w:cs="宋体"/>
          <w:bCs/>
          <w:color w:val="000000" w:themeColor="text1"/>
          <w:sz w:val="21"/>
          <w:szCs w:val="21"/>
          <w:u w:val="single"/>
          <w:lang w:val="en" w:eastAsia="zh-CN"/>
          <w14:textFill>
            <w14:solidFill>
              <w14:schemeClr w14:val="tx1"/>
            </w14:solidFill>
          </w14:textFill>
        </w:rPr>
      </w:pPr>
      <w:r>
        <w:rPr>
          <w:rFonts w:hint="eastAsia" w:ascii="宋体" w:hAnsi="宋体" w:cs="宋体"/>
          <w:color w:val="000000" w:themeColor="text1"/>
          <w:lang w:eastAsia="zh-CN"/>
          <w14:textFill>
            <w14:solidFill>
              <w14:schemeClr w14:val="tx1"/>
            </w14:solidFill>
          </w14:textFill>
        </w:rPr>
        <w:t>3.付款方式：</w:t>
      </w:r>
      <w:r>
        <w:rPr>
          <w:rFonts w:hint="eastAsia" w:ascii="宋体" w:hAnsi="宋体" w:cs="宋体"/>
          <w:color w:val="000000" w:themeColor="text1"/>
          <w:u w:val="single"/>
          <w:lang w:eastAsia="zh-CN"/>
          <w14:textFill>
            <w14:solidFill>
              <w14:schemeClr w14:val="tx1"/>
            </w14:solidFill>
          </w14:textFill>
        </w:rPr>
        <w:t xml:space="preserve">                         </w:t>
      </w:r>
      <w:r>
        <w:rPr>
          <w:rFonts w:hint="eastAsia" w:ascii="宋体" w:hAnsi="宋体" w:cs="宋体"/>
          <w:color w:val="000000" w:themeColor="text1"/>
          <w:szCs w:val="21"/>
          <w:lang w:eastAsia="zh-CN"/>
          <w14:textFill>
            <w14:solidFill>
              <w14:schemeClr w14:val="tx1"/>
            </w14:solidFill>
          </w14:textFill>
        </w:rPr>
        <w:t>。</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第九条　履约保证金</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第十条 税费</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本合同执行中相关的一切税费均由乙方负担。</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第十一条  质量保证及售后服务</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1.乙方应按招标文件规定的货物性能、技术要求、质量标准向甲方提供未经使用的全新产品。</w:t>
      </w:r>
      <w:r>
        <w:rPr>
          <w:rFonts w:hint="eastAsia" w:ascii="宋体" w:hAnsi="宋体" w:cs="宋体"/>
          <w:color w:val="000000" w:themeColor="text1"/>
          <w14:textFill>
            <w14:solidFill>
              <w14:schemeClr w14:val="tx1"/>
            </w14:solidFill>
          </w14:textFill>
        </w:rPr>
        <w:t>乙方提供货物的质量保证期按交货验收合格之日起计（期限见《招标项目采购需求》中各分标的要求）。在保证期内因货物本身的质量问题发生故障，乙方应负责免费修理和更换零部件。对达不到技术要求者，根据实际情况，甲方有权按以下办法处理</w:t>
      </w:r>
      <w:r>
        <w:rPr>
          <w:rFonts w:hint="eastAsia" w:ascii="宋体" w:hAnsi="宋体" w:cs="宋体"/>
          <w:color w:val="000000" w:themeColor="text1"/>
          <w:szCs w:val="21"/>
          <w14:textFill>
            <w14:solidFill>
              <w14:schemeClr w14:val="tx1"/>
            </w14:solidFill>
          </w14:textFill>
        </w:rPr>
        <w:t>：</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⑴更换：由乙方承担所发生的全部费用。</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⑵贬值处理：由甲乙双方合议定价。</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⑶退货处理：乙方应退还甲方支付的合同款，同时应承担该货物的直接费用（运输、保险、检验、货款利息及银行手续费等）。</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2.如在使用过程中发生质量问题，乙方在接到甲方通知后在</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小时内到达甲方现场。</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3.在质保期内，乙方应对货物出现的质量及安全问题负责处理解决并承担一切费用。</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4.上述的货物免费保修期为</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年，因人为因素出现的故障不在免费保修范围内。超过保修期的机器设备，终生维修，维修时只收部件成本费。</w:t>
      </w:r>
    </w:p>
    <w:p>
      <w:pPr>
        <w:pStyle w:val="28"/>
        <w:snapToGrid w:val="0"/>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第十二条  调试和验收</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1.甲方对乙方提交的货物依据招标文件上的技术规格要求和国家有关质量标准进行现场初步验收，外观、说明书符合招标文件技术要求的，给予签收，初步验收不合格的不予签收。货到后，</w:t>
      </w:r>
      <w:r>
        <w:rPr>
          <w:rFonts w:hint="eastAsia" w:hAnsi="宋体" w:cs="宋体"/>
          <w:bCs/>
          <w:color w:val="000000" w:themeColor="text1"/>
          <w14:textFill>
            <w14:solidFill>
              <w14:schemeClr w14:val="tx1"/>
            </w14:solidFill>
          </w14:textFill>
        </w:rPr>
        <w:t>甲方应当在到货（安装、调试完）后十个工作日内进行初步验收</w:t>
      </w:r>
      <w:r>
        <w:rPr>
          <w:rFonts w:hint="eastAsia" w:hAnsi="宋体" w:cs="宋体"/>
          <w:color w:val="000000" w:themeColor="text1"/>
          <w14:textFill>
            <w14:solidFill>
              <w14:schemeClr w14:val="tx1"/>
            </w14:solidFill>
          </w14:textFill>
        </w:rPr>
        <w:t>。</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2.乙方交货前应对产品作出全面检查和对验收文件进行整理，并列出清单，作为甲方收货验收和使用的技术条件依据，检验的结果应随货物交甲方。</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3.甲方对乙方提供的货物在使用前进行调试时，乙方需负责安装并培训甲方的使用操作人员，并协助甲方一起调试，直到符合技术要求，甲方才做最终验收。</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4.对技术复杂的货物，甲方应请国家认可的专业检测机构参与初步验收及最终验收，并由其出具质量检测报告，检测相关费用由</w:t>
      </w:r>
      <w:r>
        <w:rPr>
          <w:rFonts w:hint="eastAsia" w:hAnsi="宋体" w:cs="宋体"/>
          <w:color w:val="000000" w:themeColor="text1"/>
          <w:u w:val="single"/>
          <w14:textFill>
            <w14:solidFill>
              <w14:schemeClr w14:val="tx1"/>
            </w14:solidFill>
          </w14:textFill>
        </w:rPr>
        <w:t xml:space="preserve">  乙  </w:t>
      </w:r>
      <w:r>
        <w:rPr>
          <w:rFonts w:hint="eastAsia" w:hAnsi="宋体" w:cs="宋体"/>
          <w:color w:val="000000" w:themeColor="text1"/>
          <w14:textFill>
            <w14:solidFill>
              <w14:schemeClr w14:val="tx1"/>
            </w14:solidFill>
          </w14:textFill>
        </w:rPr>
        <w:t>方承担。</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5.对技术复杂的货物，甲方应请国家认可的专业检测机构参与初步验收及最终验收，并由其出具质量检测报告。</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6.验收时乙方必须在现场，验收完毕后作出验收结果报告；验收费用由乙方负责。</w:t>
      </w:r>
    </w:p>
    <w:p>
      <w:pPr>
        <w:pStyle w:val="28"/>
        <w:snapToGrid w:val="0"/>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第十三条 货物包装、发运及运输</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1.乙方应在货物发运前对其进行满足运输距离、防潮、防震、防锈和防破损装卸等要求包装，以保证货物安全运达甲方指定地点。</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2.使用说明书、质量检验证明书、随配附件和工具以及清单一并附于货物内。</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3.乙方在货物发运手续办理完毕后二十四小时内或货到甲方四十八小时前通知甲方，以准备接货。</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4.货物在交付甲方前发生的风险均由乙方负责。</w:t>
      </w:r>
    </w:p>
    <w:p>
      <w:pPr>
        <w:pStyle w:val="28"/>
        <w:snapToGrid w:val="0"/>
        <w:spacing w:line="380" w:lineRule="exact"/>
        <w:ind w:firstLine="420" w:firstLineChars="200"/>
        <w:rPr>
          <w:rFonts w:hAnsi="宋体" w:cs="宋体"/>
          <w:color w:val="000000" w:themeColor="text1"/>
          <w:spacing w:val="-8"/>
          <w14:textFill>
            <w14:solidFill>
              <w14:schemeClr w14:val="tx1"/>
            </w14:solidFill>
          </w14:textFill>
        </w:rPr>
      </w:pPr>
      <w:r>
        <w:rPr>
          <w:rFonts w:hint="eastAsia" w:hAnsi="宋体" w:cs="宋体"/>
          <w:color w:val="000000" w:themeColor="text1"/>
          <w14:textFill>
            <w14:solidFill>
              <w14:schemeClr w14:val="tx1"/>
            </w14:solidFill>
          </w14:textFill>
        </w:rPr>
        <w:t>5.货</w:t>
      </w:r>
      <w:r>
        <w:rPr>
          <w:rFonts w:hint="eastAsia" w:hAnsi="宋体" w:cs="宋体"/>
          <w:color w:val="000000" w:themeColor="text1"/>
          <w:spacing w:val="-8"/>
          <w14:textFill>
            <w14:solidFill>
              <w14:schemeClr w14:val="tx1"/>
            </w14:solidFill>
          </w14:textFill>
        </w:rPr>
        <w:t>物在规定的交付期限内由乙方送达甲方指定的地点视为交付，乙方同时需通知甲方货物已送达。</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第十四条　违约责任</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2.乙方提供的货物如侵犯了第三方合法权益而引发的任何纠纷或诉讼，均由乙方负责交涉并承担全部责任。</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3.因包装、运输引起的货物损坏，按质量不合格处罚。</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4.乙方逾期交货的，每天向对方偿付违约货款额3‰违约金，但违约金累计不得超过违约货款额</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，超过</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天对方有权解除合同，违约方承担因此给对方造成经济损失；甲方延期付货款的，每天向乙方偿付延期货款额</w:t>
      </w:r>
      <w:r>
        <w:rPr>
          <w:rFonts w:hint="eastAsia" w:ascii="宋体" w:hAnsi="宋体" w:cs="宋体"/>
          <w:color w:val="000000" w:themeColor="text1"/>
          <w:szCs w:val="21"/>
          <w:u w:val="single"/>
          <w14:textFill>
            <w14:solidFill>
              <w14:schemeClr w14:val="tx1"/>
            </w14:solidFill>
          </w14:textFill>
        </w:rPr>
        <w:t xml:space="preserve">3‰ </w:t>
      </w:r>
      <w:r>
        <w:rPr>
          <w:rFonts w:hint="eastAsia" w:ascii="宋体" w:hAnsi="宋体" w:cs="宋体"/>
          <w:color w:val="000000" w:themeColor="text1"/>
          <w:szCs w:val="21"/>
          <w14:textFill>
            <w14:solidFill>
              <w14:schemeClr w14:val="tx1"/>
            </w14:solidFill>
          </w14:textFill>
        </w:rPr>
        <w:t>滞纳金，但滞纳金累计不得超过延期货款额</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5.乙方未按本合同和投标文件中规定的服务承诺提供售后服务的，乙方应按本合同合计金额</w:t>
      </w:r>
      <w:r>
        <w:rPr>
          <w:rFonts w:hint="eastAsia" w:ascii="宋体" w:hAnsi="宋体" w:cs="宋体"/>
          <w:color w:val="000000" w:themeColor="text1"/>
          <w:szCs w:val="21"/>
          <w:u w:val="single"/>
          <w14:textFill>
            <w14:solidFill>
              <w14:schemeClr w14:val="tx1"/>
            </w14:solidFill>
          </w14:textFill>
        </w:rPr>
        <w:t xml:space="preserve"> 5%</w:t>
      </w:r>
      <w:r>
        <w:rPr>
          <w:rFonts w:hint="eastAsia" w:ascii="宋体" w:hAnsi="宋体" w:cs="宋体"/>
          <w:color w:val="000000" w:themeColor="text1"/>
          <w:szCs w:val="21"/>
          <w14:textFill>
            <w14:solidFill>
              <w14:schemeClr w14:val="tx1"/>
            </w14:solidFill>
          </w14:textFill>
        </w:rPr>
        <w:t>向甲方支付违约金。</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6.乙方提供的货物在质量保证期内，因设计、工艺或材料的缺陷和其它质量原因造成的问题，由乙方负责，费用从</w:t>
      </w:r>
      <w:r>
        <w:rPr>
          <w:rFonts w:hint="eastAsia" w:ascii="宋体" w:hAnsi="宋体" w:cs="宋体"/>
          <w:color w:val="000000" w:themeColor="text1"/>
          <w14:textFill>
            <w14:solidFill>
              <w14:schemeClr w14:val="tx1"/>
            </w14:solidFill>
          </w14:textFill>
        </w:rPr>
        <w:t>履</w:t>
      </w:r>
      <w:r>
        <w:rPr>
          <w:rFonts w:hint="eastAsia" w:ascii="宋体" w:hAnsi="宋体" w:cs="宋体"/>
          <w:color w:val="000000" w:themeColor="text1"/>
          <w:szCs w:val="21"/>
          <w14:textFill>
            <w14:solidFill>
              <w14:schemeClr w14:val="tx1"/>
            </w14:solidFill>
          </w14:textFill>
        </w:rPr>
        <w:t>约保证金中扣除，履约保证金不足以支付的，由乙方另行支付。</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7.其它违约行为按违约货款额5%收取违约金并赔偿经济损失。</w:t>
      </w:r>
    </w:p>
    <w:p>
      <w:pPr>
        <w:pStyle w:val="28"/>
        <w:snapToGrid w:val="0"/>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第十五条  不可抗力事件处理</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1.在合同有效期内，任何一方因不可抗力事件导致不能履行合同，则合同履行期可延长，其延长期与不可抗力影响期相同。</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2.不可抗力事件发生后，应立即通知对方，并寄送有关权威机构出具的证明。</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3.不可抗力事件延续一百二十天以上，双方应通过友好协商，确定是否继续履行合同。</w:t>
      </w:r>
    </w:p>
    <w:p>
      <w:pPr>
        <w:snapToGrid w:val="0"/>
        <w:spacing w:line="380" w:lineRule="exact"/>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第十六条  合同争议解决</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2.因履行本合同引起的或与本合同有关的争议，甲乙双方应首先通过友好协商解决，如果协商不能解决，可向甲方所在地的有管辖权人民法院提起诉讼。</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3.诉讼期间，本合同继续履行。</w:t>
      </w:r>
    </w:p>
    <w:p>
      <w:pPr>
        <w:pStyle w:val="28"/>
        <w:snapToGrid w:val="0"/>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第十七条  诉讼</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双方在执行合同中所发生的一切争议，应通过协商解决。如果协商不能解决，可向仲裁委员会申请仲裁或向人民法院提起诉讼。</w:t>
      </w:r>
    </w:p>
    <w:p>
      <w:pPr>
        <w:pStyle w:val="28"/>
        <w:snapToGrid w:val="0"/>
        <w:spacing w:line="380" w:lineRule="exact"/>
        <w:ind w:firstLine="421" w:firstLineChars="200"/>
        <w:rPr>
          <w:rFonts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第十八条  合同生效及其它</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1.合同经双方法定代表人或授权代表签字并加盖单位公章后生效。</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2.合同执行中涉及采购资金和采购内容修改或补充的，须经财政部门审批，并签书面补充协议报财政部门备案，方可作为主合同不可分割的一部分。</w:t>
      </w:r>
    </w:p>
    <w:p>
      <w:pPr>
        <w:pStyle w:val="28"/>
        <w:snapToGrid w:val="0"/>
        <w:spacing w:line="38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3.本合同未尽事宜</w:t>
      </w:r>
      <w:r>
        <w:rPr>
          <w:rFonts w:hint="eastAsia" w:hAnsi="宋体" w:cs="宋体"/>
          <w:color w:val="000000" w:themeColor="text1"/>
          <w:kern w:val="1"/>
          <w14:textFill>
            <w14:solidFill>
              <w14:schemeClr w14:val="tx1"/>
            </w14:solidFill>
          </w14:textFill>
        </w:rPr>
        <w:t>（包括采购文件及投标文件）</w:t>
      </w:r>
      <w:r>
        <w:rPr>
          <w:rFonts w:hint="eastAsia" w:hAnsi="宋体" w:cs="宋体"/>
          <w:color w:val="000000" w:themeColor="text1"/>
          <w14:textFill>
            <w14:solidFill>
              <w14:schemeClr w14:val="tx1"/>
            </w14:solidFill>
          </w14:textFill>
        </w:rPr>
        <w:t>，遵照《中华人民共和国民法典》有关条文执行。</w:t>
      </w:r>
    </w:p>
    <w:p>
      <w:pPr>
        <w:pStyle w:val="28"/>
        <w:snapToGrid w:val="0"/>
        <w:spacing w:line="380" w:lineRule="exact"/>
        <w:ind w:firstLine="420" w:firstLineChars="20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第十九条　合同的变更、终止与转让</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1.除《中华人民共和国政府采购法》第五十条规定的情形外，本合同一经签订，甲乙双方不得擅自变更、中止或终止。</w:t>
      </w:r>
    </w:p>
    <w:p>
      <w:pPr>
        <w:pStyle w:val="28"/>
        <w:snapToGrid w:val="0"/>
        <w:spacing w:line="380" w:lineRule="exact"/>
        <w:ind w:firstLine="420" w:firstLineChars="20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2.乙方不得擅自转让（无进口资格的供应商委托进口货物除外）其应履行的合同义务。</w:t>
      </w:r>
    </w:p>
    <w:p>
      <w:pPr>
        <w:snapToGrid w:val="0"/>
        <w:spacing w:line="38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第二十条　签订本合同依据</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1.政府采购招标文件；</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2.乙方提供的投标文件；</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3.投标承诺书；</w:t>
      </w:r>
    </w:p>
    <w:p>
      <w:pPr>
        <w:snapToGrid w:val="0"/>
        <w:spacing w:line="38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4.中标通知书。</w:t>
      </w:r>
    </w:p>
    <w:p>
      <w:pPr>
        <w:snapToGrid w:val="0"/>
        <w:spacing w:line="380" w:lineRule="exact"/>
        <w:ind w:firstLine="421" w:firstLineChars="200"/>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第二十一条　</w:t>
      </w:r>
      <w:r>
        <w:rPr>
          <w:rFonts w:hint="eastAsia" w:ascii="宋体" w:hAnsi="宋体" w:cs="宋体"/>
          <w:bCs/>
          <w:color w:val="000000" w:themeColor="text1"/>
          <w:szCs w:val="21"/>
          <w:lang w:val="en"/>
          <w14:textFill>
            <w14:solidFill>
              <w14:schemeClr w14:val="tx1"/>
            </w14:solidFill>
          </w14:textFill>
        </w:rPr>
        <w:t>本合同一式六份，具有同等法律效力。广西壮族自治区财政厅政府采购监督管理处、代理机构各一份，甲方三份，乙方一份。自签订之日起两个工作日内，甲方应当将合同通过广西政府采购云平台上传完成合同网上公示。</w:t>
      </w:r>
    </w:p>
    <w:p>
      <w:pPr>
        <w:snapToGrid w:val="0"/>
        <w:spacing w:line="380" w:lineRule="exact"/>
        <w:ind w:firstLine="420" w:firstLineChars="200"/>
        <w:rPr>
          <w:rFonts w:ascii="宋体" w:hAnsi="宋体" w:cs="宋体"/>
          <w:color w:val="000000" w:themeColor="text1"/>
          <w:szCs w:val="21"/>
          <w14:textFill>
            <w14:solidFill>
              <w14:schemeClr w14:val="tx1"/>
            </w14:solidFill>
          </w14:textFill>
        </w:rPr>
      </w:pPr>
    </w:p>
    <w:tbl>
      <w:tblPr>
        <w:tblStyle w:val="52"/>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5"/>
        <w:gridCol w:w="4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甲方（章）           </w:t>
            </w:r>
          </w:p>
          <w:p>
            <w:pPr>
              <w:snapToGrid w:val="0"/>
              <w:spacing w:line="360" w:lineRule="exact"/>
              <w:rPr>
                <w:rFonts w:ascii="宋体" w:hAnsi="宋体" w:cs="宋体"/>
                <w:color w:val="000000" w:themeColor="text1"/>
                <w:szCs w:val="21"/>
                <w14:textFill>
                  <w14:solidFill>
                    <w14:schemeClr w14:val="tx1"/>
                  </w14:solidFill>
                </w14:textFill>
              </w:rPr>
            </w:pPr>
          </w:p>
          <w:p>
            <w:pPr>
              <w:snapToGrid w:val="0"/>
              <w:spacing w:line="360" w:lineRule="exact"/>
              <w:ind w:firstLine="420" w:firstLineChars="200"/>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乙方（章）  </w:t>
            </w:r>
          </w:p>
          <w:p>
            <w:pPr>
              <w:snapToGrid w:val="0"/>
              <w:spacing w:line="360" w:lineRule="exact"/>
              <w:rPr>
                <w:rFonts w:ascii="宋体" w:hAnsi="宋体" w:cs="宋体"/>
                <w:color w:val="000000" w:themeColor="text1"/>
                <w:szCs w:val="21"/>
                <w14:textFill>
                  <w14:solidFill>
                    <w14:schemeClr w14:val="tx1"/>
                  </w14:solidFill>
                </w14:textFill>
              </w:rPr>
            </w:pPr>
          </w:p>
          <w:p>
            <w:pPr>
              <w:snapToGrid w:val="0"/>
              <w:spacing w:line="360" w:lineRule="exact"/>
              <w:ind w:firstLine="420" w:firstLineChars="200"/>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通讯地址：</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开户银行：</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账号：</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4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邮政编码：</w:t>
            </w:r>
          </w:p>
        </w:tc>
        <w:tc>
          <w:tcPr>
            <w:tcW w:w="462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68"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经办人：</w:t>
            </w:r>
          </w:p>
          <w:p>
            <w:pPr>
              <w:snapToGrid w:val="0"/>
              <w:spacing w:line="360" w:lineRule="exact"/>
              <w:ind w:firstLine="420" w:firstLineChars="200"/>
              <w:jc w:val="righ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年    月    日</w:t>
            </w:r>
          </w:p>
        </w:tc>
      </w:tr>
    </w:tbl>
    <w:p>
      <w:pPr>
        <w:snapToGrid w:val="0"/>
        <w:spacing w:line="300" w:lineRule="exact"/>
        <w:jc w:val="center"/>
        <w:rPr>
          <w:rFonts w:ascii="宋体" w:hAnsi="宋体" w:cs="宋体"/>
          <w:b/>
          <w:color w:val="000000" w:themeColor="text1"/>
          <w:sz w:val="28"/>
          <w:szCs w:val="28"/>
          <w14:textFill>
            <w14:solidFill>
              <w14:schemeClr w14:val="tx1"/>
            </w14:solidFill>
          </w14:textFill>
        </w:rPr>
      </w:pPr>
    </w:p>
    <w:p>
      <w:pPr>
        <w:snapToGrid w:val="0"/>
        <w:spacing w:line="300" w:lineRule="exact"/>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合 同 附 件</w:t>
      </w:r>
    </w:p>
    <w:p>
      <w:pPr>
        <w:snapToGrid w:val="0"/>
        <w:spacing w:line="300" w:lineRule="exact"/>
        <w:jc w:val="center"/>
        <w:rPr>
          <w:rFonts w:ascii="宋体" w:hAnsi="宋体" w:cs="宋体"/>
          <w:b/>
          <w:color w:val="000000" w:themeColor="text1"/>
          <w:szCs w:val="21"/>
          <w14:textFill>
            <w14:solidFill>
              <w14:schemeClr w14:val="tx1"/>
            </w14:solidFill>
          </w14:textFill>
        </w:rPr>
      </w:pPr>
    </w:p>
    <w:tbl>
      <w:tblPr>
        <w:tblStyle w:val="52"/>
        <w:tblW w:w="0" w:type="auto"/>
        <w:tblInd w:w="147" w:type="dxa"/>
        <w:tblLayout w:type="fixed"/>
        <w:tblCellMar>
          <w:top w:w="0" w:type="dxa"/>
          <w:left w:w="108" w:type="dxa"/>
          <w:bottom w:w="0" w:type="dxa"/>
          <w:right w:w="108" w:type="dxa"/>
        </w:tblCellMar>
      </w:tblPr>
      <w:tblGrid>
        <w:gridCol w:w="4642"/>
        <w:gridCol w:w="4739"/>
      </w:tblGrid>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1、供应商承诺具体事项：</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2、售后服务具体事项：</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3、保修期责任：</w:t>
            </w:r>
          </w:p>
        </w:tc>
      </w:tr>
      <w:tr>
        <w:tblPrEx>
          <w:tblCellMar>
            <w:top w:w="0" w:type="dxa"/>
            <w:left w:w="108" w:type="dxa"/>
            <w:bottom w:w="0" w:type="dxa"/>
            <w:right w:w="108" w:type="dxa"/>
          </w:tblCellMar>
        </w:tblPrEx>
        <w:trPr>
          <w:trHeight w:val="1134" w:hRule="atLeast"/>
        </w:trPr>
        <w:tc>
          <w:tcPr>
            <w:tcW w:w="9381" w:type="dxa"/>
            <w:gridSpan w:val="2"/>
            <w:tcBorders>
              <w:top w:val="single" w:color="auto" w:sz="4" w:space="0"/>
              <w:left w:val="single" w:color="auto" w:sz="4" w:space="0"/>
              <w:bottom w:val="nil"/>
              <w:right w:val="single" w:color="auto" w:sz="4" w:space="0"/>
            </w:tcBorders>
          </w:tcPr>
          <w:p>
            <w:pPr>
              <w:snapToGrid w:val="0"/>
              <w:spacing w:line="3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lang w:eastAsia="zh-CN"/>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4、其他具体事项：</w:t>
            </w:r>
          </w:p>
        </w:tc>
      </w:tr>
      <w:tr>
        <w:tblPrEx>
          <w:tblCellMar>
            <w:top w:w="0" w:type="dxa"/>
            <w:left w:w="108" w:type="dxa"/>
            <w:bottom w:w="0" w:type="dxa"/>
            <w:right w:w="108" w:type="dxa"/>
          </w:tblCellMar>
        </w:tblPrEx>
        <w:trPr>
          <w:trHeight w:val="1134" w:hRule="atLeast"/>
        </w:trPr>
        <w:tc>
          <w:tcPr>
            <w:tcW w:w="464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甲方（章）</w:t>
            </w:r>
          </w:p>
          <w:p>
            <w:pPr>
              <w:snapToGrid w:val="0"/>
              <w:spacing w:line="360" w:lineRule="exact"/>
              <w:ind w:firstLine="421" w:firstLineChars="200"/>
              <w:rPr>
                <w:rFonts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                      年   月   日 </w:t>
            </w:r>
          </w:p>
        </w:tc>
        <w:tc>
          <w:tcPr>
            <w:tcW w:w="473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乙方（章）</w:t>
            </w:r>
          </w:p>
          <w:p>
            <w:pPr>
              <w:snapToGrid w:val="0"/>
              <w:spacing w:line="360" w:lineRule="exact"/>
              <w:ind w:firstLine="421" w:firstLineChars="200"/>
              <w:rPr>
                <w:rFonts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                       年   月   日</w:t>
            </w:r>
          </w:p>
        </w:tc>
      </w:tr>
    </w:tbl>
    <w:p>
      <w:pPr>
        <w:snapToGrid w:val="0"/>
        <w:spacing w:line="36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注：售后服务事项填不下时可另加附页</w:t>
      </w:r>
    </w:p>
    <w:p>
      <w:pPr>
        <w:pStyle w:val="28"/>
        <w:snapToGrid w:val="0"/>
        <w:spacing w:before="120" w:after="120"/>
        <w:ind w:firstLine="883" w:firstLineChars="200"/>
        <w:jc w:val="center"/>
        <w:outlineLvl w:val="0"/>
        <w:rPr>
          <w:rFonts w:hAnsi="宋体" w:cs="宋体"/>
          <w:b/>
          <w:color w:val="000000" w:themeColor="text1"/>
          <w:sz w:val="44"/>
          <w:szCs w:val="44"/>
          <w14:textFill>
            <w14:solidFill>
              <w14:schemeClr w14:val="tx1"/>
            </w14:solidFill>
          </w14:textFill>
        </w:rPr>
      </w:pPr>
      <w:r>
        <w:rPr>
          <w:rFonts w:hint="eastAsia" w:hAnsi="宋体" w:cs="宋体"/>
          <w:b/>
          <w:color w:val="000000" w:themeColor="text1"/>
          <w:sz w:val="44"/>
          <w:szCs w:val="44"/>
          <w14:textFill>
            <w14:solidFill>
              <w14:schemeClr w14:val="tx1"/>
            </w14:solidFill>
          </w14:textFill>
        </w:rPr>
        <w:br w:type="page"/>
      </w:r>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p>
    <w:p>
      <w:pPr>
        <w:pStyle w:val="28"/>
        <w:snapToGrid w:val="0"/>
        <w:spacing w:before="120" w:after="120"/>
        <w:jc w:val="center"/>
        <w:outlineLvl w:val="0"/>
        <w:rPr>
          <w:rFonts w:hAnsi="宋体" w:cs="宋体"/>
          <w:b/>
          <w:color w:val="000000" w:themeColor="text1"/>
          <w:sz w:val="44"/>
          <w:szCs w:val="44"/>
          <w14:textFill>
            <w14:solidFill>
              <w14:schemeClr w14:val="tx1"/>
            </w14:solidFill>
          </w14:textFill>
        </w:rPr>
      </w:pPr>
      <w:bookmarkStart w:id="35" w:name="_Toc641098308_WPSOffice_Level1"/>
      <w:r>
        <w:rPr>
          <w:rFonts w:hint="eastAsia" w:hAnsi="宋体" w:cs="宋体"/>
          <w:b/>
          <w:color w:val="000000" w:themeColor="text1"/>
          <w:sz w:val="44"/>
          <w:szCs w:val="44"/>
          <w14:textFill>
            <w14:solidFill>
              <w14:schemeClr w14:val="tx1"/>
            </w14:solidFill>
          </w14:textFill>
        </w:rPr>
        <w:t>第六章　投标文件格式</w:t>
      </w:r>
      <w:bookmarkEnd w:id="35"/>
    </w:p>
    <w:p>
      <w:pPr>
        <w:snapToGrid w:val="0"/>
        <w:spacing w:before="50" w:after="50"/>
        <w:ind w:firstLine="640" w:firstLineChars="200"/>
        <w:outlineLvl w:val="1"/>
        <w:rPr>
          <w:rFonts w:ascii="宋体" w:hAnsi="宋体" w:cs="宋体"/>
          <w:color w:val="000000" w:themeColor="text1"/>
          <w:sz w:val="32"/>
          <w:szCs w:val="20"/>
          <w14:textFill>
            <w14:solidFill>
              <w14:schemeClr w14:val="tx1"/>
            </w14:solidFill>
          </w14:textFill>
        </w:rPr>
      </w:pPr>
      <w:r>
        <w:rPr>
          <w:rFonts w:hint="eastAsia" w:ascii="宋体" w:hAnsi="宋体" w:cs="宋体"/>
          <w:color w:val="000000" w:themeColor="text1"/>
          <w:sz w:val="32"/>
          <w:szCs w:val="20"/>
          <w14:textFill>
            <w14:solidFill>
              <w14:schemeClr w14:val="tx1"/>
            </w14:solidFill>
          </w14:textFill>
        </w:rPr>
        <w:br w:type="page"/>
      </w:r>
    </w:p>
    <w:p>
      <w:pPr>
        <w:snapToGrid w:val="0"/>
        <w:spacing w:before="50" w:after="50"/>
        <w:outlineLvl w:val="1"/>
        <w:rPr>
          <w:rFonts w:ascii="宋体" w:hAnsi="宋体" w:cs="宋体"/>
          <w:b/>
          <w:bCs/>
          <w:color w:val="000000" w:themeColor="text1"/>
          <w:szCs w:val="21"/>
          <w14:textFill>
            <w14:solidFill>
              <w14:schemeClr w14:val="tx1"/>
            </w14:solidFill>
          </w14:textFill>
        </w:rPr>
      </w:pPr>
    </w:p>
    <w:p>
      <w:pPr>
        <w:snapToGrid w:val="0"/>
        <w:spacing w:before="156" w:beforeLines="50" w:after="50" w:line="360" w:lineRule="exact"/>
        <w:jc w:val="center"/>
        <w:outlineLvl w:val="1"/>
        <w:rPr>
          <w:rFonts w:ascii="宋体" w:hAnsi="宋体" w:cs="宋体"/>
          <w:b/>
          <w:bCs/>
          <w:color w:val="000000" w:themeColor="text1"/>
          <w:sz w:val="32"/>
          <w:szCs w:val="32"/>
          <w14:textFill>
            <w14:solidFill>
              <w14:schemeClr w14:val="tx1"/>
            </w14:solidFill>
          </w14:textFill>
        </w:rPr>
      </w:pPr>
      <w:bookmarkStart w:id="36" w:name="_Toc898170987_WPSOffice_Level1"/>
      <w:bookmarkStart w:id="37" w:name="_Toc1328354167_WPSOffice_Level1"/>
      <w:r>
        <w:rPr>
          <w:rFonts w:hint="eastAsia" w:ascii="宋体" w:hAnsi="宋体" w:cs="宋体"/>
          <w:b/>
          <w:color w:val="000000" w:themeColor="text1"/>
          <w:sz w:val="32"/>
          <w:szCs w:val="32"/>
          <w14:textFill>
            <w14:solidFill>
              <w14:schemeClr w14:val="tx1"/>
            </w14:solidFill>
          </w14:textFill>
        </w:rPr>
        <w:t>投标文件格式</w:t>
      </w:r>
      <w:bookmarkEnd w:id="36"/>
      <w:bookmarkEnd w:id="37"/>
    </w:p>
    <w:p>
      <w:pPr>
        <w:snapToGrid w:val="0"/>
        <w:spacing w:before="156" w:beforeLines="50" w:after="50" w:line="360" w:lineRule="exact"/>
        <w:jc w:val="center"/>
        <w:outlineLvl w:val="0"/>
        <w:rPr>
          <w:rFonts w:ascii="宋体" w:hAnsi="宋体" w:cs="宋体"/>
          <w:b/>
          <w:bCs/>
          <w:color w:val="000000" w:themeColor="text1"/>
          <w:szCs w:val="21"/>
          <w14:textFill>
            <w14:solidFill>
              <w14:schemeClr w14:val="tx1"/>
            </w14:solidFill>
          </w14:textFill>
        </w:rPr>
      </w:pPr>
      <w:bookmarkStart w:id="38" w:name="_Toc686689804_WPSOffice_Level1"/>
      <w:bookmarkStart w:id="39" w:name="_Toc1673935829_WPSOffice_Level1"/>
      <w:r>
        <w:rPr>
          <w:rFonts w:hint="eastAsia" w:ascii="宋体" w:hAnsi="宋体" w:cs="宋体"/>
          <w:b/>
          <w:bCs/>
          <w:color w:val="000000" w:themeColor="text1"/>
          <w:szCs w:val="21"/>
          <w14:textFill>
            <w14:solidFill>
              <w14:schemeClr w14:val="tx1"/>
            </w14:solidFill>
          </w14:textFill>
        </w:rPr>
        <w:t>一、</w:t>
      </w:r>
      <w:r>
        <w:rPr>
          <w:rFonts w:hint="eastAsia" w:ascii="宋体" w:hAnsi="宋体" w:cs="宋体"/>
          <w:b/>
          <w:color w:val="000000" w:themeColor="text1"/>
          <w:szCs w:val="21"/>
          <w14:textFill>
            <w14:solidFill>
              <w14:schemeClr w14:val="tx1"/>
            </w14:solidFill>
          </w14:textFill>
        </w:rPr>
        <w:t>投标文件封面</w:t>
      </w:r>
      <w:r>
        <w:rPr>
          <w:rFonts w:hint="eastAsia" w:ascii="宋体" w:hAnsi="宋体" w:cs="宋体"/>
          <w:b/>
          <w:bCs/>
          <w:color w:val="000000" w:themeColor="text1"/>
          <w:szCs w:val="21"/>
          <w14:textFill>
            <w14:solidFill>
              <w14:schemeClr w14:val="tx1"/>
            </w14:solidFill>
          </w14:textFill>
        </w:rPr>
        <w:t>格式</w:t>
      </w:r>
      <w:bookmarkEnd w:id="38"/>
      <w:bookmarkEnd w:id="39"/>
    </w:p>
    <w:p>
      <w:pPr>
        <w:snapToGrid w:val="0"/>
        <w:spacing w:before="156" w:beforeLines="50" w:after="50" w:line="360" w:lineRule="exact"/>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rPr>
          <w:rFonts w:ascii="宋体" w:hAnsi="宋体" w:cs="宋体"/>
          <w:color w:val="000000" w:themeColor="text1"/>
          <w:sz w:val="24"/>
          <w14:textFill>
            <w14:solidFill>
              <w14:schemeClr w14:val="tx1"/>
            </w14:solidFill>
          </w14:textFill>
        </w:rPr>
      </w:pPr>
    </w:p>
    <w:p>
      <w:pPr>
        <w:snapToGrid w:val="0"/>
        <w:spacing w:before="156" w:beforeLines="50" w:after="50" w:line="3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napToGrid w:val="0"/>
        <w:spacing w:before="156" w:beforeLines="50" w:after="50" w:line="360" w:lineRule="exact"/>
        <w:jc w:val="center"/>
        <w:rPr>
          <w:rFonts w:ascii="宋体" w:hAnsi="宋体" w:cs="宋体"/>
          <w:b/>
          <w:bCs/>
          <w:color w:val="000000" w:themeColor="text1"/>
          <w:sz w:val="32"/>
          <w:szCs w:val="32"/>
          <w14:textFill>
            <w14:solidFill>
              <w14:schemeClr w14:val="tx1"/>
            </w14:solidFill>
          </w14:textFill>
        </w:rPr>
      </w:pPr>
      <w:bookmarkStart w:id="40" w:name="_Toc162924716_WPSOffice_Level1"/>
      <w:bookmarkStart w:id="41" w:name="_Toc881283989_WPSOffice_Level1"/>
      <w:r>
        <w:rPr>
          <w:rFonts w:hint="eastAsia" w:ascii="宋体" w:hAnsi="宋体" w:cs="宋体"/>
          <w:b/>
          <w:bCs/>
          <w:color w:val="000000" w:themeColor="text1"/>
          <w:sz w:val="32"/>
          <w:szCs w:val="32"/>
          <w14:textFill>
            <w14:solidFill>
              <w14:schemeClr w14:val="tx1"/>
            </w14:solidFill>
          </w14:textFill>
        </w:rPr>
        <w:t>投标文件</w:t>
      </w:r>
      <w:bookmarkEnd w:id="40"/>
      <w:bookmarkEnd w:id="41"/>
    </w:p>
    <w:p>
      <w:pPr>
        <w:snapToGrid w:val="0"/>
        <w:spacing w:before="156" w:beforeLines="50" w:after="50" w:line="360" w:lineRule="exact"/>
        <w:rPr>
          <w:rFonts w:ascii="宋体" w:hAnsi="宋体" w:cs="宋体"/>
          <w:bCs/>
          <w:color w:val="000000" w:themeColor="text1"/>
          <w:sz w:val="24"/>
          <w14:textFill>
            <w14:solidFill>
              <w14:schemeClr w14:val="tx1"/>
            </w14:solidFill>
          </w14:textFill>
        </w:rPr>
      </w:pPr>
    </w:p>
    <w:p>
      <w:pPr>
        <w:snapToGrid w:val="0"/>
        <w:spacing w:before="156" w:beforeLines="50" w:after="50" w:line="36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项目名称： </w:t>
      </w:r>
    </w:p>
    <w:p>
      <w:pPr>
        <w:snapToGrid w:val="0"/>
        <w:spacing w:before="156" w:beforeLines="50" w:after="50" w:line="36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项目编号： </w:t>
      </w:r>
    </w:p>
    <w:p>
      <w:pPr>
        <w:snapToGrid w:val="0"/>
        <w:spacing w:before="156" w:beforeLines="50" w:after="50" w:line="36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所投分标：分标</w:t>
      </w:r>
      <w:r>
        <w:rPr>
          <w:rFonts w:hint="eastAsia" w:ascii="宋体" w:hAnsi="宋体" w:cs="宋体"/>
          <w:bCs/>
          <w:color w:val="000000" w:themeColor="text1"/>
          <w:szCs w:val="21"/>
          <w:u w:val="single"/>
          <w14:textFill>
            <w14:solidFill>
              <w14:schemeClr w14:val="tx1"/>
            </w14:solidFill>
          </w14:textFill>
        </w:rPr>
        <w:t xml:space="preserve">       </w:t>
      </w:r>
    </w:p>
    <w:p>
      <w:pPr>
        <w:snapToGrid w:val="0"/>
        <w:spacing w:before="156" w:beforeLines="50" w:after="50" w:line="36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投标人名称：（盖章）</w:t>
      </w:r>
    </w:p>
    <w:p>
      <w:pPr>
        <w:snapToGrid w:val="0"/>
        <w:spacing w:before="156" w:beforeLines="50" w:after="50" w:line="36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投标人地址：</w:t>
      </w:r>
    </w:p>
    <w:p>
      <w:pPr>
        <w:snapToGrid w:val="0"/>
        <w:spacing w:before="156" w:beforeLines="50" w:after="50" w:line="360" w:lineRule="exact"/>
        <w:ind w:firstLine="480" w:firstLineChars="200"/>
        <w:jc w:val="center"/>
        <w:outlineLvl w:val="1"/>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bookmarkStart w:id="42" w:name="_Toc1974324057_WPSOffice_Level1"/>
      <w:bookmarkStart w:id="43" w:name="_Toc898892984_WPSOffice_Level1"/>
      <w:r>
        <w:rPr>
          <w:rFonts w:hint="eastAsia" w:ascii="宋体" w:hAnsi="宋体" w:cs="宋体"/>
          <w:color w:val="000000" w:themeColor="text1"/>
          <w:sz w:val="24"/>
          <w14:textFill>
            <w14:solidFill>
              <w14:schemeClr w14:val="tx1"/>
            </w14:solidFill>
          </w14:textFill>
        </w:rPr>
        <w:t>年  月  日</w:t>
      </w:r>
      <w:bookmarkEnd w:id="42"/>
      <w:bookmarkEnd w:id="43"/>
    </w:p>
    <w:p>
      <w:pPr>
        <w:snapToGrid w:val="0"/>
        <w:spacing w:before="156" w:beforeLines="50" w:after="50" w:line="360" w:lineRule="exact"/>
        <w:jc w:val="center"/>
        <w:outlineLvl w:val="1"/>
        <w:rPr>
          <w:rFonts w:ascii="宋体" w:hAnsi="宋体" w:cs="宋体"/>
          <w:bCs/>
          <w:color w:val="000000" w:themeColor="text1"/>
          <w:szCs w:val="21"/>
          <w14:textFill>
            <w14:solidFill>
              <w14:schemeClr w14:val="tx1"/>
            </w14:solidFill>
          </w14:textFill>
        </w:rPr>
      </w:pPr>
    </w:p>
    <w:p>
      <w:pPr>
        <w:snapToGrid w:val="0"/>
        <w:spacing w:before="156" w:beforeLines="50" w:after="50" w:line="360" w:lineRule="exact"/>
        <w:ind w:firstLine="420" w:firstLineChars="200"/>
        <w:outlineLvl w:val="1"/>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[注：</w:t>
      </w:r>
      <w:r>
        <w:rPr>
          <w:rFonts w:hint="eastAsia" w:ascii="宋体" w:hAnsi="宋体" w:cs="宋体"/>
          <w:color w:val="000000" w:themeColor="text1"/>
          <w:szCs w:val="21"/>
          <w14:textFill>
            <w14:solidFill>
              <w14:schemeClr w14:val="tx1"/>
            </w14:solidFill>
          </w14:textFill>
        </w:rPr>
        <w:t>投标文件由</w:t>
      </w:r>
      <w:r>
        <w:rPr>
          <w:rFonts w:hint="eastAsia" w:ascii="宋体" w:hAnsi="宋体" w:cs="宋体"/>
          <w:b/>
          <w:bCs/>
          <w:color w:val="000000" w:themeColor="text1"/>
          <w:szCs w:val="21"/>
          <w14:textFill>
            <w14:solidFill>
              <w14:schemeClr w14:val="tx1"/>
            </w14:solidFill>
          </w14:textFill>
        </w:rPr>
        <w:t>资格文件、资信及商务文件、技术文件、投标报价文件</w:t>
      </w:r>
      <w:r>
        <w:rPr>
          <w:rFonts w:hint="eastAsia" w:ascii="宋体" w:hAnsi="宋体" w:cs="宋体"/>
          <w:b/>
          <w:color w:val="000000" w:themeColor="text1"/>
          <w:szCs w:val="21"/>
          <w14:textFill>
            <w14:solidFill>
              <w14:schemeClr w14:val="tx1"/>
            </w14:solidFill>
          </w14:textFill>
        </w:rPr>
        <w:t>四部份</w:t>
      </w:r>
      <w:r>
        <w:rPr>
          <w:rFonts w:hint="eastAsia" w:ascii="宋体" w:hAnsi="宋体" w:cs="宋体"/>
          <w:color w:val="000000" w:themeColor="text1"/>
          <w:szCs w:val="21"/>
          <w14:textFill>
            <w14:solidFill>
              <w14:schemeClr w14:val="tx1"/>
            </w14:solidFill>
          </w14:textFill>
        </w:rPr>
        <w:t>组成</w:t>
      </w:r>
      <w:r>
        <w:rPr>
          <w:rFonts w:hint="eastAsia" w:ascii="宋体" w:hAnsi="宋体" w:cs="宋体"/>
          <w:bCs/>
          <w:color w:val="000000" w:themeColor="text1"/>
          <w:szCs w:val="21"/>
          <w14:textFill>
            <w14:solidFill>
              <w14:schemeClr w14:val="tx1"/>
            </w14:solidFill>
          </w14:textFill>
        </w:rPr>
        <w:t>]</w:t>
      </w: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p>
    <w:p>
      <w:pPr>
        <w:pStyle w:val="51"/>
        <w:ind w:firstLine="320"/>
        <w:rPr>
          <w:rFonts w:ascii="宋体" w:hAnsi="宋体" w:cs="宋体"/>
          <w:bCs/>
          <w:color w:val="000000" w:themeColor="text1"/>
          <w:sz w:val="32"/>
          <w:szCs w:val="32"/>
          <w14:textFill>
            <w14:solidFill>
              <w14:schemeClr w14:val="tx1"/>
            </w14:solidFill>
          </w14:textFill>
        </w:rPr>
      </w:pPr>
    </w:p>
    <w:p>
      <w:pPr>
        <w:pStyle w:val="51"/>
        <w:ind w:firstLine="320"/>
        <w:rPr>
          <w:rFonts w:ascii="宋体" w:hAnsi="宋体" w:cs="宋体"/>
          <w:bCs/>
          <w:color w:val="000000" w:themeColor="text1"/>
          <w:sz w:val="32"/>
          <w:szCs w:val="32"/>
          <w14:textFill>
            <w14:solidFill>
              <w14:schemeClr w14:val="tx1"/>
            </w14:solidFill>
          </w14:textFill>
        </w:rPr>
      </w:pPr>
    </w:p>
    <w:p>
      <w:pPr>
        <w:pStyle w:val="51"/>
        <w:ind w:firstLine="320"/>
        <w:rPr>
          <w:rFonts w:ascii="宋体" w:hAnsi="宋体" w:cs="宋体"/>
          <w:bCs/>
          <w:color w:val="000000" w:themeColor="text1"/>
          <w:sz w:val="32"/>
          <w:szCs w:val="32"/>
          <w14:textFill>
            <w14:solidFill>
              <w14:schemeClr w14:val="tx1"/>
            </w14:solidFill>
          </w14:textFill>
        </w:rPr>
      </w:pPr>
    </w:p>
    <w:p>
      <w:pPr>
        <w:snapToGrid w:val="0"/>
        <w:spacing w:before="156" w:beforeLines="50" w:after="50" w:line="360" w:lineRule="exact"/>
        <w:jc w:val="center"/>
        <w:outlineLvl w:val="0"/>
        <w:rPr>
          <w:rFonts w:ascii="宋体" w:hAnsi="宋体" w:cs="宋体"/>
          <w:bCs/>
          <w:color w:val="000000" w:themeColor="text1"/>
          <w:sz w:val="32"/>
          <w:szCs w:val="32"/>
          <w14:textFill>
            <w14:solidFill>
              <w14:schemeClr w14:val="tx1"/>
            </w14:solidFill>
          </w14:textFill>
        </w:rPr>
      </w:pPr>
      <w:bookmarkStart w:id="44" w:name="_Toc1166750516_WPSOffice_Level1"/>
      <w:bookmarkStart w:id="45" w:name="_Toc1485968549_WPSOffice_Level1"/>
      <w:r>
        <w:rPr>
          <w:rFonts w:hint="eastAsia" w:ascii="宋体" w:hAnsi="宋体" w:cs="宋体"/>
          <w:b/>
          <w:color w:val="000000" w:themeColor="text1"/>
          <w:sz w:val="32"/>
          <w:szCs w:val="32"/>
          <w14:textFill>
            <w14:solidFill>
              <w14:schemeClr w14:val="tx1"/>
            </w14:solidFill>
          </w14:textFill>
        </w:rPr>
        <w:t>二、投标文件目录</w:t>
      </w:r>
      <w:bookmarkEnd w:id="44"/>
      <w:bookmarkEnd w:id="45"/>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1.资格文件：</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（1）有效的营业执照等证明文件复印件；</w:t>
      </w:r>
    </w:p>
    <w:p>
      <w:pPr>
        <w:pStyle w:val="28"/>
        <w:adjustRightInd w:val="0"/>
        <w:snapToGrid w:val="0"/>
        <w:spacing w:line="400" w:lineRule="exact"/>
        <w:ind w:firstLine="420" w:firstLineChars="20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14:textFill>
            <w14:solidFill>
              <w14:schemeClr w14:val="tx1"/>
            </w14:solidFill>
          </w14:textFill>
        </w:rPr>
        <w:t>（必须提供）</w:t>
      </w:r>
      <w:r>
        <w:rPr>
          <w:rFonts w:hint="eastAsia" w:hAnsi="宋体" w:cs="宋体"/>
          <w:color w:val="000000" w:themeColor="text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②对于有经营资质要求的，投标人必须提供有效的经营资质证书副本内页扫描件或其他电子文件，同时要加盖单位公章。</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kern w:val="0"/>
          <w:szCs w:val="21"/>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14:textFill>
            <w14:solidFill>
              <w14:schemeClr w14:val="tx1"/>
            </w14:solidFill>
          </w14:textFill>
        </w:rPr>
        <w:t>和信用记录查询方法；</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w:t>
      </w:r>
      <w:r>
        <w:rPr>
          <w:rFonts w:hint="eastAsia" w:ascii="宋体" w:hAnsi="宋体" w:cs="宋体"/>
          <w:color w:val="000000" w:themeColor="text1"/>
          <w:kern w:val="0"/>
          <w:szCs w:val="21"/>
          <w14:textFill>
            <w14:solidFill>
              <w14:schemeClr w14:val="tx1"/>
            </w14:solidFill>
          </w14:textFill>
        </w:rPr>
        <w:t>参加政府采购活动前三年内在经营活动中没有</w:t>
      </w:r>
      <w:r>
        <w:rPr>
          <w:rFonts w:hint="eastAsia" w:ascii="宋体" w:hAnsi="宋体" w:cs="宋体"/>
          <w:bCs/>
          <w:color w:val="000000" w:themeColor="text1"/>
          <w:kern w:val="0"/>
          <w:szCs w:val="21"/>
          <w14:textFill>
            <w14:solidFill>
              <w14:schemeClr w14:val="tx1"/>
            </w14:solidFill>
          </w14:textFill>
        </w:rPr>
        <w:t>重大违法记录的书面声明</w:t>
      </w:r>
      <w:r>
        <w:rPr>
          <w:rFonts w:hint="eastAsia" w:ascii="宋体" w:hAnsi="宋体" w:cs="宋体"/>
          <w:color w:val="000000" w:themeColor="text1"/>
          <w:szCs w:val="21"/>
          <w14:textFill>
            <w14:solidFill>
              <w14:schemeClr w14:val="tx1"/>
            </w14:solidFill>
          </w14:textFill>
        </w:rPr>
        <w:t>（格式自拟，必须提供）；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②供应商可在“信用中国”网站（www.creditchina.gov.cn）、中国政府采购网（www.ccgp.gov.cn）查询相关供应商主体信用记录。</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“信用中国”网站查询方法：投标人在本项目投标截止时间前10日内,进入投标人基本信息页面，点击“下载信用报告”后点击“下载”。</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（3）中小企业声明函（按最新政策执行，格式见第六章，必须提供）；</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2.资信及商务文件：</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（1）投标保证金的相关证明扫描件或其他电子文件</w:t>
      </w:r>
      <w:r>
        <w:rPr>
          <w:rFonts w:hint="eastAsia" w:ascii="宋体" w:hAnsi="宋体" w:cs="宋体"/>
          <w:b/>
          <w:color w:val="000000" w:themeColor="text1"/>
          <w:szCs w:val="21"/>
          <w14:textFill>
            <w14:solidFill>
              <w14:schemeClr w14:val="tx1"/>
            </w14:solidFill>
          </w14:textFill>
        </w:rPr>
        <w:t>（必须提供）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（2）投标声明书</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（3）法定代表人授权委托书和委托代理人身份证扫描件或其他电子文件</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zCs w:val="21"/>
          <w14:textFill>
            <w14:solidFill>
              <w14:schemeClr w14:val="tx1"/>
            </w14:solidFill>
          </w14:textFill>
        </w:rPr>
        <w:t>当法定代表人参加投标时，必须提供法定代表人身份证扫描件或其他电子文件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14:textFill>
            <w14:solidFill>
              <w14:schemeClr w14:val="tx1"/>
            </w14:solidFill>
          </w14:textFill>
        </w:rPr>
        <w:t>（扫描件或其他电子文件，格式自拟，必须提供）</w:t>
      </w:r>
      <w:r>
        <w:rPr>
          <w:rFonts w:hint="eastAsia" w:ascii="宋体" w:hAnsi="宋体" w:cs="宋体"/>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14:textFill>
            <w14:solidFill>
              <w14:schemeClr w14:val="tx1"/>
            </w14:solidFill>
          </w14:textFill>
        </w:rPr>
        <w:t>（扫</w:t>
      </w:r>
      <w:r>
        <w:rPr>
          <w:rFonts w:hint="eastAsia" w:ascii="宋体" w:hAnsi="宋体" w:cs="宋体"/>
          <w:b/>
          <w:color w:val="000000" w:themeColor="text1"/>
          <w:szCs w:val="21"/>
          <w14:textFill>
            <w14:solidFill>
              <w14:schemeClr w14:val="tx1"/>
            </w14:solidFill>
          </w14:textFill>
        </w:rPr>
        <w:t>描件或其他电子文件，格式自拟，必须提供）；</w:t>
      </w:r>
      <w:r>
        <w:rPr>
          <w:rFonts w:hint="eastAsia" w:ascii="宋体" w:hAnsi="宋体" w:cs="宋体"/>
          <w:color w:val="000000" w:themeColor="text1"/>
          <w:szCs w:val="21"/>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（6）财务状况报告</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bCs/>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（7）</w:t>
      </w:r>
      <w:r>
        <w:rPr>
          <w:rFonts w:hint="eastAsia" w:ascii="宋体" w:hAnsi="宋体" w:cs="宋体"/>
          <w:bCs/>
          <w:color w:val="000000" w:themeColor="text1"/>
          <w:szCs w:val="21"/>
          <w14:textFill>
            <w14:solidFill>
              <w14:schemeClr w14:val="tx1"/>
            </w14:solidFill>
          </w14:textFill>
        </w:rPr>
        <w:t>具备履行合同所必需的设备和专业技术能力的证明材料</w:t>
      </w:r>
      <w:r>
        <w:rPr>
          <w:rFonts w:hint="eastAsia" w:ascii="宋体" w:hAnsi="宋体" w:cs="宋体"/>
          <w:b/>
          <w:color w:val="000000" w:themeColor="text1"/>
          <w:szCs w:val="21"/>
          <w14:textFill>
            <w14:solidFill>
              <w14:schemeClr w14:val="tx1"/>
            </w14:solidFill>
          </w14:textFill>
        </w:rPr>
        <w:t>（内容、格式自拟，必须提供）</w:t>
      </w:r>
      <w:r>
        <w:rPr>
          <w:rFonts w:hint="eastAsia" w:ascii="宋体" w:hAnsi="宋体" w:cs="宋体"/>
          <w:bCs/>
          <w:color w:val="000000" w:themeColor="text1"/>
          <w:kern w:val="0"/>
          <w:szCs w:val="21"/>
          <w14:textFill>
            <w14:solidFill>
              <w14:schemeClr w14:val="tx1"/>
            </w14:solidFill>
          </w14:textFill>
        </w:rPr>
        <w:t>；</w:t>
      </w:r>
    </w:p>
    <w:p>
      <w:pPr>
        <w:snapToGrid w:val="0"/>
        <w:spacing w:line="400" w:lineRule="exact"/>
        <w:ind w:firstLine="420" w:firstLineChars="200"/>
        <w:jc w:val="lef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（8）商务响应表（格式见第六章，必须提供）；</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（9）招标项目采购需求中要求必须提供的材料等</w:t>
      </w:r>
      <w:r>
        <w:rPr>
          <w:rFonts w:hint="eastAsia" w:ascii="宋体" w:hAnsi="宋体" w:cs="宋体"/>
          <w:b/>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（10）具备法律、行政法规规定的其他条件的证明材料</w:t>
      </w:r>
      <w:r>
        <w:rPr>
          <w:rFonts w:hint="eastAsia" w:ascii="宋体" w:hAnsi="宋体" w:cs="宋体"/>
          <w:b/>
          <w:color w:val="000000" w:themeColor="text1"/>
          <w:szCs w:val="21"/>
          <w14:textFill>
            <w14:solidFill>
              <w14:schemeClr w14:val="tx1"/>
            </w14:solidFill>
          </w14:textFill>
        </w:rPr>
        <w:t>（如有规定,则必须提供）。</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可作为投标人资信评分的资质证明材料【（11）-（1</w:t>
      </w:r>
      <w:r>
        <w:rPr>
          <w:rFonts w:hint="eastAsia" w:ascii="宋体" w:hAnsi="宋体" w:cs="宋体"/>
          <w:b/>
          <w:bCs/>
          <w:color w:val="000000" w:themeColor="text1"/>
          <w:szCs w:val="21"/>
          <w:lang w:val="en-US" w:eastAsia="zh-CN"/>
          <w14:textFill>
            <w14:solidFill>
              <w14:schemeClr w14:val="tx1"/>
            </w14:solidFill>
          </w14:textFill>
        </w:rPr>
        <w:t>8</w:t>
      </w:r>
      <w:r>
        <w:rPr>
          <w:rFonts w:hint="eastAsia" w:ascii="宋体" w:hAnsi="宋体" w:cs="宋体"/>
          <w:b/>
          <w:bCs/>
          <w:color w:val="000000" w:themeColor="text1"/>
          <w:szCs w:val="21"/>
          <w14:textFill>
            <w14:solidFill>
              <w14:schemeClr w14:val="tx1"/>
            </w14:solidFill>
          </w14:textFill>
        </w:rPr>
        <w:t xml:space="preserve">）可选，如有，可提供】 </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（11）类似案例成功的业绩（投标人同类项目实施情况一览表、合同扫描件）；</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（12）其他特殊资质证书（如本地化服务能力等）；</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（13）节能环保产品或政府强制采购节能产品清单证书；</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（14）投标人质量管理和质量保证体系等方面的认证证书；</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（15）投标人认为可以证明其能力或业绩的其他材料；</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（16）投标人关于产品生产时间、升级或者更新淘汰计划、配件供应以及本单位债务纠纷、违法违规记录等方面的情况（内容见投标声明书）；</w:t>
      </w:r>
    </w:p>
    <w:p>
      <w:pPr>
        <w:adjustRightInd w:val="0"/>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（17）关于符合本国产品标准的声明函（格式见第六章，如有，请提供）；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（18）投标人情况介绍。</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3.技术文件</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（1）对本项目系统总体要求的理解（如有，可提供）；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技术响应表</w:t>
      </w:r>
      <w:r>
        <w:rPr>
          <w:rFonts w:hint="eastAsia" w:ascii="宋体" w:hAnsi="宋体" w:cs="宋体"/>
          <w:b/>
          <w:color w:val="000000" w:themeColor="text1"/>
          <w:szCs w:val="21"/>
          <w14:textFill>
            <w14:solidFill>
              <w14:schemeClr w14:val="tx1"/>
            </w14:solidFill>
          </w14:textFill>
        </w:rPr>
        <w:t>（必须提供）；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（3）设备配置清单（均不含报价，如有，可提供）；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售后服务承诺书</w:t>
      </w:r>
      <w:r>
        <w:rPr>
          <w:rFonts w:hint="eastAsia" w:ascii="宋体" w:hAnsi="宋体" w:cs="宋体"/>
          <w:color w:val="000000" w:themeColor="text1"/>
          <w:szCs w:val="21"/>
          <w14:textFill>
            <w14:solidFill>
              <w14:schemeClr w14:val="tx1"/>
            </w14:solidFill>
          </w14:textFill>
        </w:rPr>
        <w:t>（应据项目实际要求描述如：投标人建议的安装、调试、验收方法或方案；技术服务、技术培训、售后服务的内容和措施等，</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（5）投标人拥有主要装备和检测设施的情况和现状及项目实施人员一览表（格式自拟，如有，可提供）； </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（6）优惠条件：投标人承诺给予招标人的各种优惠条件，包括备品备件、专用耗材、售后服务等方面的优惠（如有，可提供）；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（7）投标人对本项目的合理化建议和改进措施（如有，可提供）；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（8）投标人需要说明的其他文件和说明（格式略，如有，可提供）；</w:t>
      </w:r>
    </w:p>
    <w:p>
      <w:pPr>
        <w:snapToGrid w:val="0"/>
        <w:spacing w:line="400" w:lineRule="exact"/>
        <w:ind w:firstLine="421"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▲（9）招标项目采购需求中要求必须提供的材料（如有规定，则必须提供）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4.报价文件：</w:t>
      </w:r>
    </w:p>
    <w:p>
      <w:pPr>
        <w:tabs>
          <w:tab w:val="left" w:pos="3870"/>
          <w:tab w:val="left" w:pos="408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（1）投标函</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 xml:space="preserve">； </w:t>
      </w:r>
    </w:p>
    <w:p>
      <w:pPr>
        <w:tabs>
          <w:tab w:val="left" w:pos="3870"/>
          <w:tab w:val="left" w:pos="408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（2）投标报价明细表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tabs>
          <w:tab w:val="left" w:pos="3870"/>
          <w:tab w:val="left" w:pos="408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（3）投标人针对报价需要说明的其他文件和说明（格式自拟，如有，可提供）；</w:t>
      </w:r>
    </w:p>
    <w:p>
      <w:pPr>
        <w:tabs>
          <w:tab w:val="left" w:pos="3870"/>
          <w:tab w:val="left" w:pos="4085"/>
        </w:tabs>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（4）开标一览表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pStyle w:val="45"/>
        <w:spacing w:after="0"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注：法定代表人授权委托书、投标声明书、投标函、开标一览表必须按</w:t>
      </w:r>
      <w:r>
        <w:rPr>
          <w:rFonts w:hint="eastAsia" w:ascii="宋体" w:hAnsi="宋体" w:cs="宋体"/>
          <w:b/>
          <w:color w:val="000000" w:themeColor="text1"/>
          <w:szCs w:val="21"/>
          <w14:textFill>
            <w14:solidFill>
              <w14:schemeClr w14:val="tx1"/>
            </w14:solidFill>
          </w14:textFill>
        </w:rPr>
        <w:t>招标文件格式要求</w:t>
      </w:r>
      <w:r>
        <w:rPr>
          <w:rFonts w:hint="eastAsia" w:ascii="宋体" w:hAnsi="宋体" w:cs="宋体"/>
          <w:b/>
          <w:color w:val="000000" w:themeColor="text1"/>
          <w:szCs w:val="21"/>
          <w:lang w:val="en"/>
          <w14:textFill>
            <w14:solidFill>
              <w14:schemeClr w14:val="tx1"/>
            </w14:solidFill>
          </w14:textFill>
        </w:rPr>
        <w:t>签字或签章</w:t>
      </w:r>
      <w:r>
        <w:rPr>
          <w:rFonts w:hint="eastAsia" w:ascii="宋体" w:hAnsi="宋体" w:cs="宋体"/>
          <w:b/>
          <w:bCs/>
          <w:color w:val="000000" w:themeColor="text1"/>
          <w:szCs w:val="21"/>
          <w14:textFill>
            <w14:solidFill>
              <w14:schemeClr w14:val="tx1"/>
            </w14:solidFill>
          </w14:textFill>
        </w:rPr>
        <w:t>并加盖单位公章。</w:t>
      </w:r>
    </w:p>
    <w:p>
      <w:pPr>
        <w:pStyle w:val="45"/>
        <w:spacing w:line="360" w:lineRule="exact"/>
        <w:ind w:firstLine="420" w:firstLineChars="200"/>
        <w:rPr>
          <w:rFonts w:ascii="宋体" w:hAnsi="宋体" w:cs="宋体"/>
          <w:color w:val="000000" w:themeColor="text1"/>
          <w:szCs w:val="21"/>
          <w14:textFill>
            <w14:solidFill>
              <w14:schemeClr w14:val="tx1"/>
            </w14:solidFill>
          </w14:textFill>
        </w:rPr>
      </w:pPr>
    </w:p>
    <w:p>
      <w:pPr>
        <w:pStyle w:val="45"/>
        <w:spacing w:line="360" w:lineRule="exact"/>
        <w:ind w:firstLine="420" w:firstLineChars="200"/>
        <w:rPr>
          <w:rFonts w:ascii="宋体" w:hAnsi="宋体" w:cs="宋体"/>
          <w:color w:val="000000" w:themeColor="text1"/>
          <w:szCs w:val="21"/>
          <w14:textFill>
            <w14:solidFill>
              <w14:schemeClr w14:val="tx1"/>
            </w14:solidFill>
          </w14:textFill>
        </w:rPr>
      </w:pPr>
    </w:p>
    <w:p>
      <w:pPr>
        <w:snapToGrid w:val="0"/>
        <w:spacing w:before="50" w:after="156" w:afterLines="50" w:line="360" w:lineRule="exact"/>
        <w:ind w:firstLine="3895" w:firstLineChars="1617"/>
        <w:jc w:val="left"/>
        <w:rPr>
          <w:rFonts w:ascii="宋体" w:hAnsi="宋体" w:cs="宋体"/>
          <w:b/>
          <w:color w:val="000000" w:themeColor="text1"/>
          <w:sz w:val="24"/>
          <w14:textFill>
            <w14:solidFill>
              <w14:schemeClr w14:val="tx1"/>
            </w14:solidFill>
          </w14:textFill>
        </w:rPr>
      </w:pPr>
    </w:p>
    <w:p>
      <w:pPr>
        <w:snapToGrid w:val="0"/>
        <w:spacing w:before="50" w:after="156" w:afterLines="50" w:line="360" w:lineRule="exact"/>
        <w:jc w:val="center"/>
        <w:outlineLvl w:val="0"/>
        <w:rPr>
          <w:rFonts w:ascii="宋体" w:hAnsi="宋体" w:cs="宋体"/>
          <w:b/>
          <w:color w:val="000000" w:themeColor="text1"/>
          <w:sz w:val="32"/>
          <w:szCs w:val="32"/>
          <w14:textFill>
            <w14:solidFill>
              <w14:schemeClr w14:val="tx1"/>
            </w14:solidFill>
          </w14:textFill>
        </w:rPr>
      </w:pPr>
    </w:p>
    <w:p>
      <w:pPr>
        <w:snapToGrid w:val="0"/>
        <w:spacing w:before="50" w:after="156" w:afterLines="50" w:line="360" w:lineRule="exact"/>
        <w:jc w:val="center"/>
        <w:outlineLvl w:val="0"/>
        <w:rPr>
          <w:rFonts w:ascii="宋体" w:hAnsi="宋体" w:cs="宋体"/>
          <w:b/>
          <w:color w:val="000000" w:themeColor="text1"/>
          <w:sz w:val="32"/>
          <w:szCs w:val="32"/>
          <w14:textFill>
            <w14:solidFill>
              <w14:schemeClr w14:val="tx1"/>
            </w14:solidFill>
          </w14:textFill>
        </w:rPr>
      </w:pPr>
    </w:p>
    <w:p>
      <w:pPr>
        <w:snapToGrid w:val="0"/>
        <w:spacing w:before="50" w:after="156" w:afterLines="50" w:line="360" w:lineRule="exact"/>
        <w:ind w:firstLine="642" w:firstLineChars="200"/>
        <w:jc w:val="center"/>
        <w:outlineLvl w:val="0"/>
        <w:rPr>
          <w:rFonts w:ascii="宋体" w:hAnsi="宋体" w:cs="宋体"/>
          <w:b/>
          <w:color w:val="000000" w:themeColor="text1"/>
          <w:sz w:val="24"/>
          <w14:textFill>
            <w14:solidFill>
              <w14:schemeClr w14:val="tx1"/>
            </w14:solidFill>
          </w14:textFill>
        </w:rPr>
      </w:pPr>
      <w:bookmarkStart w:id="46" w:name="_Toc1674335839_WPSOffice_Level1"/>
      <w:bookmarkStart w:id="47" w:name="_Toc1911989322_WPSOffice_Level1"/>
      <w:r>
        <w:rPr>
          <w:rFonts w:hint="eastAsia" w:ascii="宋体" w:hAnsi="宋体" w:cs="宋体"/>
          <w:b/>
          <w:color w:val="000000" w:themeColor="text1"/>
          <w:sz w:val="32"/>
          <w:szCs w:val="32"/>
          <w14:textFill>
            <w14:solidFill>
              <w14:schemeClr w14:val="tx1"/>
            </w14:solidFill>
          </w14:textFill>
        </w:rPr>
        <w:t>三、投标文件格式</w:t>
      </w:r>
      <w:bookmarkEnd w:id="46"/>
      <w:bookmarkEnd w:id="47"/>
    </w:p>
    <w:p>
      <w:pPr>
        <w:snapToGrid w:val="0"/>
        <w:spacing w:before="50" w:after="156" w:afterLines="50" w:line="360" w:lineRule="exact"/>
        <w:ind w:firstLine="421" w:firstLineChars="200"/>
        <w:jc w:val="left"/>
        <w:outlineLvl w:val="0"/>
        <w:rPr>
          <w:rFonts w:ascii="宋体" w:hAnsi="宋体" w:cs="宋体"/>
          <w:b/>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  一）</w:t>
      </w:r>
      <w:r>
        <w:rPr>
          <w:rFonts w:hint="eastAsia" w:ascii="宋体" w:hAnsi="宋体" w:cs="宋体"/>
          <w:b/>
          <w:bCs/>
          <w:color w:val="000000" w:themeColor="text1"/>
          <w:szCs w:val="21"/>
          <w14:textFill>
            <w14:solidFill>
              <w14:schemeClr w14:val="tx1"/>
            </w14:solidFill>
          </w14:textFill>
        </w:rPr>
        <w:t>资格文件部分（格式）</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（1）有效的营业执照等证明文件复印件；</w:t>
      </w:r>
    </w:p>
    <w:p>
      <w:pPr>
        <w:pStyle w:val="28"/>
        <w:adjustRightInd w:val="0"/>
        <w:snapToGrid w:val="0"/>
        <w:spacing w:line="400" w:lineRule="exact"/>
        <w:ind w:firstLine="420" w:firstLineChars="20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14:textFill>
            <w14:solidFill>
              <w14:schemeClr w14:val="tx1"/>
            </w14:solidFill>
          </w14:textFill>
        </w:rPr>
        <w:t>（必须提供）</w:t>
      </w:r>
      <w:r>
        <w:rPr>
          <w:rFonts w:hint="eastAsia" w:hAnsi="宋体" w:cs="宋体"/>
          <w:color w:val="000000" w:themeColor="text1"/>
          <w14:textFill>
            <w14:solidFill>
              <w14:schemeClr w14:val="tx1"/>
            </w14:solidFill>
          </w14:textFill>
        </w:rPr>
        <w:t>；</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②对于有经营资质要求的，投标人必须提供有效的经营资质证书副本内页扫描件或其他电子文件，同时要加盖单位公章。</w:t>
      </w:r>
    </w:p>
    <w:p>
      <w:pPr>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kern w:val="0"/>
          <w:szCs w:val="21"/>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14:textFill>
            <w14:solidFill>
              <w14:schemeClr w14:val="tx1"/>
            </w14:solidFill>
          </w14:textFill>
        </w:rPr>
        <w:t>和信用记录查询方法；</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w:t>
      </w:r>
      <w:r>
        <w:rPr>
          <w:rFonts w:hint="eastAsia" w:ascii="宋体" w:hAnsi="宋体" w:cs="宋体"/>
          <w:color w:val="000000" w:themeColor="text1"/>
          <w:kern w:val="0"/>
          <w:szCs w:val="21"/>
          <w14:textFill>
            <w14:solidFill>
              <w14:schemeClr w14:val="tx1"/>
            </w14:solidFill>
          </w14:textFill>
        </w:rPr>
        <w:t>参加政府采购活动前三年内在经营活动中没有</w:t>
      </w:r>
      <w:r>
        <w:rPr>
          <w:rFonts w:hint="eastAsia" w:ascii="宋体" w:hAnsi="宋体" w:cs="宋体"/>
          <w:bCs/>
          <w:color w:val="000000" w:themeColor="text1"/>
          <w:kern w:val="0"/>
          <w:szCs w:val="21"/>
          <w14:textFill>
            <w14:solidFill>
              <w14:schemeClr w14:val="tx1"/>
            </w14:solidFill>
          </w14:textFill>
        </w:rPr>
        <w:t>重大违法记录的书面声明</w:t>
      </w:r>
      <w:r>
        <w:rPr>
          <w:rFonts w:hint="eastAsia" w:ascii="宋体" w:hAnsi="宋体" w:cs="宋体"/>
          <w:color w:val="000000" w:themeColor="text1"/>
          <w:szCs w:val="21"/>
          <w14:textFill>
            <w14:solidFill>
              <w14:schemeClr w14:val="tx1"/>
            </w14:solidFill>
          </w14:textFill>
        </w:rPr>
        <w:t>（格式自拟，必须提供）；</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②供应商可在“信用中国”网站（www.creditchina.gov.cn）、中国政府采购网（www.ccgp.gov.cn）查询相关供应商主体信用记录。</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“信用中国”网站查询方法：投标人在本项目投标截止时间前10日内,进入投标人基本信息页面，点击“下载信用报告”后点击“下载”。</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numPr>
          <w:ilvl w:val="0"/>
          <w:numId w:val="13"/>
        </w:numPr>
        <w:adjustRightInd w:val="0"/>
        <w:snapToGrid w:val="0"/>
        <w:spacing w:line="40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中小企业声明函（按最新政策执行，格式见第六章，必须提供）；</w:t>
      </w:r>
    </w:p>
    <w:p>
      <w:pPr>
        <w:pStyle w:val="51"/>
        <w:ind w:firstLine="0" w:firstLineChars="0"/>
        <w:rPr>
          <w:color w:val="000000" w:themeColor="text1"/>
          <w14:textFill>
            <w14:solidFill>
              <w14:schemeClr w14:val="tx1"/>
            </w14:solidFill>
          </w14:textFill>
        </w:rPr>
      </w:pPr>
    </w:p>
    <w:p>
      <w:pPr>
        <w:snapToGrid w:val="0"/>
        <w:spacing w:line="360" w:lineRule="exact"/>
        <w:jc w:val="center"/>
        <w:rPr>
          <w:rFonts w:ascii="宋体" w:hAnsi="宋体" w:cs="宋体"/>
          <w:b/>
          <w:color w:val="000000" w:themeColor="text1"/>
          <w:kern w:val="0"/>
          <w:sz w:val="28"/>
          <w:szCs w:val="28"/>
          <w14:textFill>
            <w14:solidFill>
              <w14:schemeClr w14:val="tx1"/>
            </w14:solidFill>
          </w14:textFill>
        </w:rPr>
      </w:pPr>
    </w:p>
    <w:p>
      <w:pPr>
        <w:snapToGrid w:val="0"/>
        <w:spacing w:line="360" w:lineRule="exact"/>
        <w:jc w:val="center"/>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参加政府采购活动前三年内在经营活动中没有重大违法记录的书面声明</w:t>
      </w:r>
    </w:p>
    <w:p>
      <w:pPr>
        <w:snapToGrid w:val="0"/>
        <w:spacing w:line="36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（格式自拟，必须提供）</w:t>
      </w:r>
    </w:p>
    <w:p>
      <w:pPr>
        <w:snapToGrid w:val="0"/>
        <w:spacing w:line="360" w:lineRule="exact"/>
        <w:ind w:firstLine="413" w:firstLineChars="196"/>
        <w:jc w:val="center"/>
        <w:rPr>
          <w:rFonts w:ascii="宋体" w:hAnsi="宋体" w:cs="宋体"/>
          <w:b/>
          <w:color w:val="000000" w:themeColor="text1"/>
          <w:szCs w:val="21"/>
          <w14:textFill>
            <w14:solidFill>
              <w14:schemeClr w14:val="tx1"/>
            </w14:solidFill>
          </w14:textFill>
        </w:rPr>
      </w:pPr>
    </w:p>
    <w:p>
      <w:pPr>
        <w:snapToGrid w:val="0"/>
        <w:spacing w:line="360" w:lineRule="exact"/>
        <w:ind w:firstLine="413" w:firstLineChars="196"/>
        <w:jc w:val="center"/>
        <w:rPr>
          <w:rFonts w:ascii="宋体" w:hAnsi="宋体" w:cs="宋体"/>
          <w:b/>
          <w:color w:val="000000" w:themeColor="text1"/>
          <w:szCs w:val="21"/>
          <w14:textFill>
            <w14:solidFill>
              <w14:schemeClr w14:val="tx1"/>
            </w14:solidFill>
          </w14:textFill>
        </w:rPr>
      </w:pPr>
    </w:p>
    <w:p>
      <w:pPr>
        <w:snapToGrid w:val="0"/>
        <w:spacing w:line="360" w:lineRule="exact"/>
        <w:ind w:firstLine="413" w:firstLineChars="196"/>
        <w:jc w:val="center"/>
        <w:rPr>
          <w:rFonts w:ascii="宋体" w:hAnsi="宋体" w:cs="宋体"/>
          <w:b/>
          <w:color w:val="000000" w:themeColor="text1"/>
          <w:szCs w:val="21"/>
          <w14:textFill>
            <w14:solidFill>
              <w14:schemeClr w14:val="tx1"/>
            </w14:solidFill>
          </w14:textFill>
        </w:rPr>
      </w:pPr>
    </w:p>
    <w:p>
      <w:pPr>
        <w:snapToGrid w:val="0"/>
        <w:spacing w:line="360" w:lineRule="exact"/>
        <w:ind w:firstLine="413" w:firstLineChars="196"/>
        <w:jc w:val="center"/>
        <w:rPr>
          <w:rFonts w:ascii="宋体" w:hAnsi="宋体" w:cs="宋体"/>
          <w:b/>
          <w:color w:val="000000" w:themeColor="text1"/>
          <w:szCs w:val="21"/>
          <w14:textFill>
            <w14:solidFill>
              <w14:schemeClr w14:val="tx1"/>
            </w14:solidFill>
          </w14:textFill>
        </w:rPr>
      </w:pPr>
    </w:p>
    <w:p>
      <w:pPr>
        <w:snapToGrid w:val="0"/>
        <w:spacing w:before="156" w:beforeLines="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法定代表人（或机构负责人）或委托代理人签名（或签章）： </w:t>
      </w:r>
    </w:p>
    <w:p>
      <w:pPr>
        <w:snapToGrid w:val="0"/>
        <w:spacing w:before="156" w:beforeLines="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投标人公章：                                    </w:t>
      </w:r>
    </w:p>
    <w:p>
      <w:pPr>
        <w:pStyle w:val="28"/>
        <w:tabs>
          <w:tab w:val="left" w:pos="5580"/>
        </w:tabs>
        <w:spacing w:line="360" w:lineRule="auto"/>
        <w:ind w:left="540" w:leftChars="257" w:firstLine="420" w:firstLineChars="200"/>
        <w:rPr>
          <w:rFonts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                                          年    月    日</w:t>
      </w:r>
    </w:p>
    <w:p>
      <w:pPr>
        <w:snapToGrid w:val="0"/>
        <w:spacing w:line="360" w:lineRule="exact"/>
        <w:ind w:firstLine="361" w:firstLineChars="200"/>
        <w:jc w:val="left"/>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说明：</w:t>
      </w:r>
    </w:p>
    <w:p>
      <w:pPr>
        <w:snapToGrid w:val="0"/>
        <w:spacing w:line="360" w:lineRule="exact"/>
        <w:ind w:firstLine="361" w:firstLineChars="200"/>
        <w:jc w:val="left"/>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1.投标人应按照相关法规规定如实做出书面声明。</w:t>
      </w:r>
    </w:p>
    <w:p>
      <w:pPr>
        <w:snapToGrid w:val="0"/>
        <w:spacing w:line="360" w:lineRule="exact"/>
        <w:ind w:firstLine="361" w:firstLineChars="200"/>
        <w:jc w:val="left"/>
        <w:rPr>
          <w:rFonts w:ascii="宋体" w:hAnsi="宋体" w:cs="宋体"/>
          <w:b/>
          <w:color w:val="000000" w:themeColor="text1"/>
          <w:kern w:val="0"/>
          <w:sz w:val="18"/>
          <w:szCs w:val="18"/>
          <w14:textFill>
            <w14:solidFill>
              <w14:schemeClr w14:val="tx1"/>
            </w14:solidFill>
          </w14:textFill>
        </w:rPr>
      </w:pPr>
      <w:r>
        <w:rPr>
          <w:rFonts w:hint="eastAsia" w:ascii="宋体" w:hAnsi="宋体" w:cs="宋体"/>
          <w:b/>
          <w:color w:val="000000" w:themeColor="text1"/>
          <w:kern w:val="0"/>
          <w:sz w:val="18"/>
          <w:szCs w:val="18"/>
          <w14:textFill>
            <w14:solidFill>
              <w14:schemeClr w14:val="tx1"/>
            </w14:solidFill>
          </w14:textFill>
        </w:rPr>
        <w:t>2.按照采购文件的规定盖章（自然人投标的无需盖章，需要签字或签章）。</w:t>
      </w:r>
    </w:p>
    <w:p>
      <w:pPr>
        <w:snapToGrid w:val="0"/>
        <w:spacing w:before="50" w:after="156" w:afterLines="50" w:line="360" w:lineRule="exact"/>
        <w:jc w:val="left"/>
        <w:outlineLvl w:val="0"/>
        <w:rPr>
          <w:rFonts w:ascii="宋体" w:hAnsi="宋体" w:cs="宋体"/>
          <w:b/>
          <w:color w:val="000000" w:themeColor="text1"/>
          <w:szCs w:val="21"/>
          <w14:textFill>
            <w14:solidFill>
              <w14:schemeClr w14:val="tx1"/>
            </w14:solidFill>
          </w14:textFill>
        </w:rPr>
      </w:pPr>
    </w:p>
    <w:p>
      <w:pPr>
        <w:snapToGrid w:val="0"/>
        <w:spacing w:before="50" w:after="156" w:afterLines="50" w:line="360" w:lineRule="exact"/>
        <w:jc w:val="left"/>
        <w:outlineLvl w:val="0"/>
        <w:rPr>
          <w:rFonts w:ascii="宋体" w:hAnsi="宋体" w:cs="宋体"/>
          <w:b/>
          <w:color w:val="000000" w:themeColor="text1"/>
          <w:szCs w:val="21"/>
          <w14:textFill>
            <w14:solidFill>
              <w14:schemeClr w14:val="tx1"/>
            </w14:solidFill>
          </w14:textFill>
        </w:rPr>
      </w:pPr>
    </w:p>
    <w:p>
      <w:pPr>
        <w:snapToGrid w:val="0"/>
        <w:spacing w:before="50" w:after="156" w:afterLines="50" w:line="360" w:lineRule="exact"/>
        <w:ind w:firstLine="421" w:firstLineChars="200"/>
        <w:jc w:val="left"/>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w:t>
      </w:r>
      <w:r>
        <w:rPr>
          <w:rFonts w:hint="eastAsia" w:ascii="宋体" w:hAnsi="宋体" w:cs="宋体"/>
          <w:b/>
          <w:bCs/>
          <w:color w:val="000000" w:themeColor="text1"/>
          <w:szCs w:val="21"/>
          <w14:textFill>
            <w14:solidFill>
              <w14:schemeClr w14:val="tx1"/>
            </w14:solidFill>
          </w14:textFill>
        </w:rPr>
        <w:t>资信及商务文件部分（格式）</w:t>
      </w:r>
    </w:p>
    <w:p>
      <w:pPr>
        <w:snapToGrid w:val="0"/>
        <w:spacing w:before="50" w:after="156" w:afterLines="50" w:line="36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投标保证金的相关证明扫描件或其他电子文件</w:t>
      </w:r>
    </w:p>
    <w:p>
      <w:pPr>
        <w:snapToGrid w:val="0"/>
        <w:spacing w:before="50" w:after="156" w:afterLines="50" w:line="360" w:lineRule="exact"/>
        <w:ind w:firstLine="204" w:firstLineChars="97"/>
        <w:jc w:val="left"/>
        <w:rPr>
          <w:rFonts w:ascii="宋体" w:hAnsi="宋体" w:cs="宋体"/>
          <w:b/>
          <w:color w:val="000000" w:themeColor="text1"/>
          <w:szCs w:val="21"/>
          <w14:textFill>
            <w14:solidFill>
              <w14:schemeClr w14:val="tx1"/>
            </w14:solidFill>
          </w14:textFill>
        </w:rPr>
      </w:pPr>
    </w:p>
    <w:p>
      <w:pPr>
        <w:snapToGrid w:val="0"/>
        <w:spacing w:before="50" w:after="156" w:afterLines="50" w:line="36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（2）投标声明书格式：</w:t>
      </w:r>
    </w:p>
    <w:p>
      <w:pPr>
        <w:snapToGrid w:val="0"/>
        <w:spacing w:before="156" w:beforeLines="50" w:after="50" w:line="360" w:lineRule="exact"/>
        <w:jc w:val="center"/>
        <w:rPr>
          <w:rFonts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投标声明书</w:t>
      </w:r>
    </w:p>
    <w:p>
      <w:pPr>
        <w:snapToGrid w:val="0"/>
        <w:spacing w:before="156" w:beforeLines="50" w:after="50" w:line="34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w:t>
      </w:r>
      <w:r>
        <w:rPr>
          <w:rFonts w:hint="eastAsia" w:ascii="宋体" w:hAnsi="宋体" w:cs="宋体"/>
          <w:color w:val="000000" w:themeColor="text1"/>
          <w:u w:val="single"/>
          <w14:textFill>
            <w14:solidFill>
              <w14:schemeClr w14:val="tx1"/>
            </w14:solidFill>
          </w14:textFill>
        </w:rPr>
        <w:t>广西壮族自治区政府采购中心</w:t>
      </w:r>
      <w:r>
        <w:rPr>
          <w:rFonts w:hint="eastAsia" w:ascii="宋体" w:hAnsi="宋体" w:cs="宋体"/>
          <w:color w:val="000000" w:themeColor="text1"/>
          <w:szCs w:val="21"/>
          <w14:textFill>
            <w14:solidFill>
              <w14:schemeClr w14:val="tx1"/>
            </w14:solidFill>
          </w14:textFill>
        </w:rPr>
        <w:t>：</w:t>
      </w:r>
    </w:p>
    <w:p>
      <w:pPr>
        <w:snapToGrid w:val="0"/>
        <w:spacing w:before="156" w:beforeLines="50" w:after="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（投标人名称）系中华人民共和国合法企业，经营地址</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pPr>
        <w:snapToGrid w:val="0"/>
        <w:spacing w:before="156" w:beforeLines="50" w:after="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（姓名）系</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（投标人名称）的法定代表人，我方愿意参加贵方组织的</w:t>
      </w:r>
      <w:r>
        <w:rPr>
          <w:rFonts w:hint="eastAsia" w:ascii="宋体" w:hAnsi="宋体" w:cs="宋体"/>
          <w:color w:val="000000" w:themeColor="text1"/>
          <w:szCs w:val="21"/>
          <w:u w:val="single"/>
          <w14:textFill>
            <w14:solidFill>
              <w14:schemeClr w14:val="tx1"/>
            </w14:solidFill>
          </w14:textFill>
        </w:rPr>
        <w:t>_              _     _</w:t>
      </w:r>
      <w:r>
        <w:rPr>
          <w:rFonts w:hint="eastAsia" w:ascii="宋体" w:hAnsi="宋体" w:cs="宋体"/>
          <w:color w:val="000000" w:themeColor="text1"/>
          <w:szCs w:val="21"/>
          <w14:textFill>
            <w14:solidFill>
              <w14:schemeClr w14:val="tx1"/>
            </w14:solidFill>
          </w14:textFill>
        </w:rPr>
        <w:t>项目的投标，为便于贵方公正、择优地确定中标人及其投标产品和服务，我方就本次投标有关事项郑重声明如下：</w:t>
      </w:r>
    </w:p>
    <w:p>
      <w:pPr>
        <w:snapToGrid w:val="0"/>
        <w:spacing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1.我方向贵方提交的所有投标文件、资料都是准确的和真实的。</w:t>
      </w:r>
    </w:p>
    <w:p>
      <w:pPr>
        <w:snapToGrid w:val="0"/>
        <w:spacing w:before="156" w:beforeLines="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3.我方此次向贵方提供的产品名称为：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；规格型号：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；该型号产品我方有现货可供，并已于</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月生产完工或向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（原厂商名称）购进［</w:t>
      </w:r>
      <w:r>
        <w:rPr>
          <w:rFonts w:hint="eastAsia" w:ascii="宋体" w:hAnsi="宋体" w:cs="宋体"/>
          <w:b/>
          <w:bCs/>
          <w:color w:val="000000" w:themeColor="text1"/>
          <w:szCs w:val="21"/>
          <w14:textFill>
            <w14:solidFill>
              <w14:schemeClr w14:val="tx1"/>
            </w14:solidFill>
          </w14:textFill>
        </w:rPr>
        <w:t>或</w:t>
      </w:r>
      <w:r>
        <w:rPr>
          <w:rFonts w:hint="eastAsia" w:ascii="宋体" w:hAnsi="宋体" w:cs="宋体"/>
          <w:color w:val="000000" w:themeColor="text1"/>
          <w:szCs w:val="21"/>
          <w14:textFill>
            <w14:solidFill>
              <w14:schemeClr w14:val="tx1"/>
            </w14:solidFill>
          </w14:textFill>
        </w:rPr>
        <w:t>需在中标后向</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订购］。</w:t>
      </w:r>
    </w:p>
    <w:p>
      <w:pPr>
        <w:snapToGrid w:val="0"/>
        <w:spacing w:before="156" w:beforeLines="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w:t>
      </w:r>
    </w:p>
    <w:p>
      <w:pPr>
        <w:snapToGrid w:val="0"/>
        <w:spacing w:before="156" w:beforeLines="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　　　　　　　　　　　　　　　　　　　　　　　　　　　</w:t>
      </w:r>
    </w:p>
    <w:p>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5.我方参加政府采购活动前三年内在经营活动中重大违法记录和不良信用记录情况：</w:t>
      </w:r>
    </w:p>
    <w:p>
      <w:pPr>
        <w:snapToGrid w:val="0"/>
        <w:spacing w:before="156" w:beforeLines="50" w:line="340" w:lineRule="exact"/>
        <w:ind w:firstLine="421"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b/>
          <w:color w:val="000000" w:themeColor="text1"/>
          <w:szCs w:val="21"/>
          <w:u w:val="single"/>
          <w14:textFill>
            <w14:solidFill>
              <w14:schemeClr w14:val="tx1"/>
            </w14:solidFill>
          </w14:textFill>
        </w:rPr>
        <w:t>　　　　　　</w:t>
      </w:r>
      <w:r>
        <w:rPr>
          <w:rFonts w:hint="eastAsia" w:ascii="宋体" w:hAnsi="宋体" w:cs="宋体"/>
          <w:color w:val="000000" w:themeColor="text1"/>
          <w:szCs w:val="21"/>
          <w:u w:val="single"/>
          <w14:textFill>
            <w14:solidFill>
              <w14:schemeClr w14:val="tx1"/>
            </w14:solidFill>
          </w14:textFill>
        </w:rPr>
        <w:t>　　　　　　　　　　　　　　　　　　　　　</w:t>
      </w:r>
    </w:p>
    <w:p>
      <w:pPr>
        <w:snapToGrid w:val="0"/>
        <w:spacing w:before="156" w:beforeLines="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6.以上事项如有虚假或隐瞒，我方愿意承担一切后果。</w:t>
      </w:r>
    </w:p>
    <w:p>
      <w:pPr>
        <w:snapToGrid w:val="0"/>
        <w:spacing w:before="156" w:beforeLines="50" w:line="340" w:lineRule="exact"/>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zCs w:val="21"/>
          <w:u w:val="single"/>
          <w14:textFill>
            <w14:solidFill>
              <w14:schemeClr w14:val="tx1"/>
            </w14:solidFill>
          </w14:textFill>
        </w:rPr>
        <w:t xml:space="preserve">             </w:t>
      </w:r>
    </w:p>
    <w:p>
      <w:pPr>
        <w:snapToGrid w:val="0"/>
        <w:spacing w:before="156" w:beforeLines="50" w:after="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投标人公章：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pPr>
        <w:snapToGrid w:val="0"/>
        <w:spacing w:before="156" w:beforeLines="50" w:after="50" w:line="34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p>
      <w:pPr>
        <w:widowControl/>
        <w:spacing w:before="100" w:beforeAutospacing="1" w:after="100" w:afterAutospacing="1" w:line="432" w:lineRule="auto"/>
        <w:ind w:firstLine="421" w:firstLineChars="200"/>
        <w:jc w:val="left"/>
        <w:rPr>
          <w:rFonts w:ascii="宋体" w:hAnsi="宋体" w:cs="宋体"/>
          <w:b/>
          <w:color w:val="000000" w:themeColor="text1"/>
          <w:szCs w:val="21"/>
          <w:u w:val="single"/>
          <w14:textFill>
            <w14:solidFill>
              <w14:schemeClr w14:val="tx1"/>
            </w14:solidFill>
          </w14:textFill>
        </w:rPr>
      </w:pPr>
      <w:r>
        <w:rPr>
          <w:rFonts w:hint="eastAsia" w:ascii="宋体" w:hAnsi="宋体" w:cs="宋体"/>
          <w:b/>
          <w:color w:val="000000" w:themeColor="text1"/>
          <w:szCs w:val="21"/>
          <w:u w:val="single"/>
          <w14:textFill>
            <w14:solidFill>
              <w14:schemeClr w14:val="tx1"/>
            </w14:solidFill>
          </w14:textFill>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ascii="宋体" w:hAnsi="宋体" w:cs="宋体"/>
          <w:b/>
          <w:color w:val="000000" w:themeColor="text1"/>
          <w:szCs w:val="21"/>
          <w14:textFill>
            <w14:solidFill>
              <w14:schemeClr w14:val="tx1"/>
            </w14:solidFill>
          </w14:textFill>
        </w:rPr>
      </w:pPr>
    </w:p>
    <w:p>
      <w:pPr>
        <w:snapToGrid w:val="0"/>
        <w:spacing w:before="50" w:after="156" w:afterLines="50" w:line="34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（3）法定代表人授权委托书格式：</w:t>
      </w:r>
    </w:p>
    <w:p>
      <w:pPr>
        <w:pStyle w:val="51"/>
        <w:ind w:firstLine="0" w:firstLineChars="0"/>
        <w:rPr>
          <w:color w:val="000000" w:themeColor="text1"/>
          <w14:textFill>
            <w14:solidFill>
              <w14:schemeClr w14:val="tx1"/>
            </w14:solidFill>
          </w14:textFill>
        </w:rPr>
      </w:pPr>
    </w:p>
    <w:p>
      <w:pPr>
        <w:snapToGrid w:val="0"/>
        <w:spacing w:before="156" w:beforeLines="50" w:after="50" w:line="340" w:lineRule="exact"/>
        <w:jc w:val="center"/>
        <w:rPr>
          <w:rFonts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法定代表人授权委托书</w:t>
      </w:r>
    </w:p>
    <w:p>
      <w:pPr>
        <w:snapToGrid w:val="0"/>
        <w:spacing w:before="156" w:beforeLines="50" w:after="50" w:line="480" w:lineRule="auto"/>
        <w:rPr>
          <w:rFonts w:ascii="宋体" w:hAnsi="宋体" w:cs="宋体"/>
          <w:b/>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致：</w:t>
      </w:r>
      <w:r>
        <w:rPr>
          <w:rFonts w:hint="eastAsia" w:ascii="宋体" w:hAnsi="宋体" w:cs="宋体"/>
          <w:color w:val="000000" w:themeColor="text1"/>
          <w:u w:val="single"/>
          <w14:textFill>
            <w14:solidFill>
              <w14:schemeClr w14:val="tx1"/>
            </w14:solidFill>
          </w14:textFill>
        </w:rPr>
        <w:t>广西壮族自治区政府采购中心</w:t>
      </w:r>
      <w:r>
        <w:rPr>
          <w:rFonts w:hint="eastAsia" w:ascii="宋体" w:hAnsi="宋体" w:cs="宋体"/>
          <w:color w:val="000000" w:themeColor="text1"/>
          <w:szCs w:val="21"/>
          <w14:textFill>
            <w14:solidFill>
              <w14:schemeClr w14:val="tx1"/>
            </w14:solidFill>
          </w14:textFill>
        </w:rPr>
        <w:t>：</w:t>
      </w:r>
    </w:p>
    <w:p>
      <w:pPr>
        <w:snapToGrid w:val="0"/>
        <w:spacing w:before="156" w:beforeLines="50" w:after="50" w:line="48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我</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（姓名）系</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（投标人名称）的法定代表人，现授权委托本单位在职职工</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（姓名）以我方的名义参加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项目的投标活动，并代表我方全权办理针对上述项目的投标、开标、评标、签约等具体事务和签署相关文件。</w:t>
      </w:r>
    </w:p>
    <w:p>
      <w:pPr>
        <w:snapToGrid w:val="0"/>
        <w:spacing w:before="156" w:beforeLines="50" w:after="50" w:line="48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我方对被授权人的签名事项负全部责任。</w:t>
      </w:r>
    </w:p>
    <w:p>
      <w:pPr>
        <w:snapToGrid w:val="0"/>
        <w:spacing w:before="156" w:beforeLines="50" w:after="50" w:line="48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在撤销授权的书面通知以前，本授权书一直有效。</w:t>
      </w:r>
      <w:r>
        <w:rPr>
          <w:rFonts w:hint="eastAsia" w:ascii="宋体" w:hAnsi="宋体" w:cs="宋体"/>
          <w:color w:val="000000" w:themeColor="text1"/>
          <w:szCs w:val="21"/>
          <w14:textFill>
            <w14:solidFill>
              <w14:schemeClr w14:val="tx1"/>
            </w14:solidFill>
          </w14:textFill>
        </w:rPr>
        <w:t>被授权人在授权书有效期内签署的所有文件不因授权的撤销而失效。</w:t>
      </w:r>
    </w:p>
    <w:p>
      <w:pPr>
        <w:snapToGrid w:val="0"/>
        <w:spacing w:before="156" w:beforeLines="50" w:after="50" w:line="48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被授权人无转委托权，特此委托。</w:t>
      </w:r>
    </w:p>
    <w:p>
      <w:pPr>
        <w:snapToGrid w:val="0"/>
        <w:spacing w:before="156" w:beforeLines="50" w:after="50" w:line="480" w:lineRule="auto"/>
        <w:ind w:firstLine="420" w:firstLineChars="200"/>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被授权人签名：</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法定代表人签字（或签章）：</w:t>
      </w:r>
      <w:r>
        <w:rPr>
          <w:rFonts w:hint="eastAsia" w:ascii="宋体" w:hAnsi="宋体" w:cs="宋体"/>
          <w:color w:val="000000" w:themeColor="text1"/>
          <w:szCs w:val="21"/>
          <w:u w:val="single"/>
          <w14:textFill>
            <w14:solidFill>
              <w14:schemeClr w14:val="tx1"/>
            </w14:solidFill>
          </w14:textFill>
        </w:rPr>
        <w:t xml:space="preserve">          </w:t>
      </w:r>
    </w:p>
    <w:p>
      <w:pPr>
        <w:snapToGrid w:val="0"/>
        <w:spacing w:before="156" w:beforeLines="50" w:after="50" w:line="48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所在部门职务：</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职务：</w:t>
      </w:r>
      <w:r>
        <w:rPr>
          <w:rFonts w:hint="eastAsia" w:ascii="宋体" w:hAnsi="宋体" w:cs="宋体"/>
          <w:color w:val="000000" w:themeColor="text1"/>
          <w:szCs w:val="21"/>
          <w:u w:val="single"/>
          <w14:textFill>
            <w14:solidFill>
              <w14:schemeClr w14:val="tx1"/>
            </w14:solidFill>
          </w14:textFill>
        </w:rPr>
        <w:t xml:space="preserve">           </w:t>
      </w:r>
    </w:p>
    <w:p>
      <w:pPr>
        <w:snapToGrid w:val="0"/>
        <w:spacing w:before="156" w:beforeLines="50" w:after="50" w:line="48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被授权人身份证号码：</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pPr>
        <w:snapToGrid w:val="0"/>
        <w:spacing w:before="156" w:beforeLines="50" w:after="50" w:line="48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贴附“委托代理人身份证复印件”（正反两面）</w:t>
      </w:r>
    </w:p>
    <w:p>
      <w:pPr>
        <w:snapToGrid w:val="0"/>
        <w:spacing w:before="156" w:beforeLines="50" w:after="50" w:line="480" w:lineRule="auto"/>
        <w:rPr>
          <w:rFonts w:ascii="宋体" w:hAnsi="宋体" w:cs="宋体"/>
          <w:color w:val="000000" w:themeColor="text1"/>
          <w:szCs w:val="21"/>
          <w14:textFill>
            <w14:solidFill>
              <w14:schemeClr w14:val="tx1"/>
            </w14:solidFill>
          </w14:textFill>
        </w:rPr>
      </w:pPr>
    </w:p>
    <w:p>
      <w:pPr>
        <w:snapToGrid w:val="0"/>
        <w:spacing w:before="156" w:beforeLines="50" w:after="50" w:line="480" w:lineRule="auto"/>
        <w:rPr>
          <w:rFonts w:ascii="宋体" w:hAnsi="宋体" w:cs="宋体"/>
          <w:color w:val="000000" w:themeColor="text1"/>
          <w:szCs w:val="21"/>
          <w14:textFill>
            <w14:solidFill>
              <w14:schemeClr w14:val="tx1"/>
            </w14:solidFill>
          </w14:textFill>
        </w:rPr>
      </w:pPr>
    </w:p>
    <w:p>
      <w:pPr>
        <w:snapToGrid w:val="0"/>
        <w:spacing w:before="156" w:beforeLines="50" w:after="50" w:line="48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投标人公章：</w:t>
      </w:r>
    </w:p>
    <w:p>
      <w:pPr>
        <w:snapToGrid w:val="0"/>
        <w:spacing w:before="156" w:beforeLines="50" w:after="50" w:line="48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年    月    日</w:t>
      </w:r>
    </w:p>
    <w:p>
      <w:pPr>
        <w:snapToGrid w:val="0"/>
        <w:spacing w:before="312" w:beforeLines="100" w:after="312" w:afterLines="100" w:line="360" w:lineRule="exact"/>
        <w:ind w:firstLine="413" w:firstLineChars="196"/>
        <w:jc w:val="left"/>
        <w:rPr>
          <w:rFonts w:ascii="宋体" w:hAnsi="宋体" w:cs="宋体"/>
          <w:b/>
          <w:color w:val="000000" w:themeColor="text1"/>
          <w:szCs w:val="21"/>
          <w14:textFill>
            <w14:solidFill>
              <w14:schemeClr w14:val="tx1"/>
            </w14:solidFill>
          </w14:textFill>
        </w:rPr>
      </w:pPr>
    </w:p>
    <w:p>
      <w:pPr>
        <w:pStyle w:val="51"/>
        <w:ind w:firstLine="240"/>
        <w:rPr>
          <w:color w:val="000000" w:themeColor="text1"/>
          <w14:textFill>
            <w14:solidFill>
              <w14:schemeClr w14:val="tx1"/>
            </w14:solidFill>
          </w14:textFill>
        </w:rPr>
      </w:pPr>
    </w:p>
    <w:p>
      <w:pPr>
        <w:snapToGrid w:val="0"/>
        <w:spacing w:line="380" w:lineRule="exact"/>
        <w:ind w:firstLine="420" w:firstLineChars="200"/>
        <w:jc w:val="left"/>
        <w:rPr>
          <w:rFonts w:ascii="宋体" w:hAnsi="宋体" w:cs="宋体"/>
          <w:bCs/>
          <w:color w:val="000000" w:themeColor="text1"/>
          <w:szCs w:val="21"/>
          <w14:textFill>
            <w14:solidFill>
              <w14:schemeClr w14:val="tx1"/>
            </w14:solidFill>
          </w14:textFill>
        </w:rPr>
      </w:pPr>
    </w:p>
    <w:p>
      <w:pPr>
        <w:snapToGrid w:val="0"/>
        <w:spacing w:line="380" w:lineRule="exact"/>
        <w:ind w:firstLine="420" w:firstLineChars="200"/>
        <w:jc w:val="left"/>
        <w:rPr>
          <w:rFonts w:ascii="宋体" w:hAnsi="宋体" w:cs="宋体"/>
          <w:bCs/>
          <w:color w:val="000000" w:themeColor="text1"/>
          <w:szCs w:val="21"/>
          <w14:textFill>
            <w14:solidFill>
              <w14:schemeClr w14:val="tx1"/>
            </w14:solidFill>
          </w14:textFill>
        </w:rPr>
      </w:pPr>
    </w:p>
    <w:p>
      <w:pPr>
        <w:snapToGrid w:val="0"/>
        <w:spacing w:line="38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14:textFill>
            <w14:solidFill>
              <w14:schemeClr w14:val="tx1"/>
            </w14:solidFill>
          </w14:textFill>
        </w:rPr>
        <w:t>（扫描件或其他电子文件，格式自拟，必须提供）</w:t>
      </w:r>
      <w:r>
        <w:rPr>
          <w:rFonts w:hint="eastAsia" w:ascii="宋体" w:hAnsi="宋体" w:cs="宋体"/>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14:textFill>
            <w14:solidFill>
              <w14:schemeClr w14:val="tx1"/>
            </w14:solidFill>
          </w14:textFill>
        </w:rPr>
        <w:t>（扫</w:t>
      </w:r>
      <w:r>
        <w:rPr>
          <w:rFonts w:hint="eastAsia" w:ascii="宋体" w:hAnsi="宋体" w:cs="宋体"/>
          <w:b/>
          <w:color w:val="000000" w:themeColor="text1"/>
          <w:szCs w:val="21"/>
          <w14:textFill>
            <w14:solidFill>
              <w14:schemeClr w14:val="tx1"/>
            </w14:solidFill>
          </w14:textFill>
        </w:rPr>
        <w:t>描件或其他电子文件，格式自拟，必须提供）；</w:t>
      </w:r>
      <w:r>
        <w:rPr>
          <w:rFonts w:hint="eastAsia" w:ascii="宋体" w:hAnsi="宋体" w:cs="宋体"/>
          <w:color w:val="000000" w:themeColor="text1"/>
          <w:szCs w:val="21"/>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snapToGrid w:val="0"/>
        <w:spacing w:line="38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（6）财务状况报告</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bCs/>
          <w:color w:val="000000" w:themeColor="text1"/>
          <w:szCs w:val="21"/>
          <w14:textFill>
            <w14:solidFill>
              <w14:schemeClr w14:val="tx1"/>
            </w14:solidFill>
          </w14:textFill>
        </w:rPr>
        <w:t>；</w:t>
      </w:r>
    </w:p>
    <w:p>
      <w:pPr>
        <w:snapToGrid w:val="0"/>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（7）</w:t>
      </w:r>
      <w:r>
        <w:rPr>
          <w:rFonts w:hint="eastAsia" w:ascii="宋体" w:hAnsi="宋体" w:cs="宋体"/>
          <w:bCs/>
          <w:color w:val="000000" w:themeColor="text1"/>
          <w:szCs w:val="21"/>
          <w14:textFill>
            <w14:solidFill>
              <w14:schemeClr w14:val="tx1"/>
            </w14:solidFill>
          </w14:textFill>
        </w:rPr>
        <w:t>具备履行合同所必需的设备和专业技术能力的证明材料</w:t>
      </w:r>
      <w:r>
        <w:rPr>
          <w:rFonts w:hint="eastAsia" w:ascii="宋体" w:hAnsi="宋体" w:cs="宋体"/>
          <w:b/>
          <w:color w:val="000000" w:themeColor="text1"/>
          <w:szCs w:val="21"/>
          <w14:textFill>
            <w14:solidFill>
              <w14:schemeClr w14:val="tx1"/>
            </w14:solidFill>
          </w14:textFill>
        </w:rPr>
        <w:t>（内容、格式自拟，必须提供）</w:t>
      </w:r>
      <w:r>
        <w:rPr>
          <w:rFonts w:hint="eastAsia" w:ascii="宋体" w:hAnsi="宋体" w:cs="宋体"/>
          <w:bCs/>
          <w:color w:val="000000" w:themeColor="text1"/>
          <w:kern w:val="0"/>
          <w:szCs w:val="21"/>
          <w14:textFill>
            <w14:solidFill>
              <w14:schemeClr w14:val="tx1"/>
            </w14:solidFill>
          </w14:textFill>
        </w:rPr>
        <w:t>；</w:t>
      </w:r>
    </w:p>
    <w:p>
      <w:pPr>
        <w:snapToGrid w:val="0"/>
        <w:spacing w:before="50" w:line="38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（8）商务响应表（格式见第六章，必须提供）；</w:t>
      </w:r>
    </w:p>
    <w:p>
      <w:pPr>
        <w:snapToGrid w:val="0"/>
        <w:spacing w:before="50" w:line="380" w:lineRule="exact"/>
        <w:jc w:val="center"/>
        <w:rPr>
          <w:rFonts w:ascii="宋体" w:hAnsi="宋体" w:cs="宋体"/>
          <w:color w:val="000000" w:themeColor="text1"/>
          <w:szCs w:val="21"/>
          <w:u w:val="single"/>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商务响应表</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项号</w:t>
            </w:r>
          </w:p>
        </w:tc>
        <w:tc>
          <w:tcPr>
            <w:tcW w:w="2955"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招标文件要求</w:t>
            </w:r>
          </w:p>
        </w:tc>
        <w:tc>
          <w:tcPr>
            <w:tcW w:w="2625"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是否提供并响应</w:t>
            </w:r>
          </w:p>
        </w:tc>
        <w:tc>
          <w:tcPr>
            <w:tcW w:w="2340" w:type="dxa"/>
            <w:tcBorders>
              <w:top w:val="single" w:color="auto" w:sz="4" w:space="0"/>
              <w:left w:val="single" w:color="auto" w:sz="4" w:space="0"/>
              <w:bottom w:val="single" w:color="auto" w:sz="4" w:space="0"/>
              <w:right w:val="single" w:color="auto" w:sz="4" w:space="0"/>
            </w:tcBorders>
          </w:tcPr>
          <w:p>
            <w:pPr>
              <w:snapToGrid w:val="0"/>
              <w:spacing w:before="156" w:beforeLines="50"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交付使用时间</w:t>
            </w:r>
            <w:r>
              <w:rPr>
                <w:rFonts w:hint="eastAsia" w:ascii="宋体" w:hAnsi="宋体" w:cs="宋体"/>
                <w:color w:val="000000" w:themeColor="text1"/>
                <w:kern w:val="0"/>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firstLine="315" w:firstLineChars="150"/>
              <w:rPr>
                <w:rFonts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交货地点：</w:t>
            </w:r>
            <w:r>
              <w:rPr>
                <w:rFonts w:hint="eastAsia" w:ascii="宋体" w:hAnsi="宋体" w:cs="宋体"/>
                <w:color w:val="000000" w:themeColor="text1"/>
                <w:szCs w:val="21"/>
                <w14:textFill>
                  <w14:solidFill>
                    <w14:schemeClr w14:val="tx1"/>
                  </w14:solidFill>
                </w14:textFill>
              </w:rPr>
              <w:t xml:space="preserve"> …</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付款方式：</w:t>
            </w: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43"/>
              <w:rPr>
                <w:rFonts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43"/>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105" w:hanging="105" w:hangingChars="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cs="宋体"/>
                <w:color w:val="000000" w:themeColor="text1"/>
                <w:szCs w:val="21"/>
                <w14:textFill>
                  <w14:solidFill>
                    <w14:schemeClr w14:val="tx1"/>
                  </w14:solidFill>
                </w14:textFill>
              </w:rPr>
            </w:pPr>
          </w:p>
        </w:tc>
      </w:tr>
    </w:tbl>
    <w:p>
      <w:pPr>
        <w:snapToGrid w:val="0"/>
        <w:spacing w:before="50" w:after="50" w:line="380" w:lineRule="exact"/>
        <w:rPr>
          <w:rFonts w:ascii="宋体" w:hAnsi="宋体" w:cs="宋体"/>
          <w:color w:val="000000" w:themeColor="text1"/>
          <w:spacing w:val="20"/>
          <w:szCs w:val="21"/>
          <w14:textFill>
            <w14:solidFill>
              <w14:schemeClr w14:val="tx1"/>
            </w14:solidFill>
          </w14:textFill>
        </w:rPr>
      </w:pPr>
    </w:p>
    <w:p>
      <w:pPr>
        <w:snapToGrid w:val="0"/>
        <w:spacing w:before="50" w:after="50" w:line="380" w:lineRule="exact"/>
        <w:ind w:firstLine="420" w:firstLineChars="200"/>
        <w:rPr>
          <w:rFonts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line="380" w:lineRule="exact"/>
        <w:ind w:firstLine="245" w:firstLineChars="98"/>
        <w:jc w:val="left"/>
        <w:rPr>
          <w:rFonts w:ascii="宋体" w:hAnsi="宋体" w:cs="宋体"/>
          <w:color w:val="000000" w:themeColor="text1"/>
          <w:spacing w:val="20"/>
          <w:szCs w:val="21"/>
          <w14:textFill>
            <w14:solidFill>
              <w14:schemeClr w14:val="tx1"/>
            </w14:solidFill>
          </w14:textFill>
        </w:rPr>
      </w:pPr>
    </w:p>
    <w:p>
      <w:pPr>
        <w:snapToGrid w:val="0"/>
        <w:spacing w:line="380" w:lineRule="exact"/>
        <w:ind w:firstLine="50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投标人盖章：</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日 期：</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line="380" w:lineRule="exact"/>
        <w:ind w:firstLine="206" w:firstLineChars="98"/>
        <w:jc w:val="left"/>
        <w:rPr>
          <w:rFonts w:ascii="宋体" w:hAnsi="宋体" w:cs="宋体"/>
          <w:b/>
          <w:color w:val="000000" w:themeColor="text1"/>
          <w:szCs w:val="21"/>
          <w14:textFill>
            <w14:solidFill>
              <w14:schemeClr w14:val="tx1"/>
            </w14:solidFill>
          </w14:textFill>
        </w:rPr>
      </w:pPr>
    </w:p>
    <w:p>
      <w:pPr>
        <w:snapToGrid w:val="0"/>
        <w:spacing w:line="38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（9）招标项目采购需求中要求必须提供的材料等</w:t>
      </w:r>
      <w:r>
        <w:rPr>
          <w:rFonts w:hint="eastAsia" w:ascii="宋体" w:hAnsi="宋体" w:cs="宋体"/>
          <w:b/>
          <w:color w:val="000000" w:themeColor="text1"/>
          <w:szCs w:val="21"/>
          <w14:textFill>
            <w14:solidFill>
              <w14:schemeClr w14:val="tx1"/>
            </w14:solidFill>
          </w14:textFill>
        </w:rPr>
        <w:t>；</w:t>
      </w:r>
    </w:p>
    <w:p>
      <w:pPr>
        <w:snapToGrid w:val="0"/>
        <w:spacing w:line="38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（10）具备法律、行政法规规定的其他条件的证明材料</w:t>
      </w:r>
      <w:r>
        <w:rPr>
          <w:rFonts w:hint="eastAsia" w:ascii="宋体" w:hAnsi="宋体" w:cs="宋体"/>
          <w:b/>
          <w:color w:val="000000" w:themeColor="text1"/>
          <w:szCs w:val="21"/>
          <w14:textFill>
            <w14:solidFill>
              <w14:schemeClr w14:val="tx1"/>
            </w14:solidFill>
          </w14:textFill>
        </w:rPr>
        <w:t>（如有规定,则必须提供）。</w:t>
      </w:r>
    </w:p>
    <w:p>
      <w:pPr>
        <w:snapToGrid w:val="0"/>
        <w:spacing w:line="38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可作为投标人资信评分的资质证明材料【可选，如有，可提供】 </w:t>
      </w:r>
    </w:p>
    <w:p>
      <w:pPr>
        <w:snapToGrid w:val="0"/>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（11）类似案例成功的业绩（投标人同类项目实施情况一览表、合同扫描件）；</w:t>
      </w:r>
    </w:p>
    <w:p>
      <w:pPr>
        <w:snapToGrid w:val="0"/>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（12）其他特殊资质证书（如本地化服务能力等）；</w:t>
      </w:r>
    </w:p>
    <w:p>
      <w:pPr>
        <w:snapToGrid w:val="0"/>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（13）节能环保产品或政府强制采购节能产品清单证书；</w:t>
      </w:r>
    </w:p>
    <w:p>
      <w:pPr>
        <w:snapToGrid w:val="0"/>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（14）投标人质量管理和质量保证体系等方面的认证证书；</w:t>
      </w:r>
    </w:p>
    <w:p>
      <w:pPr>
        <w:snapToGrid w:val="0"/>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（15）投标人认为可以证明其能力或业绩的其他材料；</w:t>
      </w:r>
    </w:p>
    <w:p>
      <w:pPr>
        <w:snapToGrid w:val="0"/>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（16）投标人关于产品生产时间、升级或者更新淘汰计划、配件供应以及本单位债务纠纷、违法违规记录等方面的情况（内容见投标声明书）；</w:t>
      </w:r>
    </w:p>
    <w:p>
      <w:pPr>
        <w:snapToGrid w:val="0"/>
        <w:spacing w:before="312" w:beforeLines="100" w:after="312" w:afterLines="100" w:line="380" w:lineRule="exact"/>
        <w:ind w:firstLine="411" w:firstLineChars="196"/>
        <w:jc w:val="left"/>
        <w:rPr>
          <w:rFonts w:ascii="宋体" w:hAnsi="宋体" w:cs="宋体"/>
          <w:color w:val="000000" w:themeColor="text1"/>
          <w:szCs w:val="21"/>
          <w14:textFill>
            <w14:solidFill>
              <w14:schemeClr w14:val="tx1"/>
            </w14:solidFill>
          </w14:textFill>
        </w:rPr>
      </w:pPr>
    </w:p>
    <w:p>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p>
    <w:p>
      <w:pPr>
        <w:snapToGrid w:val="0"/>
        <w:spacing w:before="312" w:beforeLines="100" w:after="312" w:afterLines="100" w:line="360" w:lineRule="exact"/>
        <w:ind w:firstLine="421" w:firstLineChars="20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14:textFill>
            <w14:solidFill>
              <w14:schemeClr w14:val="tx1"/>
            </w14:solidFill>
          </w14:textFill>
        </w:rPr>
        <w:t>中小企业声明函格式（必须提供）：</w:t>
      </w:r>
    </w:p>
    <w:p>
      <w:pPr>
        <w:pStyle w:val="289"/>
        <w:spacing w:after="0"/>
        <w:rPr>
          <w:rFonts w:cs="宋体"/>
          <w:color w:val="000000" w:themeColor="text1"/>
          <w14:textFill>
            <w14:solidFill>
              <w14:schemeClr w14:val="tx1"/>
            </w14:solidFill>
          </w14:textFill>
        </w:rPr>
      </w:pPr>
      <w:bookmarkStart w:id="48" w:name="_Toc142480712_WPSOffice_Level1"/>
      <w:bookmarkStart w:id="49" w:name="_Toc1579855879_WPSOffice_Level1"/>
      <w:r>
        <w:rPr>
          <w:rFonts w:hint="eastAsia" w:cs="宋体"/>
          <w:b/>
          <w:bCs/>
          <w:color w:val="000000" w:themeColor="text1"/>
          <w14:textFill>
            <w14:solidFill>
              <w14:schemeClr w14:val="tx1"/>
            </w14:solidFill>
          </w14:textFill>
        </w:rPr>
        <w:t>中小企业声明函</w:t>
      </w:r>
      <w:bookmarkEnd w:id="48"/>
      <w:bookmarkEnd w:id="49"/>
    </w:p>
    <w:p>
      <w:pPr>
        <w:pStyle w:val="245"/>
        <w:spacing w:line="506" w:lineRule="exact"/>
        <w:ind w:firstLine="420" w:firstLineChars="200"/>
        <w:jc w:val="both"/>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本公司（联合体）郑重声明，根据《政府采购促进中小企业发展管理办法》（财库〔2020〕46号）的规定，本公司 （联合体）参加</w:t>
      </w:r>
      <w:r>
        <w:rPr>
          <w:rFonts w:hint="eastAsia" w:cs="宋体"/>
          <w:color w:val="000000" w:themeColor="text1"/>
          <w:sz w:val="21"/>
          <w:szCs w:val="21"/>
          <w:u w:val="single"/>
          <w14:textFill>
            <w14:solidFill>
              <w14:schemeClr w14:val="tx1"/>
            </w14:solidFill>
          </w14:textFill>
        </w:rPr>
        <w:t>（单位名称）</w:t>
      </w:r>
      <w:r>
        <w:rPr>
          <w:rFonts w:hint="eastAsia" w:cs="宋体"/>
          <w:color w:val="000000" w:themeColor="text1"/>
          <w:sz w:val="21"/>
          <w:szCs w:val="21"/>
          <w14:textFill>
            <w14:solidFill>
              <w14:schemeClr w14:val="tx1"/>
            </w14:solidFill>
          </w14:textFill>
        </w:rPr>
        <w:t>的</w:t>
      </w:r>
      <w:r>
        <w:rPr>
          <w:rFonts w:hint="eastAsia" w:cs="宋体"/>
          <w:color w:val="000000" w:themeColor="text1"/>
          <w:sz w:val="21"/>
          <w:szCs w:val="21"/>
          <w:u w:val="single"/>
          <w14:textFill>
            <w14:solidFill>
              <w14:schemeClr w14:val="tx1"/>
            </w14:solidFill>
          </w14:textFill>
        </w:rPr>
        <w:t>（项目名称）</w:t>
      </w:r>
      <w:r>
        <w:rPr>
          <w:rFonts w:hint="eastAsia" w:cs="宋体"/>
          <w:color w:val="000000" w:themeColor="text1"/>
          <w:sz w:val="21"/>
          <w:szCs w:val="21"/>
          <w14:textFill>
            <w14:solidFill>
              <w14:schemeClr w14:val="tx1"/>
            </w14:solidFill>
          </w14:textFill>
        </w:rPr>
        <w:t>釆购活动,提供的货物全部由符合政策要求的中小企业制造。相关企业（含联合体中的中小企业、签订分包意向协议的中小企业）的具体情况如下：</w:t>
      </w:r>
    </w:p>
    <w:p>
      <w:pPr>
        <w:pStyle w:val="245"/>
        <w:spacing w:line="506" w:lineRule="exact"/>
        <w:ind w:firstLine="420" w:firstLineChars="200"/>
        <w:jc w:val="both"/>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w:t>
      </w:r>
      <w:r>
        <w:rPr>
          <w:rFonts w:hint="eastAsia" w:cs="宋体"/>
          <w:color w:val="000000" w:themeColor="text1"/>
          <w:sz w:val="21"/>
          <w:szCs w:val="21"/>
          <w:u w:val="single"/>
          <w14:textFill>
            <w14:solidFill>
              <w14:schemeClr w14:val="tx1"/>
            </w14:solidFill>
          </w14:textFill>
        </w:rPr>
        <w:t xml:space="preserve">     （标的名称）</w:t>
      </w:r>
      <w:r>
        <w:rPr>
          <w:rFonts w:hint="eastAsia" w:cs="宋体"/>
          <w:color w:val="000000" w:themeColor="text1"/>
          <w:sz w:val="21"/>
          <w:szCs w:val="21"/>
          <w14:textFill>
            <w14:solidFill>
              <w14:schemeClr w14:val="tx1"/>
            </w14:solidFill>
          </w14:textFill>
        </w:rPr>
        <w:t>，属于</w:t>
      </w:r>
      <w:r>
        <w:rPr>
          <w:rFonts w:hint="eastAsia" w:cs="宋体"/>
          <w:color w:val="000000" w:themeColor="text1"/>
          <w:sz w:val="21"/>
          <w:szCs w:val="21"/>
          <w:u w:val="single"/>
          <w14:textFill>
            <w14:solidFill>
              <w14:schemeClr w14:val="tx1"/>
            </w14:solidFill>
          </w14:textFill>
        </w:rPr>
        <w:t xml:space="preserve">     （釆购文件中明确的所属行业）行业</w:t>
      </w:r>
      <w:r>
        <w:rPr>
          <w:rFonts w:hint="eastAsia" w:cs="宋体"/>
          <w:color w:val="000000" w:themeColor="text1"/>
          <w:sz w:val="21"/>
          <w:szCs w:val="21"/>
          <w14:textFill>
            <w14:solidFill>
              <w14:schemeClr w14:val="tx1"/>
            </w14:solidFill>
          </w14:textFill>
        </w:rPr>
        <w:t>；制造商为</w:t>
      </w:r>
      <w:r>
        <w:rPr>
          <w:rFonts w:hint="eastAsia" w:cs="宋体"/>
          <w:color w:val="000000" w:themeColor="text1"/>
          <w:sz w:val="21"/>
          <w:szCs w:val="21"/>
          <w:u w:val="single"/>
          <w14:textFill>
            <w14:solidFill>
              <w14:schemeClr w14:val="tx1"/>
            </w14:solidFill>
          </w14:textFill>
        </w:rPr>
        <w:t>（企业名称）</w:t>
      </w:r>
      <w:r>
        <w:rPr>
          <w:rFonts w:hint="eastAsia" w:cs="宋体"/>
          <w:color w:val="000000" w:themeColor="text1"/>
          <w:sz w:val="21"/>
          <w:szCs w:val="21"/>
          <w14:textFill>
            <w14:solidFill>
              <w14:schemeClr w14:val="tx1"/>
            </w14:solidFill>
          </w14:textFill>
        </w:rPr>
        <w:t>，从业人员</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u w:val="single"/>
          <w14:textFill>
            <w14:solidFill>
              <w14:schemeClr w14:val="tx1"/>
            </w14:solidFill>
          </w14:textFill>
        </w:rPr>
        <w:tab/>
      </w:r>
      <w:r>
        <w:rPr>
          <w:rFonts w:hint="eastAsia" w:cs="宋体"/>
          <w:color w:val="000000" w:themeColor="text1"/>
          <w:sz w:val="21"/>
          <w:szCs w:val="21"/>
          <w14:textFill>
            <w14:solidFill>
              <w14:schemeClr w14:val="tx1"/>
            </w14:solidFill>
          </w14:textFill>
        </w:rPr>
        <w:t>人，营业收入为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万元，资产总额为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万元，属于</w:t>
      </w:r>
      <w:r>
        <w:rPr>
          <w:rFonts w:hint="eastAsia" w:cs="宋体"/>
          <w:color w:val="000000" w:themeColor="text1"/>
          <w:sz w:val="21"/>
          <w:szCs w:val="21"/>
          <w:u w:val="single"/>
          <w14:textFill>
            <w14:solidFill>
              <w14:schemeClr w14:val="tx1"/>
            </w14:solidFill>
          </w14:textFill>
        </w:rPr>
        <w:t>（中型企业、小型企业、微型企业）</w:t>
      </w:r>
      <w:r>
        <w:rPr>
          <w:rFonts w:hint="eastAsia" w:cs="宋体"/>
          <w:color w:val="000000" w:themeColor="text1"/>
          <w:sz w:val="21"/>
          <w:szCs w:val="21"/>
          <w14:textFill>
            <w14:solidFill>
              <w14:schemeClr w14:val="tx1"/>
            </w14:solidFill>
          </w14:textFill>
        </w:rPr>
        <w:t xml:space="preserve">； </w:t>
      </w:r>
    </w:p>
    <w:p>
      <w:pPr>
        <w:pStyle w:val="245"/>
        <w:spacing w:line="506" w:lineRule="exact"/>
        <w:ind w:firstLine="420" w:firstLineChars="200"/>
        <w:jc w:val="both"/>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2.</w:t>
      </w:r>
      <w:r>
        <w:rPr>
          <w:rFonts w:hint="eastAsia" w:cs="宋体"/>
          <w:color w:val="000000" w:themeColor="text1"/>
          <w:sz w:val="21"/>
          <w:szCs w:val="21"/>
          <w:u w:val="single"/>
          <w14:textFill>
            <w14:solidFill>
              <w14:schemeClr w14:val="tx1"/>
            </w14:solidFill>
          </w14:textFill>
        </w:rPr>
        <w:t xml:space="preserve">    （标的名称）</w:t>
      </w:r>
      <w:r>
        <w:rPr>
          <w:rFonts w:hint="eastAsia" w:cs="宋体"/>
          <w:color w:val="000000" w:themeColor="text1"/>
          <w:sz w:val="21"/>
          <w:szCs w:val="21"/>
          <w14:textFill>
            <w14:solidFill>
              <w14:schemeClr w14:val="tx1"/>
            </w14:solidFill>
          </w14:textFill>
        </w:rPr>
        <w:t>，属于</w:t>
      </w:r>
      <w:r>
        <w:rPr>
          <w:rFonts w:hint="eastAsia" w:cs="宋体"/>
          <w:color w:val="000000" w:themeColor="text1"/>
          <w:sz w:val="21"/>
          <w:szCs w:val="21"/>
          <w:u w:val="single"/>
          <w14:textFill>
            <w14:solidFill>
              <w14:schemeClr w14:val="tx1"/>
            </w14:solidFill>
          </w14:textFill>
        </w:rPr>
        <w:t xml:space="preserve">     （釆购文件中明确的所属行业）行业</w:t>
      </w:r>
      <w:r>
        <w:rPr>
          <w:rFonts w:hint="eastAsia" w:cs="宋体"/>
          <w:color w:val="000000" w:themeColor="text1"/>
          <w:sz w:val="21"/>
          <w:szCs w:val="21"/>
          <w14:textFill>
            <w14:solidFill>
              <w14:schemeClr w14:val="tx1"/>
            </w14:solidFill>
          </w14:textFill>
        </w:rPr>
        <w:t>；制造商为</w:t>
      </w:r>
      <w:r>
        <w:rPr>
          <w:rFonts w:hint="eastAsia" w:cs="宋体"/>
          <w:color w:val="000000" w:themeColor="text1"/>
          <w:sz w:val="21"/>
          <w:szCs w:val="21"/>
          <w:u w:val="single"/>
          <w14:textFill>
            <w14:solidFill>
              <w14:schemeClr w14:val="tx1"/>
            </w14:solidFill>
          </w14:textFill>
        </w:rPr>
        <w:t>（企业名称）</w:t>
      </w:r>
      <w:r>
        <w:rPr>
          <w:rFonts w:hint="eastAsia" w:cs="宋体"/>
          <w:color w:val="000000" w:themeColor="text1"/>
          <w:sz w:val="21"/>
          <w:szCs w:val="21"/>
          <w14:textFill>
            <w14:solidFill>
              <w14:schemeClr w14:val="tx1"/>
            </w14:solidFill>
          </w14:textFill>
        </w:rPr>
        <w:t>、从业人员</w:t>
      </w:r>
      <w:r>
        <w:rPr>
          <w:rFonts w:hint="eastAsia" w:cs="宋体"/>
          <w:color w:val="000000" w:themeColor="text1"/>
          <w:sz w:val="21"/>
          <w:szCs w:val="21"/>
          <w:u w:val="single"/>
          <w14:textFill>
            <w14:solidFill>
              <w14:schemeClr w14:val="tx1"/>
            </w14:solidFill>
          </w14:textFill>
        </w:rPr>
        <w:tab/>
      </w:r>
      <w:r>
        <w:rPr>
          <w:rFonts w:hint="eastAsia" w:cs="宋体"/>
          <w:color w:val="000000" w:themeColor="text1"/>
          <w:sz w:val="21"/>
          <w:szCs w:val="21"/>
          <w14:textFill>
            <w14:solidFill>
              <w14:schemeClr w14:val="tx1"/>
            </w14:solidFill>
          </w14:textFill>
        </w:rPr>
        <w:t>人，营业收入为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万元，资产总额为</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万元，属于</w:t>
      </w:r>
      <w:r>
        <w:rPr>
          <w:rFonts w:hint="eastAsia" w:cs="宋体"/>
          <w:color w:val="000000" w:themeColor="text1"/>
          <w:sz w:val="21"/>
          <w:szCs w:val="21"/>
          <w:u w:val="single"/>
          <w14:textFill>
            <w14:solidFill>
              <w14:schemeClr w14:val="tx1"/>
            </w14:solidFill>
          </w14:textFill>
        </w:rPr>
        <w:t>（中型企业、小型 企业、微型企业）</w:t>
      </w:r>
      <w:r>
        <w:rPr>
          <w:rFonts w:hint="eastAsia" w:cs="宋体"/>
          <w:color w:val="000000" w:themeColor="text1"/>
          <w:sz w:val="21"/>
          <w:szCs w:val="21"/>
          <w14:textFill>
            <w14:solidFill>
              <w14:schemeClr w14:val="tx1"/>
            </w14:solidFill>
          </w14:textFill>
        </w:rPr>
        <w:t>；</w:t>
      </w:r>
    </w:p>
    <w:p>
      <w:pPr>
        <w:pStyle w:val="245"/>
        <w:spacing w:line="506" w:lineRule="exact"/>
        <w:ind w:firstLine="420" w:firstLineChars="200"/>
        <w:jc w:val="both"/>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w:t>
      </w:r>
    </w:p>
    <w:p>
      <w:pPr>
        <w:pStyle w:val="245"/>
        <w:spacing w:line="499" w:lineRule="exact"/>
        <w:ind w:firstLine="420" w:firstLineChars="200"/>
        <w:jc w:val="both"/>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以上企业，不属于大企业的分支机构，不存在控股股东为大企业的情形，也不存在与大企业的负责人为同一人的情形。</w:t>
      </w:r>
    </w:p>
    <w:p>
      <w:pPr>
        <w:pStyle w:val="245"/>
        <w:spacing w:after="40" w:line="499" w:lineRule="exact"/>
        <w:ind w:firstLine="420" w:firstLineChars="200"/>
        <w:jc w:val="both"/>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本企业对上述声明内容的真实性负责。如有虚假，将依法承担相应责任。</w:t>
      </w:r>
    </w:p>
    <w:p>
      <w:pPr>
        <w:pStyle w:val="245"/>
        <w:spacing w:after="40" w:line="499" w:lineRule="exact"/>
        <w:ind w:firstLine="640"/>
        <w:jc w:val="both"/>
        <w:rPr>
          <w:rFonts w:cs="宋体"/>
          <w:color w:val="000000" w:themeColor="text1"/>
          <w:sz w:val="21"/>
          <w:szCs w:val="21"/>
          <w14:textFill>
            <w14:solidFill>
              <w14:schemeClr w14:val="tx1"/>
            </w14:solidFill>
          </w14:textFill>
        </w:rPr>
      </w:pPr>
    </w:p>
    <w:p>
      <w:pPr>
        <w:pStyle w:val="245"/>
        <w:spacing w:line="506" w:lineRule="exact"/>
        <w:ind w:firstLine="420" w:firstLineChars="200"/>
        <w:jc w:val="both"/>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 xml:space="preserve">                          企业名称（盖章）：</w:t>
      </w:r>
    </w:p>
    <w:p>
      <w:pPr>
        <w:pStyle w:val="245"/>
        <w:spacing w:line="506" w:lineRule="exact"/>
        <w:ind w:firstLine="420" w:firstLineChars="200"/>
        <w:jc w:val="both"/>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 xml:space="preserve">                          日期：</w:t>
      </w:r>
    </w:p>
    <w:p>
      <w:pPr>
        <w:pStyle w:val="289"/>
        <w:spacing w:after="0"/>
        <w:rPr>
          <w:rFonts w:cs="宋体"/>
          <w:color w:val="000000" w:themeColor="text1"/>
          <w:sz w:val="21"/>
          <w:szCs w:val="21"/>
          <w14:textFill>
            <w14:solidFill>
              <w14:schemeClr w14:val="tx1"/>
            </w14:solidFill>
          </w14:textFill>
        </w:rPr>
      </w:pPr>
    </w:p>
    <w:p>
      <w:pPr>
        <w:pStyle w:val="289"/>
        <w:spacing w:after="0"/>
        <w:rPr>
          <w:rFonts w:cs="宋体"/>
          <w:color w:val="000000" w:themeColor="text1"/>
          <w:sz w:val="21"/>
          <w:szCs w:val="21"/>
          <w14:textFill>
            <w14:solidFill>
              <w14:schemeClr w14:val="tx1"/>
            </w14:solidFill>
          </w14:textFill>
        </w:rPr>
      </w:pPr>
    </w:p>
    <w:p>
      <w:pPr>
        <w:pStyle w:val="289"/>
        <w:adjustRightInd w:val="0"/>
        <w:snapToGrid w:val="0"/>
        <w:spacing w:after="0" w:line="360" w:lineRule="exact"/>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备注：</w:t>
      </w:r>
    </w:p>
    <w:p>
      <w:pPr>
        <w:pStyle w:val="289"/>
        <w:adjustRightInd w:val="0"/>
        <w:snapToGrid w:val="0"/>
        <w:spacing w:after="0" w:line="360" w:lineRule="exact"/>
        <w:ind w:firstLine="420" w:firstLineChars="200"/>
        <w:jc w:val="left"/>
        <w:rPr>
          <w:rFonts w:cs="宋体"/>
          <w:color w:val="000000" w:themeColor="text1"/>
          <w:sz w:val="21"/>
          <w:szCs w:val="21"/>
          <w14:textFill>
            <w14:solidFill>
              <w14:schemeClr w14:val="tx1"/>
            </w14:solidFill>
          </w14:textFill>
        </w:rPr>
      </w:pPr>
      <w:r>
        <w:rPr>
          <w:rFonts w:hint="eastAsia" w:cs="宋体"/>
          <w:color w:val="000000" w:themeColor="text1"/>
          <w:sz w:val="21"/>
          <w:szCs w:val="21"/>
          <w14:textFill>
            <w14:solidFill>
              <w14:schemeClr w14:val="tx1"/>
            </w14:solidFill>
          </w14:textFill>
        </w:rPr>
        <w:t>1、从业人员、营业收入、资产总额填报上一年度数据，无上一年度数据的新成立企业可不填报。</w:t>
      </w:r>
    </w:p>
    <w:p>
      <w:pPr>
        <w:pStyle w:val="289"/>
        <w:adjustRightInd w:val="0"/>
        <w:snapToGrid w:val="0"/>
        <w:spacing w:after="0" w:line="360" w:lineRule="exact"/>
        <w:ind w:firstLine="420" w:firstLineChars="200"/>
        <w:jc w:val="left"/>
        <w:rPr>
          <w:rFonts w:cs="宋体"/>
          <w:color w:val="000000" w:themeColor="text1"/>
          <w:sz w:val="18"/>
          <w:szCs w:val="18"/>
          <w14:textFill>
            <w14:solidFill>
              <w14:schemeClr w14:val="tx1"/>
            </w14:solidFill>
          </w14:textFill>
        </w:rPr>
      </w:pPr>
      <w:r>
        <w:rPr>
          <w:rFonts w:hint="eastAsia" w:cs="宋体"/>
          <w:color w:val="000000" w:themeColor="text1"/>
          <w:sz w:val="21"/>
          <w:szCs w:val="21"/>
          <w14:textFill>
            <w14:solidFill>
              <w14:schemeClr w14:val="tx1"/>
            </w14:solidFill>
          </w14:textFill>
        </w:rPr>
        <w:t>2、采购文件中明确的所属行业名称是根据《关于印发中小企业划型标准规定的通知》（工信部联企业[2011]300号）规定确定。</w:t>
      </w:r>
    </w:p>
    <w:p>
      <w:pPr>
        <w:pStyle w:val="289"/>
        <w:spacing w:after="0"/>
        <w:rPr>
          <w:rFonts w:cs="宋体"/>
          <w:color w:val="000000" w:themeColor="text1"/>
          <w:sz w:val="21"/>
          <w:szCs w:val="21"/>
          <w14:textFill>
            <w14:solidFill>
              <w14:schemeClr w14:val="tx1"/>
            </w14:solidFill>
          </w14:textFill>
        </w:rPr>
      </w:pPr>
    </w:p>
    <w:p>
      <w:pPr>
        <w:pStyle w:val="289"/>
        <w:spacing w:after="0"/>
        <w:rPr>
          <w:rFonts w:cs="宋体"/>
          <w:color w:val="000000" w:themeColor="text1"/>
          <w:sz w:val="21"/>
          <w:szCs w:val="21"/>
          <w14:textFill>
            <w14:solidFill>
              <w14:schemeClr w14:val="tx1"/>
            </w14:solidFill>
          </w14:textFill>
        </w:rPr>
      </w:pPr>
    </w:p>
    <w:p>
      <w:pPr>
        <w:snapToGrid w:val="0"/>
        <w:spacing w:line="360" w:lineRule="exact"/>
        <w:ind w:firstLine="206" w:firstLineChars="98"/>
        <w:jc w:val="left"/>
        <w:rPr>
          <w:rFonts w:ascii="宋体" w:hAnsi="宋体" w:cs="宋体"/>
          <w:b/>
          <w:color w:val="000000" w:themeColor="text1"/>
          <w:szCs w:val="21"/>
          <w14:textFill>
            <w14:solidFill>
              <w14:schemeClr w14:val="tx1"/>
            </w14:solidFill>
          </w14:textFill>
        </w:rPr>
      </w:pPr>
    </w:p>
    <w:p>
      <w:pPr>
        <w:snapToGrid w:val="0"/>
        <w:spacing w:line="36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p>
    <w:p>
      <w:pPr>
        <w:pStyle w:val="515"/>
        <w:spacing w:line="440" w:lineRule="exact"/>
        <w:rPr>
          <w:rFonts w:hAnsi="宋体"/>
          <w:b/>
          <w:bCs/>
          <w:color w:val="000000" w:themeColor="text1"/>
          <w:kern w:val="2"/>
          <w:sz w:val="21"/>
          <w:szCs w:val="21"/>
          <w14:textFill>
            <w14:solidFill>
              <w14:schemeClr w14:val="tx1"/>
            </w14:solidFill>
          </w14:textFill>
        </w:rPr>
      </w:pPr>
    </w:p>
    <w:p>
      <w:pPr>
        <w:pStyle w:val="515"/>
        <w:spacing w:line="440" w:lineRule="exact"/>
        <w:ind w:firstLine="421" w:firstLineChars="200"/>
        <w:rPr>
          <w:rFonts w:hAnsi="宋体"/>
          <w:b/>
          <w:bCs/>
          <w:color w:val="000000" w:themeColor="text1"/>
          <w:kern w:val="2"/>
          <w:sz w:val="21"/>
          <w:szCs w:val="21"/>
          <w14:textFill>
            <w14:solidFill>
              <w14:schemeClr w14:val="tx1"/>
            </w14:solidFill>
          </w14:textFill>
        </w:rPr>
      </w:pPr>
      <w:r>
        <w:rPr>
          <w:rFonts w:hint="eastAsia" w:hAnsi="宋体"/>
          <w:b/>
          <w:bCs/>
          <w:color w:val="000000" w:themeColor="text1"/>
          <w:kern w:val="2"/>
          <w:sz w:val="21"/>
          <w:szCs w:val="21"/>
          <w14:textFill>
            <w14:solidFill>
              <w14:schemeClr w14:val="tx1"/>
            </w14:solidFill>
          </w14:textFill>
        </w:rPr>
        <w:t>（</w:t>
      </w:r>
      <w:r>
        <w:rPr>
          <w:rFonts w:hint="eastAsia" w:hAnsi="宋体"/>
          <w:b/>
          <w:bCs/>
          <w:color w:val="000000" w:themeColor="text1"/>
          <w:kern w:val="2"/>
          <w:sz w:val="21"/>
          <w:szCs w:val="21"/>
          <w:lang w:val="en-US" w:eastAsia="zh-CN"/>
          <w14:textFill>
            <w14:solidFill>
              <w14:schemeClr w14:val="tx1"/>
            </w14:solidFill>
          </w14:textFill>
        </w:rPr>
        <w:t>17</w:t>
      </w:r>
      <w:r>
        <w:rPr>
          <w:rFonts w:hint="eastAsia" w:hAnsi="宋体"/>
          <w:b/>
          <w:bCs/>
          <w:color w:val="000000" w:themeColor="text1"/>
          <w:kern w:val="2"/>
          <w:sz w:val="21"/>
          <w:szCs w:val="21"/>
          <w14:textFill>
            <w14:solidFill>
              <w14:schemeClr w14:val="tx1"/>
            </w14:solidFill>
          </w14:textFill>
        </w:rPr>
        <w:t>）关于符合本国产品标准的声明函格式：</w:t>
      </w:r>
    </w:p>
    <w:p>
      <w:pPr>
        <w:pStyle w:val="515"/>
        <w:spacing w:line="440" w:lineRule="exact"/>
        <w:rPr>
          <w:rFonts w:hAnsi="宋体"/>
          <w:b/>
          <w:bCs/>
          <w:color w:val="000000" w:themeColor="text1"/>
          <w:kern w:val="2"/>
          <w:sz w:val="21"/>
          <w:szCs w:val="21"/>
          <w14:textFill>
            <w14:solidFill>
              <w14:schemeClr w14:val="tx1"/>
            </w14:solidFill>
          </w14:textFill>
        </w:rPr>
      </w:pPr>
    </w:p>
    <w:p>
      <w:pPr>
        <w:pStyle w:val="47"/>
        <w:shd w:val="clear" w:color="auto" w:fill="FFFFFF"/>
        <w:spacing w:before="30" w:beforeAutospacing="0" w:after="30" w:afterAutospacing="0"/>
        <w:jc w:val="center"/>
        <w:rPr>
          <w:rFonts w:cs="宋体"/>
          <w:color w:val="000000" w:themeColor="text1"/>
          <w:sz w:val="28"/>
          <w:szCs w:val="28"/>
          <w14:textFill>
            <w14:solidFill>
              <w14:schemeClr w14:val="tx1"/>
            </w14:solidFill>
          </w14:textFill>
        </w:rPr>
      </w:pPr>
      <w:r>
        <w:rPr>
          <w:rStyle w:val="55"/>
          <w:rFonts w:hint="eastAsia" w:cs="宋体"/>
          <w:color w:val="000000" w:themeColor="text1"/>
          <w:sz w:val="28"/>
          <w:szCs w:val="28"/>
          <w:shd w:val="clear" w:color="auto" w:fill="FFFFFF"/>
          <w14:textFill>
            <w14:solidFill>
              <w14:schemeClr w14:val="tx1"/>
            </w14:solidFill>
          </w14:textFill>
        </w:rPr>
        <w:t>关于符合本国产品标准的声明函</w:t>
      </w:r>
    </w:p>
    <w:p>
      <w:pPr>
        <w:pStyle w:val="47"/>
        <w:shd w:val="clear" w:color="auto" w:fill="FFFFFF"/>
        <w:spacing w:before="30" w:beforeAutospacing="0" w:after="30" w:afterAutospacing="0"/>
        <w:ind w:firstLine="420"/>
        <w:rPr>
          <w:rFonts w:cs="宋体"/>
          <w:color w:val="000000" w:themeColor="text1"/>
          <w:sz w:val="21"/>
          <w:szCs w:val="21"/>
          <w14:textFill>
            <w14:solidFill>
              <w14:schemeClr w14:val="tx1"/>
            </w14:solidFill>
          </w14:textFill>
        </w:rPr>
      </w:pPr>
    </w:p>
    <w:p>
      <w:pPr>
        <w:pStyle w:val="47"/>
        <w:shd w:val="clear" w:color="auto" w:fill="FFFFFF"/>
        <w:spacing w:before="30" w:beforeAutospacing="0" w:after="30" w:afterAutospacing="0"/>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pStyle w:val="47"/>
        <w:shd w:val="clear" w:color="auto" w:fill="FFFFFF"/>
        <w:spacing w:before="30" w:beforeAutospacing="0" w:after="30" w:afterAutospacing="0"/>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1.</w:t>
      </w:r>
      <w:r>
        <w:rPr>
          <w:rStyle w:val="58"/>
          <w:rFonts w:hint="eastAsia" w:cs="宋体"/>
          <w:color w:val="000000" w:themeColor="text1"/>
          <w:sz w:val="21"/>
          <w:szCs w:val="21"/>
          <w:shd w:val="clear" w:color="auto" w:fill="FFFFFF"/>
          <w14:textFill>
            <w14:solidFill>
              <w14:schemeClr w14:val="tx1"/>
            </w14:solidFill>
          </w14:textFill>
        </w:rPr>
        <w:t>（产品名称1）</w:t>
      </w:r>
      <w:r>
        <w:rPr>
          <w:rStyle w:val="58"/>
          <w:rFonts w:hint="eastAsia" w:cs="宋体"/>
          <w:color w:val="000000" w:themeColor="text1"/>
          <w:sz w:val="21"/>
          <w:szCs w:val="21"/>
          <w:shd w:val="clear" w:color="auto" w:fill="FFFFFF"/>
          <w:vertAlign w:val="superscript"/>
          <w14:textFill>
            <w14:solidFill>
              <w14:schemeClr w14:val="tx1"/>
            </w14:solidFill>
          </w14:textFill>
        </w:rPr>
        <w:t>1</w:t>
      </w:r>
      <w:r>
        <w:rPr>
          <w:rFonts w:hint="eastAsia" w:cs="宋体"/>
          <w:color w:val="000000" w:themeColor="text1"/>
          <w:sz w:val="21"/>
          <w:szCs w:val="21"/>
          <w:shd w:val="clear" w:color="auto" w:fill="FFFFFF"/>
          <w14:textFill>
            <w14:solidFill>
              <w14:schemeClr w14:val="tx1"/>
            </w14:solidFill>
          </w14:textFill>
        </w:rPr>
        <w:t>，生产厂为</w:t>
      </w:r>
      <w:r>
        <w:rPr>
          <w:rStyle w:val="58"/>
          <w:rFonts w:hint="eastAsia" w:cs="宋体"/>
          <w:color w:val="000000" w:themeColor="text1"/>
          <w:sz w:val="21"/>
          <w:szCs w:val="21"/>
          <w:shd w:val="clear" w:color="auto" w:fill="FFFFFF"/>
          <w14:textFill>
            <w14:solidFill>
              <w14:schemeClr w14:val="tx1"/>
            </w14:solidFill>
          </w14:textFill>
        </w:rPr>
        <w:t>（厂名）</w:t>
      </w:r>
      <w:r>
        <w:rPr>
          <w:rStyle w:val="58"/>
          <w:rFonts w:hint="eastAsia" w:cs="宋体"/>
          <w:color w:val="000000" w:themeColor="text1"/>
          <w:sz w:val="21"/>
          <w:szCs w:val="21"/>
          <w:shd w:val="clear" w:color="auto" w:fill="FFFFFF"/>
          <w:vertAlign w:val="superscript"/>
          <w14:textFill>
            <w14:solidFill>
              <w14:schemeClr w14:val="tx1"/>
            </w14:solidFill>
          </w14:textFill>
        </w:rPr>
        <w:t>2</w:t>
      </w:r>
      <w:r>
        <w:rPr>
          <w:rFonts w:hint="eastAsia" w:cs="宋体"/>
          <w:color w:val="000000" w:themeColor="text1"/>
          <w:sz w:val="21"/>
          <w:szCs w:val="21"/>
          <w:shd w:val="clear" w:color="auto" w:fill="FFFFFF"/>
          <w14:textFill>
            <w14:solidFill>
              <w14:schemeClr w14:val="tx1"/>
            </w14:solidFill>
          </w14:textFill>
        </w:rPr>
        <w:t>，厂址为</w:t>
      </w:r>
      <w:r>
        <w:rPr>
          <w:rStyle w:val="58"/>
          <w:rFonts w:hint="eastAsia" w:cs="宋体"/>
          <w:color w:val="000000" w:themeColor="text1"/>
          <w:sz w:val="21"/>
          <w:szCs w:val="21"/>
          <w:shd w:val="clear" w:color="auto" w:fill="FFFFFF"/>
          <w14:textFill>
            <w14:solidFill>
              <w14:schemeClr w14:val="tx1"/>
            </w14:solidFill>
          </w14:textFill>
        </w:rPr>
        <w:t>（生产厂址）</w:t>
      </w:r>
      <w:r>
        <w:rPr>
          <w:rFonts w:hint="eastAsia" w:cs="宋体"/>
          <w:color w:val="000000" w:themeColor="text1"/>
          <w:sz w:val="21"/>
          <w:szCs w:val="21"/>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2.</w:t>
      </w:r>
      <w:r>
        <w:rPr>
          <w:rStyle w:val="58"/>
          <w:rFonts w:hint="eastAsia" w:cs="宋体"/>
          <w:color w:val="000000" w:themeColor="text1"/>
          <w:sz w:val="21"/>
          <w:szCs w:val="21"/>
          <w:shd w:val="clear" w:color="auto" w:fill="FFFFFF"/>
          <w14:textFill>
            <w14:solidFill>
              <w14:schemeClr w14:val="tx1"/>
            </w14:solidFill>
          </w14:textFill>
        </w:rPr>
        <w:t>（产品名称2）</w:t>
      </w:r>
      <w:r>
        <w:rPr>
          <w:rFonts w:hint="eastAsia" w:cs="宋体"/>
          <w:color w:val="000000" w:themeColor="text1"/>
          <w:sz w:val="21"/>
          <w:szCs w:val="21"/>
          <w:shd w:val="clear" w:color="auto" w:fill="FFFFFF"/>
          <w14:textFill>
            <w14:solidFill>
              <w14:schemeClr w14:val="tx1"/>
            </w14:solidFill>
          </w14:textFill>
        </w:rPr>
        <w:t>，生产厂为</w:t>
      </w:r>
      <w:r>
        <w:rPr>
          <w:rStyle w:val="58"/>
          <w:rFonts w:hint="eastAsia" w:cs="宋体"/>
          <w:color w:val="000000" w:themeColor="text1"/>
          <w:sz w:val="21"/>
          <w:szCs w:val="21"/>
          <w:shd w:val="clear" w:color="auto" w:fill="FFFFFF"/>
          <w14:textFill>
            <w14:solidFill>
              <w14:schemeClr w14:val="tx1"/>
            </w14:solidFill>
          </w14:textFill>
        </w:rPr>
        <w:t>（厂名）</w:t>
      </w:r>
      <w:r>
        <w:rPr>
          <w:rFonts w:hint="eastAsia" w:cs="宋体"/>
          <w:color w:val="000000" w:themeColor="text1"/>
          <w:sz w:val="21"/>
          <w:szCs w:val="21"/>
          <w:shd w:val="clear" w:color="auto" w:fill="FFFFFF"/>
          <w14:textFill>
            <w14:solidFill>
              <w14:schemeClr w14:val="tx1"/>
            </w14:solidFill>
          </w14:textFill>
        </w:rPr>
        <w:t>，厂址为</w:t>
      </w:r>
      <w:r>
        <w:rPr>
          <w:rStyle w:val="58"/>
          <w:rFonts w:hint="eastAsia" w:cs="宋体"/>
          <w:color w:val="000000" w:themeColor="text1"/>
          <w:sz w:val="21"/>
          <w:szCs w:val="21"/>
          <w:shd w:val="clear" w:color="auto" w:fill="FFFFFF"/>
          <w14:textFill>
            <w14:solidFill>
              <w14:schemeClr w14:val="tx1"/>
            </w14:solidFill>
          </w14:textFill>
        </w:rPr>
        <w:t>（生产厂址）</w:t>
      </w:r>
      <w:r>
        <w:rPr>
          <w:rFonts w:hint="eastAsia" w:cs="宋体"/>
          <w:color w:val="000000" w:themeColor="text1"/>
          <w:sz w:val="21"/>
          <w:szCs w:val="21"/>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w:t>
      </w:r>
    </w:p>
    <w:p>
      <w:pPr>
        <w:pStyle w:val="47"/>
        <w:shd w:val="clear" w:color="auto" w:fill="FFFFFF"/>
        <w:spacing w:before="30" w:beforeAutospacing="0" w:after="30" w:afterAutospacing="0"/>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本公司（单位）对上述声明内容的真实性负责。如有虚假，愿承担相应法律责任。</w:t>
      </w:r>
    </w:p>
    <w:p>
      <w:pPr>
        <w:pStyle w:val="47"/>
        <w:shd w:val="clear" w:color="auto" w:fill="FFFFFF"/>
        <w:spacing w:before="30" w:beforeAutospacing="0" w:after="30" w:afterAutospacing="0"/>
        <w:ind w:firstLine="420"/>
        <w:jc w:val="right"/>
        <w:rPr>
          <w:rFonts w:cs="宋体"/>
          <w:color w:val="000000" w:themeColor="text1"/>
          <w:sz w:val="21"/>
          <w:szCs w:val="21"/>
          <w:shd w:val="clear" w:color="auto" w:fill="FFFFFF"/>
          <w14:textFill>
            <w14:solidFill>
              <w14:schemeClr w14:val="tx1"/>
            </w14:solidFill>
          </w14:textFill>
        </w:rPr>
      </w:pPr>
    </w:p>
    <w:p>
      <w:pPr>
        <w:pStyle w:val="47"/>
        <w:shd w:val="clear" w:color="auto" w:fill="FFFFFF"/>
        <w:spacing w:before="30" w:beforeAutospacing="0" w:after="30" w:afterAutospacing="0"/>
        <w:ind w:firstLine="420" w:firstLineChars="200"/>
        <w:jc w:val="right"/>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公司（单位）名称（盖章）：      </w:t>
      </w:r>
    </w:p>
    <w:p>
      <w:pPr>
        <w:pStyle w:val="47"/>
        <w:shd w:val="clear" w:color="auto" w:fill="FFFFFF"/>
        <w:spacing w:before="30" w:beforeAutospacing="0" w:after="30" w:afterAutospacing="0"/>
        <w:ind w:firstLine="420" w:firstLineChars="200"/>
        <w:jc w:val="right"/>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日期：　　　　　年　　月　日    </w:t>
      </w:r>
    </w:p>
    <w:p>
      <w:pPr>
        <w:pStyle w:val="47"/>
        <w:shd w:val="clear" w:color="auto" w:fill="FFFFFF"/>
        <w:spacing w:before="30" w:beforeAutospacing="0" w:after="30" w:afterAutospacing="0"/>
        <w:ind w:firstLine="420"/>
        <w:rPr>
          <w:rFonts w:cs="宋体"/>
          <w:color w:val="000000" w:themeColor="text1"/>
          <w:sz w:val="21"/>
          <w:szCs w:val="21"/>
          <w14:textFill>
            <w14:solidFill>
              <w14:schemeClr w14:val="tx1"/>
            </w14:solidFill>
          </w14:textFill>
        </w:rPr>
      </w:pPr>
    </w:p>
    <w:p>
      <w:pPr>
        <w:pStyle w:val="47"/>
        <w:shd w:val="clear" w:color="auto" w:fill="FFFFFF"/>
        <w:spacing w:before="30" w:beforeAutospacing="0" w:after="30" w:afterAutospacing="0"/>
        <w:ind w:firstLine="420"/>
        <w:rPr>
          <w:rFonts w:cs="宋体"/>
          <w:color w:val="000000" w:themeColor="text1"/>
          <w:sz w:val="21"/>
          <w:szCs w:val="21"/>
          <w14:textFill>
            <w14:solidFill>
              <w14:schemeClr w14:val="tx1"/>
            </w14:solidFill>
          </w14:textFill>
        </w:rPr>
      </w:pPr>
    </w:p>
    <w:p>
      <w:pPr>
        <w:pStyle w:val="47"/>
        <w:shd w:val="clear" w:color="auto" w:fill="FFFFFF"/>
        <w:spacing w:before="30" w:beforeAutospacing="0" w:after="30" w:afterAutospacing="0"/>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_____________________________</w:t>
      </w:r>
    </w:p>
    <w:p>
      <w:pPr>
        <w:pStyle w:val="47"/>
        <w:shd w:val="clear" w:color="auto" w:fill="FFFFFF"/>
        <w:spacing w:before="30" w:beforeAutospacing="0" w:after="30" w:afterAutospacing="0"/>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1.产品如有型号，请在“产品名称”栏一并填写。</w:t>
      </w:r>
    </w:p>
    <w:p>
      <w:pPr>
        <w:pStyle w:val="47"/>
        <w:shd w:val="clear" w:color="auto" w:fill="FFFFFF"/>
        <w:spacing w:before="30" w:beforeAutospacing="0" w:after="30" w:afterAutospacing="0"/>
        <w:ind w:firstLine="420" w:firstLineChars="200"/>
        <w:rPr>
          <w:rFonts w:cs="宋体"/>
          <w:color w:val="000000" w:themeColor="text1"/>
          <w14:textFill>
            <w14:solidFill>
              <w14:schemeClr w14:val="tx1"/>
            </w14:solidFill>
          </w14:textFill>
        </w:rPr>
      </w:pPr>
      <w:r>
        <w:rPr>
          <w:rFonts w:hint="eastAsia" w:cs="宋体"/>
          <w:color w:val="000000" w:themeColor="text1"/>
          <w:sz w:val="21"/>
          <w:szCs w:val="21"/>
          <w:shd w:val="clear" w:color="auto" w:fill="FFFFFF"/>
          <w14:textFill>
            <w14:solidFill>
              <w14:schemeClr w14:val="tx1"/>
            </w14:solidFill>
          </w14:textFill>
        </w:rPr>
        <w:t>2.生产厂名与厂址应与生产厂营业执照载明的相关信息保持一致。</w:t>
      </w:r>
    </w:p>
    <w:p>
      <w:pPr>
        <w:pStyle w:val="51"/>
        <w:ind w:firstLine="240"/>
        <w:rPr>
          <w:rFonts w:ascii="宋体" w:hAnsi="宋体" w:cs="宋体"/>
          <w:color w:val="000000" w:themeColor="text1"/>
          <w14:textFill>
            <w14:solidFill>
              <w14:schemeClr w14:val="tx1"/>
            </w14:solidFill>
          </w14:textFill>
        </w:rPr>
      </w:pPr>
    </w:p>
    <w:p>
      <w:pPr>
        <w:snapToGrid w:val="0"/>
        <w:spacing w:line="360" w:lineRule="exact"/>
        <w:ind w:firstLine="210" w:firstLineChars="100"/>
        <w:jc w:val="left"/>
        <w:rPr>
          <w:rFonts w:ascii="宋体" w:hAnsi="宋体" w:cs="宋体"/>
          <w:color w:val="000000" w:themeColor="text1"/>
          <w:szCs w:val="21"/>
          <w14:textFill>
            <w14:solidFill>
              <w14:schemeClr w14:val="tx1"/>
            </w14:solidFill>
          </w14:textFill>
        </w:rPr>
      </w:pPr>
    </w:p>
    <w:p>
      <w:pPr>
        <w:pStyle w:val="51"/>
        <w:ind w:firstLine="240"/>
        <w:rPr>
          <w:color w:val="000000" w:themeColor="text1"/>
          <w14:textFill>
            <w14:solidFill>
              <w14:schemeClr w14:val="tx1"/>
            </w14:solidFill>
          </w14:textFill>
        </w:rPr>
      </w:pPr>
    </w:p>
    <w:p>
      <w:pPr>
        <w:snapToGrid w:val="0"/>
        <w:spacing w:line="36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（18）投标人情况介绍（主要产品、技术力量、生产规模、经营业绩等，格式自拟）。</w:t>
      </w:r>
    </w:p>
    <w:p>
      <w:pPr>
        <w:snapToGrid w:val="0"/>
        <w:spacing w:line="360" w:lineRule="exact"/>
        <w:ind w:firstLine="516" w:firstLineChars="246"/>
        <w:jc w:val="left"/>
        <w:rPr>
          <w:rFonts w:ascii="宋体" w:hAnsi="宋体" w:cs="宋体"/>
          <w:color w:val="000000" w:themeColor="text1"/>
          <w:szCs w:val="21"/>
          <w14:textFill>
            <w14:solidFill>
              <w14:schemeClr w14:val="tx1"/>
            </w14:solidFill>
          </w14:textFill>
        </w:rPr>
      </w:pPr>
    </w:p>
    <w:p>
      <w:pPr>
        <w:snapToGrid w:val="0"/>
        <w:spacing w:line="360" w:lineRule="exact"/>
        <w:ind w:firstLine="516" w:firstLineChars="246"/>
        <w:jc w:val="left"/>
        <w:rPr>
          <w:rFonts w:ascii="宋体" w:hAnsi="宋体" w:cs="宋体"/>
          <w:color w:val="000000" w:themeColor="text1"/>
          <w:szCs w:val="21"/>
          <w14:textFill>
            <w14:solidFill>
              <w14:schemeClr w14:val="tx1"/>
            </w14:solidFill>
          </w14:textFill>
        </w:rPr>
      </w:pPr>
    </w:p>
    <w:p>
      <w:pPr>
        <w:snapToGrid w:val="0"/>
        <w:spacing w:line="360" w:lineRule="exact"/>
        <w:ind w:firstLine="516" w:firstLineChars="246"/>
        <w:jc w:val="left"/>
        <w:rPr>
          <w:rFonts w:ascii="宋体" w:hAnsi="宋体" w:cs="宋体"/>
          <w:color w:val="000000" w:themeColor="text1"/>
          <w:szCs w:val="21"/>
          <w14:textFill>
            <w14:solidFill>
              <w14:schemeClr w14:val="tx1"/>
            </w14:solidFill>
          </w14:textFill>
        </w:rPr>
      </w:pPr>
    </w:p>
    <w:p>
      <w:pPr>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br w:type="page"/>
      </w:r>
    </w:p>
    <w:p>
      <w:pPr>
        <w:snapToGrid w:val="0"/>
        <w:spacing w:line="360" w:lineRule="exact"/>
        <w:jc w:val="left"/>
        <w:rPr>
          <w:rFonts w:ascii="宋体" w:hAnsi="宋体" w:cs="宋体"/>
          <w:b/>
          <w:color w:val="000000" w:themeColor="text1"/>
          <w:szCs w:val="21"/>
          <w14:textFill>
            <w14:solidFill>
              <w14:schemeClr w14:val="tx1"/>
            </w14:solidFill>
          </w14:textFill>
        </w:rPr>
      </w:pPr>
    </w:p>
    <w:p>
      <w:pPr>
        <w:snapToGrid w:val="0"/>
        <w:spacing w:line="360" w:lineRule="exact"/>
        <w:ind w:firstLine="421"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三）、技术文件部分（格式）</w:t>
      </w:r>
    </w:p>
    <w:p>
      <w:pPr>
        <w:snapToGrid w:val="0"/>
        <w:spacing w:before="50" w:after="156" w:afterLines="50" w:line="36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技术响应表格式：</w:t>
      </w:r>
      <w:r>
        <w:rPr>
          <w:rFonts w:hint="eastAsia" w:ascii="宋体" w:hAnsi="宋体" w:cs="宋体"/>
          <w:b/>
          <w:color w:val="000000" w:themeColor="text1"/>
          <w:szCs w:val="21"/>
          <w14:textFill>
            <w14:solidFill>
              <w14:schemeClr w14:val="tx1"/>
            </w14:solidFill>
          </w14:textFill>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3370"/>
        <w:gridCol w:w="2863"/>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pStyle w:val="28"/>
              <w:spacing w:line="400" w:lineRule="exact"/>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项号</w:t>
            </w:r>
          </w:p>
        </w:tc>
        <w:tc>
          <w:tcPr>
            <w:tcW w:w="3370" w:type="dxa"/>
            <w:tcBorders>
              <w:top w:val="single" w:color="auto" w:sz="4" w:space="0"/>
              <w:left w:val="single" w:color="auto" w:sz="4" w:space="0"/>
              <w:bottom w:val="single" w:color="auto" w:sz="4" w:space="0"/>
              <w:right w:val="single" w:color="auto" w:sz="4" w:space="0"/>
            </w:tcBorders>
            <w:vAlign w:val="center"/>
          </w:tcPr>
          <w:p>
            <w:pPr>
              <w:pStyle w:val="28"/>
              <w:spacing w:line="400" w:lineRule="exact"/>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招标要求</w:t>
            </w:r>
          </w:p>
        </w:tc>
        <w:tc>
          <w:tcPr>
            <w:tcW w:w="2863" w:type="dxa"/>
            <w:tcBorders>
              <w:top w:val="single" w:color="auto" w:sz="4" w:space="0"/>
              <w:left w:val="single" w:color="auto" w:sz="4" w:space="0"/>
              <w:bottom w:val="single" w:color="auto" w:sz="4" w:space="0"/>
              <w:right w:val="single" w:color="auto" w:sz="4" w:space="0"/>
            </w:tcBorders>
            <w:vAlign w:val="center"/>
          </w:tcPr>
          <w:p>
            <w:pPr>
              <w:pStyle w:val="28"/>
              <w:spacing w:line="400" w:lineRule="exact"/>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应标情况</w:t>
            </w:r>
          </w:p>
        </w:tc>
        <w:tc>
          <w:tcPr>
            <w:tcW w:w="2168" w:type="dxa"/>
            <w:tcBorders>
              <w:top w:val="single" w:color="auto" w:sz="4" w:space="0"/>
              <w:left w:val="single" w:color="auto" w:sz="4" w:space="0"/>
              <w:bottom w:val="single" w:color="auto" w:sz="4" w:space="0"/>
              <w:right w:val="single" w:color="auto" w:sz="4" w:space="0"/>
            </w:tcBorders>
            <w:vAlign w:val="center"/>
          </w:tcPr>
          <w:p>
            <w:pPr>
              <w:pStyle w:val="28"/>
              <w:spacing w:line="400" w:lineRule="exact"/>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8"/>
              <w:spacing w:line="600" w:lineRule="exact"/>
              <w:ind w:left="525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370"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8"/>
              <w:spacing w:line="600" w:lineRule="exact"/>
              <w:ind w:left="5250"/>
              <w:jc w:val="center"/>
              <w:rPr>
                <w:color w:val="000000" w:themeColor="text1"/>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8"/>
              <w:spacing w:line="600" w:lineRule="exact"/>
              <w:ind w:left="5250"/>
              <w:jc w:val="center"/>
              <w:rPr>
                <w:color w:val="000000" w:themeColor="text1"/>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vAlign w:val="center"/>
          </w:tcPr>
          <w:p>
            <w:pPr>
              <w:pStyle w:val="28"/>
              <w:spacing w:line="600" w:lineRule="exact"/>
              <w:ind w:left="5250"/>
              <w:jc w:val="center"/>
              <w:rPr>
                <w:rFonts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8"/>
              <w:spacing w:line="600" w:lineRule="exact"/>
              <w:ind w:left="5250"/>
              <w:rPr>
                <w:rFonts w:hAnsi="宋体" w:cs="宋体"/>
                <w:color w:val="000000" w:themeColor="text1"/>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tcPr>
          <w:p>
            <w:pPr>
              <w:pStyle w:val="28"/>
              <w:spacing w:line="600" w:lineRule="exact"/>
              <w:ind w:left="5250"/>
              <w:rPr>
                <w:rFonts w:hAnsi="宋体" w:cs="宋体"/>
                <w:color w:val="000000" w:themeColor="text1"/>
                <w14:textFill>
                  <w14:solidFill>
                    <w14:schemeClr w14:val="tx1"/>
                  </w14:solidFill>
                </w14:textFill>
              </w:rPr>
            </w:pPr>
          </w:p>
        </w:tc>
        <w:tc>
          <w:tcPr>
            <w:tcW w:w="2863" w:type="dxa"/>
            <w:tcBorders>
              <w:top w:val="single" w:color="auto" w:sz="4" w:space="0"/>
              <w:left w:val="single" w:color="auto" w:sz="4" w:space="0"/>
              <w:bottom w:val="single" w:color="auto" w:sz="4" w:space="0"/>
              <w:right w:val="single" w:color="auto" w:sz="4" w:space="0"/>
            </w:tcBorders>
          </w:tcPr>
          <w:p>
            <w:pPr>
              <w:pStyle w:val="28"/>
              <w:spacing w:line="600" w:lineRule="exact"/>
              <w:ind w:left="525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w:t>
            </w:r>
          </w:p>
        </w:tc>
        <w:tc>
          <w:tcPr>
            <w:tcW w:w="2168" w:type="dxa"/>
            <w:tcBorders>
              <w:top w:val="single" w:color="auto" w:sz="4" w:space="0"/>
              <w:left w:val="single" w:color="auto" w:sz="4" w:space="0"/>
              <w:bottom w:val="single" w:color="auto" w:sz="4" w:space="0"/>
              <w:right w:val="single" w:color="auto" w:sz="4" w:space="0"/>
            </w:tcBorders>
          </w:tcPr>
          <w:p>
            <w:pPr>
              <w:pStyle w:val="28"/>
              <w:spacing w:line="600" w:lineRule="exact"/>
              <w:ind w:left="5250"/>
              <w:rPr>
                <w:rFonts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Borders>
              <w:top w:val="single" w:color="auto" w:sz="4" w:space="0"/>
              <w:left w:val="single" w:color="auto" w:sz="4" w:space="0"/>
              <w:bottom w:val="single" w:color="auto" w:sz="4" w:space="0"/>
              <w:right w:val="single" w:color="auto" w:sz="4" w:space="0"/>
            </w:tcBorders>
          </w:tcPr>
          <w:p>
            <w:pPr>
              <w:pStyle w:val="28"/>
              <w:spacing w:line="600" w:lineRule="exact"/>
              <w:ind w:left="5250"/>
              <w:rPr>
                <w:rFonts w:hAnsi="宋体" w:cs="宋体"/>
                <w:color w:val="000000" w:themeColor="text1"/>
                <w14:textFill>
                  <w14:solidFill>
                    <w14:schemeClr w14:val="tx1"/>
                  </w14:solidFill>
                </w14:textFill>
              </w:rPr>
            </w:pPr>
          </w:p>
        </w:tc>
        <w:tc>
          <w:tcPr>
            <w:tcW w:w="3370" w:type="dxa"/>
            <w:tcBorders>
              <w:top w:val="single" w:color="auto" w:sz="4" w:space="0"/>
              <w:left w:val="single" w:color="auto" w:sz="4" w:space="0"/>
              <w:bottom w:val="single" w:color="auto" w:sz="4" w:space="0"/>
              <w:right w:val="single" w:color="auto" w:sz="4" w:space="0"/>
            </w:tcBorders>
          </w:tcPr>
          <w:p>
            <w:pPr>
              <w:pStyle w:val="28"/>
              <w:spacing w:line="600" w:lineRule="exact"/>
              <w:ind w:left="525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w:t>
            </w:r>
          </w:p>
        </w:tc>
        <w:tc>
          <w:tcPr>
            <w:tcW w:w="2863" w:type="dxa"/>
            <w:tcBorders>
              <w:top w:val="single" w:color="auto" w:sz="4" w:space="0"/>
              <w:left w:val="single" w:color="auto" w:sz="4" w:space="0"/>
              <w:bottom w:val="single" w:color="auto" w:sz="4" w:space="0"/>
              <w:right w:val="single" w:color="auto" w:sz="4" w:space="0"/>
            </w:tcBorders>
          </w:tcPr>
          <w:p>
            <w:pPr>
              <w:pStyle w:val="28"/>
              <w:spacing w:line="600" w:lineRule="exact"/>
              <w:ind w:left="5250"/>
              <w:rPr>
                <w:rFonts w:hAnsi="宋体" w:cs="宋体"/>
                <w:color w:val="000000" w:themeColor="text1"/>
                <w14:textFill>
                  <w14:solidFill>
                    <w14:schemeClr w14:val="tx1"/>
                  </w14:solidFill>
                </w14:textFill>
              </w:rPr>
            </w:pPr>
          </w:p>
        </w:tc>
        <w:tc>
          <w:tcPr>
            <w:tcW w:w="2168" w:type="dxa"/>
            <w:tcBorders>
              <w:top w:val="single" w:color="auto" w:sz="4" w:space="0"/>
              <w:left w:val="single" w:color="auto" w:sz="4" w:space="0"/>
              <w:bottom w:val="single" w:color="auto" w:sz="4" w:space="0"/>
              <w:right w:val="single" w:color="auto" w:sz="4" w:space="0"/>
            </w:tcBorders>
          </w:tcPr>
          <w:p>
            <w:pPr>
              <w:pStyle w:val="28"/>
              <w:spacing w:line="600" w:lineRule="exact"/>
              <w:ind w:left="5250"/>
              <w:rPr>
                <w:rFonts w:hAnsi="宋体" w:cs="宋体"/>
                <w:color w:val="000000" w:themeColor="text1"/>
                <w14:textFill>
                  <w14:solidFill>
                    <w14:schemeClr w14:val="tx1"/>
                  </w14:solidFill>
                </w14:textFill>
              </w:rPr>
            </w:pPr>
          </w:p>
        </w:tc>
      </w:tr>
    </w:tbl>
    <w:p>
      <w:pPr>
        <w:pStyle w:val="19"/>
        <w:spacing w:line="360" w:lineRule="exact"/>
        <w:ind w:firstLine="421" w:firstLineChars="20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注：投标人应根据投标设备的性能指标、对照招标文件要求在技术响应表中详细列明招标要求及投标设备技术规格的响应情况，并填写“</w:t>
      </w:r>
      <w:r>
        <w:rPr>
          <w:rFonts w:hint="eastAsia" w:ascii="宋体" w:hAnsi="宋体" w:cs="宋体"/>
          <w:color w:val="000000" w:themeColor="text1"/>
          <w14:textFill>
            <w14:solidFill>
              <w14:schemeClr w14:val="tx1"/>
            </w14:solidFill>
          </w14:textFill>
        </w:rPr>
        <w:t>偏离说明”。</w:t>
      </w:r>
      <w:r>
        <w:rPr>
          <w:rFonts w:hint="eastAsia" w:ascii="宋体" w:hAnsi="宋体" w:cs="宋体"/>
          <w:color w:val="000000" w:themeColor="text1"/>
          <w:sz w:val="21"/>
          <w:szCs w:val="21"/>
          <w14:textFill>
            <w14:solidFill>
              <w14:schemeClr w14:val="tx1"/>
            </w14:solidFill>
          </w14:textFill>
        </w:rPr>
        <w:t>“偏离</w:t>
      </w:r>
      <w:r>
        <w:rPr>
          <w:rFonts w:hint="eastAsia" w:ascii="宋体" w:hAnsi="宋体" w:cs="宋体"/>
          <w:color w:val="000000" w:themeColor="text1"/>
          <w14:textFill>
            <w14:solidFill>
              <w14:schemeClr w14:val="tx1"/>
            </w14:solidFill>
          </w14:textFill>
        </w:rPr>
        <w:t>说明</w:t>
      </w:r>
      <w:r>
        <w:rPr>
          <w:rFonts w:hint="eastAsia" w:ascii="宋体" w:hAnsi="宋体" w:cs="宋体"/>
          <w:color w:val="000000" w:themeColor="text1"/>
          <w:sz w:val="21"/>
          <w:szCs w:val="21"/>
          <w14:textFill>
            <w14:solidFill>
              <w14:schemeClr w14:val="tx1"/>
            </w14:solidFill>
          </w14:textFill>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ascii="宋体" w:hAnsi="宋体" w:cs="宋体"/>
          <w:color w:val="000000" w:themeColor="text1"/>
          <w:spacing w:val="20"/>
          <w:szCs w:val="21"/>
          <w14:textFill>
            <w14:solidFill>
              <w14:schemeClr w14:val="tx1"/>
            </w14:solidFill>
          </w14:textFill>
        </w:rPr>
      </w:pPr>
    </w:p>
    <w:p>
      <w:pPr>
        <w:snapToGrid w:val="0"/>
        <w:spacing w:before="50" w:after="50" w:line="360" w:lineRule="exact"/>
        <w:ind w:firstLine="420" w:firstLineChars="200"/>
        <w:rPr>
          <w:rFonts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before="50" w:after="50" w:line="360" w:lineRule="exact"/>
        <w:ind w:firstLine="500" w:firstLineChars="200"/>
        <w:rPr>
          <w:rFonts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投标人盖章：</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日 期：</w:t>
      </w:r>
      <w:r>
        <w:rPr>
          <w:rFonts w:hint="eastAsia" w:ascii="宋体" w:hAnsi="宋体" w:cs="宋体"/>
          <w:color w:val="000000" w:themeColor="text1"/>
          <w:spacing w:val="20"/>
          <w:szCs w:val="21"/>
          <w:u w:val="single"/>
          <w14:textFill>
            <w14:solidFill>
              <w14:schemeClr w14:val="tx1"/>
            </w14:solidFill>
          </w14:textFill>
        </w:rPr>
        <w:t xml:space="preserve">            </w:t>
      </w:r>
    </w:p>
    <w:p>
      <w:pPr>
        <w:pStyle w:val="28"/>
        <w:jc w:val="center"/>
        <w:rPr>
          <w:rFonts w:hAnsi="宋体" w:cs="宋体"/>
          <w:color w:val="000000" w:themeColor="text1"/>
          <w14:textFill>
            <w14:solidFill>
              <w14:schemeClr w14:val="tx1"/>
            </w14:solidFill>
          </w14:textFill>
        </w:rPr>
      </w:pPr>
    </w:p>
    <w:p>
      <w:pPr>
        <w:snapToGrid w:val="0"/>
        <w:spacing w:before="50" w:after="156" w:afterLines="50" w:line="36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品牌</w:t>
            </w: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r>
    </w:tbl>
    <w:p>
      <w:pPr>
        <w:snapToGrid w:val="0"/>
        <w:spacing w:before="100" w:beforeAutospacing="1" w:after="100" w:afterAutospacing="1" w:line="480" w:lineRule="auto"/>
        <w:ind w:firstLine="420" w:firstLineChars="200"/>
        <w:rPr>
          <w:rFonts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before="100" w:beforeAutospacing="1" w:after="100" w:afterAutospacing="1" w:line="480" w:lineRule="auto"/>
        <w:ind w:firstLine="500" w:firstLineChars="200"/>
        <w:jc w:val="left"/>
        <w:rPr>
          <w:rFonts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投标人盖章：</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日  期：</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line="40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售后服务承诺书</w:t>
      </w:r>
      <w:r>
        <w:rPr>
          <w:rFonts w:hint="eastAsia" w:ascii="宋体" w:hAnsi="宋体" w:cs="宋体"/>
          <w:color w:val="000000" w:themeColor="text1"/>
          <w14:textFill>
            <w14:solidFill>
              <w14:schemeClr w14:val="tx1"/>
            </w14:solidFill>
          </w14:textFill>
        </w:rPr>
        <w:t>（应据项目实际要求描述如：</w:t>
      </w:r>
      <w:r>
        <w:rPr>
          <w:rFonts w:hint="eastAsia" w:ascii="宋体" w:hAnsi="宋体" w:cs="宋体"/>
          <w:color w:val="000000" w:themeColor="text1"/>
          <w:szCs w:val="21"/>
          <w14:textFill>
            <w14:solidFill>
              <w14:schemeClr w14:val="tx1"/>
            </w14:solidFill>
          </w14:textFill>
        </w:rPr>
        <w:t>投标人建议的安装、调试、验收方法或方案；技术服务、技术培训、售后服务的内容和措施等，</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color w:val="000000" w:themeColor="text1"/>
          <w:szCs w:val="21"/>
          <w14:textFill>
            <w14:solidFill>
              <w14:schemeClr w14:val="tx1"/>
            </w14:solidFill>
          </w14:textFill>
        </w:rPr>
        <w:t>；</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投标人拥有主要装备和检测设施的情况和现状（格式自拟）及项目实施人员一览表</w:t>
      </w:r>
    </w:p>
    <w:p>
      <w:pPr>
        <w:snapToGrid w:val="0"/>
        <w:spacing w:line="40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（6）优惠条件：投标人承诺给予招标人的各种优惠条件，包括备品备件、专用耗材、售后服务等方面的优惠；</w:t>
      </w:r>
    </w:p>
    <w:p>
      <w:pPr>
        <w:snapToGrid w:val="0"/>
        <w:spacing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单价</w:t>
            </w:r>
          </w:p>
        </w:tc>
        <w:tc>
          <w:tcPr>
            <w:tcW w:w="1530" w:type="dxa"/>
            <w:tcBorders>
              <w:top w:val="single" w:color="auto" w:sz="4" w:space="0"/>
              <w:left w:val="single" w:color="auto" w:sz="4" w:space="0"/>
              <w:bottom w:val="single" w:color="auto" w:sz="2" w:space="0"/>
              <w:right w:val="single" w:color="auto" w:sz="4" w:space="0"/>
            </w:tcBorders>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8"/>
              <w:snapToGrid w:val="0"/>
              <w:jc w:val="center"/>
              <w:rPr>
                <w:rFonts w:hAnsi="宋体" w:cs="宋体"/>
                <w:color w:val="000000" w:themeColor="text1"/>
                <w14:textFill>
                  <w14:solidFill>
                    <w14:schemeClr w14:val="tx1"/>
                  </w14:solidFill>
                </w14:textFill>
              </w:rPr>
            </w:pPr>
          </w:p>
        </w:tc>
        <w:tc>
          <w:tcPr>
            <w:tcW w:w="2700" w:type="dxa"/>
            <w:tcBorders>
              <w:top w:val="single" w:color="auto" w:sz="2" w:space="0"/>
              <w:left w:val="single" w:color="auto" w:sz="2" w:space="0"/>
              <w:bottom w:val="single" w:color="auto" w:sz="6" w:space="0"/>
              <w:right w:val="single" w:color="auto" w:sz="4" w:space="0"/>
            </w:tcBorders>
            <w:vAlign w:val="center"/>
          </w:tcPr>
          <w:p>
            <w:pPr>
              <w:pStyle w:val="28"/>
              <w:snapToGrid w:val="0"/>
              <w:jc w:val="center"/>
              <w:rPr>
                <w:rFonts w:hAnsi="宋体" w:cs="宋体"/>
                <w:color w:val="000000" w:themeColor="text1"/>
                <w14:textFill>
                  <w14:solidFill>
                    <w14:schemeClr w14:val="tx1"/>
                  </w14:solidFill>
                </w14:textFill>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8"/>
              <w:snapToGrid w:val="0"/>
              <w:jc w:val="center"/>
              <w:rPr>
                <w:rFonts w:hAnsi="宋体" w:cs="宋体"/>
                <w:color w:val="000000" w:themeColor="text1"/>
                <w14:textFill>
                  <w14:solidFill>
                    <w14:schemeClr w14:val="tx1"/>
                  </w14:solidFill>
                </w14:textFill>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8"/>
              <w:snapToGrid w:val="0"/>
              <w:jc w:val="center"/>
              <w:rPr>
                <w:rFonts w:hAnsi="宋体" w:cs="宋体"/>
                <w:color w:val="000000" w:themeColor="text1"/>
                <w14:textFill>
                  <w14:solidFill>
                    <w14:schemeClr w14:val="tx1"/>
                  </w14:solidFill>
                </w14:textFill>
              </w:rPr>
            </w:pPr>
          </w:p>
        </w:tc>
        <w:tc>
          <w:tcPr>
            <w:tcW w:w="1530" w:type="dxa"/>
            <w:tcBorders>
              <w:top w:val="single" w:color="auto" w:sz="2" w:space="0"/>
              <w:left w:val="single" w:color="auto" w:sz="6" w:space="0"/>
              <w:bottom w:val="single" w:color="auto" w:sz="6" w:space="0"/>
              <w:right w:val="single" w:color="auto" w:sz="2" w:space="0"/>
            </w:tcBorders>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w:t>
            </w:r>
          </w:p>
        </w:tc>
        <w:tc>
          <w:tcPr>
            <w:tcW w:w="1530" w:type="dxa"/>
            <w:tcBorders>
              <w:top w:val="single" w:color="auto" w:sz="2" w:space="0"/>
              <w:left w:val="single" w:color="auto" w:sz="6" w:space="0"/>
              <w:bottom w:val="single" w:color="auto" w:sz="6" w:space="0"/>
              <w:right w:val="single" w:color="auto" w:sz="2" w:space="0"/>
            </w:tcBorders>
            <w:vAlign w:val="center"/>
          </w:tcPr>
          <w:p>
            <w:pPr>
              <w:pStyle w:val="28"/>
              <w:snapToGrid w:val="0"/>
              <w:jc w:val="center"/>
              <w:rPr>
                <w:rFonts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8"/>
              <w:snapToGrid w:val="0"/>
              <w:jc w:val="center"/>
              <w:rPr>
                <w:rFonts w:hAnsi="宋体" w:cs="宋体"/>
                <w:color w:val="000000" w:themeColor="text1"/>
                <w14:textFill>
                  <w14:solidFill>
                    <w14:schemeClr w14:val="tx1"/>
                  </w14:solidFill>
                </w14:textFill>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8"/>
              <w:snapToGrid w:val="0"/>
              <w:jc w:val="center"/>
              <w:rPr>
                <w:rFonts w:hAnsi="宋体" w:cs="宋体"/>
                <w:color w:val="000000" w:themeColor="text1"/>
                <w14:textFill>
                  <w14:solidFill>
                    <w14:schemeClr w14:val="tx1"/>
                  </w14:solidFill>
                </w14:textFill>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8"/>
              <w:snapToGrid w:val="0"/>
              <w:jc w:val="center"/>
              <w:rPr>
                <w:rFonts w:hAnsi="宋体" w:cs="宋体"/>
                <w:color w:val="000000" w:themeColor="text1"/>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8"/>
              <w:snapToGrid w:val="0"/>
              <w:jc w:val="center"/>
              <w:rPr>
                <w:rFonts w:hAnsi="宋体" w:cs="宋体"/>
                <w:color w:val="000000" w:themeColor="text1"/>
                <w14:textFill>
                  <w14:solidFill>
                    <w14:schemeClr w14:val="tx1"/>
                  </w14:solidFill>
                </w14:textFill>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8"/>
              <w:snapToGrid w:val="0"/>
              <w:jc w:val="center"/>
              <w:rPr>
                <w:rFonts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8"/>
              <w:snapToGrid w:val="0"/>
              <w:jc w:val="center"/>
              <w:rPr>
                <w:rFonts w:hAnsi="宋体" w:cs="宋体"/>
                <w:color w:val="000000" w:themeColor="text1"/>
                <w14:textFill>
                  <w14:solidFill>
                    <w14:schemeClr w14:val="tx1"/>
                  </w14:solidFill>
                </w14:textFill>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8"/>
              <w:snapToGrid w:val="0"/>
              <w:jc w:val="center"/>
              <w:rPr>
                <w:rFonts w:hAnsi="宋体" w:cs="宋体"/>
                <w:color w:val="000000" w:themeColor="text1"/>
                <w14:textFill>
                  <w14:solidFill>
                    <w14:schemeClr w14:val="tx1"/>
                  </w14:solidFill>
                </w14:textFill>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8"/>
              <w:snapToGrid w:val="0"/>
              <w:jc w:val="center"/>
              <w:rPr>
                <w:rFonts w:hAnsi="宋体" w:cs="宋体"/>
                <w:color w:val="000000" w:themeColor="text1"/>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8"/>
              <w:snapToGrid w:val="0"/>
              <w:jc w:val="center"/>
              <w:rPr>
                <w:rFonts w:hAnsi="宋体" w:cs="宋体"/>
                <w:color w:val="000000" w:themeColor="text1"/>
                <w14:textFill>
                  <w14:solidFill>
                    <w14:schemeClr w14:val="tx1"/>
                  </w14:solidFill>
                </w14:textFill>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8"/>
              <w:snapToGrid w:val="0"/>
              <w:jc w:val="center"/>
              <w:rPr>
                <w:rFonts w:hAnsi="宋体" w:cs="宋体"/>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8"/>
              <w:snapToGrid w:val="0"/>
              <w:jc w:val="center"/>
              <w:rPr>
                <w:rFonts w:hAnsi="宋体" w:cs="宋体"/>
                <w:color w:val="000000" w:themeColor="text1"/>
                <w14:textFill>
                  <w14:solidFill>
                    <w14:schemeClr w14:val="tx1"/>
                  </w14:solidFill>
                </w14:textFill>
              </w:rPr>
            </w:pPr>
          </w:p>
        </w:tc>
      </w:tr>
    </w:tbl>
    <w:p>
      <w:pPr>
        <w:snapToGrid w:val="0"/>
        <w:spacing w:before="100" w:beforeAutospacing="1" w:after="100" w:afterAutospacing="1" w:line="360" w:lineRule="auto"/>
        <w:ind w:firstLine="420" w:firstLineChars="200"/>
        <w:rPr>
          <w:rFonts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before="100" w:beforeAutospacing="1" w:after="100" w:afterAutospacing="1" w:line="480" w:lineRule="auto"/>
        <w:ind w:firstLine="50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投标人盖章：</w:t>
      </w:r>
      <w:r>
        <w:rPr>
          <w:rFonts w:hint="eastAsia" w:ascii="宋体" w:hAnsi="宋体" w:cs="宋体"/>
          <w:color w:val="000000" w:themeColor="text1"/>
          <w:spacing w:val="20"/>
          <w:szCs w:val="21"/>
          <w:u w:val="single"/>
          <w14:textFill>
            <w14:solidFill>
              <w14:schemeClr w14:val="tx1"/>
            </w14:solidFill>
          </w14:textFill>
        </w:rPr>
        <w:t xml:space="preserve">            </w:t>
      </w:r>
      <w:r>
        <w:rPr>
          <w:rFonts w:hint="eastAsia" w:ascii="宋体" w:hAnsi="宋体" w:cs="宋体"/>
          <w:color w:val="000000" w:themeColor="text1"/>
          <w:spacing w:val="20"/>
          <w:szCs w:val="21"/>
          <w14:textFill>
            <w14:solidFill>
              <w14:schemeClr w14:val="tx1"/>
            </w14:solidFill>
          </w14:textFill>
        </w:rPr>
        <w:t xml:space="preserve">            日 期：</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spacing w:before="50" w:after="156" w:afterLines="50" w:line="360" w:lineRule="exact"/>
        <w:jc w:val="left"/>
        <w:rPr>
          <w:rFonts w:ascii="宋体" w:hAnsi="宋体" w:cs="宋体"/>
          <w:color w:val="000000" w:themeColor="text1"/>
          <w:szCs w:val="21"/>
          <w14:textFill>
            <w14:solidFill>
              <w14:schemeClr w14:val="tx1"/>
            </w14:solidFill>
          </w14:textFill>
        </w:rPr>
      </w:pPr>
    </w:p>
    <w:p>
      <w:pPr>
        <w:snapToGrid w:val="0"/>
        <w:spacing w:before="50" w:after="156" w:afterLines="50"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（7）投标人对本项目的合理化建议和改进措施（格式自拟）</w:t>
      </w:r>
    </w:p>
    <w:p>
      <w:pPr>
        <w:snapToGrid w:val="0"/>
        <w:spacing w:before="50" w:after="156" w:afterLines="50"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（8）投标人需要说明的其他文件和说明（格式自拟）</w:t>
      </w:r>
    </w:p>
    <w:p>
      <w:pPr>
        <w:snapToGrid w:val="0"/>
        <w:spacing w:line="38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▲（9）招标项目采购需求中要求必须提供的材料。（招标项目采购需求中要求必须提供的材料，据实提供）</w:t>
      </w:r>
    </w:p>
    <w:p>
      <w:pPr>
        <w:snapToGrid w:val="0"/>
        <w:spacing w:before="50" w:line="360" w:lineRule="exact"/>
        <w:jc w:val="left"/>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p>
    <w:p>
      <w:pPr>
        <w:snapToGrid w:val="0"/>
        <w:spacing w:before="156" w:beforeLines="50" w:after="50" w:line="360" w:lineRule="exact"/>
        <w:ind w:firstLine="421" w:firstLineChars="200"/>
        <w:outlineLvl w:val="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四）报价文件部分 （格式）</w:t>
      </w:r>
    </w:p>
    <w:p>
      <w:pPr>
        <w:snapToGrid w:val="0"/>
        <w:spacing w:before="156" w:beforeLines="50" w:after="50" w:line="36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（1）投标函格式：</w:t>
      </w:r>
    </w:p>
    <w:p>
      <w:pPr>
        <w:snapToGrid w:val="0"/>
        <w:spacing w:before="156" w:beforeLines="50" w:after="50" w:line="360" w:lineRule="exact"/>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 标 函</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致：</w:t>
      </w:r>
      <w:r>
        <w:rPr>
          <w:rFonts w:hint="eastAsia" w:ascii="宋体" w:hAnsi="宋体" w:cs="宋体"/>
          <w:color w:val="000000" w:themeColor="text1"/>
          <w:u w:val="single"/>
          <w14:textFill>
            <w14:solidFill>
              <w14:schemeClr w14:val="tx1"/>
            </w14:solidFill>
          </w14:textFill>
        </w:rPr>
        <w:t>广西壮族自治区政府采购中心</w:t>
      </w:r>
      <w:r>
        <w:rPr>
          <w:rFonts w:hint="eastAsia" w:ascii="宋体" w:hAnsi="宋体" w:cs="宋体"/>
          <w:color w:val="000000" w:themeColor="text1"/>
          <w:szCs w:val="21"/>
          <w14:textFill>
            <w14:solidFill>
              <w14:schemeClr w14:val="tx1"/>
            </w14:solidFill>
          </w14:textFill>
        </w:rPr>
        <w:t>：</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根据贵方为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项目的招标公告（项目编号：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），签字代表</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（全名）经正式授权并代表投标人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（投标人名称）上传并提交加密的电子投标文件一份。</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据此函，签字代表宣布同意如下：</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3.本投标有效期自开标日起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个</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日（自然日）。</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5.投标人同意按照贵方要求提供与投标有关的一切数据或资料。</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6.与本投标有关的一切正式往来信函请寄：</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邮编：</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电话：</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传真：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投标人代表姓名：</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职务：</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投标人名称(公章)：</w:t>
      </w:r>
      <w:r>
        <w:rPr>
          <w:rFonts w:hint="eastAsia" w:ascii="宋体" w:hAnsi="宋体" w:cs="宋体"/>
          <w:color w:val="000000" w:themeColor="text1"/>
          <w:szCs w:val="21"/>
          <w:u w:val="single"/>
          <w14:textFill>
            <w14:solidFill>
              <w14:schemeClr w14:val="tx1"/>
            </w14:solidFill>
          </w14:textFill>
        </w:rPr>
        <w:t xml:space="preserve">                   </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银行账号：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w:t>
      </w:r>
    </w:p>
    <w:p>
      <w:pPr>
        <w:snapToGrid w:val="0"/>
        <w:spacing w:line="5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法定代表人或委托代理人签字或签章：</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日期：</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日</w:t>
      </w:r>
    </w:p>
    <w:p>
      <w:pPr>
        <w:pStyle w:val="28"/>
        <w:snapToGrid w:val="0"/>
        <w:spacing w:line="5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(公章)</w:t>
      </w:r>
    </w:p>
    <w:p>
      <w:pPr>
        <w:pStyle w:val="28"/>
        <w:snapToGrid w:val="0"/>
        <w:spacing w:line="5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年</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月</w:t>
      </w:r>
      <w:r>
        <w:rPr>
          <w:rFonts w:hint="eastAsia" w:hAnsi="宋体" w:cs="宋体"/>
          <w:color w:val="000000" w:themeColor="text1"/>
          <w:u w:val="single"/>
          <w14:textFill>
            <w14:solidFill>
              <w14:schemeClr w14:val="tx1"/>
            </w14:solidFill>
          </w14:textFill>
        </w:rPr>
        <w:t xml:space="preserve">    </w:t>
      </w:r>
      <w:r>
        <w:rPr>
          <w:rFonts w:hint="eastAsia" w:hAnsi="宋体" w:cs="宋体"/>
          <w:color w:val="000000" w:themeColor="text1"/>
          <w14:textFill>
            <w14:solidFill>
              <w14:schemeClr w14:val="tx1"/>
            </w14:solidFill>
          </w14:textFill>
        </w:rPr>
        <w:t>日</w:t>
      </w:r>
    </w:p>
    <w:p>
      <w:pPr>
        <w:snapToGrid w:val="0"/>
        <w:spacing w:before="156" w:beforeLines="50" w:after="50" w:line="360" w:lineRule="exact"/>
        <w:rPr>
          <w:rFonts w:ascii="宋体" w:hAnsi="宋体" w:cs="宋体"/>
          <w:b/>
          <w:color w:val="000000" w:themeColor="text1"/>
          <w:szCs w:val="21"/>
          <w14:textFill>
            <w14:solidFill>
              <w14:schemeClr w14:val="tx1"/>
            </w14:solidFill>
          </w14:textFill>
        </w:rPr>
      </w:pPr>
    </w:p>
    <w:p>
      <w:pPr>
        <w:pStyle w:val="51"/>
        <w:ind w:firstLine="241"/>
        <w:rPr>
          <w:rFonts w:ascii="宋体" w:hAnsi="宋体" w:cs="宋体"/>
          <w:b/>
          <w:color w:val="000000" w:themeColor="text1"/>
          <w:szCs w:val="21"/>
          <w14:textFill>
            <w14:solidFill>
              <w14:schemeClr w14:val="tx1"/>
            </w14:solidFill>
          </w14:textFill>
        </w:rPr>
      </w:pPr>
    </w:p>
    <w:p>
      <w:pPr>
        <w:pStyle w:val="51"/>
        <w:ind w:firstLine="241"/>
        <w:rPr>
          <w:rFonts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（2）投标报价明细表格式</w:t>
      </w:r>
    </w:p>
    <w:p>
      <w:pPr>
        <w:pStyle w:val="28"/>
        <w:snapToGrid w:val="0"/>
        <w:spacing w:line="36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                                                金额单位：人民币（元）</w:t>
      </w:r>
    </w:p>
    <w:tbl>
      <w:tblPr>
        <w:tblStyle w:val="52"/>
        <w:tblW w:w="0" w:type="auto"/>
        <w:tblInd w:w="1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541"/>
        <w:gridCol w:w="649"/>
        <w:gridCol w:w="1080"/>
        <w:gridCol w:w="1080"/>
        <w:gridCol w:w="1459"/>
        <w:gridCol w:w="845"/>
        <w:gridCol w:w="18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541"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设备名称</w:t>
            </w:r>
          </w:p>
        </w:tc>
        <w:tc>
          <w:tcPr>
            <w:tcW w:w="649" w:type="dxa"/>
            <w:tcBorders>
              <w:top w:val="single" w:color="auto" w:sz="4" w:space="0"/>
              <w:left w:val="single" w:color="auto" w:sz="4" w:space="0"/>
              <w:bottom w:val="single" w:color="auto" w:sz="4" w:space="0"/>
              <w:right w:val="single" w:color="auto" w:sz="4" w:space="0"/>
            </w:tcBorders>
            <w:vAlign w:val="center"/>
          </w:tcPr>
          <w:p>
            <w:pPr>
              <w:pStyle w:val="182"/>
              <w:jc w:val="center"/>
              <w:rPr>
                <w:rFonts w:cs="宋体"/>
                <w:color w:val="000000" w:themeColor="text1"/>
                <w14:textFill>
                  <w14:solidFill>
                    <w14:schemeClr w14:val="tx1"/>
                  </w14:solidFill>
                </w14:textFill>
              </w:rPr>
            </w:pPr>
            <w:r>
              <w:rPr>
                <w:rFonts w:hint="eastAsia" w:cs="宋体"/>
                <w:b w:val="0"/>
                <w:bCs/>
                <w:color w:val="000000" w:themeColor="text1"/>
                <w14:textFill>
                  <w14:solidFill>
                    <w14:schemeClr w14:val="tx1"/>
                  </w14:solidFill>
                </w14:textFill>
              </w:rPr>
              <w:t>品牌</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生产厂家</w:t>
            </w:r>
          </w:p>
        </w:tc>
        <w:tc>
          <w:tcPr>
            <w:tcW w:w="1459"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单位及数量</w:t>
            </w:r>
          </w:p>
        </w:tc>
        <w:tc>
          <w:tcPr>
            <w:tcW w:w="845"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w:t>
            </w:r>
          </w:p>
        </w:tc>
        <w:tc>
          <w:tcPr>
            <w:tcW w:w="183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4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54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pacing w:val="20"/>
                <w:szCs w:val="21"/>
                <w14:textFill>
                  <w14:solidFill>
                    <w14:schemeClr w14:val="tx1"/>
                  </w14:solidFill>
                </w14:textFill>
              </w:rPr>
              <w:t>……</w:t>
            </w:r>
          </w:p>
        </w:tc>
        <w:tc>
          <w:tcPr>
            <w:tcW w:w="64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45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845"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c>
          <w:tcPr>
            <w:tcW w:w="1836"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cs="宋体"/>
                <w:color w:val="000000" w:themeColor="text1"/>
                <w:spacing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00" w:type="dxa"/>
            <w:gridSpan w:val="7"/>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rPr>
                <w:rFonts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14:textFill>
                  <w14:solidFill>
                    <w14:schemeClr w14:val="tx1"/>
                  </w14:solidFill>
                </w14:textFill>
              </w:rPr>
              <w:t>分标（或本项目）</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合计金额大写：</w:t>
            </w:r>
          </w:p>
        </w:tc>
        <w:tc>
          <w:tcPr>
            <w:tcW w:w="1836"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rPr>
                <w:rFonts w:ascii="宋体" w:hAnsi="宋体" w:cs="宋体"/>
                <w:color w:val="000000" w:themeColor="text1"/>
                <w:spacing w:val="2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u w:val="single"/>
                <w14:textFill>
                  <w14:solidFill>
                    <w14:schemeClr w14:val="tx1"/>
                  </w14:solidFill>
                </w14:textFill>
              </w:rPr>
              <w:t xml:space="preserve">            </w:t>
            </w:r>
          </w:p>
        </w:tc>
      </w:tr>
    </w:tbl>
    <w:p>
      <w:pPr>
        <w:tabs>
          <w:tab w:val="left" w:pos="1418"/>
        </w:tabs>
        <w:snapToGrid w:val="0"/>
        <w:ind w:left="1418" w:hanging="567"/>
        <w:jc w:val="center"/>
        <w:rPr>
          <w:rFonts w:ascii="宋体" w:hAnsi="宋体" w:cs="宋体"/>
          <w:color w:val="000000" w:themeColor="text1"/>
          <w:spacing w:val="20"/>
          <w:szCs w:val="21"/>
          <w:u w:val="single"/>
          <w14:textFill>
            <w14:solidFill>
              <w14:schemeClr w14:val="tx1"/>
            </w14:solidFill>
          </w14:textFill>
        </w:rPr>
      </w:pPr>
    </w:p>
    <w:p>
      <w:pPr>
        <w:snapToGrid w:val="0"/>
        <w:ind w:firstLine="420" w:firstLineChars="200"/>
        <w:rPr>
          <w:rFonts w:ascii="宋体" w:hAnsi="宋体" w:cs="宋体"/>
          <w:color w:val="000000" w:themeColor="text1"/>
          <w:spacing w:val="2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w:t>
      </w:r>
      <w:r>
        <w:rPr>
          <w:rFonts w:hint="eastAsia" w:ascii="宋体" w:hAnsi="宋体" w:cs="宋体"/>
          <w:color w:val="000000" w:themeColor="text1"/>
          <w:szCs w:val="21"/>
          <w:lang w:val="en"/>
          <w14:textFill>
            <w14:solidFill>
              <w14:schemeClr w14:val="tx1"/>
            </w14:solidFill>
          </w14:textFill>
        </w:rPr>
        <w:t>签字或签章</w:t>
      </w:r>
      <w:r>
        <w:rPr>
          <w:rFonts w:hint="eastAsia" w:ascii="宋体" w:hAnsi="宋体" w:cs="宋体"/>
          <w:color w:val="000000" w:themeColor="text1"/>
          <w:spacing w:val="20"/>
          <w:szCs w:val="21"/>
          <w14:textFill>
            <w14:solidFill>
              <w14:schemeClr w14:val="tx1"/>
            </w14:solidFill>
          </w14:textFill>
        </w:rPr>
        <w:t>：</w:t>
      </w:r>
      <w:r>
        <w:rPr>
          <w:rFonts w:hint="eastAsia" w:ascii="宋体" w:hAnsi="宋体" w:cs="宋体"/>
          <w:color w:val="000000" w:themeColor="text1"/>
          <w:spacing w:val="20"/>
          <w:szCs w:val="21"/>
          <w:u w:val="single"/>
          <w14:textFill>
            <w14:solidFill>
              <w14:schemeClr w14:val="tx1"/>
            </w14:solidFill>
          </w14:textFill>
        </w:rPr>
        <w:t xml:space="preserve">          </w:t>
      </w:r>
    </w:p>
    <w:p>
      <w:pPr>
        <w:snapToGrid w:val="0"/>
        <w:rPr>
          <w:rFonts w:ascii="宋体" w:hAnsi="宋体" w:cs="宋体"/>
          <w:color w:val="000000" w:themeColor="text1"/>
          <w:spacing w:val="20"/>
          <w:szCs w:val="21"/>
          <w:u w:val="single"/>
          <w14:textFill>
            <w14:solidFill>
              <w14:schemeClr w14:val="tx1"/>
            </w14:solidFill>
          </w14:textFill>
        </w:rPr>
      </w:pPr>
    </w:p>
    <w:p>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投标人盖章：                               日  期：         </w:t>
      </w:r>
    </w:p>
    <w:p>
      <w:pPr>
        <w:snapToGrid w:val="0"/>
        <w:rPr>
          <w:rFonts w:ascii="宋体" w:hAnsi="宋体" w:cs="宋体"/>
          <w:b/>
          <w:color w:val="000000" w:themeColor="text1"/>
          <w:szCs w:val="21"/>
          <w14:textFill>
            <w14:solidFill>
              <w14:schemeClr w14:val="tx1"/>
            </w14:solidFill>
          </w14:textFill>
        </w:rPr>
      </w:pPr>
    </w:p>
    <w:p>
      <w:pPr>
        <w:snapToGrid w:val="0"/>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投标人针对报价需要说明的其他文件和说明（格式自拟）</w:t>
      </w:r>
    </w:p>
    <w:p>
      <w:pPr>
        <w:snapToGrid w:val="0"/>
        <w:ind w:firstLine="421" w:firstLineChars="200"/>
        <w:rPr>
          <w:rFonts w:ascii="宋体" w:hAnsi="宋体" w:cs="宋体"/>
          <w:b/>
          <w:color w:val="000000" w:themeColor="text1"/>
          <w:szCs w:val="21"/>
          <w14:textFill>
            <w14:solidFill>
              <w14:schemeClr w14:val="tx1"/>
            </w14:solidFill>
          </w14:textFill>
        </w:rPr>
      </w:pPr>
    </w:p>
    <w:p>
      <w:pPr>
        <w:snapToGrid w:val="0"/>
        <w:spacing w:line="360" w:lineRule="exact"/>
        <w:ind w:firstLine="421" w:firstLineChars="2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（4）开标一览表</w:t>
      </w:r>
    </w:p>
    <w:p>
      <w:pPr>
        <w:snapToGrid w:val="0"/>
        <w:spacing w:line="36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开标一览表</w:t>
      </w:r>
    </w:p>
    <w:p>
      <w:pPr>
        <w:snapToGrid w:val="0"/>
        <w:spacing w:line="360" w:lineRule="exact"/>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项目名称：</w:t>
      </w:r>
    </w:p>
    <w:p>
      <w:pPr>
        <w:snapToGrid w:val="0"/>
        <w:spacing w:line="36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项目编号：                                        </w:t>
      </w:r>
    </w:p>
    <w:p>
      <w:pPr>
        <w:snapToGrid w:val="0"/>
        <w:spacing w:line="360" w:lineRule="exact"/>
        <w:ind w:firstLine="420" w:firstLineChars="200"/>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金额单位：人民币（元）</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180"/>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w:t>
            </w: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产地</w:t>
            </w: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p>
        </w:tc>
        <w:tc>
          <w:tcPr>
            <w:tcW w:w="11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bCs/>
                <w:color w:val="000000" w:themeColor="text1"/>
                <w:szCs w:val="21"/>
                <w14:textFill>
                  <w14:solidFill>
                    <w14:schemeClr w14:val="tx1"/>
                  </w14:solidFill>
                </w14:textFill>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337"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14:textFill>
                  <w14:solidFill>
                    <w14:schemeClr w14:val="tx1"/>
                  </w14:solidFill>
                </w14:textFill>
              </w:rPr>
              <w:t>分标（或本项目）</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合计金额大写：                                              ￥</w:t>
            </w:r>
            <w:r>
              <w:rPr>
                <w:rFonts w:hint="eastAsia" w:ascii="宋体" w:hAnsi="宋体" w:cs="宋体"/>
                <w:color w:val="000000" w:themeColor="text1"/>
                <w:szCs w:val="21"/>
                <w:u w:val="single"/>
                <w14:textFill>
                  <w14:solidFill>
                    <w14:schemeClr w14:val="tx1"/>
                  </w14:solidFill>
                </w14:textFill>
              </w:rPr>
              <w:t xml:space="preserve">            </w:t>
            </w:r>
          </w:p>
        </w:tc>
      </w:tr>
    </w:tbl>
    <w:p>
      <w:pPr>
        <w:snapToGrid w:val="0"/>
        <w:spacing w:line="260" w:lineRule="exact"/>
        <w:ind w:firstLine="301" w:firstLineChars="200"/>
        <w:jc w:val="left"/>
        <w:rPr>
          <w:rFonts w:ascii="宋体" w:hAnsi="宋体" w:cs="宋体"/>
          <w:b/>
          <w:bCs/>
          <w:color w:val="000000" w:themeColor="text1"/>
          <w:sz w:val="15"/>
          <w:szCs w:val="15"/>
          <w14:textFill>
            <w14:solidFill>
              <w14:schemeClr w14:val="tx1"/>
            </w14:solidFill>
          </w14:textFill>
        </w:rPr>
      </w:pPr>
      <w:bookmarkStart w:id="50" w:name="_Toc1692602126_WPSOffice_Level1"/>
      <w:bookmarkStart w:id="51" w:name="_Toc547062659_WPSOffice_Level1"/>
      <w:r>
        <w:rPr>
          <w:rFonts w:hint="eastAsia" w:ascii="宋体" w:hAnsi="宋体" w:cs="宋体"/>
          <w:b/>
          <w:bCs/>
          <w:color w:val="000000" w:themeColor="text1"/>
          <w:sz w:val="15"/>
          <w:szCs w:val="15"/>
          <w14:textFill>
            <w14:solidFill>
              <w14:schemeClr w14:val="tx1"/>
            </w14:solidFill>
          </w14:textFill>
        </w:rPr>
        <w:t>注：</w:t>
      </w:r>
      <w:bookmarkEnd w:id="50"/>
      <w:bookmarkEnd w:id="51"/>
      <w:r>
        <w:rPr>
          <w:rFonts w:hint="eastAsia" w:ascii="宋体" w:hAnsi="宋体" w:cs="宋体"/>
          <w:b/>
          <w:bCs/>
          <w:color w:val="000000" w:themeColor="text1"/>
          <w:sz w:val="15"/>
          <w:szCs w:val="15"/>
          <w14:textFill>
            <w14:solidFill>
              <w14:schemeClr w14:val="tx1"/>
            </w14:solidFill>
          </w14:textFill>
        </w:rPr>
        <w:t xml:space="preserve"> </w:t>
      </w:r>
    </w:p>
    <w:p>
      <w:pPr>
        <w:snapToGrid w:val="0"/>
        <w:spacing w:line="260" w:lineRule="exact"/>
        <w:ind w:firstLine="301" w:firstLineChars="200"/>
        <w:jc w:val="left"/>
        <w:rPr>
          <w:rFonts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1.报价一经涂改，应在涂改处加盖单位公章或者由法定代表人或授权委托人签字或签章，否则其投标作无效标处理。</w:t>
      </w:r>
    </w:p>
    <w:p>
      <w:pPr>
        <w:snapToGrid w:val="0"/>
        <w:spacing w:line="260" w:lineRule="exact"/>
        <w:ind w:firstLine="301" w:firstLineChars="200"/>
        <w:jc w:val="left"/>
        <w:rPr>
          <w:rFonts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2.凡需用专用耗材的专用设备类采购项目，应按招标文件规定的耗材量或按耗材的常规试用量提供报价。</w:t>
      </w:r>
    </w:p>
    <w:p>
      <w:pPr>
        <w:snapToGrid w:val="0"/>
        <w:spacing w:line="260" w:lineRule="exact"/>
        <w:ind w:firstLine="301" w:firstLineChars="200"/>
        <w:jc w:val="left"/>
        <w:rPr>
          <w:rFonts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3.投标费用包括项目实施所需的人工费、运输费、安装调试费、制作投标文件费、税费及其他一切费用。</w:t>
      </w:r>
    </w:p>
    <w:p>
      <w:pPr>
        <w:snapToGrid w:val="0"/>
        <w:spacing w:line="260" w:lineRule="exact"/>
        <w:ind w:firstLine="301" w:firstLineChars="200"/>
        <w:jc w:val="left"/>
        <w:rPr>
          <w:rFonts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4.以上报价应与“投标设备报价明细表”中的“投标总价”相一致。</w:t>
      </w:r>
    </w:p>
    <w:p>
      <w:pPr>
        <w:snapToGrid w:val="0"/>
        <w:spacing w:line="260" w:lineRule="exact"/>
        <w:ind w:left="-2" w:leftChars="-1" w:right="-817" w:rightChars="-389" w:firstLine="301" w:firstLineChars="200"/>
        <w:rPr>
          <w:rFonts w:ascii="宋体" w:hAnsi="宋体" w:cs="宋体"/>
          <w:b/>
          <w:bCs/>
          <w:color w:val="000000" w:themeColor="text1"/>
          <w:sz w:val="15"/>
          <w:szCs w:val="15"/>
          <w14:textFill>
            <w14:solidFill>
              <w14:schemeClr w14:val="tx1"/>
            </w14:solidFill>
          </w14:textFill>
        </w:rPr>
      </w:pPr>
      <w:r>
        <w:rPr>
          <w:rFonts w:hint="eastAsia" w:ascii="宋体" w:hAnsi="宋体" w:cs="宋体"/>
          <w:b/>
          <w:bCs/>
          <w:color w:val="000000" w:themeColor="text1"/>
          <w:sz w:val="15"/>
          <w:szCs w:val="15"/>
          <w14:textFill>
            <w14:solidFill>
              <w14:schemeClr w14:val="tx1"/>
            </w14:solidFill>
          </w14:textFill>
        </w:rPr>
        <w:t>5.项目中有多个分标的，每一分标的开标一览表必须分别按格式要求填写并签字、盖章。</w:t>
      </w:r>
    </w:p>
    <w:p>
      <w:pPr>
        <w:snapToGrid w:val="0"/>
        <w:spacing w:line="400" w:lineRule="exact"/>
        <w:ind w:left="-2" w:leftChars="-1" w:right="-817" w:rightChars="-389" w:firstLine="420" w:firstLineChars="200"/>
        <w:rPr>
          <w:rFonts w:ascii="宋体" w:hAnsi="宋体" w:cs="宋体"/>
          <w:color w:val="000000" w:themeColor="text1"/>
          <w:szCs w:val="21"/>
          <w14:textFill>
            <w14:solidFill>
              <w14:schemeClr w14:val="tx1"/>
            </w14:solidFill>
          </w14:textFill>
        </w:rPr>
      </w:pPr>
    </w:p>
    <w:p>
      <w:pPr>
        <w:snapToGrid w:val="0"/>
        <w:spacing w:line="400" w:lineRule="exact"/>
        <w:ind w:left="-2" w:leftChars="-1" w:right="-817" w:rightChars="-389"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法定代表人或委托代理人</w:t>
      </w:r>
      <w:r>
        <w:rPr>
          <w:rFonts w:hint="eastAsia" w:ascii="宋体" w:hAnsi="宋体" w:cs="宋体"/>
          <w:color w:val="000000" w:themeColor="text1"/>
          <w:szCs w:val="21"/>
          <w:lang w:val="en"/>
          <w14:textFill>
            <w14:solidFill>
              <w14:schemeClr w14:val="tx1"/>
            </w14:solidFill>
          </w14:textFill>
        </w:rPr>
        <w:t>签字或签章</w:t>
      </w:r>
      <w:r>
        <w:rPr>
          <w:rFonts w:hint="eastAsia" w:ascii="宋体" w:hAnsi="宋体" w:cs="宋体"/>
          <w:color w:val="000000" w:themeColor="text1"/>
          <w:szCs w:val="21"/>
          <w14:textFill>
            <w14:solidFill>
              <w14:schemeClr w14:val="tx1"/>
            </w14:solidFill>
          </w14:textFill>
        </w:rPr>
        <w:t>：</w:t>
      </w:r>
    </w:p>
    <w:p>
      <w:pPr>
        <w:snapToGrid w:val="0"/>
        <w:spacing w:line="400" w:lineRule="exact"/>
        <w:ind w:right="-817" w:rightChars="-389"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投标人名称（盖章）：</w:t>
      </w:r>
    </w:p>
    <w:p>
      <w:pPr>
        <w:snapToGrid w:val="0"/>
        <w:ind w:firstLine="420" w:firstLineChars="20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w:t>
      </w:r>
    </w:p>
    <w:p>
      <w:pPr>
        <w:snapToGrid w:val="0"/>
        <w:ind w:firstLine="420" w:firstLineChars="20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日期：  年   月   日 </w:t>
      </w:r>
    </w:p>
    <w:p>
      <w:pPr>
        <w:snapToGrid w:val="0"/>
        <w:ind w:firstLine="420" w:firstLineChars="200"/>
        <w:jc w:val="center"/>
        <w:rPr>
          <w:rFonts w:ascii="宋体" w:hAnsi="宋体" w:cs="宋体"/>
          <w:color w:val="000000" w:themeColor="text1"/>
          <w14:textFill>
            <w14:solidFill>
              <w14:schemeClr w14:val="tx1"/>
            </w14:solidFill>
          </w14:textFill>
        </w:rPr>
      </w:pPr>
    </w:p>
    <w:sectPr>
      <w:headerReference r:id="rId3" w:type="default"/>
      <w:footerReference r:id="rId4" w:type="default"/>
      <w:pgSz w:w="11906" w:h="16838"/>
      <w:pgMar w:top="1247" w:right="1247" w:bottom="1247" w:left="1247" w:header="1020" w:footer="90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宋体"/>
    <w:panose1 w:val="00000000000000000000"/>
    <w:charset w:val="86"/>
    <w:family w:val="auto"/>
    <w:pitch w:val="default"/>
    <w:sig w:usb0="00000000" w:usb1="00000000" w:usb2="00000010" w:usb3="00000000" w:csb0="00040000" w:csb1="00000000"/>
  </w:font>
  <w:font w:name="汉仪大黑简 regular">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创艺简黑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Ubuntu">
    <w:panose1 w:val="020B0604030602030204"/>
    <w:charset w:val="00"/>
    <w:family w:val="auto"/>
    <w:pitch w:val="default"/>
    <w:sig w:usb0="E00002FF" w:usb1="5000205B" w:usb2="00000000" w:usb3="00000000" w:csb0="2000009F" w:csb1="56010000"/>
  </w:font>
  <w:font w:name="Droid Sans">
    <w:panose1 w:val="020B0606030804020204"/>
    <w:charset w:val="00"/>
    <w:family w:val="auto"/>
    <w:pitch w:val="default"/>
    <w:sig w:usb0="E00002EF" w:usb1="4000205B" w:usb2="00000028"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4"/>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DK&#10;7XfmEgIAAAkEAAAOAAAAAAAAAAEAIAAAADUBAABkcnMvZTJvRG9jLnhtbFBLBQYAAAAABgAGAFkB&#10;AAC5BQAAAAA=&#10;">
              <v:fill on="f" focussize="0,0"/>
              <v:stroke on="f" weight="0.5pt"/>
              <v:imagedata o:title=""/>
              <o:lock v:ext="edit" aspectratio="f"/>
              <v:textbox inset="0mm,0mm,0mm,0mm" style="mso-fit-shape-to-text:t;">
                <w:txbxContent>
                  <w:p>
                    <w:pPr>
                      <w:pStyle w:val="34"/>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w:rPr>
        <w:rFonts w:hint="eastAsia"/>
      </w:rPr>
      <w:t xml:space="preserve">                         </w:t>
    </w:r>
    <w:r>
      <w:rPr>
        <w:lang w:val="en"/>
      </w:rPr>
      <w:t xml:space="preserve">                </w:t>
    </w:r>
    <w:r>
      <w:rPr>
        <w:rFonts w:hint="eastAsia"/>
        <w:lang w:val="en-US" w:eastAsia="zh-CN"/>
      </w:rPr>
      <w:t xml:space="preserve">       </w:t>
    </w:r>
    <w:r>
      <w:rPr>
        <w:rFonts w:hint="eastAsia"/>
        <w:color w:val="000000" w:themeColor="text1"/>
        <w:lang w:val="en"/>
        <w14:textFill>
          <w14:solidFill>
            <w14:schemeClr w14:val="tx1"/>
          </w14:solidFill>
        </w14:textFill>
      </w:rPr>
      <w:t>图书馆维护提升家具设备采购</w:t>
    </w:r>
    <w:r>
      <w:rPr>
        <w:rFonts w:hint="eastAsia"/>
        <w:color w:val="000000" w:themeColor="text1"/>
        <w14:textFill>
          <w14:solidFill>
            <w14:schemeClr w14:val="tx1"/>
          </w14:solidFill>
        </w14:textFill>
      </w:rPr>
      <w:t>（</w:t>
    </w:r>
    <w:r>
      <w:rPr>
        <w:rFonts w:hint="default"/>
        <w:color w:val="000000" w:themeColor="text1"/>
        <w:lang w:val="en"/>
        <w14:textFill>
          <w14:solidFill>
            <w14:schemeClr w14:val="tx1"/>
          </w14:solidFill>
        </w14:textFill>
      </w:rPr>
      <w:t>GXZC2026-G1-002774-CGZX</w:t>
    </w:r>
    <w:r>
      <w:rPr>
        <w:rFonts w:hint="eastAsia"/>
        <w:color w:val="000000" w:themeColor="text1"/>
        <w14:textFill>
          <w14:solidFill>
            <w14:schemeClr w14:val="tx1"/>
          </w14:solidFill>
        </w14:textFil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pStyle w:val="229"/>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
    <w:nsid w:val="0000000D"/>
    <w:multiLevelType w:val="multilevel"/>
    <w:tmpl w:val="0000000D"/>
    <w:lvl w:ilvl="0" w:tentative="0">
      <w:start w:val="1"/>
      <w:numFmt w:val="none"/>
      <w:pStyle w:val="237"/>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175"/>
      <w:lvlText w:val="%1.%2.%3"/>
      <w:lvlJc w:val="left"/>
      <w:pPr>
        <w:tabs>
          <w:tab w:val="left" w:pos="1418"/>
        </w:tabs>
        <w:ind w:left="1418" w:hanging="567"/>
      </w:pPr>
      <w:rPr>
        <w:rFonts w:hint="eastAsia" w:cs="Times New Roman"/>
      </w:rPr>
    </w:lvl>
    <w:lvl w:ilvl="3" w:tentative="0">
      <w:start w:val="1"/>
      <w:numFmt w:val="decimal"/>
      <w:pStyle w:val="174"/>
      <w:lvlText w:val="%1.%2.%3.%4"/>
      <w:lvlJc w:val="left"/>
      <w:pPr>
        <w:tabs>
          <w:tab w:val="left" w:pos="1984"/>
        </w:tabs>
        <w:ind w:left="1984" w:hanging="708"/>
      </w:pPr>
      <w:rPr>
        <w:rFonts w:hint="eastAsia" w:cs="Times New Roman"/>
      </w:rPr>
    </w:lvl>
    <w:lvl w:ilvl="4" w:tentative="0">
      <w:start w:val="1"/>
      <w:numFmt w:val="decimal"/>
      <w:pStyle w:val="371"/>
      <w:lvlText w:val="%1.%2.%3.%4.%5"/>
      <w:lvlJc w:val="left"/>
      <w:pPr>
        <w:tabs>
          <w:tab w:val="left" w:pos="2551"/>
        </w:tabs>
        <w:ind w:left="2551" w:hanging="850"/>
      </w:pPr>
      <w:rPr>
        <w:rFonts w:hint="eastAsia" w:cs="Times New Roman"/>
      </w:rPr>
    </w:lvl>
    <w:lvl w:ilvl="5" w:tentative="0">
      <w:start w:val="1"/>
      <w:numFmt w:val="decimal"/>
      <w:pStyle w:val="370"/>
      <w:lvlText w:val="%1.%2.%3.%4.%5.%6"/>
      <w:lvlJc w:val="left"/>
      <w:pPr>
        <w:tabs>
          <w:tab w:val="left" w:pos="3260"/>
        </w:tabs>
        <w:ind w:left="3260" w:hanging="1134"/>
      </w:pPr>
      <w:rPr>
        <w:rFonts w:hint="eastAsia" w:cs="Times New Roman"/>
      </w:rPr>
    </w:lvl>
    <w:lvl w:ilvl="6" w:tentative="0">
      <w:start w:val="1"/>
      <w:numFmt w:val="decimal"/>
      <w:pStyle w:val="443"/>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0000000E"/>
    <w:multiLevelType w:val="multilevel"/>
    <w:tmpl w:val="0000000E"/>
    <w:lvl w:ilvl="0" w:tentative="0">
      <w:start w:val="1"/>
      <w:numFmt w:val="none"/>
      <w:pStyle w:val="198"/>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149"/>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63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150"/>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472"/>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106"/>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524"/>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4">
    <w:nsid w:val="00000010"/>
    <w:multiLevelType w:val="multilevel"/>
    <w:tmpl w:val="00000010"/>
    <w:lvl w:ilvl="0" w:tentative="0">
      <w:start w:val="1"/>
      <w:numFmt w:val="none"/>
      <w:pStyle w:val="594"/>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1"/>
    <w:multiLevelType w:val="multilevel"/>
    <w:tmpl w:val="00000011"/>
    <w:lvl w:ilvl="0" w:tentative="0">
      <w:start w:val="1"/>
      <w:numFmt w:val="none"/>
      <w:pStyle w:val="545"/>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12"/>
    <w:multiLevelType w:val="multilevel"/>
    <w:tmpl w:val="00000012"/>
    <w:lvl w:ilvl="0" w:tentative="0">
      <w:start w:val="1"/>
      <w:numFmt w:val="none"/>
      <w:pStyle w:val="95"/>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13"/>
    <w:multiLevelType w:val="multilevel"/>
    <w:tmpl w:val="00000013"/>
    <w:lvl w:ilvl="0" w:tentative="0">
      <w:start w:val="1"/>
      <w:numFmt w:val="none"/>
      <w:pStyle w:val="590"/>
      <w:suff w:val="nothing"/>
      <w:lvlText w:val="%1"/>
      <w:lvlJc w:val="left"/>
      <w:rPr>
        <w:rFonts w:hint="default" w:ascii="Times New Roman" w:hAnsi="Times New Roman" w:cs="Times New Roman"/>
        <w:b/>
        <w:i w:val="0"/>
        <w:sz w:val="21"/>
      </w:rPr>
    </w:lvl>
    <w:lvl w:ilvl="1" w:tentative="0">
      <w:start w:val="1"/>
      <w:numFmt w:val="decimal"/>
      <w:pStyle w:val="121"/>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12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8">
    <w:nsid w:val="00000014"/>
    <w:multiLevelType w:val="multilevel"/>
    <w:tmpl w:val="00000014"/>
    <w:lvl w:ilvl="0" w:tentative="0">
      <w:start w:val="1"/>
      <w:numFmt w:val="none"/>
      <w:pStyle w:val="32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11A3534B"/>
    <w:multiLevelType w:val="multilevel"/>
    <w:tmpl w:val="11A3534B"/>
    <w:lvl w:ilvl="0" w:tentative="0">
      <w:start w:val="1"/>
      <w:numFmt w:val="japaneseCounting"/>
      <w:pStyle w:val="238"/>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119"/>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256"/>
      <w:lvlText w:val="%6."/>
      <w:lvlJc w:val="right"/>
      <w:pPr>
        <w:ind w:left="3156" w:hanging="420"/>
      </w:pPr>
      <w:rPr>
        <w:rFonts w:cs="Times New Roman"/>
      </w:rPr>
    </w:lvl>
    <w:lvl w:ilvl="6" w:tentative="0">
      <w:start w:val="1"/>
      <w:numFmt w:val="decimal"/>
      <w:pStyle w:val="255"/>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abstractNum w:abstractNumId="10">
    <w:nsid w:val="38A55B6A"/>
    <w:multiLevelType w:val="multilevel"/>
    <w:tmpl w:val="38A55B6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0231832"/>
    <w:multiLevelType w:val="multilevel"/>
    <w:tmpl w:val="5023183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FD7E414"/>
    <w:multiLevelType w:val="singleLevel"/>
    <w:tmpl w:val="7FD7E414"/>
    <w:lvl w:ilvl="0" w:tentative="0">
      <w:start w:val="3"/>
      <w:numFmt w:val="decimal"/>
      <w:suff w:val="nothing"/>
      <w:lvlText w:val="（%1）"/>
      <w:lvlJc w:val="left"/>
    </w:lvl>
  </w:abstractNum>
  <w:num w:numId="1">
    <w:abstractNumId w:val="6"/>
  </w:num>
  <w:num w:numId="2">
    <w:abstractNumId w:val="3"/>
  </w:num>
  <w:num w:numId="3">
    <w:abstractNumId w:val="9"/>
  </w:num>
  <w:num w:numId="4">
    <w:abstractNumId w:val="7"/>
  </w:num>
  <w:num w:numId="5">
    <w:abstractNumId w:val="1"/>
  </w:num>
  <w:num w:numId="6">
    <w:abstractNumId w:val="2"/>
  </w:num>
  <w:num w:numId="7">
    <w:abstractNumId w:val="0"/>
  </w:num>
  <w:num w:numId="8">
    <w:abstractNumId w:val="8"/>
  </w:num>
  <w:num w:numId="9">
    <w:abstractNumId w:val="5"/>
  </w:num>
  <w:num w:numId="10">
    <w:abstractNumId w:val="4"/>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351B"/>
    <w:rsid w:val="00004396"/>
    <w:rsid w:val="00004C13"/>
    <w:rsid w:val="00005283"/>
    <w:rsid w:val="000067E7"/>
    <w:rsid w:val="00006C6C"/>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4F14"/>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0AEE"/>
    <w:rsid w:val="000527AA"/>
    <w:rsid w:val="00053526"/>
    <w:rsid w:val="00053753"/>
    <w:rsid w:val="00054FBB"/>
    <w:rsid w:val="000562EF"/>
    <w:rsid w:val="00060C9D"/>
    <w:rsid w:val="000616AC"/>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341"/>
    <w:rsid w:val="000B47D8"/>
    <w:rsid w:val="000B4849"/>
    <w:rsid w:val="000B5197"/>
    <w:rsid w:val="000B522B"/>
    <w:rsid w:val="000B575D"/>
    <w:rsid w:val="000B6654"/>
    <w:rsid w:val="000B7A17"/>
    <w:rsid w:val="000B7C40"/>
    <w:rsid w:val="000C0A4D"/>
    <w:rsid w:val="000C0BB8"/>
    <w:rsid w:val="000C1A69"/>
    <w:rsid w:val="000C2614"/>
    <w:rsid w:val="000C2F7E"/>
    <w:rsid w:val="000C3F87"/>
    <w:rsid w:val="000C4082"/>
    <w:rsid w:val="000C443C"/>
    <w:rsid w:val="000D0113"/>
    <w:rsid w:val="000D09E9"/>
    <w:rsid w:val="000D14DE"/>
    <w:rsid w:val="000D266E"/>
    <w:rsid w:val="000D2B35"/>
    <w:rsid w:val="000D41E6"/>
    <w:rsid w:val="000D4886"/>
    <w:rsid w:val="000D4D2F"/>
    <w:rsid w:val="000D4FF6"/>
    <w:rsid w:val="000D6114"/>
    <w:rsid w:val="000D791A"/>
    <w:rsid w:val="000E0F3C"/>
    <w:rsid w:val="000E5C74"/>
    <w:rsid w:val="000E616D"/>
    <w:rsid w:val="000F0207"/>
    <w:rsid w:val="000F06AF"/>
    <w:rsid w:val="000F0CDD"/>
    <w:rsid w:val="000F21AB"/>
    <w:rsid w:val="000F22D5"/>
    <w:rsid w:val="000F2305"/>
    <w:rsid w:val="000F3343"/>
    <w:rsid w:val="000F3C5E"/>
    <w:rsid w:val="000F437A"/>
    <w:rsid w:val="000F52C7"/>
    <w:rsid w:val="000F6A66"/>
    <w:rsid w:val="000F6D5A"/>
    <w:rsid w:val="000F78E8"/>
    <w:rsid w:val="00101B39"/>
    <w:rsid w:val="00102179"/>
    <w:rsid w:val="00102D4D"/>
    <w:rsid w:val="00103E6E"/>
    <w:rsid w:val="00103ED1"/>
    <w:rsid w:val="00104191"/>
    <w:rsid w:val="00104282"/>
    <w:rsid w:val="001051E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06C"/>
    <w:rsid w:val="0013168C"/>
    <w:rsid w:val="001322AC"/>
    <w:rsid w:val="00133387"/>
    <w:rsid w:val="001347B6"/>
    <w:rsid w:val="00135F9C"/>
    <w:rsid w:val="00136477"/>
    <w:rsid w:val="001376A6"/>
    <w:rsid w:val="0013780B"/>
    <w:rsid w:val="00142CBD"/>
    <w:rsid w:val="00142DD5"/>
    <w:rsid w:val="00143E1C"/>
    <w:rsid w:val="00144528"/>
    <w:rsid w:val="00150D46"/>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A27"/>
    <w:rsid w:val="00172E18"/>
    <w:rsid w:val="001736D1"/>
    <w:rsid w:val="00174295"/>
    <w:rsid w:val="00174CE7"/>
    <w:rsid w:val="00174D01"/>
    <w:rsid w:val="00174F75"/>
    <w:rsid w:val="0017603B"/>
    <w:rsid w:val="00176270"/>
    <w:rsid w:val="001768D9"/>
    <w:rsid w:val="00177714"/>
    <w:rsid w:val="00182610"/>
    <w:rsid w:val="00182CAF"/>
    <w:rsid w:val="00183499"/>
    <w:rsid w:val="00183CB1"/>
    <w:rsid w:val="00184BD2"/>
    <w:rsid w:val="00184DDC"/>
    <w:rsid w:val="00184FAD"/>
    <w:rsid w:val="00185D1C"/>
    <w:rsid w:val="00186819"/>
    <w:rsid w:val="00186E22"/>
    <w:rsid w:val="0019067C"/>
    <w:rsid w:val="00192E37"/>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A5"/>
    <w:rsid w:val="001A5ED0"/>
    <w:rsid w:val="001A6383"/>
    <w:rsid w:val="001A6B95"/>
    <w:rsid w:val="001A6D77"/>
    <w:rsid w:val="001A75B7"/>
    <w:rsid w:val="001B005D"/>
    <w:rsid w:val="001B0695"/>
    <w:rsid w:val="001B074A"/>
    <w:rsid w:val="001B1069"/>
    <w:rsid w:val="001B2E6A"/>
    <w:rsid w:val="001B33BA"/>
    <w:rsid w:val="001B3BF0"/>
    <w:rsid w:val="001B3F59"/>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2F6"/>
    <w:rsid w:val="001D6DEF"/>
    <w:rsid w:val="001E05B5"/>
    <w:rsid w:val="001E07B6"/>
    <w:rsid w:val="001E0EB3"/>
    <w:rsid w:val="001E19C4"/>
    <w:rsid w:val="001E25E8"/>
    <w:rsid w:val="001E2958"/>
    <w:rsid w:val="001E303D"/>
    <w:rsid w:val="001E46C5"/>
    <w:rsid w:val="001E4813"/>
    <w:rsid w:val="001E4BE1"/>
    <w:rsid w:val="001E4D60"/>
    <w:rsid w:val="001E5155"/>
    <w:rsid w:val="001E5C81"/>
    <w:rsid w:val="001E605F"/>
    <w:rsid w:val="001E6ADD"/>
    <w:rsid w:val="001F1A52"/>
    <w:rsid w:val="001F1DEF"/>
    <w:rsid w:val="001F287E"/>
    <w:rsid w:val="001F5810"/>
    <w:rsid w:val="001F58B4"/>
    <w:rsid w:val="001F6916"/>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3FA"/>
    <w:rsid w:val="0021391C"/>
    <w:rsid w:val="00213EA5"/>
    <w:rsid w:val="00214AF2"/>
    <w:rsid w:val="00215005"/>
    <w:rsid w:val="00220DB2"/>
    <w:rsid w:val="00221419"/>
    <w:rsid w:val="0022171B"/>
    <w:rsid w:val="0022260A"/>
    <w:rsid w:val="00223D26"/>
    <w:rsid w:val="00224E2A"/>
    <w:rsid w:val="002258AD"/>
    <w:rsid w:val="002274F2"/>
    <w:rsid w:val="0022764F"/>
    <w:rsid w:val="00232AE2"/>
    <w:rsid w:val="00232B26"/>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66CE"/>
    <w:rsid w:val="0025738A"/>
    <w:rsid w:val="00262374"/>
    <w:rsid w:val="002625D6"/>
    <w:rsid w:val="002635C6"/>
    <w:rsid w:val="002638AA"/>
    <w:rsid w:val="00263EEC"/>
    <w:rsid w:val="00263F04"/>
    <w:rsid w:val="002641D5"/>
    <w:rsid w:val="0026544E"/>
    <w:rsid w:val="00265823"/>
    <w:rsid w:val="00267299"/>
    <w:rsid w:val="00267F02"/>
    <w:rsid w:val="002713ED"/>
    <w:rsid w:val="002719F5"/>
    <w:rsid w:val="00272830"/>
    <w:rsid w:val="00273AAB"/>
    <w:rsid w:val="00275FA3"/>
    <w:rsid w:val="002760B1"/>
    <w:rsid w:val="002763B7"/>
    <w:rsid w:val="00277A24"/>
    <w:rsid w:val="00277F69"/>
    <w:rsid w:val="00280AFF"/>
    <w:rsid w:val="00280E24"/>
    <w:rsid w:val="002822DB"/>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47D"/>
    <w:rsid w:val="002C3DEC"/>
    <w:rsid w:val="002C3F04"/>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6DB9"/>
    <w:rsid w:val="00317D85"/>
    <w:rsid w:val="0032013B"/>
    <w:rsid w:val="00320A79"/>
    <w:rsid w:val="00320C69"/>
    <w:rsid w:val="0032227F"/>
    <w:rsid w:val="00322607"/>
    <w:rsid w:val="00323AD5"/>
    <w:rsid w:val="00323CC8"/>
    <w:rsid w:val="0032450C"/>
    <w:rsid w:val="003248AA"/>
    <w:rsid w:val="00330512"/>
    <w:rsid w:val="00330F18"/>
    <w:rsid w:val="00332289"/>
    <w:rsid w:val="0033280F"/>
    <w:rsid w:val="0033322E"/>
    <w:rsid w:val="00333C50"/>
    <w:rsid w:val="003340AE"/>
    <w:rsid w:val="00334126"/>
    <w:rsid w:val="00334B5D"/>
    <w:rsid w:val="00334D87"/>
    <w:rsid w:val="00334E62"/>
    <w:rsid w:val="00335125"/>
    <w:rsid w:val="00336242"/>
    <w:rsid w:val="00337163"/>
    <w:rsid w:val="00337231"/>
    <w:rsid w:val="0034109C"/>
    <w:rsid w:val="00341BDA"/>
    <w:rsid w:val="00341E2A"/>
    <w:rsid w:val="00343013"/>
    <w:rsid w:val="003440F5"/>
    <w:rsid w:val="003443A2"/>
    <w:rsid w:val="00344E8D"/>
    <w:rsid w:val="003451D7"/>
    <w:rsid w:val="00346E8F"/>
    <w:rsid w:val="00347DF8"/>
    <w:rsid w:val="0035149C"/>
    <w:rsid w:val="003516D1"/>
    <w:rsid w:val="0035238F"/>
    <w:rsid w:val="003533DD"/>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0976"/>
    <w:rsid w:val="0038097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97EE3"/>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473"/>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7C1"/>
    <w:rsid w:val="003D6E3E"/>
    <w:rsid w:val="003D6F83"/>
    <w:rsid w:val="003D762B"/>
    <w:rsid w:val="003D7836"/>
    <w:rsid w:val="003D7E49"/>
    <w:rsid w:val="003E06C0"/>
    <w:rsid w:val="003E0FB9"/>
    <w:rsid w:val="003E1E52"/>
    <w:rsid w:val="003E2446"/>
    <w:rsid w:val="003E2518"/>
    <w:rsid w:val="003E2981"/>
    <w:rsid w:val="003E3EFD"/>
    <w:rsid w:val="003E439A"/>
    <w:rsid w:val="003E48FD"/>
    <w:rsid w:val="003E51E5"/>
    <w:rsid w:val="003E54C9"/>
    <w:rsid w:val="003E5C25"/>
    <w:rsid w:val="003E62E5"/>
    <w:rsid w:val="003F0145"/>
    <w:rsid w:val="003F1DE3"/>
    <w:rsid w:val="003F20E1"/>
    <w:rsid w:val="003F2427"/>
    <w:rsid w:val="003F277D"/>
    <w:rsid w:val="003F2796"/>
    <w:rsid w:val="003F4D43"/>
    <w:rsid w:val="003F5163"/>
    <w:rsid w:val="003F54C8"/>
    <w:rsid w:val="003F615D"/>
    <w:rsid w:val="003F61A4"/>
    <w:rsid w:val="003F71C4"/>
    <w:rsid w:val="003F7909"/>
    <w:rsid w:val="00400379"/>
    <w:rsid w:val="00400B2E"/>
    <w:rsid w:val="004016C2"/>
    <w:rsid w:val="00402B54"/>
    <w:rsid w:val="004031C6"/>
    <w:rsid w:val="0040458F"/>
    <w:rsid w:val="00406077"/>
    <w:rsid w:val="00406571"/>
    <w:rsid w:val="004079A3"/>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444"/>
    <w:rsid w:val="00423F66"/>
    <w:rsid w:val="00425143"/>
    <w:rsid w:val="00426CE7"/>
    <w:rsid w:val="0042729D"/>
    <w:rsid w:val="00427F4D"/>
    <w:rsid w:val="0043057C"/>
    <w:rsid w:val="00431284"/>
    <w:rsid w:val="00431CC3"/>
    <w:rsid w:val="004334AB"/>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31CE"/>
    <w:rsid w:val="00464E45"/>
    <w:rsid w:val="004653D1"/>
    <w:rsid w:val="00465522"/>
    <w:rsid w:val="0046681D"/>
    <w:rsid w:val="00466D7D"/>
    <w:rsid w:val="0046717F"/>
    <w:rsid w:val="004703A6"/>
    <w:rsid w:val="0047068F"/>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2D41"/>
    <w:rsid w:val="0049365C"/>
    <w:rsid w:val="0049414C"/>
    <w:rsid w:val="0049497E"/>
    <w:rsid w:val="00495949"/>
    <w:rsid w:val="004A17E0"/>
    <w:rsid w:val="004A1FCE"/>
    <w:rsid w:val="004A24B6"/>
    <w:rsid w:val="004A26AF"/>
    <w:rsid w:val="004A2EE5"/>
    <w:rsid w:val="004A3466"/>
    <w:rsid w:val="004A3AF0"/>
    <w:rsid w:val="004A4E25"/>
    <w:rsid w:val="004A6150"/>
    <w:rsid w:val="004A6C43"/>
    <w:rsid w:val="004A78EB"/>
    <w:rsid w:val="004A7967"/>
    <w:rsid w:val="004B0455"/>
    <w:rsid w:val="004B0AD3"/>
    <w:rsid w:val="004B2058"/>
    <w:rsid w:val="004B2131"/>
    <w:rsid w:val="004B5C40"/>
    <w:rsid w:val="004B5F99"/>
    <w:rsid w:val="004B712A"/>
    <w:rsid w:val="004B7BA0"/>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828"/>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19"/>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20B0"/>
    <w:rsid w:val="005235B8"/>
    <w:rsid w:val="00523EBC"/>
    <w:rsid w:val="00524392"/>
    <w:rsid w:val="0052573A"/>
    <w:rsid w:val="005260D7"/>
    <w:rsid w:val="005261F9"/>
    <w:rsid w:val="00526B15"/>
    <w:rsid w:val="00526F58"/>
    <w:rsid w:val="00530A95"/>
    <w:rsid w:val="00530AE2"/>
    <w:rsid w:val="00531894"/>
    <w:rsid w:val="00532B9F"/>
    <w:rsid w:val="00534CE9"/>
    <w:rsid w:val="005357FA"/>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2CB"/>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772"/>
    <w:rsid w:val="00582974"/>
    <w:rsid w:val="00583343"/>
    <w:rsid w:val="00584577"/>
    <w:rsid w:val="00584941"/>
    <w:rsid w:val="00586459"/>
    <w:rsid w:val="00586D82"/>
    <w:rsid w:val="00586DF8"/>
    <w:rsid w:val="00587FF5"/>
    <w:rsid w:val="0059009D"/>
    <w:rsid w:val="005913A3"/>
    <w:rsid w:val="00591F67"/>
    <w:rsid w:val="0059243D"/>
    <w:rsid w:val="005929A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03BE"/>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C7F2A"/>
    <w:rsid w:val="005D0B87"/>
    <w:rsid w:val="005D1E27"/>
    <w:rsid w:val="005D32EE"/>
    <w:rsid w:val="005D4C15"/>
    <w:rsid w:val="005D4E2D"/>
    <w:rsid w:val="005D7759"/>
    <w:rsid w:val="005E0367"/>
    <w:rsid w:val="005E0C8D"/>
    <w:rsid w:val="005E2FB4"/>
    <w:rsid w:val="005E4593"/>
    <w:rsid w:val="005E4905"/>
    <w:rsid w:val="005E4F18"/>
    <w:rsid w:val="005E741F"/>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38C0"/>
    <w:rsid w:val="00604293"/>
    <w:rsid w:val="00605147"/>
    <w:rsid w:val="006054AA"/>
    <w:rsid w:val="0060694B"/>
    <w:rsid w:val="00606A3E"/>
    <w:rsid w:val="00610137"/>
    <w:rsid w:val="00611EEC"/>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3F2"/>
    <w:rsid w:val="00634C48"/>
    <w:rsid w:val="0063534A"/>
    <w:rsid w:val="00635A7A"/>
    <w:rsid w:val="00636A30"/>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9E4"/>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33D8"/>
    <w:rsid w:val="00684F17"/>
    <w:rsid w:val="00687361"/>
    <w:rsid w:val="0069036C"/>
    <w:rsid w:val="00690E98"/>
    <w:rsid w:val="006922DA"/>
    <w:rsid w:val="006928F3"/>
    <w:rsid w:val="0069349E"/>
    <w:rsid w:val="0069375E"/>
    <w:rsid w:val="006957FD"/>
    <w:rsid w:val="00696FBC"/>
    <w:rsid w:val="00697318"/>
    <w:rsid w:val="006A1112"/>
    <w:rsid w:val="006A1274"/>
    <w:rsid w:val="006A3544"/>
    <w:rsid w:val="006A3552"/>
    <w:rsid w:val="006A3DCF"/>
    <w:rsid w:val="006A45EF"/>
    <w:rsid w:val="006A4A5B"/>
    <w:rsid w:val="006A54E7"/>
    <w:rsid w:val="006A5568"/>
    <w:rsid w:val="006A5955"/>
    <w:rsid w:val="006A6D2C"/>
    <w:rsid w:val="006A7173"/>
    <w:rsid w:val="006A7593"/>
    <w:rsid w:val="006B02FB"/>
    <w:rsid w:val="006B03E8"/>
    <w:rsid w:val="006B2F8A"/>
    <w:rsid w:val="006B4265"/>
    <w:rsid w:val="006B6928"/>
    <w:rsid w:val="006B6C02"/>
    <w:rsid w:val="006B7AD6"/>
    <w:rsid w:val="006C1D39"/>
    <w:rsid w:val="006C2C84"/>
    <w:rsid w:val="006C3AAF"/>
    <w:rsid w:val="006C48A4"/>
    <w:rsid w:val="006C4983"/>
    <w:rsid w:val="006C4A51"/>
    <w:rsid w:val="006C7574"/>
    <w:rsid w:val="006C7C6E"/>
    <w:rsid w:val="006D179A"/>
    <w:rsid w:val="006D20DB"/>
    <w:rsid w:val="006D297C"/>
    <w:rsid w:val="006D2F81"/>
    <w:rsid w:val="006D3323"/>
    <w:rsid w:val="006D47C1"/>
    <w:rsid w:val="006D514C"/>
    <w:rsid w:val="006D53E3"/>
    <w:rsid w:val="006D56E7"/>
    <w:rsid w:val="006D61E3"/>
    <w:rsid w:val="006D65C0"/>
    <w:rsid w:val="006D70B9"/>
    <w:rsid w:val="006E0DE1"/>
    <w:rsid w:val="006E0E3F"/>
    <w:rsid w:val="006E27C7"/>
    <w:rsid w:val="006E499D"/>
    <w:rsid w:val="006E49AC"/>
    <w:rsid w:val="006E75B1"/>
    <w:rsid w:val="006F0069"/>
    <w:rsid w:val="006F0BCB"/>
    <w:rsid w:val="006F18E6"/>
    <w:rsid w:val="006F318A"/>
    <w:rsid w:val="006F3228"/>
    <w:rsid w:val="006F3E6C"/>
    <w:rsid w:val="006F44CB"/>
    <w:rsid w:val="006F4D6A"/>
    <w:rsid w:val="006F4F82"/>
    <w:rsid w:val="006F54D4"/>
    <w:rsid w:val="006F5C64"/>
    <w:rsid w:val="006F6C54"/>
    <w:rsid w:val="006F6F11"/>
    <w:rsid w:val="006F742A"/>
    <w:rsid w:val="00700010"/>
    <w:rsid w:val="00700793"/>
    <w:rsid w:val="00700A09"/>
    <w:rsid w:val="0070138F"/>
    <w:rsid w:val="00701F4A"/>
    <w:rsid w:val="00702071"/>
    <w:rsid w:val="00702C94"/>
    <w:rsid w:val="00702EDB"/>
    <w:rsid w:val="00705BF5"/>
    <w:rsid w:val="0070643B"/>
    <w:rsid w:val="007066CA"/>
    <w:rsid w:val="00707C90"/>
    <w:rsid w:val="00710953"/>
    <w:rsid w:val="00710985"/>
    <w:rsid w:val="00711A2A"/>
    <w:rsid w:val="00711F24"/>
    <w:rsid w:val="00712FA9"/>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734"/>
    <w:rsid w:val="00782908"/>
    <w:rsid w:val="00783158"/>
    <w:rsid w:val="00783E5A"/>
    <w:rsid w:val="007846D7"/>
    <w:rsid w:val="00784D21"/>
    <w:rsid w:val="0078640E"/>
    <w:rsid w:val="00786F00"/>
    <w:rsid w:val="0078774E"/>
    <w:rsid w:val="00787EC8"/>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5FAE"/>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879"/>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896"/>
    <w:rsid w:val="00815DBB"/>
    <w:rsid w:val="00816683"/>
    <w:rsid w:val="00816D5F"/>
    <w:rsid w:val="008175BC"/>
    <w:rsid w:val="00817ABE"/>
    <w:rsid w:val="00820D6C"/>
    <w:rsid w:val="00821CED"/>
    <w:rsid w:val="008225B9"/>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15A"/>
    <w:rsid w:val="008557AC"/>
    <w:rsid w:val="008604BA"/>
    <w:rsid w:val="00861B29"/>
    <w:rsid w:val="0086275C"/>
    <w:rsid w:val="0086321D"/>
    <w:rsid w:val="008638E7"/>
    <w:rsid w:val="00863B1C"/>
    <w:rsid w:val="00863B7E"/>
    <w:rsid w:val="00865CA9"/>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8771A"/>
    <w:rsid w:val="00890974"/>
    <w:rsid w:val="00891011"/>
    <w:rsid w:val="008930D9"/>
    <w:rsid w:val="00893D60"/>
    <w:rsid w:val="0089416F"/>
    <w:rsid w:val="008947BE"/>
    <w:rsid w:val="00894F19"/>
    <w:rsid w:val="008951CB"/>
    <w:rsid w:val="0089538C"/>
    <w:rsid w:val="0089553C"/>
    <w:rsid w:val="008957F4"/>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E41E1"/>
    <w:rsid w:val="008E5964"/>
    <w:rsid w:val="008E7026"/>
    <w:rsid w:val="008F0C9D"/>
    <w:rsid w:val="008F234D"/>
    <w:rsid w:val="008F3423"/>
    <w:rsid w:val="008F3CD8"/>
    <w:rsid w:val="008F6046"/>
    <w:rsid w:val="008F65AE"/>
    <w:rsid w:val="008F69B2"/>
    <w:rsid w:val="009010D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4B59"/>
    <w:rsid w:val="00914C7F"/>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1CB"/>
    <w:rsid w:val="00955723"/>
    <w:rsid w:val="0095727D"/>
    <w:rsid w:val="009603EC"/>
    <w:rsid w:val="00960AC9"/>
    <w:rsid w:val="00960FF4"/>
    <w:rsid w:val="00961B0E"/>
    <w:rsid w:val="00964DFF"/>
    <w:rsid w:val="009679D4"/>
    <w:rsid w:val="00967CEB"/>
    <w:rsid w:val="00967E36"/>
    <w:rsid w:val="009703B7"/>
    <w:rsid w:val="00970974"/>
    <w:rsid w:val="00970AEB"/>
    <w:rsid w:val="0097111B"/>
    <w:rsid w:val="00971C6E"/>
    <w:rsid w:val="009720B2"/>
    <w:rsid w:val="00972210"/>
    <w:rsid w:val="009754D1"/>
    <w:rsid w:val="00975DAD"/>
    <w:rsid w:val="009768E6"/>
    <w:rsid w:val="00976D96"/>
    <w:rsid w:val="0097732F"/>
    <w:rsid w:val="00977E98"/>
    <w:rsid w:val="00977EB1"/>
    <w:rsid w:val="009803BE"/>
    <w:rsid w:val="00980591"/>
    <w:rsid w:val="0098196C"/>
    <w:rsid w:val="009836E0"/>
    <w:rsid w:val="009838E0"/>
    <w:rsid w:val="00983BDB"/>
    <w:rsid w:val="00983E29"/>
    <w:rsid w:val="00983E2A"/>
    <w:rsid w:val="00984412"/>
    <w:rsid w:val="00985760"/>
    <w:rsid w:val="00986AD6"/>
    <w:rsid w:val="00986C23"/>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096"/>
    <w:rsid w:val="009A51D0"/>
    <w:rsid w:val="009A5980"/>
    <w:rsid w:val="009A5B6E"/>
    <w:rsid w:val="009A5F36"/>
    <w:rsid w:val="009A608B"/>
    <w:rsid w:val="009A7F09"/>
    <w:rsid w:val="009B002A"/>
    <w:rsid w:val="009B0347"/>
    <w:rsid w:val="009B147B"/>
    <w:rsid w:val="009B1D1C"/>
    <w:rsid w:val="009B2F1D"/>
    <w:rsid w:val="009B30DA"/>
    <w:rsid w:val="009B377C"/>
    <w:rsid w:val="009B393E"/>
    <w:rsid w:val="009B4659"/>
    <w:rsid w:val="009B4F71"/>
    <w:rsid w:val="009B4F7A"/>
    <w:rsid w:val="009B5DC2"/>
    <w:rsid w:val="009B6E7E"/>
    <w:rsid w:val="009B7DB2"/>
    <w:rsid w:val="009C05C7"/>
    <w:rsid w:val="009C0CFC"/>
    <w:rsid w:val="009C1692"/>
    <w:rsid w:val="009C3ABD"/>
    <w:rsid w:val="009C3BDC"/>
    <w:rsid w:val="009C3E70"/>
    <w:rsid w:val="009C3F33"/>
    <w:rsid w:val="009C4FE3"/>
    <w:rsid w:val="009C63D1"/>
    <w:rsid w:val="009C6400"/>
    <w:rsid w:val="009C6F48"/>
    <w:rsid w:val="009D014A"/>
    <w:rsid w:val="009D176D"/>
    <w:rsid w:val="009D2189"/>
    <w:rsid w:val="009D45E1"/>
    <w:rsid w:val="009D5BEC"/>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488B"/>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6D5"/>
    <w:rsid w:val="00A708A9"/>
    <w:rsid w:val="00A70CDA"/>
    <w:rsid w:val="00A7124C"/>
    <w:rsid w:val="00A727CD"/>
    <w:rsid w:val="00A72D12"/>
    <w:rsid w:val="00A7370E"/>
    <w:rsid w:val="00A73BA5"/>
    <w:rsid w:val="00A73D47"/>
    <w:rsid w:val="00A74F26"/>
    <w:rsid w:val="00A75202"/>
    <w:rsid w:val="00A753B5"/>
    <w:rsid w:val="00A75A41"/>
    <w:rsid w:val="00A75D09"/>
    <w:rsid w:val="00A76667"/>
    <w:rsid w:val="00A804CF"/>
    <w:rsid w:val="00A8311A"/>
    <w:rsid w:val="00A83438"/>
    <w:rsid w:val="00A84639"/>
    <w:rsid w:val="00A84780"/>
    <w:rsid w:val="00A851BA"/>
    <w:rsid w:val="00A857BD"/>
    <w:rsid w:val="00A85B02"/>
    <w:rsid w:val="00A87D12"/>
    <w:rsid w:val="00A90FF8"/>
    <w:rsid w:val="00A91945"/>
    <w:rsid w:val="00A92BD8"/>
    <w:rsid w:val="00A92FD6"/>
    <w:rsid w:val="00A9372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4DCB"/>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C27"/>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5E2"/>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07D8"/>
    <w:rsid w:val="00B611C8"/>
    <w:rsid w:val="00B61370"/>
    <w:rsid w:val="00B61CA9"/>
    <w:rsid w:val="00B622B0"/>
    <w:rsid w:val="00B6234B"/>
    <w:rsid w:val="00B62B95"/>
    <w:rsid w:val="00B62C0D"/>
    <w:rsid w:val="00B64AA6"/>
    <w:rsid w:val="00B64D88"/>
    <w:rsid w:val="00B64EFA"/>
    <w:rsid w:val="00B65F6E"/>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6C5"/>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96DDF"/>
    <w:rsid w:val="00BA0C77"/>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486"/>
    <w:rsid w:val="00BB360D"/>
    <w:rsid w:val="00BB68A1"/>
    <w:rsid w:val="00BB6959"/>
    <w:rsid w:val="00BB756A"/>
    <w:rsid w:val="00BC019E"/>
    <w:rsid w:val="00BC09AA"/>
    <w:rsid w:val="00BC2C85"/>
    <w:rsid w:val="00BC523E"/>
    <w:rsid w:val="00BC640C"/>
    <w:rsid w:val="00BC6DC8"/>
    <w:rsid w:val="00BD0434"/>
    <w:rsid w:val="00BD0474"/>
    <w:rsid w:val="00BD04E7"/>
    <w:rsid w:val="00BD0B1E"/>
    <w:rsid w:val="00BD14B5"/>
    <w:rsid w:val="00BD24D8"/>
    <w:rsid w:val="00BD308D"/>
    <w:rsid w:val="00BD3A66"/>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2CD"/>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4E7C"/>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5E25"/>
    <w:rsid w:val="00C56782"/>
    <w:rsid w:val="00C56859"/>
    <w:rsid w:val="00C57049"/>
    <w:rsid w:val="00C62051"/>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3AC2"/>
    <w:rsid w:val="00C7435D"/>
    <w:rsid w:val="00C75659"/>
    <w:rsid w:val="00C7621F"/>
    <w:rsid w:val="00C778FD"/>
    <w:rsid w:val="00C82082"/>
    <w:rsid w:val="00C84787"/>
    <w:rsid w:val="00C85C0D"/>
    <w:rsid w:val="00C86B35"/>
    <w:rsid w:val="00C87746"/>
    <w:rsid w:val="00C87BE8"/>
    <w:rsid w:val="00C87DFE"/>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2AF0"/>
    <w:rsid w:val="00CA3113"/>
    <w:rsid w:val="00CA3211"/>
    <w:rsid w:val="00CA40E3"/>
    <w:rsid w:val="00CA466F"/>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4C2"/>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E774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6C57"/>
    <w:rsid w:val="00D16F72"/>
    <w:rsid w:val="00D173E9"/>
    <w:rsid w:val="00D17602"/>
    <w:rsid w:val="00D179B4"/>
    <w:rsid w:val="00D17B7B"/>
    <w:rsid w:val="00D17BE1"/>
    <w:rsid w:val="00D20A9C"/>
    <w:rsid w:val="00D21257"/>
    <w:rsid w:val="00D214A7"/>
    <w:rsid w:val="00D21C95"/>
    <w:rsid w:val="00D21E84"/>
    <w:rsid w:val="00D21F58"/>
    <w:rsid w:val="00D2256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37DD"/>
    <w:rsid w:val="00D3469F"/>
    <w:rsid w:val="00D34A1D"/>
    <w:rsid w:val="00D34AC9"/>
    <w:rsid w:val="00D36385"/>
    <w:rsid w:val="00D366AD"/>
    <w:rsid w:val="00D36BE4"/>
    <w:rsid w:val="00D374D6"/>
    <w:rsid w:val="00D37593"/>
    <w:rsid w:val="00D400B4"/>
    <w:rsid w:val="00D405D3"/>
    <w:rsid w:val="00D41D1C"/>
    <w:rsid w:val="00D4437E"/>
    <w:rsid w:val="00D4735E"/>
    <w:rsid w:val="00D475E7"/>
    <w:rsid w:val="00D477F2"/>
    <w:rsid w:val="00D47CE1"/>
    <w:rsid w:val="00D47DFD"/>
    <w:rsid w:val="00D5010D"/>
    <w:rsid w:val="00D510C6"/>
    <w:rsid w:val="00D51D19"/>
    <w:rsid w:val="00D52BA1"/>
    <w:rsid w:val="00D53788"/>
    <w:rsid w:val="00D54C77"/>
    <w:rsid w:val="00D5564F"/>
    <w:rsid w:val="00D55D76"/>
    <w:rsid w:val="00D567F2"/>
    <w:rsid w:val="00D57548"/>
    <w:rsid w:val="00D57668"/>
    <w:rsid w:val="00D57D69"/>
    <w:rsid w:val="00D601C2"/>
    <w:rsid w:val="00D60203"/>
    <w:rsid w:val="00D60DD2"/>
    <w:rsid w:val="00D640C6"/>
    <w:rsid w:val="00D64B0D"/>
    <w:rsid w:val="00D65737"/>
    <w:rsid w:val="00D65A14"/>
    <w:rsid w:val="00D66A45"/>
    <w:rsid w:val="00D67299"/>
    <w:rsid w:val="00D672DE"/>
    <w:rsid w:val="00D702F1"/>
    <w:rsid w:val="00D70F4D"/>
    <w:rsid w:val="00D7444D"/>
    <w:rsid w:val="00D7467B"/>
    <w:rsid w:val="00D774D5"/>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0893"/>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0798"/>
    <w:rsid w:val="00DB3C86"/>
    <w:rsid w:val="00DB441F"/>
    <w:rsid w:val="00DB47D4"/>
    <w:rsid w:val="00DB52FB"/>
    <w:rsid w:val="00DB58C3"/>
    <w:rsid w:val="00DB596C"/>
    <w:rsid w:val="00DB5D63"/>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27B5"/>
    <w:rsid w:val="00DD319E"/>
    <w:rsid w:val="00DD3822"/>
    <w:rsid w:val="00DD47C8"/>
    <w:rsid w:val="00DD5B72"/>
    <w:rsid w:val="00DD63AD"/>
    <w:rsid w:val="00DD6D7D"/>
    <w:rsid w:val="00DD7788"/>
    <w:rsid w:val="00DE0272"/>
    <w:rsid w:val="00DE0CDA"/>
    <w:rsid w:val="00DE0E9B"/>
    <w:rsid w:val="00DE126E"/>
    <w:rsid w:val="00DE1CA3"/>
    <w:rsid w:val="00DE30F1"/>
    <w:rsid w:val="00DE3453"/>
    <w:rsid w:val="00DE3D73"/>
    <w:rsid w:val="00DE5677"/>
    <w:rsid w:val="00DE6A78"/>
    <w:rsid w:val="00DE71D8"/>
    <w:rsid w:val="00DF0380"/>
    <w:rsid w:val="00DF124D"/>
    <w:rsid w:val="00DF1B68"/>
    <w:rsid w:val="00DF1DDC"/>
    <w:rsid w:val="00DF1DE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4441"/>
    <w:rsid w:val="00E06627"/>
    <w:rsid w:val="00E071EA"/>
    <w:rsid w:val="00E10104"/>
    <w:rsid w:val="00E1111D"/>
    <w:rsid w:val="00E125CE"/>
    <w:rsid w:val="00E12902"/>
    <w:rsid w:val="00E200D8"/>
    <w:rsid w:val="00E209AD"/>
    <w:rsid w:val="00E223EF"/>
    <w:rsid w:val="00E229D6"/>
    <w:rsid w:val="00E23E93"/>
    <w:rsid w:val="00E245D6"/>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6C4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66BC"/>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B13"/>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6C2"/>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1802"/>
    <w:rsid w:val="00ED2178"/>
    <w:rsid w:val="00ED30DB"/>
    <w:rsid w:val="00ED3481"/>
    <w:rsid w:val="00ED605D"/>
    <w:rsid w:val="00ED74C8"/>
    <w:rsid w:val="00ED7912"/>
    <w:rsid w:val="00EE01E1"/>
    <w:rsid w:val="00EE0265"/>
    <w:rsid w:val="00EE077C"/>
    <w:rsid w:val="00EE1380"/>
    <w:rsid w:val="00EE3E44"/>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6D7"/>
    <w:rsid w:val="00F21E44"/>
    <w:rsid w:val="00F22A86"/>
    <w:rsid w:val="00F239B7"/>
    <w:rsid w:val="00F23F9C"/>
    <w:rsid w:val="00F2475E"/>
    <w:rsid w:val="00F24890"/>
    <w:rsid w:val="00F25268"/>
    <w:rsid w:val="00F26AD2"/>
    <w:rsid w:val="00F26ED7"/>
    <w:rsid w:val="00F274FC"/>
    <w:rsid w:val="00F31377"/>
    <w:rsid w:val="00F316A6"/>
    <w:rsid w:val="00F317AE"/>
    <w:rsid w:val="00F32023"/>
    <w:rsid w:val="00F33A3F"/>
    <w:rsid w:val="00F35454"/>
    <w:rsid w:val="00F35FF7"/>
    <w:rsid w:val="00F36C01"/>
    <w:rsid w:val="00F3740F"/>
    <w:rsid w:val="00F414C4"/>
    <w:rsid w:val="00F41CC9"/>
    <w:rsid w:val="00F41D6C"/>
    <w:rsid w:val="00F41DBF"/>
    <w:rsid w:val="00F420C4"/>
    <w:rsid w:val="00F42956"/>
    <w:rsid w:val="00F439E7"/>
    <w:rsid w:val="00F44068"/>
    <w:rsid w:val="00F4494D"/>
    <w:rsid w:val="00F44CDF"/>
    <w:rsid w:val="00F453B3"/>
    <w:rsid w:val="00F45E42"/>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4721"/>
    <w:rsid w:val="00F85EF1"/>
    <w:rsid w:val="00F86CC6"/>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3A9"/>
    <w:rsid w:val="00FA5936"/>
    <w:rsid w:val="00FA70A0"/>
    <w:rsid w:val="00FA72BC"/>
    <w:rsid w:val="00FA7C70"/>
    <w:rsid w:val="00FB08C2"/>
    <w:rsid w:val="00FB0A11"/>
    <w:rsid w:val="00FB1F7C"/>
    <w:rsid w:val="00FB42A7"/>
    <w:rsid w:val="00FB4566"/>
    <w:rsid w:val="00FB48F4"/>
    <w:rsid w:val="00FB4D22"/>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30E2"/>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916"/>
    <w:rsid w:val="00FE6A14"/>
    <w:rsid w:val="00FE6E8F"/>
    <w:rsid w:val="00FE7251"/>
    <w:rsid w:val="00FE7808"/>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3E61E2"/>
    <w:rsid w:val="01A26771"/>
    <w:rsid w:val="01AD4F39"/>
    <w:rsid w:val="01C03306"/>
    <w:rsid w:val="01C310E7"/>
    <w:rsid w:val="02146CE3"/>
    <w:rsid w:val="03291083"/>
    <w:rsid w:val="037E689E"/>
    <w:rsid w:val="03ED241C"/>
    <w:rsid w:val="040B3AF1"/>
    <w:rsid w:val="04275653"/>
    <w:rsid w:val="04AF4A55"/>
    <w:rsid w:val="04B70785"/>
    <w:rsid w:val="04B83003"/>
    <w:rsid w:val="04E35A1E"/>
    <w:rsid w:val="04FA52B7"/>
    <w:rsid w:val="056C5150"/>
    <w:rsid w:val="05806B36"/>
    <w:rsid w:val="05873034"/>
    <w:rsid w:val="05F5B0AC"/>
    <w:rsid w:val="062C51A3"/>
    <w:rsid w:val="06EF5174"/>
    <w:rsid w:val="073C7668"/>
    <w:rsid w:val="075D1031"/>
    <w:rsid w:val="07F16915"/>
    <w:rsid w:val="08185842"/>
    <w:rsid w:val="08240426"/>
    <w:rsid w:val="084038D7"/>
    <w:rsid w:val="08BBF491"/>
    <w:rsid w:val="08D13DE0"/>
    <w:rsid w:val="097D1872"/>
    <w:rsid w:val="09FC668A"/>
    <w:rsid w:val="0A2F0DBE"/>
    <w:rsid w:val="0AEF9229"/>
    <w:rsid w:val="0B3B9676"/>
    <w:rsid w:val="0B75578D"/>
    <w:rsid w:val="0BDA11FD"/>
    <w:rsid w:val="0C041CFF"/>
    <w:rsid w:val="0C254764"/>
    <w:rsid w:val="0C6A378B"/>
    <w:rsid w:val="0C9713B3"/>
    <w:rsid w:val="0CBE3DA1"/>
    <w:rsid w:val="0CE20369"/>
    <w:rsid w:val="0D242541"/>
    <w:rsid w:val="0D464D9C"/>
    <w:rsid w:val="0D5A25F6"/>
    <w:rsid w:val="0D603BD0"/>
    <w:rsid w:val="0DC92072"/>
    <w:rsid w:val="0DFBDADE"/>
    <w:rsid w:val="0E272EC6"/>
    <w:rsid w:val="0E7F22C9"/>
    <w:rsid w:val="0E8D2557"/>
    <w:rsid w:val="0EF4169C"/>
    <w:rsid w:val="0F000F7B"/>
    <w:rsid w:val="0F00541F"/>
    <w:rsid w:val="0F827BE2"/>
    <w:rsid w:val="0FA22032"/>
    <w:rsid w:val="0FAD9DA3"/>
    <w:rsid w:val="0FE224EF"/>
    <w:rsid w:val="0FF35CB0"/>
    <w:rsid w:val="104B091B"/>
    <w:rsid w:val="10523E33"/>
    <w:rsid w:val="10FD715E"/>
    <w:rsid w:val="1130093A"/>
    <w:rsid w:val="113737E0"/>
    <w:rsid w:val="115B3EEF"/>
    <w:rsid w:val="115F2490"/>
    <w:rsid w:val="11683B24"/>
    <w:rsid w:val="11804676"/>
    <w:rsid w:val="118D1957"/>
    <w:rsid w:val="11901C85"/>
    <w:rsid w:val="11A91F21"/>
    <w:rsid w:val="120E7E53"/>
    <w:rsid w:val="126F47D8"/>
    <w:rsid w:val="12BB3B36"/>
    <w:rsid w:val="13045DA8"/>
    <w:rsid w:val="1318202A"/>
    <w:rsid w:val="133C3906"/>
    <w:rsid w:val="137A2AC6"/>
    <w:rsid w:val="13810AA4"/>
    <w:rsid w:val="13C63790"/>
    <w:rsid w:val="13EB21F9"/>
    <w:rsid w:val="14103A0E"/>
    <w:rsid w:val="14BD0D6B"/>
    <w:rsid w:val="14C07878"/>
    <w:rsid w:val="14DA77BA"/>
    <w:rsid w:val="153C6A85"/>
    <w:rsid w:val="154B17EF"/>
    <w:rsid w:val="157F1A49"/>
    <w:rsid w:val="15B64A89"/>
    <w:rsid w:val="15BF0AAE"/>
    <w:rsid w:val="15CDBDC8"/>
    <w:rsid w:val="160C22A3"/>
    <w:rsid w:val="161377E5"/>
    <w:rsid w:val="1629143C"/>
    <w:rsid w:val="16670663"/>
    <w:rsid w:val="16742EED"/>
    <w:rsid w:val="16FD73B0"/>
    <w:rsid w:val="173014EC"/>
    <w:rsid w:val="17BDADFB"/>
    <w:rsid w:val="17BEC69B"/>
    <w:rsid w:val="17C96C63"/>
    <w:rsid w:val="17D47B03"/>
    <w:rsid w:val="17DF1EA9"/>
    <w:rsid w:val="17FE183B"/>
    <w:rsid w:val="18346575"/>
    <w:rsid w:val="184E2D57"/>
    <w:rsid w:val="189B3D09"/>
    <w:rsid w:val="18AE1E77"/>
    <w:rsid w:val="19791A18"/>
    <w:rsid w:val="197D4A52"/>
    <w:rsid w:val="19A90B8D"/>
    <w:rsid w:val="19CFFD71"/>
    <w:rsid w:val="1A7E085D"/>
    <w:rsid w:val="1A8E7D82"/>
    <w:rsid w:val="1ABB824F"/>
    <w:rsid w:val="1B0B4F2F"/>
    <w:rsid w:val="1B6FAA61"/>
    <w:rsid w:val="1B88400E"/>
    <w:rsid w:val="1BAB04C0"/>
    <w:rsid w:val="1BCFCF31"/>
    <w:rsid w:val="1BDA3BC5"/>
    <w:rsid w:val="1BEC4D61"/>
    <w:rsid w:val="1BEE499C"/>
    <w:rsid w:val="1BEE6E5A"/>
    <w:rsid w:val="1BFF6D08"/>
    <w:rsid w:val="1CDEDA0E"/>
    <w:rsid w:val="1CF94428"/>
    <w:rsid w:val="1CFBAF00"/>
    <w:rsid w:val="1D3A679C"/>
    <w:rsid w:val="1D3B6AA2"/>
    <w:rsid w:val="1D886D0B"/>
    <w:rsid w:val="1DBF436D"/>
    <w:rsid w:val="1DBF78BF"/>
    <w:rsid w:val="1DE13D40"/>
    <w:rsid w:val="1DEFB4C7"/>
    <w:rsid w:val="1DEFBE59"/>
    <w:rsid w:val="1DFD7FE0"/>
    <w:rsid w:val="1DFFB513"/>
    <w:rsid w:val="1E355346"/>
    <w:rsid w:val="1E3D321B"/>
    <w:rsid w:val="1E7D713A"/>
    <w:rsid w:val="1E7E1EBC"/>
    <w:rsid w:val="1EE32430"/>
    <w:rsid w:val="1EF10CB1"/>
    <w:rsid w:val="1F662458"/>
    <w:rsid w:val="1F880C0A"/>
    <w:rsid w:val="1FBF7375"/>
    <w:rsid w:val="1FEE6CB0"/>
    <w:rsid w:val="1FF83724"/>
    <w:rsid w:val="1FF9A8E2"/>
    <w:rsid w:val="1FFF2B4F"/>
    <w:rsid w:val="21470C8B"/>
    <w:rsid w:val="214A7396"/>
    <w:rsid w:val="21703D3E"/>
    <w:rsid w:val="218F4931"/>
    <w:rsid w:val="219E062F"/>
    <w:rsid w:val="21BFC071"/>
    <w:rsid w:val="21CA5B20"/>
    <w:rsid w:val="21ED4685"/>
    <w:rsid w:val="221072CF"/>
    <w:rsid w:val="22286399"/>
    <w:rsid w:val="22596EC8"/>
    <w:rsid w:val="22833F45"/>
    <w:rsid w:val="233708A3"/>
    <w:rsid w:val="24031153"/>
    <w:rsid w:val="240C40F1"/>
    <w:rsid w:val="24297A7C"/>
    <w:rsid w:val="24521E21"/>
    <w:rsid w:val="249064A5"/>
    <w:rsid w:val="2577011E"/>
    <w:rsid w:val="25AD2A5D"/>
    <w:rsid w:val="25CE052F"/>
    <w:rsid w:val="25D61C0E"/>
    <w:rsid w:val="26033432"/>
    <w:rsid w:val="261A4BC0"/>
    <w:rsid w:val="261D50CD"/>
    <w:rsid w:val="26260A56"/>
    <w:rsid w:val="262E41C8"/>
    <w:rsid w:val="263C27F3"/>
    <w:rsid w:val="264E3873"/>
    <w:rsid w:val="267A5045"/>
    <w:rsid w:val="26EE8D71"/>
    <w:rsid w:val="26F708A4"/>
    <w:rsid w:val="270F7B55"/>
    <w:rsid w:val="2727187B"/>
    <w:rsid w:val="27321A96"/>
    <w:rsid w:val="2732EE28"/>
    <w:rsid w:val="27370766"/>
    <w:rsid w:val="275F976D"/>
    <w:rsid w:val="2776915C"/>
    <w:rsid w:val="279351FA"/>
    <w:rsid w:val="27B506FD"/>
    <w:rsid w:val="27B96C35"/>
    <w:rsid w:val="27BD0BC5"/>
    <w:rsid w:val="27D05536"/>
    <w:rsid w:val="27DB2ADC"/>
    <w:rsid w:val="27EFA6FC"/>
    <w:rsid w:val="27EFDAF0"/>
    <w:rsid w:val="28A013AD"/>
    <w:rsid w:val="28F26DCF"/>
    <w:rsid w:val="29D2181C"/>
    <w:rsid w:val="29DF4157"/>
    <w:rsid w:val="29DFDC0C"/>
    <w:rsid w:val="29FF340B"/>
    <w:rsid w:val="2ACF24D3"/>
    <w:rsid w:val="2B593A95"/>
    <w:rsid w:val="2B6651A0"/>
    <w:rsid w:val="2B8D621E"/>
    <w:rsid w:val="2BA95CC2"/>
    <w:rsid w:val="2BB83C32"/>
    <w:rsid w:val="2BFF6160"/>
    <w:rsid w:val="2C041C52"/>
    <w:rsid w:val="2C77716D"/>
    <w:rsid w:val="2CC7271F"/>
    <w:rsid w:val="2CCB6C31"/>
    <w:rsid w:val="2CD72920"/>
    <w:rsid w:val="2D223F4B"/>
    <w:rsid w:val="2D4F15F3"/>
    <w:rsid w:val="2D7D3CE6"/>
    <w:rsid w:val="2D7F49AD"/>
    <w:rsid w:val="2D900DFC"/>
    <w:rsid w:val="2DB7A765"/>
    <w:rsid w:val="2DE7716D"/>
    <w:rsid w:val="2DF7D6CC"/>
    <w:rsid w:val="2E04418C"/>
    <w:rsid w:val="2E1168A9"/>
    <w:rsid w:val="2E1F7190"/>
    <w:rsid w:val="2EA7AF2A"/>
    <w:rsid w:val="2EBBF7CD"/>
    <w:rsid w:val="2ECFDF22"/>
    <w:rsid w:val="2ED026DB"/>
    <w:rsid w:val="2EE1721B"/>
    <w:rsid w:val="2EEFE88B"/>
    <w:rsid w:val="2EFF54E3"/>
    <w:rsid w:val="2F6BFAC9"/>
    <w:rsid w:val="2F8A6913"/>
    <w:rsid w:val="2F8B52FD"/>
    <w:rsid w:val="2FDDA261"/>
    <w:rsid w:val="2FEC93B3"/>
    <w:rsid w:val="2FF71CFE"/>
    <w:rsid w:val="2FFF07B0"/>
    <w:rsid w:val="30557D2F"/>
    <w:rsid w:val="30912494"/>
    <w:rsid w:val="30923C8F"/>
    <w:rsid w:val="30DB4576"/>
    <w:rsid w:val="30E3C6D8"/>
    <w:rsid w:val="30E65529"/>
    <w:rsid w:val="31230DCD"/>
    <w:rsid w:val="31B735F1"/>
    <w:rsid w:val="3281224F"/>
    <w:rsid w:val="328A09D8"/>
    <w:rsid w:val="330C763F"/>
    <w:rsid w:val="33381316"/>
    <w:rsid w:val="33440EA7"/>
    <w:rsid w:val="33550FE6"/>
    <w:rsid w:val="337FC1C3"/>
    <w:rsid w:val="33FBCDCC"/>
    <w:rsid w:val="34594C70"/>
    <w:rsid w:val="34B779C7"/>
    <w:rsid w:val="34BF7E98"/>
    <w:rsid w:val="34CF5CEC"/>
    <w:rsid w:val="34E055A5"/>
    <w:rsid w:val="34E5346C"/>
    <w:rsid w:val="350856A6"/>
    <w:rsid w:val="35154ED0"/>
    <w:rsid w:val="35325A82"/>
    <w:rsid w:val="35C074E7"/>
    <w:rsid w:val="35F40F8A"/>
    <w:rsid w:val="3677BA75"/>
    <w:rsid w:val="368045CB"/>
    <w:rsid w:val="36816193"/>
    <w:rsid w:val="36995ED7"/>
    <w:rsid w:val="36AA5792"/>
    <w:rsid w:val="36B6F232"/>
    <w:rsid w:val="36DEF824"/>
    <w:rsid w:val="36FF3DC3"/>
    <w:rsid w:val="3740083B"/>
    <w:rsid w:val="377203B8"/>
    <w:rsid w:val="377A101B"/>
    <w:rsid w:val="3797248F"/>
    <w:rsid w:val="37AFD577"/>
    <w:rsid w:val="37EF5621"/>
    <w:rsid w:val="37EF74DB"/>
    <w:rsid w:val="37F76A7A"/>
    <w:rsid w:val="37F7844E"/>
    <w:rsid w:val="37FF8E3C"/>
    <w:rsid w:val="37FFEC72"/>
    <w:rsid w:val="384113C3"/>
    <w:rsid w:val="385B2C3E"/>
    <w:rsid w:val="38676FA9"/>
    <w:rsid w:val="389FFD0E"/>
    <w:rsid w:val="392BF547"/>
    <w:rsid w:val="396C7089"/>
    <w:rsid w:val="39776AA3"/>
    <w:rsid w:val="397B4E51"/>
    <w:rsid w:val="397EA10C"/>
    <w:rsid w:val="398C4612"/>
    <w:rsid w:val="39A39EF4"/>
    <w:rsid w:val="39E621E1"/>
    <w:rsid w:val="39FBD2E6"/>
    <w:rsid w:val="3A2636DC"/>
    <w:rsid w:val="3A4C1552"/>
    <w:rsid w:val="3A5169AB"/>
    <w:rsid w:val="3A555D6F"/>
    <w:rsid w:val="3A7F6245"/>
    <w:rsid w:val="3AEB0E5A"/>
    <w:rsid w:val="3AFB15F7"/>
    <w:rsid w:val="3B3E9B37"/>
    <w:rsid w:val="3B4FA1AF"/>
    <w:rsid w:val="3B4FA5C0"/>
    <w:rsid w:val="3B531602"/>
    <w:rsid w:val="3B53405D"/>
    <w:rsid w:val="3B5B1163"/>
    <w:rsid w:val="3BA9F012"/>
    <w:rsid w:val="3BAB9182"/>
    <w:rsid w:val="3BC9431F"/>
    <w:rsid w:val="3BEB16C6"/>
    <w:rsid w:val="3BF6596D"/>
    <w:rsid w:val="3BF66F8C"/>
    <w:rsid w:val="3C153A08"/>
    <w:rsid w:val="3C371BD0"/>
    <w:rsid w:val="3C373E57"/>
    <w:rsid w:val="3C591B47"/>
    <w:rsid w:val="3C9B2C06"/>
    <w:rsid w:val="3C9F32D2"/>
    <w:rsid w:val="3CA1704A"/>
    <w:rsid w:val="3CB7C9C3"/>
    <w:rsid w:val="3CCE1B4E"/>
    <w:rsid w:val="3CEB69AE"/>
    <w:rsid w:val="3CEF8113"/>
    <w:rsid w:val="3D204412"/>
    <w:rsid w:val="3D2263DC"/>
    <w:rsid w:val="3D73248C"/>
    <w:rsid w:val="3D7569AB"/>
    <w:rsid w:val="3D761FDF"/>
    <w:rsid w:val="3D7D2AAC"/>
    <w:rsid w:val="3D7D5F47"/>
    <w:rsid w:val="3D7EE166"/>
    <w:rsid w:val="3D9758B0"/>
    <w:rsid w:val="3D9F055D"/>
    <w:rsid w:val="3DB15A34"/>
    <w:rsid w:val="3DCBE874"/>
    <w:rsid w:val="3DCF96C5"/>
    <w:rsid w:val="3DD4074F"/>
    <w:rsid w:val="3DD4574E"/>
    <w:rsid w:val="3DD72671"/>
    <w:rsid w:val="3DE77B80"/>
    <w:rsid w:val="3DEAC215"/>
    <w:rsid w:val="3DFD693B"/>
    <w:rsid w:val="3DFF2784"/>
    <w:rsid w:val="3DFFDC4F"/>
    <w:rsid w:val="3E0E1EF9"/>
    <w:rsid w:val="3E2A0B48"/>
    <w:rsid w:val="3E5174B8"/>
    <w:rsid w:val="3E5DE891"/>
    <w:rsid w:val="3E7EC5D1"/>
    <w:rsid w:val="3E927592"/>
    <w:rsid w:val="3EB74863"/>
    <w:rsid w:val="3ECA3916"/>
    <w:rsid w:val="3EF66B68"/>
    <w:rsid w:val="3EF79E87"/>
    <w:rsid w:val="3F3F3761"/>
    <w:rsid w:val="3F5A3593"/>
    <w:rsid w:val="3F673003"/>
    <w:rsid w:val="3F7F1AE5"/>
    <w:rsid w:val="3F9EC653"/>
    <w:rsid w:val="3FA532F5"/>
    <w:rsid w:val="3FAFD343"/>
    <w:rsid w:val="3FBBA733"/>
    <w:rsid w:val="3FBEFB5C"/>
    <w:rsid w:val="3FBF537A"/>
    <w:rsid w:val="3FCF4807"/>
    <w:rsid w:val="3FCF8ACA"/>
    <w:rsid w:val="3FDE5539"/>
    <w:rsid w:val="3FDF3ED9"/>
    <w:rsid w:val="3FDF676E"/>
    <w:rsid w:val="3FE6949F"/>
    <w:rsid w:val="3FEB6D5B"/>
    <w:rsid w:val="3FEF360D"/>
    <w:rsid w:val="3FEF7861"/>
    <w:rsid w:val="3FF1D5C2"/>
    <w:rsid w:val="3FF35356"/>
    <w:rsid w:val="3FFA0245"/>
    <w:rsid w:val="3FFEB1BF"/>
    <w:rsid w:val="3FFF7F4B"/>
    <w:rsid w:val="3FFF9FBB"/>
    <w:rsid w:val="3FFFA286"/>
    <w:rsid w:val="402E5086"/>
    <w:rsid w:val="40A47108"/>
    <w:rsid w:val="40D65444"/>
    <w:rsid w:val="41913B31"/>
    <w:rsid w:val="41A4122D"/>
    <w:rsid w:val="41A63871"/>
    <w:rsid w:val="41E2438C"/>
    <w:rsid w:val="41E9396D"/>
    <w:rsid w:val="41EE2D31"/>
    <w:rsid w:val="421A572A"/>
    <w:rsid w:val="421E2F4D"/>
    <w:rsid w:val="425B0D45"/>
    <w:rsid w:val="42615911"/>
    <w:rsid w:val="428D0BB2"/>
    <w:rsid w:val="42AB6E74"/>
    <w:rsid w:val="42EA799C"/>
    <w:rsid w:val="43761230"/>
    <w:rsid w:val="43817E6A"/>
    <w:rsid w:val="43EF1321"/>
    <w:rsid w:val="44260386"/>
    <w:rsid w:val="44580936"/>
    <w:rsid w:val="446E63AB"/>
    <w:rsid w:val="44EED997"/>
    <w:rsid w:val="45605CF4"/>
    <w:rsid w:val="45A04342"/>
    <w:rsid w:val="45E561F9"/>
    <w:rsid w:val="45FF0815"/>
    <w:rsid w:val="46725C94"/>
    <w:rsid w:val="468E1469"/>
    <w:rsid w:val="46FA4EE2"/>
    <w:rsid w:val="471F9705"/>
    <w:rsid w:val="47665118"/>
    <w:rsid w:val="477F1258"/>
    <w:rsid w:val="47C47F74"/>
    <w:rsid w:val="47C95B12"/>
    <w:rsid w:val="47D12ED9"/>
    <w:rsid w:val="47E7B1C1"/>
    <w:rsid w:val="47FD46E8"/>
    <w:rsid w:val="487C33A3"/>
    <w:rsid w:val="491834FB"/>
    <w:rsid w:val="491F48CF"/>
    <w:rsid w:val="496076FB"/>
    <w:rsid w:val="49693D13"/>
    <w:rsid w:val="4A8F5E92"/>
    <w:rsid w:val="4A934E3E"/>
    <w:rsid w:val="4AB80380"/>
    <w:rsid w:val="4AEFB419"/>
    <w:rsid w:val="4B1AD193"/>
    <w:rsid w:val="4B7744CC"/>
    <w:rsid w:val="4BB7B22D"/>
    <w:rsid w:val="4BFB18D1"/>
    <w:rsid w:val="4C10439A"/>
    <w:rsid w:val="4C426EAB"/>
    <w:rsid w:val="4C53321B"/>
    <w:rsid w:val="4C54044A"/>
    <w:rsid w:val="4C681932"/>
    <w:rsid w:val="4C814063"/>
    <w:rsid w:val="4CBB3BB3"/>
    <w:rsid w:val="4CD62D8C"/>
    <w:rsid w:val="4CE953FD"/>
    <w:rsid w:val="4D12CC1A"/>
    <w:rsid w:val="4D451155"/>
    <w:rsid w:val="4D5ED344"/>
    <w:rsid w:val="4D678F58"/>
    <w:rsid w:val="4D70739B"/>
    <w:rsid w:val="4DAD3831"/>
    <w:rsid w:val="4DADC526"/>
    <w:rsid w:val="4DC36B8D"/>
    <w:rsid w:val="4DD45FAC"/>
    <w:rsid w:val="4DEE7E83"/>
    <w:rsid w:val="4DEF6F6C"/>
    <w:rsid w:val="4DF3F31D"/>
    <w:rsid w:val="4E121292"/>
    <w:rsid w:val="4E570B14"/>
    <w:rsid w:val="4E7B459A"/>
    <w:rsid w:val="4ECD10F0"/>
    <w:rsid w:val="4EFE1133"/>
    <w:rsid w:val="4F3B1580"/>
    <w:rsid w:val="4F42646A"/>
    <w:rsid w:val="4F4AF30E"/>
    <w:rsid w:val="4F5E1EC6"/>
    <w:rsid w:val="4F7FB76B"/>
    <w:rsid w:val="4FAE0BB5"/>
    <w:rsid w:val="4FAFB09B"/>
    <w:rsid w:val="4FC4190B"/>
    <w:rsid w:val="4FE63299"/>
    <w:rsid w:val="4FF3C995"/>
    <w:rsid w:val="4FFA63C2"/>
    <w:rsid w:val="4FFE346F"/>
    <w:rsid w:val="4FFF02FB"/>
    <w:rsid w:val="4FFF26E9"/>
    <w:rsid w:val="4FFF9BD4"/>
    <w:rsid w:val="50297C1E"/>
    <w:rsid w:val="505A76D1"/>
    <w:rsid w:val="50970C03"/>
    <w:rsid w:val="50D17AA6"/>
    <w:rsid w:val="50F7734E"/>
    <w:rsid w:val="510F05CE"/>
    <w:rsid w:val="513F6B15"/>
    <w:rsid w:val="51842D6A"/>
    <w:rsid w:val="51A74DEE"/>
    <w:rsid w:val="51E753DE"/>
    <w:rsid w:val="51ED42C6"/>
    <w:rsid w:val="51F7DAF4"/>
    <w:rsid w:val="523C1897"/>
    <w:rsid w:val="525B7AEE"/>
    <w:rsid w:val="525F4103"/>
    <w:rsid w:val="526667B8"/>
    <w:rsid w:val="52963FB5"/>
    <w:rsid w:val="52A96F61"/>
    <w:rsid w:val="52F7328C"/>
    <w:rsid w:val="52F842CA"/>
    <w:rsid w:val="53D1600F"/>
    <w:rsid w:val="53D90AE1"/>
    <w:rsid w:val="53DD0E57"/>
    <w:rsid w:val="54032E65"/>
    <w:rsid w:val="54104D89"/>
    <w:rsid w:val="54530666"/>
    <w:rsid w:val="54695B81"/>
    <w:rsid w:val="54D272FC"/>
    <w:rsid w:val="55151BCF"/>
    <w:rsid w:val="553E3E88"/>
    <w:rsid w:val="55571013"/>
    <w:rsid w:val="557F59FD"/>
    <w:rsid w:val="558B2ED4"/>
    <w:rsid w:val="55935C72"/>
    <w:rsid w:val="55BFC283"/>
    <w:rsid w:val="55EA6B3E"/>
    <w:rsid w:val="55F54236"/>
    <w:rsid w:val="55FF7BDB"/>
    <w:rsid w:val="562B7A28"/>
    <w:rsid w:val="56733C81"/>
    <w:rsid w:val="56BE6E4B"/>
    <w:rsid w:val="56BF8D58"/>
    <w:rsid w:val="56C65BD3"/>
    <w:rsid w:val="56C73045"/>
    <w:rsid w:val="56F97D56"/>
    <w:rsid w:val="56FFA02C"/>
    <w:rsid w:val="56FFCDE5"/>
    <w:rsid w:val="57286503"/>
    <w:rsid w:val="57330969"/>
    <w:rsid w:val="5736C8ED"/>
    <w:rsid w:val="57381EA7"/>
    <w:rsid w:val="573C7C43"/>
    <w:rsid w:val="576511D6"/>
    <w:rsid w:val="577BB77E"/>
    <w:rsid w:val="579E2150"/>
    <w:rsid w:val="57B26395"/>
    <w:rsid w:val="57BE94E1"/>
    <w:rsid w:val="57ED2C79"/>
    <w:rsid w:val="587C6CBB"/>
    <w:rsid w:val="590F1AB3"/>
    <w:rsid w:val="592A681F"/>
    <w:rsid w:val="597F3CA5"/>
    <w:rsid w:val="59F7966E"/>
    <w:rsid w:val="59F91466"/>
    <w:rsid w:val="5A4E5B07"/>
    <w:rsid w:val="5A5A53AD"/>
    <w:rsid w:val="5A5B4F16"/>
    <w:rsid w:val="5A623E64"/>
    <w:rsid w:val="5A640949"/>
    <w:rsid w:val="5A7BFCFF"/>
    <w:rsid w:val="5A7E1940"/>
    <w:rsid w:val="5ABE3825"/>
    <w:rsid w:val="5ACB49FE"/>
    <w:rsid w:val="5AEDE7B3"/>
    <w:rsid w:val="5AEF3882"/>
    <w:rsid w:val="5AFCBEAC"/>
    <w:rsid w:val="5B070568"/>
    <w:rsid w:val="5B2D6220"/>
    <w:rsid w:val="5B547C51"/>
    <w:rsid w:val="5B6F4A8B"/>
    <w:rsid w:val="5B93C95D"/>
    <w:rsid w:val="5BE79DD4"/>
    <w:rsid w:val="5BEEA8DA"/>
    <w:rsid w:val="5BFF1A7D"/>
    <w:rsid w:val="5BFFF14A"/>
    <w:rsid w:val="5C3E01E2"/>
    <w:rsid w:val="5C436DFB"/>
    <w:rsid w:val="5C55325F"/>
    <w:rsid w:val="5C85588B"/>
    <w:rsid w:val="5C8A283C"/>
    <w:rsid w:val="5CBB6E3E"/>
    <w:rsid w:val="5CBD21B3"/>
    <w:rsid w:val="5CD050B5"/>
    <w:rsid w:val="5CD1707F"/>
    <w:rsid w:val="5CDF44A6"/>
    <w:rsid w:val="5CE172C2"/>
    <w:rsid w:val="5CE5754D"/>
    <w:rsid w:val="5D55822B"/>
    <w:rsid w:val="5D6857E9"/>
    <w:rsid w:val="5D6E4C3E"/>
    <w:rsid w:val="5D6FE45B"/>
    <w:rsid w:val="5D7E3057"/>
    <w:rsid w:val="5D7EA7FE"/>
    <w:rsid w:val="5D9915FA"/>
    <w:rsid w:val="5DB4F2CF"/>
    <w:rsid w:val="5DBF61DA"/>
    <w:rsid w:val="5DCD610C"/>
    <w:rsid w:val="5DEC4AE5"/>
    <w:rsid w:val="5DEF040C"/>
    <w:rsid w:val="5DF65422"/>
    <w:rsid w:val="5DF7113D"/>
    <w:rsid w:val="5DF78162"/>
    <w:rsid w:val="5DFE3C2B"/>
    <w:rsid w:val="5DFFB329"/>
    <w:rsid w:val="5E1D3FB1"/>
    <w:rsid w:val="5E1F47FD"/>
    <w:rsid w:val="5E2A73C0"/>
    <w:rsid w:val="5E3BC077"/>
    <w:rsid w:val="5E793521"/>
    <w:rsid w:val="5E7F79EF"/>
    <w:rsid w:val="5E8866D7"/>
    <w:rsid w:val="5EB2016C"/>
    <w:rsid w:val="5EB7242C"/>
    <w:rsid w:val="5EBA1FF9"/>
    <w:rsid w:val="5EDBF34C"/>
    <w:rsid w:val="5EDD4722"/>
    <w:rsid w:val="5EDE6DC2"/>
    <w:rsid w:val="5EE3C637"/>
    <w:rsid w:val="5EF3152F"/>
    <w:rsid w:val="5EF5284B"/>
    <w:rsid w:val="5EF76C7E"/>
    <w:rsid w:val="5EFBE8D9"/>
    <w:rsid w:val="5EFCC07A"/>
    <w:rsid w:val="5EFEF3ED"/>
    <w:rsid w:val="5EFF1C82"/>
    <w:rsid w:val="5EFF7BE9"/>
    <w:rsid w:val="5EFFAAB0"/>
    <w:rsid w:val="5F1B17F3"/>
    <w:rsid w:val="5F304531"/>
    <w:rsid w:val="5F309A2C"/>
    <w:rsid w:val="5F370C2B"/>
    <w:rsid w:val="5F39FD8D"/>
    <w:rsid w:val="5F5EBF92"/>
    <w:rsid w:val="5FBE7281"/>
    <w:rsid w:val="5FBFB419"/>
    <w:rsid w:val="5FDB0928"/>
    <w:rsid w:val="5FDFE8AB"/>
    <w:rsid w:val="5FEE4964"/>
    <w:rsid w:val="5FEEF60C"/>
    <w:rsid w:val="5FEFE25F"/>
    <w:rsid w:val="5FF54A80"/>
    <w:rsid w:val="5FF6FB1C"/>
    <w:rsid w:val="5FF73E49"/>
    <w:rsid w:val="5FF7A055"/>
    <w:rsid w:val="5FF7A82D"/>
    <w:rsid w:val="5FF7A9D2"/>
    <w:rsid w:val="5FF8EEE2"/>
    <w:rsid w:val="5FF9708D"/>
    <w:rsid w:val="5FFB6BAF"/>
    <w:rsid w:val="5FFDA3EE"/>
    <w:rsid w:val="5FFE17C6"/>
    <w:rsid w:val="5FFE8776"/>
    <w:rsid w:val="5FFF477E"/>
    <w:rsid w:val="60234096"/>
    <w:rsid w:val="60806793"/>
    <w:rsid w:val="60CF38D6"/>
    <w:rsid w:val="60D373D4"/>
    <w:rsid w:val="60D9003D"/>
    <w:rsid w:val="60DB092B"/>
    <w:rsid w:val="60F5C22B"/>
    <w:rsid w:val="617FDA56"/>
    <w:rsid w:val="61F43A44"/>
    <w:rsid w:val="633F6CC7"/>
    <w:rsid w:val="635D0C6B"/>
    <w:rsid w:val="635FD69F"/>
    <w:rsid w:val="636F12CD"/>
    <w:rsid w:val="63807109"/>
    <w:rsid w:val="63BA5488"/>
    <w:rsid w:val="63F9E9D8"/>
    <w:rsid w:val="641F491E"/>
    <w:rsid w:val="643C6D10"/>
    <w:rsid w:val="648C0471"/>
    <w:rsid w:val="64CD316F"/>
    <w:rsid w:val="64DD4813"/>
    <w:rsid w:val="64E11B2C"/>
    <w:rsid w:val="64E44AA8"/>
    <w:rsid w:val="65586590"/>
    <w:rsid w:val="656102B9"/>
    <w:rsid w:val="657C820C"/>
    <w:rsid w:val="659C79D3"/>
    <w:rsid w:val="65B31319"/>
    <w:rsid w:val="65DB0934"/>
    <w:rsid w:val="65DF9500"/>
    <w:rsid w:val="65E747BC"/>
    <w:rsid w:val="65EC0A86"/>
    <w:rsid w:val="65F78D8C"/>
    <w:rsid w:val="65FEF464"/>
    <w:rsid w:val="65FFA1F8"/>
    <w:rsid w:val="65FFE939"/>
    <w:rsid w:val="6656B455"/>
    <w:rsid w:val="66970C6E"/>
    <w:rsid w:val="66D022B2"/>
    <w:rsid w:val="672F3A41"/>
    <w:rsid w:val="67310E46"/>
    <w:rsid w:val="674F0CD4"/>
    <w:rsid w:val="67530DBD"/>
    <w:rsid w:val="675EF6D4"/>
    <w:rsid w:val="67695C49"/>
    <w:rsid w:val="676F4304"/>
    <w:rsid w:val="67E61DB3"/>
    <w:rsid w:val="67EF3224"/>
    <w:rsid w:val="67FE857C"/>
    <w:rsid w:val="67FED58C"/>
    <w:rsid w:val="67FF003E"/>
    <w:rsid w:val="67FF4BB5"/>
    <w:rsid w:val="67FFC804"/>
    <w:rsid w:val="681C1AF7"/>
    <w:rsid w:val="684501D4"/>
    <w:rsid w:val="686E411D"/>
    <w:rsid w:val="688D48AA"/>
    <w:rsid w:val="68A85138"/>
    <w:rsid w:val="68E00D76"/>
    <w:rsid w:val="68E87C2B"/>
    <w:rsid w:val="69146C72"/>
    <w:rsid w:val="6938436E"/>
    <w:rsid w:val="694D23DB"/>
    <w:rsid w:val="69650304"/>
    <w:rsid w:val="69A41DA4"/>
    <w:rsid w:val="6A275F63"/>
    <w:rsid w:val="6A7A31E5"/>
    <w:rsid w:val="6AA61B4B"/>
    <w:rsid w:val="6AAFED99"/>
    <w:rsid w:val="6AE9C1DA"/>
    <w:rsid w:val="6B436831"/>
    <w:rsid w:val="6B6E3DC4"/>
    <w:rsid w:val="6B7179B2"/>
    <w:rsid w:val="6B77E2D5"/>
    <w:rsid w:val="6B7DEAE0"/>
    <w:rsid w:val="6B87963E"/>
    <w:rsid w:val="6BC717E7"/>
    <w:rsid w:val="6BD51137"/>
    <w:rsid w:val="6BDA6921"/>
    <w:rsid w:val="6BE32D97"/>
    <w:rsid w:val="6BF7B077"/>
    <w:rsid w:val="6BF7EAFA"/>
    <w:rsid w:val="6BFD1422"/>
    <w:rsid w:val="6BFF5620"/>
    <w:rsid w:val="6BFFD4BB"/>
    <w:rsid w:val="6C1825D5"/>
    <w:rsid w:val="6C430D4D"/>
    <w:rsid w:val="6C6354DE"/>
    <w:rsid w:val="6C642A0F"/>
    <w:rsid w:val="6CB076BA"/>
    <w:rsid w:val="6CF7BF9B"/>
    <w:rsid w:val="6CFD091F"/>
    <w:rsid w:val="6CFFC3B5"/>
    <w:rsid w:val="6CFFCCC8"/>
    <w:rsid w:val="6D080D2D"/>
    <w:rsid w:val="6D1B9328"/>
    <w:rsid w:val="6D50169A"/>
    <w:rsid w:val="6D6E7872"/>
    <w:rsid w:val="6D73CC41"/>
    <w:rsid w:val="6D77449D"/>
    <w:rsid w:val="6D8E6FF3"/>
    <w:rsid w:val="6DA50DBC"/>
    <w:rsid w:val="6DAAD48E"/>
    <w:rsid w:val="6DB5F7F1"/>
    <w:rsid w:val="6DBA2ADD"/>
    <w:rsid w:val="6DDD1263"/>
    <w:rsid w:val="6DEF40CD"/>
    <w:rsid w:val="6DF8D4BD"/>
    <w:rsid w:val="6DF9AADB"/>
    <w:rsid w:val="6E507920"/>
    <w:rsid w:val="6E5F716A"/>
    <w:rsid w:val="6EBFEB94"/>
    <w:rsid w:val="6ED7301C"/>
    <w:rsid w:val="6EF127BF"/>
    <w:rsid w:val="6EF70BC7"/>
    <w:rsid w:val="6EFD3EB9"/>
    <w:rsid w:val="6EFE8F88"/>
    <w:rsid w:val="6EFFC37F"/>
    <w:rsid w:val="6F3B17DD"/>
    <w:rsid w:val="6F53462D"/>
    <w:rsid w:val="6F659F86"/>
    <w:rsid w:val="6F71D401"/>
    <w:rsid w:val="6F7796A3"/>
    <w:rsid w:val="6F7F319E"/>
    <w:rsid w:val="6F8F7E74"/>
    <w:rsid w:val="6F9FCF13"/>
    <w:rsid w:val="6FB4E98C"/>
    <w:rsid w:val="6FBD54F7"/>
    <w:rsid w:val="6FBFEC2E"/>
    <w:rsid w:val="6FC71EB2"/>
    <w:rsid w:val="6FCF7FB5"/>
    <w:rsid w:val="6FD41A4D"/>
    <w:rsid w:val="6FD902DD"/>
    <w:rsid w:val="6FDBEF5B"/>
    <w:rsid w:val="6FDE7331"/>
    <w:rsid w:val="6FE5BAF3"/>
    <w:rsid w:val="6FE7C91E"/>
    <w:rsid w:val="6FF716C9"/>
    <w:rsid w:val="6FF71E06"/>
    <w:rsid w:val="6FF7F514"/>
    <w:rsid w:val="6FFC15B4"/>
    <w:rsid w:val="6FFD4120"/>
    <w:rsid w:val="6FFE0FFC"/>
    <w:rsid w:val="6FFE3253"/>
    <w:rsid w:val="6FFE84F3"/>
    <w:rsid w:val="6FFF1619"/>
    <w:rsid w:val="6FFF855E"/>
    <w:rsid w:val="70273498"/>
    <w:rsid w:val="704666B3"/>
    <w:rsid w:val="7076285A"/>
    <w:rsid w:val="708B7819"/>
    <w:rsid w:val="70934920"/>
    <w:rsid w:val="70DE4677"/>
    <w:rsid w:val="70F4632C"/>
    <w:rsid w:val="712D08D1"/>
    <w:rsid w:val="713734FD"/>
    <w:rsid w:val="71AD6475"/>
    <w:rsid w:val="71C542E2"/>
    <w:rsid w:val="71C675BE"/>
    <w:rsid w:val="71FB6C78"/>
    <w:rsid w:val="71FE8064"/>
    <w:rsid w:val="721FCB48"/>
    <w:rsid w:val="724C729F"/>
    <w:rsid w:val="724E022D"/>
    <w:rsid w:val="727BDBB6"/>
    <w:rsid w:val="72874010"/>
    <w:rsid w:val="72CF0DAC"/>
    <w:rsid w:val="72D57472"/>
    <w:rsid w:val="72F2C217"/>
    <w:rsid w:val="72FB5973"/>
    <w:rsid w:val="732F1389"/>
    <w:rsid w:val="734B3290"/>
    <w:rsid w:val="735EEA35"/>
    <w:rsid w:val="739EBC35"/>
    <w:rsid w:val="73AFD98D"/>
    <w:rsid w:val="73BB6BF6"/>
    <w:rsid w:val="73BF8F93"/>
    <w:rsid w:val="73BFDBC7"/>
    <w:rsid w:val="73CA6F92"/>
    <w:rsid w:val="73DF29A0"/>
    <w:rsid w:val="73E55634"/>
    <w:rsid w:val="73E99824"/>
    <w:rsid w:val="73EFF69A"/>
    <w:rsid w:val="73F2C20C"/>
    <w:rsid w:val="73F32AB8"/>
    <w:rsid w:val="73FF1F09"/>
    <w:rsid w:val="73FFA5BE"/>
    <w:rsid w:val="740A6CA7"/>
    <w:rsid w:val="741811A2"/>
    <w:rsid w:val="741B741F"/>
    <w:rsid w:val="744EA2DA"/>
    <w:rsid w:val="745B3E5A"/>
    <w:rsid w:val="745E6FF3"/>
    <w:rsid w:val="74EDFC71"/>
    <w:rsid w:val="74F86FE9"/>
    <w:rsid w:val="74F90CEF"/>
    <w:rsid w:val="751A2D35"/>
    <w:rsid w:val="752124FA"/>
    <w:rsid w:val="7562642D"/>
    <w:rsid w:val="7564619A"/>
    <w:rsid w:val="7573229C"/>
    <w:rsid w:val="75B2D8F4"/>
    <w:rsid w:val="75BFD058"/>
    <w:rsid w:val="75CB38EE"/>
    <w:rsid w:val="75CB71F4"/>
    <w:rsid w:val="75CB9CA2"/>
    <w:rsid w:val="75CF66C2"/>
    <w:rsid w:val="75DFCDD0"/>
    <w:rsid w:val="75E7EC3E"/>
    <w:rsid w:val="75ED4C81"/>
    <w:rsid w:val="75EE106A"/>
    <w:rsid w:val="75FB87B9"/>
    <w:rsid w:val="75FE714E"/>
    <w:rsid w:val="7657393D"/>
    <w:rsid w:val="76B25E58"/>
    <w:rsid w:val="76B7A01E"/>
    <w:rsid w:val="76C41C51"/>
    <w:rsid w:val="76CA6BC2"/>
    <w:rsid w:val="76D73466"/>
    <w:rsid w:val="76ED63DC"/>
    <w:rsid w:val="76EDFEA8"/>
    <w:rsid w:val="76EFA86B"/>
    <w:rsid w:val="76FBE0A6"/>
    <w:rsid w:val="76FEB519"/>
    <w:rsid w:val="77096DEB"/>
    <w:rsid w:val="77120D81"/>
    <w:rsid w:val="773B6E94"/>
    <w:rsid w:val="773F416B"/>
    <w:rsid w:val="773FC2B4"/>
    <w:rsid w:val="774F1A39"/>
    <w:rsid w:val="775B3436"/>
    <w:rsid w:val="7767697B"/>
    <w:rsid w:val="7774FCA3"/>
    <w:rsid w:val="777E1C13"/>
    <w:rsid w:val="777E241C"/>
    <w:rsid w:val="777FAAE5"/>
    <w:rsid w:val="777FE2C2"/>
    <w:rsid w:val="77A46EEB"/>
    <w:rsid w:val="77BEFEDF"/>
    <w:rsid w:val="77BF0C56"/>
    <w:rsid w:val="77BF2C6C"/>
    <w:rsid w:val="77BF4469"/>
    <w:rsid w:val="77BF6CA4"/>
    <w:rsid w:val="77D3B109"/>
    <w:rsid w:val="77DA9E1C"/>
    <w:rsid w:val="77DF0902"/>
    <w:rsid w:val="77E37F3B"/>
    <w:rsid w:val="77EBC94C"/>
    <w:rsid w:val="77EC7166"/>
    <w:rsid w:val="77EED284"/>
    <w:rsid w:val="77F3F99A"/>
    <w:rsid w:val="77F7B6A1"/>
    <w:rsid w:val="77FB3794"/>
    <w:rsid w:val="77FB69F2"/>
    <w:rsid w:val="77FC1973"/>
    <w:rsid w:val="77FF2E5D"/>
    <w:rsid w:val="77FF6BD3"/>
    <w:rsid w:val="77FF73FE"/>
    <w:rsid w:val="77FF8DE4"/>
    <w:rsid w:val="77FF96DC"/>
    <w:rsid w:val="77FF98D9"/>
    <w:rsid w:val="77FFD07D"/>
    <w:rsid w:val="77FFE006"/>
    <w:rsid w:val="7800416F"/>
    <w:rsid w:val="780879A1"/>
    <w:rsid w:val="780E2ADE"/>
    <w:rsid w:val="783FA804"/>
    <w:rsid w:val="787E7C64"/>
    <w:rsid w:val="78DB50B6"/>
    <w:rsid w:val="78E751EF"/>
    <w:rsid w:val="78FBEE4A"/>
    <w:rsid w:val="795A4F5B"/>
    <w:rsid w:val="79716563"/>
    <w:rsid w:val="797F5239"/>
    <w:rsid w:val="79844E2D"/>
    <w:rsid w:val="79B4D012"/>
    <w:rsid w:val="79B78C19"/>
    <w:rsid w:val="79DD1813"/>
    <w:rsid w:val="79EBF865"/>
    <w:rsid w:val="79FF7B0D"/>
    <w:rsid w:val="7A3C112A"/>
    <w:rsid w:val="7A4A60C9"/>
    <w:rsid w:val="7A6C338B"/>
    <w:rsid w:val="7A71A7FD"/>
    <w:rsid w:val="7A97FF58"/>
    <w:rsid w:val="7ACFA1A0"/>
    <w:rsid w:val="7ADC9D1C"/>
    <w:rsid w:val="7AF30C9D"/>
    <w:rsid w:val="7AF70606"/>
    <w:rsid w:val="7AF7D67B"/>
    <w:rsid w:val="7AFBDED6"/>
    <w:rsid w:val="7AFE0FCA"/>
    <w:rsid w:val="7B0A1C83"/>
    <w:rsid w:val="7B1228E5"/>
    <w:rsid w:val="7B4307D3"/>
    <w:rsid w:val="7B4F838D"/>
    <w:rsid w:val="7B5B8966"/>
    <w:rsid w:val="7B5D00BF"/>
    <w:rsid w:val="7B6018A2"/>
    <w:rsid w:val="7B6BB10C"/>
    <w:rsid w:val="7B6F5563"/>
    <w:rsid w:val="7B77A0CF"/>
    <w:rsid w:val="7B77F2FD"/>
    <w:rsid w:val="7B77F8E5"/>
    <w:rsid w:val="7B7E6EAB"/>
    <w:rsid w:val="7B7ED2FE"/>
    <w:rsid w:val="7B9A2410"/>
    <w:rsid w:val="7B9FA5D8"/>
    <w:rsid w:val="7BBFA92F"/>
    <w:rsid w:val="7BC7C2B2"/>
    <w:rsid w:val="7BCDC113"/>
    <w:rsid w:val="7BD298ED"/>
    <w:rsid w:val="7BD32125"/>
    <w:rsid w:val="7BDB155B"/>
    <w:rsid w:val="7BDDE200"/>
    <w:rsid w:val="7BDF9174"/>
    <w:rsid w:val="7BE74C94"/>
    <w:rsid w:val="7BE8B7E0"/>
    <w:rsid w:val="7BEB16FC"/>
    <w:rsid w:val="7BEFBC60"/>
    <w:rsid w:val="7BF5878C"/>
    <w:rsid w:val="7BF5E51E"/>
    <w:rsid w:val="7BF74946"/>
    <w:rsid w:val="7BF85915"/>
    <w:rsid w:val="7BFA1B96"/>
    <w:rsid w:val="7BFEB61B"/>
    <w:rsid w:val="7BFFE1E3"/>
    <w:rsid w:val="7C1F52BA"/>
    <w:rsid w:val="7C3DCC41"/>
    <w:rsid w:val="7C6E6434"/>
    <w:rsid w:val="7C993570"/>
    <w:rsid w:val="7C9DD399"/>
    <w:rsid w:val="7CA144D9"/>
    <w:rsid w:val="7CE34539"/>
    <w:rsid w:val="7CE37221"/>
    <w:rsid w:val="7CE7B5D6"/>
    <w:rsid w:val="7CF37388"/>
    <w:rsid w:val="7CFA7567"/>
    <w:rsid w:val="7CFAD471"/>
    <w:rsid w:val="7CFC9292"/>
    <w:rsid w:val="7CFCE577"/>
    <w:rsid w:val="7CFE1B60"/>
    <w:rsid w:val="7D2FD223"/>
    <w:rsid w:val="7D5D42EC"/>
    <w:rsid w:val="7D696218"/>
    <w:rsid w:val="7D6E0348"/>
    <w:rsid w:val="7D732DDD"/>
    <w:rsid w:val="7D7E1CC4"/>
    <w:rsid w:val="7D7F35B0"/>
    <w:rsid w:val="7D7F7B08"/>
    <w:rsid w:val="7D9730E6"/>
    <w:rsid w:val="7DA55C93"/>
    <w:rsid w:val="7DAF073E"/>
    <w:rsid w:val="7DB14637"/>
    <w:rsid w:val="7DB7C70A"/>
    <w:rsid w:val="7DBA4278"/>
    <w:rsid w:val="7DBF991A"/>
    <w:rsid w:val="7DC6D82A"/>
    <w:rsid w:val="7DDB197B"/>
    <w:rsid w:val="7DDB3FF1"/>
    <w:rsid w:val="7DDDE4C2"/>
    <w:rsid w:val="7DDDEA04"/>
    <w:rsid w:val="7DDF2B9D"/>
    <w:rsid w:val="7DDF54C6"/>
    <w:rsid w:val="7DDFBB82"/>
    <w:rsid w:val="7DEEADF7"/>
    <w:rsid w:val="7DEF083D"/>
    <w:rsid w:val="7DEF1F47"/>
    <w:rsid w:val="7DEFC657"/>
    <w:rsid w:val="7DF6689E"/>
    <w:rsid w:val="7DF7FC2B"/>
    <w:rsid w:val="7DFBE697"/>
    <w:rsid w:val="7DFD5F34"/>
    <w:rsid w:val="7DFDDCC0"/>
    <w:rsid w:val="7DFE2F0F"/>
    <w:rsid w:val="7E2B1B1F"/>
    <w:rsid w:val="7E4435A0"/>
    <w:rsid w:val="7E47CD03"/>
    <w:rsid w:val="7E5C0A47"/>
    <w:rsid w:val="7E5FC005"/>
    <w:rsid w:val="7E6B99FE"/>
    <w:rsid w:val="7E76C969"/>
    <w:rsid w:val="7E7AE341"/>
    <w:rsid w:val="7E7FE21D"/>
    <w:rsid w:val="7E851D4C"/>
    <w:rsid w:val="7EAFF8B5"/>
    <w:rsid w:val="7EB2B236"/>
    <w:rsid w:val="7EBC11EA"/>
    <w:rsid w:val="7EBE5878"/>
    <w:rsid w:val="7ED9541D"/>
    <w:rsid w:val="7EDD1C07"/>
    <w:rsid w:val="7EDF7E6F"/>
    <w:rsid w:val="7EE32EEC"/>
    <w:rsid w:val="7EE71208"/>
    <w:rsid w:val="7EE9456A"/>
    <w:rsid w:val="7EEDAB0F"/>
    <w:rsid w:val="7EEEA49A"/>
    <w:rsid w:val="7EEEBE07"/>
    <w:rsid w:val="7EF99FF1"/>
    <w:rsid w:val="7EFA5A26"/>
    <w:rsid w:val="7EFB487E"/>
    <w:rsid w:val="7EFC857F"/>
    <w:rsid w:val="7EFD6A88"/>
    <w:rsid w:val="7EFF019F"/>
    <w:rsid w:val="7EFF50EB"/>
    <w:rsid w:val="7EFF5ED2"/>
    <w:rsid w:val="7EFFE722"/>
    <w:rsid w:val="7F0F08A0"/>
    <w:rsid w:val="7F1FD48B"/>
    <w:rsid w:val="7F37422C"/>
    <w:rsid w:val="7F37B6C6"/>
    <w:rsid w:val="7F4FE693"/>
    <w:rsid w:val="7F52B9EE"/>
    <w:rsid w:val="7F570B34"/>
    <w:rsid w:val="7F5E35AF"/>
    <w:rsid w:val="7F5E413C"/>
    <w:rsid w:val="7F6E4D68"/>
    <w:rsid w:val="7F6F6558"/>
    <w:rsid w:val="7F795B47"/>
    <w:rsid w:val="7F7EFBC9"/>
    <w:rsid w:val="7F7F4C63"/>
    <w:rsid w:val="7F7F88FE"/>
    <w:rsid w:val="7F9450B2"/>
    <w:rsid w:val="7F9B6B55"/>
    <w:rsid w:val="7F9DF3B1"/>
    <w:rsid w:val="7F9E9DD4"/>
    <w:rsid w:val="7FA1470A"/>
    <w:rsid w:val="7FA38CEE"/>
    <w:rsid w:val="7FA6617A"/>
    <w:rsid w:val="7FA73F44"/>
    <w:rsid w:val="7FA7C4F9"/>
    <w:rsid w:val="7FA932EE"/>
    <w:rsid w:val="7FABC639"/>
    <w:rsid w:val="7FAD9DD0"/>
    <w:rsid w:val="7FAF17A5"/>
    <w:rsid w:val="7FAF8AFF"/>
    <w:rsid w:val="7FB2CBDF"/>
    <w:rsid w:val="7FB30E7D"/>
    <w:rsid w:val="7FB47158"/>
    <w:rsid w:val="7FB6A613"/>
    <w:rsid w:val="7FB79512"/>
    <w:rsid w:val="7FBC335E"/>
    <w:rsid w:val="7FBC5AFD"/>
    <w:rsid w:val="7FBD1317"/>
    <w:rsid w:val="7FBE3A7A"/>
    <w:rsid w:val="7FBEDAF6"/>
    <w:rsid w:val="7FBF012C"/>
    <w:rsid w:val="7FBF37F2"/>
    <w:rsid w:val="7FBF790E"/>
    <w:rsid w:val="7FBF7DC2"/>
    <w:rsid w:val="7FBF8B21"/>
    <w:rsid w:val="7FBFA282"/>
    <w:rsid w:val="7FBFEB69"/>
    <w:rsid w:val="7FC0448B"/>
    <w:rsid w:val="7FC9169B"/>
    <w:rsid w:val="7FCBE30D"/>
    <w:rsid w:val="7FD713CC"/>
    <w:rsid w:val="7FD9127F"/>
    <w:rsid w:val="7FDAC39C"/>
    <w:rsid w:val="7FDB945F"/>
    <w:rsid w:val="7FDCADA8"/>
    <w:rsid w:val="7FDD70DE"/>
    <w:rsid w:val="7FDE127E"/>
    <w:rsid w:val="7FDE2061"/>
    <w:rsid w:val="7FDE354E"/>
    <w:rsid w:val="7FDF40D7"/>
    <w:rsid w:val="7FDF9342"/>
    <w:rsid w:val="7FE77CC4"/>
    <w:rsid w:val="7FEB85CC"/>
    <w:rsid w:val="7FEF1DEB"/>
    <w:rsid w:val="7FEFBBEE"/>
    <w:rsid w:val="7FEFF6AD"/>
    <w:rsid w:val="7FF408CD"/>
    <w:rsid w:val="7FF453DC"/>
    <w:rsid w:val="7FF53FC6"/>
    <w:rsid w:val="7FF701E9"/>
    <w:rsid w:val="7FF72FF4"/>
    <w:rsid w:val="7FF88170"/>
    <w:rsid w:val="7FF989EE"/>
    <w:rsid w:val="7FFB0636"/>
    <w:rsid w:val="7FFB51BE"/>
    <w:rsid w:val="7FFB6A91"/>
    <w:rsid w:val="7FFBA9B5"/>
    <w:rsid w:val="7FFCB6FC"/>
    <w:rsid w:val="7FFD320A"/>
    <w:rsid w:val="7FFF0A39"/>
    <w:rsid w:val="7FFF18DF"/>
    <w:rsid w:val="7FFFA237"/>
    <w:rsid w:val="7FFFA720"/>
    <w:rsid w:val="7FFFA8F0"/>
    <w:rsid w:val="7FFFB070"/>
    <w:rsid w:val="7FFFB9C6"/>
    <w:rsid w:val="7FFFC681"/>
    <w:rsid w:val="81F18177"/>
    <w:rsid w:val="84F3EEA4"/>
    <w:rsid w:val="857DCA8C"/>
    <w:rsid w:val="873D52FC"/>
    <w:rsid w:val="8B9F340F"/>
    <w:rsid w:val="8F7B6424"/>
    <w:rsid w:val="8FBF9EA4"/>
    <w:rsid w:val="8FED7B60"/>
    <w:rsid w:val="8FFD0918"/>
    <w:rsid w:val="93BB7998"/>
    <w:rsid w:val="93FE2EBD"/>
    <w:rsid w:val="957D9633"/>
    <w:rsid w:val="96DB80FD"/>
    <w:rsid w:val="96DD27EB"/>
    <w:rsid w:val="979FAAD5"/>
    <w:rsid w:val="97D7E110"/>
    <w:rsid w:val="97D863FB"/>
    <w:rsid w:val="97F72EB9"/>
    <w:rsid w:val="99D77A41"/>
    <w:rsid w:val="9AFAD547"/>
    <w:rsid w:val="9B6D7D98"/>
    <w:rsid w:val="9B9FF190"/>
    <w:rsid w:val="9BE7DD3E"/>
    <w:rsid w:val="9BFE5D1B"/>
    <w:rsid w:val="9C2D62C5"/>
    <w:rsid w:val="9CDF4B66"/>
    <w:rsid w:val="9CF9F38E"/>
    <w:rsid w:val="9D77CC9D"/>
    <w:rsid w:val="9D7DE465"/>
    <w:rsid w:val="9E3F2FA2"/>
    <w:rsid w:val="9E86CBCA"/>
    <w:rsid w:val="9EE22732"/>
    <w:rsid w:val="9EEB06CE"/>
    <w:rsid w:val="9F1BCEB1"/>
    <w:rsid w:val="9F4584B1"/>
    <w:rsid w:val="9F5F0D2C"/>
    <w:rsid w:val="9F7F2864"/>
    <w:rsid w:val="9FBB84DA"/>
    <w:rsid w:val="9FBF2280"/>
    <w:rsid w:val="9FBF7360"/>
    <w:rsid w:val="9FD3D22D"/>
    <w:rsid w:val="9FD50814"/>
    <w:rsid w:val="9FDB011C"/>
    <w:rsid w:val="9FDF2FDD"/>
    <w:rsid w:val="9FDFA43C"/>
    <w:rsid w:val="9FFEBA99"/>
    <w:rsid w:val="9FFF3D56"/>
    <w:rsid w:val="9FFF4D92"/>
    <w:rsid w:val="A0EEC446"/>
    <w:rsid w:val="A3E70971"/>
    <w:rsid w:val="A5EEFEF4"/>
    <w:rsid w:val="A5F8D4B3"/>
    <w:rsid w:val="A67FA771"/>
    <w:rsid w:val="A73D0DD5"/>
    <w:rsid w:val="A77A9539"/>
    <w:rsid w:val="A8FF5743"/>
    <w:rsid w:val="A9538121"/>
    <w:rsid w:val="A99B7769"/>
    <w:rsid w:val="A9FFE7A4"/>
    <w:rsid w:val="AAF784E8"/>
    <w:rsid w:val="AB9E912C"/>
    <w:rsid w:val="ABAF73A5"/>
    <w:rsid w:val="ABDA6FCB"/>
    <w:rsid w:val="ABF1D347"/>
    <w:rsid w:val="ABF7CADC"/>
    <w:rsid w:val="ABFD49E4"/>
    <w:rsid w:val="ACFA3339"/>
    <w:rsid w:val="ADCFA514"/>
    <w:rsid w:val="AE7F4CDB"/>
    <w:rsid w:val="AE7F5F9A"/>
    <w:rsid w:val="AEFBEDE2"/>
    <w:rsid w:val="AF772FC8"/>
    <w:rsid w:val="AFD72315"/>
    <w:rsid w:val="AFF5F097"/>
    <w:rsid w:val="AFF67AA9"/>
    <w:rsid w:val="AFF7527D"/>
    <w:rsid w:val="AFFFA1A6"/>
    <w:rsid w:val="B0FFBA45"/>
    <w:rsid w:val="B0FFBD90"/>
    <w:rsid w:val="B17B764D"/>
    <w:rsid w:val="B37FD117"/>
    <w:rsid w:val="B3DCEFF3"/>
    <w:rsid w:val="B3DDAC53"/>
    <w:rsid w:val="B3F763FD"/>
    <w:rsid w:val="B3FB50B9"/>
    <w:rsid w:val="B3FD3945"/>
    <w:rsid w:val="B675F493"/>
    <w:rsid w:val="B6D5EC63"/>
    <w:rsid w:val="B6DD05AB"/>
    <w:rsid w:val="B6EACFCF"/>
    <w:rsid w:val="B6EC7BC0"/>
    <w:rsid w:val="B777AE16"/>
    <w:rsid w:val="B77DCC5C"/>
    <w:rsid w:val="B7BB8F72"/>
    <w:rsid w:val="B7DF047F"/>
    <w:rsid w:val="B7DF5616"/>
    <w:rsid w:val="B7DF7816"/>
    <w:rsid w:val="B7FA3634"/>
    <w:rsid w:val="B991A51D"/>
    <w:rsid w:val="B9FF6ADC"/>
    <w:rsid w:val="BA7B7903"/>
    <w:rsid w:val="BABFFD34"/>
    <w:rsid w:val="BAF9B64F"/>
    <w:rsid w:val="BB1F1F20"/>
    <w:rsid w:val="BB2E45B1"/>
    <w:rsid w:val="BBAFBAB2"/>
    <w:rsid w:val="BBCECFDB"/>
    <w:rsid w:val="BBE9D1DD"/>
    <w:rsid w:val="BBF32364"/>
    <w:rsid w:val="BBF7E0D8"/>
    <w:rsid w:val="BBFF131C"/>
    <w:rsid w:val="BC5D25E6"/>
    <w:rsid w:val="BC7FDC1C"/>
    <w:rsid w:val="BCB73D11"/>
    <w:rsid w:val="BD1F5AE9"/>
    <w:rsid w:val="BD57B2B1"/>
    <w:rsid w:val="BD6F761E"/>
    <w:rsid w:val="BD772A0D"/>
    <w:rsid w:val="BD79F644"/>
    <w:rsid w:val="BD7F4132"/>
    <w:rsid w:val="BD7F9993"/>
    <w:rsid w:val="BD7FD17A"/>
    <w:rsid w:val="BDAEE636"/>
    <w:rsid w:val="BDBE6A84"/>
    <w:rsid w:val="BDCF7ADE"/>
    <w:rsid w:val="BDEE245C"/>
    <w:rsid w:val="BEDE61D9"/>
    <w:rsid w:val="BEECC0F3"/>
    <w:rsid w:val="BEEF69F5"/>
    <w:rsid w:val="BEFE7628"/>
    <w:rsid w:val="BF038994"/>
    <w:rsid w:val="BF17D58A"/>
    <w:rsid w:val="BF5FC9D0"/>
    <w:rsid w:val="BF7E5043"/>
    <w:rsid w:val="BFADC2A3"/>
    <w:rsid w:val="BFB761DD"/>
    <w:rsid w:val="BFBB5141"/>
    <w:rsid w:val="BFBF242B"/>
    <w:rsid w:val="BFBFA5EB"/>
    <w:rsid w:val="BFBFE6FC"/>
    <w:rsid w:val="BFCFBB5F"/>
    <w:rsid w:val="BFDA8798"/>
    <w:rsid w:val="BFDB5570"/>
    <w:rsid w:val="BFDB645D"/>
    <w:rsid w:val="BFDDF50E"/>
    <w:rsid w:val="BFDE6F09"/>
    <w:rsid w:val="BFDFAA72"/>
    <w:rsid w:val="BFEDB2ED"/>
    <w:rsid w:val="BFF26A67"/>
    <w:rsid w:val="BFF7C717"/>
    <w:rsid w:val="BFFE6AEF"/>
    <w:rsid w:val="BFFF97C2"/>
    <w:rsid w:val="BFFFEFB9"/>
    <w:rsid w:val="BFFFFA17"/>
    <w:rsid w:val="C3BDB63E"/>
    <w:rsid w:val="C3FE7E1D"/>
    <w:rsid w:val="C5AC0AC5"/>
    <w:rsid w:val="C6473A2D"/>
    <w:rsid w:val="C6E9497E"/>
    <w:rsid w:val="C7FB8E09"/>
    <w:rsid w:val="C8FB5839"/>
    <w:rsid w:val="CB5F260E"/>
    <w:rsid w:val="CBFE3D58"/>
    <w:rsid w:val="CBFEFB0C"/>
    <w:rsid w:val="CC8BBDE1"/>
    <w:rsid w:val="CCEC791A"/>
    <w:rsid w:val="CDF16012"/>
    <w:rsid w:val="CDF7C6F7"/>
    <w:rsid w:val="CDFFB12E"/>
    <w:rsid w:val="CEAD47A0"/>
    <w:rsid w:val="CED750DF"/>
    <w:rsid w:val="CEEB128B"/>
    <w:rsid w:val="CF3FC383"/>
    <w:rsid w:val="CF57DF9C"/>
    <w:rsid w:val="CF6F24A8"/>
    <w:rsid w:val="CF78EB40"/>
    <w:rsid w:val="CF7C7D31"/>
    <w:rsid w:val="CF7FAA08"/>
    <w:rsid w:val="CF7FFFB3"/>
    <w:rsid w:val="CFAF0E91"/>
    <w:rsid w:val="CFBF1DE7"/>
    <w:rsid w:val="CFE7C8E0"/>
    <w:rsid w:val="CFF810C0"/>
    <w:rsid w:val="CFFCF7C1"/>
    <w:rsid w:val="D1EAE632"/>
    <w:rsid w:val="D2F3BC68"/>
    <w:rsid w:val="D3E8E1CA"/>
    <w:rsid w:val="D45F4EA7"/>
    <w:rsid w:val="D5BDA60A"/>
    <w:rsid w:val="D5FA850E"/>
    <w:rsid w:val="D6C66085"/>
    <w:rsid w:val="D6DFFBBC"/>
    <w:rsid w:val="D769096E"/>
    <w:rsid w:val="D77FEC1C"/>
    <w:rsid w:val="D7F7DD0A"/>
    <w:rsid w:val="D7FD74C8"/>
    <w:rsid w:val="D8722C93"/>
    <w:rsid w:val="D8B34ED6"/>
    <w:rsid w:val="D8B72C8C"/>
    <w:rsid w:val="D8BDF9FC"/>
    <w:rsid w:val="D8DE3529"/>
    <w:rsid w:val="D99E49C3"/>
    <w:rsid w:val="D9CE0B12"/>
    <w:rsid w:val="D9FFB7BB"/>
    <w:rsid w:val="DA595172"/>
    <w:rsid w:val="DA7D9AD0"/>
    <w:rsid w:val="DAB92CC4"/>
    <w:rsid w:val="DACCC658"/>
    <w:rsid w:val="DAEE91DF"/>
    <w:rsid w:val="DAEF8942"/>
    <w:rsid w:val="DAFFEF29"/>
    <w:rsid w:val="DB3B70C9"/>
    <w:rsid w:val="DB67C22D"/>
    <w:rsid w:val="DB7B533E"/>
    <w:rsid w:val="DB7EAF06"/>
    <w:rsid w:val="DBA34696"/>
    <w:rsid w:val="DBD08411"/>
    <w:rsid w:val="DBF8E8B2"/>
    <w:rsid w:val="DBFF2ED8"/>
    <w:rsid w:val="DD7F6851"/>
    <w:rsid w:val="DD9FD5B5"/>
    <w:rsid w:val="DDB4B099"/>
    <w:rsid w:val="DDB514A7"/>
    <w:rsid w:val="DDDFBEB5"/>
    <w:rsid w:val="DDEF68B4"/>
    <w:rsid w:val="DDF160E4"/>
    <w:rsid w:val="DDFF6C41"/>
    <w:rsid w:val="DDFFC5DE"/>
    <w:rsid w:val="DE1F4019"/>
    <w:rsid w:val="DE7927F5"/>
    <w:rsid w:val="DEBB921B"/>
    <w:rsid w:val="DED575A0"/>
    <w:rsid w:val="DEDAB6FD"/>
    <w:rsid w:val="DEECBB00"/>
    <w:rsid w:val="DEF35BCA"/>
    <w:rsid w:val="DEFD52A1"/>
    <w:rsid w:val="DEFF7FDF"/>
    <w:rsid w:val="DF2F3FF3"/>
    <w:rsid w:val="DF340EEB"/>
    <w:rsid w:val="DF5FE7E6"/>
    <w:rsid w:val="DF7BA1A6"/>
    <w:rsid w:val="DF7FCA58"/>
    <w:rsid w:val="DF7FCB2E"/>
    <w:rsid w:val="DFB2FF55"/>
    <w:rsid w:val="DFBBD018"/>
    <w:rsid w:val="DFBD1562"/>
    <w:rsid w:val="DFBE513D"/>
    <w:rsid w:val="DFD7016D"/>
    <w:rsid w:val="DFD72A03"/>
    <w:rsid w:val="DFD76A57"/>
    <w:rsid w:val="DFED50A2"/>
    <w:rsid w:val="DFEEABDF"/>
    <w:rsid w:val="DFEECAEF"/>
    <w:rsid w:val="DFEF1307"/>
    <w:rsid w:val="DFEF2AAB"/>
    <w:rsid w:val="DFF1E483"/>
    <w:rsid w:val="DFF4F857"/>
    <w:rsid w:val="DFF5AD9A"/>
    <w:rsid w:val="DFF7A57B"/>
    <w:rsid w:val="DFFF8F42"/>
    <w:rsid w:val="DFFFBA83"/>
    <w:rsid w:val="DFFFBDC4"/>
    <w:rsid w:val="DFFFC6EA"/>
    <w:rsid w:val="E2D587DA"/>
    <w:rsid w:val="E31F42E7"/>
    <w:rsid w:val="E32E06BB"/>
    <w:rsid w:val="E387722D"/>
    <w:rsid w:val="E3BE5050"/>
    <w:rsid w:val="E3BFA3CA"/>
    <w:rsid w:val="E3D74D1A"/>
    <w:rsid w:val="E3FDD47D"/>
    <w:rsid w:val="E47FEA9F"/>
    <w:rsid w:val="E4FEF684"/>
    <w:rsid w:val="E59C0E56"/>
    <w:rsid w:val="E5FFAD4B"/>
    <w:rsid w:val="E5FFD260"/>
    <w:rsid w:val="E74B0F27"/>
    <w:rsid w:val="E75E182F"/>
    <w:rsid w:val="E79ACF5B"/>
    <w:rsid w:val="E7A705F8"/>
    <w:rsid w:val="E7AA5B5A"/>
    <w:rsid w:val="E7B06A65"/>
    <w:rsid w:val="E7BE4A86"/>
    <w:rsid w:val="E7BF0E98"/>
    <w:rsid w:val="E7FA3D72"/>
    <w:rsid w:val="E7FDAF71"/>
    <w:rsid w:val="E7FFFB1C"/>
    <w:rsid w:val="E8BB7206"/>
    <w:rsid w:val="E99F1B21"/>
    <w:rsid w:val="E9C71B84"/>
    <w:rsid w:val="E9FE5614"/>
    <w:rsid w:val="E9FF6880"/>
    <w:rsid w:val="EAEEC950"/>
    <w:rsid w:val="EB7B27EF"/>
    <w:rsid w:val="EBCAF011"/>
    <w:rsid w:val="EBCF2E2D"/>
    <w:rsid w:val="EBE1D8FB"/>
    <w:rsid w:val="EBF36459"/>
    <w:rsid w:val="EBF7F591"/>
    <w:rsid w:val="EBFC93BB"/>
    <w:rsid w:val="EC3F55C1"/>
    <w:rsid w:val="EC5ED107"/>
    <w:rsid w:val="EC6B5CA0"/>
    <w:rsid w:val="ECADA1C7"/>
    <w:rsid w:val="ECBF9672"/>
    <w:rsid w:val="ECCFD51D"/>
    <w:rsid w:val="ECDF8682"/>
    <w:rsid w:val="ECEDEB38"/>
    <w:rsid w:val="EDEBF818"/>
    <w:rsid w:val="EDEC4F9E"/>
    <w:rsid w:val="EDFD0151"/>
    <w:rsid w:val="EDFE0E96"/>
    <w:rsid w:val="EDFF3F2D"/>
    <w:rsid w:val="EE5F0BD7"/>
    <w:rsid w:val="EE73EBDF"/>
    <w:rsid w:val="EE7759B6"/>
    <w:rsid w:val="EE7D49C7"/>
    <w:rsid w:val="EE7D761B"/>
    <w:rsid w:val="EEBD69DE"/>
    <w:rsid w:val="EEEA9F01"/>
    <w:rsid w:val="EEED24C7"/>
    <w:rsid w:val="EEEEBEA1"/>
    <w:rsid w:val="EEF344FE"/>
    <w:rsid w:val="EEF59491"/>
    <w:rsid w:val="EEFBBDF6"/>
    <w:rsid w:val="EEFBC13C"/>
    <w:rsid w:val="EF3BDF7C"/>
    <w:rsid w:val="EF3E0208"/>
    <w:rsid w:val="EF597FE4"/>
    <w:rsid w:val="EF5F87D5"/>
    <w:rsid w:val="EF5FFFC3"/>
    <w:rsid w:val="EF7BC6B7"/>
    <w:rsid w:val="EF7F047C"/>
    <w:rsid w:val="EF99C2BB"/>
    <w:rsid w:val="EFAF6EFF"/>
    <w:rsid w:val="EFBF3384"/>
    <w:rsid w:val="EFCE905A"/>
    <w:rsid w:val="EFCF551F"/>
    <w:rsid w:val="EFD22AB1"/>
    <w:rsid w:val="EFD5C645"/>
    <w:rsid w:val="EFD7DBEB"/>
    <w:rsid w:val="EFDC3271"/>
    <w:rsid w:val="EFDD0567"/>
    <w:rsid w:val="EFEF0728"/>
    <w:rsid w:val="EFEF2AA3"/>
    <w:rsid w:val="EFF59DA7"/>
    <w:rsid w:val="EFF5ED34"/>
    <w:rsid w:val="EFF6E5DC"/>
    <w:rsid w:val="EFF7230F"/>
    <w:rsid w:val="EFF7624A"/>
    <w:rsid w:val="EFFB0E03"/>
    <w:rsid w:val="EFFB0F67"/>
    <w:rsid w:val="EFFBADC9"/>
    <w:rsid w:val="EFFD087D"/>
    <w:rsid w:val="EFFD4298"/>
    <w:rsid w:val="EFFFBB1F"/>
    <w:rsid w:val="EFFFD1B5"/>
    <w:rsid w:val="F0E7FFA8"/>
    <w:rsid w:val="F0E97D8B"/>
    <w:rsid w:val="F1332741"/>
    <w:rsid w:val="F2778ABC"/>
    <w:rsid w:val="F27DA92F"/>
    <w:rsid w:val="F2DD75B2"/>
    <w:rsid w:val="F35F651E"/>
    <w:rsid w:val="F375DF47"/>
    <w:rsid w:val="F3BD0F6A"/>
    <w:rsid w:val="F3BF09FF"/>
    <w:rsid w:val="F3DBFD8B"/>
    <w:rsid w:val="F3EB3B85"/>
    <w:rsid w:val="F3F379BA"/>
    <w:rsid w:val="F3F96835"/>
    <w:rsid w:val="F3FD34E8"/>
    <w:rsid w:val="F3FF7C7F"/>
    <w:rsid w:val="F4F5E0BF"/>
    <w:rsid w:val="F4FF0120"/>
    <w:rsid w:val="F53FFD93"/>
    <w:rsid w:val="F57E11BD"/>
    <w:rsid w:val="F57F8151"/>
    <w:rsid w:val="F5B7BF95"/>
    <w:rsid w:val="F5BB617B"/>
    <w:rsid w:val="F5BFC447"/>
    <w:rsid w:val="F5CE2975"/>
    <w:rsid w:val="F5F23960"/>
    <w:rsid w:val="F5FC2E86"/>
    <w:rsid w:val="F5FF76FA"/>
    <w:rsid w:val="F60BFEBF"/>
    <w:rsid w:val="F62FE921"/>
    <w:rsid w:val="F67B0000"/>
    <w:rsid w:val="F67F2D6B"/>
    <w:rsid w:val="F6AE12A4"/>
    <w:rsid w:val="F6BF3B09"/>
    <w:rsid w:val="F6CBEFDC"/>
    <w:rsid w:val="F6CED197"/>
    <w:rsid w:val="F6DF63A2"/>
    <w:rsid w:val="F6EF39F4"/>
    <w:rsid w:val="F6F5C76C"/>
    <w:rsid w:val="F6F7095B"/>
    <w:rsid w:val="F6FC9CB3"/>
    <w:rsid w:val="F6FE024E"/>
    <w:rsid w:val="F6FF1BE8"/>
    <w:rsid w:val="F727F50B"/>
    <w:rsid w:val="F73D64AE"/>
    <w:rsid w:val="F747E823"/>
    <w:rsid w:val="F76FEEA4"/>
    <w:rsid w:val="F77FDFAB"/>
    <w:rsid w:val="F77FF3DF"/>
    <w:rsid w:val="F7992129"/>
    <w:rsid w:val="F79D24FB"/>
    <w:rsid w:val="F7AB552A"/>
    <w:rsid w:val="F7AB9091"/>
    <w:rsid w:val="F7AEE001"/>
    <w:rsid w:val="F7AF7C5E"/>
    <w:rsid w:val="F7BC98D8"/>
    <w:rsid w:val="F7BD61C3"/>
    <w:rsid w:val="F7BF295F"/>
    <w:rsid w:val="F7DD942A"/>
    <w:rsid w:val="F7DDEFF1"/>
    <w:rsid w:val="F7DE7453"/>
    <w:rsid w:val="F7DF7265"/>
    <w:rsid w:val="F7EDD196"/>
    <w:rsid w:val="F7EEBA21"/>
    <w:rsid w:val="F7EEE7EC"/>
    <w:rsid w:val="F7EF3B05"/>
    <w:rsid w:val="F7F602F7"/>
    <w:rsid w:val="F7F72249"/>
    <w:rsid w:val="F7FD5B87"/>
    <w:rsid w:val="F7FE4AF8"/>
    <w:rsid w:val="F7FE5C74"/>
    <w:rsid w:val="F7FF8F31"/>
    <w:rsid w:val="F7FFB46C"/>
    <w:rsid w:val="F7FFE84D"/>
    <w:rsid w:val="F7FFF532"/>
    <w:rsid w:val="F86FCDF2"/>
    <w:rsid w:val="F8EED86C"/>
    <w:rsid w:val="F8FF78C3"/>
    <w:rsid w:val="F99F9F7A"/>
    <w:rsid w:val="F9BF925E"/>
    <w:rsid w:val="F9CF2780"/>
    <w:rsid w:val="F9D544BC"/>
    <w:rsid w:val="F9F7FDF2"/>
    <w:rsid w:val="F9FBF928"/>
    <w:rsid w:val="F9FF1D6C"/>
    <w:rsid w:val="FA3D4D66"/>
    <w:rsid w:val="FA5F31EF"/>
    <w:rsid w:val="FA9DB90D"/>
    <w:rsid w:val="FAB738F3"/>
    <w:rsid w:val="FABDC9E4"/>
    <w:rsid w:val="FAD78DB1"/>
    <w:rsid w:val="FADFC8C2"/>
    <w:rsid w:val="FAE7F320"/>
    <w:rsid w:val="FAF0DFC6"/>
    <w:rsid w:val="FAFDF315"/>
    <w:rsid w:val="FAFFB8EB"/>
    <w:rsid w:val="FB2AB3E5"/>
    <w:rsid w:val="FB4D387A"/>
    <w:rsid w:val="FB5858FB"/>
    <w:rsid w:val="FB5A53A2"/>
    <w:rsid w:val="FBA990D1"/>
    <w:rsid w:val="FBAACCCA"/>
    <w:rsid w:val="FBAFF34D"/>
    <w:rsid w:val="FBB56939"/>
    <w:rsid w:val="FBB95C7F"/>
    <w:rsid w:val="FBBB1189"/>
    <w:rsid w:val="FBBBB094"/>
    <w:rsid w:val="FBBBFA1E"/>
    <w:rsid w:val="FBBBFDBF"/>
    <w:rsid w:val="FBD3B090"/>
    <w:rsid w:val="FBDB9061"/>
    <w:rsid w:val="FBDF1618"/>
    <w:rsid w:val="FBDF8CA5"/>
    <w:rsid w:val="FBED9F05"/>
    <w:rsid w:val="FBEF3174"/>
    <w:rsid w:val="FBF38B18"/>
    <w:rsid w:val="FBF3CAA7"/>
    <w:rsid w:val="FBF7A6ED"/>
    <w:rsid w:val="FBF915E9"/>
    <w:rsid w:val="FBFA326D"/>
    <w:rsid w:val="FBFB4CA3"/>
    <w:rsid w:val="FBFB9188"/>
    <w:rsid w:val="FBFD5512"/>
    <w:rsid w:val="FBFD678B"/>
    <w:rsid w:val="FBFE27BB"/>
    <w:rsid w:val="FBFE814D"/>
    <w:rsid w:val="FBFEB732"/>
    <w:rsid w:val="FBFF40F4"/>
    <w:rsid w:val="FBFF6A84"/>
    <w:rsid w:val="FBFFA369"/>
    <w:rsid w:val="FBFFA96C"/>
    <w:rsid w:val="FC3A31D2"/>
    <w:rsid w:val="FC7EF94E"/>
    <w:rsid w:val="FC7F21D6"/>
    <w:rsid w:val="FC9CDC85"/>
    <w:rsid w:val="FCAD976A"/>
    <w:rsid w:val="FCB83AB6"/>
    <w:rsid w:val="FCD3C473"/>
    <w:rsid w:val="FCDEE495"/>
    <w:rsid w:val="FCE7D0C1"/>
    <w:rsid w:val="FCEB6C25"/>
    <w:rsid w:val="FCEE210B"/>
    <w:rsid w:val="FCF4FD18"/>
    <w:rsid w:val="FCF73229"/>
    <w:rsid w:val="FCF78121"/>
    <w:rsid w:val="FCFC1180"/>
    <w:rsid w:val="FD69FA43"/>
    <w:rsid w:val="FD732306"/>
    <w:rsid w:val="FD7385D8"/>
    <w:rsid w:val="FD76EC3C"/>
    <w:rsid w:val="FD7ADA0E"/>
    <w:rsid w:val="FD7BA142"/>
    <w:rsid w:val="FDABF936"/>
    <w:rsid w:val="FDB90CB4"/>
    <w:rsid w:val="FDB9918C"/>
    <w:rsid w:val="FDBF4BBF"/>
    <w:rsid w:val="FDCB7DCA"/>
    <w:rsid w:val="FDCD46B4"/>
    <w:rsid w:val="FDD570B8"/>
    <w:rsid w:val="FDDAED36"/>
    <w:rsid w:val="FDDD77BE"/>
    <w:rsid w:val="FDDE401A"/>
    <w:rsid w:val="FDDF099B"/>
    <w:rsid w:val="FDDFAAE7"/>
    <w:rsid w:val="FDE6B727"/>
    <w:rsid w:val="FDEBD1F7"/>
    <w:rsid w:val="FDEF4A86"/>
    <w:rsid w:val="FDEF6C90"/>
    <w:rsid w:val="FDF39664"/>
    <w:rsid w:val="FDF74D82"/>
    <w:rsid w:val="FDFA7413"/>
    <w:rsid w:val="FDFAB1C5"/>
    <w:rsid w:val="FDFCE639"/>
    <w:rsid w:val="FDFF37CE"/>
    <w:rsid w:val="FDFFA415"/>
    <w:rsid w:val="FDFFE94D"/>
    <w:rsid w:val="FDFFFF36"/>
    <w:rsid w:val="FE03C3A5"/>
    <w:rsid w:val="FE370956"/>
    <w:rsid w:val="FE3F3BD4"/>
    <w:rsid w:val="FE3F4037"/>
    <w:rsid w:val="FE4DB469"/>
    <w:rsid w:val="FE5EC233"/>
    <w:rsid w:val="FE5F682D"/>
    <w:rsid w:val="FE92E028"/>
    <w:rsid w:val="FE9A8C7E"/>
    <w:rsid w:val="FE9D281B"/>
    <w:rsid w:val="FEAF3724"/>
    <w:rsid w:val="FEBF0261"/>
    <w:rsid w:val="FEBF0FBF"/>
    <w:rsid w:val="FEBF386F"/>
    <w:rsid w:val="FEBFCFF9"/>
    <w:rsid w:val="FEBFEDD9"/>
    <w:rsid w:val="FEBFEFF2"/>
    <w:rsid w:val="FEBFF8EF"/>
    <w:rsid w:val="FEC694A1"/>
    <w:rsid w:val="FECA2A23"/>
    <w:rsid w:val="FECF3F38"/>
    <w:rsid w:val="FEDE973F"/>
    <w:rsid w:val="FEDFE6DD"/>
    <w:rsid w:val="FEEB0125"/>
    <w:rsid w:val="FEFB2736"/>
    <w:rsid w:val="FEFB3A46"/>
    <w:rsid w:val="FEFBA65B"/>
    <w:rsid w:val="FEFD8A40"/>
    <w:rsid w:val="FEFDC52C"/>
    <w:rsid w:val="FEFE1208"/>
    <w:rsid w:val="FEFF53E4"/>
    <w:rsid w:val="FEFFCD5D"/>
    <w:rsid w:val="FEFFF7C5"/>
    <w:rsid w:val="FF02AED4"/>
    <w:rsid w:val="FF130B56"/>
    <w:rsid w:val="FF2F5FB9"/>
    <w:rsid w:val="FF2FF4D8"/>
    <w:rsid w:val="FF336FC0"/>
    <w:rsid w:val="FF366BFC"/>
    <w:rsid w:val="FF382914"/>
    <w:rsid w:val="FF3B6C13"/>
    <w:rsid w:val="FF3F916B"/>
    <w:rsid w:val="FF46559B"/>
    <w:rsid w:val="FF4B5C8F"/>
    <w:rsid w:val="FF4F2A57"/>
    <w:rsid w:val="FF594D85"/>
    <w:rsid w:val="FF5D2607"/>
    <w:rsid w:val="FF6B18CD"/>
    <w:rsid w:val="FF6BD663"/>
    <w:rsid w:val="FF7773DE"/>
    <w:rsid w:val="FF77C4D7"/>
    <w:rsid w:val="FF7D0411"/>
    <w:rsid w:val="FF7EC806"/>
    <w:rsid w:val="FF7F554F"/>
    <w:rsid w:val="FF7F6A57"/>
    <w:rsid w:val="FF7FD1F0"/>
    <w:rsid w:val="FF8F6DB5"/>
    <w:rsid w:val="FF8F93B5"/>
    <w:rsid w:val="FF999B46"/>
    <w:rsid w:val="FF9E3875"/>
    <w:rsid w:val="FFAD8156"/>
    <w:rsid w:val="FFB327D6"/>
    <w:rsid w:val="FFBB1725"/>
    <w:rsid w:val="FFBB5C56"/>
    <w:rsid w:val="FFBB687E"/>
    <w:rsid w:val="FFBD4D1A"/>
    <w:rsid w:val="FFBDB414"/>
    <w:rsid w:val="FFBDF24B"/>
    <w:rsid w:val="FFBF1974"/>
    <w:rsid w:val="FFBF5C9F"/>
    <w:rsid w:val="FFBFA74B"/>
    <w:rsid w:val="FFBFD8C3"/>
    <w:rsid w:val="FFCDDD54"/>
    <w:rsid w:val="FFCF03CE"/>
    <w:rsid w:val="FFD350DE"/>
    <w:rsid w:val="FFD7F949"/>
    <w:rsid w:val="FFDB60E5"/>
    <w:rsid w:val="FFDD1CDC"/>
    <w:rsid w:val="FFDD6461"/>
    <w:rsid w:val="FFDE3EE8"/>
    <w:rsid w:val="FFDEA5E2"/>
    <w:rsid w:val="FFDF132E"/>
    <w:rsid w:val="FFDF521D"/>
    <w:rsid w:val="FFE575D1"/>
    <w:rsid w:val="FFE7327E"/>
    <w:rsid w:val="FFE75614"/>
    <w:rsid w:val="FFEA88BC"/>
    <w:rsid w:val="FFEB619C"/>
    <w:rsid w:val="FFEB855A"/>
    <w:rsid w:val="FFEDE2B3"/>
    <w:rsid w:val="FFEDFD59"/>
    <w:rsid w:val="FFEE3999"/>
    <w:rsid w:val="FFEF2051"/>
    <w:rsid w:val="FFEF3A33"/>
    <w:rsid w:val="FFEFC0E2"/>
    <w:rsid w:val="FFF13DE9"/>
    <w:rsid w:val="FFF61430"/>
    <w:rsid w:val="FFF67A9D"/>
    <w:rsid w:val="FFF6FDFC"/>
    <w:rsid w:val="FFF70967"/>
    <w:rsid w:val="FFF7CCE5"/>
    <w:rsid w:val="FFF8CC0C"/>
    <w:rsid w:val="FFFA8E86"/>
    <w:rsid w:val="FFFB3136"/>
    <w:rsid w:val="FFFB72C0"/>
    <w:rsid w:val="FFFC7B80"/>
    <w:rsid w:val="FFFCA5FD"/>
    <w:rsid w:val="FFFD1680"/>
    <w:rsid w:val="FFFD808F"/>
    <w:rsid w:val="FFFE301F"/>
    <w:rsid w:val="FFFE4FEB"/>
    <w:rsid w:val="FFFE51AD"/>
    <w:rsid w:val="FFFF930E"/>
    <w:rsid w:val="FFFFE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21"/>
    <w:qFormat/>
    <w:uiPriority w:val="0"/>
    <w:pPr>
      <w:keepNext/>
      <w:keepLines/>
      <w:spacing w:before="260" w:after="260" w:line="416" w:lineRule="auto"/>
      <w:outlineLvl w:val="1"/>
    </w:pPr>
    <w:rPr>
      <w:rFonts w:ascii="Arial" w:hAnsi="Arial" w:eastAsia="黑体"/>
      <w:b/>
      <w:bCs/>
      <w:kern w:val="0"/>
      <w:sz w:val="32"/>
      <w:szCs w:val="32"/>
    </w:rPr>
  </w:style>
  <w:style w:type="paragraph" w:styleId="2">
    <w:name w:val="heading 3"/>
    <w:basedOn w:val="1"/>
    <w:next w:val="1"/>
    <w:link w:val="480"/>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197"/>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368"/>
    <w:qFormat/>
    <w:uiPriority w:val="0"/>
    <w:pPr>
      <w:keepNext/>
      <w:keepLines/>
      <w:spacing w:before="280" w:after="290" w:line="376" w:lineRule="auto"/>
      <w:outlineLvl w:val="4"/>
    </w:pPr>
    <w:rPr>
      <w:b/>
      <w:sz w:val="28"/>
    </w:rPr>
  </w:style>
  <w:style w:type="paragraph" w:styleId="8">
    <w:name w:val="heading 6"/>
    <w:basedOn w:val="1"/>
    <w:next w:val="7"/>
    <w:link w:val="161"/>
    <w:qFormat/>
    <w:uiPriority w:val="0"/>
    <w:pPr>
      <w:keepNext/>
      <w:keepLines/>
      <w:spacing w:before="240" w:after="64" w:line="320" w:lineRule="auto"/>
      <w:outlineLvl w:val="5"/>
    </w:pPr>
    <w:rPr>
      <w:rFonts w:ascii="Arial" w:hAnsi="Arial" w:eastAsia="黑体"/>
      <w:b/>
      <w:sz w:val="24"/>
    </w:rPr>
  </w:style>
  <w:style w:type="paragraph" w:styleId="9">
    <w:name w:val="heading 7"/>
    <w:basedOn w:val="1"/>
    <w:next w:val="7"/>
    <w:link w:val="355"/>
    <w:qFormat/>
    <w:uiPriority w:val="0"/>
    <w:pPr>
      <w:keepNext/>
      <w:keepLines/>
      <w:spacing w:before="240" w:after="64" w:line="320" w:lineRule="auto"/>
      <w:outlineLvl w:val="6"/>
    </w:pPr>
    <w:rPr>
      <w:b/>
      <w:sz w:val="24"/>
    </w:rPr>
  </w:style>
  <w:style w:type="paragraph" w:styleId="10">
    <w:name w:val="heading 8"/>
    <w:basedOn w:val="1"/>
    <w:next w:val="7"/>
    <w:link w:val="215"/>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7"/>
    <w:link w:val="483"/>
    <w:qFormat/>
    <w:uiPriority w:val="0"/>
    <w:pPr>
      <w:keepNext/>
      <w:keepLines/>
      <w:spacing w:before="240" w:after="64" w:line="320"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337"/>
    <w:semiHidden/>
    <w:qFormat/>
    <w:uiPriority w:val="0"/>
    <w:pPr>
      <w:shd w:val="clear" w:color="auto" w:fill="000080"/>
    </w:pPr>
  </w:style>
  <w:style w:type="paragraph" w:styleId="16">
    <w:name w:val="toa heading"/>
    <w:basedOn w:val="1"/>
    <w:next w:val="1"/>
    <w:semiHidden/>
    <w:qFormat/>
    <w:uiPriority w:val="0"/>
    <w:pPr>
      <w:adjustRightInd w:val="0"/>
      <w:spacing w:before="120" w:line="312" w:lineRule="atLeast"/>
    </w:pPr>
    <w:rPr>
      <w:rFonts w:ascii="Arial" w:hAnsi="Arial"/>
      <w:b/>
      <w:kern w:val="0"/>
      <w:sz w:val="24"/>
    </w:rPr>
  </w:style>
  <w:style w:type="paragraph" w:styleId="17">
    <w:name w:val="annotation text"/>
    <w:basedOn w:val="1"/>
    <w:link w:val="384"/>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308"/>
    <w:qFormat/>
    <w:uiPriority w:val="0"/>
    <w:rPr>
      <w:sz w:val="28"/>
    </w:rPr>
  </w:style>
  <w:style w:type="paragraph" w:styleId="19">
    <w:name w:val="Body Text 3"/>
    <w:basedOn w:val="1"/>
    <w:link w:val="253"/>
    <w:qFormat/>
    <w:uiPriority w:val="0"/>
    <w:pPr>
      <w:spacing w:line="500" w:lineRule="exact"/>
    </w:pPr>
    <w:rPr>
      <w:b/>
      <w:bCs/>
      <w:sz w:val="24"/>
    </w:rPr>
  </w:style>
  <w:style w:type="paragraph" w:styleId="20">
    <w:name w:val="Body Text"/>
    <w:basedOn w:val="1"/>
    <w:next w:val="1"/>
    <w:link w:val="411"/>
    <w:qFormat/>
    <w:uiPriority w:val="0"/>
    <w:pPr>
      <w:spacing w:line="380" w:lineRule="exact"/>
    </w:pPr>
    <w:rPr>
      <w:sz w:val="24"/>
    </w:rPr>
  </w:style>
  <w:style w:type="paragraph" w:styleId="21">
    <w:name w:val="Body Text Indent"/>
    <w:basedOn w:val="1"/>
    <w:link w:val="620"/>
    <w:qFormat/>
    <w:uiPriority w:val="0"/>
    <w:pPr>
      <w:ind w:firstLine="830"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HTML Address"/>
    <w:basedOn w:val="1"/>
    <w:link w:val="561"/>
    <w:qFormat/>
    <w:uiPriority w:val="0"/>
    <w:rPr>
      <w:rFonts w:ascii="宋体"/>
      <w:i/>
      <w:iCs/>
      <w:kern w:val="21"/>
      <w:szCs w:val="21"/>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link w:val="152"/>
    <w:qFormat/>
    <w:uiPriority w:val="0"/>
    <w:pPr>
      <w:ind w:left="840" w:leftChars="400"/>
    </w:pPr>
  </w:style>
  <w:style w:type="paragraph" w:styleId="28">
    <w:name w:val="Plain Text"/>
    <w:basedOn w:val="1"/>
    <w:next w:val="5"/>
    <w:link w:val="525"/>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413"/>
    <w:qFormat/>
    <w:uiPriority w:val="0"/>
    <w:pPr>
      <w:ind w:left="100" w:leftChars="2500"/>
    </w:pPr>
    <w:rPr>
      <w:rFonts w:ascii="宋体" w:hAnsi="Courier New" w:cs="Courier New"/>
      <w:szCs w:val="21"/>
    </w:rPr>
  </w:style>
  <w:style w:type="paragraph" w:styleId="31">
    <w:name w:val="Body Text Indent 2"/>
    <w:basedOn w:val="1"/>
    <w:link w:val="194"/>
    <w:qFormat/>
    <w:uiPriority w:val="0"/>
    <w:pPr>
      <w:ind w:firstLine="630"/>
    </w:pPr>
    <w:rPr>
      <w:sz w:val="32"/>
      <w:szCs w:val="20"/>
    </w:rPr>
  </w:style>
  <w:style w:type="paragraph" w:styleId="32">
    <w:name w:val="endnote text"/>
    <w:basedOn w:val="1"/>
    <w:link w:val="459"/>
    <w:unhideWhenUsed/>
    <w:qFormat/>
    <w:uiPriority w:val="0"/>
    <w:pPr>
      <w:snapToGrid w:val="0"/>
      <w:jc w:val="left"/>
    </w:pPr>
    <w:rPr>
      <w:rFonts w:ascii="Calibri" w:hAnsi="Calibri"/>
      <w:szCs w:val="22"/>
    </w:rPr>
  </w:style>
  <w:style w:type="paragraph" w:styleId="33">
    <w:name w:val="Balloon Text"/>
    <w:basedOn w:val="1"/>
    <w:link w:val="235"/>
    <w:semiHidden/>
    <w:qFormat/>
    <w:uiPriority w:val="0"/>
    <w:rPr>
      <w:sz w:val="18"/>
      <w:szCs w:val="18"/>
    </w:rPr>
  </w:style>
  <w:style w:type="paragraph" w:styleId="34">
    <w:name w:val="footer"/>
    <w:basedOn w:val="1"/>
    <w:link w:val="312"/>
    <w:qFormat/>
    <w:uiPriority w:val="99"/>
    <w:pPr>
      <w:tabs>
        <w:tab w:val="center" w:pos="4153"/>
        <w:tab w:val="right" w:pos="8306"/>
      </w:tabs>
      <w:snapToGrid w:val="0"/>
      <w:jc w:val="left"/>
    </w:pPr>
    <w:rPr>
      <w:sz w:val="18"/>
      <w:szCs w:val="18"/>
    </w:rPr>
  </w:style>
  <w:style w:type="paragraph" w:styleId="35">
    <w:name w:val="header"/>
    <w:basedOn w:val="1"/>
    <w:link w:val="522"/>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qFormat/>
    <w:uiPriority w:val="0"/>
    <w:pPr>
      <w:ind w:left="200" w:hanging="200" w:hangingChars="200"/>
    </w:pPr>
    <w:rPr>
      <w:sz w:val="28"/>
    </w:rPr>
  </w:style>
  <w:style w:type="paragraph" w:styleId="39">
    <w:name w:val="footnote text"/>
    <w:basedOn w:val="1"/>
    <w:link w:val="212"/>
    <w:semiHidden/>
    <w:qFormat/>
    <w:uiPriority w:val="0"/>
    <w:pPr>
      <w:snapToGrid w:val="0"/>
      <w:jc w:val="left"/>
    </w:pPr>
    <w:rPr>
      <w:rFonts w:ascii="宋体"/>
      <w:kern w:val="21"/>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315"/>
    <w:qFormat/>
    <w:uiPriority w:val="0"/>
    <w:pPr>
      <w:spacing w:after="12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409"/>
    <w:qFormat/>
    <w:uiPriority w:val="0"/>
    <w:pPr>
      <w:spacing w:after="120" w:line="480" w:lineRule="auto"/>
    </w:pPr>
  </w:style>
  <w:style w:type="paragraph" w:styleId="46">
    <w:name w:val="HTML Preformatted"/>
    <w:basedOn w:val="1"/>
    <w:link w:val="645"/>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134"/>
    <w:qFormat/>
    <w:uiPriority w:val="0"/>
    <w:pPr>
      <w:spacing w:before="240" w:after="60"/>
      <w:jc w:val="center"/>
      <w:outlineLvl w:val="0"/>
    </w:pPr>
    <w:rPr>
      <w:rFonts w:ascii="Arial" w:hAnsi="Arial"/>
      <w:b/>
      <w:bCs/>
      <w:sz w:val="32"/>
      <w:szCs w:val="32"/>
    </w:rPr>
  </w:style>
  <w:style w:type="paragraph" w:styleId="50">
    <w:name w:val="annotation subject"/>
    <w:basedOn w:val="17"/>
    <w:next w:val="17"/>
    <w:link w:val="211"/>
    <w:semiHidden/>
    <w:qFormat/>
    <w:uiPriority w:val="0"/>
    <w:pPr>
      <w:adjustRightInd/>
      <w:spacing w:line="240" w:lineRule="auto"/>
      <w:textAlignment w:val="auto"/>
    </w:pPr>
    <w:rPr>
      <w:b/>
      <w:bCs/>
      <w:kern w:val="2"/>
      <w:sz w:val="21"/>
      <w:szCs w:val="24"/>
    </w:rPr>
  </w:style>
  <w:style w:type="paragraph" w:styleId="51">
    <w:name w:val="Body Text First Indent"/>
    <w:basedOn w:val="20"/>
    <w:qFormat/>
    <w:uiPriority w:val="0"/>
    <w:pPr>
      <w:ind w:firstLine="420" w:firstLineChars="100"/>
    </w:p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basedOn w:val="54"/>
    <w:qFormat/>
    <w:uiPriority w:val="0"/>
    <w:rPr>
      <w:i/>
    </w:rPr>
  </w:style>
  <w:style w:type="character" w:styleId="60">
    <w:name w:val="HTML Typewriter"/>
    <w:basedOn w:val="54"/>
    <w:qFormat/>
    <w:uiPriority w:val="0"/>
    <w:rPr>
      <w:rFonts w:ascii="Courier New" w:hAnsi="Courier New"/>
      <w:sz w:val="20"/>
    </w:rPr>
  </w:style>
  <w:style w:type="character" w:styleId="61">
    <w:name w:val="HTML Acronym"/>
    <w:basedOn w:val="54"/>
    <w:qFormat/>
    <w:uiPriority w:val="0"/>
    <w:rPr>
      <w:rFonts w:cs="Times New Roman"/>
    </w:rPr>
  </w:style>
  <w:style w:type="character" w:styleId="62">
    <w:name w:val="HTML Variable"/>
    <w:basedOn w:val="54"/>
    <w:qFormat/>
    <w:uiPriority w:val="0"/>
    <w:rPr>
      <w:i/>
    </w:rPr>
  </w:style>
  <w:style w:type="character" w:styleId="63">
    <w:name w:val="Hyperlink"/>
    <w:qFormat/>
    <w:uiPriority w:val="99"/>
    <w:rPr>
      <w:color w:val="0000FF"/>
      <w:u w:val="single"/>
    </w:rPr>
  </w:style>
  <w:style w:type="character" w:styleId="64">
    <w:name w:val="HTML Code"/>
    <w:basedOn w:val="54"/>
    <w:qFormat/>
    <w:uiPriority w:val="0"/>
    <w:rPr>
      <w:rFonts w:ascii="Courier New" w:hAnsi="Courier New"/>
      <w:sz w:val="20"/>
    </w:rPr>
  </w:style>
  <w:style w:type="character" w:styleId="65">
    <w:name w:val="annotation reference"/>
    <w:qFormat/>
    <w:uiPriority w:val="0"/>
    <w:rPr>
      <w:sz w:val="21"/>
      <w:szCs w:val="21"/>
    </w:rPr>
  </w:style>
  <w:style w:type="character" w:styleId="66">
    <w:name w:val="HTML Cite"/>
    <w:basedOn w:val="54"/>
    <w:qFormat/>
    <w:uiPriority w:val="0"/>
    <w:rPr>
      <w:i/>
    </w:rPr>
  </w:style>
  <w:style w:type="character" w:styleId="67">
    <w:name w:val="HTML Keyboard"/>
    <w:basedOn w:val="54"/>
    <w:qFormat/>
    <w:uiPriority w:val="0"/>
    <w:rPr>
      <w:rFonts w:ascii="Courier New" w:hAnsi="Courier New"/>
      <w:sz w:val="20"/>
    </w:rPr>
  </w:style>
  <w:style w:type="character" w:styleId="68">
    <w:name w:val="HTML Sample"/>
    <w:basedOn w:val="54"/>
    <w:qFormat/>
    <w:uiPriority w:val="0"/>
    <w:rPr>
      <w:rFonts w:ascii="Courier New" w:hAnsi="Courier New"/>
    </w:rPr>
  </w:style>
  <w:style w:type="character" w:customStyle="1" w:styleId="69">
    <w:name w:val="标题 1 字符"/>
    <w:qFormat/>
    <w:uiPriority w:val="0"/>
    <w:rPr>
      <w:rFonts w:eastAsia="宋体"/>
      <w:b/>
      <w:bCs/>
      <w:kern w:val="44"/>
      <w:sz w:val="44"/>
      <w:szCs w:val="44"/>
      <w:lang w:val="en-US" w:eastAsia="zh-CN" w:bidi="ar-SA"/>
    </w:rPr>
  </w:style>
  <w:style w:type="paragraph" w:customStyle="1" w:styleId="70">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character" w:customStyle="1" w:styleId="71">
    <w:name w:val="页眉 字符3"/>
    <w:qFormat/>
    <w:uiPriority w:val="0"/>
    <w:rPr>
      <w:rFonts w:eastAsia="宋体"/>
      <w:kern w:val="2"/>
      <w:sz w:val="18"/>
      <w:szCs w:val="18"/>
      <w:lang w:val="en-US" w:eastAsia="zh-CN" w:bidi="ar-SA"/>
    </w:rPr>
  </w:style>
  <w:style w:type="paragraph" w:customStyle="1" w:styleId="72">
    <w:name w:val="正文首行缩进两字符"/>
    <w:basedOn w:val="1"/>
    <w:qFormat/>
    <w:uiPriority w:val="0"/>
    <w:pPr>
      <w:spacing w:line="360" w:lineRule="auto"/>
      <w:ind w:firstLine="200" w:firstLineChars="200"/>
    </w:pPr>
  </w:style>
  <w:style w:type="character" w:customStyle="1" w:styleId="73">
    <w:name w:val="ti"/>
    <w:basedOn w:val="54"/>
    <w:qFormat/>
    <w:uiPriority w:val="0"/>
  </w:style>
  <w:style w:type="character" w:customStyle="1" w:styleId="74">
    <w:name w:val="普通文字 Char Char4"/>
    <w:qFormat/>
    <w:uiPriority w:val="0"/>
    <w:rPr>
      <w:rFonts w:ascii="宋体" w:hAnsi="Courier New" w:eastAsia="宋体" w:cs="Courier New"/>
      <w:kern w:val="2"/>
      <w:sz w:val="21"/>
      <w:szCs w:val="21"/>
      <w:lang w:val="en-US" w:eastAsia="zh-CN" w:bidi="ar-SA"/>
    </w:rPr>
  </w:style>
  <w:style w:type="character" w:customStyle="1" w:styleId="75">
    <w:name w:val="彩色列表 - 强调文字颜色 1 Char"/>
    <w:qFormat/>
    <w:locked/>
    <w:uiPriority w:val="34"/>
    <w:rPr>
      <w:rFonts w:ascii="Calibri" w:hAnsi="Calibri"/>
      <w:sz w:val="24"/>
      <w:szCs w:val="24"/>
      <w:lang w:eastAsia="en-US"/>
    </w:rPr>
  </w:style>
  <w:style w:type="paragraph" w:customStyle="1" w:styleId="76">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paragraph" w:customStyle="1" w:styleId="77">
    <w:name w:val="列出段落4"/>
    <w:basedOn w:val="1"/>
    <w:qFormat/>
    <w:uiPriority w:val="0"/>
    <w:pPr>
      <w:ind w:firstLine="420" w:firstLineChars="200"/>
    </w:pPr>
    <w:rPr>
      <w:rFonts w:ascii="Calibri" w:hAnsi="Calibri"/>
      <w:szCs w:val="22"/>
    </w:rPr>
  </w:style>
  <w:style w:type="character" w:customStyle="1" w:styleId="78">
    <w:name w:val="正文文本缩进 Char1"/>
    <w:semiHidden/>
    <w:qFormat/>
    <w:uiPriority w:val="0"/>
    <w:rPr>
      <w:kern w:val="2"/>
      <w:sz w:val="21"/>
      <w:szCs w:val="22"/>
    </w:rPr>
  </w:style>
  <w:style w:type="character" w:customStyle="1" w:styleId="79">
    <w:name w:val="Char Char Char Char Char11"/>
    <w:qFormat/>
    <w:uiPriority w:val="0"/>
    <w:rPr>
      <w:rFonts w:eastAsia="宋体"/>
      <w:b/>
      <w:bCs/>
      <w:kern w:val="44"/>
      <w:sz w:val="44"/>
      <w:szCs w:val="44"/>
      <w:lang w:val="en-US" w:eastAsia="zh-CN" w:bidi="ar-SA"/>
    </w:rPr>
  </w:style>
  <w:style w:type="character" w:customStyle="1" w:styleId="80">
    <w:name w:val="TOC 3 字符"/>
    <w:qFormat/>
    <w:locked/>
    <w:uiPriority w:val="0"/>
    <w:rPr>
      <w:rFonts w:eastAsia="宋体"/>
      <w:kern w:val="2"/>
      <w:sz w:val="21"/>
      <w:szCs w:val="24"/>
      <w:lang w:val="en-US" w:eastAsia="zh-CN" w:bidi="ar-SA"/>
    </w:rPr>
  </w:style>
  <w:style w:type="character" w:customStyle="1" w:styleId="81">
    <w:name w:val="ca-13"/>
    <w:basedOn w:val="54"/>
    <w:qFormat/>
    <w:uiPriority w:val="0"/>
  </w:style>
  <w:style w:type="character" w:customStyle="1" w:styleId="82">
    <w:name w:val="font41"/>
    <w:basedOn w:val="54"/>
    <w:qFormat/>
    <w:uiPriority w:val="0"/>
    <w:rPr>
      <w:rFonts w:hint="eastAsia" w:ascii="仿宋_GB2312" w:eastAsia="仿宋_GB2312" w:cs="仿宋_GB2312"/>
      <w:color w:val="000000"/>
      <w:sz w:val="20"/>
      <w:szCs w:val="20"/>
      <w:u w:val="none"/>
    </w:rPr>
  </w:style>
  <w:style w:type="paragraph" w:customStyle="1" w:styleId="83">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8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86">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character" w:customStyle="1" w:styleId="87">
    <w:name w:val="标题 1 字符3"/>
    <w:qFormat/>
    <w:uiPriority w:val="0"/>
    <w:rPr>
      <w:rFonts w:eastAsia="宋体"/>
      <w:b/>
      <w:bCs/>
      <w:kern w:val="44"/>
      <w:sz w:val="44"/>
      <w:szCs w:val="44"/>
      <w:lang w:val="en-US" w:eastAsia="zh-CN" w:bidi="ar-SA"/>
    </w:rPr>
  </w:style>
  <w:style w:type="character" w:customStyle="1" w:styleId="88">
    <w:name w:val="标题 5 字符3"/>
    <w:qFormat/>
    <w:uiPriority w:val="0"/>
    <w:rPr>
      <w:rFonts w:eastAsia="宋体"/>
      <w:b/>
      <w:kern w:val="2"/>
      <w:sz w:val="28"/>
      <w:szCs w:val="24"/>
      <w:lang w:val="en-US" w:eastAsia="zh-CN" w:bidi="ar-SA"/>
    </w:rPr>
  </w:style>
  <w:style w:type="character" w:customStyle="1" w:styleId="89">
    <w:name w:val="Header Char"/>
    <w:basedOn w:val="54"/>
    <w:qFormat/>
    <w:locked/>
    <w:uiPriority w:val="0"/>
    <w:rPr>
      <w:rFonts w:ascii="Calibri" w:hAnsi="Calibri" w:eastAsia="宋体"/>
      <w:kern w:val="2"/>
      <w:sz w:val="18"/>
      <w:szCs w:val="18"/>
      <w:lang w:val="en-US" w:eastAsia="zh-CN" w:bidi="ar-SA"/>
    </w:rPr>
  </w:style>
  <w:style w:type="character" w:customStyle="1" w:styleId="90">
    <w:name w:val="Char Char38"/>
    <w:qFormat/>
    <w:uiPriority w:val="0"/>
    <w:rPr>
      <w:rFonts w:ascii="Arial" w:hAnsi="Arial" w:eastAsia="黑体"/>
      <w:b/>
      <w:bCs/>
      <w:sz w:val="32"/>
      <w:szCs w:val="32"/>
      <w:lang w:bidi="ar-SA"/>
    </w:rPr>
  </w:style>
  <w:style w:type="character" w:customStyle="1" w:styleId="91">
    <w:name w:val="无间隔 字符2"/>
    <w:qFormat/>
    <w:uiPriority w:val="0"/>
    <w:rPr>
      <w:sz w:val="22"/>
      <w:szCs w:val="22"/>
      <w:lang w:val="en-US" w:eastAsia="zh-CN" w:bidi="ar-SA"/>
    </w:rPr>
  </w:style>
  <w:style w:type="paragraph" w:customStyle="1" w:styleId="92">
    <w:name w:val="pa-4"/>
    <w:basedOn w:val="1"/>
    <w:qFormat/>
    <w:uiPriority w:val="0"/>
    <w:pPr>
      <w:widowControl/>
      <w:spacing w:before="169" w:after="169"/>
      <w:jc w:val="left"/>
    </w:pPr>
    <w:rPr>
      <w:rFonts w:ascii="宋体" w:hAnsi="宋体" w:cs="宋体"/>
      <w:kern w:val="0"/>
      <w:sz w:val="24"/>
    </w:rPr>
  </w:style>
  <w:style w:type="paragraph" w:customStyle="1" w:styleId="93">
    <w:name w:val="标准书脚_奇数页"/>
    <w:qFormat/>
    <w:uiPriority w:val="0"/>
    <w:pPr>
      <w:spacing w:before="120"/>
      <w:jc w:val="right"/>
    </w:pPr>
    <w:rPr>
      <w:rFonts w:ascii="Times New Roman" w:hAnsi="Times New Roman" w:eastAsia="宋体" w:cs="Times New Roman"/>
      <w:sz w:val="18"/>
      <w:lang w:val="en-US" w:eastAsia="zh-CN" w:bidi="ar-SA"/>
    </w:rPr>
  </w:style>
  <w:style w:type="character" w:customStyle="1" w:styleId="94">
    <w:name w:val="llyf92"/>
    <w:qFormat/>
    <w:uiPriority w:val="0"/>
    <w:rPr>
      <w:sz w:val="18"/>
      <w:szCs w:val="18"/>
    </w:rPr>
  </w:style>
  <w:style w:type="paragraph" w:customStyle="1" w:styleId="95">
    <w:name w:val="列项·"/>
    <w:qFormat/>
    <w:uiPriority w:val="0"/>
    <w:pPr>
      <w:numPr>
        <w:ilvl w:val="0"/>
        <w:numId w:val="1"/>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character" w:customStyle="1" w:styleId="96">
    <w:name w:val="二级条标题 Char"/>
    <w:basedOn w:val="97"/>
    <w:qFormat/>
    <w:uiPriority w:val="0"/>
    <w:rPr>
      <w:rFonts w:ascii="黑体" w:eastAsia="黑体" w:cs="黑体"/>
      <w:sz w:val="21"/>
      <w:szCs w:val="21"/>
      <w:lang w:val="en-US" w:eastAsia="zh-CN" w:bidi="ar-SA"/>
    </w:rPr>
  </w:style>
  <w:style w:type="character" w:customStyle="1" w:styleId="97">
    <w:name w:val="一级条标题 Char"/>
    <w:basedOn w:val="98"/>
    <w:qFormat/>
    <w:uiPriority w:val="0"/>
    <w:rPr>
      <w:rFonts w:ascii="黑体" w:eastAsia="黑体" w:cs="黑体"/>
      <w:sz w:val="21"/>
      <w:szCs w:val="21"/>
      <w:lang w:val="en-US" w:eastAsia="zh-CN" w:bidi="ar-SA"/>
    </w:rPr>
  </w:style>
  <w:style w:type="character" w:customStyle="1" w:styleId="98">
    <w:name w:val="章标题 Char"/>
    <w:qFormat/>
    <w:uiPriority w:val="0"/>
    <w:rPr>
      <w:rFonts w:ascii="黑体" w:eastAsia="黑体"/>
      <w:sz w:val="21"/>
      <w:lang w:val="en-US" w:eastAsia="zh-CN"/>
    </w:rPr>
  </w:style>
  <w:style w:type="character" w:customStyle="1" w:styleId="99">
    <w:name w:val="Heading 8 Char"/>
    <w:basedOn w:val="54"/>
    <w:qFormat/>
    <w:locked/>
    <w:uiPriority w:val="0"/>
    <w:rPr>
      <w:rFonts w:ascii="Arial" w:hAnsi="Arial" w:eastAsia="黑体"/>
      <w:kern w:val="21"/>
      <w:sz w:val="24"/>
      <w:szCs w:val="21"/>
      <w:lang w:val="en-US" w:eastAsia="zh-CN" w:bidi="ar-SA"/>
    </w:rPr>
  </w:style>
  <w:style w:type="character" w:customStyle="1" w:styleId="100">
    <w:name w:val="标题 3 字符2"/>
    <w:qFormat/>
    <w:uiPriority w:val="0"/>
    <w:rPr>
      <w:rFonts w:eastAsia="宋体"/>
      <w:b/>
      <w:bCs/>
      <w:sz w:val="32"/>
      <w:szCs w:val="32"/>
      <w:lang w:bidi="ar-SA"/>
    </w:rPr>
  </w:style>
  <w:style w:type="paragraph" w:customStyle="1" w:styleId="101">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character" w:customStyle="1" w:styleId="102">
    <w:name w:val="Char Char111"/>
    <w:qFormat/>
    <w:uiPriority w:val="0"/>
    <w:rPr>
      <w:rFonts w:hint="default" w:ascii="Times New Roman" w:hAnsi="Times New Roman" w:eastAsia="宋体" w:cs="Times New Roman"/>
      <w:sz w:val="30"/>
      <w:szCs w:val="24"/>
    </w:rPr>
  </w:style>
  <w:style w:type="character" w:customStyle="1" w:styleId="103">
    <w:name w:val="Plain Text Char1"/>
    <w:qFormat/>
    <w:locked/>
    <w:uiPriority w:val="0"/>
    <w:rPr>
      <w:rFonts w:ascii="宋体" w:hAnsi="Courier New" w:eastAsia="宋体"/>
      <w:kern w:val="2"/>
      <w:sz w:val="21"/>
      <w:lang w:val="en-US" w:eastAsia="zh-CN"/>
    </w:rPr>
  </w:style>
  <w:style w:type="character" w:customStyle="1" w:styleId="104">
    <w:name w:val="标题 3 字符"/>
    <w:qFormat/>
    <w:uiPriority w:val="0"/>
    <w:rPr>
      <w:rFonts w:eastAsia="宋体"/>
      <w:b/>
      <w:bCs/>
      <w:sz w:val="32"/>
      <w:szCs w:val="32"/>
      <w:lang w:bidi="ar-SA"/>
    </w:rPr>
  </w:style>
  <w:style w:type="character" w:customStyle="1" w:styleId="105">
    <w:name w:val="Footer Char"/>
    <w:basedOn w:val="54"/>
    <w:qFormat/>
    <w:locked/>
    <w:uiPriority w:val="0"/>
    <w:rPr>
      <w:rFonts w:ascii="Calibri" w:hAnsi="Calibri" w:eastAsia="宋体"/>
      <w:kern w:val="2"/>
      <w:sz w:val="18"/>
      <w:szCs w:val="18"/>
      <w:lang w:val="en-US" w:eastAsia="zh-CN" w:bidi="ar-SA"/>
    </w:rPr>
  </w:style>
  <w:style w:type="paragraph" w:customStyle="1" w:styleId="106">
    <w:name w:val="四级无标题条"/>
    <w:basedOn w:val="1"/>
    <w:qFormat/>
    <w:uiPriority w:val="0"/>
    <w:pPr>
      <w:numPr>
        <w:ilvl w:val="5"/>
        <w:numId w:val="2"/>
      </w:numPr>
    </w:pPr>
    <w:rPr>
      <w:rFonts w:ascii="宋体"/>
      <w:kern w:val="21"/>
      <w:szCs w:val="21"/>
    </w:rPr>
  </w:style>
  <w:style w:type="character" w:customStyle="1" w:styleId="107">
    <w:name w:val="Document Map Char1"/>
    <w:qFormat/>
    <w:locked/>
    <w:uiPriority w:val="0"/>
    <w:rPr>
      <w:rFonts w:eastAsia="宋体"/>
      <w:kern w:val="2"/>
      <w:sz w:val="24"/>
      <w:lang w:val="en-US" w:eastAsia="zh-CN"/>
    </w:rPr>
  </w:style>
  <w:style w:type="character" w:customStyle="1" w:styleId="108">
    <w:name w:val="H1 Char2"/>
    <w:qFormat/>
    <w:uiPriority w:val="0"/>
    <w:rPr>
      <w:rFonts w:eastAsia="宋体"/>
      <w:b/>
      <w:bCs/>
      <w:kern w:val="44"/>
      <w:sz w:val="44"/>
      <w:szCs w:val="44"/>
      <w:lang w:val="en-US" w:eastAsia="zh-CN" w:bidi="ar-SA"/>
    </w:rPr>
  </w:style>
  <w:style w:type="paragraph" w:customStyle="1" w:styleId="109">
    <w:name w:val="pa-12"/>
    <w:basedOn w:val="1"/>
    <w:qFormat/>
    <w:uiPriority w:val="0"/>
    <w:pPr>
      <w:widowControl/>
      <w:spacing w:before="169" w:after="169"/>
      <w:jc w:val="left"/>
    </w:pPr>
    <w:rPr>
      <w:rFonts w:ascii="宋体" w:hAnsi="宋体" w:cs="宋体"/>
      <w:kern w:val="0"/>
      <w:sz w:val="24"/>
    </w:rPr>
  </w:style>
  <w:style w:type="paragraph" w:customStyle="1" w:styleId="110">
    <w:name w:val="Char22"/>
    <w:basedOn w:val="1"/>
    <w:qFormat/>
    <w:uiPriority w:val="0"/>
    <w:pPr>
      <w:widowControl/>
      <w:spacing w:after="160" w:line="240" w:lineRule="exact"/>
      <w:jc w:val="left"/>
    </w:pPr>
    <w:rPr>
      <w:rFonts w:ascii="Verdana" w:hAnsi="Verdana"/>
      <w:kern w:val="0"/>
      <w:szCs w:val="20"/>
      <w:lang w:eastAsia="en-US"/>
    </w:rPr>
  </w:style>
  <w:style w:type="table" w:customStyle="1" w:styleId="111">
    <w:name w:val="彩色列表 - 强调文字颜色 111"/>
    <w:basedOn w:val="52"/>
    <w:qFormat/>
    <w:uiPriority w:val="0"/>
    <w:rPr>
      <w:rFonts w:ascii="Calibri" w:hAnsi="Calibri"/>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112">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正文段"/>
    <w:basedOn w:val="1"/>
    <w:qFormat/>
    <w:uiPriority w:val="0"/>
    <w:pPr>
      <w:widowControl/>
      <w:snapToGrid w:val="0"/>
      <w:spacing w:after="156" w:afterLines="50"/>
      <w:ind w:firstLine="200" w:firstLineChars="200"/>
    </w:pPr>
    <w:rPr>
      <w:kern w:val="0"/>
      <w:sz w:val="24"/>
      <w:szCs w:val="20"/>
    </w:rPr>
  </w:style>
  <w:style w:type="character" w:customStyle="1" w:styleId="114">
    <w:name w:val="页脚 字符2"/>
    <w:qFormat/>
    <w:uiPriority w:val="0"/>
    <w:rPr>
      <w:rFonts w:eastAsia="宋体"/>
      <w:kern w:val="2"/>
      <w:sz w:val="18"/>
      <w:szCs w:val="18"/>
      <w:lang w:val="en-US" w:eastAsia="zh-CN" w:bidi="ar-SA"/>
    </w:rPr>
  </w:style>
  <w:style w:type="paragraph" w:customStyle="1" w:styleId="115">
    <w:name w:val="Char Char Char21"/>
    <w:basedOn w:val="1"/>
    <w:qFormat/>
    <w:uiPriority w:val="0"/>
    <w:pPr>
      <w:widowControl/>
      <w:spacing w:after="160" w:line="240" w:lineRule="exact"/>
      <w:jc w:val="left"/>
    </w:pPr>
    <w:rPr>
      <w:rFonts w:ascii="Verdana" w:hAnsi="Verdana"/>
      <w:kern w:val="0"/>
      <w:sz w:val="20"/>
      <w:szCs w:val="20"/>
      <w:lang w:eastAsia="en-US"/>
    </w:rPr>
  </w:style>
  <w:style w:type="character" w:customStyle="1" w:styleId="116">
    <w:name w:val="正文文本 3 字符4"/>
    <w:qFormat/>
    <w:uiPriority w:val="0"/>
    <w:rPr>
      <w:rFonts w:eastAsia="宋体"/>
      <w:b/>
      <w:bCs/>
      <w:kern w:val="2"/>
      <w:sz w:val="24"/>
      <w:szCs w:val="24"/>
      <w:lang w:val="en-US" w:eastAsia="zh-CN" w:bidi="ar-SA"/>
    </w:rPr>
  </w:style>
  <w:style w:type="character" w:customStyle="1" w:styleId="117">
    <w:name w:val="标题 2 字符1"/>
    <w:qFormat/>
    <w:uiPriority w:val="0"/>
    <w:rPr>
      <w:rFonts w:ascii="Arial" w:hAnsi="Arial" w:eastAsia="黑体"/>
      <w:b/>
      <w:bCs/>
      <w:sz w:val="32"/>
      <w:szCs w:val="32"/>
      <w:lang w:bidi="ar-SA"/>
    </w:rPr>
  </w:style>
  <w:style w:type="paragraph" w:customStyle="1" w:styleId="118">
    <w:name w:val="pa-14"/>
    <w:basedOn w:val="1"/>
    <w:qFormat/>
    <w:uiPriority w:val="0"/>
    <w:pPr>
      <w:widowControl/>
      <w:spacing w:before="169" w:after="169"/>
      <w:jc w:val="left"/>
    </w:pPr>
    <w:rPr>
      <w:rFonts w:ascii="宋体" w:hAnsi="宋体" w:cs="宋体"/>
      <w:kern w:val="0"/>
      <w:sz w:val="24"/>
    </w:rPr>
  </w:style>
  <w:style w:type="paragraph" w:customStyle="1" w:styleId="119">
    <w:name w:val="二级条标题"/>
    <w:basedOn w:val="120"/>
    <w:next w:val="122"/>
    <w:link w:val="304"/>
    <w:qFormat/>
    <w:uiPriority w:val="0"/>
    <w:pPr>
      <w:numPr>
        <w:ilvl w:val="3"/>
        <w:numId w:val="3"/>
      </w:numPr>
      <w:tabs>
        <w:tab w:val="left" w:pos="312"/>
        <w:tab w:val="left" w:pos="360"/>
      </w:tabs>
      <w:outlineLvl w:val="3"/>
    </w:pPr>
  </w:style>
  <w:style w:type="paragraph" w:customStyle="1" w:styleId="120">
    <w:name w:val="一级条标题"/>
    <w:basedOn w:val="121"/>
    <w:next w:val="122"/>
    <w:link w:val="305"/>
    <w:qFormat/>
    <w:uiPriority w:val="0"/>
    <w:pPr>
      <w:numPr>
        <w:ilvl w:val="2"/>
      </w:numPr>
      <w:tabs>
        <w:tab w:val="left" w:pos="312"/>
        <w:tab w:val="left" w:pos="360"/>
      </w:tabs>
      <w:spacing w:beforeLines="0" w:afterLines="0"/>
      <w:ind w:left="0"/>
      <w:outlineLvl w:val="2"/>
    </w:pPr>
    <w:rPr>
      <w:szCs w:val="22"/>
    </w:rPr>
  </w:style>
  <w:style w:type="paragraph" w:customStyle="1" w:styleId="121">
    <w:name w:val="章标题"/>
    <w:next w:val="122"/>
    <w:link w:val="306"/>
    <w:qFormat/>
    <w:uiPriority w:val="0"/>
    <w:pPr>
      <w:numPr>
        <w:ilvl w:val="1"/>
        <w:numId w:val="4"/>
      </w:numPr>
      <w:spacing w:beforeLines="50" w:afterLines="50"/>
      <w:jc w:val="both"/>
      <w:outlineLvl w:val="1"/>
    </w:pPr>
    <w:rPr>
      <w:rFonts w:ascii="黑体" w:hAnsi="Times New Roman" w:eastAsia="黑体" w:cs="Times New Roman"/>
      <w:kern w:val="2"/>
      <w:sz w:val="22"/>
      <w:lang w:val="en-US" w:eastAsia="zh-CN" w:bidi="ar-SA"/>
    </w:rPr>
  </w:style>
  <w:style w:type="paragraph" w:customStyle="1" w:styleId="122">
    <w:name w:val="段"/>
    <w:link w:val="20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3">
    <w:name w:val="pa-7"/>
    <w:basedOn w:val="1"/>
    <w:qFormat/>
    <w:uiPriority w:val="0"/>
    <w:pPr>
      <w:widowControl/>
      <w:spacing w:before="169" w:after="169"/>
      <w:jc w:val="left"/>
    </w:pPr>
    <w:rPr>
      <w:rFonts w:ascii="宋体" w:hAnsi="宋体" w:cs="宋体"/>
      <w:kern w:val="0"/>
      <w:sz w:val="24"/>
    </w:rPr>
  </w:style>
  <w:style w:type="character" w:customStyle="1" w:styleId="124">
    <w:name w:val="称呼 字符3"/>
    <w:qFormat/>
    <w:uiPriority w:val="0"/>
    <w:rPr>
      <w:kern w:val="2"/>
      <w:sz w:val="28"/>
      <w:szCs w:val="24"/>
    </w:rPr>
  </w:style>
  <w:style w:type="character" w:customStyle="1" w:styleId="125">
    <w:name w:val="正文文字首行缩进 Char"/>
    <w:qFormat/>
    <w:locked/>
    <w:uiPriority w:val="0"/>
    <w:rPr>
      <w:rFonts w:ascii="仿宋_GB2312" w:eastAsia="仿宋_GB2312"/>
      <w:kern w:val="2"/>
      <w:sz w:val="32"/>
    </w:rPr>
  </w:style>
  <w:style w:type="character" w:customStyle="1" w:styleId="126">
    <w:name w:val="Char Char42"/>
    <w:qFormat/>
    <w:uiPriority w:val="0"/>
    <w:rPr>
      <w:rFonts w:eastAsia="宋体"/>
      <w:b/>
      <w:bCs/>
      <w:kern w:val="44"/>
      <w:sz w:val="44"/>
      <w:szCs w:val="44"/>
      <w:lang w:val="en-US" w:eastAsia="zh-CN" w:bidi="ar-SA"/>
    </w:rPr>
  </w:style>
  <w:style w:type="paragraph" w:customStyle="1" w:styleId="127">
    <w:name w:val="_Style 205"/>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128">
    <w:name w:val="文档结构图 字符2"/>
    <w:qFormat/>
    <w:uiPriority w:val="0"/>
    <w:rPr>
      <w:rFonts w:eastAsia="宋体"/>
      <w:kern w:val="2"/>
      <w:sz w:val="21"/>
      <w:szCs w:val="24"/>
      <w:lang w:val="en-US" w:eastAsia="zh-CN" w:bidi="ar-SA"/>
    </w:rPr>
  </w:style>
  <w:style w:type="character" w:customStyle="1" w:styleId="129">
    <w:name w:val="Heading 3 Char"/>
    <w:basedOn w:val="54"/>
    <w:qFormat/>
    <w:locked/>
    <w:uiPriority w:val="0"/>
    <w:rPr>
      <w:rFonts w:ascii="宋体" w:eastAsia="宋体"/>
      <w:b/>
      <w:bCs/>
      <w:kern w:val="21"/>
      <w:sz w:val="32"/>
      <w:szCs w:val="32"/>
      <w:lang w:val="en-US" w:eastAsia="zh-CN" w:bidi="ar-SA"/>
    </w:rPr>
  </w:style>
  <w:style w:type="paragraph" w:customStyle="1" w:styleId="130">
    <w:name w:val="修订1"/>
    <w:semiHidden/>
    <w:qFormat/>
    <w:uiPriority w:val="0"/>
    <w:rPr>
      <w:rFonts w:ascii="Times New Roman" w:hAnsi="Times New Roman" w:eastAsia="宋体" w:cs="Times New Roman"/>
      <w:kern w:val="2"/>
      <w:sz w:val="21"/>
      <w:szCs w:val="24"/>
      <w:lang w:val="en-US" w:eastAsia="zh-CN" w:bidi="ar-SA"/>
    </w:rPr>
  </w:style>
  <w:style w:type="character" w:customStyle="1" w:styleId="131">
    <w:name w:val="Heading 7 Char"/>
    <w:basedOn w:val="54"/>
    <w:qFormat/>
    <w:locked/>
    <w:uiPriority w:val="0"/>
    <w:rPr>
      <w:rFonts w:ascii="宋体" w:eastAsia="宋体"/>
      <w:b/>
      <w:bCs/>
      <w:kern w:val="21"/>
      <w:sz w:val="24"/>
      <w:szCs w:val="21"/>
      <w:lang w:val="en-US" w:eastAsia="zh-CN" w:bidi="ar-SA"/>
    </w:rPr>
  </w:style>
  <w:style w:type="paragraph" w:customStyle="1" w:styleId="132">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133">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4">
    <w:name w:val="标题 Char"/>
    <w:link w:val="49"/>
    <w:qFormat/>
    <w:uiPriority w:val="0"/>
    <w:rPr>
      <w:rFonts w:ascii="Arial" w:hAnsi="Arial" w:eastAsia="宋体"/>
      <w:b/>
      <w:bCs/>
      <w:kern w:val="2"/>
      <w:sz w:val="32"/>
      <w:szCs w:val="32"/>
      <w:lang w:bidi="ar-SA"/>
    </w:rPr>
  </w:style>
  <w:style w:type="paragraph" w:customStyle="1" w:styleId="135">
    <w:name w:val="封面正文"/>
    <w:qFormat/>
    <w:uiPriority w:val="0"/>
    <w:pPr>
      <w:jc w:val="both"/>
    </w:pPr>
    <w:rPr>
      <w:rFonts w:ascii="Times New Roman" w:hAnsi="Times New Roman" w:eastAsia="宋体" w:cs="Times New Roman"/>
      <w:lang w:val="en-US" w:eastAsia="zh-CN" w:bidi="ar-SA"/>
    </w:rPr>
  </w:style>
  <w:style w:type="character" w:customStyle="1" w:styleId="136">
    <w:name w:val="尾注文本 字符"/>
    <w:qFormat/>
    <w:uiPriority w:val="0"/>
    <w:rPr>
      <w:rFonts w:ascii="Calibri" w:hAnsi="Calibri"/>
      <w:kern w:val="2"/>
      <w:sz w:val="21"/>
      <w:szCs w:val="22"/>
    </w:rPr>
  </w:style>
  <w:style w:type="character" w:customStyle="1" w:styleId="137">
    <w:name w:val="正文文本缩进 2 字符3"/>
    <w:qFormat/>
    <w:uiPriority w:val="0"/>
    <w:rPr>
      <w:rFonts w:eastAsia="宋体"/>
      <w:kern w:val="2"/>
      <w:sz w:val="32"/>
      <w:lang w:val="en-US" w:eastAsia="zh-CN" w:bidi="ar-SA"/>
    </w:rPr>
  </w:style>
  <w:style w:type="character" w:customStyle="1" w:styleId="138">
    <w:name w:val="Char Char10"/>
    <w:semiHidden/>
    <w:qFormat/>
    <w:uiPriority w:val="0"/>
    <w:rPr>
      <w:rFonts w:hint="eastAsia" w:ascii="宋体" w:hAnsi="宋体" w:eastAsia="宋体"/>
      <w:kern w:val="2"/>
      <w:sz w:val="24"/>
      <w:szCs w:val="24"/>
      <w:lang w:val="en-US" w:eastAsia="zh-CN" w:bidi="ar-SA"/>
    </w:rPr>
  </w:style>
  <w:style w:type="character" w:customStyle="1" w:styleId="139">
    <w:name w:val="HTML 预设格式 字符3"/>
    <w:qFormat/>
    <w:uiPriority w:val="0"/>
    <w:rPr>
      <w:rFonts w:ascii="黑体" w:hAnsi="Courier New" w:eastAsia="黑体" w:cs="Courier New"/>
      <w:lang w:val="en-US" w:eastAsia="zh-CN" w:bidi="ar-SA"/>
    </w:rPr>
  </w:style>
  <w:style w:type="paragraph" w:customStyle="1" w:styleId="140">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141">
    <w:name w:val="标题 9 字符2"/>
    <w:qFormat/>
    <w:uiPriority w:val="0"/>
    <w:rPr>
      <w:rFonts w:ascii="Arial" w:hAnsi="Arial" w:eastAsia="黑体"/>
      <w:kern w:val="2"/>
      <w:sz w:val="21"/>
      <w:szCs w:val="24"/>
      <w:lang w:val="en-US" w:eastAsia="zh-CN" w:bidi="ar-SA"/>
    </w:rPr>
  </w:style>
  <w:style w:type="character" w:customStyle="1" w:styleId="142">
    <w:name w:val="标题 8 字符3"/>
    <w:qFormat/>
    <w:uiPriority w:val="0"/>
    <w:rPr>
      <w:rFonts w:ascii="Arial" w:hAnsi="Arial" w:eastAsia="黑体"/>
      <w:kern w:val="2"/>
      <w:sz w:val="24"/>
      <w:szCs w:val="24"/>
      <w:lang w:val="en-US" w:eastAsia="zh-CN" w:bidi="ar-SA"/>
    </w:rPr>
  </w:style>
  <w:style w:type="character" w:customStyle="1" w:styleId="143">
    <w:name w:val="Char Char"/>
    <w:qFormat/>
    <w:uiPriority w:val="0"/>
    <w:rPr>
      <w:rFonts w:ascii="宋体" w:eastAsia="宋体" w:cs="Courier New"/>
      <w:kern w:val="2"/>
      <w:sz w:val="21"/>
      <w:szCs w:val="21"/>
      <w:lang w:val="en-US" w:eastAsia="zh-CN" w:bidi="ar-SA"/>
    </w:rPr>
  </w:style>
  <w:style w:type="character" w:customStyle="1" w:styleId="144">
    <w:name w:val="Char Char48"/>
    <w:qFormat/>
    <w:uiPriority w:val="0"/>
    <w:rPr>
      <w:rFonts w:eastAsia="宋体"/>
      <w:b/>
      <w:bCs/>
      <w:kern w:val="44"/>
      <w:sz w:val="44"/>
      <w:szCs w:val="44"/>
      <w:lang w:val="en-US" w:eastAsia="zh-CN" w:bidi="ar-SA"/>
    </w:rPr>
  </w:style>
  <w:style w:type="character" w:customStyle="1" w:styleId="145">
    <w:name w:val="Char Char17"/>
    <w:qFormat/>
    <w:uiPriority w:val="0"/>
    <w:rPr>
      <w:rFonts w:hint="default" w:ascii="Times New Roman" w:hAnsi="Times New Roman" w:cs="Times New Roman"/>
      <w:b/>
      <w:bCs/>
      <w:kern w:val="2"/>
      <w:sz w:val="21"/>
      <w:szCs w:val="24"/>
    </w:rPr>
  </w:style>
  <w:style w:type="character" w:customStyle="1" w:styleId="146">
    <w:name w:val="正文文本 3 字符"/>
    <w:qFormat/>
    <w:uiPriority w:val="0"/>
    <w:rPr>
      <w:rFonts w:eastAsia="宋体"/>
      <w:b/>
      <w:bCs/>
      <w:kern w:val="2"/>
      <w:sz w:val="24"/>
      <w:szCs w:val="24"/>
      <w:lang w:val="en-US" w:eastAsia="zh-CN" w:bidi="ar-SA"/>
    </w:rPr>
  </w:style>
  <w:style w:type="character" w:customStyle="1" w:styleId="147">
    <w:name w:val="Heading 5 Char1"/>
    <w:qFormat/>
    <w:locked/>
    <w:uiPriority w:val="0"/>
    <w:rPr>
      <w:rFonts w:eastAsia="宋体"/>
      <w:b/>
      <w:kern w:val="2"/>
      <w:sz w:val="24"/>
      <w:lang w:val="en-US" w:eastAsia="zh-CN"/>
    </w:rPr>
  </w:style>
  <w:style w:type="character" w:customStyle="1" w:styleId="148">
    <w:name w:val="标题 9 字符4"/>
    <w:qFormat/>
    <w:uiPriority w:val="0"/>
    <w:rPr>
      <w:rFonts w:ascii="Arial" w:hAnsi="Arial" w:eastAsia="黑体"/>
      <w:kern w:val="2"/>
      <w:sz w:val="21"/>
      <w:szCs w:val="24"/>
      <w:lang w:val="en-US" w:eastAsia="zh-CN" w:bidi="ar-SA"/>
    </w:rPr>
  </w:style>
  <w:style w:type="paragraph" w:customStyle="1" w:styleId="149">
    <w:name w:val="附录章标题"/>
    <w:next w:val="122"/>
    <w:qFormat/>
    <w:uiPriority w:val="0"/>
    <w:pPr>
      <w:numPr>
        <w:ilvl w:val="1"/>
        <w:numId w:val="2"/>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50">
    <w:name w:val="二级无标题条"/>
    <w:basedOn w:val="1"/>
    <w:qFormat/>
    <w:uiPriority w:val="0"/>
    <w:pPr>
      <w:numPr>
        <w:ilvl w:val="3"/>
        <w:numId w:val="2"/>
      </w:numPr>
    </w:pPr>
    <w:rPr>
      <w:rFonts w:ascii="宋体"/>
      <w:kern w:val="21"/>
      <w:szCs w:val="21"/>
    </w:rPr>
  </w:style>
  <w:style w:type="character" w:customStyle="1" w:styleId="151">
    <w:name w:val="Char Char46"/>
    <w:qFormat/>
    <w:uiPriority w:val="0"/>
    <w:rPr>
      <w:rFonts w:eastAsia="宋体"/>
      <w:b/>
      <w:bCs/>
      <w:sz w:val="32"/>
      <w:szCs w:val="32"/>
      <w:lang w:bidi="ar-SA"/>
    </w:rPr>
  </w:style>
  <w:style w:type="character" w:customStyle="1" w:styleId="152">
    <w:name w:val="目录 3 Char"/>
    <w:link w:val="27"/>
    <w:qFormat/>
    <w:locked/>
    <w:uiPriority w:val="0"/>
    <w:rPr>
      <w:rFonts w:eastAsia="宋体"/>
      <w:kern w:val="2"/>
      <w:sz w:val="21"/>
      <w:szCs w:val="24"/>
      <w:lang w:val="en-US" w:eastAsia="zh-CN" w:bidi="ar-SA"/>
    </w:rPr>
  </w:style>
  <w:style w:type="character" w:customStyle="1" w:styleId="153">
    <w:name w:val="自定义标题一 Char"/>
    <w:link w:val="154"/>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54">
    <w:name w:val="自定义标题一"/>
    <w:basedOn w:val="3"/>
    <w:link w:val="153"/>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55">
    <w:name w:val="页脚 字符3"/>
    <w:qFormat/>
    <w:uiPriority w:val="0"/>
    <w:rPr>
      <w:rFonts w:eastAsia="宋体"/>
      <w:kern w:val="2"/>
      <w:sz w:val="18"/>
      <w:szCs w:val="18"/>
      <w:lang w:val="en-US" w:eastAsia="zh-CN" w:bidi="ar-SA"/>
    </w:rPr>
  </w:style>
  <w:style w:type="paragraph" w:customStyle="1" w:styleId="156">
    <w:name w:val="Char31"/>
    <w:basedOn w:val="15"/>
    <w:qFormat/>
    <w:uiPriority w:val="0"/>
    <w:pPr>
      <w:widowControl/>
      <w:ind w:firstLine="454"/>
      <w:jc w:val="left"/>
    </w:pPr>
    <w:rPr>
      <w:rFonts w:ascii="Tahoma" w:hAnsi="Tahoma" w:cs="宋体"/>
      <w:kern w:val="0"/>
      <w:sz w:val="24"/>
      <w:szCs w:val="20"/>
    </w:rPr>
  </w:style>
  <w:style w:type="paragraph" w:customStyle="1" w:styleId="157">
    <w:name w:val="Char13"/>
    <w:basedOn w:val="1"/>
    <w:qFormat/>
    <w:uiPriority w:val="0"/>
    <w:rPr>
      <w:szCs w:val="21"/>
    </w:rPr>
  </w:style>
  <w:style w:type="character" w:customStyle="1" w:styleId="158">
    <w:name w:val="标题 7 字符"/>
    <w:qFormat/>
    <w:uiPriority w:val="0"/>
    <w:rPr>
      <w:rFonts w:eastAsia="宋体"/>
      <w:b/>
      <w:kern w:val="2"/>
      <w:sz w:val="24"/>
      <w:szCs w:val="24"/>
      <w:lang w:val="en-US" w:eastAsia="zh-CN" w:bidi="ar-SA"/>
    </w:rPr>
  </w:style>
  <w:style w:type="paragraph" w:customStyle="1" w:styleId="159">
    <w:name w:val="条文脚注"/>
    <w:basedOn w:val="39"/>
    <w:qFormat/>
    <w:uiPriority w:val="0"/>
    <w:pPr>
      <w:ind w:left="780" w:leftChars="200" w:hanging="360" w:hangingChars="200"/>
      <w:jc w:val="both"/>
    </w:pPr>
  </w:style>
  <w:style w:type="character" w:customStyle="1" w:styleId="160">
    <w:name w:val="标题 8 字符2"/>
    <w:qFormat/>
    <w:uiPriority w:val="0"/>
    <w:rPr>
      <w:rFonts w:ascii="Arial" w:hAnsi="Arial" w:eastAsia="黑体"/>
      <w:kern w:val="2"/>
      <w:sz w:val="24"/>
      <w:szCs w:val="24"/>
      <w:lang w:val="en-US" w:eastAsia="zh-CN" w:bidi="ar-SA"/>
    </w:rPr>
  </w:style>
  <w:style w:type="character" w:customStyle="1" w:styleId="161">
    <w:name w:val="标题 6 Char"/>
    <w:link w:val="8"/>
    <w:qFormat/>
    <w:uiPriority w:val="0"/>
    <w:rPr>
      <w:rFonts w:ascii="Arial" w:hAnsi="Arial" w:eastAsia="黑体"/>
      <w:b/>
      <w:kern w:val="2"/>
      <w:sz w:val="24"/>
      <w:szCs w:val="24"/>
      <w:lang w:val="en-US" w:eastAsia="zh-CN" w:bidi="ar-SA"/>
    </w:rPr>
  </w:style>
  <w:style w:type="character" w:customStyle="1" w:styleId="162">
    <w:name w:val="apple-converted-space"/>
    <w:basedOn w:val="54"/>
    <w:qFormat/>
    <w:uiPriority w:val="0"/>
  </w:style>
  <w:style w:type="paragraph" w:customStyle="1" w:styleId="163">
    <w:name w:val="标准书眉_偶数页"/>
    <w:basedOn w:val="164"/>
    <w:next w:val="1"/>
    <w:qFormat/>
    <w:uiPriority w:val="0"/>
    <w:pPr>
      <w:tabs>
        <w:tab w:val="center" w:pos="4154"/>
        <w:tab w:val="right" w:pos="8306"/>
      </w:tabs>
      <w:jc w:val="left"/>
    </w:pPr>
  </w:style>
  <w:style w:type="paragraph" w:customStyle="1" w:styleId="16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character" w:customStyle="1" w:styleId="165">
    <w:name w:val="Heading 7 Char1"/>
    <w:qFormat/>
    <w:locked/>
    <w:uiPriority w:val="0"/>
    <w:rPr>
      <w:rFonts w:eastAsia="宋体"/>
      <w:b/>
      <w:kern w:val="2"/>
      <w:sz w:val="24"/>
      <w:lang w:val="en-US" w:eastAsia="zh-CN"/>
    </w:rPr>
  </w:style>
  <w:style w:type="character" w:customStyle="1" w:styleId="166">
    <w:name w:val="row08"/>
    <w:qFormat/>
    <w:uiPriority w:val="0"/>
    <w:rPr>
      <w:rFonts w:cs="Times New Roman"/>
      <w:lang w:bidi="ar-SA"/>
    </w:rPr>
  </w:style>
  <w:style w:type="paragraph" w:customStyle="1" w:styleId="167">
    <w:name w:val="_Style 4"/>
    <w:basedOn w:val="1"/>
    <w:next w:val="168"/>
    <w:qFormat/>
    <w:uiPriority w:val="0"/>
    <w:pPr>
      <w:ind w:firstLine="420" w:firstLineChars="200"/>
    </w:pPr>
  </w:style>
  <w:style w:type="paragraph" w:customStyle="1" w:styleId="168">
    <w:name w:val="列表段落1"/>
    <w:basedOn w:val="1"/>
    <w:qFormat/>
    <w:uiPriority w:val="34"/>
    <w:pPr>
      <w:ind w:firstLine="420" w:firstLineChars="200"/>
    </w:pPr>
    <w:rPr>
      <w:rFonts w:ascii="Calibri" w:hAnsi="Calibri"/>
      <w:szCs w:val="22"/>
    </w:rPr>
  </w:style>
  <w:style w:type="character" w:customStyle="1" w:styleId="169">
    <w:name w:val="Comment Subject Char"/>
    <w:semiHidden/>
    <w:qFormat/>
    <w:locked/>
    <w:uiPriority w:val="0"/>
    <w:rPr>
      <w:b/>
      <w:kern w:val="2"/>
      <w:sz w:val="24"/>
    </w:rPr>
  </w:style>
  <w:style w:type="paragraph" w:customStyle="1" w:styleId="170">
    <w:name w:val="1"/>
    <w:basedOn w:val="1"/>
    <w:next w:val="28"/>
    <w:qFormat/>
    <w:uiPriority w:val="0"/>
    <w:rPr>
      <w:rFonts w:ascii="宋体" w:hAnsi="Courier New"/>
      <w:szCs w:val="20"/>
    </w:rPr>
  </w:style>
  <w:style w:type="character" w:customStyle="1" w:styleId="171">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72">
    <w:name w:val="文档结构图 字符3"/>
    <w:qFormat/>
    <w:uiPriority w:val="0"/>
    <w:rPr>
      <w:rFonts w:eastAsia="宋体"/>
      <w:kern w:val="2"/>
      <w:sz w:val="21"/>
      <w:szCs w:val="24"/>
      <w:lang w:val="en-US" w:eastAsia="zh-CN" w:bidi="ar-SA"/>
    </w:rPr>
  </w:style>
  <w:style w:type="character" w:customStyle="1" w:styleId="173">
    <w:name w:val="日期 字符"/>
    <w:qFormat/>
    <w:uiPriority w:val="0"/>
    <w:rPr>
      <w:rFonts w:ascii="宋体" w:hAnsi="Courier New" w:eastAsia="宋体" w:cs="Courier New"/>
      <w:kern w:val="2"/>
      <w:sz w:val="21"/>
      <w:szCs w:val="21"/>
      <w:lang w:val="en-US" w:eastAsia="zh-CN" w:bidi="ar-SA"/>
    </w:rPr>
  </w:style>
  <w:style w:type="paragraph" w:customStyle="1" w:styleId="174">
    <w:name w:val="附录二级条标题"/>
    <w:basedOn w:val="175"/>
    <w:next w:val="122"/>
    <w:qFormat/>
    <w:uiPriority w:val="0"/>
    <w:pPr>
      <w:numPr>
        <w:ilvl w:val="3"/>
      </w:numPr>
      <w:tabs>
        <w:tab w:val="left" w:pos="1418"/>
      </w:tabs>
      <w:outlineLvl w:val="3"/>
    </w:pPr>
  </w:style>
  <w:style w:type="paragraph" w:customStyle="1" w:styleId="175">
    <w:name w:val="附录一级条标题"/>
    <w:basedOn w:val="149"/>
    <w:next w:val="122"/>
    <w:qFormat/>
    <w:uiPriority w:val="0"/>
    <w:pPr>
      <w:numPr>
        <w:ilvl w:val="2"/>
        <w:numId w:val="5"/>
      </w:numPr>
      <w:autoSpaceDN w:val="0"/>
      <w:spacing w:beforeLines="0" w:afterLines="0"/>
      <w:outlineLvl w:val="2"/>
    </w:pPr>
  </w:style>
  <w:style w:type="character" w:customStyle="1" w:styleId="176">
    <w:name w:val="Body Text 2 Char"/>
    <w:qFormat/>
    <w:locked/>
    <w:uiPriority w:val="0"/>
    <w:rPr>
      <w:rFonts w:eastAsia="宋体"/>
      <w:kern w:val="2"/>
      <w:sz w:val="24"/>
      <w:lang w:val="en-US" w:eastAsia="zh-CN"/>
    </w:rPr>
  </w:style>
  <w:style w:type="paragraph" w:customStyle="1" w:styleId="177">
    <w:name w:val="纯文本1"/>
    <w:basedOn w:val="1"/>
    <w:link w:val="267"/>
    <w:qFormat/>
    <w:uiPriority w:val="0"/>
    <w:rPr>
      <w:rFonts w:ascii="宋体" w:hAnsi="Courier New"/>
      <w:szCs w:val="20"/>
    </w:rPr>
  </w:style>
  <w:style w:type="paragraph" w:customStyle="1" w:styleId="178">
    <w:name w:val="7"/>
    <w:basedOn w:val="15"/>
    <w:qFormat/>
    <w:uiPriority w:val="0"/>
    <w:pPr>
      <w:widowControl/>
      <w:ind w:firstLine="454"/>
      <w:jc w:val="left"/>
    </w:pPr>
    <w:rPr>
      <w:rFonts w:ascii="Tahoma" w:hAnsi="Tahoma" w:cs="宋体"/>
      <w:kern w:val="0"/>
      <w:sz w:val="24"/>
      <w:szCs w:val="20"/>
    </w:rPr>
  </w:style>
  <w:style w:type="paragraph" w:customStyle="1" w:styleId="179">
    <w:name w:val="无标题条"/>
    <w:next w:val="122"/>
    <w:qFormat/>
    <w:uiPriority w:val="0"/>
    <w:pPr>
      <w:jc w:val="both"/>
    </w:pPr>
    <w:rPr>
      <w:rFonts w:ascii="Times New Roman" w:hAnsi="Times New Roman" w:eastAsia="宋体" w:cs="Times New Roman"/>
      <w:sz w:val="21"/>
      <w:lang w:val="en-US" w:eastAsia="zh-CN" w:bidi="ar-SA"/>
    </w:rPr>
  </w:style>
  <w:style w:type="paragraph" w:customStyle="1" w:styleId="180">
    <w:name w:val="_Style 213"/>
    <w:semiHidden/>
    <w:qFormat/>
    <w:uiPriority w:val="99"/>
    <w:rPr>
      <w:rFonts w:ascii="Times New Roman" w:hAnsi="Times New Roman" w:eastAsia="宋体" w:cs="Times New Roman"/>
      <w:kern w:val="2"/>
      <w:sz w:val="21"/>
      <w:szCs w:val="24"/>
      <w:lang w:val="en-US" w:eastAsia="zh-CN" w:bidi="ar-SA"/>
    </w:rPr>
  </w:style>
  <w:style w:type="character" w:customStyle="1" w:styleId="181">
    <w:name w:val="标题 字符4"/>
    <w:qFormat/>
    <w:uiPriority w:val="0"/>
    <w:rPr>
      <w:rFonts w:ascii="Arial" w:hAnsi="Arial" w:eastAsia="宋体"/>
      <w:b/>
      <w:bCs/>
      <w:kern w:val="2"/>
      <w:sz w:val="32"/>
      <w:szCs w:val="32"/>
      <w:lang w:bidi="ar-SA"/>
    </w:rPr>
  </w:style>
  <w:style w:type="paragraph" w:customStyle="1" w:styleId="182">
    <w:name w:val="表内文字"/>
    <w:basedOn w:val="1"/>
    <w:qFormat/>
    <w:uiPriority w:val="0"/>
    <w:pPr>
      <w:snapToGrid w:val="0"/>
      <w:spacing w:before="50" w:after="50" w:line="360" w:lineRule="exact"/>
    </w:pPr>
    <w:rPr>
      <w:rFonts w:ascii="宋体" w:hAnsi="宋体"/>
      <w:b/>
      <w:color w:val="0000FF"/>
      <w:szCs w:val="21"/>
    </w:rPr>
  </w:style>
  <w:style w:type="character" w:customStyle="1" w:styleId="183">
    <w:name w:val="列出段落 Char"/>
    <w:link w:val="184"/>
    <w:qFormat/>
    <w:uiPriority w:val="0"/>
    <w:rPr>
      <w:rFonts w:ascii="Calibri" w:hAnsi="Calibri" w:eastAsia="宋体"/>
      <w:kern w:val="2"/>
      <w:sz w:val="21"/>
      <w:szCs w:val="22"/>
      <w:lang w:val="en-US" w:eastAsia="zh-CN" w:bidi="ar-SA"/>
    </w:rPr>
  </w:style>
  <w:style w:type="paragraph" w:customStyle="1" w:styleId="184">
    <w:name w:val="列出段落3"/>
    <w:basedOn w:val="1"/>
    <w:link w:val="183"/>
    <w:qFormat/>
    <w:uiPriority w:val="0"/>
    <w:pPr>
      <w:ind w:firstLine="420" w:firstLineChars="200"/>
    </w:pPr>
    <w:rPr>
      <w:rFonts w:ascii="Calibri" w:hAnsi="Calibri"/>
      <w:szCs w:val="22"/>
    </w:rPr>
  </w:style>
  <w:style w:type="character" w:customStyle="1" w:styleId="185">
    <w:name w:val="标题 1 字符2"/>
    <w:qFormat/>
    <w:uiPriority w:val="0"/>
    <w:rPr>
      <w:rFonts w:eastAsia="宋体"/>
      <w:b/>
      <w:bCs/>
      <w:kern w:val="44"/>
      <w:sz w:val="44"/>
      <w:szCs w:val="44"/>
      <w:lang w:val="en-US" w:eastAsia="zh-CN" w:bidi="ar-SA"/>
    </w:rPr>
  </w:style>
  <w:style w:type="character" w:customStyle="1" w:styleId="186">
    <w:name w:val="Heading 8 Char1"/>
    <w:qFormat/>
    <w:locked/>
    <w:uiPriority w:val="0"/>
    <w:rPr>
      <w:rFonts w:ascii="Arial" w:hAnsi="Arial" w:eastAsia="黑体"/>
      <w:kern w:val="2"/>
      <w:sz w:val="24"/>
      <w:lang w:val="en-US" w:eastAsia="zh-CN"/>
    </w:rPr>
  </w:style>
  <w:style w:type="character" w:customStyle="1" w:styleId="187">
    <w:name w:val="无间隔 字符7"/>
    <w:qFormat/>
    <w:uiPriority w:val="0"/>
    <w:rPr>
      <w:sz w:val="22"/>
      <w:szCs w:val="22"/>
      <w:lang w:val="en-US" w:eastAsia="zh-CN" w:bidi="ar-SA"/>
    </w:rPr>
  </w:style>
  <w:style w:type="character" w:customStyle="1" w:styleId="188">
    <w:name w:val="Char Char35"/>
    <w:qFormat/>
    <w:uiPriority w:val="0"/>
    <w:rPr>
      <w:rFonts w:eastAsia="宋体"/>
      <w:b/>
      <w:bCs/>
      <w:kern w:val="44"/>
      <w:sz w:val="44"/>
      <w:szCs w:val="44"/>
      <w:lang w:val="en-US" w:eastAsia="zh-CN" w:bidi="ar-SA"/>
    </w:rPr>
  </w:style>
  <w:style w:type="character" w:customStyle="1" w:styleId="189">
    <w:name w:val="标题 1 字符1"/>
    <w:qFormat/>
    <w:uiPriority w:val="0"/>
    <w:rPr>
      <w:rFonts w:eastAsia="宋体"/>
      <w:b/>
      <w:bCs/>
      <w:kern w:val="44"/>
      <w:sz w:val="44"/>
      <w:szCs w:val="44"/>
      <w:lang w:val="en-US" w:eastAsia="zh-CN" w:bidi="ar-SA"/>
    </w:rPr>
  </w:style>
  <w:style w:type="character" w:customStyle="1" w:styleId="190">
    <w:name w:val="普通文字 Char Char5"/>
    <w:qFormat/>
    <w:uiPriority w:val="0"/>
    <w:rPr>
      <w:rFonts w:ascii="宋体" w:hAnsi="Courier New" w:eastAsia="宋体" w:cs="Courier New"/>
      <w:kern w:val="2"/>
      <w:sz w:val="21"/>
      <w:szCs w:val="21"/>
      <w:lang w:val="en-US" w:eastAsia="zh-CN" w:bidi="ar-SA"/>
    </w:rPr>
  </w:style>
  <w:style w:type="character" w:customStyle="1" w:styleId="191">
    <w:name w:val="正文2 Char Char"/>
    <w:link w:val="192"/>
    <w:qFormat/>
    <w:locked/>
    <w:uiPriority w:val="0"/>
    <w:rPr>
      <w:kern w:val="2"/>
      <w:sz w:val="28"/>
      <w:szCs w:val="22"/>
      <w:lang w:bidi="ar-SA"/>
    </w:rPr>
  </w:style>
  <w:style w:type="paragraph" w:customStyle="1" w:styleId="192">
    <w:name w:val="正文2"/>
    <w:basedOn w:val="1"/>
    <w:link w:val="191"/>
    <w:qFormat/>
    <w:uiPriority w:val="0"/>
    <w:pPr>
      <w:spacing w:line="360" w:lineRule="auto"/>
      <w:ind w:firstLine="200" w:firstLineChars="200"/>
    </w:pPr>
    <w:rPr>
      <w:sz w:val="28"/>
      <w:szCs w:val="22"/>
    </w:rPr>
  </w:style>
  <w:style w:type="paragraph" w:customStyle="1" w:styleId="193">
    <w:name w:val="null3"/>
    <w:basedOn w:val="1"/>
    <w:unhideWhenUsed/>
    <w:qFormat/>
    <w:uiPriority w:val="99"/>
    <w:pPr>
      <w:widowControl/>
    </w:pPr>
    <w:rPr>
      <w:rFonts w:hint="eastAsia" w:ascii="Calibri" w:hAnsi="Calibri" w:cs="Calibri"/>
      <w:sz w:val="20"/>
      <w:szCs w:val="20"/>
    </w:rPr>
  </w:style>
  <w:style w:type="character" w:customStyle="1" w:styleId="194">
    <w:name w:val="正文文本缩进 2 Char"/>
    <w:link w:val="31"/>
    <w:qFormat/>
    <w:uiPriority w:val="0"/>
    <w:rPr>
      <w:rFonts w:eastAsia="宋体"/>
      <w:kern w:val="2"/>
      <w:sz w:val="32"/>
      <w:lang w:val="en-US" w:eastAsia="zh-CN" w:bidi="ar-SA"/>
    </w:rPr>
  </w:style>
  <w:style w:type="character" w:customStyle="1" w:styleId="195">
    <w:name w:val="无间隔 字符6"/>
    <w:qFormat/>
    <w:uiPriority w:val="0"/>
    <w:rPr>
      <w:sz w:val="22"/>
      <w:szCs w:val="22"/>
      <w:lang w:val="en-US" w:eastAsia="zh-CN" w:bidi="ar-SA"/>
    </w:rPr>
  </w:style>
  <w:style w:type="character" w:customStyle="1" w:styleId="196">
    <w:name w:val="H1 Char1"/>
    <w:qFormat/>
    <w:uiPriority w:val="0"/>
    <w:rPr>
      <w:rFonts w:eastAsia="宋体"/>
      <w:b/>
      <w:bCs/>
      <w:kern w:val="44"/>
      <w:sz w:val="44"/>
      <w:szCs w:val="44"/>
      <w:lang w:val="en-US" w:eastAsia="zh-CN" w:bidi="ar-SA"/>
    </w:rPr>
  </w:style>
  <w:style w:type="character" w:customStyle="1" w:styleId="197">
    <w:name w:val="标题 4 Char"/>
    <w:link w:val="5"/>
    <w:qFormat/>
    <w:uiPriority w:val="0"/>
    <w:rPr>
      <w:rFonts w:ascii="Arial" w:hAnsi="Arial" w:eastAsia="黑体"/>
      <w:sz w:val="28"/>
      <w:lang w:bidi="ar-SA"/>
    </w:rPr>
  </w:style>
  <w:style w:type="paragraph" w:customStyle="1" w:styleId="198">
    <w:name w:val="注×："/>
    <w:qFormat/>
    <w:uiPriority w:val="0"/>
    <w:pPr>
      <w:widowControl w:val="0"/>
      <w:numPr>
        <w:ilvl w:val="0"/>
        <w:numId w:val="6"/>
      </w:numPr>
      <w:tabs>
        <w:tab w:val="left" w:pos="630"/>
      </w:tabs>
      <w:autoSpaceDE w:val="0"/>
      <w:autoSpaceDN w:val="0"/>
      <w:jc w:val="both"/>
    </w:pPr>
    <w:rPr>
      <w:rFonts w:ascii="宋体" w:hAnsi="Times New Roman" w:eastAsia="宋体" w:cs="Times New Roman"/>
      <w:sz w:val="18"/>
      <w:lang w:val="en-US" w:eastAsia="zh-CN" w:bidi="ar-SA"/>
    </w:rPr>
  </w:style>
  <w:style w:type="character" w:customStyle="1" w:styleId="199">
    <w:name w:val="文档结构图 字符"/>
    <w:qFormat/>
    <w:uiPriority w:val="0"/>
    <w:rPr>
      <w:rFonts w:eastAsia="宋体"/>
      <w:kern w:val="2"/>
      <w:sz w:val="21"/>
      <w:szCs w:val="24"/>
      <w:lang w:val="en-US" w:eastAsia="zh-CN" w:bidi="ar-SA"/>
    </w:rPr>
  </w:style>
  <w:style w:type="character" w:customStyle="1" w:styleId="200">
    <w:name w:val="标题 6 字符"/>
    <w:qFormat/>
    <w:uiPriority w:val="0"/>
    <w:rPr>
      <w:rFonts w:ascii="Arial" w:hAnsi="Arial" w:eastAsia="黑体"/>
      <w:b/>
      <w:kern w:val="2"/>
      <w:sz w:val="24"/>
      <w:szCs w:val="24"/>
      <w:lang w:val="en-US" w:eastAsia="zh-CN" w:bidi="ar-SA"/>
    </w:rPr>
  </w:style>
  <w:style w:type="character" w:customStyle="1" w:styleId="201">
    <w:name w:val="Heading 6 Char1"/>
    <w:qFormat/>
    <w:locked/>
    <w:uiPriority w:val="0"/>
    <w:rPr>
      <w:rFonts w:ascii="Arial" w:hAnsi="Arial" w:eastAsia="黑体"/>
      <w:b/>
      <w:kern w:val="2"/>
      <w:sz w:val="24"/>
      <w:lang w:val="en-US" w:eastAsia="zh-CN"/>
    </w:rPr>
  </w:style>
  <w:style w:type="character" w:customStyle="1" w:styleId="202">
    <w:name w:val="Char Char32"/>
    <w:qFormat/>
    <w:uiPriority w:val="0"/>
    <w:rPr>
      <w:rFonts w:ascii="Arial" w:hAnsi="Arial" w:eastAsia="黑体"/>
      <w:b/>
      <w:bCs/>
      <w:sz w:val="32"/>
      <w:szCs w:val="32"/>
      <w:lang w:bidi="ar-SA"/>
    </w:rPr>
  </w:style>
  <w:style w:type="character" w:customStyle="1" w:styleId="203">
    <w:name w:val="纯文本 字符2"/>
    <w:qFormat/>
    <w:uiPriority w:val="0"/>
    <w:rPr>
      <w:rFonts w:ascii="宋体" w:hAnsi="Courier New" w:eastAsia="宋体" w:cs="Courier New"/>
      <w:kern w:val="2"/>
      <w:sz w:val="21"/>
      <w:szCs w:val="21"/>
      <w:lang w:val="en-US" w:eastAsia="zh-CN" w:bidi="ar-SA"/>
    </w:rPr>
  </w:style>
  <w:style w:type="character" w:customStyle="1" w:styleId="204">
    <w:name w:val="Char Char43"/>
    <w:qFormat/>
    <w:uiPriority w:val="0"/>
    <w:rPr>
      <w:rFonts w:eastAsia="宋体"/>
      <w:b/>
      <w:bCs/>
      <w:sz w:val="32"/>
      <w:szCs w:val="32"/>
      <w:lang w:bidi="ar-SA"/>
    </w:rPr>
  </w:style>
  <w:style w:type="character" w:customStyle="1" w:styleId="205">
    <w:name w:val="Char Char321"/>
    <w:qFormat/>
    <w:uiPriority w:val="0"/>
    <w:rPr>
      <w:rFonts w:ascii="Arial" w:hAnsi="Arial" w:eastAsia="黑体"/>
      <w:b/>
      <w:sz w:val="32"/>
    </w:rPr>
  </w:style>
  <w:style w:type="character" w:customStyle="1" w:styleId="206">
    <w:name w:val="15"/>
    <w:basedOn w:val="54"/>
    <w:qFormat/>
    <w:uiPriority w:val="0"/>
    <w:rPr>
      <w:rFonts w:hint="default" w:ascii="Times New Roman" w:hAnsi="Times New Roman" w:eastAsia="宋体" w:cs="Times New Roman"/>
      <w:color w:val="FF0000"/>
      <w:u w:val="single"/>
    </w:rPr>
  </w:style>
  <w:style w:type="character" w:customStyle="1" w:styleId="207">
    <w:name w:val="段 Char Char"/>
    <w:link w:val="122"/>
    <w:qFormat/>
    <w:locked/>
    <w:uiPriority w:val="0"/>
    <w:rPr>
      <w:rFonts w:ascii="宋体"/>
      <w:sz w:val="21"/>
      <w:lang w:val="en-US" w:eastAsia="zh-CN" w:bidi="ar-SA"/>
    </w:rPr>
  </w:style>
  <w:style w:type="paragraph" w:customStyle="1" w:styleId="208">
    <w:name w:val="Char Char Char Char Char Char Char Char Char"/>
    <w:basedOn w:val="1"/>
    <w:qFormat/>
    <w:uiPriority w:val="0"/>
    <w:pPr>
      <w:widowControl/>
      <w:spacing w:after="160" w:line="240" w:lineRule="exact"/>
      <w:jc w:val="left"/>
    </w:pPr>
    <w:rPr>
      <w:szCs w:val="20"/>
    </w:rPr>
  </w:style>
  <w:style w:type="paragraph" w:customStyle="1" w:styleId="209">
    <w:name w:val="文章总标题"/>
    <w:basedOn w:val="1"/>
    <w:next w:val="210"/>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210">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character" w:customStyle="1" w:styleId="211">
    <w:name w:val="批注主题 Char"/>
    <w:link w:val="50"/>
    <w:semiHidden/>
    <w:qFormat/>
    <w:uiPriority w:val="0"/>
    <w:rPr>
      <w:b/>
      <w:bCs/>
      <w:kern w:val="2"/>
      <w:sz w:val="21"/>
      <w:szCs w:val="24"/>
    </w:rPr>
  </w:style>
  <w:style w:type="character" w:customStyle="1" w:styleId="212">
    <w:name w:val="脚注文本 Char"/>
    <w:basedOn w:val="54"/>
    <w:link w:val="39"/>
    <w:qFormat/>
    <w:locked/>
    <w:uiPriority w:val="0"/>
    <w:rPr>
      <w:rFonts w:ascii="宋体" w:eastAsia="宋体"/>
      <w:kern w:val="21"/>
      <w:sz w:val="18"/>
      <w:szCs w:val="18"/>
      <w:lang w:val="en-US" w:eastAsia="zh-CN" w:bidi="ar-SA"/>
    </w:rPr>
  </w:style>
  <w:style w:type="character" w:customStyle="1" w:styleId="213">
    <w:name w:val="Char Char59"/>
    <w:qFormat/>
    <w:uiPriority w:val="0"/>
    <w:rPr>
      <w:rFonts w:eastAsia="宋体"/>
      <w:b/>
      <w:bCs/>
      <w:sz w:val="32"/>
      <w:szCs w:val="32"/>
      <w:lang w:bidi="ar-SA"/>
    </w:rPr>
  </w:style>
  <w:style w:type="paragraph" w:customStyle="1" w:styleId="214">
    <w:name w:val="No Spacing11"/>
    <w:link w:val="25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15">
    <w:name w:val="标题 8 Char"/>
    <w:link w:val="10"/>
    <w:qFormat/>
    <w:uiPriority w:val="0"/>
    <w:rPr>
      <w:rFonts w:ascii="Arial" w:hAnsi="Arial" w:eastAsia="黑体"/>
      <w:kern w:val="2"/>
      <w:sz w:val="24"/>
      <w:szCs w:val="24"/>
      <w:lang w:val="en-US" w:eastAsia="zh-CN" w:bidi="ar-SA"/>
    </w:rPr>
  </w:style>
  <w:style w:type="character" w:customStyle="1" w:styleId="216">
    <w:name w:val="ca-14"/>
    <w:basedOn w:val="54"/>
    <w:qFormat/>
    <w:uiPriority w:val="0"/>
  </w:style>
  <w:style w:type="character" w:customStyle="1" w:styleId="217">
    <w:name w:val="Footer Char1"/>
    <w:qFormat/>
    <w:locked/>
    <w:uiPriority w:val="0"/>
    <w:rPr>
      <w:rFonts w:eastAsia="宋体"/>
      <w:kern w:val="2"/>
      <w:sz w:val="18"/>
      <w:lang w:val="en-US" w:eastAsia="zh-CN"/>
    </w:rPr>
  </w:style>
  <w:style w:type="character" w:customStyle="1" w:styleId="218">
    <w:name w:val="无间隔 字符5"/>
    <w:qFormat/>
    <w:uiPriority w:val="0"/>
    <w:rPr>
      <w:sz w:val="22"/>
      <w:szCs w:val="22"/>
      <w:lang w:val="en-US" w:eastAsia="zh-CN" w:bidi="ar-SA"/>
    </w:rPr>
  </w:style>
  <w:style w:type="character" w:customStyle="1" w:styleId="219">
    <w:name w:val="Char Char12"/>
    <w:qFormat/>
    <w:uiPriority w:val="0"/>
    <w:rPr>
      <w:rFonts w:ascii="宋体" w:eastAsia="宋体" w:cs="Courier New"/>
      <w:kern w:val="2"/>
      <w:sz w:val="21"/>
      <w:szCs w:val="21"/>
      <w:lang w:val="en-US" w:eastAsia="zh-CN" w:bidi="ar-SA"/>
    </w:rPr>
  </w:style>
  <w:style w:type="character" w:customStyle="1" w:styleId="220">
    <w:name w:val="标题 4 字符"/>
    <w:qFormat/>
    <w:uiPriority w:val="0"/>
    <w:rPr>
      <w:rFonts w:ascii="Arial" w:hAnsi="Arial" w:eastAsia="黑体"/>
      <w:sz w:val="28"/>
      <w:lang w:bidi="ar-SA"/>
    </w:rPr>
  </w:style>
  <w:style w:type="paragraph" w:customStyle="1" w:styleId="221">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2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3">
    <w:name w:val="列出段落1"/>
    <w:qFormat/>
    <w:uiPriority w:val="0"/>
    <w:pPr>
      <w:ind w:firstLine="420" w:firstLineChars="200"/>
    </w:pPr>
    <w:rPr>
      <w:rFonts w:ascii="Times New Roman" w:hAnsi="Times New Roman" w:eastAsia="宋体" w:cs="Times New Roman"/>
      <w:szCs w:val="22"/>
      <w:lang w:val="en-US" w:eastAsia="zh-CN" w:bidi="ar-SA"/>
    </w:rPr>
  </w:style>
  <w:style w:type="character" w:customStyle="1" w:styleId="224">
    <w:name w:val="正文文本 2 字符4"/>
    <w:qFormat/>
    <w:uiPriority w:val="0"/>
    <w:rPr>
      <w:rFonts w:eastAsia="宋体"/>
      <w:kern w:val="2"/>
      <w:sz w:val="21"/>
      <w:szCs w:val="24"/>
      <w:lang w:val="en-US" w:eastAsia="zh-CN" w:bidi="ar-SA"/>
    </w:rPr>
  </w:style>
  <w:style w:type="character" w:customStyle="1" w:styleId="225">
    <w:name w:val="纯文本 字符5"/>
    <w:qFormat/>
    <w:uiPriority w:val="0"/>
    <w:rPr>
      <w:rFonts w:ascii="宋体" w:hAnsi="Courier New" w:eastAsia="宋体" w:cs="Courier New"/>
      <w:kern w:val="2"/>
      <w:sz w:val="21"/>
      <w:szCs w:val="21"/>
      <w:lang w:val="en-US" w:eastAsia="zh-CN" w:bidi="ar-SA"/>
    </w:rPr>
  </w:style>
  <w:style w:type="character" w:customStyle="1" w:styleId="226">
    <w:name w:val="Comment Text Char"/>
    <w:qFormat/>
    <w:locked/>
    <w:uiPriority w:val="0"/>
    <w:rPr>
      <w:rFonts w:eastAsia="宋体"/>
      <w:sz w:val="24"/>
    </w:rPr>
  </w:style>
  <w:style w:type="paragraph" w:customStyle="1" w:styleId="227">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character" w:customStyle="1" w:styleId="228">
    <w:name w:val="正文文本缩进 3 字符4"/>
    <w:qFormat/>
    <w:uiPriority w:val="0"/>
    <w:rPr>
      <w:rFonts w:eastAsia="宋体"/>
      <w:kern w:val="2"/>
      <w:sz w:val="16"/>
      <w:szCs w:val="16"/>
      <w:lang w:val="en-US" w:eastAsia="zh-CN" w:bidi="ar-SA"/>
    </w:rPr>
  </w:style>
  <w:style w:type="paragraph" w:customStyle="1" w:styleId="229">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character" w:customStyle="1" w:styleId="230">
    <w:name w:val="Date Char1"/>
    <w:qFormat/>
    <w:locked/>
    <w:uiPriority w:val="0"/>
    <w:rPr>
      <w:rFonts w:ascii="宋体" w:hAnsi="Courier New" w:eastAsia="宋体"/>
      <w:kern w:val="2"/>
      <w:sz w:val="21"/>
      <w:lang w:val="en-US" w:eastAsia="zh-CN"/>
    </w:rPr>
  </w:style>
  <w:style w:type="character" w:customStyle="1" w:styleId="231">
    <w:name w:val="标题 5 字符"/>
    <w:qFormat/>
    <w:uiPriority w:val="0"/>
    <w:rPr>
      <w:rFonts w:eastAsia="宋体"/>
      <w:b/>
      <w:kern w:val="2"/>
      <w:sz w:val="28"/>
      <w:szCs w:val="24"/>
      <w:lang w:val="en-US" w:eastAsia="zh-CN" w:bidi="ar-SA"/>
    </w:rPr>
  </w:style>
  <w:style w:type="character" w:customStyle="1" w:styleId="232">
    <w:name w:val="标题 5 字符1"/>
    <w:qFormat/>
    <w:uiPriority w:val="0"/>
    <w:rPr>
      <w:rFonts w:eastAsia="宋体"/>
      <w:b/>
      <w:kern w:val="2"/>
      <w:sz w:val="28"/>
      <w:szCs w:val="24"/>
      <w:lang w:val="en-US" w:eastAsia="zh-CN" w:bidi="ar-SA"/>
    </w:rPr>
  </w:style>
  <w:style w:type="character" w:customStyle="1" w:styleId="233">
    <w:name w:val="Char Char51"/>
    <w:qFormat/>
    <w:uiPriority w:val="0"/>
    <w:rPr>
      <w:rFonts w:eastAsia="宋体"/>
      <w:b/>
      <w:bCs/>
      <w:sz w:val="32"/>
      <w:szCs w:val="32"/>
      <w:lang w:bidi="ar-SA"/>
    </w:rPr>
  </w:style>
  <w:style w:type="character" w:customStyle="1" w:styleId="234">
    <w:name w:val="标题 5 字符4"/>
    <w:qFormat/>
    <w:uiPriority w:val="0"/>
    <w:rPr>
      <w:rFonts w:eastAsia="宋体"/>
      <w:b/>
      <w:kern w:val="2"/>
      <w:sz w:val="28"/>
      <w:szCs w:val="24"/>
      <w:lang w:val="en-US" w:eastAsia="zh-CN" w:bidi="ar-SA"/>
    </w:rPr>
  </w:style>
  <w:style w:type="character" w:customStyle="1" w:styleId="235">
    <w:name w:val="批注框文本 Char"/>
    <w:link w:val="33"/>
    <w:semiHidden/>
    <w:qFormat/>
    <w:uiPriority w:val="0"/>
    <w:rPr>
      <w:rFonts w:eastAsia="宋体"/>
      <w:kern w:val="2"/>
      <w:sz w:val="18"/>
      <w:szCs w:val="18"/>
      <w:lang w:val="en-US" w:eastAsia="zh-CN" w:bidi="ar-SA"/>
    </w:rPr>
  </w:style>
  <w:style w:type="character" w:customStyle="1" w:styleId="236">
    <w:name w:val="正文文本 2 字符2"/>
    <w:qFormat/>
    <w:uiPriority w:val="0"/>
    <w:rPr>
      <w:rFonts w:eastAsia="宋体"/>
      <w:kern w:val="2"/>
      <w:sz w:val="21"/>
      <w:szCs w:val="24"/>
      <w:lang w:val="en-US" w:eastAsia="zh-CN" w:bidi="ar-SA"/>
    </w:rPr>
  </w:style>
  <w:style w:type="paragraph" w:customStyle="1" w:styleId="237">
    <w:name w:val="附录标识"/>
    <w:basedOn w:val="238"/>
    <w:qFormat/>
    <w:uiPriority w:val="0"/>
    <w:pPr>
      <w:numPr>
        <w:ilvl w:val="0"/>
        <w:numId w:val="5"/>
      </w:numPr>
      <w:tabs>
        <w:tab w:val="left" w:pos="6405"/>
      </w:tabs>
      <w:spacing w:after="200"/>
      <w:ind w:firstLine="0"/>
    </w:pPr>
    <w:rPr>
      <w:sz w:val="21"/>
    </w:rPr>
  </w:style>
  <w:style w:type="paragraph" w:customStyle="1" w:styleId="238">
    <w:name w:val="前言、引言标题"/>
    <w:next w:val="1"/>
    <w:qFormat/>
    <w:uiPriority w:val="0"/>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39">
    <w:name w:val="4"/>
    <w:basedOn w:val="1"/>
    <w:next w:val="31"/>
    <w:qFormat/>
    <w:uiPriority w:val="0"/>
    <w:pPr>
      <w:spacing w:line="420" w:lineRule="exact"/>
      <w:ind w:firstLine="409" w:firstLineChars="195"/>
    </w:pPr>
  </w:style>
  <w:style w:type="paragraph" w:customStyle="1" w:styleId="240">
    <w:name w:val="列出段落11"/>
    <w:basedOn w:val="1"/>
    <w:qFormat/>
    <w:uiPriority w:val="0"/>
    <w:pPr>
      <w:ind w:firstLine="200" w:firstLineChars="200"/>
    </w:pPr>
    <w:rPr>
      <w:sz w:val="24"/>
    </w:rPr>
  </w:style>
  <w:style w:type="paragraph" w:customStyle="1" w:styleId="241">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42">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43">
    <w:name w:val="2ji"/>
    <w:basedOn w:val="4"/>
    <w:qFormat/>
    <w:uiPriority w:val="0"/>
    <w:pPr>
      <w:adjustRightInd w:val="0"/>
      <w:spacing w:before="0" w:after="0" w:line="360" w:lineRule="auto"/>
      <w:textAlignment w:val="baseline"/>
    </w:pPr>
    <w:rPr>
      <w:rFonts w:ascii="宋体" w:hAnsi="宋体" w:eastAsia="宋体"/>
      <w:sz w:val="21"/>
      <w:szCs w:val="21"/>
    </w:rPr>
  </w:style>
  <w:style w:type="character" w:customStyle="1" w:styleId="244">
    <w:name w:val="标题 4 字符3"/>
    <w:qFormat/>
    <w:uiPriority w:val="0"/>
    <w:rPr>
      <w:rFonts w:ascii="Arial" w:hAnsi="Arial" w:eastAsia="黑体"/>
      <w:sz w:val="28"/>
      <w:lang w:bidi="ar-SA"/>
    </w:rPr>
  </w:style>
  <w:style w:type="paragraph" w:customStyle="1" w:styleId="245">
    <w:name w:val="Body text|1"/>
    <w:basedOn w:val="1"/>
    <w:link w:val="520"/>
    <w:qFormat/>
    <w:uiPriority w:val="0"/>
    <w:pPr>
      <w:spacing w:line="353" w:lineRule="auto"/>
      <w:ind w:firstLine="400"/>
      <w:jc w:val="left"/>
    </w:pPr>
    <w:rPr>
      <w:rFonts w:ascii="宋体" w:hAnsi="宋体"/>
      <w:kern w:val="0"/>
      <w:sz w:val="30"/>
      <w:szCs w:val="30"/>
    </w:rPr>
  </w:style>
  <w:style w:type="character" w:customStyle="1" w:styleId="246">
    <w:name w:val="Char Char101"/>
    <w:semiHidden/>
    <w:qFormat/>
    <w:uiPriority w:val="0"/>
    <w:rPr>
      <w:rFonts w:eastAsia="宋体"/>
      <w:kern w:val="2"/>
      <w:sz w:val="24"/>
      <w:lang w:val="en-US" w:eastAsia="zh-CN"/>
    </w:rPr>
  </w:style>
  <w:style w:type="character" w:customStyle="1" w:styleId="247">
    <w:name w:val="ca-12"/>
    <w:basedOn w:val="54"/>
    <w:qFormat/>
    <w:uiPriority w:val="0"/>
  </w:style>
  <w:style w:type="paragraph" w:customStyle="1" w:styleId="248">
    <w:name w:val="Char131"/>
    <w:basedOn w:val="1"/>
    <w:qFormat/>
    <w:uiPriority w:val="0"/>
    <w:rPr>
      <w:szCs w:val="21"/>
    </w:rPr>
  </w:style>
  <w:style w:type="character" w:customStyle="1" w:styleId="249">
    <w:name w:val="正文文本 字符1"/>
    <w:qFormat/>
    <w:uiPriority w:val="0"/>
    <w:rPr>
      <w:rFonts w:eastAsia="宋体"/>
      <w:kern w:val="2"/>
      <w:sz w:val="24"/>
      <w:szCs w:val="24"/>
      <w:lang w:val="en-US" w:eastAsia="zh-CN" w:bidi="ar-SA"/>
    </w:rPr>
  </w:style>
  <w:style w:type="character" w:customStyle="1" w:styleId="250">
    <w:name w:val="p1"/>
    <w:basedOn w:val="54"/>
    <w:qFormat/>
    <w:uiPriority w:val="0"/>
  </w:style>
  <w:style w:type="character" w:customStyle="1" w:styleId="251">
    <w:name w:val="No Spacing Char"/>
    <w:link w:val="214"/>
    <w:qFormat/>
    <w:locked/>
    <w:uiPriority w:val="0"/>
    <w:rPr>
      <w:kern w:val="2"/>
      <w:sz w:val="21"/>
      <w:szCs w:val="22"/>
      <w:lang w:val="en-US" w:eastAsia="zh-CN" w:bidi="ar-SA"/>
    </w:rPr>
  </w:style>
  <w:style w:type="paragraph" w:customStyle="1" w:styleId="25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character" w:customStyle="1" w:styleId="253">
    <w:name w:val="正文文本 3 Char"/>
    <w:link w:val="19"/>
    <w:qFormat/>
    <w:uiPriority w:val="0"/>
    <w:rPr>
      <w:rFonts w:eastAsia="宋体"/>
      <w:b/>
      <w:bCs/>
      <w:kern w:val="2"/>
      <w:sz w:val="24"/>
      <w:szCs w:val="24"/>
      <w:lang w:val="en-US" w:eastAsia="zh-CN" w:bidi="ar-SA"/>
    </w:rPr>
  </w:style>
  <w:style w:type="character" w:customStyle="1" w:styleId="254">
    <w:name w:val="标题 字符3"/>
    <w:qFormat/>
    <w:uiPriority w:val="0"/>
    <w:rPr>
      <w:rFonts w:ascii="Arial" w:hAnsi="Arial" w:eastAsia="宋体"/>
      <w:b/>
      <w:bCs/>
      <w:kern w:val="2"/>
      <w:sz w:val="32"/>
      <w:szCs w:val="32"/>
      <w:lang w:bidi="ar-SA"/>
    </w:rPr>
  </w:style>
  <w:style w:type="paragraph" w:customStyle="1" w:styleId="255">
    <w:name w:val="五级条标题"/>
    <w:basedOn w:val="256"/>
    <w:next w:val="122"/>
    <w:qFormat/>
    <w:uiPriority w:val="0"/>
    <w:pPr>
      <w:numPr>
        <w:ilvl w:val="6"/>
      </w:numPr>
      <w:tabs>
        <w:tab w:val="left" w:pos="312"/>
        <w:tab w:val="left" w:pos="360"/>
      </w:tabs>
      <w:outlineLvl w:val="6"/>
    </w:pPr>
  </w:style>
  <w:style w:type="paragraph" w:customStyle="1" w:styleId="256">
    <w:name w:val="四级条标题"/>
    <w:basedOn w:val="257"/>
    <w:next w:val="122"/>
    <w:qFormat/>
    <w:uiPriority w:val="0"/>
    <w:pPr>
      <w:numPr>
        <w:ilvl w:val="5"/>
      </w:numPr>
      <w:tabs>
        <w:tab w:val="left" w:pos="312"/>
        <w:tab w:val="left" w:pos="360"/>
      </w:tabs>
      <w:ind w:left="2316"/>
      <w:outlineLvl w:val="5"/>
    </w:pPr>
  </w:style>
  <w:style w:type="paragraph" w:customStyle="1" w:styleId="257">
    <w:name w:val="三级条标题"/>
    <w:basedOn w:val="119"/>
    <w:next w:val="122"/>
    <w:link w:val="303"/>
    <w:qFormat/>
    <w:uiPriority w:val="0"/>
  </w:style>
  <w:style w:type="character" w:customStyle="1" w:styleId="258">
    <w:name w:val="尾注文本 字符3"/>
    <w:qFormat/>
    <w:uiPriority w:val="0"/>
    <w:rPr>
      <w:rFonts w:ascii="Calibri" w:hAnsi="Calibri"/>
      <w:kern w:val="2"/>
      <w:sz w:val="21"/>
      <w:szCs w:val="22"/>
    </w:rPr>
  </w:style>
  <w:style w:type="paragraph" w:customStyle="1" w:styleId="259">
    <w:name w:val="纯文本111"/>
    <w:basedOn w:val="1"/>
    <w:qFormat/>
    <w:uiPriority w:val="0"/>
    <w:rPr>
      <w:rFonts w:ascii="宋体"/>
      <w:szCs w:val="21"/>
    </w:rPr>
  </w:style>
  <w:style w:type="character" w:customStyle="1" w:styleId="260">
    <w:name w:val="Char Char14"/>
    <w:qFormat/>
    <w:uiPriority w:val="0"/>
    <w:rPr>
      <w:sz w:val="18"/>
      <w:szCs w:val="18"/>
    </w:rPr>
  </w:style>
  <w:style w:type="paragraph" w:customStyle="1" w:styleId="261">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character" w:customStyle="1" w:styleId="262">
    <w:name w:val="Char Char56"/>
    <w:qFormat/>
    <w:uiPriority w:val="0"/>
    <w:rPr>
      <w:rFonts w:ascii="Arial" w:hAnsi="Arial" w:eastAsia="黑体"/>
      <w:b/>
      <w:bCs/>
      <w:sz w:val="32"/>
      <w:szCs w:val="32"/>
      <w:lang w:bidi="ar-SA"/>
    </w:rPr>
  </w:style>
  <w:style w:type="character" w:customStyle="1" w:styleId="263">
    <w:name w:val="纯文本 字符4"/>
    <w:qFormat/>
    <w:uiPriority w:val="0"/>
    <w:rPr>
      <w:rFonts w:ascii="宋体" w:hAnsi="Courier New" w:eastAsia="宋体" w:cs="Courier New"/>
      <w:kern w:val="2"/>
      <w:sz w:val="21"/>
      <w:szCs w:val="21"/>
      <w:lang w:val="en-US" w:eastAsia="zh-CN" w:bidi="ar-SA"/>
    </w:rPr>
  </w:style>
  <w:style w:type="paragraph" w:customStyle="1" w:styleId="264">
    <w:name w:val="Char Char19 Char Char Char Char11"/>
    <w:basedOn w:val="15"/>
    <w:qFormat/>
    <w:uiPriority w:val="0"/>
    <w:pPr>
      <w:widowControl/>
      <w:ind w:firstLine="454"/>
      <w:jc w:val="left"/>
    </w:pPr>
  </w:style>
  <w:style w:type="character" w:customStyle="1" w:styleId="265">
    <w:name w:val="Char Char37"/>
    <w:qFormat/>
    <w:uiPriority w:val="0"/>
    <w:rPr>
      <w:rFonts w:eastAsia="宋体"/>
      <w:b/>
      <w:bCs/>
      <w:kern w:val="44"/>
      <w:sz w:val="44"/>
      <w:szCs w:val="44"/>
      <w:lang w:val="en-US" w:eastAsia="zh-CN" w:bidi="ar-SA"/>
    </w:rPr>
  </w:style>
  <w:style w:type="character" w:customStyle="1" w:styleId="266">
    <w:name w:val="标题 9 字符1"/>
    <w:qFormat/>
    <w:uiPriority w:val="0"/>
    <w:rPr>
      <w:rFonts w:ascii="Arial" w:hAnsi="Arial" w:eastAsia="黑体"/>
      <w:kern w:val="2"/>
      <w:sz w:val="21"/>
      <w:szCs w:val="24"/>
      <w:lang w:val="en-US" w:eastAsia="zh-CN" w:bidi="ar-SA"/>
    </w:rPr>
  </w:style>
  <w:style w:type="character" w:customStyle="1" w:styleId="267">
    <w:name w:val="Plain Text Char"/>
    <w:link w:val="177"/>
    <w:qFormat/>
    <w:locked/>
    <w:uiPriority w:val="0"/>
    <w:rPr>
      <w:rFonts w:ascii="宋体" w:hAnsi="Courier New" w:eastAsia="宋体"/>
      <w:kern w:val="2"/>
      <w:sz w:val="21"/>
    </w:rPr>
  </w:style>
  <w:style w:type="character" w:customStyle="1" w:styleId="268">
    <w:name w:val="mark13"/>
    <w:basedOn w:val="54"/>
    <w:qFormat/>
    <w:uiPriority w:val="0"/>
  </w:style>
  <w:style w:type="character" w:customStyle="1" w:styleId="269">
    <w:name w:val="Char Char3"/>
    <w:qFormat/>
    <w:locked/>
    <w:uiPriority w:val="0"/>
    <w:rPr>
      <w:rFonts w:ascii="宋体" w:hAnsi="Courier New" w:eastAsia="宋体" w:cs="Courier New"/>
      <w:kern w:val="2"/>
      <w:sz w:val="21"/>
      <w:szCs w:val="21"/>
      <w:lang w:val="en-US" w:eastAsia="zh-CN" w:bidi="ar-SA"/>
    </w:rPr>
  </w:style>
  <w:style w:type="paragraph" w:customStyle="1" w:styleId="270">
    <w:name w:val="标准书眉一"/>
    <w:qFormat/>
    <w:uiPriority w:val="0"/>
    <w:pPr>
      <w:jc w:val="both"/>
    </w:pPr>
    <w:rPr>
      <w:rFonts w:ascii="Times New Roman" w:hAnsi="Times New Roman" w:eastAsia="宋体" w:cs="Times New Roman"/>
      <w:lang w:val="en-US" w:eastAsia="zh-CN" w:bidi="ar-SA"/>
    </w:rPr>
  </w:style>
  <w:style w:type="paragraph" w:customStyle="1" w:styleId="271">
    <w:name w:val="Table Text"/>
    <w:basedOn w:val="1"/>
    <w:semiHidden/>
    <w:qFormat/>
    <w:uiPriority w:val="0"/>
    <w:rPr>
      <w:rFonts w:ascii="宋体" w:hAnsi="宋体" w:cs="宋体"/>
      <w:sz w:val="20"/>
      <w:szCs w:val="20"/>
    </w:rPr>
  </w:style>
  <w:style w:type="character" w:customStyle="1" w:styleId="272">
    <w:name w:val="ca-2"/>
    <w:basedOn w:val="54"/>
    <w:qFormat/>
    <w:uiPriority w:val="0"/>
  </w:style>
  <w:style w:type="paragraph" w:customStyle="1" w:styleId="273">
    <w:name w:val="msolistparagraph"/>
    <w:basedOn w:val="1"/>
    <w:qFormat/>
    <w:uiPriority w:val="0"/>
    <w:pPr>
      <w:ind w:firstLine="420" w:firstLineChars="200"/>
    </w:pPr>
    <w:rPr>
      <w:rFonts w:ascii="Calibri" w:hAnsi="Calibri"/>
      <w:szCs w:val="22"/>
    </w:rPr>
  </w:style>
  <w:style w:type="character" w:customStyle="1" w:styleId="274">
    <w:name w:val="页眉 字符4"/>
    <w:qFormat/>
    <w:uiPriority w:val="0"/>
    <w:rPr>
      <w:rFonts w:eastAsia="宋体"/>
      <w:kern w:val="2"/>
      <w:sz w:val="18"/>
      <w:szCs w:val="18"/>
      <w:lang w:val="en-US" w:eastAsia="zh-CN" w:bidi="ar-SA"/>
    </w:rPr>
  </w:style>
  <w:style w:type="paragraph" w:customStyle="1" w:styleId="275">
    <w:name w:val="封面标准代替信息"/>
    <w:basedOn w:val="276"/>
    <w:qFormat/>
    <w:uiPriority w:val="0"/>
    <w:pPr>
      <w:spacing w:before="57"/>
    </w:pPr>
    <w:rPr>
      <w:rFonts w:ascii="宋体"/>
      <w:sz w:val="21"/>
    </w:rPr>
  </w:style>
  <w:style w:type="paragraph" w:customStyle="1" w:styleId="276">
    <w:name w:val="封面标准号2"/>
    <w:basedOn w:val="277"/>
    <w:qFormat/>
    <w:uiPriority w:val="0"/>
    <w:pPr>
      <w:adjustRightInd w:val="0"/>
      <w:spacing w:before="357" w:line="280" w:lineRule="exact"/>
    </w:pPr>
  </w:style>
  <w:style w:type="paragraph" w:customStyle="1" w:styleId="27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character" w:customStyle="1" w:styleId="278">
    <w:name w:val="Char Char21"/>
    <w:qFormat/>
    <w:uiPriority w:val="0"/>
    <w:rPr>
      <w:rFonts w:ascii="宋体" w:eastAsia="宋体"/>
      <w:sz w:val="24"/>
    </w:rPr>
  </w:style>
  <w:style w:type="paragraph" w:customStyle="1" w:styleId="27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character" w:customStyle="1" w:styleId="280">
    <w:name w:val="Char Char23"/>
    <w:qFormat/>
    <w:uiPriority w:val="0"/>
    <w:rPr>
      <w:rFonts w:hint="default" w:ascii="Times New Roman" w:hAnsi="Times New Roman" w:eastAsia="宋体" w:cs="Times New Roman"/>
      <w:b/>
      <w:bCs/>
      <w:kern w:val="44"/>
      <w:sz w:val="44"/>
      <w:szCs w:val="44"/>
    </w:rPr>
  </w:style>
  <w:style w:type="character" w:customStyle="1" w:styleId="281">
    <w:name w:val="称呼 字符"/>
    <w:qFormat/>
    <w:uiPriority w:val="0"/>
    <w:rPr>
      <w:kern w:val="2"/>
      <w:sz w:val="28"/>
      <w:szCs w:val="24"/>
    </w:rPr>
  </w:style>
  <w:style w:type="character" w:customStyle="1" w:styleId="282">
    <w:name w:val="文档结构图 字符1"/>
    <w:qFormat/>
    <w:uiPriority w:val="0"/>
    <w:rPr>
      <w:rFonts w:eastAsia="宋体"/>
      <w:kern w:val="2"/>
      <w:sz w:val="21"/>
      <w:szCs w:val="24"/>
      <w:lang w:val="en-US" w:eastAsia="zh-CN" w:bidi="ar-SA"/>
    </w:rPr>
  </w:style>
  <w:style w:type="paragraph" w:customStyle="1" w:styleId="28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character" w:customStyle="1" w:styleId="284">
    <w:name w:val="Heading 1 Char1"/>
    <w:qFormat/>
    <w:locked/>
    <w:uiPriority w:val="0"/>
    <w:rPr>
      <w:rFonts w:eastAsia="宋体"/>
      <w:b/>
      <w:kern w:val="44"/>
      <w:sz w:val="44"/>
      <w:lang w:val="en-US" w:eastAsia="zh-CN"/>
    </w:rPr>
  </w:style>
  <w:style w:type="character" w:customStyle="1" w:styleId="285">
    <w:name w:val="正文文本缩进 2 字符4"/>
    <w:qFormat/>
    <w:uiPriority w:val="0"/>
    <w:rPr>
      <w:rFonts w:eastAsia="宋体"/>
      <w:kern w:val="2"/>
      <w:sz w:val="32"/>
      <w:lang w:val="en-US" w:eastAsia="zh-CN" w:bidi="ar-SA"/>
    </w:rPr>
  </w:style>
  <w:style w:type="paragraph" w:customStyle="1" w:styleId="2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87">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character" w:customStyle="1" w:styleId="288">
    <w:name w:val="Char Char54"/>
    <w:qFormat/>
    <w:uiPriority w:val="0"/>
    <w:rPr>
      <w:rFonts w:ascii="Arial" w:hAnsi="Arial" w:eastAsia="黑体"/>
      <w:sz w:val="28"/>
      <w:lang w:bidi="ar-SA"/>
    </w:rPr>
  </w:style>
  <w:style w:type="paragraph" w:customStyle="1" w:styleId="289">
    <w:name w:val="Body text|3"/>
    <w:basedOn w:val="1"/>
    <w:link w:val="358"/>
    <w:qFormat/>
    <w:uiPriority w:val="0"/>
    <w:pPr>
      <w:spacing w:after="460"/>
      <w:jc w:val="center"/>
    </w:pPr>
    <w:rPr>
      <w:rFonts w:ascii="宋体" w:hAnsi="宋体"/>
      <w:kern w:val="0"/>
      <w:sz w:val="34"/>
      <w:szCs w:val="34"/>
    </w:rPr>
  </w:style>
  <w:style w:type="paragraph" w:customStyle="1" w:styleId="290">
    <w:name w:val="列表段落111"/>
    <w:basedOn w:val="1"/>
    <w:qFormat/>
    <w:uiPriority w:val="0"/>
    <w:pPr>
      <w:ind w:firstLine="420" w:firstLineChars="200"/>
    </w:pPr>
    <w:rPr>
      <w:rFonts w:ascii="Calibri" w:hAnsi="Calibri"/>
      <w:szCs w:val="22"/>
    </w:rPr>
  </w:style>
  <w:style w:type="character" w:customStyle="1" w:styleId="291">
    <w:name w:val="称呼 字符2"/>
    <w:qFormat/>
    <w:uiPriority w:val="0"/>
    <w:rPr>
      <w:kern w:val="2"/>
      <w:sz w:val="28"/>
      <w:szCs w:val="24"/>
    </w:rPr>
  </w:style>
  <w:style w:type="character" w:customStyle="1" w:styleId="292">
    <w:name w:val="纯文本 Char"/>
    <w:qFormat/>
    <w:uiPriority w:val="99"/>
    <w:rPr>
      <w:rFonts w:ascii="宋体" w:hAnsi="Courier New" w:eastAsia="宋体"/>
      <w:kern w:val="2"/>
      <w:sz w:val="21"/>
      <w:lang w:val="en-US" w:eastAsia="zh-CN" w:bidi="ar-SA"/>
    </w:rPr>
  </w:style>
  <w:style w:type="character" w:customStyle="1" w:styleId="293">
    <w:name w:val="正文文本缩进 字符"/>
    <w:qFormat/>
    <w:uiPriority w:val="0"/>
    <w:rPr>
      <w:rFonts w:ascii="仿宋_GB2312" w:eastAsia="仿宋_GB2312"/>
      <w:kern w:val="2"/>
      <w:sz w:val="32"/>
      <w:lang w:val="en-US" w:eastAsia="zh-CN" w:bidi="ar-SA"/>
    </w:rPr>
  </w:style>
  <w:style w:type="paragraph" w:customStyle="1" w:styleId="294">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295">
    <w:name w:val="实施日期"/>
    <w:basedOn w:val="296"/>
    <w:qFormat/>
    <w:uiPriority w:val="0"/>
    <w:pPr>
      <w:jc w:val="right"/>
    </w:pPr>
  </w:style>
  <w:style w:type="paragraph" w:customStyle="1" w:styleId="296">
    <w:name w:val="发布日期"/>
    <w:qFormat/>
    <w:uiPriority w:val="0"/>
    <w:pPr>
      <w:jc w:val="both"/>
    </w:pPr>
    <w:rPr>
      <w:rFonts w:ascii="Times New Roman" w:hAnsi="Times New Roman" w:eastAsia="黑体" w:cs="Times New Roman"/>
      <w:sz w:val="28"/>
      <w:lang w:val="en-US" w:eastAsia="zh-CN" w:bidi="ar-SA"/>
    </w:rPr>
  </w:style>
  <w:style w:type="character" w:customStyle="1" w:styleId="297">
    <w:name w:val="Char Char60"/>
    <w:qFormat/>
    <w:uiPriority w:val="0"/>
    <w:rPr>
      <w:rFonts w:ascii="Arial" w:hAnsi="Arial" w:eastAsia="黑体"/>
      <w:b/>
      <w:bCs/>
      <w:sz w:val="32"/>
      <w:szCs w:val="32"/>
      <w:lang w:bidi="ar-SA"/>
    </w:rPr>
  </w:style>
  <w:style w:type="character" w:customStyle="1" w:styleId="298">
    <w:name w:val="Char Char39"/>
    <w:qFormat/>
    <w:uiPriority w:val="0"/>
    <w:rPr>
      <w:rFonts w:eastAsia="宋体"/>
      <w:b/>
      <w:bCs/>
      <w:kern w:val="44"/>
      <w:sz w:val="44"/>
      <w:szCs w:val="44"/>
      <w:lang w:val="en-US" w:eastAsia="zh-CN" w:bidi="ar-SA"/>
    </w:rPr>
  </w:style>
  <w:style w:type="character" w:customStyle="1" w:styleId="299">
    <w:name w:val="font121"/>
    <w:basedOn w:val="54"/>
    <w:qFormat/>
    <w:uiPriority w:val="0"/>
    <w:rPr>
      <w:rFonts w:hint="eastAsia" w:ascii="宋体" w:hAnsi="宋体" w:eastAsia="宋体" w:cs="宋体"/>
      <w:b/>
      <w:bCs/>
      <w:color w:val="000000"/>
      <w:sz w:val="12"/>
      <w:szCs w:val="12"/>
      <w:u w:val="none"/>
    </w:rPr>
  </w:style>
  <w:style w:type="paragraph" w:customStyle="1" w:styleId="300">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character" w:customStyle="1" w:styleId="301">
    <w:name w:val="尾注文本 字符2"/>
    <w:qFormat/>
    <w:uiPriority w:val="0"/>
    <w:rPr>
      <w:rFonts w:ascii="Calibri" w:hAnsi="Calibri"/>
      <w:kern w:val="2"/>
      <w:sz w:val="21"/>
      <w:szCs w:val="22"/>
    </w:rPr>
  </w:style>
  <w:style w:type="character" w:customStyle="1" w:styleId="302">
    <w:name w:val="ca-3"/>
    <w:basedOn w:val="54"/>
    <w:qFormat/>
    <w:uiPriority w:val="0"/>
  </w:style>
  <w:style w:type="character" w:customStyle="1" w:styleId="303">
    <w:name w:val="三级条标题 Char Char"/>
    <w:basedOn w:val="304"/>
    <w:link w:val="257"/>
    <w:qFormat/>
    <w:locked/>
    <w:uiPriority w:val="0"/>
    <w:rPr>
      <w:rFonts w:ascii="黑体" w:eastAsia="黑体"/>
      <w:kern w:val="2"/>
      <w:sz w:val="22"/>
      <w:szCs w:val="22"/>
      <w:lang w:val="en-US" w:eastAsia="zh-CN" w:bidi="ar-SA"/>
    </w:rPr>
  </w:style>
  <w:style w:type="character" w:customStyle="1" w:styleId="304">
    <w:name w:val="二级条标题 Char Char"/>
    <w:basedOn w:val="305"/>
    <w:link w:val="119"/>
    <w:qFormat/>
    <w:locked/>
    <w:uiPriority w:val="0"/>
    <w:rPr>
      <w:rFonts w:ascii="黑体" w:eastAsia="黑体"/>
      <w:kern w:val="2"/>
      <w:sz w:val="22"/>
      <w:szCs w:val="22"/>
      <w:lang w:val="en-US" w:eastAsia="zh-CN" w:bidi="ar-SA"/>
    </w:rPr>
  </w:style>
  <w:style w:type="character" w:customStyle="1" w:styleId="305">
    <w:name w:val="一级条标题 Char Char"/>
    <w:basedOn w:val="306"/>
    <w:link w:val="120"/>
    <w:qFormat/>
    <w:locked/>
    <w:uiPriority w:val="0"/>
    <w:rPr>
      <w:rFonts w:ascii="黑体" w:eastAsia="黑体"/>
      <w:kern w:val="2"/>
      <w:sz w:val="22"/>
      <w:szCs w:val="22"/>
      <w:lang w:val="en-US" w:eastAsia="zh-CN" w:bidi="ar-SA"/>
    </w:rPr>
  </w:style>
  <w:style w:type="character" w:customStyle="1" w:styleId="306">
    <w:name w:val="章标题 Char Char"/>
    <w:link w:val="121"/>
    <w:qFormat/>
    <w:locked/>
    <w:uiPriority w:val="0"/>
    <w:rPr>
      <w:rFonts w:ascii="黑体" w:eastAsia="黑体"/>
      <w:kern w:val="2"/>
      <w:sz w:val="22"/>
      <w:lang w:val="en-US" w:eastAsia="zh-CN" w:bidi="ar-SA"/>
    </w:rPr>
  </w:style>
  <w:style w:type="character" w:customStyle="1" w:styleId="307">
    <w:name w:val="标题 Char1"/>
    <w:qFormat/>
    <w:uiPriority w:val="0"/>
    <w:rPr>
      <w:rFonts w:hint="default" w:ascii="Cambria" w:hAnsi="Cambria" w:cs="Times New Roman"/>
      <w:b/>
      <w:bCs/>
      <w:kern w:val="2"/>
      <w:sz w:val="32"/>
      <w:szCs w:val="32"/>
    </w:rPr>
  </w:style>
  <w:style w:type="character" w:customStyle="1" w:styleId="308">
    <w:name w:val="称呼 Char"/>
    <w:link w:val="18"/>
    <w:qFormat/>
    <w:uiPriority w:val="0"/>
    <w:rPr>
      <w:kern w:val="2"/>
      <w:sz w:val="28"/>
      <w:szCs w:val="24"/>
    </w:rPr>
  </w:style>
  <w:style w:type="character" w:customStyle="1" w:styleId="309">
    <w:name w:val="Heading 6 Char"/>
    <w:basedOn w:val="54"/>
    <w:qFormat/>
    <w:locked/>
    <w:uiPriority w:val="0"/>
    <w:rPr>
      <w:rFonts w:ascii="Arial" w:hAnsi="Arial" w:eastAsia="黑体"/>
      <w:b/>
      <w:bCs/>
      <w:kern w:val="21"/>
      <w:sz w:val="24"/>
      <w:szCs w:val="21"/>
      <w:lang w:val="en-US" w:eastAsia="zh-CN" w:bidi="ar-SA"/>
    </w:rPr>
  </w:style>
  <w:style w:type="character" w:customStyle="1" w:styleId="310">
    <w:name w:val="Char Char1411"/>
    <w:qFormat/>
    <w:uiPriority w:val="0"/>
    <w:rPr>
      <w:sz w:val="18"/>
      <w:szCs w:val="18"/>
    </w:rPr>
  </w:style>
  <w:style w:type="character" w:customStyle="1" w:styleId="311">
    <w:name w:val="Char Char371"/>
    <w:qFormat/>
    <w:uiPriority w:val="0"/>
    <w:rPr>
      <w:rFonts w:eastAsia="宋体"/>
      <w:b/>
      <w:kern w:val="44"/>
      <w:sz w:val="44"/>
      <w:lang w:val="en-US" w:eastAsia="zh-CN"/>
    </w:rPr>
  </w:style>
  <w:style w:type="character" w:customStyle="1" w:styleId="312">
    <w:name w:val="页脚 Char"/>
    <w:link w:val="34"/>
    <w:qFormat/>
    <w:uiPriority w:val="99"/>
    <w:rPr>
      <w:rFonts w:eastAsia="宋体"/>
      <w:kern w:val="2"/>
      <w:sz w:val="18"/>
      <w:szCs w:val="18"/>
      <w:lang w:val="en-US" w:eastAsia="zh-CN" w:bidi="ar-SA"/>
    </w:rPr>
  </w:style>
  <w:style w:type="character" w:customStyle="1" w:styleId="313">
    <w:name w:val="HTML Preformatted Char"/>
    <w:basedOn w:val="54"/>
    <w:qFormat/>
    <w:locked/>
    <w:uiPriority w:val="0"/>
    <w:rPr>
      <w:rFonts w:ascii="Courier New" w:hAnsi="Courier New" w:eastAsia="宋体" w:cs="Courier New"/>
      <w:kern w:val="21"/>
      <w:lang w:val="en-US" w:eastAsia="zh-CN" w:bidi="ar-SA"/>
    </w:rPr>
  </w:style>
  <w:style w:type="character" w:customStyle="1" w:styleId="314">
    <w:name w:val="标题 4 字符1"/>
    <w:qFormat/>
    <w:uiPriority w:val="0"/>
    <w:rPr>
      <w:rFonts w:ascii="Arial" w:hAnsi="Arial" w:eastAsia="黑体"/>
      <w:sz w:val="28"/>
      <w:lang w:bidi="ar-SA"/>
    </w:rPr>
  </w:style>
  <w:style w:type="character" w:customStyle="1" w:styleId="315">
    <w:name w:val="正文文本缩进 3 Char"/>
    <w:link w:val="42"/>
    <w:qFormat/>
    <w:uiPriority w:val="0"/>
    <w:rPr>
      <w:rFonts w:eastAsia="宋体"/>
      <w:kern w:val="2"/>
      <w:sz w:val="16"/>
      <w:szCs w:val="16"/>
      <w:lang w:val="en-US" w:eastAsia="zh-CN" w:bidi="ar-SA"/>
    </w:rPr>
  </w:style>
  <w:style w:type="paragraph" w:customStyle="1" w:styleId="316">
    <w:name w:val="444"/>
    <w:basedOn w:val="1"/>
    <w:qFormat/>
    <w:uiPriority w:val="0"/>
    <w:pPr>
      <w:adjustRightInd w:val="0"/>
      <w:spacing w:line="312" w:lineRule="atLeast"/>
      <w:jc w:val="center"/>
      <w:textAlignment w:val="baseline"/>
    </w:pPr>
    <w:rPr>
      <w:b/>
      <w:kern w:val="0"/>
      <w:sz w:val="36"/>
      <w:szCs w:val="36"/>
    </w:rPr>
  </w:style>
  <w:style w:type="paragraph" w:customStyle="1" w:styleId="317">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318">
    <w:name w:val="Char Char351"/>
    <w:qFormat/>
    <w:uiPriority w:val="0"/>
    <w:rPr>
      <w:rFonts w:eastAsia="宋体"/>
      <w:b/>
      <w:kern w:val="44"/>
      <w:sz w:val="44"/>
      <w:lang w:val="en-US" w:eastAsia="zh-CN"/>
    </w:rPr>
  </w:style>
  <w:style w:type="character" w:customStyle="1" w:styleId="319">
    <w:name w:val="标题 2 字符2"/>
    <w:qFormat/>
    <w:uiPriority w:val="0"/>
    <w:rPr>
      <w:rFonts w:ascii="Arial" w:hAnsi="Arial" w:eastAsia="黑体"/>
      <w:b/>
      <w:bCs/>
      <w:sz w:val="32"/>
      <w:szCs w:val="32"/>
      <w:lang w:bidi="ar-SA"/>
    </w:rPr>
  </w:style>
  <w:style w:type="character" w:customStyle="1" w:styleId="320">
    <w:name w:val="正文文本缩进 3 字符2"/>
    <w:qFormat/>
    <w:uiPriority w:val="0"/>
    <w:rPr>
      <w:rFonts w:eastAsia="宋体"/>
      <w:kern w:val="2"/>
      <w:sz w:val="16"/>
      <w:szCs w:val="16"/>
      <w:lang w:val="en-US" w:eastAsia="zh-CN" w:bidi="ar-SA"/>
    </w:rPr>
  </w:style>
  <w:style w:type="character" w:customStyle="1" w:styleId="321">
    <w:name w:val="日期 字符1"/>
    <w:qFormat/>
    <w:uiPriority w:val="0"/>
    <w:rPr>
      <w:rFonts w:ascii="宋体" w:hAnsi="Courier New" w:eastAsia="宋体" w:cs="Courier New"/>
      <w:kern w:val="2"/>
      <w:sz w:val="21"/>
      <w:szCs w:val="21"/>
      <w:lang w:val="en-US" w:eastAsia="zh-CN" w:bidi="ar-SA"/>
    </w:rPr>
  </w:style>
  <w:style w:type="paragraph" w:customStyle="1" w:styleId="32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323">
    <w:name w:val="Char Char50"/>
    <w:qFormat/>
    <w:uiPriority w:val="0"/>
    <w:rPr>
      <w:rFonts w:eastAsia="宋体"/>
      <w:b/>
      <w:bCs/>
      <w:kern w:val="44"/>
      <w:sz w:val="44"/>
      <w:szCs w:val="44"/>
      <w:lang w:val="en-US" w:eastAsia="zh-CN" w:bidi="ar-SA"/>
    </w:rPr>
  </w:style>
  <w:style w:type="paragraph" w:customStyle="1" w:styleId="324">
    <w:name w:val="pa-15"/>
    <w:basedOn w:val="1"/>
    <w:qFormat/>
    <w:uiPriority w:val="0"/>
    <w:pPr>
      <w:widowControl/>
      <w:spacing w:before="169" w:after="169"/>
      <w:jc w:val="left"/>
    </w:pPr>
    <w:rPr>
      <w:rFonts w:ascii="宋体" w:hAnsi="宋体" w:cs="宋体"/>
      <w:kern w:val="0"/>
      <w:sz w:val="24"/>
    </w:rPr>
  </w:style>
  <w:style w:type="paragraph" w:customStyle="1" w:styleId="325">
    <w:name w:val="示例"/>
    <w:next w:val="122"/>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26">
    <w:name w:val="Char221"/>
    <w:basedOn w:val="1"/>
    <w:qFormat/>
    <w:uiPriority w:val="0"/>
    <w:pPr>
      <w:widowControl/>
      <w:spacing w:after="160" w:line="240" w:lineRule="exact"/>
      <w:jc w:val="left"/>
    </w:pPr>
    <w:rPr>
      <w:rFonts w:ascii="Verdana" w:hAnsi="Verdana"/>
      <w:kern w:val="0"/>
      <w:szCs w:val="20"/>
      <w:lang w:eastAsia="en-US"/>
    </w:rPr>
  </w:style>
  <w:style w:type="character" w:customStyle="1" w:styleId="327">
    <w:name w:val="脚注文本 字符3"/>
    <w:qFormat/>
    <w:locked/>
    <w:uiPriority w:val="0"/>
    <w:rPr>
      <w:rFonts w:ascii="宋体" w:eastAsia="宋体"/>
      <w:kern w:val="21"/>
      <w:sz w:val="18"/>
      <w:szCs w:val="18"/>
      <w:lang w:val="en-US" w:eastAsia="zh-CN" w:bidi="ar-SA"/>
    </w:rPr>
  </w:style>
  <w:style w:type="paragraph" w:customStyle="1" w:styleId="328">
    <w:name w:val="正文文本缩进 Char Char Char Char"/>
    <w:basedOn w:val="1"/>
    <w:qFormat/>
    <w:uiPriority w:val="0"/>
    <w:pPr>
      <w:ind w:firstLine="540"/>
    </w:pPr>
    <w:rPr>
      <w:rFonts w:hint="eastAsia" w:ascii="宋体" w:hAnsi="Courier New"/>
      <w:szCs w:val="20"/>
    </w:rPr>
  </w:style>
  <w:style w:type="character" w:customStyle="1" w:styleId="329">
    <w:name w:val="Body Text Char"/>
    <w:qFormat/>
    <w:locked/>
    <w:uiPriority w:val="0"/>
    <w:rPr>
      <w:rFonts w:eastAsia="宋体"/>
      <w:kern w:val="2"/>
      <w:sz w:val="24"/>
      <w:szCs w:val="24"/>
      <w:lang w:val="en-US" w:eastAsia="zh-CN" w:bidi="ar-SA"/>
    </w:rPr>
  </w:style>
  <w:style w:type="character" w:customStyle="1" w:styleId="330">
    <w:name w:val="Heading 3 Char1"/>
    <w:qFormat/>
    <w:locked/>
    <w:uiPriority w:val="0"/>
    <w:rPr>
      <w:rFonts w:eastAsia="宋体"/>
      <w:b/>
      <w:sz w:val="32"/>
    </w:rPr>
  </w:style>
  <w:style w:type="paragraph" w:customStyle="1" w:styleId="331">
    <w:name w:val="表格文字"/>
    <w:basedOn w:val="1"/>
    <w:next w:val="20"/>
    <w:qFormat/>
    <w:uiPriority w:val="0"/>
    <w:pPr>
      <w:spacing w:before="25" w:after="25"/>
      <w:jc w:val="left"/>
    </w:pPr>
    <w:rPr>
      <w:bCs/>
      <w:spacing w:val="10"/>
      <w:kern w:val="0"/>
      <w:sz w:val="24"/>
    </w:rPr>
  </w:style>
  <w:style w:type="character" w:customStyle="1" w:styleId="332">
    <w:name w:val="普通文字 Char Char6"/>
    <w:qFormat/>
    <w:uiPriority w:val="0"/>
    <w:rPr>
      <w:rFonts w:ascii="宋体" w:hAnsi="Courier New" w:eastAsia="宋体" w:cs="Courier New"/>
      <w:kern w:val="2"/>
      <w:sz w:val="21"/>
      <w:szCs w:val="21"/>
      <w:lang w:val="en-US" w:eastAsia="zh-CN" w:bidi="ar-SA"/>
    </w:rPr>
  </w:style>
  <w:style w:type="paragraph" w:customStyle="1" w:styleId="333">
    <w:name w:val="Char Char1 Char Char Char Char1"/>
    <w:basedOn w:val="15"/>
    <w:qFormat/>
    <w:uiPriority w:val="0"/>
    <w:rPr>
      <w:rFonts w:ascii="Tahoma" w:hAnsi="Tahoma"/>
      <w:sz w:val="24"/>
    </w:rPr>
  </w:style>
  <w:style w:type="paragraph" w:customStyle="1" w:styleId="334">
    <w:name w:val="Char11"/>
    <w:basedOn w:val="15"/>
    <w:qFormat/>
    <w:uiPriority w:val="0"/>
    <w:pPr>
      <w:widowControl/>
      <w:ind w:firstLine="454"/>
      <w:jc w:val="left"/>
    </w:pPr>
    <w:rPr>
      <w:rFonts w:ascii="Tahoma" w:hAnsi="Tahoma" w:cs="宋体"/>
      <w:kern w:val="0"/>
      <w:sz w:val="24"/>
      <w:szCs w:val="20"/>
    </w:rPr>
  </w:style>
  <w:style w:type="character" w:customStyle="1" w:styleId="335">
    <w:name w:val="HTML 预设格式 字符2"/>
    <w:qFormat/>
    <w:uiPriority w:val="0"/>
    <w:rPr>
      <w:rFonts w:ascii="黑体" w:hAnsi="Courier New" w:eastAsia="黑体" w:cs="Courier New"/>
      <w:lang w:val="en-US" w:eastAsia="zh-CN" w:bidi="ar-SA"/>
    </w:rPr>
  </w:style>
  <w:style w:type="character" w:customStyle="1" w:styleId="336">
    <w:name w:val="正文文本 2 字符1"/>
    <w:qFormat/>
    <w:uiPriority w:val="0"/>
    <w:rPr>
      <w:rFonts w:eastAsia="宋体"/>
      <w:kern w:val="2"/>
      <w:sz w:val="21"/>
      <w:szCs w:val="24"/>
      <w:lang w:val="en-US" w:eastAsia="zh-CN" w:bidi="ar-SA"/>
    </w:rPr>
  </w:style>
  <w:style w:type="character" w:customStyle="1" w:styleId="337">
    <w:name w:val="文档结构图 Char"/>
    <w:link w:val="15"/>
    <w:qFormat/>
    <w:uiPriority w:val="0"/>
    <w:rPr>
      <w:rFonts w:eastAsia="宋体"/>
      <w:kern w:val="2"/>
      <w:sz w:val="21"/>
      <w:szCs w:val="24"/>
      <w:lang w:val="en-US" w:eastAsia="zh-CN" w:bidi="ar-SA"/>
    </w:rPr>
  </w:style>
  <w:style w:type="character" w:customStyle="1" w:styleId="338">
    <w:name w:val="标题 8 字符1"/>
    <w:qFormat/>
    <w:uiPriority w:val="0"/>
    <w:rPr>
      <w:rFonts w:ascii="Arial" w:hAnsi="Arial" w:eastAsia="黑体"/>
      <w:kern w:val="2"/>
      <w:sz w:val="24"/>
      <w:szCs w:val="24"/>
      <w:lang w:val="en-US" w:eastAsia="zh-CN" w:bidi="ar-SA"/>
    </w:rPr>
  </w:style>
  <w:style w:type="character" w:customStyle="1" w:styleId="339">
    <w:name w:val="ca-8"/>
    <w:basedOn w:val="54"/>
    <w:qFormat/>
    <w:uiPriority w:val="0"/>
  </w:style>
  <w:style w:type="paragraph" w:customStyle="1" w:styleId="340">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41">
    <w:name w:val="附录图标题"/>
    <w:next w:val="122"/>
    <w:qFormat/>
    <w:uiPriority w:val="0"/>
    <w:pPr>
      <w:jc w:val="center"/>
    </w:pPr>
    <w:rPr>
      <w:rFonts w:ascii="黑体" w:hAnsi="Times New Roman" w:eastAsia="黑体" w:cs="Times New Roman"/>
      <w:sz w:val="21"/>
      <w:lang w:val="en-US" w:eastAsia="zh-CN" w:bidi="ar-SA"/>
    </w:rPr>
  </w:style>
  <w:style w:type="character" w:customStyle="1" w:styleId="342">
    <w:name w:val="Char Char58"/>
    <w:qFormat/>
    <w:uiPriority w:val="0"/>
    <w:rPr>
      <w:rFonts w:ascii="Arial" w:hAnsi="Arial" w:eastAsia="黑体"/>
      <w:sz w:val="28"/>
      <w:lang w:bidi="ar-SA"/>
    </w:rPr>
  </w:style>
  <w:style w:type="character" w:customStyle="1" w:styleId="343">
    <w:name w:val="标题 4 字符2"/>
    <w:qFormat/>
    <w:uiPriority w:val="0"/>
    <w:rPr>
      <w:rFonts w:ascii="Arial" w:hAnsi="Arial" w:eastAsia="黑体"/>
      <w:sz w:val="28"/>
      <w:lang w:bidi="ar-SA"/>
    </w:rPr>
  </w:style>
  <w:style w:type="character" w:customStyle="1" w:styleId="344">
    <w:name w:val="Char Char57"/>
    <w:qFormat/>
    <w:uiPriority w:val="0"/>
    <w:rPr>
      <w:rFonts w:eastAsia="宋体"/>
      <w:b/>
      <w:bCs/>
      <w:kern w:val="44"/>
      <w:sz w:val="44"/>
      <w:szCs w:val="44"/>
      <w:lang w:val="en-US" w:eastAsia="zh-CN" w:bidi="ar-SA"/>
    </w:rPr>
  </w:style>
  <w:style w:type="paragraph" w:customStyle="1" w:styleId="345">
    <w:name w:val="BodyText"/>
    <w:basedOn w:val="1"/>
    <w:qFormat/>
    <w:uiPriority w:val="0"/>
    <w:pPr>
      <w:spacing w:line="380" w:lineRule="exact"/>
    </w:pPr>
    <w:rPr>
      <w:sz w:val="24"/>
    </w:rPr>
  </w:style>
  <w:style w:type="character" w:customStyle="1" w:styleId="346">
    <w:name w:val="Char Char331"/>
    <w:qFormat/>
    <w:uiPriority w:val="0"/>
    <w:rPr>
      <w:rFonts w:eastAsia="宋体"/>
      <w:b/>
      <w:kern w:val="44"/>
      <w:sz w:val="44"/>
      <w:lang w:val="en-US" w:eastAsia="zh-CN"/>
    </w:rPr>
  </w:style>
  <w:style w:type="paragraph" w:customStyle="1" w:styleId="347">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348">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character" w:customStyle="1" w:styleId="349">
    <w:name w:val="Char Char49"/>
    <w:qFormat/>
    <w:uiPriority w:val="0"/>
    <w:rPr>
      <w:rFonts w:ascii="Arial" w:hAnsi="Arial" w:eastAsia="黑体"/>
      <w:b/>
      <w:bCs/>
      <w:sz w:val="32"/>
      <w:szCs w:val="32"/>
      <w:lang w:bidi="ar-SA"/>
    </w:rPr>
  </w:style>
  <w:style w:type="character" w:customStyle="1" w:styleId="350">
    <w:name w:val="Unresolved Mention"/>
    <w:basedOn w:val="54"/>
    <w:semiHidden/>
    <w:unhideWhenUsed/>
    <w:qFormat/>
    <w:uiPriority w:val="99"/>
    <w:rPr>
      <w:color w:val="605E5C"/>
      <w:shd w:val="clear" w:color="auto" w:fill="E1DFDD"/>
    </w:rPr>
  </w:style>
  <w:style w:type="character" w:customStyle="1" w:styleId="351">
    <w:name w:val="HTML 预设格式 字符"/>
    <w:qFormat/>
    <w:uiPriority w:val="0"/>
    <w:rPr>
      <w:rFonts w:ascii="黑体" w:hAnsi="Courier New" w:eastAsia="黑体" w:cs="Courier New"/>
      <w:lang w:val="en-US" w:eastAsia="zh-CN" w:bidi="ar-SA"/>
    </w:rPr>
  </w:style>
  <w:style w:type="character" w:customStyle="1" w:styleId="352">
    <w:name w:val="ca-15"/>
    <w:basedOn w:val="54"/>
    <w:qFormat/>
    <w:uiPriority w:val="0"/>
  </w:style>
  <w:style w:type="paragraph" w:customStyle="1" w:styleId="353">
    <w:name w:val="默认段落字体 Para Char Char Char Char Char Char Char Char Char1 Char Char Char Char"/>
    <w:basedOn w:val="1"/>
    <w:qFormat/>
    <w:uiPriority w:val="0"/>
    <w:rPr>
      <w:rFonts w:ascii="Tahoma" w:hAnsi="Tahoma"/>
      <w:sz w:val="24"/>
      <w:szCs w:val="20"/>
    </w:rPr>
  </w:style>
  <w:style w:type="paragraph" w:customStyle="1" w:styleId="35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character" w:customStyle="1" w:styleId="355">
    <w:name w:val="标题 7 Char"/>
    <w:link w:val="9"/>
    <w:qFormat/>
    <w:uiPriority w:val="0"/>
    <w:rPr>
      <w:rFonts w:eastAsia="宋体"/>
      <w:b/>
      <w:kern w:val="2"/>
      <w:sz w:val="24"/>
      <w:szCs w:val="24"/>
      <w:lang w:val="en-US" w:eastAsia="zh-CN" w:bidi="ar-SA"/>
    </w:rPr>
  </w:style>
  <w:style w:type="character" w:customStyle="1" w:styleId="356">
    <w:name w:val="Char Char33"/>
    <w:qFormat/>
    <w:uiPriority w:val="0"/>
    <w:rPr>
      <w:rFonts w:eastAsia="宋体"/>
      <w:b/>
      <w:bCs/>
      <w:kern w:val="44"/>
      <w:sz w:val="44"/>
      <w:szCs w:val="44"/>
      <w:lang w:val="en-US" w:eastAsia="zh-CN" w:bidi="ar-SA"/>
    </w:rPr>
  </w:style>
  <w:style w:type="character" w:customStyle="1" w:styleId="357">
    <w:name w:val="font11"/>
    <w:qFormat/>
    <w:uiPriority w:val="0"/>
    <w:rPr>
      <w:rFonts w:hint="eastAsia" w:ascii="宋体" w:hAnsi="宋体" w:eastAsia="宋体" w:cs="宋体"/>
      <w:color w:val="FF0000"/>
      <w:sz w:val="16"/>
      <w:szCs w:val="16"/>
      <w:u w:val="none"/>
    </w:rPr>
  </w:style>
  <w:style w:type="character" w:customStyle="1" w:styleId="358">
    <w:name w:val="Body text|3_"/>
    <w:basedOn w:val="54"/>
    <w:link w:val="289"/>
    <w:qFormat/>
    <w:uiPriority w:val="0"/>
    <w:rPr>
      <w:rFonts w:ascii="宋体" w:hAnsi="宋体" w:eastAsia="宋体"/>
      <w:sz w:val="34"/>
      <w:szCs w:val="34"/>
      <w:lang w:bidi="ar-SA"/>
    </w:rPr>
  </w:style>
  <w:style w:type="character" w:customStyle="1" w:styleId="359">
    <w:name w:val="Title Char"/>
    <w:basedOn w:val="54"/>
    <w:qFormat/>
    <w:locked/>
    <w:uiPriority w:val="0"/>
    <w:rPr>
      <w:rFonts w:ascii="Arial" w:hAnsi="Arial" w:eastAsia="宋体" w:cs="Arial"/>
      <w:b/>
      <w:bCs/>
      <w:kern w:val="21"/>
      <w:sz w:val="32"/>
      <w:szCs w:val="32"/>
      <w:lang w:val="en-US" w:eastAsia="zh-CN" w:bidi="ar-SA"/>
    </w:rPr>
  </w:style>
  <w:style w:type="paragraph" w:customStyle="1" w:styleId="360">
    <w:name w:val="Bullets"/>
    <w:basedOn w:val="1"/>
    <w:qFormat/>
    <w:uiPriority w:val="0"/>
    <w:pPr>
      <w:widowControl/>
      <w:adjustRightInd w:val="0"/>
      <w:snapToGrid w:val="0"/>
      <w:spacing w:before="60" w:after="60"/>
    </w:pPr>
    <w:rPr>
      <w:kern w:val="0"/>
      <w:sz w:val="24"/>
      <w:lang w:val="en-GB"/>
    </w:rPr>
  </w:style>
  <w:style w:type="paragraph" w:customStyle="1" w:styleId="361">
    <w:name w:val="Char Char1 Char Char Char Char21"/>
    <w:basedOn w:val="15"/>
    <w:qFormat/>
    <w:uiPriority w:val="0"/>
    <w:rPr>
      <w:rFonts w:ascii="Tahoma" w:hAnsi="Tahoma"/>
      <w:sz w:val="24"/>
    </w:rPr>
  </w:style>
  <w:style w:type="character" w:customStyle="1" w:styleId="362">
    <w:name w:val="Char Char6"/>
    <w:qFormat/>
    <w:locked/>
    <w:uiPriority w:val="0"/>
    <w:rPr>
      <w:rFonts w:ascii="宋体" w:hAnsi="Courier New" w:eastAsia="宋体" w:cs="Courier New"/>
      <w:kern w:val="2"/>
      <w:sz w:val="21"/>
      <w:szCs w:val="21"/>
      <w:lang w:val="en-US" w:eastAsia="zh-CN" w:bidi="ar-SA"/>
    </w:rPr>
  </w:style>
  <w:style w:type="paragraph" w:customStyle="1" w:styleId="363">
    <w:name w:val="pa-11"/>
    <w:basedOn w:val="1"/>
    <w:qFormat/>
    <w:uiPriority w:val="0"/>
    <w:pPr>
      <w:widowControl/>
      <w:spacing w:before="169" w:after="169"/>
      <w:jc w:val="left"/>
    </w:pPr>
    <w:rPr>
      <w:rFonts w:ascii="宋体" w:hAnsi="宋体" w:cs="宋体"/>
      <w:kern w:val="0"/>
      <w:sz w:val="24"/>
    </w:rPr>
  </w:style>
  <w:style w:type="character" w:customStyle="1" w:styleId="364">
    <w:name w:val="批注文字 字符2"/>
    <w:qFormat/>
    <w:uiPriority w:val="0"/>
    <w:rPr>
      <w:rFonts w:eastAsia="宋体"/>
      <w:sz w:val="24"/>
      <w:lang w:bidi="ar-SA"/>
    </w:rPr>
  </w:style>
  <w:style w:type="character" w:customStyle="1" w:styleId="365">
    <w:name w:val="页眉 字符1"/>
    <w:qFormat/>
    <w:uiPriority w:val="0"/>
    <w:rPr>
      <w:rFonts w:eastAsia="宋体"/>
      <w:kern w:val="2"/>
      <w:sz w:val="18"/>
      <w:szCs w:val="18"/>
      <w:lang w:val="en-US" w:eastAsia="zh-CN" w:bidi="ar-SA"/>
    </w:rPr>
  </w:style>
  <w:style w:type="character" w:customStyle="1" w:styleId="366">
    <w:name w:val="ca-16"/>
    <w:basedOn w:val="54"/>
    <w:qFormat/>
    <w:uiPriority w:val="0"/>
  </w:style>
  <w:style w:type="paragraph" w:customStyle="1" w:styleId="367">
    <w:name w:val="目次、标准名称标题"/>
    <w:basedOn w:val="238"/>
    <w:next w:val="122"/>
    <w:qFormat/>
    <w:uiPriority w:val="0"/>
    <w:pPr>
      <w:numPr>
        <w:numId w:val="0"/>
      </w:numPr>
      <w:spacing w:line="460" w:lineRule="exact"/>
    </w:pPr>
  </w:style>
  <w:style w:type="character" w:customStyle="1" w:styleId="368">
    <w:name w:val="标题 5 Char"/>
    <w:link w:val="6"/>
    <w:qFormat/>
    <w:uiPriority w:val="0"/>
    <w:rPr>
      <w:rFonts w:eastAsia="宋体"/>
      <w:b/>
      <w:kern w:val="2"/>
      <w:sz w:val="28"/>
      <w:szCs w:val="24"/>
      <w:lang w:val="en-US" w:eastAsia="zh-CN" w:bidi="ar-SA"/>
    </w:rPr>
  </w:style>
  <w:style w:type="character" w:customStyle="1" w:styleId="369">
    <w:name w:val="Salutation Char"/>
    <w:qFormat/>
    <w:locked/>
    <w:uiPriority w:val="0"/>
    <w:rPr>
      <w:kern w:val="2"/>
      <w:sz w:val="24"/>
    </w:rPr>
  </w:style>
  <w:style w:type="paragraph" w:customStyle="1" w:styleId="370">
    <w:name w:val="附录四级条标题"/>
    <w:basedOn w:val="371"/>
    <w:next w:val="122"/>
    <w:qFormat/>
    <w:uiPriority w:val="0"/>
    <w:pPr>
      <w:numPr>
        <w:ilvl w:val="5"/>
      </w:numPr>
      <w:tabs>
        <w:tab w:val="left" w:pos="1418"/>
      </w:tabs>
      <w:outlineLvl w:val="5"/>
    </w:pPr>
  </w:style>
  <w:style w:type="paragraph" w:customStyle="1" w:styleId="371">
    <w:name w:val="附录三级条标题"/>
    <w:basedOn w:val="174"/>
    <w:next w:val="122"/>
    <w:qFormat/>
    <w:uiPriority w:val="0"/>
    <w:pPr>
      <w:numPr>
        <w:ilvl w:val="4"/>
      </w:numPr>
      <w:outlineLvl w:val="4"/>
    </w:pPr>
  </w:style>
  <w:style w:type="paragraph" w:customStyle="1" w:styleId="372">
    <w:name w:val="表格"/>
    <w:basedOn w:val="1"/>
    <w:qFormat/>
    <w:uiPriority w:val="0"/>
    <w:pPr>
      <w:spacing w:line="400" w:lineRule="exact"/>
    </w:pPr>
    <w:rPr>
      <w:sz w:val="24"/>
    </w:rPr>
  </w:style>
  <w:style w:type="character" w:customStyle="1" w:styleId="373">
    <w:name w:val="标题 1 字符4"/>
    <w:qFormat/>
    <w:uiPriority w:val="0"/>
    <w:rPr>
      <w:rFonts w:eastAsia="宋体"/>
      <w:b/>
      <w:bCs/>
      <w:kern w:val="44"/>
      <w:sz w:val="44"/>
      <w:szCs w:val="44"/>
      <w:lang w:val="en-US" w:eastAsia="zh-CN" w:bidi="ar-SA"/>
    </w:rPr>
  </w:style>
  <w:style w:type="character" w:customStyle="1" w:styleId="374">
    <w:name w:val="正文文本 3 字符2"/>
    <w:qFormat/>
    <w:uiPriority w:val="0"/>
    <w:rPr>
      <w:rFonts w:eastAsia="宋体"/>
      <w:b/>
      <w:bCs/>
      <w:kern w:val="2"/>
      <w:sz w:val="24"/>
      <w:szCs w:val="24"/>
      <w:lang w:val="en-US" w:eastAsia="zh-CN" w:bidi="ar-SA"/>
    </w:rPr>
  </w:style>
  <w:style w:type="character" w:customStyle="1" w:styleId="375">
    <w:name w:val="Char Char52"/>
    <w:qFormat/>
    <w:uiPriority w:val="0"/>
    <w:rPr>
      <w:rFonts w:ascii="Arial" w:hAnsi="Arial" w:eastAsia="黑体"/>
      <w:b/>
      <w:bCs/>
      <w:sz w:val="32"/>
      <w:szCs w:val="32"/>
      <w:lang w:bidi="ar-SA"/>
    </w:rPr>
  </w:style>
  <w:style w:type="character" w:customStyle="1" w:styleId="376">
    <w:name w:val="批注文字 Char1"/>
    <w:semiHidden/>
    <w:qFormat/>
    <w:uiPriority w:val="0"/>
    <w:rPr>
      <w:kern w:val="2"/>
      <w:sz w:val="21"/>
      <w:szCs w:val="24"/>
    </w:rPr>
  </w:style>
  <w:style w:type="character" w:customStyle="1" w:styleId="377">
    <w:name w:val="Char Char47"/>
    <w:qFormat/>
    <w:uiPriority w:val="0"/>
    <w:rPr>
      <w:rFonts w:ascii="Arial" w:hAnsi="Arial" w:eastAsia="黑体"/>
      <w:b/>
      <w:bCs/>
      <w:sz w:val="32"/>
      <w:szCs w:val="32"/>
      <w:lang w:bidi="ar-SA"/>
    </w:rPr>
  </w:style>
  <w:style w:type="paragraph" w:customStyle="1" w:styleId="378">
    <w:name w:val="标题3"/>
    <w:basedOn w:val="2"/>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379">
    <w:name w:val="pa-10"/>
    <w:basedOn w:val="1"/>
    <w:qFormat/>
    <w:uiPriority w:val="0"/>
    <w:pPr>
      <w:widowControl/>
      <w:spacing w:before="169" w:after="169"/>
      <w:jc w:val="left"/>
    </w:pPr>
    <w:rPr>
      <w:rFonts w:ascii="宋体" w:hAnsi="宋体" w:cs="宋体"/>
      <w:kern w:val="0"/>
      <w:sz w:val="24"/>
    </w:rPr>
  </w:style>
  <w:style w:type="character" w:customStyle="1" w:styleId="380">
    <w:name w:val="Char Char41"/>
    <w:qFormat/>
    <w:uiPriority w:val="0"/>
    <w:rPr>
      <w:rFonts w:ascii="Arial" w:hAnsi="Arial" w:eastAsia="黑体"/>
      <w:b/>
      <w:bCs/>
      <w:sz w:val="32"/>
      <w:szCs w:val="32"/>
      <w:lang w:bidi="ar-SA"/>
    </w:rPr>
  </w:style>
  <w:style w:type="paragraph" w:customStyle="1" w:styleId="381">
    <w:name w:val="_Style 35"/>
    <w:basedOn w:val="15"/>
    <w:qFormat/>
    <w:uiPriority w:val="0"/>
    <w:pPr>
      <w:widowControl/>
      <w:ind w:firstLine="454"/>
      <w:jc w:val="left"/>
    </w:pPr>
  </w:style>
  <w:style w:type="paragraph" w:customStyle="1" w:styleId="382">
    <w:name w:val="图表脚注"/>
    <w:next w:val="122"/>
    <w:qFormat/>
    <w:uiPriority w:val="0"/>
    <w:pPr>
      <w:ind w:left="300" w:leftChars="200" w:hanging="100" w:hangingChars="100"/>
      <w:jc w:val="both"/>
    </w:pPr>
    <w:rPr>
      <w:rFonts w:ascii="宋体" w:hAnsi="Times New Roman" w:eastAsia="宋体" w:cs="Times New Roman"/>
      <w:sz w:val="18"/>
      <w:lang w:val="en-US" w:eastAsia="zh-CN" w:bidi="ar-SA"/>
    </w:rPr>
  </w:style>
  <w:style w:type="character" w:customStyle="1" w:styleId="383">
    <w:name w:val="纯文本 字符"/>
    <w:qFormat/>
    <w:uiPriority w:val="0"/>
    <w:rPr>
      <w:rFonts w:ascii="宋体" w:hAnsi="Courier New" w:eastAsia="宋体" w:cs="Courier New"/>
      <w:kern w:val="2"/>
      <w:sz w:val="21"/>
      <w:szCs w:val="21"/>
      <w:lang w:val="en-US" w:eastAsia="zh-CN" w:bidi="ar-SA"/>
    </w:rPr>
  </w:style>
  <w:style w:type="character" w:customStyle="1" w:styleId="384">
    <w:name w:val="批注文字 Char"/>
    <w:link w:val="17"/>
    <w:qFormat/>
    <w:uiPriority w:val="0"/>
    <w:rPr>
      <w:rFonts w:eastAsia="宋体"/>
      <w:sz w:val="24"/>
      <w:lang w:bidi="ar-SA"/>
    </w:rPr>
  </w:style>
  <w:style w:type="character" w:customStyle="1" w:styleId="385">
    <w:name w:val="style161"/>
    <w:qFormat/>
    <w:uiPriority w:val="0"/>
    <w:rPr>
      <w:color w:val="666666"/>
    </w:rPr>
  </w:style>
  <w:style w:type="character" w:customStyle="1" w:styleId="386">
    <w:name w:val="UP标题3 Char Char"/>
    <w:link w:val="387"/>
    <w:qFormat/>
    <w:locked/>
    <w:uiPriority w:val="0"/>
    <w:rPr>
      <w:rFonts w:ascii="黑体" w:eastAsia="黑体"/>
      <w:sz w:val="28"/>
      <w:szCs w:val="28"/>
      <w:lang w:bidi="ar-SA"/>
    </w:rPr>
  </w:style>
  <w:style w:type="paragraph" w:customStyle="1" w:styleId="387">
    <w:name w:val="UP标题3"/>
    <w:basedOn w:val="1"/>
    <w:link w:val="386"/>
    <w:qFormat/>
    <w:uiPriority w:val="0"/>
    <w:pPr>
      <w:spacing w:line="360" w:lineRule="auto"/>
      <w:ind w:firstLine="149" w:firstLineChars="149"/>
    </w:pPr>
    <w:rPr>
      <w:rFonts w:ascii="黑体" w:eastAsia="黑体"/>
      <w:kern w:val="0"/>
      <w:sz w:val="28"/>
      <w:szCs w:val="28"/>
    </w:rPr>
  </w:style>
  <w:style w:type="character" w:customStyle="1" w:styleId="388">
    <w:name w:val="ca-4"/>
    <w:basedOn w:val="54"/>
    <w:qFormat/>
    <w:uiPriority w:val="0"/>
  </w:style>
  <w:style w:type="character" w:customStyle="1" w:styleId="389">
    <w:name w:val="脚注文本 字符4"/>
    <w:qFormat/>
    <w:locked/>
    <w:uiPriority w:val="0"/>
    <w:rPr>
      <w:rFonts w:ascii="宋体" w:eastAsia="宋体"/>
      <w:kern w:val="21"/>
      <w:sz w:val="18"/>
      <w:szCs w:val="18"/>
      <w:lang w:val="en-US" w:eastAsia="zh-CN" w:bidi="ar-SA"/>
    </w:rPr>
  </w:style>
  <w:style w:type="character" w:customStyle="1" w:styleId="390">
    <w:name w:val="脚注文本 字符2"/>
    <w:qFormat/>
    <w:locked/>
    <w:uiPriority w:val="0"/>
    <w:rPr>
      <w:rFonts w:ascii="宋体" w:eastAsia="宋体"/>
      <w:kern w:val="21"/>
      <w:sz w:val="18"/>
      <w:szCs w:val="18"/>
      <w:lang w:val="en-US" w:eastAsia="zh-CN" w:bidi="ar-SA"/>
    </w:rPr>
  </w:style>
  <w:style w:type="character" w:customStyle="1" w:styleId="391">
    <w:name w:val="Char Char34"/>
    <w:qFormat/>
    <w:uiPriority w:val="0"/>
    <w:rPr>
      <w:rFonts w:ascii="Arial" w:hAnsi="Arial" w:eastAsia="黑体"/>
      <w:b/>
      <w:bCs/>
      <w:sz w:val="32"/>
      <w:szCs w:val="32"/>
      <w:lang w:bidi="ar-SA"/>
    </w:rPr>
  </w:style>
  <w:style w:type="character" w:customStyle="1" w:styleId="392">
    <w:name w:val="无间隔 Char"/>
    <w:link w:val="393"/>
    <w:qFormat/>
    <w:uiPriority w:val="0"/>
    <w:rPr>
      <w:sz w:val="22"/>
      <w:szCs w:val="22"/>
      <w:lang w:val="en-US" w:eastAsia="zh-CN" w:bidi="ar-SA"/>
    </w:rPr>
  </w:style>
  <w:style w:type="paragraph" w:styleId="393">
    <w:name w:val="No Spacing"/>
    <w:link w:val="392"/>
    <w:qFormat/>
    <w:uiPriority w:val="0"/>
    <w:rPr>
      <w:rFonts w:ascii="Times New Roman" w:hAnsi="Times New Roman" w:eastAsia="宋体" w:cs="Times New Roman"/>
      <w:sz w:val="22"/>
      <w:szCs w:val="22"/>
      <w:lang w:val="en-US" w:eastAsia="zh-CN" w:bidi="ar-SA"/>
    </w:rPr>
  </w:style>
  <w:style w:type="character" w:customStyle="1" w:styleId="394">
    <w:name w:val="正文文本缩进 2 字符"/>
    <w:qFormat/>
    <w:uiPriority w:val="0"/>
    <w:rPr>
      <w:rFonts w:eastAsia="宋体"/>
      <w:kern w:val="2"/>
      <w:sz w:val="32"/>
      <w:lang w:val="en-US" w:eastAsia="zh-CN" w:bidi="ar-SA"/>
    </w:rPr>
  </w:style>
  <w:style w:type="paragraph" w:customStyle="1" w:styleId="395">
    <w:name w:val="参考文献、索引标题"/>
    <w:basedOn w:val="238"/>
    <w:next w:val="1"/>
    <w:qFormat/>
    <w:uiPriority w:val="0"/>
    <w:pPr>
      <w:numPr>
        <w:numId w:val="0"/>
      </w:numPr>
      <w:spacing w:after="200"/>
    </w:pPr>
    <w:rPr>
      <w:sz w:val="21"/>
    </w:rPr>
  </w:style>
  <w:style w:type="character" w:customStyle="1" w:styleId="396">
    <w:name w:val="正文文本 字符2"/>
    <w:qFormat/>
    <w:uiPriority w:val="0"/>
    <w:rPr>
      <w:rFonts w:eastAsia="宋体"/>
      <w:kern w:val="2"/>
      <w:sz w:val="24"/>
      <w:szCs w:val="24"/>
      <w:lang w:val="en-US" w:eastAsia="zh-CN" w:bidi="ar-SA"/>
    </w:rPr>
  </w:style>
  <w:style w:type="paragraph" w:customStyle="1" w:styleId="397">
    <w:name w:val="Char Char Char Char"/>
    <w:basedOn w:val="15"/>
    <w:qFormat/>
    <w:uiPriority w:val="0"/>
    <w:pPr>
      <w:adjustRightInd w:val="0"/>
      <w:snapToGrid w:val="0"/>
      <w:spacing w:line="360" w:lineRule="auto"/>
    </w:pPr>
    <w:rPr>
      <w:rFonts w:ascii="Tahoma" w:hAnsi="Tahoma"/>
      <w:sz w:val="24"/>
    </w:rPr>
  </w:style>
  <w:style w:type="character" w:customStyle="1" w:styleId="398">
    <w:name w:val="HTML 地址 字符4"/>
    <w:qFormat/>
    <w:locked/>
    <w:uiPriority w:val="0"/>
    <w:rPr>
      <w:rFonts w:ascii="宋体" w:eastAsia="宋体"/>
      <w:i/>
      <w:iCs/>
      <w:kern w:val="21"/>
      <w:sz w:val="21"/>
      <w:szCs w:val="21"/>
      <w:lang w:val="en-US" w:eastAsia="zh-CN" w:bidi="ar-SA"/>
    </w:rPr>
  </w:style>
  <w:style w:type="character" w:customStyle="1" w:styleId="399">
    <w:name w:val="Body Text Indent Char"/>
    <w:qFormat/>
    <w:locked/>
    <w:uiPriority w:val="0"/>
    <w:rPr>
      <w:rFonts w:ascii="仿宋_GB2312" w:eastAsia="仿宋_GB2312"/>
      <w:kern w:val="2"/>
      <w:sz w:val="32"/>
      <w:lang w:val="en-US" w:eastAsia="zh-CN"/>
    </w:rPr>
  </w:style>
  <w:style w:type="character" w:customStyle="1" w:styleId="400">
    <w:name w:val="发布"/>
    <w:qFormat/>
    <w:uiPriority w:val="0"/>
    <w:rPr>
      <w:rFonts w:ascii="黑体" w:eastAsia="黑体"/>
      <w:spacing w:val="22"/>
      <w:w w:val="100"/>
      <w:position w:val="3"/>
      <w:sz w:val="28"/>
    </w:rPr>
  </w:style>
  <w:style w:type="character" w:customStyle="1" w:styleId="401">
    <w:name w:val="Char Char1511"/>
    <w:qFormat/>
    <w:uiPriority w:val="0"/>
    <w:rPr>
      <w:sz w:val="18"/>
      <w:szCs w:val="18"/>
    </w:rPr>
  </w:style>
  <w:style w:type="paragraph" w:customStyle="1" w:styleId="402">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character" w:customStyle="1" w:styleId="403">
    <w:name w:val="标题 7 字符1"/>
    <w:qFormat/>
    <w:uiPriority w:val="0"/>
    <w:rPr>
      <w:rFonts w:eastAsia="宋体"/>
      <w:b/>
      <w:kern w:val="2"/>
      <w:sz w:val="24"/>
      <w:szCs w:val="24"/>
      <w:lang w:val="en-US" w:eastAsia="zh-CN" w:bidi="ar-SA"/>
    </w:rPr>
  </w:style>
  <w:style w:type="character" w:customStyle="1" w:styleId="404">
    <w:name w:val="Char Char45"/>
    <w:qFormat/>
    <w:uiPriority w:val="0"/>
    <w:rPr>
      <w:rFonts w:eastAsia="宋体"/>
      <w:b/>
      <w:bCs/>
      <w:kern w:val="44"/>
      <w:sz w:val="44"/>
      <w:szCs w:val="44"/>
      <w:lang w:val="en-US" w:eastAsia="zh-CN" w:bidi="ar-SA"/>
    </w:rPr>
  </w:style>
  <w:style w:type="paragraph" w:customStyle="1" w:styleId="405">
    <w:name w:val="Char21"/>
    <w:basedOn w:val="1"/>
    <w:qFormat/>
    <w:uiPriority w:val="0"/>
    <w:pPr>
      <w:widowControl/>
      <w:spacing w:after="160" w:line="240" w:lineRule="exact"/>
      <w:jc w:val="left"/>
    </w:pPr>
  </w:style>
  <w:style w:type="character" w:customStyle="1" w:styleId="406">
    <w:name w:val="Char Char231"/>
    <w:qFormat/>
    <w:uiPriority w:val="0"/>
    <w:rPr>
      <w:rFonts w:ascii="Times New Roman" w:hAnsi="Times New Roman" w:eastAsia="宋体"/>
      <w:b/>
      <w:kern w:val="44"/>
      <w:sz w:val="44"/>
    </w:rPr>
  </w:style>
  <w:style w:type="paragraph" w:customStyle="1" w:styleId="407">
    <w:name w:val="Char Char Char1"/>
    <w:basedOn w:val="1"/>
    <w:qFormat/>
    <w:uiPriority w:val="0"/>
    <w:rPr>
      <w:rFonts w:ascii="Tahoma" w:hAnsi="Tahoma"/>
      <w:sz w:val="24"/>
      <w:szCs w:val="20"/>
    </w:rPr>
  </w:style>
  <w:style w:type="character" w:customStyle="1" w:styleId="408">
    <w:name w:val="Char Char15"/>
    <w:qFormat/>
    <w:uiPriority w:val="0"/>
    <w:rPr>
      <w:sz w:val="18"/>
      <w:szCs w:val="18"/>
    </w:rPr>
  </w:style>
  <w:style w:type="character" w:customStyle="1" w:styleId="409">
    <w:name w:val="正文文本 2 Char"/>
    <w:link w:val="45"/>
    <w:qFormat/>
    <w:uiPriority w:val="0"/>
    <w:rPr>
      <w:rFonts w:eastAsia="宋体"/>
      <w:kern w:val="2"/>
      <w:sz w:val="21"/>
      <w:szCs w:val="24"/>
      <w:lang w:val="en-US" w:eastAsia="zh-CN" w:bidi="ar-SA"/>
    </w:rPr>
  </w:style>
  <w:style w:type="character" w:customStyle="1" w:styleId="410">
    <w:name w:val="页眉 字符2"/>
    <w:qFormat/>
    <w:uiPriority w:val="0"/>
    <w:rPr>
      <w:rFonts w:eastAsia="宋体"/>
      <w:kern w:val="2"/>
      <w:sz w:val="18"/>
      <w:szCs w:val="18"/>
      <w:lang w:val="en-US" w:eastAsia="zh-CN" w:bidi="ar-SA"/>
    </w:rPr>
  </w:style>
  <w:style w:type="character" w:customStyle="1" w:styleId="411">
    <w:name w:val="正文文本 Char"/>
    <w:link w:val="20"/>
    <w:qFormat/>
    <w:uiPriority w:val="0"/>
    <w:rPr>
      <w:rFonts w:eastAsia="宋体"/>
      <w:kern w:val="2"/>
      <w:sz w:val="24"/>
      <w:szCs w:val="24"/>
      <w:lang w:val="en-US" w:eastAsia="zh-CN" w:bidi="ar-SA"/>
    </w:rPr>
  </w:style>
  <w:style w:type="paragraph" w:customStyle="1" w:styleId="412">
    <w:name w:val="F2"/>
    <w:basedOn w:val="1"/>
    <w:qFormat/>
    <w:uiPriority w:val="0"/>
    <w:pPr>
      <w:autoSpaceDE w:val="0"/>
      <w:autoSpaceDN w:val="0"/>
      <w:adjustRightInd w:val="0"/>
      <w:ind w:firstLine="601"/>
    </w:pPr>
    <w:rPr>
      <w:kern w:val="0"/>
      <w:sz w:val="24"/>
      <w:szCs w:val="20"/>
    </w:rPr>
  </w:style>
  <w:style w:type="character" w:customStyle="1" w:styleId="413">
    <w:name w:val="日期 Char"/>
    <w:link w:val="30"/>
    <w:qFormat/>
    <w:uiPriority w:val="0"/>
    <w:rPr>
      <w:rFonts w:ascii="宋体" w:hAnsi="Courier New" w:eastAsia="宋体" w:cs="Courier New"/>
      <w:kern w:val="2"/>
      <w:sz w:val="21"/>
      <w:szCs w:val="21"/>
      <w:lang w:val="en-US" w:eastAsia="zh-CN" w:bidi="ar-SA"/>
    </w:rPr>
  </w:style>
  <w:style w:type="character" w:customStyle="1" w:styleId="414">
    <w:name w:val="标题 8 字符4"/>
    <w:qFormat/>
    <w:uiPriority w:val="0"/>
    <w:rPr>
      <w:rFonts w:ascii="Arial" w:hAnsi="Arial" w:eastAsia="黑体"/>
      <w:kern w:val="2"/>
      <w:sz w:val="24"/>
      <w:szCs w:val="24"/>
      <w:lang w:val="en-US" w:eastAsia="zh-CN" w:bidi="ar-SA"/>
    </w:rPr>
  </w:style>
  <w:style w:type="paragraph" w:customStyle="1" w:styleId="415">
    <w:name w:val="Table Paragraph"/>
    <w:basedOn w:val="1"/>
    <w:qFormat/>
    <w:uiPriority w:val="1"/>
    <w:rPr>
      <w:rFonts w:ascii="宋体" w:hAnsi="宋体" w:cs="宋体"/>
      <w:lang w:val="zh-CN" w:bidi="zh-CN"/>
    </w:rPr>
  </w:style>
  <w:style w:type="paragraph" w:customStyle="1" w:styleId="416">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character" w:customStyle="1" w:styleId="417">
    <w:name w:val="Document Map Char"/>
    <w:basedOn w:val="54"/>
    <w:qFormat/>
    <w:locked/>
    <w:uiPriority w:val="0"/>
    <w:rPr>
      <w:rFonts w:ascii="宋体" w:eastAsia="宋体"/>
      <w:kern w:val="21"/>
      <w:sz w:val="21"/>
      <w:szCs w:val="21"/>
      <w:lang w:val="en-US" w:eastAsia="zh-CN" w:bidi="ar-SA"/>
    </w:rPr>
  </w:style>
  <w:style w:type="character" w:customStyle="1" w:styleId="418">
    <w:name w:val="Heading 1 Char"/>
    <w:basedOn w:val="54"/>
    <w:qFormat/>
    <w:locked/>
    <w:uiPriority w:val="0"/>
    <w:rPr>
      <w:rFonts w:ascii="宋体" w:eastAsia="宋体"/>
      <w:b/>
      <w:bCs/>
      <w:kern w:val="44"/>
      <w:sz w:val="44"/>
      <w:szCs w:val="44"/>
      <w:lang w:val="en-US" w:eastAsia="zh-CN" w:bidi="ar-SA"/>
    </w:rPr>
  </w:style>
  <w:style w:type="character" w:customStyle="1" w:styleId="419">
    <w:name w:val="Heading 2 Char1"/>
    <w:qFormat/>
    <w:locked/>
    <w:uiPriority w:val="0"/>
    <w:rPr>
      <w:rFonts w:ascii="Arial" w:hAnsi="Arial" w:eastAsia="黑体"/>
      <w:b/>
      <w:sz w:val="32"/>
    </w:rPr>
  </w:style>
  <w:style w:type="character" w:customStyle="1" w:styleId="420">
    <w:name w:val="尾注文本 字符4"/>
    <w:qFormat/>
    <w:uiPriority w:val="0"/>
    <w:rPr>
      <w:rFonts w:ascii="Calibri" w:hAnsi="Calibri"/>
      <w:kern w:val="2"/>
      <w:sz w:val="21"/>
      <w:szCs w:val="22"/>
    </w:rPr>
  </w:style>
  <w:style w:type="character" w:customStyle="1" w:styleId="421">
    <w:name w:val="标题 2 Char"/>
    <w:link w:val="4"/>
    <w:qFormat/>
    <w:uiPriority w:val="0"/>
    <w:rPr>
      <w:rFonts w:ascii="Arial" w:hAnsi="Arial" w:eastAsia="黑体"/>
      <w:b/>
      <w:bCs/>
      <w:sz w:val="32"/>
      <w:szCs w:val="32"/>
      <w:lang w:bidi="ar-SA"/>
    </w:rPr>
  </w:style>
  <w:style w:type="paragraph" w:customStyle="1" w:styleId="422">
    <w:name w:val="_Style 8"/>
    <w:basedOn w:val="15"/>
    <w:qFormat/>
    <w:uiPriority w:val="0"/>
    <w:pPr>
      <w:widowControl/>
      <w:ind w:firstLine="454"/>
      <w:jc w:val="left"/>
    </w:pPr>
  </w:style>
  <w:style w:type="character" w:customStyle="1" w:styleId="423">
    <w:name w:val="Char Char7"/>
    <w:qFormat/>
    <w:uiPriority w:val="0"/>
    <w:rPr>
      <w:rFonts w:ascii="宋体" w:eastAsia="宋体" w:cs="Courier New"/>
      <w:kern w:val="2"/>
      <w:sz w:val="21"/>
      <w:szCs w:val="21"/>
      <w:lang w:val="en-US" w:eastAsia="zh-CN" w:bidi="ar-SA"/>
    </w:rPr>
  </w:style>
  <w:style w:type="table" w:customStyle="1" w:styleId="424">
    <w:name w:val="彩色列表 - 着色 11"/>
    <w:qFormat/>
    <w:uiPriority w:val="0"/>
    <w:rPr>
      <w:rFonts w:ascii="Calibri" w:hAnsi="Calibri"/>
      <w:sz w:val="24"/>
      <w:szCs w:val="24"/>
      <w:lang w:eastAsia="en-US"/>
    </w:rPr>
    <w:tblPr>
      <w:tblCellMar>
        <w:top w:w="0" w:type="dxa"/>
        <w:left w:w="108" w:type="dxa"/>
        <w:bottom w:w="0" w:type="dxa"/>
        <w:right w:w="108" w:type="dxa"/>
      </w:tblCellMar>
    </w:tblPr>
    <w:tcPr>
      <w:shd w:val="clear" w:color="auto" w:fill="EDF2F8"/>
    </w:tcPr>
  </w:style>
  <w:style w:type="character" w:customStyle="1" w:styleId="425">
    <w:name w:val="正文文本 3 字符3"/>
    <w:qFormat/>
    <w:uiPriority w:val="0"/>
    <w:rPr>
      <w:rFonts w:eastAsia="宋体"/>
      <w:b/>
      <w:bCs/>
      <w:kern w:val="2"/>
      <w:sz w:val="24"/>
      <w:szCs w:val="24"/>
      <w:lang w:val="en-US" w:eastAsia="zh-CN" w:bidi="ar-SA"/>
    </w:rPr>
  </w:style>
  <w:style w:type="character" w:customStyle="1" w:styleId="426">
    <w:name w:val="无间隔 Char Char"/>
    <w:qFormat/>
    <w:uiPriority w:val="0"/>
    <w:rPr>
      <w:rFonts w:ascii="Calibri" w:hAnsi="Calibri" w:eastAsia="宋体"/>
      <w:sz w:val="22"/>
      <w:szCs w:val="22"/>
      <w:lang w:val="en-US" w:eastAsia="zh-CN" w:bidi="ar-SA"/>
    </w:rPr>
  </w:style>
  <w:style w:type="character" w:customStyle="1" w:styleId="427">
    <w:name w:val="标题 3 字符3"/>
    <w:qFormat/>
    <w:uiPriority w:val="0"/>
    <w:rPr>
      <w:rFonts w:eastAsia="宋体"/>
      <w:b/>
      <w:bCs/>
      <w:sz w:val="32"/>
      <w:szCs w:val="32"/>
      <w:lang w:bidi="ar-SA"/>
    </w:rPr>
  </w:style>
  <w:style w:type="paragraph" w:customStyle="1" w:styleId="428">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429">
    <w:name w:val="Char3"/>
    <w:basedOn w:val="15"/>
    <w:qFormat/>
    <w:uiPriority w:val="0"/>
    <w:pPr>
      <w:widowControl/>
      <w:ind w:firstLine="454"/>
      <w:jc w:val="left"/>
    </w:pPr>
    <w:rPr>
      <w:rFonts w:ascii="Tahoma" w:hAnsi="Tahoma" w:cs="宋体"/>
      <w:kern w:val="0"/>
      <w:sz w:val="24"/>
      <w:szCs w:val="20"/>
    </w:rPr>
  </w:style>
  <w:style w:type="paragraph" w:customStyle="1" w:styleId="430">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character" w:customStyle="1" w:styleId="431">
    <w:name w:val="Char Char1011"/>
    <w:semiHidden/>
    <w:qFormat/>
    <w:uiPriority w:val="0"/>
    <w:rPr>
      <w:rFonts w:eastAsia="宋体"/>
      <w:kern w:val="2"/>
      <w:sz w:val="24"/>
      <w:szCs w:val="24"/>
      <w:lang w:val="en-US" w:eastAsia="zh-CN" w:bidi="ar-SA"/>
    </w:rPr>
  </w:style>
  <w:style w:type="paragraph" w:customStyle="1" w:styleId="432">
    <w:name w:val="Char Char18"/>
    <w:basedOn w:val="15"/>
    <w:qFormat/>
    <w:uiPriority w:val="0"/>
    <w:pPr>
      <w:widowControl/>
      <w:ind w:firstLine="454"/>
      <w:jc w:val="left"/>
    </w:pPr>
    <w:rPr>
      <w:rFonts w:ascii="Tahoma" w:hAnsi="Tahoma" w:cs="宋体"/>
      <w:kern w:val="0"/>
      <w:sz w:val="24"/>
      <w:szCs w:val="20"/>
    </w:rPr>
  </w:style>
  <w:style w:type="character" w:customStyle="1" w:styleId="433">
    <w:name w:val="标题 3 字符1"/>
    <w:qFormat/>
    <w:uiPriority w:val="0"/>
    <w:rPr>
      <w:rFonts w:eastAsia="宋体"/>
      <w:b/>
      <w:bCs/>
      <w:sz w:val="32"/>
      <w:szCs w:val="32"/>
      <w:lang w:bidi="ar-SA"/>
    </w:rPr>
  </w:style>
  <w:style w:type="paragraph" w:customStyle="1" w:styleId="434">
    <w:name w:val="样式 宋体 小四 行距: 1.5 倍行距1 Char"/>
    <w:basedOn w:val="1"/>
    <w:qFormat/>
    <w:uiPriority w:val="0"/>
    <w:pPr>
      <w:spacing w:line="360" w:lineRule="auto"/>
      <w:ind w:firstLine="540" w:firstLineChars="225"/>
    </w:pPr>
    <w:rPr>
      <w:rFonts w:ascii="宋体" w:hAnsi="宋体"/>
      <w:sz w:val="24"/>
    </w:rPr>
  </w:style>
  <w:style w:type="character" w:customStyle="1" w:styleId="435">
    <w:name w:val="style31"/>
    <w:qFormat/>
    <w:uiPriority w:val="0"/>
    <w:rPr>
      <w:sz w:val="18"/>
      <w:szCs w:val="18"/>
    </w:rPr>
  </w:style>
  <w:style w:type="character" w:customStyle="1" w:styleId="436">
    <w:name w:val="标题 2 字符"/>
    <w:qFormat/>
    <w:uiPriority w:val="0"/>
    <w:rPr>
      <w:rFonts w:ascii="Arial" w:hAnsi="Arial" w:eastAsia="黑体"/>
      <w:b/>
      <w:bCs/>
      <w:sz w:val="32"/>
      <w:szCs w:val="32"/>
      <w:lang w:bidi="ar-SA"/>
    </w:rPr>
  </w:style>
  <w:style w:type="paragraph" w:customStyle="1" w:styleId="437">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character" w:customStyle="1" w:styleId="438">
    <w:name w:val="style21"/>
    <w:qFormat/>
    <w:uiPriority w:val="0"/>
    <w:rPr>
      <w:sz w:val="18"/>
      <w:szCs w:val="18"/>
    </w:rPr>
  </w:style>
  <w:style w:type="character" w:customStyle="1" w:styleId="439">
    <w:name w:val="普通文字 Char Char3"/>
    <w:qFormat/>
    <w:uiPriority w:val="0"/>
    <w:rPr>
      <w:rFonts w:ascii="宋体" w:hAnsi="Courier New" w:eastAsia="宋体" w:cs="Courier New"/>
      <w:kern w:val="2"/>
      <w:sz w:val="21"/>
      <w:szCs w:val="21"/>
      <w:lang w:val="en-US" w:eastAsia="zh-CN" w:bidi="ar-SA"/>
    </w:rPr>
  </w:style>
  <w:style w:type="paragraph" w:customStyle="1" w:styleId="440">
    <w:name w:val="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441">
    <w:name w:val="Char Char19 Char Char Char Char"/>
    <w:basedOn w:val="15"/>
    <w:qFormat/>
    <w:uiPriority w:val="0"/>
    <w:pPr>
      <w:widowControl/>
      <w:ind w:firstLine="454"/>
      <w:jc w:val="left"/>
    </w:pPr>
  </w:style>
  <w:style w:type="character" w:customStyle="1" w:styleId="442">
    <w:name w:val="正文文本缩进 字符1"/>
    <w:qFormat/>
    <w:uiPriority w:val="0"/>
    <w:rPr>
      <w:rFonts w:ascii="仿宋_GB2312" w:eastAsia="仿宋_GB2312"/>
      <w:kern w:val="2"/>
      <w:sz w:val="32"/>
      <w:lang w:val="en-US" w:eastAsia="zh-CN" w:bidi="ar-SA"/>
    </w:rPr>
  </w:style>
  <w:style w:type="paragraph" w:customStyle="1" w:styleId="443">
    <w:name w:val="附录五级条标题"/>
    <w:basedOn w:val="370"/>
    <w:next w:val="122"/>
    <w:qFormat/>
    <w:uiPriority w:val="0"/>
    <w:pPr>
      <w:numPr>
        <w:ilvl w:val="6"/>
      </w:numPr>
      <w:outlineLvl w:val="6"/>
    </w:pPr>
  </w:style>
  <w:style w:type="character" w:customStyle="1" w:styleId="444">
    <w:name w:val="ca-7"/>
    <w:basedOn w:val="54"/>
    <w:qFormat/>
    <w:uiPriority w:val="0"/>
  </w:style>
  <w:style w:type="character" w:customStyle="1" w:styleId="445">
    <w:name w:val="Char Char61"/>
    <w:qFormat/>
    <w:uiPriority w:val="0"/>
    <w:rPr>
      <w:rFonts w:eastAsia="宋体"/>
      <w:b/>
      <w:bCs/>
      <w:kern w:val="44"/>
      <w:sz w:val="44"/>
      <w:szCs w:val="44"/>
      <w:lang w:val="en-US" w:eastAsia="zh-CN" w:bidi="ar-SA"/>
    </w:rPr>
  </w:style>
  <w:style w:type="paragraph" w:customStyle="1" w:styleId="446">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447">
    <w:name w:val="标准文本"/>
    <w:basedOn w:val="1"/>
    <w:qFormat/>
    <w:uiPriority w:val="0"/>
    <w:pPr>
      <w:spacing w:line="360" w:lineRule="auto"/>
      <w:ind w:firstLine="200" w:firstLineChars="200"/>
    </w:pPr>
    <w:rPr>
      <w:kern w:val="0"/>
      <w:sz w:val="24"/>
      <w:szCs w:val="20"/>
    </w:rPr>
  </w:style>
  <w:style w:type="character" w:customStyle="1" w:styleId="448">
    <w:name w:val="Heading 4 Char"/>
    <w:basedOn w:val="54"/>
    <w:qFormat/>
    <w:locked/>
    <w:uiPriority w:val="0"/>
    <w:rPr>
      <w:rFonts w:ascii="Arial" w:hAnsi="Arial" w:eastAsia="黑体"/>
      <w:b/>
      <w:bCs/>
      <w:kern w:val="21"/>
      <w:sz w:val="28"/>
      <w:szCs w:val="28"/>
      <w:lang w:val="en-US" w:eastAsia="zh-CN" w:bidi="ar-SA"/>
    </w:rPr>
  </w:style>
  <w:style w:type="paragraph" w:customStyle="1" w:styleId="449">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character" w:customStyle="1" w:styleId="450">
    <w:name w:val="ca-5"/>
    <w:basedOn w:val="54"/>
    <w:qFormat/>
    <w:uiPriority w:val="0"/>
  </w:style>
  <w:style w:type="character" w:customStyle="1" w:styleId="451">
    <w:name w:val="标题 3 字符4"/>
    <w:qFormat/>
    <w:uiPriority w:val="0"/>
    <w:rPr>
      <w:rFonts w:eastAsia="宋体"/>
      <w:b/>
      <w:bCs/>
      <w:sz w:val="32"/>
      <w:szCs w:val="32"/>
      <w:lang w:bidi="ar-SA"/>
    </w:rPr>
  </w:style>
  <w:style w:type="paragraph" w:customStyle="1" w:styleId="452">
    <w:name w:val="标准书脚_偶数页"/>
    <w:qFormat/>
    <w:uiPriority w:val="0"/>
    <w:pPr>
      <w:spacing w:before="120"/>
      <w:jc w:val="both"/>
    </w:pPr>
    <w:rPr>
      <w:rFonts w:ascii="Times New Roman" w:hAnsi="Times New Roman" w:eastAsia="宋体" w:cs="Times New Roman"/>
      <w:sz w:val="18"/>
      <w:lang w:val="en-US" w:eastAsia="zh-CN" w:bidi="ar-SA"/>
    </w:rPr>
  </w:style>
  <w:style w:type="character" w:customStyle="1" w:styleId="453">
    <w:name w:val="标题 字符"/>
    <w:qFormat/>
    <w:uiPriority w:val="0"/>
    <w:rPr>
      <w:rFonts w:ascii="Arial" w:hAnsi="Arial" w:eastAsia="宋体"/>
      <w:b/>
      <w:bCs/>
      <w:kern w:val="2"/>
      <w:sz w:val="32"/>
      <w:szCs w:val="32"/>
      <w:lang w:bidi="ar-SA"/>
    </w:rPr>
  </w:style>
  <w:style w:type="character" w:customStyle="1" w:styleId="454">
    <w:name w:val="Heading 5 Char"/>
    <w:basedOn w:val="54"/>
    <w:qFormat/>
    <w:locked/>
    <w:uiPriority w:val="0"/>
    <w:rPr>
      <w:rFonts w:ascii="宋体" w:eastAsia="宋体"/>
      <w:b/>
      <w:bCs/>
      <w:kern w:val="21"/>
      <w:sz w:val="28"/>
      <w:szCs w:val="28"/>
      <w:lang w:val="en-US" w:eastAsia="zh-CN" w:bidi="ar-SA"/>
    </w:rPr>
  </w:style>
  <w:style w:type="character" w:customStyle="1" w:styleId="455">
    <w:name w:val="font31"/>
    <w:basedOn w:val="54"/>
    <w:qFormat/>
    <w:uiPriority w:val="0"/>
    <w:rPr>
      <w:rFonts w:hint="eastAsia" w:ascii="宋体" w:hAnsi="宋体" w:eastAsia="宋体" w:cs="宋体"/>
      <w:color w:val="000000"/>
      <w:sz w:val="16"/>
      <w:szCs w:val="16"/>
      <w:u w:val="none"/>
    </w:rPr>
  </w:style>
  <w:style w:type="character" w:customStyle="1" w:styleId="456">
    <w:name w:val="正文文本缩进 3 字符3"/>
    <w:qFormat/>
    <w:uiPriority w:val="0"/>
    <w:rPr>
      <w:rFonts w:eastAsia="宋体"/>
      <w:kern w:val="2"/>
      <w:sz w:val="16"/>
      <w:szCs w:val="16"/>
      <w:lang w:val="en-US" w:eastAsia="zh-CN" w:bidi="ar-SA"/>
    </w:rPr>
  </w:style>
  <w:style w:type="character" w:customStyle="1" w:styleId="457">
    <w:name w:val="Body Text Char1"/>
    <w:qFormat/>
    <w:locked/>
    <w:uiPriority w:val="0"/>
    <w:rPr>
      <w:rFonts w:eastAsia="宋体"/>
      <w:kern w:val="2"/>
      <w:sz w:val="24"/>
      <w:lang w:val="en-US" w:eastAsia="zh-CN"/>
    </w:rPr>
  </w:style>
  <w:style w:type="paragraph" w:customStyle="1" w:styleId="458">
    <w:name w:val="Char Char9 Char Char Char Char1"/>
    <w:basedOn w:val="1"/>
    <w:qFormat/>
    <w:uiPriority w:val="0"/>
    <w:pPr>
      <w:widowControl/>
      <w:spacing w:after="160" w:line="240" w:lineRule="exact"/>
      <w:jc w:val="left"/>
    </w:pPr>
  </w:style>
  <w:style w:type="character" w:customStyle="1" w:styleId="459">
    <w:name w:val="尾注文本 Char"/>
    <w:link w:val="32"/>
    <w:qFormat/>
    <w:uiPriority w:val="0"/>
    <w:rPr>
      <w:rFonts w:ascii="Calibri" w:hAnsi="Calibri"/>
      <w:kern w:val="2"/>
      <w:sz w:val="21"/>
      <w:szCs w:val="22"/>
    </w:rPr>
  </w:style>
  <w:style w:type="character" w:customStyle="1" w:styleId="460">
    <w:name w:val="Char Char Char Char Char1"/>
    <w:qFormat/>
    <w:uiPriority w:val="0"/>
    <w:rPr>
      <w:rFonts w:eastAsia="宋体"/>
      <w:b/>
      <w:kern w:val="44"/>
      <w:sz w:val="44"/>
      <w:lang w:val="en-US" w:eastAsia="zh-CN"/>
    </w:rPr>
  </w:style>
  <w:style w:type="character" w:customStyle="1" w:styleId="461">
    <w:name w:val="font71"/>
    <w:basedOn w:val="54"/>
    <w:qFormat/>
    <w:uiPriority w:val="0"/>
    <w:rPr>
      <w:rFonts w:hint="eastAsia" w:ascii="宋体" w:hAnsi="宋体" w:eastAsia="宋体" w:cs="宋体"/>
      <w:color w:val="FF0000"/>
      <w:sz w:val="18"/>
      <w:szCs w:val="18"/>
      <w:u w:val="none"/>
    </w:rPr>
  </w:style>
  <w:style w:type="paragraph" w:customStyle="1" w:styleId="462">
    <w:name w:val="Char Char9 Char Char Char Char"/>
    <w:basedOn w:val="1"/>
    <w:qFormat/>
    <w:uiPriority w:val="0"/>
    <w:pPr>
      <w:widowControl/>
      <w:spacing w:after="160" w:line="240" w:lineRule="exact"/>
      <w:jc w:val="left"/>
    </w:pPr>
  </w:style>
  <w:style w:type="character" w:customStyle="1" w:styleId="463">
    <w:name w:val="font61"/>
    <w:basedOn w:val="54"/>
    <w:qFormat/>
    <w:uiPriority w:val="0"/>
    <w:rPr>
      <w:rFonts w:hint="eastAsia" w:ascii="宋体" w:hAnsi="宋体" w:eastAsia="宋体" w:cs="宋体"/>
      <w:color w:val="000000"/>
      <w:sz w:val="21"/>
      <w:szCs w:val="21"/>
      <w:u w:val="none"/>
    </w:rPr>
  </w:style>
  <w:style w:type="character" w:customStyle="1" w:styleId="464">
    <w:name w:val="无间隔 字符4"/>
    <w:qFormat/>
    <w:uiPriority w:val="0"/>
    <w:rPr>
      <w:sz w:val="22"/>
      <w:szCs w:val="22"/>
      <w:lang w:val="en-US" w:eastAsia="zh-CN" w:bidi="ar-SA"/>
    </w:rPr>
  </w:style>
  <w:style w:type="paragraph" w:customStyle="1" w:styleId="465">
    <w:name w:val="List Paragraph1"/>
    <w:basedOn w:val="1"/>
    <w:qFormat/>
    <w:uiPriority w:val="0"/>
    <w:pPr>
      <w:ind w:firstLine="420" w:firstLineChars="200"/>
    </w:pPr>
  </w:style>
  <w:style w:type="paragraph" w:customStyle="1" w:styleId="466">
    <w:name w:val="样式 首行缩进:  2 字符"/>
    <w:basedOn w:val="1"/>
    <w:qFormat/>
    <w:uiPriority w:val="0"/>
    <w:pPr>
      <w:spacing w:line="400" w:lineRule="exact"/>
      <w:ind w:firstLine="200" w:firstLineChars="200"/>
    </w:pPr>
    <w:rPr>
      <w:rFonts w:cs="宋体"/>
      <w:sz w:val="24"/>
    </w:rPr>
  </w:style>
  <w:style w:type="character" w:customStyle="1" w:styleId="467">
    <w:name w:val="批注文字 字符3"/>
    <w:qFormat/>
    <w:uiPriority w:val="0"/>
    <w:rPr>
      <w:rFonts w:eastAsia="宋体"/>
      <w:sz w:val="24"/>
      <w:lang w:bidi="ar-SA"/>
    </w:rPr>
  </w:style>
  <w:style w:type="paragraph" w:customStyle="1" w:styleId="468">
    <w:name w:val="Char Char9 Char Char Char Char2"/>
    <w:basedOn w:val="1"/>
    <w:qFormat/>
    <w:uiPriority w:val="0"/>
    <w:pPr>
      <w:widowControl/>
      <w:spacing w:after="160" w:line="240" w:lineRule="exact"/>
      <w:jc w:val="left"/>
    </w:pPr>
  </w:style>
  <w:style w:type="character" w:customStyle="1" w:styleId="469">
    <w:name w:val="普通文字 Char Char8"/>
    <w:qFormat/>
    <w:uiPriority w:val="0"/>
    <w:rPr>
      <w:rFonts w:ascii="宋体" w:hAnsi="Courier New" w:eastAsia="宋体" w:cs="Courier New"/>
      <w:kern w:val="2"/>
      <w:sz w:val="21"/>
      <w:szCs w:val="21"/>
      <w:lang w:val="en-US" w:eastAsia="zh-CN" w:bidi="ar-SA"/>
    </w:rPr>
  </w:style>
  <w:style w:type="character" w:customStyle="1" w:styleId="470">
    <w:name w:val="apple-style-span"/>
    <w:basedOn w:val="54"/>
    <w:qFormat/>
    <w:uiPriority w:val="0"/>
  </w:style>
  <w:style w:type="character" w:customStyle="1" w:styleId="471">
    <w:name w:val="font51"/>
    <w:basedOn w:val="54"/>
    <w:qFormat/>
    <w:uiPriority w:val="0"/>
    <w:rPr>
      <w:rFonts w:hint="eastAsia" w:ascii="宋体" w:hAnsi="宋体" w:eastAsia="宋体" w:cs="宋体"/>
      <w:color w:val="FF0000"/>
      <w:sz w:val="18"/>
      <w:szCs w:val="18"/>
      <w:u w:val="none"/>
      <w:vertAlign w:val="superscript"/>
    </w:rPr>
  </w:style>
  <w:style w:type="paragraph" w:customStyle="1" w:styleId="472">
    <w:name w:val="三级无标题条"/>
    <w:basedOn w:val="1"/>
    <w:qFormat/>
    <w:uiPriority w:val="0"/>
    <w:pPr>
      <w:numPr>
        <w:ilvl w:val="4"/>
        <w:numId w:val="2"/>
      </w:numPr>
    </w:pPr>
    <w:rPr>
      <w:rFonts w:ascii="宋体"/>
      <w:kern w:val="21"/>
      <w:szCs w:val="21"/>
    </w:rPr>
  </w:style>
  <w:style w:type="character" w:customStyle="1" w:styleId="473">
    <w:name w:val="Char Char11"/>
    <w:qFormat/>
    <w:uiPriority w:val="0"/>
    <w:rPr>
      <w:rFonts w:ascii="Times New Roman" w:hAnsi="Times New Roman" w:eastAsia="宋体" w:cs="Times New Roman"/>
      <w:sz w:val="30"/>
      <w:szCs w:val="24"/>
    </w:rPr>
  </w:style>
  <w:style w:type="paragraph" w:customStyle="1" w:styleId="474">
    <w:name w:val="Char Char9 Char Char Char Char21"/>
    <w:basedOn w:val="1"/>
    <w:qFormat/>
    <w:uiPriority w:val="0"/>
    <w:pPr>
      <w:widowControl/>
      <w:spacing w:after="160" w:line="240" w:lineRule="exact"/>
      <w:jc w:val="left"/>
    </w:pPr>
  </w:style>
  <w:style w:type="paragraph" w:customStyle="1" w:styleId="475">
    <w:name w:val="*正文"/>
    <w:basedOn w:val="1"/>
    <w:qFormat/>
    <w:uiPriority w:val="0"/>
    <w:pPr>
      <w:spacing w:line="360" w:lineRule="auto"/>
      <w:ind w:firstLine="482"/>
      <w:jc w:val="left"/>
    </w:pPr>
    <w:rPr>
      <w:rFonts w:ascii="宋体" w:hAnsi="宋体"/>
      <w:kern w:val="0"/>
      <w:sz w:val="24"/>
      <w:szCs w:val="20"/>
    </w:rPr>
  </w:style>
  <w:style w:type="character" w:customStyle="1" w:styleId="476">
    <w:name w:val="脚注文本 字符"/>
    <w:qFormat/>
    <w:locked/>
    <w:uiPriority w:val="0"/>
    <w:rPr>
      <w:rFonts w:ascii="宋体" w:eastAsia="宋体"/>
      <w:kern w:val="21"/>
      <w:sz w:val="18"/>
      <w:szCs w:val="18"/>
      <w:lang w:val="en-US" w:eastAsia="zh-CN" w:bidi="ar-SA"/>
    </w:rPr>
  </w:style>
  <w:style w:type="character" w:customStyle="1" w:styleId="477">
    <w:name w:val="1ji Char Char"/>
    <w:qFormat/>
    <w:locked/>
    <w:uiPriority w:val="0"/>
    <w:rPr>
      <w:rFonts w:ascii="宋体" w:hAnsi="宋体" w:eastAsia="宋体"/>
      <w:b/>
      <w:bCs/>
      <w:kern w:val="44"/>
      <w:sz w:val="36"/>
      <w:szCs w:val="44"/>
    </w:rPr>
  </w:style>
  <w:style w:type="character" w:customStyle="1" w:styleId="478">
    <w:name w:val="称呼 字符4"/>
    <w:qFormat/>
    <w:uiPriority w:val="0"/>
    <w:rPr>
      <w:kern w:val="2"/>
      <w:sz w:val="28"/>
      <w:szCs w:val="24"/>
    </w:rPr>
  </w:style>
  <w:style w:type="character" w:customStyle="1" w:styleId="479">
    <w:name w:val="标题 7 字符4"/>
    <w:qFormat/>
    <w:uiPriority w:val="0"/>
    <w:rPr>
      <w:rFonts w:eastAsia="宋体"/>
      <w:b/>
      <w:kern w:val="2"/>
      <w:sz w:val="24"/>
      <w:szCs w:val="24"/>
      <w:lang w:val="en-US" w:eastAsia="zh-CN" w:bidi="ar-SA"/>
    </w:rPr>
  </w:style>
  <w:style w:type="character" w:customStyle="1" w:styleId="480">
    <w:name w:val="标题 3 Char"/>
    <w:link w:val="2"/>
    <w:qFormat/>
    <w:uiPriority w:val="0"/>
    <w:rPr>
      <w:rFonts w:eastAsia="宋体"/>
      <w:b/>
      <w:bCs/>
      <w:sz w:val="32"/>
      <w:szCs w:val="32"/>
      <w:lang w:bidi="ar-SA"/>
    </w:rPr>
  </w:style>
  <w:style w:type="paragraph" w:customStyle="1" w:styleId="481">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482">
    <w:name w:val="Char Char1 Char Char Char Char2"/>
    <w:basedOn w:val="15"/>
    <w:qFormat/>
    <w:uiPriority w:val="0"/>
    <w:rPr>
      <w:rFonts w:ascii="Tahoma" w:hAnsi="Tahoma"/>
      <w:sz w:val="24"/>
    </w:rPr>
  </w:style>
  <w:style w:type="character" w:customStyle="1" w:styleId="483">
    <w:name w:val="标题 9 Char"/>
    <w:link w:val="11"/>
    <w:qFormat/>
    <w:uiPriority w:val="0"/>
    <w:rPr>
      <w:rFonts w:ascii="Arial" w:hAnsi="Arial" w:eastAsia="黑体"/>
      <w:kern w:val="2"/>
      <w:sz w:val="21"/>
      <w:szCs w:val="24"/>
      <w:lang w:val="en-US" w:eastAsia="zh-CN" w:bidi="ar-SA"/>
    </w:rPr>
  </w:style>
  <w:style w:type="character" w:customStyle="1" w:styleId="484">
    <w:name w:val="三级条标题 Char"/>
    <w:basedOn w:val="96"/>
    <w:qFormat/>
    <w:uiPriority w:val="0"/>
    <w:rPr>
      <w:rFonts w:ascii="黑体" w:eastAsia="黑体" w:cs="黑体"/>
      <w:sz w:val="21"/>
      <w:szCs w:val="21"/>
      <w:lang w:val="en-US" w:eastAsia="zh-CN" w:bidi="ar-SA"/>
    </w:rPr>
  </w:style>
  <w:style w:type="paragraph" w:customStyle="1" w:styleId="485">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character" w:customStyle="1" w:styleId="486">
    <w:name w:val="正文文本缩进 2 字符2"/>
    <w:qFormat/>
    <w:uiPriority w:val="0"/>
    <w:rPr>
      <w:rFonts w:eastAsia="宋体"/>
      <w:kern w:val="2"/>
      <w:sz w:val="32"/>
      <w:lang w:val="en-US" w:eastAsia="zh-CN" w:bidi="ar-SA"/>
    </w:rPr>
  </w:style>
  <w:style w:type="paragraph" w:customStyle="1" w:styleId="487">
    <w:name w:val="默认段落字体 Para Char"/>
    <w:basedOn w:val="1"/>
    <w:qFormat/>
    <w:uiPriority w:val="0"/>
    <w:pPr>
      <w:adjustRightInd w:val="0"/>
      <w:spacing w:line="360" w:lineRule="auto"/>
    </w:pPr>
    <w:rPr>
      <w:szCs w:val="20"/>
    </w:rPr>
  </w:style>
  <w:style w:type="character" w:customStyle="1" w:styleId="488">
    <w:name w:val="标题 9 字符3"/>
    <w:qFormat/>
    <w:uiPriority w:val="0"/>
    <w:rPr>
      <w:rFonts w:ascii="Arial" w:hAnsi="Arial" w:eastAsia="黑体"/>
      <w:kern w:val="2"/>
      <w:sz w:val="21"/>
      <w:szCs w:val="24"/>
      <w:lang w:val="en-US" w:eastAsia="zh-CN" w:bidi="ar-SA"/>
    </w:rPr>
  </w:style>
  <w:style w:type="character" w:customStyle="1" w:styleId="489">
    <w:name w:val="Title Char1"/>
    <w:qFormat/>
    <w:locked/>
    <w:uiPriority w:val="0"/>
    <w:rPr>
      <w:rFonts w:ascii="Arial" w:hAnsi="Arial" w:eastAsia="宋体"/>
      <w:b/>
      <w:kern w:val="2"/>
      <w:sz w:val="32"/>
    </w:rPr>
  </w:style>
  <w:style w:type="paragraph" w:customStyle="1" w:styleId="490">
    <w:name w:val="Char Char112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49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character" w:customStyle="1" w:styleId="492">
    <w:name w:val="个人答复风格"/>
    <w:qFormat/>
    <w:uiPriority w:val="0"/>
    <w:rPr>
      <w:rFonts w:ascii="Arial" w:hAnsi="Arial" w:eastAsia="宋体"/>
      <w:color w:val="auto"/>
      <w:sz w:val="20"/>
    </w:rPr>
  </w:style>
  <w:style w:type="character" w:customStyle="1" w:styleId="493">
    <w:name w:val="Char Char8"/>
    <w:qFormat/>
    <w:uiPriority w:val="0"/>
    <w:rPr>
      <w:rFonts w:hint="eastAsia" w:ascii="仿宋_GB2312" w:eastAsia="仿宋_GB2312"/>
      <w:kern w:val="2"/>
      <w:sz w:val="32"/>
      <w:lang w:val="en-US" w:eastAsia="zh-CN" w:bidi="ar-SA"/>
    </w:rPr>
  </w:style>
  <w:style w:type="character" w:customStyle="1" w:styleId="494">
    <w:name w:val="正文文本 字符3"/>
    <w:qFormat/>
    <w:uiPriority w:val="0"/>
    <w:rPr>
      <w:rFonts w:eastAsia="宋体"/>
      <w:kern w:val="2"/>
      <w:sz w:val="24"/>
      <w:szCs w:val="24"/>
      <w:lang w:val="en-US" w:eastAsia="zh-CN" w:bidi="ar-SA"/>
    </w:rPr>
  </w:style>
  <w:style w:type="character" w:customStyle="1" w:styleId="495">
    <w:name w:val="Char Char53"/>
    <w:qFormat/>
    <w:uiPriority w:val="0"/>
    <w:rPr>
      <w:rFonts w:eastAsia="宋体"/>
      <w:b/>
      <w:bCs/>
      <w:kern w:val="44"/>
      <w:sz w:val="44"/>
      <w:szCs w:val="44"/>
      <w:lang w:val="en-US" w:eastAsia="zh-CN" w:bidi="ar-SA"/>
    </w:rPr>
  </w:style>
  <w:style w:type="paragraph" w:customStyle="1" w:styleId="496">
    <w:name w:val="WPSOffice手动目录 1"/>
    <w:qFormat/>
    <w:uiPriority w:val="0"/>
    <w:rPr>
      <w:rFonts w:ascii="Times New Roman" w:hAnsi="Times New Roman" w:eastAsia="宋体" w:cs="Times New Roman"/>
      <w:lang w:val="en-US" w:eastAsia="zh-CN" w:bidi="ar-SA"/>
    </w:rPr>
  </w:style>
  <w:style w:type="paragraph" w:customStyle="1" w:styleId="497">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 w:type="paragraph" w:customStyle="1" w:styleId="498">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character" w:customStyle="1" w:styleId="499">
    <w:name w:val="Balloon Text Char1"/>
    <w:semiHidden/>
    <w:qFormat/>
    <w:locked/>
    <w:uiPriority w:val="0"/>
    <w:rPr>
      <w:rFonts w:eastAsia="宋体"/>
      <w:kern w:val="2"/>
      <w:sz w:val="18"/>
      <w:lang w:val="en-US" w:eastAsia="zh-CN"/>
    </w:rPr>
  </w:style>
  <w:style w:type="character" w:customStyle="1" w:styleId="500">
    <w:name w:val="HTML 预设格式 字符1"/>
    <w:qFormat/>
    <w:uiPriority w:val="0"/>
    <w:rPr>
      <w:rFonts w:ascii="黑体" w:hAnsi="Courier New" w:eastAsia="黑体" w:cs="Courier New"/>
      <w:lang w:val="en-US" w:eastAsia="zh-CN" w:bidi="ar-SA"/>
    </w:rPr>
  </w:style>
  <w:style w:type="character" w:customStyle="1" w:styleId="501">
    <w:name w:val="H1 Char"/>
    <w:qFormat/>
    <w:uiPriority w:val="0"/>
    <w:rPr>
      <w:rFonts w:eastAsia="宋体"/>
      <w:b/>
      <w:bCs/>
      <w:kern w:val="44"/>
      <w:sz w:val="44"/>
      <w:szCs w:val="44"/>
      <w:lang w:val="en-US" w:eastAsia="zh-CN" w:bidi="ar-SA"/>
    </w:rPr>
  </w:style>
  <w:style w:type="table" w:customStyle="1" w:styleId="502">
    <w:name w:val="彩色列表 - 强调文字颜色 11"/>
    <w:basedOn w:val="52"/>
    <w:qFormat/>
    <w:uiPriority w:val="0"/>
    <w:rPr>
      <w:rFonts w:ascii="Calibri" w:hAnsi="Calibri" w:eastAsia="等线"/>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03">
    <w:name w:val="ca-11"/>
    <w:basedOn w:val="54"/>
    <w:qFormat/>
    <w:uiPriority w:val="0"/>
  </w:style>
  <w:style w:type="character" w:customStyle="1" w:styleId="504">
    <w:name w:val="HTML 地址 字符"/>
    <w:qFormat/>
    <w:locked/>
    <w:uiPriority w:val="0"/>
    <w:rPr>
      <w:rFonts w:ascii="宋体" w:eastAsia="宋体"/>
      <w:i/>
      <w:iCs/>
      <w:kern w:val="21"/>
      <w:sz w:val="21"/>
      <w:szCs w:val="21"/>
      <w:lang w:val="en-US" w:eastAsia="zh-CN" w:bidi="ar-SA"/>
    </w:rPr>
  </w:style>
  <w:style w:type="paragraph" w:customStyle="1" w:styleId="505">
    <w:name w:val="Char"/>
    <w:basedOn w:val="15"/>
    <w:qFormat/>
    <w:uiPriority w:val="0"/>
    <w:pPr>
      <w:widowControl/>
      <w:ind w:firstLine="454"/>
      <w:jc w:val="left"/>
    </w:pPr>
    <w:rPr>
      <w:rFonts w:ascii="Tahoma" w:hAnsi="Tahoma" w:cs="宋体"/>
      <w:kern w:val="0"/>
      <w:sz w:val="24"/>
      <w:szCs w:val="20"/>
    </w:rPr>
  </w:style>
  <w:style w:type="character" w:customStyle="1" w:styleId="506">
    <w:name w:val="Balloon Text Char"/>
    <w:basedOn w:val="54"/>
    <w:qFormat/>
    <w:locked/>
    <w:uiPriority w:val="0"/>
    <w:rPr>
      <w:rFonts w:ascii="宋体" w:eastAsia="宋体"/>
      <w:kern w:val="21"/>
      <w:sz w:val="18"/>
      <w:szCs w:val="18"/>
      <w:lang w:val="en-US" w:eastAsia="zh-CN" w:bidi="ar-SA"/>
    </w:rPr>
  </w:style>
  <w:style w:type="paragraph" w:customStyle="1" w:styleId="507">
    <w:name w:val="p15"/>
    <w:basedOn w:val="1"/>
    <w:qFormat/>
    <w:uiPriority w:val="0"/>
    <w:pPr>
      <w:widowControl/>
    </w:pPr>
    <w:rPr>
      <w:rFonts w:ascii="宋体" w:hAnsi="宋体" w:cs="宋体"/>
      <w:kern w:val="0"/>
      <w:szCs w:val="21"/>
    </w:rPr>
  </w:style>
  <w:style w:type="character" w:customStyle="1" w:styleId="508">
    <w:name w:val="标题 4 字符4"/>
    <w:qFormat/>
    <w:uiPriority w:val="0"/>
    <w:rPr>
      <w:rFonts w:ascii="Arial" w:hAnsi="Arial" w:eastAsia="黑体"/>
      <w:sz w:val="28"/>
      <w:lang w:bidi="ar-SA"/>
    </w:rPr>
  </w:style>
  <w:style w:type="paragraph" w:customStyle="1" w:styleId="50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character" w:customStyle="1" w:styleId="510">
    <w:name w:val="cubane_hilight1"/>
    <w:qFormat/>
    <w:uiPriority w:val="0"/>
    <w:rPr>
      <w:color w:val="CC0000"/>
    </w:rPr>
  </w:style>
  <w:style w:type="paragraph" w:customStyle="1" w:styleId="511">
    <w:name w:val="pa-9"/>
    <w:basedOn w:val="1"/>
    <w:qFormat/>
    <w:uiPriority w:val="0"/>
    <w:pPr>
      <w:widowControl/>
      <w:spacing w:before="169" w:after="169"/>
      <w:jc w:val="left"/>
    </w:pPr>
    <w:rPr>
      <w:rFonts w:ascii="宋体" w:hAnsi="宋体" w:cs="宋体"/>
      <w:kern w:val="0"/>
      <w:sz w:val="24"/>
    </w:rPr>
  </w:style>
  <w:style w:type="table" w:customStyle="1" w:styleId="512">
    <w:name w:val="彩色列表 - 强调文字颜色 1111"/>
    <w:basedOn w:val="52"/>
    <w:qFormat/>
    <w:uiPriority w:val="34"/>
    <w:rPr>
      <w:rFonts w:ascii="Calibri" w:hAnsi="Calibri"/>
      <w:sz w:val="24"/>
      <w:szCs w:val="24"/>
      <w:lang w:eastAsia="en-US"/>
    </w:rPr>
    <w:tblPr>
      <w:tblCellMar>
        <w:top w:w="0" w:type="dxa"/>
        <w:left w:w="108" w:type="dxa"/>
        <w:bottom w:w="0" w:type="dxa"/>
        <w:right w:w="108" w:type="dxa"/>
      </w:tblCellMar>
    </w:tbl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13">
    <w:name w:val="无间隔 字符"/>
    <w:qFormat/>
    <w:uiPriority w:val="0"/>
    <w:rPr>
      <w:sz w:val="22"/>
      <w:szCs w:val="22"/>
      <w:lang w:val="en-US" w:eastAsia="zh-CN" w:bidi="ar-SA"/>
    </w:rPr>
  </w:style>
  <w:style w:type="character" w:customStyle="1" w:styleId="514">
    <w:name w:val="个人撰写风格"/>
    <w:qFormat/>
    <w:uiPriority w:val="0"/>
    <w:rPr>
      <w:rFonts w:ascii="Arial" w:hAnsi="Arial" w:eastAsia="宋体"/>
      <w:color w:val="auto"/>
      <w:sz w:val="20"/>
    </w:rPr>
  </w:style>
  <w:style w:type="paragraph" w:customStyle="1" w:styleId="5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16">
    <w:name w:val="Heading 9 Char1"/>
    <w:qFormat/>
    <w:locked/>
    <w:uiPriority w:val="0"/>
    <w:rPr>
      <w:rFonts w:ascii="Arial" w:hAnsi="Arial" w:eastAsia="黑体"/>
      <w:kern w:val="2"/>
      <w:sz w:val="24"/>
      <w:lang w:val="en-US" w:eastAsia="zh-CN"/>
    </w:rPr>
  </w:style>
  <w:style w:type="character" w:customStyle="1" w:styleId="517">
    <w:name w:val="unnamed3"/>
    <w:basedOn w:val="54"/>
    <w:qFormat/>
    <w:uiPriority w:val="0"/>
  </w:style>
  <w:style w:type="character" w:customStyle="1" w:styleId="518">
    <w:name w:val="纯文本 字符3"/>
    <w:qFormat/>
    <w:uiPriority w:val="0"/>
    <w:rPr>
      <w:rFonts w:ascii="宋体" w:hAnsi="Courier New" w:eastAsia="宋体" w:cs="Courier New"/>
      <w:kern w:val="2"/>
      <w:sz w:val="21"/>
      <w:szCs w:val="21"/>
      <w:lang w:val="en-US" w:eastAsia="zh-CN" w:bidi="ar-SA"/>
    </w:rPr>
  </w:style>
  <w:style w:type="paragraph" w:customStyle="1" w:styleId="519">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520">
    <w:name w:val="Body text|1_"/>
    <w:basedOn w:val="54"/>
    <w:link w:val="245"/>
    <w:qFormat/>
    <w:uiPriority w:val="0"/>
    <w:rPr>
      <w:rFonts w:ascii="宋体" w:hAnsi="宋体" w:eastAsia="宋体"/>
      <w:sz w:val="30"/>
      <w:szCs w:val="30"/>
      <w:lang w:bidi="ar-SA"/>
    </w:rPr>
  </w:style>
  <w:style w:type="character" w:customStyle="1" w:styleId="521">
    <w:name w:val="HTML 地址 字符1"/>
    <w:qFormat/>
    <w:locked/>
    <w:uiPriority w:val="0"/>
    <w:rPr>
      <w:rFonts w:ascii="宋体" w:eastAsia="宋体"/>
      <w:i/>
      <w:iCs/>
      <w:kern w:val="21"/>
      <w:sz w:val="21"/>
      <w:szCs w:val="21"/>
      <w:lang w:val="en-US" w:eastAsia="zh-CN" w:bidi="ar-SA"/>
    </w:rPr>
  </w:style>
  <w:style w:type="character" w:customStyle="1" w:styleId="522">
    <w:name w:val="页眉 Char"/>
    <w:link w:val="35"/>
    <w:qFormat/>
    <w:uiPriority w:val="99"/>
    <w:rPr>
      <w:rFonts w:eastAsia="宋体"/>
      <w:kern w:val="2"/>
      <w:sz w:val="18"/>
      <w:szCs w:val="18"/>
      <w:lang w:val="en-US" w:eastAsia="zh-CN" w:bidi="ar-SA"/>
    </w:rPr>
  </w:style>
  <w:style w:type="character" w:customStyle="1" w:styleId="523">
    <w:name w:val="标题 6 字符3"/>
    <w:qFormat/>
    <w:uiPriority w:val="0"/>
    <w:rPr>
      <w:rFonts w:ascii="Arial" w:hAnsi="Arial" w:eastAsia="黑体"/>
      <w:b/>
      <w:kern w:val="2"/>
      <w:sz w:val="24"/>
      <w:szCs w:val="24"/>
      <w:lang w:val="en-US" w:eastAsia="zh-CN" w:bidi="ar-SA"/>
    </w:rPr>
  </w:style>
  <w:style w:type="paragraph" w:customStyle="1" w:styleId="524">
    <w:name w:val="五级无标题条"/>
    <w:basedOn w:val="1"/>
    <w:qFormat/>
    <w:uiPriority w:val="0"/>
    <w:pPr>
      <w:numPr>
        <w:ilvl w:val="6"/>
        <w:numId w:val="2"/>
      </w:numPr>
    </w:pPr>
    <w:rPr>
      <w:rFonts w:ascii="宋体"/>
      <w:kern w:val="21"/>
      <w:szCs w:val="21"/>
    </w:rPr>
  </w:style>
  <w:style w:type="character" w:customStyle="1" w:styleId="525">
    <w:name w:val="纯文本 Char2"/>
    <w:link w:val="28"/>
    <w:qFormat/>
    <w:uiPriority w:val="0"/>
    <w:rPr>
      <w:rFonts w:ascii="宋体" w:hAnsi="Courier New" w:eastAsia="宋体" w:cs="Courier New"/>
      <w:kern w:val="2"/>
      <w:sz w:val="21"/>
      <w:szCs w:val="21"/>
      <w:lang w:val="en-US" w:eastAsia="zh-CN" w:bidi="ar-SA"/>
    </w:rPr>
  </w:style>
  <w:style w:type="character" w:customStyle="1" w:styleId="526">
    <w:name w:val="页脚 字符1"/>
    <w:qFormat/>
    <w:uiPriority w:val="0"/>
    <w:rPr>
      <w:rFonts w:eastAsia="宋体"/>
      <w:kern w:val="2"/>
      <w:sz w:val="18"/>
      <w:szCs w:val="18"/>
      <w:lang w:val="en-US" w:eastAsia="zh-CN" w:bidi="ar-SA"/>
    </w:rPr>
  </w:style>
  <w:style w:type="character" w:customStyle="1" w:styleId="527">
    <w:name w:val="正文文本 3 字符1"/>
    <w:qFormat/>
    <w:uiPriority w:val="0"/>
    <w:rPr>
      <w:rFonts w:eastAsia="宋体"/>
      <w:b/>
      <w:bCs/>
      <w:kern w:val="2"/>
      <w:sz w:val="24"/>
      <w:szCs w:val="24"/>
      <w:lang w:val="en-US" w:eastAsia="zh-CN" w:bidi="ar-SA"/>
    </w:rPr>
  </w:style>
  <w:style w:type="character" w:customStyle="1" w:styleId="528">
    <w:name w:val="1ji Char"/>
    <w:link w:val="529"/>
    <w:qFormat/>
    <w:uiPriority w:val="0"/>
    <w:rPr>
      <w:rFonts w:ascii="宋体" w:hAnsi="宋体" w:eastAsia="宋体"/>
      <w:b/>
      <w:bCs/>
      <w:kern w:val="44"/>
      <w:sz w:val="36"/>
      <w:szCs w:val="44"/>
      <w:lang w:val="en-US" w:eastAsia="zh-CN" w:bidi="ar-SA"/>
    </w:rPr>
  </w:style>
  <w:style w:type="paragraph" w:customStyle="1" w:styleId="529">
    <w:name w:val="1ji"/>
    <w:basedOn w:val="3"/>
    <w:link w:val="528"/>
    <w:qFormat/>
    <w:uiPriority w:val="0"/>
    <w:pPr>
      <w:keepLines w:val="0"/>
      <w:widowControl/>
      <w:spacing w:before="0" w:after="0" w:line="240" w:lineRule="auto"/>
      <w:jc w:val="center"/>
    </w:pPr>
    <w:rPr>
      <w:rFonts w:ascii="宋体" w:hAnsi="宋体"/>
      <w:sz w:val="36"/>
    </w:rPr>
  </w:style>
  <w:style w:type="character" w:customStyle="1" w:styleId="530">
    <w:name w:val="页脚 Char2"/>
    <w:qFormat/>
    <w:locked/>
    <w:uiPriority w:val="0"/>
    <w:rPr>
      <w:rFonts w:hint="eastAsia" w:ascii="宋体" w:hAnsi="宋体" w:eastAsia="宋体"/>
      <w:kern w:val="2"/>
      <w:sz w:val="18"/>
      <w:szCs w:val="18"/>
    </w:rPr>
  </w:style>
  <w:style w:type="character" w:customStyle="1" w:styleId="531">
    <w:name w:val="正文文本 2 字符3"/>
    <w:qFormat/>
    <w:uiPriority w:val="0"/>
    <w:rPr>
      <w:rFonts w:eastAsia="宋体"/>
      <w:kern w:val="2"/>
      <w:sz w:val="21"/>
      <w:szCs w:val="24"/>
      <w:lang w:val="en-US" w:eastAsia="zh-CN" w:bidi="ar-SA"/>
    </w:rPr>
  </w:style>
  <w:style w:type="paragraph" w:customStyle="1" w:styleId="532">
    <w:name w:val="节标题"/>
    <w:basedOn w:val="1"/>
    <w:next w:val="70"/>
    <w:qFormat/>
    <w:uiPriority w:val="0"/>
    <w:pPr>
      <w:widowControl/>
      <w:spacing w:line="289" w:lineRule="atLeast"/>
      <w:jc w:val="center"/>
      <w:textAlignment w:val="baseline"/>
    </w:pPr>
    <w:rPr>
      <w:color w:val="000000"/>
      <w:kern w:val="0"/>
      <w:sz w:val="28"/>
      <w:szCs w:val="20"/>
    </w:rPr>
  </w:style>
  <w:style w:type="character" w:customStyle="1" w:styleId="533">
    <w:name w:val="Body Text 3 Char"/>
    <w:qFormat/>
    <w:locked/>
    <w:uiPriority w:val="0"/>
    <w:rPr>
      <w:rFonts w:eastAsia="宋体"/>
      <w:b/>
      <w:kern w:val="2"/>
      <w:sz w:val="24"/>
      <w:lang w:val="en-US" w:eastAsia="zh-CN"/>
    </w:rPr>
  </w:style>
  <w:style w:type="paragraph" w:customStyle="1" w:styleId="534">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535">
    <w:name w:val="p0"/>
    <w:basedOn w:val="1"/>
    <w:qFormat/>
    <w:uiPriority w:val="0"/>
    <w:pPr>
      <w:widowControl/>
    </w:pPr>
    <w:rPr>
      <w:kern w:val="0"/>
      <w:szCs w:val="21"/>
    </w:rPr>
  </w:style>
  <w:style w:type="character" w:customStyle="1" w:styleId="536">
    <w:name w:val="Endnote Text Char"/>
    <w:qFormat/>
    <w:locked/>
    <w:uiPriority w:val="0"/>
    <w:rPr>
      <w:rFonts w:ascii="Calibri" w:hAnsi="Calibri"/>
      <w:kern w:val="2"/>
      <w:sz w:val="22"/>
    </w:rPr>
  </w:style>
  <w:style w:type="character" w:customStyle="1" w:styleId="537">
    <w:name w:val="批注文字 字符4"/>
    <w:qFormat/>
    <w:uiPriority w:val="0"/>
    <w:rPr>
      <w:rFonts w:eastAsia="宋体"/>
      <w:sz w:val="24"/>
      <w:lang w:bidi="ar-SA"/>
    </w:rPr>
  </w:style>
  <w:style w:type="paragraph" w:customStyle="1" w:styleId="53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character" w:customStyle="1" w:styleId="539">
    <w:name w:val="标题 2 字符4"/>
    <w:qFormat/>
    <w:uiPriority w:val="0"/>
    <w:rPr>
      <w:rFonts w:ascii="Arial" w:hAnsi="Arial" w:eastAsia="黑体"/>
      <w:b/>
      <w:bCs/>
      <w:sz w:val="32"/>
      <w:szCs w:val="32"/>
      <w:lang w:bidi="ar-SA"/>
    </w:rPr>
  </w:style>
  <w:style w:type="paragraph" w:customStyle="1" w:styleId="540">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541">
    <w:name w:val="font21"/>
    <w:basedOn w:val="54"/>
    <w:qFormat/>
    <w:uiPriority w:val="0"/>
    <w:rPr>
      <w:rFonts w:ascii="Calibri" w:hAnsi="Calibri" w:cs="Calibri"/>
      <w:color w:val="000000"/>
      <w:sz w:val="20"/>
      <w:szCs w:val="20"/>
      <w:u w:val="none"/>
    </w:rPr>
  </w:style>
  <w:style w:type="character" w:customStyle="1" w:styleId="542">
    <w:name w:val="尾注文本 字符1"/>
    <w:qFormat/>
    <w:uiPriority w:val="0"/>
    <w:rPr>
      <w:rFonts w:ascii="Calibri" w:hAnsi="Calibri"/>
      <w:kern w:val="2"/>
      <w:sz w:val="21"/>
      <w:szCs w:val="22"/>
    </w:rPr>
  </w:style>
  <w:style w:type="character" w:customStyle="1" w:styleId="543">
    <w:name w:val="font101"/>
    <w:basedOn w:val="54"/>
    <w:qFormat/>
    <w:uiPriority w:val="0"/>
    <w:rPr>
      <w:rFonts w:hint="eastAsia" w:ascii="宋体" w:hAnsi="宋体" w:eastAsia="宋体" w:cs="宋体"/>
      <w:color w:val="000000"/>
      <w:sz w:val="21"/>
      <w:szCs w:val="21"/>
      <w:u w:val="none"/>
    </w:rPr>
  </w:style>
  <w:style w:type="paragraph" w:customStyle="1" w:styleId="54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545">
    <w:name w:val="正文图标题"/>
    <w:next w:val="122"/>
    <w:qFormat/>
    <w:uiPriority w:val="0"/>
    <w:pPr>
      <w:numPr>
        <w:ilvl w:val="0"/>
        <w:numId w:val="9"/>
      </w:numPr>
      <w:jc w:val="center"/>
    </w:pPr>
    <w:rPr>
      <w:rFonts w:ascii="黑体" w:hAnsi="Times New Roman" w:eastAsia="黑体" w:cs="Times New Roman"/>
      <w:sz w:val="21"/>
      <w:lang w:val="en-US" w:eastAsia="zh-CN" w:bidi="ar-SA"/>
    </w:rPr>
  </w:style>
  <w:style w:type="character" w:customStyle="1" w:styleId="546">
    <w:name w:val="无间隔 字符8"/>
    <w:qFormat/>
    <w:uiPriority w:val="0"/>
    <w:rPr>
      <w:sz w:val="22"/>
      <w:szCs w:val="22"/>
      <w:lang w:val="en-US" w:eastAsia="zh-CN" w:bidi="ar-SA"/>
    </w:rPr>
  </w:style>
  <w:style w:type="character" w:customStyle="1" w:styleId="547">
    <w:name w:val="HTML 地址 字符3"/>
    <w:qFormat/>
    <w:locked/>
    <w:uiPriority w:val="0"/>
    <w:rPr>
      <w:rFonts w:ascii="宋体" w:eastAsia="宋体"/>
      <w:i/>
      <w:iCs/>
      <w:kern w:val="21"/>
      <w:sz w:val="21"/>
      <w:szCs w:val="21"/>
      <w:lang w:val="en-US" w:eastAsia="zh-CN" w:bidi="ar-SA"/>
    </w:rPr>
  </w:style>
  <w:style w:type="character" w:customStyle="1" w:styleId="548">
    <w:name w:val="ca-0"/>
    <w:qFormat/>
    <w:uiPriority w:val="0"/>
  </w:style>
  <w:style w:type="character" w:customStyle="1" w:styleId="549">
    <w:name w:val="正文文本缩进 2 字符1"/>
    <w:qFormat/>
    <w:uiPriority w:val="0"/>
    <w:rPr>
      <w:rFonts w:eastAsia="宋体"/>
      <w:kern w:val="2"/>
      <w:sz w:val="32"/>
      <w:lang w:val="en-US" w:eastAsia="zh-CN" w:bidi="ar-SA"/>
    </w:rPr>
  </w:style>
  <w:style w:type="paragraph" w:customStyle="1" w:styleId="550">
    <w:name w:val="Char Char Char Char Char Char Char Char Char Char Char Char11"/>
    <w:basedOn w:val="1"/>
    <w:qFormat/>
    <w:uiPriority w:val="0"/>
    <w:pPr>
      <w:widowControl/>
      <w:spacing w:after="160" w:line="240" w:lineRule="exact"/>
      <w:jc w:val="left"/>
    </w:pPr>
    <w:rPr>
      <w:rFonts w:ascii="Verdana" w:hAnsi="Verdana"/>
      <w:kern w:val="0"/>
      <w:sz w:val="20"/>
      <w:szCs w:val="20"/>
      <w:lang w:eastAsia="en-US"/>
    </w:rPr>
  </w:style>
  <w:style w:type="character" w:customStyle="1" w:styleId="551">
    <w:name w:val="标题 7 字符2"/>
    <w:qFormat/>
    <w:uiPriority w:val="0"/>
    <w:rPr>
      <w:rFonts w:eastAsia="宋体"/>
      <w:b/>
      <w:kern w:val="2"/>
      <w:sz w:val="24"/>
      <w:szCs w:val="24"/>
      <w:lang w:val="en-US" w:eastAsia="zh-CN" w:bidi="ar-SA"/>
    </w:rPr>
  </w:style>
  <w:style w:type="paragraph" w:customStyle="1" w:styleId="552">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553">
    <w:name w:val="列出段落2"/>
    <w:basedOn w:val="1"/>
    <w:qFormat/>
    <w:uiPriority w:val="0"/>
    <w:pPr>
      <w:ind w:firstLine="420" w:firstLineChars="200"/>
    </w:pPr>
    <w:rPr>
      <w:sz w:val="24"/>
    </w:rPr>
  </w:style>
  <w:style w:type="paragraph" w:customStyle="1" w:styleId="554">
    <w:name w:val="发布部门"/>
    <w:next w:val="122"/>
    <w:qFormat/>
    <w:uiPriority w:val="0"/>
    <w:pPr>
      <w:jc w:val="center"/>
    </w:pPr>
    <w:rPr>
      <w:rFonts w:ascii="宋体" w:hAnsi="Times New Roman" w:eastAsia="宋体" w:cs="Times New Roman"/>
      <w:b/>
      <w:spacing w:val="20"/>
      <w:w w:val="135"/>
      <w:sz w:val="36"/>
      <w:lang w:val="en-US" w:eastAsia="zh-CN" w:bidi="ar-SA"/>
    </w:rPr>
  </w:style>
  <w:style w:type="paragraph" w:customStyle="1" w:styleId="555">
    <w:name w:val="标准正文 S"/>
    <w:basedOn w:val="1"/>
    <w:qFormat/>
    <w:uiPriority w:val="0"/>
    <w:pPr>
      <w:spacing w:beforeLines="50" w:afterLines="50" w:line="360" w:lineRule="auto"/>
      <w:ind w:firstLine="480"/>
      <w:jc w:val="left"/>
    </w:pPr>
    <w:rPr>
      <w:rFonts w:ascii="Calibri" w:hAnsi="Calibri"/>
      <w:sz w:val="24"/>
    </w:rPr>
  </w:style>
  <w:style w:type="paragraph" w:customStyle="1" w:styleId="556">
    <w:name w:val="我的正文"/>
    <w:basedOn w:val="1"/>
    <w:qFormat/>
    <w:uiPriority w:val="0"/>
    <w:pPr>
      <w:spacing w:line="520" w:lineRule="exact"/>
      <w:ind w:firstLine="192" w:firstLineChars="192"/>
    </w:pPr>
    <w:rPr>
      <w:sz w:val="28"/>
      <w:szCs w:val="28"/>
    </w:rPr>
  </w:style>
  <w:style w:type="character" w:customStyle="1" w:styleId="557">
    <w:name w:val="标题 字符1"/>
    <w:qFormat/>
    <w:uiPriority w:val="0"/>
    <w:rPr>
      <w:rFonts w:ascii="Arial" w:hAnsi="Arial" w:eastAsia="宋体"/>
      <w:b/>
      <w:bCs/>
      <w:kern w:val="2"/>
      <w:sz w:val="32"/>
      <w:szCs w:val="32"/>
      <w:lang w:bidi="ar-SA"/>
    </w:rPr>
  </w:style>
  <w:style w:type="character" w:customStyle="1" w:styleId="558">
    <w:name w:val="Char Char381"/>
    <w:qFormat/>
    <w:uiPriority w:val="0"/>
    <w:rPr>
      <w:rFonts w:ascii="Arial" w:hAnsi="Arial" w:eastAsia="黑体"/>
      <w:b/>
      <w:sz w:val="32"/>
    </w:rPr>
  </w:style>
  <w:style w:type="character" w:customStyle="1" w:styleId="559">
    <w:name w:val="Char Char151"/>
    <w:qFormat/>
    <w:uiPriority w:val="0"/>
    <w:rPr>
      <w:sz w:val="18"/>
    </w:rPr>
  </w:style>
  <w:style w:type="character" w:customStyle="1" w:styleId="560">
    <w:name w:val="Char Char2311"/>
    <w:qFormat/>
    <w:uiPriority w:val="0"/>
    <w:rPr>
      <w:rFonts w:ascii="Times New Roman" w:hAnsi="Times New Roman" w:eastAsia="宋体" w:cs="Times New Roman"/>
      <w:b/>
      <w:bCs/>
      <w:kern w:val="44"/>
      <w:sz w:val="44"/>
      <w:szCs w:val="44"/>
    </w:rPr>
  </w:style>
  <w:style w:type="character" w:customStyle="1" w:styleId="561">
    <w:name w:val="HTML 地址 Char"/>
    <w:basedOn w:val="54"/>
    <w:link w:val="25"/>
    <w:qFormat/>
    <w:locked/>
    <w:uiPriority w:val="0"/>
    <w:rPr>
      <w:rFonts w:ascii="宋体" w:eastAsia="宋体"/>
      <w:i/>
      <w:iCs/>
      <w:kern w:val="21"/>
      <w:sz w:val="21"/>
      <w:szCs w:val="21"/>
      <w:lang w:val="en-US" w:eastAsia="zh-CN" w:bidi="ar-SA"/>
    </w:rPr>
  </w:style>
  <w:style w:type="character" w:customStyle="1" w:styleId="562">
    <w:name w:val="Char Char Char Char Char"/>
    <w:qFormat/>
    <w:uiPriority w:val="0"/>
    <w:rPr>
      <w:rFonts w:hint="eastAsia" w:ascii="宋体" w:hAnsi="宋体" w:eastAsia="宋体"/>
      <w:b/>
      <w:bCs/>
      <w:kern w:val="44"/>
      <w:sz w:val="44"/>
      <w:szCs w:val="44"/>
      <w:lang w:val="en-US" w:eastAsia="zh-CN" w:bidi="ar-SA"/>
    </w:rPr>
  </w:style>
  <w:style w:type="character" w:customStyle="1" w:styleId="563">
    <w:name w:val="Char Char361"/>
    <w:qFormat/>
    <w:uiPriority w:val="0"/>
    <w:rPr>
      <w:rFonts w:ascii="Arial" w:hAnsi="Arial" w:eastAsia="黑体"/>
      <w:b/>
      <w:sz w:val="32"/>
    </w:rPr>
  </w:style>
  <w:style w:type="character" w:customStyle="1" w:styleId="564">
    <w:name w:val="Char Char55"/>
    <w:qFormat/>
    <w:uiPriority w:val="0"/>
    <w:rPr>
      <w:rFonts w:eastAsia="宋体"/>
      <w:b/>
      <w:bCs/>
      <w:sz w:val="32"/>
      <w:szCs w:val="32"/>
      <w:lang w:bidi="ar-SA"/>
    </w:rPr>
  </w:style>
  <w:style w:type="character" w:customStyle="1" w:styleId="565">
    <w:name w:val="标题 8 字符"/>
    <w:qFormat/>
    <w:uiPriority w:val="0"/>
    <w:rPr>
      <w:rFonts w:ascii="Arial" w:hAnsi="Arial" w:eastAsia="黑体"/>
      <w:kern w:val="2"/>
      <w:sz w:val="24"/>
      <w:szCs w:val="24"/>
      <w:lang w:val="en-US" w:eastAsia="zh-CN" w:bidi="ar-SA"/>
    </w:rPr>
  </w:style>
  <w:style w:type="paragraph" w:customStyle="1" w:styleId="566">
    <w:name w:val="Char Char19 Char Char Char Char1"/>
    <w:basedOn w:val="15"/>
    <w:qFormat/>
    <w:uiPriority w:val="0"/>
    <w:pPr>
      <w:widowControl/>
      <w:ind w:firstLine="454"/>
      <w:jc w:val="left"/>
    </w:pPr>
  </w:style>
  <w:style w:type="character" w:customStyle="1" w:styleId="567">
    <w:name w:val="Char Char44"/>
    <w:qFormat/>
    <w:uiPriority w:val="0"/>
    <w:rPr>
      <w:rFonts w:ascii="Arial" w:hAnsi="Arial" w:eastAsia="黑体"/>
      <w:b/>
      <w:bCs/>
      <w:sz w:val="32"/>
      <w:szCs w:val="32"/>
      <w:lang w:bidi="ar-SA"/>
    </w:rPr>
  </w:style>
  <w:style w:type="character" w:customStyle="1" w:styleId="568">
    <w:name w:val="页眉 字符"/>
    <w:qFormat/>
    <w:uiPriority w:val="0"/>
    <w:rPr>
      <w:rFonts w:eastAsia="宋体"/>
      <w:kern w:val="2"/>
      <w:sz w:val="18"/>
      <w:szCs w:val="18"/>
      <w:lang w:val="en-US" w:eastAsia="zh-CN" w:bidi="ar-SA"/>
    </w:rPr>
  </w:style>
  <w:style w:type="character" w:customStyle="1" w:styleId="569">
    <w:name w:val="页脚 字符"/>
    <w:qFormat/>
    <w:uiPriority w:val="0"/>
    <w:rPr>
      <w:rFonts w:eastAsia="宋体"/>
      <w:kern w:val="2"/>
      <w:sz w:val="18"/>
      <w:szCs w:val="18"/>
      <w:lang w:val="en-US" w:eastAsia="zh-CN" w:bidi="ar-SA"/>
    </w:rPr>
  </w:style>
  <w:style w:type="character" w:customStyle="1" w:styleId="570">
    <w:name w:val="标题 字符2"/>
    <w:qFormat/>
    <w:uiPriority w:val="0"/>
    <w:rPr>
      <w:rFonts w:ascii="Arial" w:hAnsi="Arial" w:eastAsia="宋体"/>
      <w:b/>
      <w:bCs/>
      <w:kern w:val="2"/>
      <w:sz w:val="32"/>
      <w:szCs w:val="32"/>
      <w:lang w:bidi="ar-SA"/>
    </w:rPr>
  </w:style>
  <w:style w:type="paragraph" w:customStyle="1" w:styleId="571">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72">
    <w:name w:val="样式1"/>
    <w:basedOn w:val="1"/>
    <w:qFormat/>
    <w:uiPriority w:val="0"/>
    <w:pPr>
      <w:spacing w:before="120" w:after="120" w:line="300" w:lineRule="auto"/>
    </w:pPr>
    <w:rPr>
      <w:rFonts w:ascii="宋体" w:hAnsi="宋体"/>
      <w:b/>
      <w:sz w:val="24"/>
      <w:szCs w:val="20"/>
    </w:rPr>
  </w:style>
  <w:style w:type="character" w:customStyle="1" w:styleId="573">
    <w:name w:val="批注文字 字符"/>
    <w:qFormat/>
    <w:uiPriority w:val="0"/>
    <w:rPr>
      <w:rFonts w:eastAsia="宋体"/>
      <w:sz w:val="24"/>
      <w:lang w:bidi="ar-SA"/>
    </w:rPr>
  </w:style>
  <w:style w:type="paragraph" w:customStyle="1" w:styleId="574">
    <w:name w:val="pa-8"/>
    <w:basedOn w:val="1"/>
    <w:qFormat/>
    <w:uiPriority w:val="0"/>
    <w:pPr>
      <w:widowControl/>
      <w:spacing w:before="169" w:after="169"/>
      <w:jc w:val="left"/>
    </w:pPr>
    <w:rPr>
      <w:rFonts w:ascii="宋体" w:hAnsi="宋体" w:cs="宋体"/>
      <w:kern w:val="0"/>
      <w:sz w:val="24"/>
    </w:rPr>
  </w:style>
  <w:style w:type="character" w:customStyle="1" w:styleId="575">
    <w:name w:val="普通文字 Char Char7"/>
    <w:qFormat/>
    <w:uiPriority w:val="0"/>
    <w:rPr>
      <w:rFonts w:ascii="宋体" w:hAnsi="Courier New" w:eastAsia="宋体" w:cs="Courier New"/>
      <w:kern w:val="2"/>
      <w:sz w:val="21"/>
      <w:szCs w:val="21"/>
      <w:lang w:val="en-US" w:eastAsia="zh-CN" w:bidi="ar-SA"/>
    </w:rPr>
  </w:style>
  <w:style w:type="character" w:customStyle="1" w:styleId="576">
    <w:name w:val="纯文本 字符1"/>
    <w:qFormat/>
    <w:uiPriority w:val="0"/>
    <w:rPr>
      <w:rFonts w:ascii="宋体" w:hAnsi="Courier New" w:eastAsia="宋体" w:cs="Courier New"/>
      <w:kern w:val="2"/>
      <w:sz w:val="21"/>
      <w:szCs w:val="21"/>
      <w:lang w:val="en-US" w:eastAsia="zh-CN" w:bidi="ar-SA"/>
    </w:rPr>
  </w:style>
  <w:style w:type="character" w:customStyle="1" w:styleId="577">
    <w:name w:val="Char Char341"/>
    <w:qFormat/>
    <w:uiPriority w:val="0"/>
    <w:rPr>
      <w:rFonts w:ascii="Arial" w:hAnsi="Arial" w:eastAsia="黑体"/>
      <w:b/>
      <w:sz w:val="32"/>
    </w:rPr>
  </w:style>
  <w:style w:type="character" w:customStyle="1" w:styleId="578">
    <w:name w:val="Char Char141"/>
    <w:qFormat/>
    <w:uiPriority w:val="0"/>
    <w:rPr>
      <w:sz w:val="18"/>
    </w:rPr>
  </w:style>
  <w:style w:type="character" w:customStyle="1" w:styleId="579">
    <w:name w:val="批注文字 字符1"/>
    <w:qFormat/>
    <w:uiPriority w:val="0"/>
    <w:rPr>
      <w:rFonts w:eastAsia="宋体"/>
      <w:sz w:val="24"/>
      <w:lang w:bidi="ar-SA"/>
    </w:rPr>
  </w:style>
  <w:style w:type="paragraph" w:customStyle="1" w:styleId="580">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character" w:customStyle="1" w:styleId="581">
    <w:name w:val="HTML 预设格式 字符4"/>
    <w:qFormat/>
    <w:uiPriority w:val="0"/>
    <w:rPr>
      <w:rFonts w:ascii="黑体" w:hAnsi="Courier New" w:eastAsia="黑体" w:cs="Courier New"/>
      <w:lang w:val="en-US" w:eastAsia="zh-CN" w:bidi="ar-SA"/>
    </w:rPr>
  </w:style>
  <w:style w:type="character" w:customStyle="1" w:styleId="582">
    <w:name w:val="正文文本缩进 字符2"/>
    <w:qFormat/>
    <w:uiPriority w:val="0"/>
    <w:rPr>
      <w:rFonts w:ascii="仿宋_GB2312" w:eastAsia="仿宋_GB2312"/>
      <w:kern w:val="2"/>
      <w:sz w:val="32"/>
      <w:lang w:val="en-US" w:eastAsia="zh-CN" w:bidi="ar-SA"/>
    </w:rPr>
  </w:style>
  <w:style w:type="character" w:customStyle="1" w:styleId="583">
    <w:name w:val="日期 字符2"/>
    <w:qFormat/>
    <w:uiPriority w:val="0"/>
    <w:rPr>
      <w:rFonts w:ascii="宋体" w:hAnsi="Courier New" w:eastAsia="宋体" w:cs="Courier New"/>
      <w:kern w:val="2"/>
      <w:sz w:val="21"/>
      <w:szCs w:val="21"/>
      <w:lang w:val="en-US" w:eastAsia="zh-CN" w:bidi="ar-SA"/>
    </w:rPr>
  </w:style>
  <w:style w:type="character" w:customStyle="1" w:styleId="584">
    <w:name w:val="标题 6 字符2"/>
    <w:qFormat/>
    <w:uiPriority w:val="0"/>
    <w:rPr>
      <w:rFonts w:ascii="Arial" w:hAnsi="Arial" w:eastAsia="黑体"/>
      <w:b/>
      <w:kern w:val="2"/>
      <w:sz w:val="24"/>
      <w:szCs w:val="24"/>
      <w:lang w:val="en-US" w:eastAsia="zh-CN" w:bidi="ar-SA"/>
    </w:rPr>
  </w:style>
  <w:style w:type="character" w:customStyle="1" w:styleId="585">
    <w:name w:val="Char Char28"/>
    <w:qFormat/>
    <w:locked/>
    <w:uiPriority w:val="0"/>
    <w:rPr>
      <w:rFonts w:eastAsia="宋体"/>
      <w:b/>
      <w:bCs/>
      <w:kern w:val="44"/>
      <w:sz w:val="44"/>
      <w:szCs w:val="44"/>
      <w:lang w:val="en-US" w:eastAsia="zh-CN" w:bidi="ar-SA"/>
    </w:rPr>
  </w:style>
  <w:style w:type="character" w:customStyle="1" w:styleId="586">
    <w:name w:val="日期 字符4"/>
    <w:qFormat/>
    <w:uiPriority w:val="0"/>
    <w:rPr>
      <w:rFonts w:ascii="宋体" w:hAnsi="Courier New" w:eastAsia="宋体" w:cs="Courier New"/>
      <w:kern w:val="2"/>
      <w:sz w:val="21"/>
      <w:szCs w:val="21"/>
      <w:lang w:val="en-US" w:eastAsia="zh-CN" w:bidi="ar-SA"/>
    </w:rPr>
  </w:style>
  <w:style w:type="character" w:customStyle="1" w:styleId="587">
    <w:name w:val="font81"/>
    <w:basedOn w:val="54"/>
    <w:qFormat/>
    <w:uiPriority w:val="0"/>
    <w:rPr>
      <w:rFonts w:ascii="微软雅黑" w:hAnsi="微软雅黑" w:eastAsia="微软雅黑" w:cs="微软雅黑"/>
      <w:color w:val="000000"/>
      <w:sz w:val="18"/>
      <w:szCs w:val="18"/>
      <w:u w:val="none"/>
    </w:rPr>
  </w:style>
  <w:style w:type="character" w:customStyle="1" w:styleId="588">
    <w:name w:val="Char Char2"/>
    <w:qFormat/>
    <w:uiPriority w:val="0"/>
    <w:rPr>
      <w:rFonts w:eastAsia="宋体"/>
      <w:sz w:val="24"/>
    </w:rPr>
  </w:style>
  <w:style w:type="character" w:customStyle="1" w:styleId="589">
    <w:name w:val="正文文本 2 字符"/>
    <w:qFormat/>
    <w:uiPriority w:val="0"/>
    <w:rPr>
      <w:rFonts w:eastAsia="宋体"/>
      <w:kern w:val="2"/>
      <w:sz w:val="21"/>
      <w:szCs w:val="24"/>
      <w:lang w:val="en-US" w:eastAsia="zh-CN" w:bidi="ar-SA"/>
    </w:rPr>
  </w:style>
  <w:style w:type="paragraph" w:customStyle="1" w:styleId="590">
    <w:name w:val="正文表标题"/>
    <w:next w:val="122"/>
    <w:qFormat/>
    <w:uiPriority w:val="0"/>
    <w:pPr>
      <w:numPr>
        <w:ilvl w:val="0"/>
        <w:numId w:val="4"/>
      </w:numPr>
      <w:jc w:val="center"/>
    </w:pPr>
    <w:rPr>
      <w:rFonts w:ascii="黑体" w:hAnsi="Times New Roman" w:eastAsia="黑体" w:cs="Times New Roman"/>
      <w:sz w:val="21"/>
      <w:lang w:val="en-US" w:eastAsia="zh-CN" w:bidi="ar-SA"/>
    </w:rPr>
  </w:style>
  <w:style w:type="character" w:customStyle="1" w:styleId="591">
    <w:name w:val="正文文本 字符"/>
    <w:qFormat/>
    <w:uiPriority w:val="0"/>
    <w:rPr>
      <w:rFonts w:eastAsia="宋体"/>
      <w:kern w:val="2"/>
      <w:sz w:val="24"/>
      <w:szCs w:val="24"/>
      <w:lang w:val="en-US" w:eastAsia="zh-CN" w:bidi="ar-SA"/>
    </w:rPr>
  </w:style>
  <w:style w:type="paragraph" w:customStyle="1" w:styleId="592">
    <w:name w:val="Body"/>
    <w:basedOn w:val="1"/>
    <w:qFormat/>
    <w:uiPriority w:val="0"/>
    <w:pPr>
      <w:widowControl/>
      <w:tabs>
        <w:tab w:val="left" w:pos="1980"/>
      </w:tabs>
      <w:spacing w:before="80" w:after="80" w:line="360" w:lineRule="auto"/>
      <w:jc w:val="center"/>
    </w:pPr>
    <w:rPr>
      <w:szCs w:val="21"/>
    </w:rPr>
  </w:style>
  <w:style w:type="character" w:customStyle="1" w:styleId="593">
    <w:name w:val="标题 6 字符1"/>
    <w:qFormat/>
    <w:uiPriority w:val="0"/>
    <w:rPr>
      <w:rFonts w:ascii="Arial" w:hAnsi="Arial" w:eastAsia="黑体"/>
      <w:b/>
      <w:kern w:val="2"/>
      <w:sz w:val="24"/>
      <w:szCs w:val="24"/>
      <w:lang w:val="en-US" w:eastAsia="zh-CN" w:bidi="ar-SA"/>
    </w:rPr>
  </w:style>
  <w:style w:type="paragraph" w:customStyle="1" w:styleId="594">
    <w:name w:val="注："/>
    <w:next w:val="122"/>
    <w:qFormat/>
    <w:uiPriority w:val="0"/>
    <w:pPr>
      <w:widowControl w:val="0"/>
      <w:numPr>
        <w:ilvl w:val="0"/>
        <w:numId w:val="10"/>
      </w:numPr>
      <w:autoSpaceDE w:val="0"/>
      <w:autoSpaceDN w:val="0"/>
      <w:jc w:val="both"/>
    </w:pPr>
    <w:rPr>
      <w:rFonts w:ascii="宋体" w:hAnsi="Times New Roman" w:eastAsia="宋体" w:cs="Times New Roman"/>
      <w:sz w:val="18"/>
      <w:lang w:val="en-US" w:eastAsia="zh-CN" w:bidi="ar-SA"/>
    </w:rPr>
  </w:style>
  <w:style w:type="character" w:customStyle="1" w:styleId="595">
    <w:name w:val="Heading 9 Char"/>
    <w:basedOn w:val="54"/>
    <w:qFormat/>
    <w:locked/>
    <w:uiPriority w:val="0"/>
    <w:rPr>
      <w:rFonts w:ascii="Arial" w:hAnsi="Arial" w:eastAsia="黑体"/>
      <w:kern w:val="21"/>
      <w:sz w:val="21"/>
      <w:szCs w:val="21"/>
      <w:lang w:val="en-US" w:eastAsia="zh-CN" w:bidi="ar-SA"/>
    </w:rPr>
  </w:style>
  <w:style w:type="paragraph" w:customStyle="1" w:styleId="59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597">
    <w:name w:val="font10"/>
    <w:basedOn w:val="1"/>
    <w:qFormat/>
    <w:uiPriority w:val="0"/>
    <w:pPr>
      <w:widowControl/>
      <w:spacing w:before="100" w:beforeAutospacing="1" w:after="100" w:afterAutospacing="1"/>
      <w:jc w:val="left"/>
    </w:pPr>
    <w:rPr>
      <w:color w:val="000000"/>
      <w:kern w:val="0"/>
      <w:sz w:val="24"/>
    </w:rPr>
  </w:style>
  <w:style w:type="paragraph" w:customStyle="1" w:styleId="598">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99">
    <w:name w:val="附录表标题"/>
    <w:next w:val="122"/>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600">
    <w:name w:val="Char Char1 Char Char Char Char"/>
    <w:basedOn w:val="15"/>
    <w:qFormat/>
    <w:uiPriority w:val="0"/>
    <w:rPr>
      <w:rFonts w:ascii="Tahoma" w:hAnsi="Tahoma"/>
      <w:sz w:val="24"/>
    </w:rPr>
  </w:style>
  <w:style w:type="character" w:customStyle="1" w:styleId="601">
    <w:name w:val="标题 5 字符2"/>
    <w:qFormat/>
    <w:uiPriority w:val="0"/>
    <w:rPr>
      <w:rFonts w:eastAsia="宋体"/>
      <w:b/>
      <w:kern w:val="2"/>
      <w:sz w:val="28"/>
      <w:szCs w:val="24"/>
      <w:lang w:val="en-US" w:eastAsia="zh-CN" w:bidi="ar-SA"/>
    </w:rPr>
  </w:style>
  <w:style w:type="paragraph" w:customStyle="1" w:styleId="602">
    <w:name w:val="Char Char Char Char Char Char1 Char21"/>
    <w:basedOn w:val="1"/>
    <w:qFormat/>
    <w:uiPriority w:val="0"/>
    <w:pPr>
      <w:widowControl/>
      <w:spacing w:after="160" w:line="240" w:lineRule="exact"/>
      <w:jc w:val="left"/>
    </w:pPr>
    <w:rPr>
      <w:rFonts w:ascii="Verdana" w:hAnsi="Verdana" w:eastAsia="仿宋_GB2312"/>
      <w:kern w:val="0"/>
      <w:sz w:val="30"/>
      <w:szCs w:val="30"/>
      <w:lang w:eastAsia="en-US"/>
    </w:rPr>
  </w:style>
  <w:style w:type="character" w:customStyle="1" w:styleId="603">
    <w:name w:val="Date Char"/>
    <w:basedOn w:val="54"/>
    <w:qFormat/>
    <w:locked/>
    <w:uiPriority w:val="0"/>
    <w:rPr>
      <w:rFonts w:ascii="宋体" w:eastAsia="宋体"/>
      <w:kern w:val="21"/>
      <w:sz w:val="24"/>
      <w:lang w:val="en-US" w:eastAsia="zh-CN" w:bidi="ar-SA"/>
    </w:rPr>
  </w:style>
  <w:style w:type="character" w:customStyle="1" w:styleId="604">
    <w:name w:val="纯文本 Char1"/>
    <w:qFormat/>
    <w:uiPriority w:val="99"/>
    <w:rPr>
      <w:rFonts w:ascii="宋体" w:hAnsi="Courier New" w:eastAsia="宋体" w:cs="Courier New"/>
      <w:kern w:val="2"/>
      <w:sz w:val="21"/>
      <w:szCs w:val="21"/>
      <w:lang w:val="en-US" w:eastAsia="zh-CN" w:bidi="ar-SA"/>
    </w:rPr>
  </w:style>
  <w:style w:type="paragraph" w:customStyle="1" w:styleId="605">
    <w:name w:val="pa-6"/>
    <w:basedOn w:val="1"/>
    <w:qFormat/>
    <w:uiPriority w:val="0"/>
    <w:pPr>
      <w:widowControl/>
      <w:spacing w:before="169" w:after="169"/>
      <w:jc w:val="left"/>
    </w:pPr>
    <w:rPr>
      <w:rFonts w:ascii="宋体" w:hAnsi="宋体" w:cs="宋体"/>
      <w:kern w:val="0"/>
      <w:sz w:val="24"/>
    </w:rPr>
  </w:style>
  <w:style w:type="character" w:customStyle="1" w:styleId="606">
    <w:name w:val="HTML 地址 字符2"/>
    <w:qFormat/>
    <w:locked/>
    <w:uiPriority w:val="0"/>
    <w:rPr>
      <w:rFonts w:ascii="宋体" w:eastAsia="宋体"/>
      <w:i/>
      <w:iCs/>
      <w:kern w:val="21"/>
      <w:sz w:val="21"/>
      <w:szCs w:val="21"/>
      <w:lang w:val="en-US" w:eastAsia="zh-CN" w:bidi="ar-SA"/>
    </w:rPr>
  </w:style>
  <w:style w:type="character" w:customStyle="1" w:styleId="607">
    <w:name w:val="脚注文本 字符1"/>
    <w:qFormat/>
    <w:locked/>
    <w:uiPriority w:val="0"/>
    <w:rPr>
      <w:rFonts w:ascii="宋体" w:eastAsia="宋体"/>
      <w:kern w:val="21"/>
      <w:sz w:val="18"/>
      <w:szCs w:val="18"/>
      <w:lang w:val="en-US" w:eastAsia="zh-CN" w:bidi="ar-SA"/>
    </w:rPr>
  </w:style>
  <w:style w:type="character" w:customStyle="1" w:styleId="608">
    <w:name w:val="Heading 4 Char1"/>
    <w:qFormat/>
    <w:locked/>
    <w:uiPriority w:val="0"/>
    <w:rPr>
      <w:rFonts w:ascii="Arial" w:hAnsi="Arial" w:eastAsia="黑体"/>
      <w:sz w:val="28"/>
    </w:rPr>
  </w:style>
  <w:style w:type="character" w:customStyle="1" w:styleId="609">
    <w:name w:val="Body Text Indent 2 Char"/>
    <w:qFormat/>
    <w:locked/>
    <w:uiPriority w:val="0"/>
    <w:rPr>
      <w:rFonts w:eastAsia="宋体"/>
      <w:kern w:val="2"/>
      <w:sz w:val="32"/>
      <w:lang w:val="en-US" w:eastAsia="zh-CN"/>
    </w:rPr>
  </w:style>
  <w:style w:type="character" w:customStyle="1" w:styleId="610">
    <w:name w:val="Heading 2 Char"/>
    <w:basedOn w:val="54"/>
    <w:qFormat/>
    <w:locked/>
    <w:uiPriority w:val="0"/>
    <w:rPr>
      <w:rFonts w:ascii="Arial" w:hAnsi="Arial" w:eastAsia="黑体"/>
      <w:b/>
      <w:bCs/>
      <w:kern w:val="21"/>
      <w:sz w:val="32"/>
      <w:szCs w:val="32"/>
      <w:lang w:val="en-US" w:eastAsia="zh-CN" w:bidi="ar-SA"/>
    </w:rPr>
  </w:style>
  <w:style w:type="paragraph" w:customStyle="1" w:styleId="611">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612">
    <w:name w:val="文档结构图 字符4"/>
    <w:qFormat/>
    <w:uiPriority w:val="0"/>
    <w:rPr>
      <w:rFonts w:eastAsia="宋体"/>
      <w:kern w:val="2"/>
      <w:sz w:val="21"/>
      <w:szCs w:val="24"/>
      <w:lang w:val="en-US" w:eastAsia="zh-CN" w:bidi="ar-SA"/>
    </w:rPr>
  </w:style>
  <w:style w:type="character" w:customStyle="1" w:styleId="613">
    <w:name w:val="正文文本缩进 字符3"/>
    <w:qFormat/>
    <w:uiPriority w:val="0"/>
    <w:rPr>
      <w:rFonts w:ascii="仿宋_GB2312" w:eastAsia="仿宋_GB2312"/>
      <w:kern w:val="2"/>
      <w:sz w:val="32"/>
      <w:lang w:val="en-US" w:eastAsia="zh-CN" w:bidi="ar-SA"/>
    </w:rPr>
  </w:style>
  <w:style w:type="character" w:customStyle="1" w:styleId="614">
    <w:name w:val="正文文本缩进 3 字符1"/>
    <w:qFormat/>
    <w:uiPriority w:val="0"/>
    <w:rPr>
      <w:rFonts w:eastAsia="宋体"/>
      <w:kern w:val="2"/>
      <w:sz w:val="16"/>
      <w:szCs w:val="16"/>
      <w:lang w:val="en-US" w:eastAsia="zh-CN" w:bidi="ar-SA"/>
    </w:rPr>
  </w:style>
  <w:style w:type="paragraph" w:customStyle="1" w:styleId="615">
    <w:name w:val="列表段落11"/>
    <w:basedOn w:val="1"/>
    <w:qFormat/>
    <w:uiPriority w:val="34"/>
    <w:pPr>
      <w:ind w:firstLine="420" w:firstLineChars="200"/>
    </w:pPr>
    <w:rPr>
      <w:rFonts w:ascii="Calibri" w:hAnsi="Calibri"/>
      <w:szCs w:val="22"/>
    </w:rPr>
  </w:style>
  <w:style w:type="character" w:customStyle="1" w:styleId="616">
    <w:name w:val="普通文字 Char Char2"/>
    <w:qFormat/>
    <w:uiPriority w:val="0"/>
    <w:rPr>
      <w:rFonts w:ascii="宋体" w:hAnsi="Courier New" w:eastAsia="宋体"/>
      <w:kern w:val="2"/>
      <w:sz w:val="21"/>
      <w:lang w:val="en-US" w:eastAsia="zh-CN" w:bidi="ar-SA"/>
    </w:rPr>
  </w:style>
  <w:style w:type="character" w:customStyle="1" w:styleId="617">
    <w:name w:val="标题 9 字符"/>
    <w:qFormat/>
    <w:uiPriority w:val="0"/>
    <w:rPr>
      <w:rFonts w:ascii="Arial" w:hAnsi="Arial" w:eastAsia="黑体"/>
      <w:kern w:val="2"/>
      <w:sz w:val="21"/>
      <w:szCs w:val="24"/>
      <w:lang w:val="en-US" w:eastAsia="zh-CN" w:bidi="ar-SA"/>
    </w:rPr>
  </w:style>
  <w:style w:type="character" w:customStyle="1" w:styleId="618">
    <w:name w:val="Char Char40"/>
    <w:qFormat/>
    <w:uiPriority w:val="0"/>
    <w:rPr>
      <w:rFonts w:eastAsia="宋体"/>
      <w:b/>
      <w:bCs/>
      <w:sz w:val="32"/>
      <w:szCs w:val="32"/>
      <w:lang w:bidi="ar-SA"/>
    </w:rPr>
  </w:style>
  <w:style w:type="character" w:customStyle="1" w:styleId="619">
    <w:name w:val="日期 字符3"/>
    <w:qFormat/>
    <w:uiPriority w:val="0"/>
    <w:rPr>
      <w:rFonts w:ascii="宋体" w:hAnsi="Courier New" w:eastAsia="宋体" w:cs="Courier New"/>
      <w:kern w:val="2"/>
      <w:sz w:val="21"/>
      <w:szCs w:val="21"/>
      <w:lang w:val="en-US" w:eastAsia="zh-CN" w:bidi="ar-SA"/>
    </w:rPr>
  </w:style>
  <w:style w:type="character" w:customStyle="1" w:styleId="620">
    <w:name w:val="正文文本缩进 Char"/>
    <w:link w:val="21"/>
    <w:qFormat/>
    <w:uiPriority w:val="0"/>
    <w:rPr>
      <w:rFonts w:ascii="仿宋_GB2312" w:eastAsia="仿宋_GB2312"/>
      <w:kern w:val="2"/>
      <w:sz w:val="32"/>
      <w:lang w:val="en-US" w:eastAsia="zh-CN" w:bidi="ar-SA"/>
    </w:rPr>
  </w:style>
  <w:style w:type="paragraph" w:customStyle="1" w:styleId="621">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22">
    <w:name w:val="无间隔 字符3"/>
    <w:qFormat/>
    <w:uiPriority w:val="0"/>
    <w:rPr>
      <w:sz w:val="22"/>
      <w:szCs w:val="22"/>
      <w:lang w:val="en-US" w:eastAsia="zh-CN" w:bidi="ar-SA"/>
    </w:rPr>
  </w:style>
  <w:style w:type="character" w:customStyle="1" w:styleId="623">
    <w:name w:val="正文文本 字符4"/>
    <w:qFormat/>
    <w:uiPriority w:val="0"/>
    <w:rPr>
      <w:rFonts w:eastAsia="宋体"/>
      <w:kern w:val="2"/>
      <w:sz w:val="24"/>
      <w:szCs w:val="24"/>
      <w:lang w:val="en-US" w:eastAsia="zh-CN" w:bidi="ar-SA"/>
    </w:rPr>
  </w:style>
  <w:style w:type="character" w:customStyle="1" w:styleId="624">
    <w:name w:val="Char Char36"/>
    <w:qFormat/>
    <w:uiPriority w:val="0"/>
    <w:rPr>
      <w:rFonts w:ascii="Arial" w:hAnsi="Arial" w:eastAsia="黑体"/>
      <w:b/>
      <w:bCs/>
      <w:sz w:val="32"/>
      <w:szCs w:val="32"/>
      <w:lang w:bidi="ar-SA"/>
    </w:rPr>
  </w:style>
  <w:style w:type="character" w:customStyle="1" w:styleId="625">
    <w:name w:val="正文文本缩进 字符4"/>
    <w:qFormat/>
    <w:uiPriority w:val="0"/>
    <w:rPr>
      <w:rFonts w:ascii="仿宋_GB2312" w:eastAsia="仿宋_GB2312"/>
      <w:kern w:val="2"/>
      <w:sz w:val="32"/>
      <w:lang w:val="en-US" w:eastAsia="zh-CN" w:bidi="ar-SA"/>
    </w:rPr>
  </w:style>
  <w:style w:type="paragraph" w:customStyle="1" w:styleId="626">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character" w:customStyle="1" w:styleId="627">
    <w:name w:val="Char Char4"/>
    <w:qFormat/>
    <w:locked/>
    <w:uiPriority w:val="0"/>
    <w:rPr>
      <w:rFonts w:ascii="宋体" w:hAnsi="Courier New" w:eastAsia="宋体" w:cs="Courier New"/>
      <w:kern w:val="2"/>
      <w:sz w:val="21"/>
      <w:szCs w:val="21"/>
      <w:lang w:val="en-US" w:eastAsia="zh-CN" w:bidi="ar-SA"/>
    </w:rPr>
  </w:style>
  <w:style w:type="paragraph" w:customStyle="1" w:styleId="628">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9">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630">
    <w:name w:val="一级无标题条"/>
    <w:basedOn w:val="1"/>
    <w:qFormat/>
    <w:uiPriority w:val="0"/>
    <w:pPr>
      <w:numPr>
        <w:ilvl w:val="2"/>
        <w:numId w:val="2"/>
      </w:numPr>
    </w:pPr>
    <w:rPr>
      <w:rFonts w:ascii="宋体"/>
      <w:kern w:val="21"/>
      <w:szCs w:val="21"/>
    </w:rPr>
  </w:style>
  <w:style w:type="paragraph" w:customStyle="1" w:styleId="631">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character" w:customStyle="1" w:styleId="632">
    <w:name w:val="标题 1 Char"/>
    <w:link w:val="3"/>
    <w:qFormat/>
    <w:uiPriority w:val="0"/>
    <w:rPr>
      <w:rFonts w:eastAsia="宋体"/>
      <w:b/>
      <w:bCs/>
      <w:kern w:val="44"/>
      <w:sz w:val="44"/>
      <w:szCs w:val="44"/>
      <w:lang w:val="en-US" w:eastAsia="zh-CN" w:bidi="ar-SA"/>
    </w:rPr>
  </w:style>
  <w:style w:type="paragraph" w:customStyle="1" w:styleId="633">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34">
    <w:name w:val="Char2"/>
    <w:basedOn w:val="1"/>
    <w:qFormat/>
    <w:uiPriority w:val="0"/>
    <w:rPr>
      <w:szCs w:val="20"/>
    </w:rPr>
  </w:style>
  <w:style w:type="paragraph" w:customStyle="1" w:styleId="635">
    <w:name w:val="首行缩进"/>
    <w:basedOn w:val="1"/>
    <w:qFormat/>
    <w:uiPriority w:val="0"/>
    <w:pPr>
      <w:ind w:firstLine="480" w:firstLineChars="200"/>
    </w:pPr>
    <w:rPr>
      <w:sz w:val="24"/>
    </w:rPr>
  </w:style>
  <w:style w:type="paragraph" w:customStyle="1" w:styleId="636">
    <w:name w:val="纯文本11"/>
    <w:basedOn w:val="1"/>
    <w:qFormat/>
    <w:uiPriority w:val="0"/>
    <w:rPr>
      <w:rFonts w:ascii="宋体"/>
      <w:szCs w:val="21"/>
    </w:rPr>
  </w:style>
  <w:style w:type="character" w:customStyle="1" w:styleId="637">
    <w:name w:val="正文文本缩进 3 字符"/>
    <w:qFormat/>
    <w:uiPriority w:val="0"/>
    <w:rPr>
      <w:rFonts w:eastAsia="宋体"/>
      <w:kern w:val="2"/>
      <w:sz w:val="16"/>
      <w:szCs w:val="16"/>
      <w:lang w:val="en-US" w:eastAsia="zh-CN" w:bidi="ar-SA"/>
    </w:rPr>
  </w:style>
  <w:style w:type="paragraph" w:customStyle="1" w:styleId="638">
    <w:name w:val="p16"/>
    <w:basedOn w:val="1"/>
    <w:qFormat/>
    <w:uiPriority w:val="0"/>
    <w:pPr>
      <w:widowControl/>
    </w:pPr>
    <w:rPr>
      <w:rFonts w:ascii="宋体" w:cs="宋体"/>
      <w:kern w:val="0"/>
      <w:sz w:val="20"/>
      <w:szCs w:val="20"/>
    </w:rPr>
  </w:style>
  <w:style w:type="paragraph" w:customStyle="1" w:styleId="639">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640">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character" w:customStyle="1" w:styleId="641">
    <w:name w:val="标题 6 字符4"/>
    <w:qFormat/>
    <w:uiPriority w:val="0"/>
    <w:rPr>
      <w:rFonts w:ascii="Arial" w:hAnsi="Arial" w:eastAsia="黑体"/>
      <w:b/>
      <w:kern w:val="2"/>
      <w:sz w:val="24"/>
      <w:szCs w:val="24"/>
      <w:lang w:val="en-US" w:eastAsia="zh-CN" w:bidi="ar-SA"/>
    </w:rPr>
  </w:style>
  <w:style w:type="paragraph" w:customStyle="1" w:styleId="642">
    <w:name w:val="其他标准称谓"/>
    <w:qFormat/>
    <w:uiPriority w:val="0"/>
    <w:pPr>
      <w:spacing w:line="240" w:lineRule="atLeast"/>
      <w:jc w:val="distribute"/>
    </w:pPr>
    <w:rPr>
      <w:rFonts w:ascii="黑体" w:hAnsi="宋体" w:eastAsia="黑体" w:cs="Times New Roman"/>
      <w:sz w:val="52"/>
      <w:lang w:val="en-US" w:eastAsia="zh-CN" w:bidi="ar-SA"/>
    </w:rPr>
  </w:style>
  <w:style w:type="character" w:customStyle="1" w:styleId="643">
    <w:name w:val="Body Text Indent 3 Char"/>
    <w:qFormat/>
    <w:locked/>
    <w:uiPriority w:val="0"/>
    <w:rPr>
      <w:rFonts w:eastAsia="宋体"/>
      <w:kern w:val="2"/>
      <w:sz w:val="16"/>
      <w:lang w:val="en-US" w:eastAsia="zh-CN"/>
    </w:rPr>
  </w:style>
  <w:style w:type="character" w:customStyle="1" w:styleId="644">
    <w:name w:val="Header Char1"/>
    <w:qFormat/>
    <w:locked/>
    <w:uiPriority w:val="0"/>
    <w:rPr>
      <w:rFonts w:eastAsia="宋体"/>
      <w:kern w:val="2"/>
      <w:sz w:val="18"/>
      <w:lang w:val="en-US" w:eastAsia="zh-CN"/>
    </w:rPr>
  </w:style>
  <w:style w:type="character" w:customStyle="1" w:styleId="645">
    <w:name w:val="HTML 预设格式 Char"/>
    <w:link w:val="46"/>
    <w:qFormat/>
    <w:uiPriority w:val="0"/>
    <w:rPr>
      <w:rFonts w:ascii="黑体" w:hAnsi="Courier New" w:eastAsia="黑体" w:cs="Courier New"/>
      <w:lang w:val="en-US" w:eastAsia="zh-CN" w:bidi="ar-SA"/>
    </w:rPr>
  </w:style>
  <w:style w:type="character" w:customStyle="1" w:styleId="646">
    <w:name w:val="标题 7 字符3"/>
    <w:qFormat/>
    <w:uiPriority w:val="0"/>
    <w:rPr>
      <w:rFonts w:eastAsia="宋体"/>
      <w:b/>
      <w:kern w:val="2"/>
      <w:sz w:val="24"/>
      <w:szCs w:val="24"/>
      <w:lang w:val="en-US" w:eastAsia="zh-CN" w:bidi="ar-SA"/>
    </w:rPr>
  </w:style>
  <w:style w:type="character" w:customStyle="1" w:styleId="647">
    <w:name w:val="无间隔 字符1"/>
    <w:qFormat/>
    <w:uiPriority w:val="0"/>
    <w:rPr>
      <w:sz w:val="22"/>
      <w:szCs w:val="22"/>
      <w:lang w:val="en-US" w:eastAsia="zh-CN" w:bidi="ar-SA"/>
    </w:rPr>
  </w:style>
  <w:style w:type="character" w:customStyle="1" w:styleId="648">
    <w:name w:val="页脚 字符4"/>
    <w:qFormat/>
    <w:uiPriority w:val="0"/>
    <w:rPr>
      <w:rFonts w:eastAsia="宋体"/>
      <w:kern w:val="2"/>
      <w:sz w:val="18"/>
      <w:szCs w:val="18"/>
      <w:lang w:val="en-US" w:eastAsia="zh-CN" w:bidi="ar-SA"/>
    </w:rPr>
  </w:style>
  <w:style w:type="paragraph" w:customStyle="1" w:styleId="649">
    <w:name w:val="其他发布部门"/>
    <w:basedOn w:val="554"/>
    <w:qFormat/>
    <w:uiPriority w:val="0"/>
    <w:pPr>
      <w:spacing w:line="240" w:lineRule="atLeast"/>
    </w:pPr>
    <w:rPr>
      <w:rFonts w:ascii="黑体" w:eastAsia="黑体"/>
      <w:b w:val="0"/>
    </w:rPr>
  </w:style>
  <w:style w:type="character" w:customStyle="1" w:styleId="650">
    <w:name w:val="称呼 字符1"/>
    <w:qFormat/>
    <w:uiPriority w:val="0"/>
    <w:rPr>
      <w:kern w:val="2"/>
      <w:sz w:val="28"/>
      <w:szCs w:val="24"/>
    </w:rPr>
  </w:style>
  <w:style w:type="character" w:customStyle="1" w:styleId="651">
    <w:name w:val="普通文字 Char Char2 Char"/>
    <w:qFormat/>
    <w:locked/>
    <w:uiPriority w:val="0"/>
    <w:rPr>
      <w:rFonts w:ascii="宋体" w:hAnsi="Courier New" w:eastAsia="宋体"/>
      <w:kern w:val="2"/>
      <w:sz w:val="21"/>
      <w:lang w:val="en-US" w:eastAsia="zh-CN" w:bidi="ar-SA"/>
    </w:rPr>
  </w:style>
  <w:style w:type="character" w:customStyle="1" w:styleId="652">
    <w:name w:val="HTML Preformatted Char1"/>
    <w:qFormat/>
    <w:locked/>
    <w:uiPriority w:val="0"/>
    <w:rPr>
      <w:rFonts w:ascii="黑体" w:hAnsi="Courier New" w:eastAsia="黑体"/>
      <w:lang w:val="en-US" w:eastAsia="zh-CN"/>
    </w:rPr>
  </w:style>
  <w:style w:type="character" w:customStyle="1" w:styleId="653">
    <w:name w:val="ca-6"/>
    <w:basedOn w:val="54"/>
    <w:qFormat/>
    <w:uiPriority w:val="0"/>
  </w:style>
  <w:style w:type="character" w:customStyle="1" w:styleId="654">
    <w:name w:val="标题 2 字符3"/>
    <w:qFormat/>
    <w:uiPriority w:val="0"/>
    <w:rPr>
      <w:rFonts w:ascii="Arial" w:hAnsi="Arial" w:eastAsia="黑体"/>
      <w:b/>
      <w:bCs/>
      <w:sz w:val="32"/>
      <w:szCs w:val="32"/>
      <w:lang w:bidi="ar-SA"/>
    </w:rPr>
  </w:style>
  <w:style w:type="character" w:customStyle="1" w:styleId="655">
    <w:name w:val="ca-10"/>
    <w:basedOn w:val="54"/>
    <w:qFormat/>
    <w:uiPriority w:val="0"/>
  </w:style>
  <w:style w:type="paragraph" w:customStyle="1" w:styleId="656">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657">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character" w:customStyle="1" w:styleId="658">
    <w:name w:val="Char Char391"/>
    <w:qFormat/>
    <w:uiPriority w:val="0"/>
    <w:rPr>
      <w:rFonts w:eastAsia="宋体"/>
      <w:b/>
      <w:kern w:val="44"/>
      <w:sz w:val="44"/>
      <w:lang w:val="en-US" w:eastAsia="zh-CN"/>
    </w:rPr>
  </w:style>
  <w:style w:type="paragraph" w:customStyle="1" w:styleId="659">
    <w:name w:val="paragraph"/>
    <w:basedOn w:val="1"/>
    <w:semiHidden/>
    <w:qFormat/>
    <w:uiPriority w:val="0"/>
    <w:pPr>
      <w:widowControl/>
      <w:spacing w:before="100" w:beforeAutospacing="1" w:after="100" w:afterAutospacing="1"/>
      <w:jc w:val="left"/>
    </w:pPr>
    <w:rPr>
      <w:rFonts w:ascii="等线" w:hAnsi="等线" w:eastAsia="等线"/>
      <w:kern w:val="0"/>
      <w:sz w:val="24"/>
    </w:rPr>
  </w:style>
  <w:style w:type="paragraph" w:styleId="66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jpeg"/><Relationship Id="rId92" Type="http://schemas.openxmlformats.org/officeDocument/2006/relationships/image" Target="media/image87.jpeg"/><Relationship Id="rId91" Type="http://schemas.openxmlformats.org/officeDocument/2006/relationships/image" Target="media/image86.jpeg"/><Relationship Id="rId90" Type="http://schemas.openxmlformats.org/officeDocument/2006/relationships/image" Target="media/image85.jpeg"/><Relationship Id="rId9" Type="http://schemas.openxmlformats.org/officeDocument/2006/relationships/image" Target="media/image4.jpeg"/><Relationship Id="rId89" Type="http://schemas.openxmlformats.org/officeDocument/2006/relationships/image" Target="media/image84.png"/><Relationship Id="rId88" Type="http://schemas.openxmlformats.org/officeDocument/2006/relationships/image" Target="media/image83.jpeg"/><Relationship Id="rId87" Type="http://schemas.openxmlformats.org/officeDocument/2006/relationships/image" Target="media/image82.png"/><Relationship Id="rId86" Type="http://schemas.openxmlformats.org/officeDocument/2006/relationships/image" Target="media/image81.jpeg"/><Relationship Id="rId85" Type="http://schemas.openxmlformats.org/officeDocument/2006/relationships/image" Target="media/image80.jpeg"/><Relationship Id="rId84" Type="http://schemas.openxmlformats.org/officeDocument/2006/relationships/image" Target="media/image79.jpe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jpeg"/><Relationship Id="rId79" Type="http://schemas.openxmlformats.org/officeDocument/2006/relationships/image" Target="media/image74.jpeg"/><Relationship Id="rId78" Type="http://schemas.openxmlformats.org/officeDocument/2006/relationships/image" Target="media/image73.png"/><Relationship Id="rId77" Type="http://schemas.openxmlformats.org/officeDocument/2006/relationships/image" Target="media/image72.jpeg"/><Relationship Id="rId76" Type="http://schemas.openxmlformats.org/officeDocument/2006/relationships/image" Target="media/image71.png"/><Relationship Id="rId75" Type="http://schemas.openxmlformats.org/officeDocument/2006/relationships/image" Target="media/image70.jpeg"/><Relationship Id="rId74" Type="http://schemas.openxmlformats.org/officeDocument/2006/relationships/image" Target="media/image69.jpeg"/><Relationship Id="rId73" Type="http://schemas.openxmlformats.org/officeDocument/2006/relationships/image" Target="media/image68.jpeg"/><Relationship Id="rId72" Type="http://schemas.openxmlformats.org/officeDocument/2006/relationships/image" Target="media/image67.jpeg"/><Relationship Id="rId71" Type="http://schemas.openxmlformats.org/officeDocument/2006/relationships/image" Target="media/image66.jpe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jpe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jpeg"/><Relationship Id="rId55" Type="http://schemas.openxmlformats.org/officeDocument/2006/relationships/image" Target="media/image50.jpe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jpe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jpe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png"/><Relationship Id="rId35" Type="http://schemas.openxmlformats.org/officeDocument/2006/relationships/image" Target="media/image30.jpe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jpeg"/><Relationship Id="rId31" Type="http://schemas.openxmlformats.org/officeDocument/2006/relationships/image" Target="media/image26.png"/><Relationship Id="rId30" Type="http://schemas.openxmlformats.org/officeDocument/2006/relationships/image" Target="media/image25.jpe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jpe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4" Type="http://schemas.openxmlformats.org/officeDocument/2006/relationships/glossaryDocument" Target="glossary/document.xml"/><Relationship Id="rId133" Type="http://schemas.openxmlformats.org/officeDocument/2006/relationships/fontTable" Target="fontTable.xml"/><Relationship Id="rId132" Type="http://schemas.openxmlformats.org/officeDocument/2006/relationships/numbering" Target="numbering.xml"/><Relationship Id="rId131" Type="http://schemas.openxmlformats.org/officeDocument/2006/relationships/customXml" Target="../customXml/item1.xml"/><Relationship Id="rId130" Type="http://schemas.openxmlformats.org/officeDocument/2006/relationships/image" Target="media/image125.jpeg"/><Relationship Id="rId13" Type="http://schemas.openxmlformats.org/officeDocument/2006/relationships/image" Target="media/image8.jpeg"/><Relationship Id="rId129" Type="http://schemas.openxmlformats.org/officeDocument/2006/relationships/image" Target="media/image124.png"/><Relationship Id="rId128" Type="http://schemas.openxmlformats.org/officeDocument/2006/relationships/image" Target="media/image123.jpeg"/><Relationship Id="rId127" Type="http://schemas.openxmlformats.org/officeDocument/2006/relationships/image" Target="media/image122.jpeg"/><Relationship Id="rId126" Type="http://schemas.openxmlformats.org/officeDocument/2006/relationships/image" Target="media/image121.jpeg"/><Relationship Id="rId125" Type="http://schemas.openxmlformats.org/officeDocument/2006/relationships/image" Target="media/image120.jpeg"/><Relationship Id="rId124" Type="http://schemas.openxmlformats.org/officeDocument/2006/relationships/image" Target="media/image119.png"/><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jpe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jpeg"/><Relationship Id="rId114" Type="http://schemas.openxmlformats.org/officeDocument/2006/relationships/image" Target="media/image109.jpeg"/><Relationship Id="rId113" Type="http://schemas.openxmlformats.org/officeDocument/2006/relationships/image" Target="media/image108.jpeg"/><Relationship Id="rId112" Type="http://schemas.openxmlformats.org/officeDocument/2006/relationships/image" Target="media/image107.png"/><Relationship Id="rId111" Type="http://schemas.openxmlformats.org/officeDocument/2006/relationships/image" Target="media/image106.jpeg"/><Relationship Id="rId110" Type="http://schemas.openxmlformats.org/officeDocument/2006/relationships/image" Target="media/image105.jpe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e4ac808-e36f-466c-8e47-16f0a48fa424}"/>
        <w:style w:val=""/>
        <w:category>
          <w:name w:val="常规"/>
          <w:gallery w:val="placeholder"/>
        </w:category>
        <w:types>
          <w:type w:val="bbPlcHdr"/>
        </w:types>
        <w:behaviors>
          <w:behavior w:val="content"/>
        </w:behaviors>
        <w:description w:val=""/>
        <w:guid w:val="{fe4ac808-e36f-466c-8e47-16f0a48fa424}"/>
      </w:docPartPr>
      <w:docPartBody>
        <w:p>
          <w:r>
            <w:rPr>
              <w:color w:val="808080"/>
            </w:rPr>
            <w:t>单击此处输入文字。</w:t>
          </w:r>
        </w:p>
      </w:docPartBody>
    </w:docPart>
    <w:docPart>
      <w:docPartPr>
        <w:name w:val="{ccc32736-2752-4e1e-a20e-4ba331d771af}"/>
        <w:style w:val=""/>
        <w:category>
          <w:name w:val="常规"/>
          <w:gallery w:val="placeholder"/>
        </w:category>
        <w:types>
          <w:type w:val="bbPlcHdr"/>
        </w:types>
        <w:behaviors>
          <w:behavior w:val="content"/>
        </w:behaviors>
        <w:description w:val=""/>
        <w:guid w:val="{ccc32736-2752-4e1e-a20e-4ba331d771af}"/>
      </w:docPartPr>
      <w:docPartBody>
        <w:p>
          <w:r>
            <w:rPr>
              <w:color w:val="808080"/>
            </w:rPr>
            <w:t>单击此处输入文字。</w:t>
          </w:r>
        </w:p>
      </w:docPartBody>
    </w:docPart>
    <w:docPart>
      <w:docPartPr>
        <w:name w:val="{4f40925b-7578-4431-8894-c190e0ac016a}"/>
        <w:style w:val=""/>
        <w:category>
          <w:name w:val="常规"/>
          <w:gallery w:val="placeholder"/>
        </w:category>
        <w:types>
          <w:type w:val="bbPlcHdr"/>
        </w:types>
        <w:behaviors>
          <w:behavior w:val="content"/>
        </w:behaviors>
        <w:description w:val=""/>
        <w:guid w:val="{4f40925b-7578-4431-8894-c190e0ac016a}"/>
      </w:docPartPr>
      <w:docPartBody>
        <w:p>
          <w:r>
            <w:rPr>
              <w:color w:val="808080"/>
            </w:rPr>
            <w:t>单击此处输入文字。</w:t>
          </w:r>
        </w:p>
      </w:docPartBody>
    </w:docPart>
    <w:docPart>
      <w:docPartPr>
        <w:name w:val="{ab6cb68c-297e-4c80-9527-4a538cf11132}"/>
        <w:style w:val=""/>
        <w:category>
          <w:name w:val="常规"/>
          <w:gallery w:val="placeholder"/>
        </w:category>
        <w:types>
          <w:type w:val="bbPlcHdr"/>
        </w:types>
        <w:behaviors>
          <w:behavior w:val="content"/>
        </w:behaviors>
        <w:description w:val=""/>
        <w:guid w:val="{ab6cb68c-297e-4c80-9527-4a538cf11132}"/>
      </w:docPartPr>
      <w:docPartBody>
        <w:p>
          <w:r>
            <w:rPr>
              <w:color w:val="808080"/>
            </w:rPr>
            <w:t>单击此处输入文字。</w:t>
          </w:r>
        </w:p>
      </w:docPartBody>
    </w:docPart>
    <w:docPart>
      <w:docPartPr>
        <w:name w:val="{a0700e82-3967-40c4-aacf-9b5c7befd8ab}"/>
        <w:style w:val=""/>
        <w:category>
          <w:name w:val="常规"/>
          <w:gallery w:val="placeholder"/>
        </w:category>
        <w:types>
          <w:type w:val="bbPlcHdr"/>
        </w:types>
        <w:behaviors>
          <w:behavior w:val="content"/>
        </w:behaviors>
        <w:description w:val=""/>
        <w:guid w:val="{a0700e82-3967-40c4-aacf-9b5c7befd8ab}"/>
      </w:docPartPr>
      <w:docPartBody>
        <w:p>
          <w:r>
            <w:rPr>
              <w:color w:val="808080"/>
            </w:rPr>
            <w:t>单击此处输入文字。</w:t>
          </w:r>
        </w:p>
      </w:docPartBody>
    </w:docPart>
    <w:docPart>
      <w:docPartPr>
        <w:name w:val="{b5f5a878-1011-47e7-9186-bd033969b479}"/>
        <w:style w:val=""/>
        <w:category>
          <w:name w:val="常规"/>
          <w:gallery w:val="placeholder"/>
        </w:category>
        <w:types>
          <w:type w:val="bbPlcHdr"/>
        </w:types>
        <w:behaviors>
          <w:behavior w:val="content"/>
        </w:behaviors>
        <w:description w:val=""/>
        <w:guid w:val="{b5f5a878-1011-47e7-9186-bd033969b479}"/>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121</Pages>
  <Words>17667</Words>
  <Characters>20454</Characters>
  <Lines>670</Lines>
  <Paragraphs>188</Paragraphs>
  <TotalTime>22</TotalTime>
  <ScaleCrop>false</ScaleCrop>
  <LinksUpToDate>false</LinksUpToDate>
  <CharactersWithSpaces>20707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2026-06-10T00:40:00Z</dcterms:created>
  <dc:creator>Administrator</dc:creator>
  <cp:lastModifiedBy>政采许</cp:lastModifiedBy>
  <dcterms:modified xsi:type="dcterms:W3CDTF">2026-09-08T16:57:21Z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eyJoZGlkIjoiYzExYjJkNDNkZDhiNzQ3ZjUzOTMwNmRjYTUwZmQ5M2EiLCJ1c2VySWQiOiIyODI2Mzk0NTAifQ==</vt:lpwstr>
  </property>
  <property fmtid="{D5CDD505-2E9C-101B-9397-08002B2CF9AE}" pid="3" name="KSOProductBuildVer">
    <vt:lpwstr>2052-11.8.2.10624</vt:lpwstr>
  </property>
  <property fmtid="{D5CDD505-2E9C-101B-9397-08002B2CF9AE}" pid="4" name="ICV">
    <vt:lpwstr>C1ABA526190F4AD58294093B5F6C7A54_13</vt:lpwstr>
  </property>
</Properties>
</file>