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ascii="仿宋_GB2312" w:eastAsia="仿宋_GB2312"/>
          <w:b/>
          <w:color w:val="auto"/>
          <w:sz w:val="72"/>
          <w:szCs w:val="72"/>
          <w:highlight w:val="none"/>
        </w:rPr>
      </w:pPr>
    </w:p>
    <w:p>
      <w:pPr>
        <w:pStyle w:val="15"/>
        <w:rPr>
          <w:color w:val="auto"/>
          <w:highlight w:val="none"/>
        </w:rPr>
      </w:pPr>
    </w:p>
    <w:p>
      <w:pPr>
        <w:spacing w:before="156" w:beforeLines="50"/>
        <w:jc w:val="center"/>
        <w:rPr>
          <w:rFonts w:hint="eastAsia" w:ascii="仿宋" w:hAnsi="仿宋" w:eastAsia="仿宋" w:cs="仿宋"/>
          <w:b/>
          <w:bCs/>
          <w:color w:val="auto"/>
          <w:sz w:val="72"/>
          <w:szCs w:val="72"/>
          <w:highlight w:val="none"/>
        </w:rPr>
      </w:pPr>
      <w:r>
        <w:rPr>
          <w:rFonts w:hint="eastAsia" w:ascii="仿宋" w:hAnsi="仿宋" w:eastAsia="仿宋" w:cs="仿宋"/>
          <w:b/>
          <w:bCs/>
          <w:color w:val="auto"/>
          <w:sz w:val="72"/>
          <w:szCs w:val="72"/>
          <w:highlight w:val="none"/>
        </w:rPr>
        <w:t>公开招标采购文件</w:t>
      </w:r>
    </w:p>
    <w:p>
      <w:pPr>
        <w:snapToGrid w:val="0"/>
        <w:jc w:val="center"/>
        <w:rPr>
          <w:rFonts w:ascii="仿宋_GB2312" w:eastAsia="仿宋_GB2312"/>
          <w:color w:val="auto"/>
          <w:sz w:val="48"/>
          <w:szCs w:val="48"/>
          <w:highlight w:val="none"/>
        </w:rPr>
      </w:pPr>
    </w:p>
    <w:p>
      <w:pPr>
        <w:snapToGrid w:val="0"/>
        <w:jc w:val="center"/>
        <w:rPr>
          <w:rFonts w:ascii="仿宋_GB2312" w:eastAsia="仿宋_GB2312"/>
          <w:color w:val="auto"/>
          <w:sz w:val="48"/>
          <w:szCs w:val="48"/>
          <w:highlight w:val="none"/>
        </w:rPr>
      </w:pPr>
    </w:p>
    <w:p>
      <w:pPr>
        <w:snapToGrid w:val="0"/>
        <w:jc w:val="center"/>
        <w:rPr>
          <w:rFonts w:ascii="仿宋_GB2312" w:eastAsia="仿宋_GB2312"/>
          <w:color w:val="auto"/>
          <w:sz w:val="48"/>
          <w:szCs w:val="48"/>
          <w:highlight w:val="none"/>
        </w:rPr>
      </w:pPr>
    </w:p>
    <w:p>
      <w:pPr>
        <w:snapToGrid w:val="0"/>
        <w:jc w:val="center"/>
        <w:rPr>
          <w:rFonts w:ascii="仿宋_GB2312" w:eastAsia="仿宋_GB2312"/>
          <w:color w:val="auto"/>
          <w:sz w:val="48"/>
          <w:szCs w:val="48"/>
          <w:highlight w:val="none"/>
        </w:rPr>
      </w:pPr>
    </w:p>
    <w:p>
      <w:pPr>
        <w:pageBreakBefore w:val="0"/>
        <w:widowControl w:val="0"/>
        <w:kinsoku/>
        <w:wordWrap/>
        <w:overflowPunct/>
        <w:topLinePunct w:val="0"/>
        <w:autoSpaceDE/>
        <w:autoSpaceDN/>
        <w:bidi w:val="0"/>
        <w:adjustRightInd/>
        <w:snapToGrid w:val="0"/>
        <w:spacing w:line="500" w:lineRule="exact"/>
        <w:ind w:firstLine="1583" w:firstLineChars="493"/>
        <w:textAlignment w:val="auto"/>
        <w:rPr>
          <w:rFonts w:hint="eastAsia" w:ascii="宋体" w:hAnsi="宋体" w:eastAsia="宋体" w:cs="宋体"/>
          <w:b/>
          <w:bCs w:val="0"/>
          <w:color w:val="auto"/>
          <w:sz w:val="32"/>
          <w:highlight w:val="none"/>
          <w:lang w:eastAsia="zh-CN"/>
        </w:rPr>
      </w:pPr>
      <w:r>
        <w:rPr>
          <w:rFonts w:hint="eastAsia" w:ascii="宋体" w:hAnsi="宋体" w:eastAsia="宋体" w:cs="宋体"/>
          <w:b/>
          <w:bCs/>
          <w:color w:val="auto"/>
          <w:sz w:val="32"/>
          <w:szCs w:val="32"/>
          <w:highlight w:val="none"/>
        </w:rPr>
        <w:t>项目编号：</w:t>
      </w:r>
      <w:r>
        <w:rPr>
          <w:rFonts w:hint="eastAsia" w:ascii="宋体" w:hAnsi="宋体" w:eastAsia="宋体" w:cs="宋体"/>
          <w:b/>
          <w:bCs w:val="0"/>
          <w:color w:val="auto"/>
          <w:sz w:val="32"/>
          <w:highlight w:val="none"/>
          <w:lang w:eastAsia="zh-CN"/>
        </w:rPr>
        <w:t>GXZC2026-G1-003119-CGZX</w:t>
      </w:r>
    </w:p>
    <w:p>
      <w:pPr>
        <w:pageBreakBefore w:val="0"/>
        <w:widowControl w:val="0"/>
        <w:kinsoku/>
        <w:wordWrap/>
        <w:overflowPunct/>
        <w:topLinePunct w:val="0"/>
        <w:autoSpaceDE/>
        <w:autoSpaceDN/>
        <w:bidi w:val="0"/>
        <w:adjustRightInd/>
        <w:snapToGrid w:val="0"/>
        <w:spacing w:line="500" w:lineRule="exact"/>
        <w:ind w:firstLine="1843"/>
        <w:textAlignment w:val="auto"/>
        <w:rPr>
          <w:rFonts w:hint="eastAsia" w:ascii="宋体" w:hAnsi="宋体" w:eastAsia="宋体" w:cs="宋体"/>
          <w:b/>
          <w:bCs/>
          <w:color w:val="auto"/>
          <w:sz w:val="32"/>
          <w:szCs w:val="32"/>
          <w:highlight w:val="none"/>
        </w:rPr>
      </w:pPr>
    </w:p>
    <w:p>
      <w:pPr>
        <w:pageBreakBefore w:val="0"/>
        <w:widowControl w:val="0"/>
        <w:kinsoku/>
        <w:wordWrap/>
        <w:overflowPunct/>
        <w:topLinePunct w:val="0"/>
        <w:autoSpaceDE/>
        <w:autoSpaceDN/>
        <w:bidi w:val="0"/>
        <w:adjustRightInd/>
        <w:snapToGrid w:val="0"/>
        <w:spacing w:line="500" w:lineRule="exact"/>
        <w:ind w:left="3202" w:leftChars="760" w:hanging="1606" w:hangingChars="500"/>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项</w:t>
      </w:r>
      <w:r>
        <w:rPr>
          <w:rFonts w:hint="eastAsia" w:ascii="宋体" w:hAnsi="宋体" w:eastAsia="宋体" w:cs="宋体"/>
          <w:b/>
          <w:bCs w:val="0"/>
          <w:color w:val="auto"/>
          <w:sz w:val="32"/>
          <w:szCs w:val="32"/>
          <w:highlight w:val="none"/>
        </w:rPr>
        <w:t>目名称：</w:t>
      </w:r>
      <w:r>
        <w:rPr>
          <w:rFonts w:hint="eastAsia" w:ascii="宋体" w:hAnsi="宋体" w:eastAsia="宋体" w:cs="宋体"/>
          <w:b/>
          <w:bCs w:val="0"/>
          <w:color w:val="auto"/>
          <w:sz w:val="32"/>
          <w:highlight w:val="none"/>
          <w:lang w:eastAsia="zh-CN"/>
        </w:rPr>
        <w:t>2026-2027年流感季免费流感疫苗采购</w:t>
      </w:r>
    </w:p>
    <w:p>
      <w:pPr>
        <w:pStyle w:val="11"/>
        <w:rPr>
          <w:rFonts w:hint="eastAsia"/>
          <w:color w:val="auto"/>
          <w:highlight w:val="none"/>
        </w:rPr>
      </w:pPr>
    </w:p>
    <w:p>
      <w:pPr>
        <w:pageBreakBefore w:val="0"/>
        <w:widowControl w:val="0"/>
        <w:kinsoku/>
        <w:wordWrap/>
        <w:overflowPunct/>
        <w:topLinePunct w:val="0"/>
        <w:autoSpaceDE/>
        <w:autoSpaceDN/>
        <w:bidi w:val="0"/>
        <w:adjustRightInd/>
        <w:snapToGrid w:val="0"/>
        <w:spacing w:line="500" w:lineRule="exact"/>
        <w:ind w:firstLine="1583" w:firstLineChars="493"/>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采购单位：</w:t>
      </w:r>
      <w:r>
        <w:rPr>
          <w:rFonts w:hint="eastAsia" w:ascii="宋体" w:hAnsi="宋体" w:eastAsia="宋体" w:cs="宋体"/>
          <w:b/>
          <w:color w:val="auto"/>
          <w:sz w:val="32"/>
          <w:szCs w:val="32"/>
          <w:highlight w:val="none"/>
          <w:lang w:eastAsia="zh-CN"/>
        </w:rPr>
        <w:t>广西壮族自治区疾病预防控制中心</w:t>
      </w:r>
      <w:r>
        <w:rPr>
          <w:rFonts w:hint="eastAsia" w:ascii="宋体" w:hAnsi="宋体" w:eastAsia="宋体" w:cs="宋体"/>
          <w:b/>
          <w:color w:val="auto"/>
          <w:sz w:val="32"/>
          <w:szCs w:val="32"/>
          <w:highlight w:val="none"/>
        </w:rPr>
        <w:t xml:space="preserve"> </w:t>
      </w:r>
    </w:p>
    <w:p>
      <w:pPr>
        <w:pageBreakBefore w:val="0"/>
        <w:widowControl w:val="0"/>
        <w:kinsoku/>
        <w:wordWrap/>
        <w:overflowPunct/>
        <w:topLinePunct w:val="0"/>
        <w:autoSpaceDE/>
        <w:autoSpaceDN/>
        <w:bidi w:val="0"/>
        <w:adjustRightInd/>
        <w:snapToGrid w:val="0"/>
        <w:spacing w:line="500" w:lineRule="exact"/>
        <w:ind w:firstLine="3051" w:firstLineChars="950"/>
        <w:textAlignment w:val="auto"/>
        <w:rPr>
          <w:rFonts w:hint="eastAsia" w:ascii="宋体" w:hAnsi="宋体" w:eastAsia="宋体" w:cs="宋体"/>
          <w:b/>
          <w:color w:val="auto"/>
          <w:sz w:val="32"/>
          <w:szCs w:val="32"/>
          <w:highlight w:val="none"/>
        </w:rPr>
      </w:pPr>
    </w:p>
    <w:p>
      <w:pPr>
        <w:pageBreakBefore w:val="0"/>
        <w:widowControl w:val="0"/>
        <w:kinsoku/>
        <w:wordWrap/>
        <w:overflowPunct/>
        <w:topLinePunct w:val="0"/>
        <w:autoSpaceDE/>
        <w:autoSpaceDN/>
        <w:bidi w:val="0"/>
        <w:adjustRightInd/>
        <w:spacing w:line="500" w:lineRule="exact"/>
        <w:ind w:firstLine="3051" w:firstLineChars="950"/>
        <w:textAlignment w:val="auto"/>
        <w:rPr>
          <w:rFonts w:hint="eastAsia" w:ascii="宋体" w:hAnsi="宋体" w:eastAsia="宋体" w:cs="宋体"/>
          <w:b/>
          <w:color w:val="auto"/>
          <w:sz w:val="32"/>
          <w:szCs w:val="32"/>
          <w:highlight w:val="none"/>
        </w:rPr>
      </w:pPr>
    </w:p>
    <w:p>
      <w:pPr>
        <w:pageBreakBefore w:val="0"/>
        <w:widowControl w:val="0"/>
        <w:kinsoku/>
        <w:wordWrap/>
        <w:overflowPunct/>
        <w:topLinePunct w:val="0"/>
        <w:autoSpaceDE/>
        <w:autoSpaceDN/>
        <w:bidi w:val="0"/>
        <w:adjustRightInd/>
        <w:spacing w:line="500" w:lineRule="exact"/>
        <w:ind w:firstLine="3051" w:firstLineChars="950"/>
        <w:textAlignment w:val="auto"/>
        <w:rPr>
          <w:rFonts w:hint="eastAsia" w:ascii="宋体" w:hAnsi="宋体" w:eastAsia="宋体" w:cs="宋体"/>
          <w:b/>
          <w:color w:val="auto"/>
          <w:sz w:val="32"/>
          <w:szCs w:val="32"/>
          <w:highlight w:val="none"/>
        </w:rPr>
      </w:pPr>
    </w:p>
    <w:p>
      <w:pPr>
        <w:pageBreakBefore w:val="0"/>
        <w:widowControl w:val="0"/>
        <w:kinsoku/>
        <w:wordWrap/>
        <w:overflowPunct/>
        <w:topLinePunct w:val="0"/>
        <w:autoSpaceDE/>
        <w:autoSpaceDN/>
        <w:bidi w:val="0"/>
        <w:adjustRightInd/>
        <w:spacing w:line="500" w:lineRule="exact"/>
        <w:ind w:firstLine="3051" w:firstLineChars="950"/>
        <w:textAlignment w:val="auto"/>
        <w:rPr>
          <w:rFonts w:hint="eastAsia" w:ascii="宋体" w:hAnsi="宋体" w:eastAsia="宋体" w:cs="宋体"/>
          <w:b/>
          <w:color w:val="auto"/>
          <w:sz w:val="32"/>
          <w:szCs w:val="32"/>
          <w:highlight w:val="none"/>
        </w:rPr>
      </w:pPr>
    </w:p>
    <w:p>
      <w:pPr>
        <w:pageBreakBefore w:val="0"/>
        <w:widowControl w:val="0"/>
        <w:kinsoku/>
        <w:wordWrap/>
        <w:overflowPunct/>
        <w:topLinePunct w:val="0"/>
        <w:autoSpaceDE/>
        <w:autoSpaceDN/>
        <w:bidi w:val="0"/>
        <w:adjustRightInd/>
        <w:spacing w:line="500" w:lineRule="exact"/>
        <w:textAlignment w:val="auto"/>
        <w:rPr>
          <w:rFonts w:hint="eastAsia" w:ascii="宋体" w:hAnsi="宋体" w:eastAsia="宋体" w:cs="宋体"/>
          <w:b/>
          <w:color w:val="auto"/>
          <w:sz w:val="32"/>
          <w:szCs w:val="32"/>
          <w:highlight w:val="none"/>
        </w:rPr>
      </w:pPr>
    </w:p>
    <w:p>
      <w:pPr>
        <w:pStyle w:val="4"/>
        <w:pageBreakBefore w:val="0"/>
        <w:widowControl w:val="0"/>
        <w:kinsoku/>
        <w:wordWrap/>
        <w:overflowPunct/>
        <w:topLinePunct w:val="0"/>
        <w:autoSpaceDE/>
        <w:autoSpaceDN/>
        <w:bidi w:val="0"/>
        <w:adjustRightInd/>
        <w:spacing w:line="500" w:lineRule="exact"/>
        <w:textAlignment w:val="auto"/>
        <w:rPr>
          <w:rFonts w:hint="eastAsia" w:ascii="宋体" w:hAnsi="宋体" w:eastAsia="宋体" w:cs="宋体"/>
          <w:color w:val="auto"/>
          <w:sz w:val="32"/>
          <w:szCs w:val="32"/>
          <w:highlight w:val="none"/>
        </w:rPr>
      </w:pPr>
    </w:p>
    <w:p>
      <w:pPr>
        <w:pageBreakBefore w:val="0"/>
        <w:widowControl w:val="0"/>
        <w:kinsoku/>
        <w:wordWrap/>
        <w:overflowPunct/>
        <w:topLinePunct w:val="0"/>
        <w:autoSpaceDE/>
        <w:autoSpaceDN/>
        <w:bidi w:val="0"/>
        <w:adjustRightInd/>
        <w:snapToGrid w:val="0"/>
        <w:spacing w:before="156" w:beforeLines="50" w:line="500" w:lineRule="exact"/>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 xml:space="preserve">        采购代理机构：广西壮族自治区政府采购中心</w:t>
      </w:r>
    </w:p>
    <w:p>
      <w:pPr>
        <w:pageBreakBefore w:val="0"/>
        <w:widowControl w:val="0"/>
        <w:kinsoku/>
        <w:wordWrap/>
        <w:overflowPunct/>
        <w:topLinePunct w:val="0"/>
        <w:autoSpaceDE/>
        <w:autoSpaceDN/>
        <w:bidi w:val="0"/>
        <w:adjustRightInd/>
        <w:snapToGrid w:val="0"/>
        <w:spacing w:before="156" w:beforeLines="50" w:line="5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2026年</w:t>
      </w:r>
      <w:r>
        <w:rPr>
          <w:rFonts w:hint="eastAsia" w:ascii="宋体" w:hAnsi="宋体" w:eastAsia="宋体" w:cs="宋体"/>
          <w:b/>
          <w:color w:val="auto"/>
          <w:sz w:val="32"/>
          <w:szCs w:val="32"/>
          <w:highlight w:val="none"/>
          <w:lang w:val="en-US" w:eastAsia="zh-CN"/>
        </w:rPr>
        <w:t>9</w:t>
      </w:r>
      <w:r>
        <w:rPr>
          <w:rFonts w:hint="eastAsia" w:ascii="宋体" w:hAnsi="宋体" w:eastAsia="宋体" w:cs="宋体"/>
          <w:b/>
          <w:color w:val="auto"/>
          <w:sz w:val="32"/>
          <w:szCs w:val="32"/>
          <w:highlight w:val="none"/>
        </w:rPr>
        <w:t>月</w:t>
      </w:r>
    </w:p>
    <w:p>
      <w:pPr>
        <w:pStyle w:val="2"/>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32"/>
          <w:szCs w:val="32"/>
          <w:highlight w:val="none"/>
        </w:rPr>
      </w:pPr>
    </w:p>
    <w:p>
      <w:pPr>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32"/>
          <w:szCs w:val="32"/>
          <w:highlight w:val="none"/>
        </w:rPr>
        <w:sectPr>
          <w:footerReference r:id="rId3" w:type="default"/>
          <w:pgSz w:w="11906" w:h="16838"/>
          <w:pgMar w:top="1247" w:right="1247" w:bottom="1247" w:left="1247" w:header="851" w:footer="992" w:gutter="0"/>
          <w:pgNumType w:fmt="decimal" w:start="1"/>
          <w:cols w:space="720" w:num="1"/>
          <w:docGrid w:type="lines" w:linePitch="312" w:charSpace="0"/>
        </w:sectPr>
      </w:pPr>
    </w:p>
    <w:p>
      <w:pPr>
        <w:pageBreakBefore w:val="0"/>
        <w:widowControl w:val="0"/>
        <w:tabs>
          <w:tab w:val="left" w:pos="5969"/>
        </w:tabs>
        <w:kinsoku/>
        <w:wordWrap/>
        <w:overflowPunct/>
        <w:topLinePunct w:val="0"/>
        <w:autoSpaceDE/>
        <w:autoSpaceDN/>
        <w:bidi w:val="0"/>
        <w:spacing w:line="360" w:lineRule="exact"/>
        <w:textAlignment w:val="auto"/>
        <w:rPr>
          <w:rFonts w:hint="eastAsia" w:ascii="宋体" w:hAnsi="宋体" w:eastAsia="宋体" w:cs="宋体"/>
          <w:color w:val="auto"/>
          <w:sz w:val="36"/>
          <w:szCs w:val="36"/>
          <w:highlight w:val="none"/>
          <w:lang w:eastAsia="zh-CN"/>
        </w:rPr>
      </w:pPr>
      <w:r>
        <w:rPr>
          <w:rFonts w:hint="eastAsia" w:ascii="宋体" w:hAnsi="宋体" w:eastAsia="宋体" w:cs="宋体"/>
          <w:color w:val="auto"/>
          <w:sz w:val="36"/>
          <w:szCs w:val="36"/>
          <w:highlight w:val="none"/>
          <w:lang w:eastAsia="zh-CN"/>
        </w:rPr>
        <w:tab/>
      </w:r>
    </w:p>
    <w:p>
      <w:pPr>
        <w:pStyle w:val="14"/>
        <w:keepNext w:val="0"/>
        <w:keepLines w:val="0"/>
        <w:pageBreakBefore w:val="0"/>
        <w:widowControl w:val="0"/>
        <w:tabs>
          <w:tab w:val="left" w:pos="4204"/>
        </w:tabs>
        <w:kinsoku/>
        <w:wordWrap/>
        <w:overflowPunct/>
        <w:topLinePunct w:val="0"/>
        <w:autoSpaceDE/>
        <w:autoSpaceDN/>
        <w:bidi w:val="0"/>
        <w:adjustRightInd/>
        <w:snapToGrid/>
        <w:spacing w:line="800" w:lineRule="exact"/>
        <w:jc w:val="center"/>
        <w:textAlignment w:val="auto"/>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目   录</w:t>
      </w:r>
    </w:p>
    <w:p>
      <w:pPr>
        <w:pStyle w:val="6"/>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before="156" w:beforeLines="50" w:line="1000" w:lineRule="exact"/>
        <w:ind w:firstLine="843" w:firstLineChars="3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第一章 公开招标公告……………………………………………… 2</w:t>
      </w:r>
    </w:p>
    <w:p>
      <w:pPr>
        <w:keepNext w:val="0"/>
        <w:keepLines w:val="0"/>
        <w:pageBreakBefore w:val="0"/>
        <w:widowControl w:val="0"/>
        <w:kinsoku/>
        <w:wordWrap/>
        <w:overflowPunct/>
        <w:topLinePunct w:val="0"/>
        <w:autoSpaceDE/>
        <w:autoSpaceDN/>
        <w:bidi w:val="0"/>
        <w:adjustRightInd/>
        <w:snapToGrid/>
        <w:spacing w:before="156" w:beforeLines="50" w:line="1000" w:lineRule="exact"/>
        <w:ind w:firstLine="843" w:firstLineChars="3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第二章 招标项目采购需求 …………………………………………6 </w:t>
      </w:r>
    </w:p>
    <w:p>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第三章 投标人须知…………………………………………………34</w:t>
      </w:r>
    </w:p>
    <w:p>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第四章 评标方法及评分标准………………………………………48</w:t>
      </w:r>
    </w:p>
    <w:p>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第五章 政府采购合同主要条款……………………………………55</w:t>
      </w:r>
    </w:p>
    <w:p>
      <w:pPr>
        <w:keepNext w:val="0"/>
        <w:keepLines w:val="0"/>
        <w:pageBreakBefore w:val="0"/>
        <w:widowControl w:val="0"/>
        <w:kinsoku/>
        <w:wordWrap/>
        <w:overflowPunct/>
        <w:topLinePunct w:val="0"/>
        <w:autoSpaceDE/>
        <w:autoSpaceDN/>
        <w:bidi w:val="0"/>
        <w:adjustRightInd/>
        <w:snapToGrid/>
        <w:spacing w:before="156" w:beforeLines="50" w:line="1000" w:lineRule="exact"/>
        <w:ind w:left="360" w:firstLine="562" w:firstLineChars="2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第六章 投标文件格式………………………………………………68</w:t>
      </w: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6"/>
          <w:szCs w:val="36"/>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883"/>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sectPr>
          <w:headerReference r:id="rId4" w:type="default"/>
          <w:footerReference r:id="rId5" w:type="default"/>
          <w:pgSz w:w="11850" w:h="16783"/>
          <w:pgMar w:top="1440" w:right="1230" w:bottom="1440" w:left="1180" w:header="851" w:footer="992" w:gutter="0"/>
          <w:pgNumType w:fmt="decimal" w:start="1"/>
          <w:cols w:space="425" w:num="1"/>
          <w:docGrid w:type="lines" w:linePitch="312" w:charSpace="0"/>
        </w:sect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pageBreakBefore w:val="0"/>
        <w:widowControl w:val="0"/>
        <w:kinsoku/>
        <w:wordWrap/>
        <w:overflowPunct/>
        <w:topLinePunct w:val="0"/>
        <w:autoSpaceDE/>
        <w:autoSpaceDN/>
        <w:bidi w:val="0"/>
        <w:spacing w:line="360" w:lineRule="exact"/>
        <w:ind w:firstLine="422"/>
        <w:jc w:val="center"/>
        <w:textAlignment w:val="auto"/>
        <w:rPr>
          <w:rFonts w:hint="eastAsia" w:ascii="宋体" w:hAnsi="宋体" w:eastAsia="宋体" w:cs="宋体"/>
          <w:b/>
          <w:color w:val="auto"/>
          <w:sz w:val="32"/>
          <w:szCs w:val="32"/>
          <w:highlight w:val="none"/>
        </w:rPr>
      </w:pPr>
    </w:p>
    <w:p>
      <w:pPr>
        <w:pStyle w:val="29"/>
        <w:keepNext w:val="0"/>
        <w:keepLines w:val="0"/>
        <w:pageBreakBefore w:val="0"/>
        <w:widowControl w:val="0"/>
        <w:kinsoku/>
        <w:wordWrap/>
        <w:overflowPunct/>
        <w:topLinePunct w:val="0"/>
        <w:autoSpaceDE/>
        <w:autoSpaceDN/>
        <w:bidi w:val="0"/>
        <w:adjustRightInd/>
        <w:snapToGrid w:val="0"/>
        <w:spacing w:line="800" w:lineRule="exact"/>
        <w:ind w:firstLine="422"/>
        <w:jc w:val="center"/>
        <w:textAlignment w:val="auto"/>
        <w:rPr>
          <w:rFonts w:hint="eastAsia" w:ascii="宋体" w:hAnsi="宋体" w:eastAsia="宋体" w:cs="宋体"/>
          <w:b/>
          <w:color w:val="auto"/>
          <w:sz w:val="52"/>
          <w:szCs w:val="52"/>
          <w:highlight w:val="none"/>
        </w:rPr>
      </w:pPr>
    </w:p>
    <w:p>
      <w:pPr>
        <w:pStyle w:val="29"/>
        <w:keepNext w:val="0"/>
        <w:keepLines w:val="0"/>
        <w:pageBreakBefore w:val="0"/>
        <w:widowControl w:val="0"/>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宋体" w:hAnsi="宋体" w:eastAsia="宋体" w:cs="宋体"/>
          <w:color w:val="auto"/>
          <w:sz w:val="48"/>
          <w:szCs w:val="48"/>
          <w:highlight w:val="none"/>
        </w:rPr>
      </w:pPr>
      <w:r>
        <w:rPr>
          <w:rFonts w:hint="eastAsia" w:ascii="宋体" w:hAnsi="宋体" w:eastAsia="宋体" w:cs="宋体"/>
          <w:b/>
          <w:color w:val="auto"/>
          <w:sz w:val="48"/>
          <w:szCs w:val="48"/>
          <w:highlight w:val="none"/>
        </w:rPr>
        <w:t>第一章  公开招标公告</w:t>
      </w:r>
    </w:p>
    <w:p>
      <w:pPr>
        <w:pStyle w:val="29"/>
        <w:keepNext w:val="0"/>
        <w:keepLines w:val="0"/>
        <w:pageBreakBefore w:val="0"/>
        <w:widowControl w:val="0"/>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宋体" w:hAnsi="宋体" w:eastAsia="宋体" w:cs="宋体"/>
          <w:b/>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48"/>
          <w:szCs w:val="48"/>
          <w:highlight w:val="none"/>
        </w:rPr>
        <w:t>招标公告</w:t>
      </w:r>
    </w:p>
    <w:p>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eastAsia="zh-CN"/>
        </w:rPr>
        <w:t>2026-2027年流感季免费流感疫苗采购</w:t>
      </w:r>
      <w:r>
        <w:rPr>
          <w:rFonts w:hint="eastAsia" w:ascii="宋体" w:hAnsi="宋体" w:eastAsia="宋体" w:cs="宋体"/>
          <w:color w:val="auto"/>
          <w:sz w:val="21"/>
          <w:szCs w:val="21"/>
          <w:highlight w:val="none"/>
        </w:rPr>
        <w:t>项目的潜在投标人应在广西政府采购云平台（网址：http://www.gcy.zfcg.gxzf.gov.cn）获取招标文件，并于 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13</w:t>
      </w:r>
      <w:bookmarkStart w:id="15" w:name="_GoBack"/>
      <w:bookmarkEnd w:id="15"/>
      <w:r>
        <w:rPr>
          <w:rFonts w:hint="eastAsia" w:ascii="宋体" w:hAnsi="宋体" w:eastAsia="宋体" w:cs="宋体"/>
          <w:color w:val="auto"/>
          <w:sz w:val="21"/>
          <w:szCs w:val="21"/>
          <w:highlight w:val="none"/>
        </w:rPr>
        <w:t>日 10:00（北京时间）前递交投标文件。</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bookmarkStart w:id="0" w:name="_Toc28359086"/>
      <w:bookmarkStart w:id="1" w:name="_Toc28359009"/>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一、项目基本情况</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项目编号：GXZC2026-G1-00</w:t>
      </w:r>
      <w:r>
        <w:rPr>
          <w:rFonts w:hint="eastAsia" w:ascii="宋体" w:hAnsi="宋体" w:eastAsia="宋体" w:cs="宋体"/>
          <w:color w:val="auto"/>
          <w:sz w:val="21"/>
          <w:szCs w:val="21"/>
          <w:highlight w:val="none"/>
          <w:lang w:val="en-US" w:eastAsia="zh-CN"/>
        </w:rPr>
        <w:t>3119</w:t>
      </w:r>
      <w:r>
        <w:rPr>
          <w:rFonts w:hint="eastAsia" w:ascii="宋体" w:hAnsi="宋体" w:eastAsia="宋体" w:cs="宋体"/>
          <w:color w:val="auto"/>
          <w:sz w:val="21"/>
          <w:szCs w:val="21"/>
          <w:highlight w:val="none"/>
        </w:rPr>
        <w:t>-CGZX</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2026-2027年流感季免费流感疫苗采购</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预算总金额（元）：</w:t>
      </w:r>
      <w:r>
        <w:rPr>
          <w:rFonts w:hint="eastAsia" w:ascii="宋体" w:hAnsi="宋体" w:eastAsia="宋体" w:cs="宋体"/>
          <w:color w:val="auto"/>
          <w:sz w:val="21"/>
          <w:szCs w:val="21"/>
          <w:highlight w:val="none"/>
          <w:lang w:eastAsia="zh-CN"/>
        </w:rPr>
        <w:t>29540538</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采购需求：</w:t>
      </w:r>
    </w:p>
    <w:p>
      <w:pPr>
        <w:spacing w:line="360" w:lineRule="exact"/>
        <w:ind w:left="360"/>
        <w:rPr>
          <w:rFonts w:hint="eastAsia" w:ascii="宋体" w:hAnsi="宋体"/>
          <w:bCs/>
          <w:color w:val="auto"/>
          <w:highlight w:val="none"/>
        </w:rPr>
      </w:pPr>
      <w:r>
        <w:rPr>
          <w:rFonts w:hint="eastAsia" w:ascii="宋体" w:hAnsi="宋体"/>
          <w:bCs/>
          <w:color w:val="auto"/>
          <w:highlight w:val="none"/>
        </w:rPr>
        <w:t>标项一</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标项名称：三价流感病毒裂解疫苗（一）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数量:1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 xml:space="preserve">    预算金额（元）：11538</w:t>
      </w:r>
      <w:r>
        <w:rPr>
          <w:rFonts w:hint="eastAsia" w:ascii="宋体" w:hAnsi="宋体" w:eastAsia="宋体" w:cs="宋体"/>
          <w:color w:val="auto"/>
          <w:sz w:val="21"/>
          <w:szCs w:val="21"/>
          <w:highlight w:val="none"/>
          <w:lang w:val="en-US" w:eastAsia="zh-CN"/>
        </w:rPr>
        <w:t>000</w:t>
      </w:r>
    </w:p>
    <w:p>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简要规格描述或项目基本概况介绍、用途：</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三价流感病毒裂解疫苗</w:t>
      </w:r>
      <w:r>
        <w:rPr>
          <w:rFonts w:hint="eastAsia" w:ascii="宋体" w:hAnsi="宋体"/>
          <w:color w:val="auto"/>
          <w:szCs w:val="21"/>
          <w:highlight w:val="none"/>
          <w:lang w:val="en-US" w:eastAsia="zh-CN"/>
        </w:rPr>
        <w:t>1282000支</w:t>
      </w:r>
      <w:r>
        <w:rPr>
          <w:rFonts w:hint="eastAsia" w:ascii="宋体" w:hAnsi="宋体" w:eastAsia="宋体" w:cs="宋体"/>
          <w:color w:val="auto"/>
          <w:sz w:val="21"/>
          <w:szCs w:val="21"/>
          <w:highlight w:val="none"/>
        </w:rPr>
        <w:t>。如需进一步了解详细内容，详见采购文件。</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最高限价（如有）：11538</w:t>
      </w:r>
      <w:r>
        <w:rPr>
          <w:rFonts w:hint="eastAsia" w:ascii="宋体" w:hAnsi="宋体" w:eastAsia="宋体" w:cs="宋体"/>
          <w:color w:val="auto"/>
          <w:sz w:val="21"/>
          <w:szCs w:val="21"/>
          <w:highlight w:val="none"/>
          <w:lang w:val="en-US" w:eastAsia="zh-CN"/>
        </w:rPr>
        <w:t>000</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合同履约期限：自合同签订之日起至项目履约完毕</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本项目（否）接受联合体投标</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备注：本项目为线上电子招标项目，有意向参与本项目的供应商应当做好参与全流程电子招投标交易的充分准备。</w:t>
      </w:r>
    </w:p>
    <w:p>
      <w:pPr>
        <w:spacing w:line="360" w:lineRule="exact"/>
        <w:ind w:left="360"/>
        <w:rPr>
          <w:rFonts w:hint="eastAsia" w:ascii="宋体" w:hAnsi="宋体"/>
          <w:bCs/>
          <w:color w:val="auto"/>
          <w:highlight w:val="none"/>
        </w:rPr>
      </w:pPr>
    </w:p>
    <w:p>
      <w:pPr>
        <w:spacing w:line="360" w:lineRule="exact"/>
        <w:ind w:left="360"/>
        <w:rPr>
          <w:rFonts w:hint="eastAsia" w:ascii="宋体" w:hAnsi="宋体" w:eastAsiaTheme="minorEastAsia"/>
          <w:bCs/>
          <w:color w:val="auto"/>
          <w:highlight w:val="none"/>
          <w:lang w:eastAsia="zh-CN"/>
        </w:rPr>
      </w:pPr>
      <w:r>
        <w:rPr>
          <w:rFonts w:hint="eastAsia" w:ascii="宋体" w:hAnsi="宋体"/>
          <w:bCs/>
          <w:color w:val="auto"/>
          <w:highlight w:val="none"/>
        </w:rPr>
        <w:t>标项</w:t>
      </w:r>
      <w:r>
        <w:rPr>
          <w:rFonts w:hint="eastAsia" w:ascii="宋体" w:hAnsi="宋体"/>
          <w:bCs/>
          <w:color w:val="auto"/>
          <w:highlight w:val="none"/>
          <w:lang w:eastAsia="zh-CN"/>
        </w:rPr>
        <w:t>二</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标项名称：三价流感病毒裂解疫苗（</w:t>
      </w: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数量:1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 xml:space="preserve">    预算金额（元）：1080</w:t>
      </w:r>
      <w:r>
        <w:rPr>
          <w:rFonts w:hint="eastAsia" w:ascii="宋体" w:hAnsi="宋体" w:eastAsia="宋体" w:cs="宋体"/>
          <w:color w:val="auto"/>
          <w:sz w:val="21"/>
          <w:szCs w:val="21"/>
          <w:highlight w:val="none"/>
          <w:lang w:val="en-US" w:eastAsia="zh-CN"/>
        </w:rPr>
        <w:t>0000</w:t>
      </w:r>
    </w:p>
    <w:p>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简要规格描述或项目基本概况介绍、用途：</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三价流感病毒裂解疫苗</w:t>
      </w:r>
      <w:r>
        <w:rPr>
          <w:rFonts w:hint="eastAsia" w:ascii="宋体" w:hAnsi="宋体"/>
          <w:color w:val="auto"/>
          <w:szCs w:val="21"/>
          <w:highlight w:val="none"/>
          <w:lang w:val="en-US" w:eastAsia="zh-CN"/>
        </w:rPr>
        <w:t>1200000支</w:t>
      </w:r>
      <w:r>
        <w:rPr>
          <w:rFonts w:hint="eastAsia" w:ascii="宋体" w:hAnsi="宋体" w:eastAsia="宋体" w:cs="宋体"/>
          <w:color w:val="auto"/>
          <w:sz w:val="21"/>
          <w:szCs w:val="21"/>
          <w:highlight w:val="none"/>
        </w:rPr>
        <w:t>。如需进一步了解详细内容，详见采购文件。</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最高限价（如有）：1080</w:t>
      </w:r>
      <w:r>
        <w:rPr>
          <w:rFonts w:hint="eastAsia" w:ascii="宋体" w:hAnsi="宋体" w:eastAsia="宋体" w:cs="宋体"/>
          <w:color w:val="auto"/>
          <w:sz w:val="21"/>
          <w:szCs w:val="21"/>
          <w:highlight w:val="none"/>
          <w:lang w:val="en-US" w:eastAsia="zh-CN"/>
        </w:rPr>
        <w:t>0000</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合同履约期限：自合同签订之日起至项目履约完毕</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本项目（否）接受联合体投标</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备注：本项目为线上电子招标项目，有意向参与本项目的供应商应当做好参与全流程电子招投标交易的充分准备。</w:t>
      </w:r>
    </w:p>
    <w:p>
      <w:pPr>
        <w:spacing w:line="360" w:lineRule="exact"/>
        <w:ind w:left="360"/>
        <w:rPr>
          <w:rFonts w:hint="eastAsia" w:ascii="宋体" w:hAnsi="宋体"/>
          <w:bCs/>
          <w:color w:val="auto"/>
          <w:highlight w:val="none"/>
        </w:rPr>
      </w:pPr>
    </w:p>
    <w:p>
      <w:pPr>
        <w:spacing w:line="360" w:lineRule="exact"/>
        <w:ind w:left="360"/>
        <w:rPr>
          <w:rFonts w:hint="eastAsia" w:ascii="宋体" w:hAnsi="宋体" w:eastAsiaTheme="minorEastAsia"/>
          <w:bCs/>
          <w:color w:val="auto"/>
          <w:highlight w:val="none"/>
          <w:lang w:eastAsia="zh-CN"/>
        </w:rPr>
      </w:pPr>
      <w:r>
        <w:rPr>
          <w:rFonts w:hint="eastAsia" w:ascii="宋体" w:hAnsi="宋体"/>
          <w:bCs/>
          <w:color w:val="auto"/>
          <w:highlight w:val="none"/>
        </w:rPr>
        <w:t>标项</w:t>
      </w:r>
      <w:r>
        <w:rPr>
          <w:rFonts w:hint="eastAsia" w:ascii="宋体" w:hAnsi="宋体"/>
          <w:bCs/>
          <w:color w:val="auto"/>
          <w:highlight w:val="none"/>
          <w:lang w:eastAsia="zh-CN"/>
        </w:rPr>
        <w:t>三</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标项名称：</w:t>
      </w:r>
      <w:r>
        <w:rPr>
          <w:rFonts w:hint="eastAsia" w:ascii="宋体" w:hAnsi="宋体"/>
          <w:color w:val="auto"/>
          <w:szCs w:val="21"/>
          <w:highlight w:val="none"/>
          <w:lang w:val="en-US" w:eastAsia="zh-CN"/>
        </w:rPr>
        <w:t>三价流感病毒裂解疫苗（三）</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数量:1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 xml:space="preserve">    预算金额（元）：630</w:t>
      </w:r>
      <w:r>
        <w:rPr>
          <w:rFonts w:hint="eastAsia" w:ascii="宋体" w:hAnsi="宋体" w:eastAsia="宋体" w:cs="宋体"/>
          <w:color w:val="auto"/>
          <w:sz w:val="21"/>
          <w:szCs w:val="21"/>
          <w:highlight w:val="none"/>
          <w:lang w:eastAsia="zh-CN"/>
        </w:rPr>
        <w:t>0000</w:t>
      </w:r>
    </w:p>
    <w:p>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简要规格描述或项目基本概况介绍、用途：</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三价流感病毒裂解疫苗700000</w:t>
      </w:r>
      <w:r>
        <w:rPr>
          <w:rFonts w:hint="eastAsia" w:ascii="宋体" w:hAnsi="宋体"/>
          <w:color w:val="auto"/>
          <w:szCs w:val="21"/>
          <w:highlight w:val="none"/>
          <w:lang w:val="en-US" w:eastAsia="zh-CN"/>
        </w:rPr>
        <w:t>支</w:t>
      </w:r>
      <w:r>
        <w:rPr>
          <w:rFonts w:hint="eastAsia" w:ascii="宋体" w:hAnsi="宋体" w:eastAsia="宋体" w:cs="宋体"/>
          <w:color w:val="auto"/>
          <w:sz w:val="21"/>
          <w:szCs w:val="21"/>
          <w:highlight w:val="none"/>
        </w:rPr>
        <w:t>。如需进一步了解详细内容，详见采购文件。</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最高限价（如有）：6300000</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合同履约期限：自合同签订之日起至项目履约完毕</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本项目（否）接受联合体投标</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备注：本项目为线上电子招标项目，有意向参与本项目的供应商应当做好参与全流程电子招投标交易的充分准备。</w:t>
      </w:r>
    </w:p>
    <w:p>
      <w:pPr>
        <w:spacing w:line="360" w:lineRule="exact"/>
        <w:ind w:left="360"/>
        <w:rPr>
          <w:rFonts w:hint="eastAsia" w:ascii="宋体" w:hAnsi="宋体"/>
          <w:bCs/>
          <w:color w:val="auto"/>
          <w:highlight w:val="none"/>
        </w:rPr>
      </w:pPr>
    </w:p>
    <w:p>
      <w:pPr>
        <w:spacing w:line="360" w:lineRule="exact"/>
        <w:ind w:left="360"/>
        <w:rPr>
          <w:rFonts w:hint="eastAsia" w:ascii="宋体" w:hAnsi="宋体" w:eastAsiaTheme="minorEastAsia"/>
          <w:bCs/>
          <w:color w:val="auto"/>
          <w:highlight w:val="none"/>
          <w:lang w:eastAsia="zh-CN"/>
        </w:rPr>
      </w:pPr>
      <w:r>
        <w:rPr>
          <w:rFonts w:hint="eastAsia" w:ascii="宋体" w:hAnsi="宋体"/>
          <w:bCs/>
          <w:color w:val="auto"/>
          <w:highlight w:val="none"/>
        </w:rPr>
        <w:t>标项</w:t>
      </w:r>
      <w:r>
        <w:rPr>
          <w:rFonts w:hint="eastAsia" w:ascii="宋体" w:hAnsi="宋体"/>
          <w:bCs/>
          <w:color w:val="auto"/>
          <w:highlight w:val="none"/>
          <w:lang w:eastAsia="zh-CN"/>
        </w:rPr>
        <w:t>四</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标项名称：三价流感病毒裂解疫苗（</w:t>
      </w:r>
      <w:r>
        <w:rPr>
          <w:rFonts w:hint="eastAsia" w:ascii="宋体" w:hAnsi="宋体" w:eastAsia="宋体" w:cs="宋体"/>
          <w:color w:val="auto"/>
          <w:sz w:val="21"/>
          <w:szCs w:val="21"/>
          <w:highlight w:val="none"/>
          <w:lang w:eastAsia="zh-CN"/>
        </w:rPr>
        <w:t>四</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数量:1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 xml:space="preserve">    预算金额（元）：902538</w:t>
      </w:r>
    </w:p>
    <w:p>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简要规格描述或项目基本概况介绍、用途：</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三价流感病毒裂解疫苗</w:t>
      </w:r>
      <w:r>
        <w:rPr>
          <w:rFonts w:hint="eastAsia" w:ascii="宋体" w:hAnsi="宋体"/>
          <w:color w:val="auto"/>
          <w:szCs w:val="21"/>
          <w:highlight w:val="none"/>
          <w:lang w:val="en-US" w:eastAsia="zh-CN"/>
        </w:rPr>
        <w:t>100282支</w:t>
      </w:r>
      <w:r>
        <w:rPr>
          <w:rFonts w:hint="eastAsia" w:ascii="宋体" w:hAnsi="宋体" w:eastAsia="宋体" w:cs="宋体"/>
          <w:color w:val="auto"/>
          <w:sz w:val="21"/>
          <w:szCs w:val="21"/>
          <w:highlight w:val="none"/>
        </w:rPr>
        <w:t>。如需进一步了解详细内容，详见采购文件。</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最高限价（如有）：902538</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合同履约期限：自合同签订之日起至项目履约完毕</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本项目（否）接受联合体投标</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备注：本项目为线上电子招标项目，有意向参与本项目的供应商应当做好参与全流程电子招投标交易的充分准备。</w:t>
      </w:r>
    </w:p>
    <w:p>
      <w:pPr>
        <w:pStyle w:val="15"/>
        <w:rPr>
          <w:rFonts w:hint="eastAsia"/>
          <w:color w:val="auto"/>
          <w:highlight w:val="none"/>
        </w:rPr>
      </w:pPr>
    </w:p>
    <w:p>
      <w:pPr>
        <w:pStyle w:val="15"/>
        <w:rPr>
          <w:rFonts w:hint="eastAsia"/>
          <w:color w:val="auto"/>
          <w:highlight w:val="none"/>
        </w:rPr>
      </w:pP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二、申请人的资格要求：</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1.满足《中华人民共和国政府采购法》第二十二条规定；</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2.落实政府采购政策需满足的资格要求：</w:t>
      </w:r>
      <w:r>
        <w:rPr>
          <w:rFonts w:hint="eastAsia" w:ascii="宋体" w:hAnsi="宋体" w:eastAsia="宋体" w:cs="宋体"/>
          <w:color w:val="auto"/>
          <w:sz w:val="21"/>
          <w:szCs w:val="21"/>
          <w:highlight w:val="none"/>
          <w:lang w:eastAsia="zh-CN"/>
        </w:rPr>
        <w:t>无；</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3.本项目的特定资格要求：具有</w:t>
      </w:r>
      <w:r>
        <w:rPr>
          <w:rFonts w:hint="eastAsia" w:ascii="宋体" w:hAnsi="宋体" w:eastAsia="宋体" w:cs="宋体"/>
          <w:color w:val="auto"/>
          <w:sz w:val="21"/>
          <w:szCs w:val="21"/>
          <w:highlight w:val="none"/>
          <w:lang w:eastAsia="zh-CN"/>
        </w:rPr>
        <w:t>本项目所采购疫苗</w:t>
      </w:r>
      <w:r>
        <w:rPr>
          <w:rFonts w:hint="eastAsia" w:ascii="宋体" w:hAnsi="宋体" w:eastAsia="宋体" w:cs="宋体"/>
          <w:color w:val="auto"/>
          <w:sz w:val="21"/>
          <w:szCs w:val="21"/>
          <w:highlight w:val="none"/>
        </w:rPr>
        <w:t>有效药品生产许可证、药品注册批件</w:t>
      </w:r>
      <w:r>
        <w:rPr>
          <w:rFonts w:hint="eastAsia" w:ascii="宋体" w:hAnsi="宋体" w:eastAsia="宋体" w:cs="宋体"/>
          <w:color w:val="auto"/>
          <w:sz w:val="21"/>
          <w:szCs w:val="21"/>
          <w:highlight w:val="none"/>
          <w:lang w:eastAsia="zh-CN"/>
        </w:rPr>
        <w:t>的生产厂家</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三、获取招标文件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b/>
          <w:bCs/>
          <w:color w:val="auto"/>
          <w:sz w:val="21"/>
          <w:szCs w:val="21"/>
          <w:highlight w:val="none"/>
        </w:rPr>
        <w:t>2026年</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22</w:t>
      </w:r>
      <w:r>
        <w:rPr>
          <w:rFonts w:hint="eastAsia" w:ascii="宋体" w:hAnsi="宋体" w:eastAsia="宋体" w:cs="宋体"/>
          <w:b/>
          <w:bCs/>
          <w:color w:val="auto"/>
          <w:sz w:val="21"/>
          <w:szCs w:val="21"/>
          <w:highlight w:val="none"/>
        </w:rPr>
        <w:t>日至2026年</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日</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每天上午00:00至12:00，下午12:00至23:59</w:t>
      </w:r>
      <w:r>
        <w:rPr>
          <w:rFonts w:hint="eastAsia" w:ascii="宋体" w:hAnsi="宋体" w:eastAsia="宋体" w:cs="宋体"/>
          <w:color w:val="auto"/>
          <w:sz w:val="21"/>
          <w:szCs w:val="21"/>
          <w:highlight w:val="none"/>
        </w:rPr>
        <w:t>（北京时间，法定节假日除外）</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地点（网址）：广西政府采购云平台（网址：http://www.gcy.zfcg.gxzf.gov.cn）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请登录广西政府采购云平台（网址：http://www.gcy.zfcg.gxzf.gov.cn）进行报名并获取采购文件；未注册的供应商可在广西政府采购云平台完成注册后再行报名。如在操作过程中遇到问题或需技术支持，请致电广西政府采购云客服热线：95763。</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示：公开招标公告附件内的招标文件仅供阅览使用；供应商只有在“广西政府采购云平台”完成获取招标文件申请并下载了招标文件后才视作依法获取招标文件（法律法规所指的供应商获取招标文件时间以供应商完成获取招标文件申请后下载招标文件的时间为准）。</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售价（元）：0 </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四、提交投标文件截止时间、开标时间和地点</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提交投标文件截止时间：</w:t>
      </w:r>
      <w:r>
        <w:rPr>
          <w:rFonts w:hint="eastAsia" w:ascii="宋体" w:hAnsi="宋体" w:eastAsia="宋体" w:cs="宋体"/>
          <w:b/>
          <w:bCs/>
          <w:color w:val="auto"/>
          <w:sz w:val="21"/>
          <w:szCs w:val="21"/>
          <w:highlight w:val="none"/>
        </w:rPr>
        <w:t>2026年</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日10:00</w:t>
      </w:r>
      <w:r>
        <w:rPr>
          <w:rFonts w:hint="eastAsia" w:ascii="宋体" w:hAnsi="宋体" w:eastAsia="宋体" w:cs="宋体"/>
          <w:color w:val="auto"/>
          <w:sz w:val="21"/>
          <w:szCs w:val="21"/>
          <w:highlight w:val="none"/>
        </w:rPr>
        <w:t>（北京时间）</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地点（网址）：http://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w:t>
      </w:r>
      <w:r>
        <w:rPr>
          <w:rFonts w:hint="eastAsia" w:ascii="宋体" w:hAnsi="宋体" w:eastAsia="宋体" w:cs="宋体"/>
          <w:b/>
          <w:bCs/>
          <w:color w:val="auto"/>
          <w:sz w:val="21"/>
          <w:szCs w:val="21"/>
          <w:highlight w:val="none"/>
        </w:rPr>
        <w:t>2026年</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日10:00</w:t>
      </w:r>
      <w:r>
        <w:rPr>
          <w:rFonts w:hint="eastAsia" w:ascii="宋体" w:hAnsi="宋体" w:eastAsia="宋体" w:cs="宋体"/>
          <w:color w:val="auto"/>
          <w:sz w:val="21"/>
          <w:szCs w:val="21"/>
          <w:highlight w:val="none"/>
        </w:rPr>
        <w:t>（北京时间）</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开标地点：广西壮族自治区南宁市青秀区广西政府采购云平台开标大厅</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五、公告期限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自本公告发布之日起5个工作日。</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六、其他补充事宜</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 </w:t>
      </w:r>
      <w:r>
        <w:rPr>
          <w:rFonts w:hint="eastAsia" w:ascii="宋体" w:hAnsi="宋体" w:eastAsia="宋体" w:cs="宋体"/>
          <w:color w:val="auto"/>
          <w:sz w:val="21"/>
          <w:szCs w:val="21"/>
          <w:highlight w:val="none"/>
        </w:rPr>
        <w:t>1.投标保证金（人民币）：</w:t>
      </w:r>
      <w:r>
        <w:rPr>
          <w:rFonts w:hint="eastAsia" w:ascii="宋体" w:hAnsi="宋体" w:eastAsia="宋体" w:cs="宋体"/>
          <w:b w:val="0"/>
          <w:bCs w:val="0"/>
          <w:color w:val="auto"/>
          <w:sz w:val="21"/>
          <w:szCs w:val="21"/>
          <w:highlight w:val="none"/>
          <w:lang w:eastAsia="zh-CN"/>
        </w:rPr>
        <w:t>分标</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u w:val="single"/>
          <w:lang w:val="en-US" w:eastAsia="zh-CN"/>
        </w:rPr>
        <w:t>5</w:t>
      </w:r>
      <w:r>
        <w:rPr>
          <w:rFonts w:hint="eastAsia" w:ascii="宋体" w:hAnsi="宋体" w:eastAsia="宋体" w:cs="宋体"/>
          <w:b w:val="0"/>
          <w:bCs w:val="0"/>
          <w:color w:val="auto"/>
          <w:sz w:val="21"/>
          <w:szCs w:val="21"/>
          <w:highlight w:val="none"/>
        </w:rPr>
        <w:t>万元</w:t>
      </w:r>
      <w:r>
        <w:rPr>
          <w:rFonts w:hint="eastAsia" w:ascii="宋体" w:hAnsi="宋体" w:eastAsia="宋体" w:cs="宋体"/>
          <w:b w:val="0"/>
          <w:bCs w:val="0"/>
          <w:color w:val="auto"/>
          <w:sz w:val="21"/>
          <w:szCs w:val="21"/>
          <w:highlight w:val="none"/>
          <w:lang w:eastAsia="zh-CN"/>
        </w:rPr>
        <w:t>；分标</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u w:val="single"/>
          <w:lang w:val="en-US" w:eastAsia="zh-CN"/>
        </w:rPr>
        <w:t>5</w:t>
      </w:r>
      <w:r>
        <w:rPr>
          <w:rFonts w:hint="eastAsia" w:ascii="宋体" w:hAnsi="宋体" w:eastAsia="宋体" w:cs="宋体"/>
          <w:b w:val="0"/>
          <w:bCs w:val="0"/>
          <w:color w:val="auto"/>
          <w:sz w:val="21"/>
          <w:szCs w:val="21"/>
          <w:highlight w:val="none"/>
        </w:rPr>
        <w:t>万元</w:t>
      </w:r>
      <w:r>
        <w:rPr>
          <w:rFonts w:hint="eastAsia" w:ascii="宋体" w:hAnsi="宋体" w:eastAsia="宋体" w:cs="宋体"/>
          <w:b w:val="0"/>
          <w:bCs w:val="0"/>
          <w:color w:val="auto"/>
          <w:sz w:val="21"/>
          <w:szCs w:val="21"/>
          <w:highlight w:val="none"/>
          <w:lang w:eastAsia="zh-CN"/>
        </w:rPr>
        <w:t>；分标</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u w:val="single"/>
          <w:lang w:val="en-US" w:eastAsia="zh-CN"/>
        </w:rPr>
        <w:t>3</w:t>
      </w:r>
      <w:r>
        <w:rPr>
          <w:rFonts w:hint="eastAsia" w:ascii="宋体" w:hAnsi="宋体" w:eastAsia="宋体" w:cs="宋体"/>
          <w:b w:val="0"/>
          <w:bCs w:val="0"/>
          <w:color w:val="auto"/>
          <w:sz w:val="21"/>
          <w:szCs w:val="21"/>
          <w:highlight w:val="none"/>
        </w:rPr>
        <w:t>万元</w:t>
      </w:r>
      <w:r>
        <w:rPr>
          <w:rFonts w:hint="eastAsia" w:ascii="宋体" w:hAnsi="宋体" w:eastAsia="宋体" w:cs="宋体"/>
          <w:b w:val="0"/>
          <w:bCs w:val="0"/>
          <w:color w:val="auto"/>
          <w:sz w:val="21"/>
          <w:szCs w:val="21"/>
          <w:highlight w:val="none"/>
          <w:lang w:eastAsia="zh-CN"/>
        </w:rPr>
        <w:t>；分标</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u w:val="single"/>
          <w:lang w:val="en-US" w:eastAsia="zh-CN"/>
        </w:rPr>
        <w:t>0.9</w:t>
      </w:r>
      <w:r>
        <w:rPr>
          <w:rFonts w:hint="eastAsia" w:ascii="宋体" w:hAnsi="宋体" w:eastAsia="宋体" w:cs="宋体"/>
          <w:b w:val="0"/>
          <w:bCs w:val="0"/>
          <w:color w:val="auto"/>
          <w:sz w:val="21"/>
          <w:szCs w:val="21"/>
          <w:highlight w:val="none"/>
        </w:rPr>
        <w:t>万元。(必须足额交纳)</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（1）投标保证金交纳形式：支票、汇票、本票、金融机构、担保机构出具的保函等非现金形式。</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（2）采用网上银行转账形式的，投标人应于提交投标文件截止时间前将投标保证金交至以下账户。</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开户名称：广西壮族自治区政府采购中心</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开户银行：中国农业银行股份有限公司南宁市古城支行</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银行账号：20009101040051648</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（3）采用支票、汇票、本票或者</w:t>
      </w:r>
      <w:r>
        <w:rPr>
          <w:rFonts w:hint="eastAsia" w:ascii="宋体" w:hAnsi="宋体" w:eastAsia="宋体" w:cs="宋体"/>
          <w:color w:val="auto"/>
          <w:sz w:val="21"/>
          <w:szCs w:val="21"/>
          <w:highlight w:val="none"/>
        </w:rPr>
        <w:t>保函等形式的，投标人应于提交投标文件截止时间前递交单独密封的支票、汇票、本票或者保函原件至我中心财务处。</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（4）本中心财务处联系方式：</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地址：广西南宁市星湖路22号广西壮族自治区政府采购中心综合楼3楼306室； 电话：0771-8600309。</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2.本项目需要落实的政府采购政策</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3.网上公告媒体查询</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中国政府采购网（www.ccgp.gov.cn）、广西壮族自治区政府采购网（zfcg.gxzf.gov.cn）、广西壮族自治区政府采购中心网站（gxggzy.gxzf.gov.cn）。</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4.其他注意事项</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 </w:t>
      </w:r>
    </w:p>
    <w:p>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（2）供应商应及时熟悉掌握电子标系统操作指南（见广西政府采购云电子卖场首页右上角—服务中心—帮助文档—项目采购）：</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"https://service.zcygov.cn/#/knowledges/tree?tag=AG1DtGwBFdiHxlNdhY0r。"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https://service.zcygov.cn/#/knowledges/tree?tag=AG1DtGwBFdiHxlNdhY0r。</w:t>
      </w:r>
      <w:r>
        <w:rPr>
          <w:rFonts w:hint="eastAsia" w:ascii="宋体" w:hAnsi="宋体" w:eastAsia="宋体" w:cs="宋体"/>
          <w:color w:val="auto"/>
          <w:sz w:val="21"/>
          <w:szCs w:val="21"/>
          <w:highlight w:val="none"/>
        </w:rPr>
        <w:fldChar w:fldCharType="end"/>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（3）供应商应及时完成CA申领和绑定（见广西壮族自治区政府采购网—办事服务—下载专区-政采云CA证书办理操作指南）。</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供应商通过广西政府采购云投标客户端软件制作投标文件，广西政府采购云投标客户端软件请供应商自行前往下载并安装（见广西壮族自治区政府采购网—办事服务—下载专区-广西壮族自治区全流程电子招投标项目管理系统--供应商客户端）。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（5）因未注册入库、未办理CA数字证书、CA证书故障、操作不当等原因造成无法投标或投标失败等后果由供应商自行承担。</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网上提交截止后，广西政府采购云（电子标系统）自动提取所有投标文件，各供应商须在开标开始后30分钟内对上传广西政府采购云的投标文件进行解密，所有供应商在规定的解密时限内解密完成或解密时限结束后，我中心开启投标文件；供应商超过解密时限的，系统默认自动放弃。</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七、对本次采购提出询问，请按以下方式联系</w:t>
      </w:r>
      <w:r>
        <w:rPr>
          <w:rFonts w:hint="eastAsia" w:ascii="宋体" w:hAnsi="宋体" w:eastAsia="宋体" w:cs="宋体"/>
          <w:b/>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1.采购人信息</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名   称：</w:t>
      </w:r>
      <w:r>
        <w:rPr>
          <w:rFonts w:hint="eastAsia" w:ascii="宋体" w:hAnsi="宋体" w:eastAsia="宋体" w:cs="宋体"/>
          <w:color w:val="auto"/>
          <w:sz w:val="21"/>
          <w:szCs w:val="21"/>
          <w:highlight w:val="none"/>
          <w:lang w:eastAsia="zh-CN"/>
        </w:rPr>
        <w:t>广西壮族自治区疾病预防控制中心</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地   址：</w:t>
      </w:r>
      <w:r>
        <w:rPr>
          <w:rFonts w:hint="eastAsia" w:ascii="宋体" w:hAnsi="宋体" w:eastAsia="宋体" w:cs="宋体"/>
          <w:color w:val="auto"/>
          <w:szCs w:val="21"/>
          <w:highlight w:val="none"/>
          <w:lang w:eastAsia="zh-CN"/>
        </w:rPr>
        <w:t>南宁市金洲路</w:t>
      </w:r>
      <w:r>
        <w:rPr>
          <w:rFonts w:hint="eastAsia" w:ascii="宋体" w:hAnsi="宋体" w:eastAsia="宋体" w:cs="宋体"/>
          <w:color w:val="auto"/>
          <w:szCs w:val="21"/>
          <w:highlight w:val="none"/>
          <w:lang w:val="en-US" w:eastAsia="zh-CN"/>
        </w:rPr>
        <w:t>18号</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项目联系人：黎少豪</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项目联系方式：0771-2521509</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2.采购代理机构信息</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名    称：广西壮族自治区政府采购中心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    址：广西南宁市星湖路22号  </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项目联系人：</w:t>
      </w:r>
      <w:r>
        <w:rPr>
          <w:rFonts w:hint="eastAsia" w:ascii="宋体" w:hAnsi="宋体" w:eastAsia="宋体" w:cs="宋体"/>
          <w:color w:val="auto"/>
          <w:sz w:val="21"/>
          <w:szCs w:val="21"/>
          <w:highlight w:val="none"/>
          <w:lang w:eastAsia="zh-CN"/>
        </w:rPr>
        <w:t>梁蔚婷</w:t>
      </w:r>
    </w:p>
    <w:p>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项目联系方式：0771-</w:t>
      </w:r>
      <w:r>
        <w:rPr>
          <w:rFonts w:hint="eastAsia" w:ascii="宋体" w:hAnsi="宋体" w:eastAsia="宋体" w:cs="宋体"/>
          <w:color w:val="auto"/>
          <w:sz w:val="21"/>
          <w:szCs w:val="21"/>
          <w:highlight w:val="none"/>
          <w:lang w:eastAsia="zh-CN"/>
        </w:rPr>
        <w:t>8600434</w:t>
      </w:r>
      <w:r>
        <w:rPr>
          <w:rFonts w:hint="eastAsia" w:ascii="宋体" w:hAnsi="宋体" w:eastAsia="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hint="eastAsia" w:ascii="宋体" w:hAnsi="宋体" w:eastAsia="宋体" w:cs="宋体"/>
          <w:color w:val="auto"/>
          <w:sz w:val="21"/>
          <w:szCs w:val="21"/>
          <w:highlight w:val="none"/>
        </w:rPr>
      </w:pPr>
    </w:p>
    <w:bookmarkEnd w:id="0"/>
    <w:bookmarkEnd w:id="1"/>
    <w:p>
      <w:pPr>
        <w:keepNext w:val="0"/>
        <w:keepLines w:val="0"/>
        <w:pageBreakBefore w:val="0"/>
        <w:widowControl w:val="0"/>
        <w:kinsoku/>
        <w:wordWrap/>
        <w:overflowPunct/>
        <w:topLinePunct w:val="0"/>
        <w:autoSpaceDE/>
        <w:autoSpaceDN/>
        <w:bidi w:val="0"/>
        <w:snapToGrid w:val="0"/>
        <w:spacing w:line="400" w:lineRule="exact"/>
        <w:ind w:left="238"/>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广西壮族自治区政府采购中心</w:t>
      </w:r>
    </w:p>
    <w:p>
      <w:pPr>
        <w:keepNext w:val="0"/>
        <w:keepLines w:val="0"/>
        <w:pageBreakBefore w:val="0"/>
        <w:widowControl w:val="0"/>
        <w:kinsoku/>
        <w:wordWrap/>
        <w:overflowPunct/>
        <w:topLinePunct w:val="0"/>
        <w:autoSpaceDE/>
        <w:autoSpaceDN/>
        <w:bidi w:val="0"/>
        <w:snapToGrid w:val="0"/>
        <w:spacing w:line="400" w:lineRule="exact"/>
        <w:ind w:left="238"/>
        <w:jc w:val="center"/>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21"/>
          <w:szCs w:val="21"/>
          <w:highlight w:val="none"/>
        </w:rPr>
        <w:t xml:space="preserve">                                 2026年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日</w:t>
      </w:r>
    </w:p>
    <w:p>
      <w:pPr>
        <w:snapToGrid w:val="0"/>
        <w:spacing w:before="156" w:beforeLines="50" w:after="156" w:afterLines="50" w:line="340" w:lineRule="exact"/>
        <w:ind w:left="238"/>
        <w:jc w:val="center"/>
        <w:rPr>
          <w:rFonts w:ascii="黑体" w:eastAsia="黑体"/>
          <w:color w:val="auto"/>
          <w:sz w:val="32"/>
          <w:szCs w:val="32"/>
          <w:highlight w:val="none"/>
        </w:rPr>
      </w:pPr>
      <w:r>
        <w:rPr>
          <w:rFonts w:hint="eastAsia" w:ascii="黑体" w:eastAsia="黑体"/>
          <w:color w:val="auto"/>
          <w:sz w:val="32"/>
          <w:szCs w:val="32"/>
          <w:highlight w:val="none"/>
        </w:rPr>
        <w:br w:type="page"/>
      </w:r>
    </w:p>
    <w:p>
      <w:pPr>
        <w:ind w:left="6" w:firstLine="431"/>
        <w:jc w:val="center"/>
        <w:rPr>
          <w:rFonts w:hint="eastAsia" w:ascii="方正大标宋简体" w:hAnsi="方正大标宋简体" w:eastAsia="方正大标宋简体" w:cs="方正大标宋简体"/>
          <w:b/>
          <w:bCs/>
          <w:color w:val="auto"/>
          <w:sz w:val="48"/>
          <w:szCs w:val="48"/>
          <w:highlight w:val="none"/>
        </w:rPr>
      </w:pPr>
      <w:r>
        <w:rPr>
          <w:rFonts w:hint="eastAsia" w:ascii="宋体" w:hAnsi="宋体" w:eastAsia="宋体" w:cs="宋体"/>
          <w:b/>
          <w:bCs/>
          <w:color w:val="auto"/>
          <w:sz w:val="48"/>
          <w:szCs w:val="48"/>
          <w:highlight w:val="none"/>
        </w:rPr>
        <w:t>招标项目采购需求</w:t>
      </w:r>
    </w:p>
    <w:p>
      <w:pPr>
        <w:keepNext w:val="0"/>
        <w:keepLines w:val="0"/>
        <w:pageBreakBefore w:val="0"/>
        <w:widowControl w:val="0"/>
        <w:kinsoku/>
        <w:wordWrap/>
        <w:overflowPunct/>
        <w:topLinePunct w:val="0"/>
        <w:autoSpaceDE/>
        <w:autoSpaceDN/>
        <w:bidi w:val="0"/>
        <w:adjustRightInd/>
        <w:snapToGrid/>
        <w:spacing w:line="400" w:lineRule="exact"/>
        <w:ind w:left="6" w:firstLine="431"/>
        <w:jc w:val="center"/>
        <w:textAlignment w:val="auto"/>
        <w:rPr>
          <w:rFonts w:hint="eastAsia" w:ascii="方正大标宋简体" w:hAnsi="方正大标宋简体" w:eastAsia="方正大标宋简体" w:cs="方正大标宋简体"/>
          <w:b/>
          <w:bCs/>
          <w:color w:val="auto"/>
          <w:sz w:val="32"/>
          <w:szCs w:val="32"/>
          <w:highlight w:val="none"/>
        </w:rPr>
      </w:pPr>
    </w:p>
    <w:p>
      <w:pPr>
        <w:keepNext w:val="0"/>
        <w:keepLines w:val="0"/>
        <w:pageBreakBefore w:val="0"/>
        <w:widowControl w:val="0"/>
        <w:kinsoku/>
        <w:wordWrap/>
        <w:overflowPunct/>
        <w:topLinePunct w:val="0"/>
        <w:bidi w:val="0"/>
        <w:snapToGrid/>
        <w:spacing w:line="360" w:lineRule="exact"/>
        <w:ind w:firstLine="424" w:firstLineChars="202"/>
        <w:jc w:val="left"/>
        <w:textAlignment w:val="auto"/>
        <w:rPr>
          <w:rFonts w:hint="eastAsia" w:asciiTheme="minorEastAsia" w:hAnsiTheme="minorEastAsia" w:eastAsiaTheme="minorEastAsia" w:cstheme="minorEastAsia"/>
          <w:b/>
          <w:bCs w:val="0"/>
          <w:color w:val="auto"/>
          <w:spacing w:val="-6"/>
          <w:sz w:val="21"/>
          <w:szCs w:val="21"/>
          <w:highlight w:val="none"/>
          <w:u w:val="none"/>
        </w:rPr>
      </w:pPr>
      <w:r>
        <w:rPr>
          <w:rFonts w:hint="eastAsia" w:asciiTheme="minorEastAsia" w:hAnsiTheme="minorEastAsia" w:cstheme="minorEastAsia"/>
          <w:color w:val="auto"/>
          <w:sz w:val="21"/>
          <w:szCs w:val="21"/>
          <w:highlight w:val="none"/>
          <w:lang w:eastAsia="zh-CN"/>
        </w:rPr>
        <w:t>一、</w:t>
      </w:r>
      <w:r>
        <w:rPr>
          <w:rFonts w:hint="eastAsia" w:asciiTheme="minorEastAsia" w:hAnsiTheme="minorEastAsia" w:eastAsiaTheme="minorEastAsia" w:cstheme="minorEastAsia"/>
          <w:color w:val="auto"/>
          <w:sz w:val="21"/>
          <w:szCs w:val="21"/>
          <w:highlight w:val="none"/>
        </w:rPr>
        <w:t>“实质性要求”是指招标文件中已经指明不满足则投标无效的条款，或者不能负偏离的条款，或者采购需求中带“▲”的条款。</w:t>
      </w:r>
      <w:r>
        <w:rPr>
          <w:rFonts w:hint="eastAsia" w:asciiTheme="minorEastAsia" w:hAnsiTheme="minorEastAsia" w:eastAsiaTheme="minorEastAsia" w:cstheme="minorEastAsia"/>
          <w:b/>
          <w:bCs w:val="0"/>
          <w:color w:val="auto"/>
          <w:spacing w:val="-6"/>
          <w:sz w:val="21"/>
          <w:szCs w:val="21"/>
          <w:highlight w:val="none"/>
          <w:u w:val="none"/>
        </w:rPr>
        <w:t>本项目“主要技术参数及性能要求”</w:t>
      </w:r>
      <w:r>
        <w:rPr>
          <w:rFonts w:hint="eastAsia" w:asciiTheme="minorEastAsia" w:hAnsiTheme="minorEastAsia" w:cstheme="minorEastAsia"/>
          <w:b/>
          <w:bCs w:val="0"/>
          <w:color w:val="auto"/>
          <w:spacing w:val="-6"/>
          <w:sz w:val="21"/>
          <w:szCs w:val="21"/>
          <w:highlight w:val="none"/>
          <w:u w:val="none"/>
          <w:lang w:eastAsia="zh-CN"/>
        </w:rPr>
        <w:t>、</w:t>
      </w:r>
      <w:r>
        <w:rPr>
          <w:rFonts w:hint="eastAsia" w:asciiTheme="minorEastAsia" w:hAnsiTheme="minorEastAsia" w:eastAsiaTheme="minorEastAsia" w:cstheme="minorEastAsia"/>
          <w:b/>
          <w:bCs w:val="0"/>
          <w:color w:val="auto"/>
          <w:spacing w:val="-6"/>
          <w:sz w:val="21"/>
          <w:szCs w:val="21"/>
          <w:highlight w:val="none"/>
          <w:u w:val="none"/>
        </w:rPr>
        <w:t>“商务要求”</w:t>
      </w:r>
      <w:r>
        <w:rPr>
          <w:rFonts w:hint="eastAsia" w:asciiTheme="minorEastAsia" w:hAnsiTheme="minorEastAsia" w:cstheme="minorEastAsia"/>
          <w:b/>
          <w:bCs w:val="0"/>
          <w:color w:val="auto"/>
          <w:spacing w:val="-6"/>
          <w:sz w:val="21"/>
          <w:szCs w:val="21"/>
          <w:highlight w:val="none"/>
          <w:u w:val="none"/>
          <w:lang w:eastAsia="zh-CN"/>
        </w:rPr>
        <w:t>及</w:t>
      </w:r>
      <w:r>
        <w:rPr>
          <w:rFonts w:hint="eastAsia" w:asciiTheme="minorEastAsia" w:hAnsiTheme="minorEastAsia" w:eastAsiaTheme="minorEastAsia" w:cstheme="minorEastAsia"/>
          <w:b/>
          <w:bCs w:val="0"/>
          <w:color w:val="auto"/>
          <w:spacing w:val="-6"/>
          <w:sz w:val="21"/>
          <w:szCs w:val="21"/>
          <w:highlight w:val="none"/>
          <w:u w:val="none"/>
        </w:rPr>
        <w:t>其他标注“▲”的事项或说明中凡标注“▲”的条款或要求，投标人不响应或不满足的，投标文件作无效处理。</w:t>
      </w:r>
    </w:p>
    <w:p>
      <w:pPr>
        <w:pStyle w:val="10"/>
        <w:keepNext w:val="0"/>
        <w:keepLines w:val="0"/>
        <w:pageBreakBefore w:val="0"/>
        <w:widowControl w:val="0"/>
        <w:kinsoku/>
        <w:wordWrap/>
        <w:overflowPunct/>
        <w:topLinePunct w:val="0"/>
        <w:bidi w:val="0"/>
        <w:snapToGrid/>
        <w:spacing w:line="360" w:lineRule="exact"/>
        <w:ind w:firstLine="421" w:firstLineChars="200"/>
        <w:textAlignment w:val="auto"/>
        <w:rPr>
          <w:rFonts w:hint="eastAsia" w:asciiTheme="minorEastAsia" w:hAnsiTheme="minorEastAsia" w:eastAsiaTheme="minorEastAsia" w:cstheme="minorEastAsia"/>
          <w:b/>
          <w:bCs w:val="0"/>
          <w:color w:val="auto"/>
          <w:kern w:val="2"/>
          <w:sz w:val="21"/>
          <w:szCs w:val="21"/>
          <w:highlight w:val="none"/>
          <w:u w:val="none"/>
        </w:rPr>
      </w:pPr>
      <w:r>
        <w:rPr>
          <w:rFonts w:hint="eastAsia" w:asciiTheme="minorEastAsia" w:hAnsiTheme="minorEastAsia" w:cstheme="minorEastAsia"/>
          <w:b/>
          <w:bCs w:val="0"/>
          <w:color w:val="auto"/>
          <w:kern w:val="2"/>
          <w:sz w:val="21"/>
          <w:szCs w:val="21"/>
          <w:highlight w:val="none"/>
          <w:u w:val="none"/>
          <w:lang w:eastAsia="zh-CN"/>
        </w:rPr>
        <w:t>二、</w:t>
      </w:r>
      <w:r>
        <w:rPr>
          <w:rFonts w:hint="eastAsia" w:asciiTheme="minorEastAsia" w:hAnsiTheme="minorEastAsia" w:eastAsiaTheme="minorEastAsia" w:cstheme="minorEastAsia"/>
          <w:b/>
          <w:bCs w:val="0"/>
          <w:color w:val="auto"/>
          <w:kern w:val="2"/>
          <w:sz w:val="21"/>
          <w:szCs w:val="21"/>
          <w:highlight w:val="none"/>
          <w:u w:val="none"/>
        </w:rPr>
        <w:t>本项目下列采购需求表中，若有要求提供证明文件材料或承诺书的，在《技术响应表》或《商务响应表》中</w:t>
      </w:r>
      <w:r>
        <w:rPr>
          <w:rFonts w:hint="eastAsia" w:asciiTheme="minorEastAsia" w:hAnsiTheme="minorEastAsia" w:cstheme="minorEastAsia"/>
          <w:b/>
          <w:bCs w:val="0"/>
          <w:color w:val="auto"/>
          <w:kern w:val="2"/>
          <w:sz w:val="21"/>
          <w:szCs w:val="21"/>
          <w:highlight w:val="none"/>
          <w:u w:val="none"/>
          <w:lang w:eastAsia="zh-CN"/>
        </w:rPr>
        <w:t>响应</w:t>
      </w:r>
      <w:r>
        <w:rPr>
          <w:rFonts w:hint="eastAsia" w:asciiTheme="minorEastAsia" w:hAnsiTheme="minorEastAsia" w:eastAsiaTheme="minorEastAsia" w:cstheme="minorEastAsia"/>
          <w:b/>
          <w:bCs w:val="0"/>
          <w:color w:val="auto"/>
          <w:kern w:val="2"/>
          <w:sz w:val="21"/>
          <w:szCs w:val="21"/>
          <w:highlight w:val="none"/>
          <w:u w:val="none"/>
        </w:rPr>
        <w:t>时，请同时注明相关文件材料或承诺书在投标文件中放置的页码。</w:t>
      </w:r>
    </w:p>
    <w:p>
      <w:pPr>
        <w:pStyle w:val="10"/>
        <w:keepNext w:val="0"/>
        <w:keepLines w:val="0"/>
        <w:pageBreakBefore w:val="0"/>
        <w:widowControl w:val="0"/>
        <w:kinsoku/>
        <w:wordWrap/>
        <w:overflowPunct/>
        <w:topLinePunct w:val="0"/>
        <w:bidi w:val="0"/>
        <w:snapToGrid/>
        <w:spacing w:line="360" w:lineRule="exact"/>
        <w:ind w:firstLine="421" w:firstLineChars="200"/>
        <w:textAlignment w:val="auto"/>
        <w:rPr>
          <w:rFonts w:hint="eastAsia" w:asciiTheme="minorEastAsia" w:hAnsiTheme="minorEastAsia" w:eastAsiaTheme="minorEastAsia" w:cstheme="minorEastAsia"/>
          <w:b/>
          <w:bCs w:val="0"/>
          <w:color w:val="auto"/>
          <w:kern w:val="2"/>
          <w:sz w:val="21"/>
          <w:szCs w:val="21"/>
          <w:highlight w:val="none"/>
          <w:u w:val="none"/>
        </w:rPr>
      </w:pPr>
      <w:r>
        <w:rPr>
          <w:rFonts w:hint="eastAsia" w:asciiTheme="minorEastAsia" w:hAnsiTheme="minorEastAsia" w:cstheme="minorEastAsia"/>
          <w:b/>
          <w:bCs w:val="0"/>
          <w:color w:val="auto"/>
          <w:kern w:val="2"/>
          <w:sz w:val="21"/>
          <w:szCs w:val="21"/>
          <w:highlight w:val="none"/>
          <w:u w:val="none"/>
          <w:lang w:eastAsia="zh-CN"/>
        </w:rPr>
        <w:t>三、</w:t>
      </w:r>
      <w:r>
        <w:rPr>
          <w:rFonts w:hint="eastAsia" w:asciiTheme="minorEastAsia" w:hAnsiTheme="minorEastAsia" w:eastAsiaTheme="minorEastAsia" w:cstheme="minorEastAsia"/>
          <w:b/>
          <w:bCs w:val="0"/>
          <w:color w:val="auto"/>
          <w:kern w:val="2"/>
          <w:sz w:val="21"/>
          <w:szCs w:val="21"/>
          <w:highlight w:val="none"/>
          <w:u w:val="none"/>
        </w:rPr>
        <w:t>投标人对所投产品的技术指标</w:t>
      </w:r>
      <w:r>
        <w:rPr>
          <w:rFonts w:hint="eastAsia" w:asciiTheme="minorEastAsia" w:hAnsiTheme="minorEastAsia" w:cstheme="minorEastAsia"/>
          <w:b/>
          <w:bCs w:val="0"/>
          <w:color w:val="auto"/>
          <w:kern w:val="2"/>
          <w:sz w:val="21"/>
          <w:szCs w:val="21"/>
          <w:highlight w:val="none"/>
          <w:u w:val="none"/>
          <w:lang w:eastAsia="zh-CN"/>
        </w:rPr>
        <w:t>要</w:t>
      </w:r>
      <w:r>
        <w:rPr>
          <w:rFonts w:hint="eastAsia" w:asciiTheme="minorEastAsia" w:hAnsiTheme="minorEastAsia" w:eastAsiaTheme="minorEastAsia" w:cstheme="minorEastAsia"/>
          <w:b/>
          <w:bCs w:val="0"/>
          <w:color w:val="auto"/>
          <w:kern w:val="2"/>
          <w:sz w:val="21"/>
          <w:szCs w:val="21"/>
          <w:highlight w:val="none"/>
          <w:u w:val="none"/>
        </w:rPr>
        <w:t>做到真实响应，如发现有虚假应标情形的，除投标无效外，还将报财政监管部门处理。投标人提供假冒伪劣产品的，将依照政府采购法第七十七条第一款的规定追究法律责任。</w:t>
      </w:r>
    </w:p>
    <w:p>
      <w:pPr>
        <w:keepNext w:val="0"/>
        <w:keepLines w:val="0"/>
        <w:pageBreakBefore w:val="0"/>
        <w:widowControl w:val="0"/>
        <w:kinsoku/>
        <w:wordWrap/>
        <w:overflowPunct/>
        <w:topLinePunct w:val="0"/>
        <w:autoSpaceDE/>
        <w:autoSpaceDN/>
        <w:bidi w:val="0"/>
        <w:adjustRightInd/>
        <w:snapToGrid/>
        <w:spacing w:line="360" w:lineRule="exact"/>
        <w:ind w:left="6" w:firstLine="431"/>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四、按</w:t>
      </w:r>
      <w:r>
        <w:rPr>
          <w:rFonts w:hint="eastAsia" w:ascii="宋体" w:hAnsi="宋体" w:eastAsia="宋体" w:cs="宋体"/>
          <w:b w:val="0"/>
          <w:bCs w:val="0"/>
          <w:color w:val="auto"/>
          <w:sz w:val="21"/>
          <w:szCs w:val="21"/>
          <w:highlight w:val="none"/>
        </w:rPr>
        <w:t>《关于印发中小企业划型标准规定的通知》（工信部联企业[2011]300号）</w:t>
      </w:r>
      <w:r>
        <w:rPr>
          <w:rFonts w:hint="eastAsia" w:ascii="宋体" w:hAnsi="宋体" w:eastAsia="宋体" w:cs="宋体"/>
          <w:b w:val="0"/>
          <w:bCs w:val="0"/>
          <w:color w:val="auto"/>
          <w:sz w:val="21"/>
          <w:szCs w:val="21"/>
          <w:highlight w:val="none"/>
          <w:lang w:eastAsia="zh-CN"/>
        </w:rPr>
        <w:t>依据</w:t>
      </w:r>
      <w:r>
        <w:rPr>
          <w:rFonts w:hint="eastAsia" w:ascii="宋体" w:hAnsi="宋体" w:eastAsia="宋体" w:cs="宋体"/>
          <w:b w:val="0"/>
          <w:bCs w:val="0"/>
          <w:color w:val="auto"/>
          <w:sz w:val="21"/>
          <w:szCs w:val="21"/>
          <w:highlight w:val="none"/>
        </w:rPr>
        <w:t>划分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 xml:space="preserve">本项目标的所属行业均为：工业 </w:t>
      </w:r>
      <w:r>
        <w:rPr>
          <w:rFonts w:hint="eastAsia" w:ascii="宋体" w:hAnsi="宋体" w:eastAsia="宋体" w:cs="宋体"/>
          <w:b w:val="0"/>
          <w:bCs w:val="0"/>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6" w:firstLine="431"/>
        <w:jc w:val="left"/>
        <w:textAlignment w:val="auto"/>
        <w:rPr>
          <w:b w:val="0"/>
          <w:bCs w:val="0"/>
          <w:color w:val="auto"/>
          <w:highlight w:val="none"/>
        </w:rPr>
      </w:pP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本项目采购</w:t>
      </w:r>
      <w:r>
        <w:rPr>
          <w:rFonts w:hint="eastAsia" w:ascii="宋体" w:hAnsi="宋体" w:eastAsia="宋体" w:cs="宋体"/>
          <w:b w:val="0"/>
          <w:bCs w:val="0"/>
          <w:color w:val="auto"/>
          <w:sz w:val="21"/>
          <w:szCs w:val="21"/>
          <w:highlight w:val="none"/>
          <w:lang w:eastAsia="zh-CN"/>
        </w:rPr>
        <w:t>总</w:t>
      </w:r>
      <w:r>
        <w:rPr>
          <w:rFonts w:hint="eastAsia" w:ascii="宋体" w:hAnsi="宋体" w:eastAsia="宋体" w:cs="宋体"/>
          <w:b w:val="0"/>
          <w:bCs w:val="0"/>
          <w:color w:val="auto"/>
          <w:sz w:val="21"/>
          <w:szCs w:val="21"/>
          <w:highlight w:val="none"/>
        </w:rPr>
        <w:t>预算：2954</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0538</w:t>
      </w:r>
      <w:r>
        <w:rPr>
          <w:rFonts w:hint="eastAsia" w:ascii="宋体" w:hAnsi="宋体" w:eastAsia="宋体" w:cs="宋体"/>
          <w:b w:val="0"/>
          <w:bCs w:val="0"/>
          <w:color w:val="auto"/>
          <w:sz w:val="21"/>
          <w:szCs w:val="21"/>
          <w:highlight w:val="none"/>
          <w:lang w:eastAsia="zh-CN"/>
        </w:rPr>
        <w:t>万</w:t>
      </w:r>
      <w:r>
        <w:rPr>
          <w:rFonts w:hint="eastAsia" w:ascii="宋体" w:hAnsi="宋体" w:eastAsia="宋体" w:cs="宋体"/>
          <w:b w:val="0"/>
          <w:bCs w:val="0"/>
          <w:color w:val="auto"/>
          <w:sz w:val="21"/>
          <w:szCs w:val="21"/>
          <w:highlight w:val="none"/>
        </w:rPr>
        <w:t>元。</w:t>
      </w:r>
    </w:p>
    <w:p>
      <w:pPr>
        <w:pStyle w:val="11"/>
        <w:keepNext w:val="0"/>
        <w:keepLines w:val="0"/>
        <w:pageBreakBefore w:val="0"/>
        <w:widowControl w:val="0"/>
        <w:kinsoku/>
        <w:wordWrap/>
        <w:overflowPunct/>
        <w:topLinePunct w:val="0"/>
        <w:bidi w:val="0"/>
        <w:snapToGrid/>
        <w:spacing w:before="0" w:after="0" w:line="360" w:lineRule="exact"/>
        <w:ind w:firstLine="421"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六、本项目投标人可选择其中一个分标参与投标，也可选择多个分标参与投标，选择多个分标参与投标的，一个投标人只能中分标1、分标2、分标3</w:t>
      </w:r>
      <w:r>
        <w:rPr>
          <w:rFonts w:hint="eastAsia" w:hAnsi="宋体" w:cs="宋体"/>
          <w:b/>
          <w:bCs/>
          <w:color w:val="auto"/>
          <w:kern w:val="2"/>
          <w:sz w:val="21"/>
          <w:szCs w:val="21"/>
          <w:highlight w:val="none"/>
          <w:lang w:val="en-US" w:eastAsia="zh-CN" w:bidi="ar-SA"/>
        </w:rPr>
        <w:t>的</w:t>
      </w:r>
      <w:r>
        <w:rPr>
          <w:rFonts w:hint="eastAsia" w:ascii="宋体" w:hAnsi="宋体" w:eastAsia="宋体" w:cs="宋体"/>
          <w:b/>
          <w:bCs/>
          <w:color w:val="auto"/>
          <w:kern w:val="2"/>
          <w:sz w:val="21"/>
          <w:szCs w:val="21"/>
          <w:highlight w:val="none"/>
          <w:lang w:val="en-US" w:eastAsia="zh-CN" w:bidi="ar-SA"/>
        </w:rPr>
        <w:t>其中一个分标（即分标1、分标2、分标3的投标人不能重复中标，只能成为其中一个分标的中标人</w:t>
      </w:r>
      <w:r>
        <w:rPr>
          <w:rFonts w:hint="eastAsia" w:hAnsi="宋体" w:cs="宋体"/>
          <w:b/>
          <w:bCs/>
          <w:color w:val="auto"/>
          <w:kern w:val="2"/>
          <w:sz w:val="21"/>
          <w:szCs w:val="21"/>
          <w:highlight w:val="none"/>
          <w:lang w:val="en-US" w:eastAsia="zh-CN" w:bidi="ar-SA"/>
        </w:rPr>
        <w:t>）</w:t>
      </w:r>
      <w:r>
        <w:rPr>
          <w:rFonts w:hint="eastAsia" w:ascii="宋体" w:hAnsi="宋体" w:eastAsia="宋体" w:cs="宋体"/>
          <w:b/>
          <w:bCs/>
          <w:color w:val="auto"/>
          <w:kern w:val="2"/>
          <w:sz w:val="21"/>
          <w:szCs w:val="21"/>
          <w:highlight w:val="none"/>
          <w:lang w:val="en-US" w:eastAsia="zh-CN" w:bidi="ar-SA"/>
        </w:rPr>
        <w:t>；在遵循</w:t>
      </w:r>
      <w:r>
        <w:rPr>
          <w:rFonts w:hint="eastAsia" w:hAnsi="宋体" w:cs="宋体"/>
          <w:b/>
          <w:bCs/>
          <w:color w:val="auto"/>
          <w:kern w:val="2"/>
          <w:sz w:val="21"/>
          <w:szCs w:val="21"/>
          <w:highlight w:val="none"/>
          <w:lang w:val="en-US" w:eastAsia="zh-CN" w:bidi="ar-SA"/>
        </w:rPr>
        <w:t>前</w:t>
      </w:r>
      <w:r>
        <w:rPr>
          <w:rFonts w:hint="eastAsia" w:ascii="宋体" w:hAnsi="宋体" w:eastAsia="宋体" w:cs="宋体"/>
          <w:b/>
          <w:bCs/>
          <w:color w:val="auto"/>
          <w:kern w:val="2"/>
          <w:sz w:val="21"/>
          <w:szCs w:val="21"/>
          <w:highlight w:val="none"/>
          <w:lang w:val="en-US" w:eastAsia="zh-CN" w:bidi="ar-SA"/>
        </w:rPr>
        <w:t>述原则的基础上，分标1、分标2、分标3的第一中标候选人可以兼中分标4。</w:t>
      </w:r>
    </w:p>
    <w:p>
      <w:pPr>
        <w:pStyle w:val="11"/>
        <w:keepNext w:val="0"/>
        <w:keepLines w:val="0"/>
        <w:pageBreakBefore w:val="0"/>
        <w:widowControl w:val="0"/>
        <w:kinsoku/>
        <w:wordWrap/>
        <w:overflowPunct/>
        <w:topLinePunct w:val="0"/>
        <w:bidi w:val="0"/>
        <w:snapToGrid/>
        <w:spacing w:before="0" w:after="0" w:line="360" w:lineRule="exact"/>
        <w:ind w:firstLine="421" w:firstLineChars="20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由评标委员会根据分标1至分标4各投标人</w:t>
      </w:r>
      <w:r>
        <w:rPr>
          <w:rFonts w:hint="eastAsia" w:hAnsi="宋体" w:cs="宋体"/>
          <w:b/>
          <w:bCs/>
          <w:color w:val="auto"/>
          <w:kern w:val="2"/>
          <w:sz w:val="21"/>
          <w:szCs w:val="21"/>
          <w:highlight w:val="none"/>
          <w:lang w:val="en-US" w:eastAsia="zh-CN" w:bidi="ar-SA"/>
        </w:rPr>
        <w:t>的</w:t>
      </w:r>
      <w:r>
        <w:rPr>
          <w:rFonts w:hint="eastAsia" w:ascii="宋体" w:hAnsi="宋体" w:eastAsia="宋体" w:cs="宋体"/>
          <w:b/>
          <w:bCs/>
          <w:color w:val="auto"/>
          <w:kern w:val="2"/>
          <w:sz w:val="21"/>
          <w:szCs w:val="21"/>
          <w:highlight w:val="none"/>
          <w:lang w:val="en-US" w:eastAsia="zh-CN" w:bidi="ar-SA"/>
        </w:rPr>
        <w:t>综合得分由高到低进行排名，并按分标1→分标2→分标3→分标4的顺序推荐各分标的第一中标候选人。</w:t>
      </w:r>
    </w:p>
    <w:p>
      <w:pPr>
        <w:pStyle w:val="15"/>
        <w:rPr>
          <w:rFonts w:hint="eastAsia"/>
          <w:color w:val="auto"/>
          <w:highlight w:val="none"/>
          <w:lang w:eastAsia="zh-CN"/>
        </w:rPr>
      </w:pPr>
    </w:p>
    <w:p>
      <w:pPr>
        <w:ind w:left="6" w:firstLine="431"/>
        <w:jc w:val="center"/>
        <w:rPr>
          <w:rFonts w:hint="eastAsia" w:ascii="宋体" w:hAnsi="宋体" w:eastAsia="宋体" w:cs="宋体"/>
          <w:b/>
          <w:bCs/>
          <w:color w:val="auto"/>
          <w:sz w:val="21"/>
          <w:szCs w:val="21"/>
          <w:highlight w:val="none"/>
        </w:rPr>
      </w:pPr>
    </w:p>
    <w:p>
      <w:pPr>
        <w:keepNext w:val="0"/>
        <w:keepLines w:val="0"/>
        <w:pageBreakBefore w:val="0"/>
        <w:widowControl/>
        <w:kinsoku/>
        <w:wordWrap/>
        <w:overflowPunct/>
        <w:topLinePunct w:val="0"/>
        <w:autoSpaceDE/>
        <w:autoSpaceDN/>
        <w:bidi w:val="0"/>
        <w:adjustRightInd/>
        <w:snapToGrid/>
        <w:spacing w:line="400" w:lineRule="exact"/>
        <w:jc w:val="left"/>
        <w:textAlignment w:val="bottom"/>
        <w:rPr>
          <w:rFonts w:hint="eastAsia" w:ascii="宋体" w:hAnsi="宋体" w:eastAsia="宋体" w:cs="宋体"/>
          <w:color w:val="auto"/>
          <w:kern w:val="0"/>
          <w:sz w:val="28"/>
          <w:szCs w:val="28"/>
          <w:highlight w:val="none"/>
          <w:lang w:bidi="ar"/>
        </w:rPr>
      </w:pPr>
    </w:p>
    <w:p>
      <w:pPr>
        <w:spacing w:line="360" w:lineRule="exact"/>
        <w:ind w:firstLine="413" w:firstLineChars="147"/>
        <w:jc w:val="left"/>
        <w:rPr>
          <w:rFonts w:ascii="宋体" w:hAnsi="宋体"/>
          <w:b/>
          <w:color w:val="auto"/>
          <w:sz w:val="28"/>
          <w:szCs w:val="28"/>
          <w:highlight w:val="none"/>
        </w:rPr>
      </w:pPr>
      <w:r>
        <w:rPr>
          <w:rFonts w:hint="eastAsia" w:ascii="宋体" w:hAnsi="宋体"/>
          <w:b/>
          <w:color w:val="auto"/>
          <w:sz w:val="28"/>
          <w:szCs w:val="28"/>
          <w:highlight w:val="none"/>
          <w:u w:val="single"/>
        </w:rPr>
        <w:t>分标1</w:t>
      </w:r>
      <w:r>
        <w:rPr>
          <w:rFonts w:hint="eastAsia" w:ascii="宋体" w:hAnsi="宋体"/>
          <w:b/>
          <w:color w:val="auto"/>
          <w:sz w:val="28"/>
          <w:szCs w:val="28"/>
          <w:highlight w:val="none"/>
        </w:rPr>
        <w:t xml:space="preserve">    采购预算：</w:t>
      </w:r>
      <w:r>
        <w:rPr>
          <w:rFonts w:hint="eastAsia" w:ascii="宋体" w:hAnsi="宋体"/>
          <w:b/>
          <w:color w:val="auto"/>
          <w:sz w:val="28"/>
          <w:szCs w:val="28"/>
          <w:highlight w:val="none"/>
          <w:u w:val="single"/>
          <w:lang w:val="en-US" w:eastAsia="zh-CN"/>
        </w:rPr>
        <w:t>1153.80</w:t>
      </w:r>
      <w:r>
        <w:rPr>
          <w:rFonts w:hint="eastAsia" w:ascii="宋体" w:hAnsi="宋体"/>
          <w:b/>
          <w:color w:val="auto"/>
          <w:sz w:val="28"/>
          <w:szCs w:val="28"/>
          <w:highlight w:val="none"/>
        </w:rPr>
        <w:t>万元</w:t>
      </w:r>
    </w:p>
    <w:tbl>
      <w:tblPr>
        <w:tblStyle w:val="20"/>
        <w:tblW w:w="485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0"/>
        <w:gridCol w:w="784"/>
        <w:gridCol w:w="543"/>
        <w:gridCol w:w="1077"/>
        <w:gridCol w:w="769"/>
        <w:gridCol w:w="54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132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color w:val="auto"/>
                <w:kern w:val="0"/>
                <w:highlight w:val="none"/>
              </w:rPr>
              <w:t>货物名称</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数量</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单位</w:t>
            </w:r>
          </w:p>
        </w:tc>
        <w:tc>
          <w:tcPr>
            <w:tcW w:w="5497"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bCs/>
                <w:color w:val="auto"/>
                <w:highlight w:val="none"/>
              </w:rPr>
              <w:t>主要技术参数及性能要求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327" w:type="dxa"/>
            <w:gridSpan w:val="2"/>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三价流感病毒裂解疫苗（一）</w:t>
            </w:r>
          </w:p>
        </w:tc>
        <w:tc>
          <w:tcPr>
            <w:tcW w:w="107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1282000</w:t>
            </w:r>
          </w:p>
        </w:tc>
        <w:tc>
          <w:tcPr>
            <w:tcW w:w="769"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color w:val="auto"/>
                <w:szCs w:val="21"/>
                <w:highlight w:val="none"/>
              </w:rPr>
            </w:pPr>
            <w:r>
              <w:rPr>
                <w:rFonts w:hint="eastAsia" w:ascii="宋体" w:hAnsi="宋体"/>
                <w:color w:val="auto"/>
                <w:szCs w:val="21"/>
                <w:highlight w:val="none"/>
                <w:lang w:val="en-US" w:eastAsia="zh-CN"/>
              </w:rPr>
              <w:t>支</w:t>
            </w:r>
          </w:p>
        </w:tc>
        <w:tc>
          <w:tcPr>
            <w:tcW w:w="549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textAlignment w:val="top"/>
              <w:rPr>
                <w:rFonts w:hint="eastAsia"/>
              </w:rPr>
            </w:pPr>
            <w:r>
              <w:rPr>
                <w:rFonts w:hint="eastAsia"/>
              </w:rPr>
              <w:t>▲1.规格：0.5m</w:t>
            </w:r>
            <w:r>
              <w:rPr>
                <w:rFonts w:hint="eastAsia"/>
                <w:lang w:val="en-US" w:eastAsia="zh-CN"/>
              </w:rPr>
              <w:t>L</w:t>
            </w:r>
            <w:r>
              <w:rPr>
                <w:rFonts w:hint="eastAsia"/>
              </w:rPr>
              <w:t>/支，每1次人用剂量为0.5m</w:t>
            </w:r>
            <w:r>
              <w:rPr>
                <w:rFonts w:hint="eastAsia"/>
                <w:lang w:val="en-US" w:eastAsia="zh-CN"/>
              </w:rPr>
              <w:t>L</w:t>
            </w:r>
            <w:r>
              <w:rPr>
                <w:rFonts w:hint="eastAsia"/>
              </w:rPr>
              <w:t>，含各型流感病毒株血凝素应为15μg。</w:t>
            </w:r>
          </w:p>
          <w:p>
            <w:pPr>
              <w:widowControl/>
              <w:numPr>
                <w:ilvl w:val="0"/>
                <w:numId w:val="0"/>
              </w:numPr>
              <w:spacing w:line="360" w:lineRule="exact"/>
              <w:textAlignment w:val="top"/>
              <w:rPr>
                <w:rFonts w:hint="eastAsia"/>
              </w:rPr>
            </w:pPr>
            <w:r>
              <w:rPr>
                <w:rFonts w:hint="eastAsia"/>
                <w:lang w:val="en-US" w:eastAsia="zh-CN"/>
              </w:rPr>
              <w:t>2.</w:t>
            </w:r>
            <w:r>
              <w:rPr>
                <w:rFonts w:hint="eastAsia"/>
              </w:rPr>
              <w:t>外观：应为微乳白色液体，无异物。</w:t>
            </w:r>
          </w:p>
          <w:p>
            <w:pPr>
              <w:widowControl/>
              <w:numPr>
                <w:ilvl w:val="0"/>
                <w:numId w:val="0"/>
              </w:numPr>
              <w:spacing w:line="360" w:lineRule="exact"/>
              <w:textAlignment w:val="top"/>
              <w:rPr>
                <w:rFonts w:hint="eastAsia"/>
              </w:rPr>
            </w:pPr>
            <w:r>
              <w:rPr>
                <w:rFonts w:hint="eastAsia"/>
              </w:rPr>
              <w:t>▲3.包装：预灌封注射器。</w:t>
            </w:r>
          </w:p>
          <w:p>
            <w:pPr>
              <w:widowControl/>
              <w:spacing w:line="360" w:lineRule="exact"/>
              <w:textAlignment w:val="top"/>
              <w:rPr>
                <w:rFonts w:hint="eastAsia"/>
              </w:rPr>
            </w:pPr>
            <w:r>
              <w:rPr>
                <w:rFonts w:hint="eastAsia"/>
              </w:rPr>
              <w:t>4.接种对象：3岁以上</w:t>
            </w:r>
            <w:r>
              <w:rPr>
                <w:rFonts w:hint="eastAsia"/>
                <w:lang w:val="en-US" w:eastAsia="zh-CN"/>
              </w:rPr>
              <w:t>人群</w:t>
            </w:r>
            <w:r>
              <w:rPr>
                <w:rFonts w:hint="eastAsia"/>
              </w:rPr>
              <w:t>。</w:t>
            </w:r>
          </w:p>
          <w:p>
            <w:pPr>
              <w:widowControl/>
              <w:spacing w:line="360" w:lineRule="exact"/>
              <w:textAlignment w:val="top"/>
              <w:rPr>
                <w:rFonts w:hint="eastAsia"/>
                <w:lang w:val="en-US" w:eastAsia="zh-CN"/>
              </w:rPr>
            </w:pPr>
            <w:r>
              <w:rPr>
                <w:rFonts w:hint="eastAsia"/>
                <w:lang w:val="en-US" w:eastAsia="zh-CN"/>
              </w:rPr>
              <w:t>5</w:t>
            </w:r>
            <w:r>
              <w:rPr>
                <w:rFonts w:hint="eastAsia"/>
              </w:rPr>
              <w:t>.</w:t>
            </w:r>
            <w:r>
              <w:rPr>
                <w:rFonts w:hint="eastAsia"/>
                <w:lang w:val="en-US" w:eastAsia="zh-CN"/>
              </w:rPr>
              <w:t>贮藏：于 2-8℃避光保存和运输。严禁冻结。</w:t>
            </w:r>
          </w:p>
          <w:p>
            <w:pPr>
              <w:widowControl/>
              <w:spacing w:line="360" w:lineRule="exact"/>
              <w:textAlignment w:val="top"/>
              <w:rPr>
                <w:rFonts w:hint="default"/>
                <w:lang w:val="en-US"/>
              </w:rPr>
            </w:pPr>
            <w:r>
              <w:rPr>
                <w:rFonts w:hint="eastAsia"/>
                <w:lang w:val="en-US" w:eastAsia="zh-CN"/>
              </w:rPr>
              <w:t>6.有效期：从送达交货地点并完成验收工作之日起，需保证疫苗剩余有效期不少于 6 个月。</w:t>
            </w:r>
          </w:p>
          <w:p>
            <w:pPr>
              <w:widowControl/>
              <w:spacing w:line="360" w:lineRule="exact"/>
              <w:textAlignment w:val="top"/>
              <w:rPr>
                <w:rFonts w:hint="eastAsia"/>
              </w:rPr>
            </w:pPr>
            <w:r>
              <w:rPr>
                <w:rFonts w:hint="eastAsia"/>
                <w:lang w:val="en-US" w:eastAsia="zh-CN"/>
              </w:rPr>
              <w:t>7</w:t>
            </w:r>
            <w:r>
              <w:rPr>
                <w:rFonts w:hint="eastAsia"/>
              </w:rPr>
              <w:t>.质量符合《中华人民共和国药典（2025年版）三部》的标准，</w:t>
            </w:r>
            <w:r>
              <w:rPr>
                <w:rFonts w:hint="eastAsia"/>
                <w:lang w:eastAsia="zh-CN"/>
              </w:rPr>
              <w:t>供货时</w:t>
            </w:r>
            <w:r>
              <w:rPr>
                <w:rFonts w:hint="eastAsia"/>
              </w:rPr>
              <w:t>提供质检报告等质量保证相关资料复印件。</w:t>
            </w:r>
          </w:p>
          <w:p>
            <w:pPr>
              <w:pStyle w:val="2"/>
              <w:spacing w:before="0" w:after="0" w:line="240" w:lineRule="auto"/>
              <w:ind w:firstLine="0" w:firstLineChars="0"/>
              <w:rPr>
                <w:rFonts w:hint="eastAsia" w:eastAsiaTheme="minorEastAsia"/>
                <w:lang w:eastAsia="zh-CN"/>
              </w:rPr>
            </w:pPr>
            <w:r>
              <w:rPr>
                <w:rFonts w:hint="eastAsia" w:asciiTheme="minorHAnsi" w:hAnsiTheme="minorHAnsi" w:eastAsiaTheme="minorEastAsia" w:cstheme="minorBidi"/>
                <w:bCs w:val="0"/>
                <w:caps w:val="0"/>
                <w:szCs w:val="24"/>
                <w:lang w:val="en-US" w:eastAsia="zh-CN"/>
              </w:rPr>
              <w:t>8.具体</w:t>
            </w:r>
            <w:r>
              <w:rPr>
                <w:rFonts w:hint="eastAsia" w:asciiTheme="minorHAnsi" w:hAnsiTheme="minorHAnsi" w:eastAsiaTheme="minorEastAsia" w:cstheme="minorBidi"/>
                <w:bCs w:val="0"/>
                <w:caps w:val="0"/>
                <w:szCs w:val="24"/>
              </w:rPr>
              <w:t>投标产品有效期内的生物制品批签发证明或2026年国家食品药品检定研究院或省级药品监督管理局接受检验回执</w:t>
            </w:r>
            <w:r>
              <w:rPr>
                <w:rFonts w:hint="eastAsia" w:asciiTheme="minorHAnsi" w:hAnsiTheme="minorHAnsi" w:eastAsiaTheme="minorEastAsia" w:cstheme="minorBidi"/>
                <w:bCs w:val="0"/>
                <w:caps w:val="0"/>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hint="eastAsia" w:ascii="宋体" w:hAnsi="宋体"/>
                <w:b/>
                <w:bCs/>
                <w:color w:val="auto"/>
                <w:szCs w:val="21"/>
                <w:highlight w:val="none"/>
              </w:rPr>
            </w:pPr>
            <w:r>
              <w:rPr>
                <w:rFonts w:hint="eastAsia" w:ascii="宋体" w:hAnsi="宋体"/>
                <w:b/>
                <w:color w:val="auto"/>
                <w:szCs w:val="21"/>
                <w:highlight w:val="none"/>
              </w:rPr>
              <w:t>一、商务要求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合同签订时间</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自中标通知书发出之日起25日内与采购人完成合同签订。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b/>
                <w:bCs/>
                <w:color w:val="auto"/>
                <w:szCs w:val="21"/>
                <w:highlight w:val="none"/>
              </w:rPr>
              <w:t>▲交付使用时间及地点</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1.交货时间：按采购人提供的供货计划分批供货，接到配送计划后由中标供应商在</w:t>
            </w:r>
            <w:r>
              <w:rPr>
                <w:rFonts w:hint="eastAsia" w:ascii="宋体" w:hAnsi="宋体"/>
                <w:color w:val="auto"/>
                <w:szCs w:val="21"/>
                <w:highlight w:val="none"/>
                <w:lang w:val="en-US" w:eastAsia="zh-CN"/>
              </w:rPr>
              <w:t>5</w:t>
            </w:r>
            <w:r>
              <w:rPr>
                <w:rFonts w:hint="eastAsia" w:ascii="宋体" w:hAnsi="宋体"/>
                <w:color w:val="auto"/>
                <w:szCs w:val="21"/>
                <w:highlight w:val="none"/>
              </w:rPr>
              <w:t>个工作日内配送到交货地点。</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2.交货地点：广西区内采购人指定地点；未验收前保管工作由中标供应商自行负责。</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3.中标供应商必须承担产品运输、验收检测和提供产品说明书等其他类似的义务。</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4.交货方式：现场交货。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b/>
                <w:bCs/>
                <w:color w:val="auto"/>
                <w:szCs w:val="21"/>
                <w:highlight w:val="none"/>
              </w:rPr>
              <w:t>▲质保期</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eastAsia="宋体" w:cs="Times New Roman"/>
                <w:color w:val="auto"/>
                <w:szCs w:val="21"/>
                <w:highlight w:val="none"/>
              </w:rPr>
              <w:t>自交货验收合格之日起有效期：≥</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个月。所送货品应明确标示批号、生产日期和有效期。从送达交货地点并完成验收工作之日起，投标人需保证疫苗剩余有效期不少于6个月，不符合要求的，采购人有权拒收。对近效期（≤</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个月）疫苗，采购人可根据情况要求进行退换货处理，替换的货物到达采购人指定地点时的有效期应≥6个月。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包装要求</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投标产品的包装及标识执行国家标准，标识中应标明产品名称、注册号、批号、成分、浓度、剂量、储存、温度、规格、失效期以及生产厂家名称、地址、联系电话等信息。</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投标产品包装应符合《生物制品包装规程》的标准，具有良好的密封性和防潮性，破损率低于国家规定标准。</w:t>
            </w:r>
          </w:p>
          <w:p>
            <w:pPr>
              <w:spacing w:line="360" w:lineRule="exact"/>
              <w:ind w:firstLine="421" w:firstLineChars="200"/>
              <w:rPr>
                <w:rFonts w:hint="eastAsia" w:ascii="宋体" w:hAnsi="宋体" w:eastAsia="宋体" w:cs="Times New Roman"/>
                <w:b/>
                <w:bCs/>
                <w:color w:val="auto"/>
                <w:szCs w:val="21"/>
                <w:highlight w:val="none"/>
              </w:rPr>
            </w:pPr>
            <w:r>
              <w:rPr>
                <w:rFonts w:hint="eastAsia" w:ascii="宋体" w:hAnsi="宋体"/>
                <w:b/>
                <w:bCs/>
                <w:color w:val="auto"/>
                <w:szCs w:val="21"/>
                <w:highlight w:val="none"/>
              </w:rPr>
              <w:t>▲</w:t>
            </w:r>
            <w:r>
              <w:rPr>
                <w:rFonts w:hint="eastAsia" w:ascii="宋体" w:hAnsi="宋体" w:cs="Times New Roman"/>
                <w:b/>
                <w:bCs/>
                <w:color w:val="auto"/>
                <w:szCs w:val="21"/>
                <w:highlight w:val="none"/>
                <w:lang w:val="en-US" w:eastAsia="zh-CN"/>
              </w:rPr>
              <w:t>3</w:t>
            </w:r>
            <w:r>
              <w:rPr>
                <w:rFonts w:hint="eastAsia" w:ascii="宋体" w:hAnsi="宋体" w:eastAsia="宋体" w:cs="Times New Roman"/>
                <w:b/>
                <w:bCs/>
                <w:color w:val="auto"/>
                <w:szCs w:val="21"/>
                <w:highlight w:val="none"/>
                <w:lang w:val="en-US" w:eastAsia="zh-CN"/>
              </w:rPr>
              <w:t>.</w:t>
            </w:r>
            <w:r>
              <w:rPr>
                <w:rFonts w:hint="eastAsia" w:ascii="宋体" w:hAnsi="宋体" w:eastAsia="宋体" w:cs="Times New Roman"/>
                <w:b/>
                <w:bCs/>
                <w:color w:val="auto"/>
                <w:szCs w:val="21"/>
                <w:highlight w:val="none"/>
              </w:rPr>
              <w:t>大包装指整箱，中包装指大包装里面的中盒，小包装指中包装里面每剂次（支或瓶）的包装盒。大、中、小包装均应印有批号（生产日期）、失效期</w:t>
            </w:r>
            <w:r>
              <w:rPr>
                <w:rFonts w:hint="eastAsia" w:ascii="宋体" w:hAnsi="宋体" w:eastAsia="宋体" w:cs="Times New Roman"/>
                <w:b/>
                <w:bCs/>
                <w:color w:val="auto"/>
                <w:szCs w:val="21"/>
                <w:highlight w:val="none"/>
                <w:lang w:eastAsia="zh-CN"/>
              </w:rPr>
              <w:t>、</w:t>
            </w:r>
            <w:r>
              <w:rPr>
                <w:rFonts w:hint="eastAsia" w:ascii="宋体" w:hAnsi="宋体" w:eastAsia="宋体" w:cs="Times New Roman"/>
                <w:b/>
                <w:bCs/>
                <w:color w:val="auto"/>
                <w:szCs w:val="21"/>
                <w:highlight w:val="none"/>
                <w:lang w:val="en-US" w:eastAsia="zh-CN"/>
              </w:rPr>
              <w:t>规格、包装规格、追溯码</w:t>
            </w:r>
            <w:r>
              <w:rPr>
                <w:rFonts w:hint="eastAsia" w:ascii="宋体" w:hAnsi="宋体" w:eastAsia="宋体" w:cs="Times New Roman"/>
                <w:b/>
                <w:bCs/>
                <w:color w:val="auto"/>
                <w:szCs w:val="21"/>
                <w:highlight w:val="none"/>
              </w:rPr>
              <w:t>等包装标识，大包装和中包装应印有或贴有“免费”字样。小包装应附中文使用说明书一份。</w:t>
            </w:r>
          </w:p>
          <w:p>
            <w:pPr>
              <w:spacing w:line="360" w:lineRule="exact"/>
              <w:ind w:firstLine="421" w:firstLineChars="200"/>
              <w:rPr>
                <w:rFonts w:hint="eastAsia" w:ascii="宋体" w:hAnsi="宋体"/>
                <w:color w:val="auto"/>
                <w:szCs w:val="21"/>
                <w:highlight w:val="none"/>
              </w:rPr>
            </w:pPr>
            <w:r>
              <w:rPr>
                <w:rFonts w:hint="eastAsia" w:ascii="宋体" w:hAnsi="宋体"/>
                <w:b/>
                <w:bCs/>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供应商应提供精确到疫苗最小包装的追溯码和对应的码源关系数据，并在货物到达采购人指定省、市或县级疾控中心前完成在国家疫苗追溯协同服务平台对应追溯码数据库的上传。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供货及运输</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1.采购人提出供货需求后供应商应在5个工作日内将货物运抵至采购人指定地点。</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2.储存和运输应符合《中华人民共和国疫苗管理法》《药品经营质量管理规范》《疫苗储存和运输管理规范》和《预防接种工作规范》的规定，采取有效措施保证储运过程中的疫苗质量，并提供疫苗储存及运输过程中的冷链监测数据。</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3.根据采购人的实际需求采用冷链设备将疫苗运抵至制定市或县级疾控中心（</w:t>
            </w:r>
            <w:r>
              <w:rPr>
                <w:rFonts w:hint="eastAsia" w:ascii="宋体" w:hAnsi="宋体" w:eastAsia="宋体" w:cs="宋体"/>
                <w:color w:val="auto"/>
                <w:sz w:val="21"/>
                <w:szCs w:val="21"/>
                <w:highlight w:val="none"/>
                <w:lang w:eastAsia="zh-CN"/>
              </w:rPr>
              <w:t>同时</w:t>
            </w:r>
            <w:r>
              <w:rPr>
                <w:rFonts w:hint="eastAsia" w:ascii="宋体" w:hAnsi="宋体" w:eastAsia="宋体" w:cs="宋体"/>
                <w:color w:val="auto"/>
                <w:sz w:val="21"/>
                <w:szCs w:val="21"/>
                <w:highlight w:val="none"/>
              </w:rPr>
              <w:t>提供货物清单、每个供货批次批签发证明文件和合格的检验报告等工作所需材料）。</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4.货物运送至市或县级疾控中心后，在3个工作日由成交供应商和采购人进行联合验收。货物的外包装应完整且符合储存运输要求。如不符合上述要求，采购人可拒绝接收。</w:t>
            </w:r>
          </w:p>
          <w:p>
            <w:pPr>
              <w:spacing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5.供应商供应本项目的疫苗批号需与供应广西的非免疫规划疫苗批号有区分，同批号疫苗不再作为非免疫规划疫苗销售到广西。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质量、安全性、有效性及稳定性要求</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供应商所提供的疫苗无质量相关的不良记录（指药品监督管理部门在日常监督检查过程中出具的任何与报价产品质量相关的处罚或通告，提供承诺函）。</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供应商所提供的疫苗具有国家药监局临床试验备案的医疗机构或者疾病预防控制机构出具的临床试验报告。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提供投标产品近3年（2023年1月-2025年12月）疑似预防接种异常反应（AEFI）监测数据和参与处理的投标产品疑似预防接种异常反应的相关报告数据（含AEFI监测数据与ADR反馈数据），报告数据包含但不仅限于不良反应类型、判定与依据、响应时间、处置过程等关键技术数据。</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投标人提供投标产品上市后Ⅳ期临床研究文献（《科学引文索引》期刊。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投标人提供投标产品上市后国内免疫原性、安全性研究和免疫持久性研究文献（《科学引文索引》期刊）。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投标人提供投标产品上市后与其他疫苗在目标人群中联合接种研究文献（《科学引文索引》期刊）。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投标人应对投标产品的开展热稳定性评价实验，提供疫苗稳定性试验结果及说明。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售后服务要求</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1.需确保疫苗的完整性。对于采购文件没有列出，而对疫苗的正常使用必不可少的且应属于疫苗需求配带的物品，成交供应商有责任给予补充。</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2.需承诺协助采购人处理疑似预防接种异常反应，并提供处理措施方案的人员配置和服务。</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▲3.属于预防接种异常反应或者不能排除的，由供应商参照《广西预防接种异常反应补偿办法》的补偿标准承担相应补偿费用（</w:t>
            </w:r>
            <w:r>
              <w:rPr>
                <w:rFonts w:hint="eastAsia" w:ascii="宋体" w:hAnsi="宋体" w:eastAsia="宋体" w:cs="宋体"/>
                <w:color w:val="auto"/>
                <w:sz w:val="21"/>
                <w:szCs w:val="21"/>
                <w:highlight w:val="none"/>
                <w:lang w:eastAsia="zh-CN"/>
              </w:rPr>
              <w:t>投标时</w:t>
            </w:r>
            <w:r>
              <w:rPr>
                <w:rFonts w:hint="eastAsia" w:ascii="宋体" w:hAnsi="宋体" w:eastAsia="宋体" w:cs="宋体"/>
                <w:color w:val="auto"/>
                <w:sz w:val="21"/>
                <w:szCs w:val="21"/>
                <w:highlight w:val="none"/>
              </w:rPr>
              <w:t>提供承诺函）。投标人应将投标产品的预防接种异常反应补偿纳入商业化保险，提供有效期内的保险合同。</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4.在合同执行过程中,供应商负责对临近、超过有效期或少液等其它在疫苗生产过程中形成的不合格的疫苗进行无条件更换或退回。</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产品提交给采购人后，采购人在质量保证期内有权要求国家药检部门对产品实施检验。由于产品质量问题要求回收产品时的费用及损失由投标人承担。若对产品质量出现争议，则中国食品药品检定研究院的检验报告具有强制约束力.</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应具有良好的售后服务能力和网络，应保证产品的及时供应，有专职人员动态监测产品销售、运输情况。投标人应提供有关其售后服务的信息，包括名称、建立时间、技术人员的数量、联系人和联系方式情况，以及采购人能在本项目下得到的有效的售后服务计划和承诺</w:t>
            </w:r>
          </w:p>
          <w:p>
            <w:pPr>
              <w:spacing w:line="360" w:lineRule="exact"/>
              <w:ind w:firstLine="420" w:firstLineChars="200"/>
              <w:rPr>
                <w:rFonts w:hint="eastAsia" w:ascii="宋体" w:hAnsi="宋体"/>
                <w:color w:val="auto"/>
                <w:szCs w:val="21"/>
                <w:highlight w:val="none"/>
              </w:rPr>
            </w:pPr>
            <w:r>
              <w:rPr>
                <w:rFonts w:hint="eastAsia" w:ascii="宋体" w:hAnsi="宋体" w:eastAsia="宋体" w:cs="宋体"/>
                <w:color w:val="auto"/>
                <w:sz w:val="21"/>
                <w:szCs w:val="21"/>
                <w:highlight w:val="none"/>
              </w:rPr>
              <w:t>7.提供应急供货实施方案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付款方式</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无预付款，</w:t>
            </w:r>
            <w:r>
              <w:rPr>
                <w:rFonts w:hint="eastAsia" w:ascii="宋体" w:hAnsi="宋体"/>
                <w:color w:val="auto"/>
                <w:szCs w:val="21"/>
                <w:highlight w:val="none"/>
                <w:lang w:eastAsia="zh-CN"/>
              </w:rPr>
              <w:t>按采购人供货需求分批供货，以实际供货量进行结算。</w:t>
            </w:r>
            <w:r>
              <w:rPr>
                <w:rFonts w:hint="eastAsia" w:ascii="宋体" w:hAnsi="宋体"/>
                <w:color w:val="auto"/>
                <w:szCs w:val="21"/>
                <w:highlight w:val="none"/>
              </w:rPr>
              <w:t>每批货物供货完毕并验收合格之日起15个工作日内，中标供应商开具请款函及发票给采购人，采购人在收到请款函及发票之日起10个工作日内支付该批货物合同款给中标供应商。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报价及要求</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人的投标报价为人民币含税价，本项目实行总价包干且为采购人指定地点的现场交货价。投标报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知识产权</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ind w:right="-57" w:rightChars="-27" w:firstLine="420" w:firstLineChars="200"/>
              <w:jc w:val="left"/>
              <w:rPr>
                <w:rFonts w:hint="eastAsia" w:ascii="宋体" w:hAnsi="宋体"/>
                <w:color w:val="auto"/>
                <w:szCs w:val="21"/>
                <w:highlight w:val="none"/>
              </w:rPr>
            </w:pPr>
            <w:r>
              <w:rPr>
                <w:rFonts w:hint="eastAsia" w:ascii="宋体" w:hAnsi="宋体"/>
                <w:color w:val="auto"/>
                <w:szCs w:val="21"/>
                <w:highlight w:val="none"/>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验收要求</w:t>
            </w:r>
          </w:p>
        </w:tc>
        <w:tc>
          <w:tcPr>
            <w:tcW w:w="7886"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1.采购人可以根据采购项目具体情况自行组织验收，或者委托第三方机构或部门开展采购项目履约验收工作，验收过程中所产生的费用均由中标人承担，投标人在投标报价时应考虑相关费用。</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2.在验收过程中发现中标人有违约问题，可暂缓资金结算，待违约问题解决后，方可办理资金结算事宜。</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3.验收依据：按合同（含本招标文件采购需求、中标供应商投标文件承诺）要求及国家标准进行验收。</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4.验收标准</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（1）中标供应商按采购人需求清单进行供货，货物交到指定地点后，</w:t>
            </w:r>
            <w:r>
              <w:rPr>
                <w:rFonts w:hint="eastAsia" w:hAnsi="宋体"/>
                <w:color w:val="auto"/>
                <w:sz w:val="21"/>
                <w:highlight w:val="none"/>
                <w:lang w:val="en-US" w:eastAsia="zh-CN"/>
              </w:rPr>
              <w:t>由采购人指定收货人及中标供应商</w:t>
            </w:r>
            <w:r>
              <w:rPr>
                <w:rFonts w:hint="eastAsia" w:hAnsi="宋体"/>
                <w:color w:val="auto"/>
                <w:sz w:val="21"/>
                <w:highlight w:val="none"/>
              </w:rPr>
              <w:t>双方现场进行货品清点。</w:t>
            </w:r>
            <w:r>
              <w:rPr>
                <w:rFonts w:hint="eastAsia" w:ascii="宋体" w:hAnsi="宋体" w:eastAsia="宋体" w:cs="Times New Roman"/>
                <w:color w:val="auto"/>
                <w:sz w:val="21"/>
                <w:highlight w:val="none"/>
              </w:rPr>
              <w:t>货物的外包装应牢固、完好，符合储存运输要求，相关资料齐全，疫苗效期满足约定要求。</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（2）供应商必须按投标文件和合同约定的品牌、规格供货，</w:t>
            </w:r>
            <w:r>
              <w:rPr>
                <w:rFonts w:hint="eastAsia" w:ascii="宋体" w:hAnsi="宋体" w:eastAsia="宋体" w:cs="Times New Roman"/>
                <w:color w:val="auto"/>
                <w:sz w:val="21"/>
                <w:highlight w:val="none"/>
              </w:rPr>
              <w:t>验收期间如发现货物有破损</w:t>
            </w:r>
            <w:r>
              <w:rPr>
                <w:rFonts w:hint="eastAsia" w:ascii="宋体" w:hAnsi="宋体" w:eastAsia="宋体" w:cs="Times New Roman"/>
                <w:color w:val="auto"/>
                <w:sz w:val="21"/>
                <w:highlight w:val="none"/>
                <w:lang w:val="en-US" w:eastAsia="zh-CN"/>
              </w:rPr>
              <w:t>或</w:t>
            </w:r>
            <w:r>
              <w:rPr>
                <w:rFonts w:hint="eastAsia" w:ascii="宋体" w:hAnsi="宋体" w:eastAsia="宋体" w:cs="Times New Roman"/>
                <w:color w:val="auto"/>
                <w:sz w:val="21"/>
                <w:highlight w:val="none"/>
              </w:rPr>
              <w:t>验收不合格时，中标供应商必须在采购人指定的时间</w:t>
            </w:r>
            <w:r>
              <w:rPr>
                <w:rFonts w:hint="eastAsia" w:hAnsi="宋体"/>
                <w:color w:val="auto"/>
                <w:sz w:val="21"/>
                <w:highlight w:val="none"/>
              </w:rPr>
              <w:t>内无条件更换，由此造成的损失和责任由供应商承担。货物交付并验收合格，双方签署验收单，作为合同款结算依据。</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（3）如有抽检要求的，检测结果应符合招标文件采购需求及采购合同约定的要求。</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（4）所有产品均已运输至指定地点。</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（5）招标文件采购需求及采购合同约定的附件、技术资料等齐全；提供产品使用说明书、合格证。</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5.验收要求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验收小组以项目采购文件及采购合同为验收依据，对供货产品技术参数核对检验，如不符合技术参数要求的，中标人承担所有责任和费用。采购人保留进一步追究责任的权利。</w:t>
            </w:r>
          </w:p>
          <w:p>
            <w:pPr>
              <w:pStyle w:val="14"/>
              <w:numPr>
                <w:ilvl w:val="0"/>
                <w:numId w:val="2"/>
              </w:numPr>
              <w:snapToGrid w:val="0"/>
              <w:spacing w:line="360" w:lineRule="exact"/>
              <w:outlineLvl w:val="0"/>
              <w:rPr>
                <w:rFonts w:hint="eastAsia" w:hAnsi="宋体"/>
                <w:color w:val="auto"/>
                <w:sz w:val="21"/>
                <w:highlight w:val="none"/>
              </w:rPr>
            </w:pPr>
            <w:r>
              <w:rPr>
                <w:rFonts w:hint="eastAsia" w:hAnsi="宋体"/>
                <w:color w:val="auto"/>
                <w:sz w:val="21"/>
                <w:highlight w:val="none"/>
              </w:rPr>
              <w:t>中标人按时间节点完成货物供货后，应及时整理技术资料并作出全面检查和整理，列出清单，作为采购人验收和使用的技术条件依据，清单应交给采购人；</w:t>
            </w:r>
          </w:p>
          <w:p>
            <w:pPr>
              <w:pStyle w:val="14"/>
              <w:numPr>
                <w:ilvl w:val="0"/>
                <w:numId w:val="0"/>
              </w:numPr>
              <w:snapToGrid w:val="0"/>
              <w:spacing w:line="360" w:lineRule="exact"/>
              <w:outlineLvl w:val="0"/>
              <w:rPr>
                <w:rFonts w:hint="eastAsia" w:hAnsi="宋体"/>
                <w:color w:val="auto"/>
                <w:sz w:val="21"/>
                <w:highlight w:val="none"/>
              </w:rPr>
            </w:pPr>
            <w:r>
              <w:rPr>
                <w:rFonts w:hint="eastAsia" w:hAnsi="宋体"/>
                <w:color w:val="auto"/>
                <w:sz w:val="21"/>
                <w:highlight w:val="none"/>
              </w:rPr>
              <w:t>（2）验收小组依据招标文件、中标人投标文件技术参数逐条进行验收，采购人在产品验收环节发现产品的技术参数指标达不到投标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（3）验收时中标人提供验收文档，包括但不限于：技术方案、实施方案、售后服务方案、培训方案、测试文档、使用说明书、电子文档，以及对所有需要进行核查的原件等。</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4</w:t>
            </w:r>
            <w:r>
              <w:rPr>
                <w:rFonts w:hint="eastAsia" w:hAnsi="宋体"/>
                <w:color w:val="auto"/>
                <w:sz w:val="21"/>
                <w:highlight w:val="none"/>
              </w:rPr>
              <w:t>）项目验收过程中，若采购人委托第三方检测机构介入的，费用由中标人另行承担。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eastAsia="宋体" w:cs="宋体"/>
                <w:color w:val="auto"/>
                <w:sz w:val="21"/>
                <w:szCs w:val="21"/>
                <w:highlight w:val="none"/>
              </w:rPr>
              <w:t>▲</w:t>
            </w:r>
            <w:r>
              <w:rPr>
                <w:rFonts w:hint="eastAsia" w:ascii="宋体" w:hAnsi="宋体"/>
                <w:color w:val="auto"/>
                <w:szCs w:val="21"/>
                <w:highlight w:val="none"/>
              </w:rPr>
              <w:t>履约保证金</w:t>
            </w:r>
          </w:p>
        </w:tc>
        <w:tc>
          <w:tcPr>
            <w:tcW w:w="7886"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1.中标公告发布之日起</w:t>
            </w:r>
            <w:r>
              <w:rPr>
                <w:rFonts w:hint="eastAsia" w:hAnsi="宋体"/>
                <w:color w:val="auto"/>
                <w:sz w:val="21"/>
                <w:highlight w:val="none"/>
                <w:lang w:val="en-US" w:eastAsia="zh-CN"/>
              </w:rPr>
              <w:t>5</w:t>
            </w:r>
            <w:r>
              <w:rPr>
                <w:rFonts w:hint="eastAsia" w:hAnsi="宋体"/>
                <w:color w:val="auto"/>
                <w:sz w:val="21"/>
                <w:highlight w:val="none"/>
              </w:rPr>
              <w:t>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开户名称：广西壮族自治区疾病预防控制中心</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开户银行：建行南宁市汇春路支行</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 xml:space="preserve">银行账号：4500 1604 5680 5070 0256  </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2.履约保证金提交方式：支票、汇票、本票、银行转账或者金融机构、担保机构出具的保函等非现金形式。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bCs/>
                <w:color w:val="auto"/>
                <w:szCs w:val="21"/>
                <w:highlight w:val="none"/>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（一）投标人的履约能力要求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质量管理、企业信用要求</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能力或者业绩要求</w:t>
            </w:r>
          </w:p>
        </w:tc>
        <w:tc>
          <w:tcPr>
            <w:tcW w:w="7886"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exact"/>
              <w:rPr>
                <w:rFonts w:hint="eastAsia" w:ascii="宋体" w:hAnsi="宋体"/>
                <w:bCs/>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二</w:t>
            </w:r>
            <w:r>
              <w:rPr>
                <w:rFonts w:hint="eastAsia" w:ascii="宋体" w:hAnsi="宋体"/>
                <w:b/>
                <w:color w:val="auto"/>
                <w:szCs w:val="21"/>
                <w:highlight w:val="none"/>
              </w:rPr>
              <w:t>）验收事项其他说明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1.本章《采购需求》有其他要求的按其要求。</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合同履行过程中，由采购人根据中标人所提供的货物或服务，对照招标文件要求及中标人投标文件承诺进行检验并记录，发现中标人在投标文件中有弄虚作假的行为，或在投标文件中有针对技术商务条款有虚假响应情况的，采购单位将终止合同或不予验收，并追究中标人的责任，由此带来的一切损失由中标人自行承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其他未尽事宜应严格按照《关于印发广西壮族自治区政府采购项目履约验收管理办法的通知》[桂财采〔2015〕22号]以及《财政部关于进一步加强政府采购需求和履约验收管理的指导意见》[财库〔2016〕205号]规定执行。</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4.验收过程中，除另有约定的以外，所产生的费用均由中标人承担。报价时应考虑相关费用。</w:t>
            </w:r>
          </w:p>
          <w:p>
            <w:pPr>
              <w:spacing w:line="360" w:lineRule="exact"/>
              <w:ind w:firstLine="411" w:firstLineChars="196"/>
              <w:rPr>
                <w:rFonts w:hint="eastAsia" w:ascii="宋体" w:hAnsi="宋体"/>
                <w:color w:val="auto"/>
                <w:szCs w:val="21"/>
                <w:highlight w:val="none"/>
              </w:rPr>
            </w:pPr>
            <w:r>
              <w:rPr>
                <w:rFonts w:hint="eastAsia" w:ascii="宋体" w:hAnsi="宋体"/>
                <w:color w:val="auto"/>
                <w:szCs w:val="21"/>
                <w:highlight w:val="none"/>
              </w:rPr>
              <w:t>5.产品实行强制标准认证制度、生产许可证制度、销售或经营许可证制度、注册证制度的，中标人均应提供相关有效的证书复印件。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三</w:t>
            </w:r>
            <w:r>
              <w:rPr>
                <w:rFonts w:hint="eastAsia" w:ascii="宋体" w:hAnsi="宋体"/>
                <w:b/>
                <w:color w:val="auto"/>
                <w:szCs w:val="21"/>
                <w:highlight w:val="none"/>
              </w:rPr>
              <w:t>）其他要求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1.投标人结合自身能力及本项目采购需求，请在投标文件中提供项目实施方案（包括但不限于项目实施管理、组织架构、产品配送组织计划、</w:t>
            </w:r>
            <w:r>
              <w:rPr>
                <w:rFonts w:hint="eastAsia" w:ascii="宋体" w:hAnsi="宋体"/>
                <w:bCs/>
                <w:color w:val="auto"/>
                <w:szCs w:val="21"/>
                <w:highlight w:val="none"/>
              </w:rPr>
              <w:t>运输方式及交货</w:t>
            </w:r>
            <w:r>
              <w:rPr>
                <w:rFonts w:hint="eastAsia" w:ascii="宋体" w:hAnsi="宋体"/>
                <w:color w:val="auto"/>
                <w:szCs w:val="21"/>
                <w:highlight w:val="none"/>
              </w:rPr>
              <w:t>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.如有，请投标文件中提供技术能力相关证明，包含但不限于信誉、业绩等内容。</w:t>
            </w:r>
          </w:p>
          <w:p>
            <w:pPr>
              <w:spacing w:line="360" w:lineRule="exact"/>
              <w:ind w:firstLine="421" w:firstLineChars="200"/>
              <w:rPr>
                <w:rFonts w:hint="eastAsia" w:ascii="宋体" w:hAnsi="宋体"/>
                <w:b/>
                <w:color w:val="auto"/>
                <w:szCs w:val="21"/>
                <w:highlight w:val="none"/>
              </w:rPr>
            </w:pPr>
            <w:r>
              <w:rPr>
                <w:rFonts w:hint="eastAsia" w:ascii="宋体" w:hAnsi="宋体"/>
                <w:b/>
                <w:color w:val="auto"/>
                <w:szCs w:val="21"/>
                <w:highlight w:val="none"/>
                <w:lang w:val="en-US" w:eastAsia="zh-CN"/>
              </w:rPr>
              <w:t>3</w:t>
            </w:r>
            <w:r>
              <w:rPr>
                <w:rFonts w:hint="eastAsia" w:ascii="宋体" w:hAnsi="宋体"/>
                <w:b/>
                <w:color w:val="auto"/>
                <w:szCs w:val="21"/>
                <w:highlight w:val="none"/>
              </w:rPr>
              <w:t>.“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b/>
                <w:color w:val="auto"/>
                <w:szCs w:val="21"/>
                <w:highlight w:val="none"/>
              </w:rPr>
              <w:t>三、其他说明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8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b/>
                <w:color w:val="auto"/>
                <w:szCs w:val="21"/>
                <w:highlight w:val="none"/>
                <w:u w:val="single"/>
              </w:rPr>
              <w:t>本项目以分标预算金额为最高限价，投标人的投标报价超所投分标最高限价的作无效投标处理</w:t>
            </w:r>
            <w:r>
              <w:rPr>
                <w:rFonts w:hint="eastAsia" w:ascii="宋体" w:hAnsi="宋体"/>
                <w:color w:val="auto"/>
                <w:szCs w:val="21"/>
                <w:highlight w:val="none"/>
              </w:rPr>
              <w:t>。</w:t>
            </w:r>
          </w:p>
          <w:p>
            <w:pPr>
              <w:spacing w:line="360" w:lineRule="exact"/>
              <w:ind w:firstLine="404" w:firstLineChars="200"/>
              <w:rPr>
                <w:rFonts w:hint="eastAsia" w:ascii="宋体" w:hAnsi="宋体"/>
                <w:bCs/>
                <w:color w:val="auto"/>
                <w:spacing w:val="-4"/>
                <w:szCs w:val="21"/>
                <w:highlight w:val="none"/>
              </w:rPr>
            </w:pPr>
            <w:r>
              <w:rPr>
                <w:rFonts w:hint="eastAsia" w:ascii="宋体" w:hAnsi="宋体"/>
                <w:color w:val="auto"/>
                <w:spacing w:val="-4"/>
                <w:szCs w:val="21"/>
                <w:highlight w:val="none"/>
              </w:rPr>
              <w:t>▲</w:t>
            </w:r>
            <w:r>
              <w:rPr>
                <w:rFonts w:hint="eastAsia" w:ascii="宋体" w:hAnsi="宋体"/>
                <w:b/>
                <w:color w:val="auto"/>
                <w:spacing w:val="-4"/>
                <w:szCs w:val="21"/>
                <w:highlight w:val="none"/>
              </w:rPr>
              <w:t>2.</w:t>
            </w:r>
            <w:r>
              <w:rPr>
                <w:rFonts w:hint="eastAsia" w:ascii="宋体" w:hAnsi="宋体"/>
                <w:color w:val="auto"/>
                <w:spacing w:val="-4"/>
                <w:szCs w:val="21"/>
                <w:highlight w:val="none"/>
              </w:rPr>
              <w:t>投标人就本需求中全部内容作完整唯一报价，不完整响应或拆分投标的将导致投标无效。</w:t>
            </w:r>
          </w:p>
        </w:tc>
      </w:tr>
    </w:tbl>
    <w:p>
      <w:pPr>
        <w:rPr>
          <w:color w:val="auto"/>
          <w:highlight w:val="none"/>
        </w:rPr>
      </w:pPr>
    </w:p>
    <w:p>
      <w:pPr>
        <w:pStyle w:val="2"/>
        <w:tabs>
          <w:tab w:val="clear" w:pos="8296"/>
        </w:tabs>
        <w:rPr>
          <w:color w:val="auto"/>
          <w:highlight w:val="none"/>
        </w:rPr>
      </w:pPr>
    </w:p>
    <w:p>
      <w:pPr>
        <w:spacing w:line="360" w:lineRule="exact"/>
        <w:ind w:firstLine="281" w:firstLineChars="100"/>
        <w:jc w:val="left"/>
        <w:rPr>
          <w:rFonts w:ascii="宋体" w:hAnsi="宋体"/>
          <w:b/>
          <w:color w:val="auto"/>
          <w:sz w:val="28"/>
          <w:szCs w:val="28"/>
          <w:highlight w:val="none"/>
        </w:rPr>
      </w:pPr>
      <w:r>
        <w:rPr>
          <w:rFonts w:hint="eastAsia" w:ascii="宋体" w:hAnsi="宋体"/>
          <w:b/>
          <w:color w:val="auto"/>
          <w:sz w:val="28"/>
          <w:szCs w:val="28"/>
          <w:highlight w:val="none"/>
          <w:u w:val="single"/>
        </w:rPr>
        <w:t>分标</w:t>
      </w:r>
      <w:r>
        <w:rPr>
          <w:rFonts w:hint="eastAsia" w:ascii="宋体" w:hAnsi="宋体"/>
          <w:b/>
          <w:color w:val="auto"/>
          <w:sz w:val="28"/>
          <w:szCs w:val="28"/>
          <w:highlight w:val="none"/>
          <w:u w:val="single"/>
          <w:lang w:val="en-US" w:eastAsia="zh-CN"/>
        </w:rPr>
        <w:t>2</w:t>
      </w:r>
      <w:r>
        <w:rPr>
          <w:rFonts w:hint="eastAsia" w:ascii="宋体" w:hAnsi="宋体"/>
          <w:b/>
          <w:color w:val="auto"/>
          <w:sz w:val="28"/>
          <w:szCs w:val="28"/>
          <w:highlight w:val="none"/>
        </w:rPr>
        <w:t xml:space="preserve">   采购预算：</w:t>
      </w:r>
      <w:r>
        <w:rPr>
          <w:rFonts w:hint="eastAsia" w:ascii="宋体" w:hAnsi="宋体"/>
          <w:b/>
          <w:color w:val="auto"/>
          <w:sz w:val="28"/>
          <w:szCs w:val="28"/>
          <w:highlight w:val="none"/>
          <w:u w:val="single"/>
          <w:lang w:val="en-US" w:eastAsia="zh-CN"/>
        </w:rPr>
        <w:t>1080.00</w:t>
      </w:r>
      <w:r>
        <w:rPr>
          <w:rFonts w:hint="eastAsia" w:ascii="宋体" w:hAnsi="宋体"/>
          <w:b/>
          <w:color w:val="auto"/>
          <w:sz w:val="28"/>
          <w:szCs w:val="28"/>
          <w:highlight w:val="none"/>
        </w:rPr>
        <w:t>万元</w:t>
      </w:r>
    </w:p>
    <w:tbl>
      <w:tblPr>
        <w:tblStyle w:val="20"/>
        <w:tblW w:w="456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606"/>
        <w:gridCol w:w="721"/>
        <w:gridCol w:w="1077"/>
        <w:gridCol w:w="769"/>
        <w:gridCol w:w="49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08"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132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color w:val="auto"/>
                <w:kern w:val="0"/>
                <w:highlight w:val="none"/>
              </w:rPr>
              <w:t>货物名称</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数量</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单位</w:t>
            </w:r>
          </w:p>
        </w:tc>
        <w:tc>
          <w:tcPr>
            <w:tcW w:w="4929"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bCs/>
                <w:color w:val="auto"/>
                <w:highlight w:val="none"/>
              </w:rPr>
              <w:t>主要技术参数及性能要求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08"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327" w:type="dxa"/>
            <w:gridSpan w:val="2"/>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三价流感病毒裂解疫苗（二）</w:t>
            </w:r>
          </w:p>
        </w:tc>
        <w:tc>
          <w:tcPr>
            <w:tcW w:w="107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1200000</w:t>
            </w:r>
          </w:p>
        </w:tc>
        <w:tc>
          <w:tcPr>
            <w:tcW w:w="769"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color w:val="auto"/>
                <w:szCs w:val="21"/>
                <w:highlight w:val="none"/>
              </w:rPr>
            </w:pPr>
            <w:r>
              <w:rPr>
                <w:rFonts w:hint="eastAsia" w:ascii="宋体" w:hAnsi="宋体"/>
                <w:color w:val="auto"/>
                <w:szCs w:val="21"/>
                <w:highlight w:val="none"/>
                <w:lang w:val="en-US" w:eastAsia="zh-CN"/>
              </w:rPr>
              <w:t>支</w:t>
            </w:r>
          </w:p>
        </w:tc>
        <w:tc>
          <w:tcPr>
            <w:tcW w:w="4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textAlignment w:val="top"/>
              <w:rPr>
                <w:rFonts w:hint="eastAsia" w:ascii="宋体" w:hAnsi="宋体" w:eastAsia="宋体" w:cs="Times New Roman"/>
                <w:color w:val="auto"/>
                <w:szCs w:val="21"/>
                <w:highlight w:val="none"/>
              </w:rPr>
            </w:pPr>
            <w:r>
              <w:rPr>
                <w:rFonts w:hint="eastAsia" w:ascii="宋体" w:hAnsi="宋体" w:eastAsia="宋体" w:cs="宋体"/>
                <w:color w:val="auto"/>
                <w:szCs w:val="21"/>
                <w:highlight w:val="none"/>
              </w:rPr>
              <w:t>▲</w:t>
            </w:r>
            <w:r>
              <w:rPr>
                <w:rFonts w:hint="eastAsia" w:ascii="宋体" w:hAnsi="宋体" w:eastAsia="宋体" w:cs="Times New Roman"/>
                <w:color w:val="auto"/>
                <w:szCs w:val="21"/>
                <w:highlight w:val="none"/>
              </w:rPr>
              <w:t>1.规格：0.5m</w:t>
            </w:r>
            <w:r>
              <w:rPr>
                <w:rFonts w:hint="eastAsia" w:ascii="宋体" w:hAnsi="宋体" w:cs="Times New Roman"/>
                <w:color w:val="auto"/>
                <w:szCs w:val="21"/>
                <w:highlight w:val="none"/>
                <w:lang w:val="en-US" w:eastAsia="zh-CN"/>
              </w:rPr>
              <w:t>L</w:t>
            </w:r>
            <w:r>
              <w:rPr>
                <w:rFonts w:hint="eastAsia" w:ascii="宋体" w:hAnsi="宋体" w:eastAsia="宋体" w:cs="Times New Roman"/>
                <w:color w:val="auto"/>
                <w:szCs w:val="21"/>
                <w:highlight w:val="none"/>
              </w:rPr>
              <w:t>/支，每1次人用剂量为0.5m</w:t>
            </w:r>
            <w:r>
              <w:rPr>
                <w:rFonts w:hint="eastAsia" w:ascii="宋体" w:hAnsi="宋体" w:cs="Times New Roman"/>
                <w:color w:val="auto"/>
                <w:szCs w:val="21"/>
                <w:highlight w:val="none"/>
                <w:lang w:val="en-US" w:eastAsia="zh-CN"/>
              </w:rPr>
              <w:t>L</w:t>
            </w:r>
            <w:r>
              <w:rPr>
                <w:rFonts w:hint="eastAsia" w:ascii="宋体" w:hAnsi="宋体" w:eastAsia="宋体" w:cs="Times New Roman"/>
                <w:color w:val="auto"/>
                <w:szCs w:val="21"/>
                <w:highlight w:val="none"/>
              </w:rPr>
              <w:t>，含各型流感病毒株血凝素应为15μg。</w:t>
            </w:r>
          </w:p>
          <w:p>
            <w:pPr>
              <w:widowControl/>
              <w:numPr>
                <w:ilvl w:val="0"/>
                <w:numId w:val="0"/>
              </w:numPr>
              <w:spacing w:line="360" w:lineRule="exact"/>
              <w:textAlignment w:val="top"/>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外观：应为微乳白色液体，无异物。</w:t>
            </w:r>
          </w:p>
          <w:p>
            <w:pPr>
              <w:widowControl/>
              <w:numPr>
                <w:ilvl w:val="0"/>
                <w:numId w:val="0"/>
              </w:numPr>
              <w:spacing w:line="360" w:lineRule="exact"/>
              <w:textAlignment w:val="top"/>
              <w:rPr>
                <w:rFonts w:hint="eastAsia" w:ascii="宋体" w:hAnsi="宋体"/>
                <w:color w:val="auto"/>
                <w:szCs w:val="21"/>
                <w:highlight w:val="none"/>
              </w:rPr>
            </w:pPr>
            <w:r>
              <w:rPr>
                <w:rFonts w:hint="eastAsia" w:ascii="宋体" w:hAnsi="宋体" w:cs="宋体"/>
                <w:b/>
                <w:color w:val="auto"/>
                <w:spacing w:val="-6"/>
                <w:szCs w:val="21"/>
                <w:highlight w:val="none"/>
              </w:rPr>
              <w:t>▲</w:t>
            </w:r>
            <w:r>
              <w:rPr>
                <w:rFonts w:hint="eastAsia" w:ascii="宋体" w:hAnsi="宋体" w:eastAsia="宋体" w:cs="Times New Roman"/>
                <w:color w:val="auto"/>
                <w:szCs w:val="21"/>
                <w:highlight w:val="none"/>
              </w:rPr>
              <w:t>3.包装：预灌封注射器。</w:t>
            </w:r>
          </w:p>
          <w:p>
            <w:pPr>
              <w:widowControl/>
              <w:spacing w:line="360" w:lineRule="exact"/>
              <w:textAlignment w:val="top"/>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4.接种对象：3岁以上</w:t>
            </w:r>
            <w:r>
              <w:rPr>
                <w:rFonts w:hint="eastAsia" w:ascii="宋体" w:hAnsi="宋体" w:eastAsia="宋体" w:cs="Times New Roman"/>
                <w:color w:val="auto"/>
                <w:szCs w:val="21"/>
                <w:highlight w:val="none"/>
                <w:lang w:val="en-US" w:eastAsia="zh-CN"/>
              </w:rPr>
              <w:t>人群</w:t>
            </w:r>
            <w:r>
              <w:rPr>
                <w:rFonts w:hint="eastAsia" w:ascii="宋体" w:hAnsi="宋体" w:eastAsia="宋体" w:cs="Times New Roman"/>
                <w:color w:val="auto"/>
                <w:szCs w:val="21"/>
                <w:highlight w:val="none"/>
              </w:rPr>
              <w:t>。</w:t>
            </w:r>
          </w:p>
          <w:p>
            <w:pPr>
              <w:widowControl/>
              <w:spacing w:line="360" w:lineRule="exact"/>
              <w:textAlignment w:val="top"/>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贮藏：于 2-8℃避光保存和运输。严禁冻结。</w:t>
            </w:r>
          </w:p>
          <w:p>
            <w:pPr>
              <w:widowControl/>
              <w:spacing w:line="360" w:lineRule="exact"/>
              <w:textAlignment w:val="top"/>
              <w:rPr>
                <w:rFonts w:hint="default"/>
                <w:color w:val="auto"/>
                <w:highlight w:val="none"/>
                <w:lang w:val="en-US"/>
              </w:rPr>
            </w:pPr>
            <w:r>
              <w:rPr>
                <w:rFonts w:hint="eastAsia" w:ascii="宋体" w:hAnsi="宋体" w:eastAsia="宋体" w:cs="Times New Roman"/>
                <w:color w:val="auto"/>
                <w:szCs w:val="21"/>
                <w:highlight w:val="none"/>
                <w:lang w:val="en-US" w:eastAsia="zh-CN"/>
              </w:rPr>
              <w:t>6.有效期：从送达交货地点并完成验收工作之日起，需保证疫苗剩余有效期不少于 6 个月。</w:t>
            </w:r>
          </w:p>
          <w:p>
            <w:pPr>
              <w:widowControl/>
              <w:spacing w:line="360" w:lineRule="exact"/>
              <w:textAlignment w:val="top"/>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.质量符合《中华人民共和国药典（2025年版）三部》的标准，并提供质检报告等质量保证相关资料复印件。</w:t>
            </w:r>
          </w:p>
          <w:p>
            <w:pPr>
              <w:widowControl/>
              <w:spacing w:line="360" w:lineRule="exact"/>
              <w:textAlignment w:val="top"/>
              <w:rPr>
                <w:rFonts w:hint="eastAsia" w:ascii="宋体" w:hAnsi="宋体"/>
                <w:color w:val="auto"/>
                <w:szCs w:val="21"/>
                <w:highlight w:val="none"/>
              </w:rPr>
            </w:pPr>
            <w:r>
              <w:rPr>
                <w:rFonts w:hint="eastAsia" w:asciiTheme="minorHAnsi" w:hAnsiTheme="minorHAnsi" w:eastAsiaTheme="minorEastAsia" w:cstheme="minorBidi"/>
                <w:bCs w:val="0"/>
                <w:caps w:val="0"/>
                <w:szCs w:val="24"/>
                <w:lang w:val="en-US" w:eastAsia="zh-CN"/>
              </w:rPr>
              <w:t>8.具体</w:t>
            </w:r>
            <w:r>
              <w:rPr>
                <w:rFonts w:hint="eastAsia" w:asciiTheme="minorHAnsi" w:hAnsiTheme="minorHAnsi" w:eastAsiaTheme="minorEastAsia" w:cstheme="minorBidi"/>
                <w:bCs w:val="0"/>
                <w:caps w:val="0"/>
                <w:szCs w:val="24"/>
              </w:rPr>
              <w:t>投标产品有效期内的生物制品批签发证明或2026年国家食品药品检定研究院或省级药品监督管理局接受检验回执</w:t>
            </w:r>
            <w:r>
              <w:rPr>
                <w:rFonts w:hint="eastAsia" w:asciiTheme="minorHAnsi" w:hAnsiTheme="minorHAnsi" w:eastAsiaTheme="minorEastAsia" w:cstheme="minorBidi"/>
                <w:bCs w:val="0"/>
                <w:caps w:val="0"/>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hint="eastAsia" w:ascii="宋体" w:hAnsi="宋体"/>
                <w:b/>
                <w:bCs/>
                <w:color w:val="auto"/>
                <w:szCs w:val="21"/>
                <w:highlight w:val="none"/>
              </w:rPr>
            </w:pPr>
            <w:r>
              <w:rPr>
                <w:rFonts w:hint="eastAsia" w:ascii="宋体" w:hAnsi="宋体"/>
                <w:b/>
                <w:color w:val="auto"/>
                <w:szCs w:val="21"/>
                <w:highlight w:val="none"/>
              </w:rPr>
              <w:t>一、商务要求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合同签订时间</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自中标通知书发出之日起25日内与采购人完成合同签订。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▲交付使用时间及地点</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1.交货时间：按采购人提供的供货计划分批供货，接到配送计划后由中标供应商在</w:t>
            </w:r>
            <w:r>
              <w:rPr>
                <w:rFonts w:hint="eastAsia" w:ascii="宋体" w:hAnsi="宋体"/>
                <w:color w:val="auto"/>
                <w:szCs w:val="21"/>
                <w:highlight w:val="none"/>
                <w:lang w:val="en-US" w:eastAsia="zh-CN"/>
              </w:rPr>
              <w:t>5</w:t>
            </w:r>
            <w:r>
              <w:rPr>
                <w:rFonts w:hint="eastAsia" w:ascii="宋体" w:hAnsi="宋体"/>
                <w:color w:val="auto"/>
                <w:szCs w:val="21"/>
                <w:highlight w:val="none"/>
              </w:rPr>
              <w:t>个工作日内配送到交货地点。</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2.交货地点：广西区内采购人指定地点；未验收前保管工作由中标供应商自行负责。</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3.中标供应商必须承担产品运输、验收检测和提供产品说明书等其他类似的义务。</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4.交货方式：现场交货。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▲质保期</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eastAsia="宋体" w:cs="Times New Roman"/>
                <w:color w:val="auto"/>
                <w:szCs w:val="21"/>
                <w:highlight w:val="none"/>
              </w:rPr>
              <w:t>自交货验收合格之日起有效期：≥</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个月。所送货品应明确标示批号、生产日期和有效期。从送达交货地点并完成验收工作之日起，投标人需保证疫苗剩余有效期不少于6个月，不符合要求的，采购人有权拒收。对近效期（≤</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个月）疫苗，采购人可根据情况要求进行退换货处理，替换的货物到达采购人指定地点时的有效期应≥6个月。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包装要求</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投标产品的包装及标识执行国家标准，标识中应标明产品名称、注册号、批号、成分、浓度、剂量、储存、温度、规格、失效期以及生产厂家名称、地址、联系电话等信息。</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投标产品包装应符合《生物制品包装规程》的标准，具有良好的密封性和防潮性，破损率低于国家规定标准。</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大包装指整箱，中包装指大包装里面的中盒，小包装指中包装里面每剂次（支或瓶）的包装盒。大、中、小包装均应印有批号（生产日期）、失效期</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规格、包装规格、追溯码</w:t>
            </w:r>
            <w:r>
              <w:rPr>
                <w:rFonts w:hint="eastAsia" w:ascii="宋体" w:hAnsi="宋体" w:eastAsia="宋体" w:cs="Times New Roman"/>
                <w:color w:val="auto"/>
                <w:szCs w:val="21"/>
                <w:highlight w:val="none"/>
              </w:rPr>
              <w:t>等包装标识，大包装和中包装应印有或贴有“免费”字样。小包装应附中文使用说明书一份。</w:t>
            </w:r>
          </w:p>
          <w:p>
            <w:pPr>
              <w:spacing w:line="360" w:lineRule="exact"/>
              <w:ind w:firstLine="421" w:firstLineChars="200"/>
              <w:rPr>
                <w:rFonts w:hint="eastAsia" w:ascii="宋体" w:hAnsi="宋体"/>
                <w:color w:val="auto"/>
                <w:szCs w:val="21"/>
                <w:highlight w:val="none"/>
              </w:rPr>
            </w:pPr>
            <w:r>
              <w:rPr>
                <w:rFonts w:hint="eastAsia" w:ascii="宋体" w:hAnsi="宋体"/>
                <w:b/>
                <w:bCs/>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供应商应提供精确到疫苗最小包装的追溯码和对应的码源关系数据，并在货物到达采购人指定省、市或县级疾控中心前完成在国家疫苗追溯协同服务平台对应追溯码数据库的上传。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供货及运输</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1.采购人提出供货需求后供应商应在5个工作日内将货物运抵至采购人指定地点。</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2.储存和运输应符合《中华人民共和国疫苗管理法》《药品经营质量管理规范》《疫苗储存和运输管理规范》和《预防接种工作规范》的规定，采取有效措施保证储运过程中的疫苗质量，并提供疫苗储存及运输过程中的冷链监测数据。</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3.根据采购人的实际需求采用冷链设备将疫苗运抵至制定市或县级疾控中心（同时提供货物清单、每个供货批次批签发证明文件和合格的检验报告等工作所需材料）。</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4.货物运送至市或县级疾控中心后，在3个工作日由成交供应商和采购人进行联合验收。货物的外包装应完整且符合储存运输要求。如不符合上述要求，采购人可拒绝接收。</w:t>
            </w:r>
          </w:p>
          <w:p>
            <w:pPr>
              <w:spacing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5.供应商供应本项目的疫苗批号需与供应广西的非免疫规划疫苗批号有区分，同批号疫苗不再作为非免疫规划疫苗销售到广西。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质量、安全性、有效性及稳定性要求</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供应商所提供的疫苗无质量相关的不良记录（指药品监督管理部门在日常监督检查过程中出具的任何与报价产品质量相关的处罚或通告，提供承诺函）。</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供应商所提供的疫苗具有国家药监局临床试验备案的医疗机构或者疾病预防控制机构出具的临床试验报告。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提供投标产品近3年（2023年1月-2025年12月）疑似预防接种异常反应（AEFI）监测数据和参与处理的投标产品疑似预防接种异常反应的相关报告数据（含AEFI监测数据与ADR反馈数据），报告数据包含但不仅限于不良反应类型、判定与依据、响应时间、处置过程等关键技术数据。</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投标人提供投标产品上市后Ⅳ期临床研究文献（《科学引文索引》期刊。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投标人提供投标产品上市后国内免疫原性、安全性研究和免疫持久性研究文献（《科学引文索引》期刊）。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投标人提供投标产品上市后与其他疫苗在目标人群中联合接种研究文献（《科学引文索引》期刊）。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投标人应对投标产品的开展热稳定性评价实验，提供疫苗稳定性试验结果及说明。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售后服务要求</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1.需确保疫苗的完整性。对于采购文件没有列出，而对疫苗的正常使用必不可少的且应属于疫苗需求配带的物品，成交供应商有责任给予补充。</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2.需承诺协助采购人处理疑似预防接种异常反应，并提供处理措施方案的人员配置和服务。</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▲3.属于预防接种异常反应或者不能排除的，由供应商参照《广西预防接种异常反应补偿办法》的补偿标准承担相应补偿费用（</w:t>
            </w:r>
            <w:r>
              <w:rPr>
                <w:rFonts w:hint="eastAsia" w:ascii="宋体" w:hAnsi="宋体" w:eastAsia="宋体" w:cs="宋体"/>
                <w:color w:val="auto"/>
                <w:sz w:val="21"/>
                <w:szCs w:val="21"/>
                <w:highlight w:val="none"/>
                <w:lang w:eastAsia="zh-CN"/>
              </w:rPr>
              <w:t>投标时</w:t>
            </w:r>
            <w:r>
              <w:rPr>
                <w:rFonts w:hint="eastAsia" w:ascii="宋体" w:hAnsi="宋体" w:eastAsia="宋体" w:cs="宋体"/>
                <w:color w:val="auto"/>
                <w:sz w:val="21"/>
                <w:szCs w:val="21"/>
                <w:highlight w:val="none"/>
              </w:rPr>
              <w:t>提供承诺函）。投标人应将投标产品的预防接种异常反应补偿纳入商业化保险，提供有效期内的保险合同。</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4.在合同执行过程中,供应商负责对临近、超过有效期或少液等其它在疫苗生产过程中形成的不合格的疫苗进行无条件更换或退回。</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产品提交给采购人后，采购人在质量保证期内有权要求国家药检部门对产品实施检验。由于产品质量问题要求回收产品时的费用及损失由投标人承担。若对产品质量出现争议，则中国食品药品检定研究院的检验报告具有强制约束力.</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应具有良好的售后服务能力和网络，应保证产品的及时供应，有专职人员动态监测产品销售、运输情况。投标人应提供有关其售后服务的信息，包括名称、建立时间、技术人员的数量、联系人和联系方式情况，以及采购人能在本项目下得到的有效的售后服务计划和承诺</w:t>
            </w:r>
          </w:p>
          <w:p>
            <w:pPr>
              <w:spacing w:line="360" w:lineRule="exact"/>
              <w:ind w:firstLine="420" w:firstLineChars="200"/>
              <w:rPr>
                <w:rFonts w:hint="eastAsia" w:ascii="宋体" w:hAnsi="宋体"/>
                <w:color w:val="auto"/>
                <w:szCs w:val="21"/>
                <w:highlight w:val="none"/>
              </w:rPr>
            </w:pPr>
            <w:r>
              <w:rPr>
                <w:rFonts w:hint="eastAsia" w:ascii="宋体" w:hAnsi="宋体" w:eastAsia="宋体" w:cs="宋体"/>
                <w:color w:val="auto"/>
                <w:sz w:val="21"/>
                <w:szCs w:val="21"/>
                <w:highlight w:val="none"/>
              </w:rPr>
              <w:t>7.提供应急供货实施方案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付款方式</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无预付款，</w:t>
            </w:r>
            <w:r>
              <w:rPr>
                <w:rFonts w:hint="eastAsia" w:ascii="宋体" w:hAnsi="宋体"/>
                <w:color w:val="auto"/>
                <w:szCs w:val="21"/>
                <w:highlight w:val="none"/>
                <w:lang w:eastAsia="zh-CN"/>
              </w:rPr>
              <w:t>按采购人供货需求分批供货，以实际供货量进行结算。</w:t>
            </w:r>
            <w:r>
              <w:rPr>
                <w:rFonts w:hint="eastAsia" w:ascii="宋体" w:hAnsi="宋体"/>
                <w:color w:val="auto"/>
                <w:szCs w:val="21"/>
                <w:highlight w:val="none"/>
              </w:rPr>
              <w:t>每批货物供货完毕并验收合格之日起15个工作日内，中标供应商开具请款函及发票给采购人，采购人在收到请款函及发票之日起10个工作日内支付该批货物合同款给中标供应商。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报价及要求</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投标人的投标报价为人民币含税价，本项目实行总价包干且为采购人指定地点的现场交货价。投标报价包含</w:t>
            </w:r>
            <w:r>
              <w:rPr>
                <w:rFonts w:hint="eastAsia" w:ascii="宋体" w:hAnsi="宋体"/>
                <w:color w:val="auto"/>
                <w:szCs w:val="21"/>
                <w:highlight w:val="none"/>
                <w:lang w:eastAsia="zh-CN"/>
              </w:rPr>
              <w:t>货物</w:t>
            </w:r>
            <w:r>
              <w:rPr>
                <w:rFonts w:hint="eastAsia" w:ascii="宋体" w:hAnsi="宋体"/>
                <w:color w:val="auto"/>
                <w:szCs w:val="21"/>
                <w:highlight w:val="none"/>
              </w:rPr>
              <w:t>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知识产权</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ind w:right="-57" w:rightChars="-27" w:firstLine="420" w:firstLineChars="200"/>
              <w:jc w:val="left"/>
              <w:rPr>
                <w:rFonts w:hint="eastAsia" w:ascii="宋体" w:hAnsi="宋体"/>
                <w:color w:val="auto"/>
                <w:szCs w:val="21"/>
                <w:highlight w:val="none"/>
              </w:rPr>
            </w:pPr>
            <w:r>
              <w:rPr>
                <w:rFonts w:hint="eastAsia" w:ascii="宋体" w:hAnsi="宋体"/>
                <w:color w:val="auto"/>
                <w:szCs w:val="21"/>
                <w:highlight w:val="none"/>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验收要求</w:t>
            </w:r>
          </w:p>
        </w:tc>
        <w:tc>
          <w:tcPr>
            <w:tcW w:w="7496"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1.采购人可以根据采购项目具体情况自行组织验收，或者委托第三方机构或部门开展采购项目履约验收工作，验收过程中所产生的费用均由中标人承担，投标人在投标报价时应考虑相关费用。</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2.在验收过程中发现中标人有违约问题，可暂缓资金结算，待违约问题解决后，方可办理资金结算事宜。</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3.验收依据：按合同（含本招标文件采购需求、中标供应商投标文件承诺）要求及国家标准进行验收。</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4.验收标准</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（1）中标供应商按采购人需求清单进行供货，货物交到指定地点后，</w:t>
            </w:r>
            <w:r>
              <w:rPr>
                <w:rFonts w:hint="eastAsia" w:hAnsi="宋体"/>
                <w:color w:val="auto"/>
                <w:sz w:val="21"/>
                <w:highlight w:val="none"/>
                <w:lang w:val="en-US" w:eastAsia="zh-CN"/>
              </w:rPr>
              <w:t>由采购人指定收货人及中标供应商</w:t>
            </w:r>
            <w:r>
              <w:rPr>
                <w:rFonts w:hint="eastAsia" w:hAnsi="宋体"/>
                <w:color w:val="auto"/>
                <w:sz w:val="21"/>
                <w:highlight w:val="none"/>
              </w:rPr>
              <w:t>双方现场进行货品清点。货物的外包装应牢固、完好，符合储存运输要求，相关资料齐全，疫苗效期满足约定要求。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（2）供应商必须按投标文件和合同约定的品牌、规格供货，验收期间如发现货物有破损</w:t>
            </w:r>
            <w:r>
              <w:rPr>
                <w:rFonts w:hint="eastAsia" w:hAnsi="宋体"/>
                <w:color w:val="auto"/>
                <w:sz w:val="21"/>
                <w:highlight w:val="none"/>
                <w:lang w:val="en-US" w:eastAsia="zh-CN"/>
              </w:rPr>
              <w:t>或</w:t>
            </w:r>
            <w:r>
              <w:rPr>
                <w:rFonts w:hint="eastAsia" w:hAnsi="宋体"/>
                <w:color w:val="auto"/>
                <w:sz w:val="21"/>
                <w:highlight w:val="none"/>
              </w:rPr>
              <w:t>验收不合格时，中标供应商必须在采购人指定的时间内无条件更换，由此造成的损失和责任由供应商承担。货物交付并验收合格，双方签署验收单，作为合同款结算依据。</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（3）如有抽检要求的，检测结果应符合招标文件采购需求及采购合同约定的要求。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（4）所有产品均已运输至指定地点。</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（5）招标文件采购需求及采购合同约定的附件、技术资料等齐全；提供产品使用说明书、合格证。</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5.验收要求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lang w:eastAsia="zh-CN"/>
              </w:rPr>
              <w:t>（</w:t>
            </w:r>
            <w:r>
              <w:rPr>
                <w:rFonts w:hint="eastAsia" w:hAnsi="宋体"/>
                <w:color w:val="auto"/>
                <w:sz w:val="21"/>
                <w:highlight w:val="none"/>
                <w:lang w:val="en-US" w:eastAsia="zh-CN"/>
              </w:rPr>
              <w:t>1）</w:t>
            </w:r>
            <w:r>
              <w:rPr>
                <w:rFonts w:hint="eastAsia" w:hAnsi="宋体"/>
                <w:color w:val="auto"/>
                <w:sz w:val="21"/>
                <w:highlight w:val="none"/>
              </w:rPr>
              <w:t>中标人按时间节点完成货物供货后，应及时整理技术资料并作出全面检查和整理，列出清单，作为采购人验收和使用的技术条件依据，清单应交给采购人；</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2</w:t>
            </w:r>
            <w:r>
              <w:rPr>
                <w:rFonts w:hint="eastAsia" w:hAnsi="宋体"/>
                <w:color w:val="auto"/>
                <w:sz w:val="21"/>
                <w:highlight w:val="none"/>
              </w:rPr>
              <w:t>）验收小组依据招标文件、中标人投标文件技术参数逐条进行验收，采购人在产品验收环节发现产品的技术参数指标达不到投标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（3）验收时中标人提供验收文档，包括但不限于：技术方案、实施方案、售后服务方案、培训方案、测试文档、使用说明书、电子文档，以及对所有需要进行核查的原件等。</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4</w:t>
            </w:r>
            <w:r>
              <w:rPr>
                <w:rFonts w:hint="eastAsia" w:hAnsi="宋体"/>
                <w:color w:val="auto"/>
                <w:sz w:val="21"/>
                <w:highlight w:val="none"/>
              </w:rPr>
              <w:t>）项目验收过程中，若采购人委托第三方检测机构介入的，费用由中标人另行承担。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eastAsia="宋体" w:cs="宋体"/>
                <w:color w:val="auto"/>
                <w:sz w:val="21"/>
                <w:szCs w:val="21"/>
                <w:highlight w:val="none"/>
              </w:rPr>
              <w:t>▲</w:t>
            </w:r>
            <w:r>
              <w:rPr>
                <w:rFonts w:hint="eastAsia" w:ascii="宋体" w:hAnsi="宋体"/>
                <w:color w:val="auto"/>
                <w:szCs w:val="21"/>
                <w:highlight w:val="none"/>
              </w:rPr>
              <w:t>履约保证金</w:t>
            </w:r>
          </w:p>
        </w:tc>
        <w:tc>
          <w:tcPr>
            <w:tcW w:w="7496"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1.中标公告发布之日起</w:t>
            </w:r>
            <w:r>
              <w:rPr>
                <w:rFonts w:hint="eastAsia" w:hAnsi="宋体"/>
                <w:color w:val="auto"/>
                <w:sz w:val="21"/>
                <w:highlight w:val="none"/>
                <w:lang w:val="en-US" w:eastAsia="zh-CN"/>
              </w:rPr>
              <w:t>5</w:t>
            </w:r>
            <w:r>
              <w:rPr>
                <w:rFonts w:hint="eastAsia" w:hAnsi="宋体"/>
                <w:color w:val="auto"/>
                <w:sz w:val="21"/>
                <w:highlight w:val="none"/>
              </w:rPr>
              <w:t>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开户名称：广西壮族自治区疾病预防控制中心</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开户银行：建行南宁市汇春路支行</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 xml:space="preserve">银行账号：4500 1604 5680 5070 0256  </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2.履约保证金提交方式：支票、汇票、本票、银行转账或者金融机构、担保机构出具的保函等非现金形式。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bCs/>
                <w:color w:val="auto"/>
                <w:szCs w:val="21"/>
                <w:highlight w:val="none"/>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（一）投标人的履约能力要求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质量管理、企业信用要求</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能力或者业绩要求</w:t>
            </w:r>
          </w:p>
        </w:tc>
        <w:tc>
          <w:tcPr>
            <w:tcW w:w="7496"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exact"/>
              <w:rPr>
                <w:rFonts w:hint="eastAsia" w:ascii="宋体" w:hAnsi="宋体"/>
                <w:bCs/>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二</w:t>
            </w:r>
            <w:r>
              <w:rPr>
                <w:rFonts w:hint="eastAsia" w:ascii="宋体" w:hAnsi="宋体"/>
                <w:b/>
                <w:color w:val="auto"/>
                <w:szCs w:val="21"/>
                <w:highlight w:val="none"/>
              </w:rPr>
              <w:t>）验收事项其他说明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1.本章《采购需求》有其他要求的按其要求。</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合同履行过程中，由采购人根据中标人所提供的货物或服务，对照招标文件要求及中标人投标文件承诺进行检验并记录，发现中标人在投标文件中有弄虚作假的行为，或在投标文件中有针对技术商务条款有虚假响应情况的，采购单位将终止合同或不予验收，并追究中标人的责任，由此带来的一切损失由中标人自行承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其他未尽事宜应严格按照《关于印发广西壮族自治区政府采购项目履约验收管理办法的通知》[桂财采〔2015〕22号]以及《财政部关于进一步加强政府采购需求和履约验收管理的指导意见》[财库〔2016〕205号]规定执行。</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4.验收过程中，除另有约定的以外，所产生的费用均由中标人承担。报价时应考虑相关费用。</w:t>
            </w:r>
          </w:p>
          <w:p>
            <w:pPr>
              <w:spacing w:line="360" w:lineRule="exact"/>
              <w:ind w:firstLine="411" w:firstLineChars="196"/>
              <w:rPr>
                <w:rFonts w:hint="eastAsia" w:ascii="宋体" w:hAnsi="宋体"/>
                <w:color w:val="auto"/>
                <w:szCs w:val="21"/>
                <w:highlight w:val="none"/>
              </w:rPr>
            </w:pPr>
            <w:r>
              <w:rPr>
                <w:rFonts w:hint="eastAsia" w:ascii="宋体" w:hAnsi="宋体"/>
                <w:color w:val="auto"/>
                <w:szCs w:val="21"/>
                <w:highlight w:val="none"/>
              </w:rPr>
              <w:t>5.产品实行强制标准认证制度、生产许可证制度、销售或经营许可证制度、注册证制度的，中标人均应提供相关有效的证书复印件。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三</w:t>
            </w:r>
            <w:r>
              <w:rPr>
                <w:rFonts w:hint="eastAsia" w:ascii="宋体" w:hAnsi="宋体"/>
                <w:b/>
                <w:color w:val="auto"/>
                <w:szCs w:val="21"/>
                <w:highlight w:val="none"/>
              </w:rPr>
              <w:t>）其他要求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1.投标人结合自身能力及本项目采购需求，请在投标文件中提供项目实施方案（包括但不限于项目实施管理、组织架构、产品配送组织计划、</w:t>
            </w:r>
            <w:r>
              <w:rPr>
                <w:rFonts w:hint="eastAsia" w:ascii="宋体" w:hAnsi="宋体"/>
                <w:bCs/>
                <w:color w:val="auto"/>
                <w:szCs w:val="21"/>
                <w:highlight w:val="none"/>
              </w:rPr>
              <w:t>运输方式及交货</w:t>
            </w:r>
            <w:r>
              <w:rPr>
                <w:rFonts w:hint="eastAsia" w:ascii="宋体" w:hAnsi="宋体"/>
                <w:color w:val="auto"/>
                <w:szCs w:val="21"/>
                <w:highlight w:val="none"/>
              </w:rPr>
              <w:t>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.如有，请投标文件中提供技术能力相关证明，包含但不限于信誉、业绩等内容。</w:t>
            </w:r>
          </w:p>
          <w:p>
            <w:pPr>
              <w:spacing w:line="360" w:lineRule="exact"/>
              <w:ind w:firstLine="421" w:firstLineChars="200"/>
              <w:rPr>
                <w:rFonts w:hint="eastAsia" w:ascii="宋体" w:hAnsi="宋体"/>
                <w:b/>
                <w:color w:val="auto"/>
                <w:szCs w:val="21"/>
                <w:highlight w:val="none"/>
              </w:rPr>
            </w:pPr>
            <w:r>
              <w:rPr>
                <w:rFonts w:hint="eastAsia" w:ascii="宋体" w:hAnsi="宋体"/>
                <w:b/>
                <w:color w:val="auto"/>
                <w:szCs w:val="21"/>
                <w:highlight w:val="none"/>
                <w:lang w:val="en-US" w:eastAsia="zh-CN"/>
              </w:rPr>
              <w:t>3</w:t>
            </w:r>
            <w:r>
              <w:rPr>
                <w:rFonts w:hint="eastAsia" w:ascii="宋体" w:hAnsi="宋体"/>
                <w:b/>
                <w:color w:val="auto"/>
                <w:szCs w:val="21"/>
                <w:highlight w:val="none"/>
              </w:rPr>
              <w:t>.“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b/>
                <w:color w:val="auto"/>
                <w:szCs w:val="21"/>
                <w:highlight w:val="none"/>
              </w:rPr>
              <w:t>三、其他说明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0"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b/>
                <w:color w:val="auto"/>
                <w:szCs w:val="21"/>
                <w:highlight w:val="none"/>
                <w:u w:val="single"/>
              </w:rPr>
              <w:t>本项目以分标预算金额为最高限价，投标人的投标报价超所投分标最高限价的作无效投标处理</w:t>
            </w:r>
            <w:r>
              <w:rPr>
                <w:rFonts w:hint="eastAsia" w:ascii="宋体" w:hAnsi="宋体"/>
                <w:color w:val="auto"/>
                <w:szCs w:val="21"/>
                <w:highlight w:val="none"/>
              </w:rPr>
              <w:t>。</w:t>
            </w:r>
          </w:p>
          <w:p>
            <w:pPr>
              <w:spacing w:line="360" w:lineRule="exact"/>
              <w:ind w:firstLine="404" w:firstLineChars="200"/>
              <w:rPr>
                <w:rFonts w:hint="eastAsia" w:ascii="宋体" w:hAnsi="宋体"/>
                <w:bCs/>
                <w:color w:val="auto"/>
                <w:spacing w:val="-4"/>
                <w:szCs w:val="21"/>
                <w:highlight w:val="none"/>
              </w:rPr>
            </w:pPr>
            <w:r>
              <w:rPr>
                <w:rFonts w:hint="eastAsia" w:ascii="宋体" w:hAnsi="宋体"/>
                <w:color w:val="auto"/>
                <w:spacing w:val="-4"/>
                <w:szCs w:val="21"/>
                <w:highlight w:val="none"/>
              </w:rPr>
              <w:t>▲</w:t>
            </w:r>
            <w:r>
              <w:rPr>
                <w:rFonts w:hint="eastAsia" w:ascii="宋体" w:hAnsi="宋体"/>
                <w:b/>
                <w:color w:val="auto"/>
                <w:spacing w:val="-4"/>
                <w:szCs w:val="21"/>
                <w:highlight w:val="none"/>
              </w:rPr>
              <w:t>2.</w:t>
            </w:r>
            <w:r>
              <w:rPr>
                <w:rFonts w:hint="eastAsia" w:ascii="宋体" w:hAnsi="宋体"/>
                <w:color w:val="auto"/>
                <w:spacing w:val="-4"/>
                <w:szCs w:val="21"/>
                <w:highlight w:val="none"/>
              </w:rPr>
              <w:t>投标人就本需求中全部内容作完整唯一报价，不完整响应或拆分投标的将导致投标无效。</w:t>
            </w:r>
          </w:p>
        </w:tc>
      </w:tr>
    </w:tbl>
    <w:p>
      <w:pPr>
        <w:rPr>
          <w:rFonts w:hint="default" w:eastAsia="宋体"/>
          <w:color w:val="auto"/>
          <w:highlight w:val="none"/>
          <w:lang w:val="en-US" w:eastAsia="zh-CN"/>
        </w:rPr>
      </w:pPr>
    </w:p>
    <w:p>
      <w:pPr>
        <w:pStyle w:val="2"/>
        <w:tabs>
          <w:tab w:val="clear" w:pos="8296"/>
        </w:tabs>
        <w:rPr>
          <w:color w:val="auto"/>
          <w:highlight w:val="none"/>
        </w:rPr>
      </w:pPr>
    </w:p>
    <w:p>
      <w:pPr>
        <w:rPr>
          <w:color w:val="auto"/>
          <w:highlight w:val="none"/>
        </w:rPr>
      </w:pPr>
    </w:p>
    <w:p>
      <w:pPr>
        <w:spacing w:line="360" w:lineRule="exact"/>
        <w:ind w:firstLine="413" w:firstLineChars="147"/>
        <w:jc w:val="left"/>
        <w:rPr>
          <w:rFonts w:ascii="宋体" w:hAnsi="宋体"/>
          <w:b/>
          <w:color w:val="auto"/>
          <w:szCs w:val="21"/>
          <w:highlight w:val="none"/>
        </w:rPr>
      </w:pPr>
      <w:r>
        <w:rPr>
          <w:rFonts w:hint="eastAsia" w:asciiTheme="minorEastAsia" w:hAnsiTheme="minorEastAsia" w:eastAsiaTheme="minorEastAsia" w:cstheme="minorEastAsia"/>
          <w:b/>
          <w:color w:val="auto"/>
          <w:sz w:val="28"/>
          <w:szCs w:val="28"/>
          <w:highlight w:val="none"/>
          <w:u w:val="single"/>
        </w:rPr>
        <w:t>分标</w:t>
      </w:r>
      <w:r>
        <w:rPr>
          <w:rFonts w:hint="eastAsia" w:asciiTheme="minorEastAsia" w:hAnsiTheme="minorEastAsia" w:eastAsiaTheme="minorEastAsia" w:cstheme="minorEastAsia"/>
          <w:b/>
          <w:color w:val="auto"/>
          <w:sz w:val="28"/>
          <w:szCs w:val="28"/>
          <w:highlight w:val="none"/>
          <w:u w:val="single"/>
          <w:lang w:val="en-US" w:eastAsia="zh-CN"/>
        </w:rPr>
        <w:t>3</w:t>
      </w:r>
      <w:r>
        <w:rPr>
          <w:rFonts w:hint="eastAsia" w:asciiTheme="minorEastAsia" w:hAnsiTheme="minorEastAsia" w:eastAsiaTheme="minorEastAsia" w:cstheme="minorEastAsia"/>
          <w:b/>
          <w:color w:val="auto"/>
          <w:sz w:val="28"/>
          <w:szCs w:val="28"/>
          <w:highlight w:val="none"/>
        </w:rPr>
        <w:t xml:space="preserve">    采购预算：</w:t>
      </w:r>
      <w:r>
        <w:rPr>
          <w:rFonts w:hint="eastAsia" w:asciiTheme="minorEastAsia" w:hAnsiTheme="minorEastAsia" w:eastAsiaTheme="minorEastAsia" w:cstheme="minorEastAsia"/>
          <w:b/>
          <w:color w:val="auto"/>
          <w:sz w:val="28"/>
          <w:szCs w:val="28"/>
          <w:highlight w:val="none"/>
          <w:u w:val="single"/>
          <w:lang w:val="en-US" w:eastAsia="zh-CN"/>
        </w:rPr>
        <w:t>630.0</w:t>
      </w:r>
      <w:r>
        <w:rPr>
          <w:rFonts w:hint="eastAsia" w:asciiTheme="minorEastAsia" w:hAnsiTheme="minorEastAsia" w:cstheme="minorEastAsia"/>
          <w:b/>
          <w:color w:val="auto"/>
          <w:sz w:val="28"/>
          <w:szCs w:val="28"/>
          <w:highlight w:val="none"/>
          <w:u w:val="single"/>
          <w:lang w:val="en-US" w:eastAsia="zh-CN"/>
        </w:rPr>
        <w:t>0</w:t>
      </w:r>
      <w:r>
        <w:rPr>
          <w:rFonts w:hint="eastAsia" w:asciiTheme="minorEastAsia" w:hAnsiTheme="minorEastAsia" w:eastAsiaTheme="minorEastAsia" w:cstheme="minorEastAsia"/>
          <w:b/>
          <w:color w:val="auto"/>
          <w:sz w:val="28"/>
          <w:szCs w:val="28"/>
          <w:highlight w:val="none"/>
        </w:rPr>
        <w:t>万元</w:t>
      </w:r>
    </w:p>
    <w:tbl>
      <w:tblPr>
        <w:tblStyle w:val="20"/>
        <w:tblW w:w="461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9"/>
        <w:gridCol w:w="606"/>
        <w:gridCol w:w="721"/>
        <w:gridCol w:w="1077"/>
        <w:gridCol w:w="769"/>
        <w:gridCol w:w="50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132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color w:val="auto"/>
                <w:kern w:val="0"/>
                <w:highlight w:val="none"/>
              </w:rPr>
              <w:t>货物名称</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数量</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单位</w:t>
            </w:r>
          </w:p>
        </w:tc>
        <w:tc>
          <w:tcPr>
            <w:tcW w:w="5036"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bCs/>
                <w:color w:val="auto"/>
                <w:highlight w:val="none"/>
              </w:rPr>
              <w:t>主要技术参数及性能要求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327" w:type="dxa"/>
            <w:gridSpan w:val="2"/>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三价流感病毒裂解疫苗（三）</w:t>
            </w:r>
          </w:p>
        </w:tc>
        <w:tc>
          <w:tcPr>
            <w:tcW w:w="107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700000</w:t>
            </w:r>
          </w:p>
        </w:tc>
        <w:tc>
          <w:tcPr>
            <w:tcW w:w="769"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color w:val="auto"/>
                <w:szCs w:val="21"/>
                <w:highlight w:val="none"/>
              </w:rPr>
            </w:pPr>
            <w:r>
              <w:rPr>
                <w:rFonts w:hint="eastAsia" w:ascii="宋体" w:hAnsi="宋体"/>
                <w:color w:val="auto"/>
                <w:szCs w:val="21"/>
                <w:highlight w:val="none"/>
                <w:lang w:val="en-US" w:eastAsia="zh-CN"/>
              </w:rPr>
              <w:t>支</w:t>
            </w:r>
          </w:p>
        </w:tc>
        <w:tc>
          <w:tcPr>
            <w:tcW w:w="503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textAlignment w:val="top"/>
              <w:rPr>
                <w:rFonts w:hint="eastAsia"/>
              </w:rPr>
            </w:pPr>
            <w:r>
              <w:rPr>
                <w:rFonts w:hint="eastAsia"/>
              </w:rPr>
              <w:t>▲1.规格：0.5ml/支，每1次人用剂量为0.5ml，含各型流感病毒株血凝素应为15μg。</w:t>
            </w:r>
          </w:p>
          <w:p>
            <w:pPr>
              <w:widowControl/>
              <w:numPr>
                <w:ilvl w:val="0"/>
                <w:numId w:val="0"/>
              </w:numPr>
              <w:spacing w:line="360" w:lineRule="exact"/>
              <w:textAlignment w:val="top"/>
              <w:rPr>
                <w:rFonts w:hint="eastAsia"/>
              </w:rPr>
            </w:pPr>
            <w:r>
              <w:rPr>
                <w:rFonts w:hint="eastAsia"/>
                <w:lang w:val="en-US" w:eastAsia="zh-CN"/>
              </w:rPr>
              <w:t>2.</w:t>
            </w:r>
            <w:r>
              <w:rPr>
                <w:rFonts w:hint="eastAsia"/>
              </w:rPr>
              <w:t>外观：应为微乳白色液体，无异物。</w:t>
            </w:r>
          </w:p>
          <w:p>
            <w:pPr>
              <w:widowControl/>
              <w:numPr>
                <w:ilvl w:val="0"/>
                <w:numId w:val="0"/>
              </w:numPr>
              <w:spacing w:line="360" w:lineRule="exact"/>
              <w:textAlignment w:val="top"/>
              <w:rPr>
                <w:rFonts w:hint="eastAsia"/>
              </w:rPr>
            </w:pPr>
            <w:r>
              <w:rPr>
                <w:rFonts w:hint="eastAsia"/>
              </w:rPr>
              <w:t>▲3.包装：预灌封注射器。</w:t>
            </w:r>
          </w:p>
          <w:p>
            <w:pPr>
              <w:widowControl/>
              <w:spacing w:line="360" w:lineRule="exact"/>
              <w:textAlignment w:val="top"/>
              <w:rPr>
                <w:rFonts w:hint="eastAsia"/>
              </w:rPr>
            </w:pPr>
            <w:r>
              <w:rPr>
                <w:rFonts w:hint="eastAsia"/>
              </w:rPr>
              <w:t>4.接种对象：3岁以上</w:t>
            </w:r>
            <w:r>
              <w:rPr>
                <w:rFonts w:hint="eastAsia"/>
                <w:lang w:val="en-US" w:eastAsia="zh-CN"/>
              </w:rPr>
              <w:t>人群</w:t>
            </w:r>
            <w:r>
              <w:rPr>
                <w:rFonts w:hint="eastAsia"/>
              </w:rPr>
              <w:t>。</w:t>
            </w:r>
          </w:p>
          <w:p>
            <w:pPr>
              <w:widowControl/>
              <w:spacing w:line="360" w:lineRule="exact"/>
              <w:textAlignment w:val="top"/>
              <w:rPr>
                <w:rFonts w:hint="eastAsia"/>
                <w:lang w:val="en-US" w:eastAsia="zh-CN"/>
              </w:rPr>
            </w:pPr>
            <w:r>
              <w:rPr>
                <w:rFonts w:hint="eastAsia"/>
                <w:lang w:val="en-US" w:eastAsia="zh-CN"/>
              </w:rPr>
              <w:t>5</w:t>
            </w:r>
            <w:r>
              <w:rPr>
                <w:rFonts w:hint="eastAsia"/>
              </w:rPr>
              <w:t>.</w:t>
            </w:r>
            <w:r>
              <w:rPr>
                <w:rFonts w:hint="eastAsia"/>
                <w:lang w:val="en-US" w:eastAsia="zh-CN"/>
              </w:rPr>
              <w:t>贮藏：于 2-8℃避光保存和运输。严禁冻结。</w:t>
            </w:r>
          </w:p>
          <w:p>
            <w:pPr>
              <w:widowControl/>
              <w:spacing w:line="360" w:lineRule="exact"/>
              <w:textAlignment w:val="top"/>
              <w:rPr>
                <w:rFonts w:hint="default"/>
                <w:lang w:val="en-US"/>
              </w:rPr>
            </w:pPr>
            <w:r>
              <w:rPr>
                <w:rFonts w:hint="eastAsia"/>
                <w:lang w:val="en-US" w:eastAsia="zh-CN"/>
              </w:rPr>
              <w:t>6.有效期：从送达交货地点并完成验收工作之日起，需保证疫苗剩余有效期不少于 6 个月。</w:t>
            </w:r>
          </w:p>
          <w:p>
            <w:pPr>
              <w:widowControl/>
              <w:spacing w:line="360" w:lineRule="exact"/>
              <w:textAlignment w:val="top"/>
              <w:rPr>
                <w:rFonts w:hint="eastAsia"/>
              </w:rPr>
            </w:pPr>
            <w:r>
              <w:rPr>
                <w:rFonts w:hint="eastAsia"/>
                <w:lang w:val="en-US" w:eastAsia="zh-CN"/>
              </w:rPr>
              <w:t>7</w:t>
            </w:r>
            <w:r>
              <w:rPr>
                <w:rFonts w:hint="eastAsia"/>
              </w:rPr>
              <w:t>.质量符合《中华人民共和国药典（2025年版）三部》的标准，并提供质检报告等质量保证相关资料复印件。</w:t>
            </w:r>
          </w:p>
          <w:p>
            <w:pPr>
              <w:widowControl/>
              <w:spacing w:line="360" w:lineRule="exact"/>
              <w:textAlignment w:val="top"/>
              <w:rPr>
                <w:rFonts w:hint="eastAsia"/>
              </w:rPr>
            </w:pPr>
            <w:r>
              <w:rPr>
                <w:rFonts w:hint="eastAsia" w:asciiTheme="minorHAnsi" w:hAnsiTheme="minorHAnsi" w:eastAsiaTheme="minorEastAsia" w:cstheme="minorBidi"/>
                <w:bCs w:val="0"/>
                <w:caps w:val="0"/>
                <w:szCs w:val="24"/>
                <w:lang w:val="en-US" w:eastAsia="zh-CN"/>
              </w:rPr>
              <w:t>8.具体</w:t>
            </w:r>
            <w:r>
              <w:rPr>
                <w:rFonts w:hint="eastAsia" w:asciiTheme="minorHAnsi" w:hAnsiTheme="minorHAnsi" w:eastAsiaTheme="minorEastAsia" w:cstheme="minorBidi"/>
                <w:bCs w:val="0"/>
                <w:caps w:val="0"/>
                <w:szCs w:val="24"/>
              </w:rPr>
              <w:t>投标产品有效期内的生物制品批签发证明或2026年国家食品药品检定研究院或省级药品监督管理局接受检验回执</w:t>
            </w:r>
            <w:r>
              <w:rPr>
                <w:rFonts w:hint="eastAsia" w:asciiTheme="minorHAnsi" w:hAnsiTheme="minorHAnsi" w:eastAsiaTheme="minorEastAsia" w:cstheme="minorBidi"/>
                <w:bCs w:val="0"/>
                <w:caps w:val="0"/>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hint="eastAsia" w:ascii="宋体" w:hAnsi="宋体"/>
                <w:b/>
                <w:bCs/>
                <w:color w:val="auto"/>
                <w:szCs w:val="21"/>
                <w:highlight w:val="none"/>
              </w:rPr>
            </w:pPr>
            <w:r>
              <w:rPr>
                <w:rFonts w:hint="eastAsia" w:ascii="宋体" w:hAnsi="宋体"/>
                <w:b/>
                <w:color w:val="auto"/>
                <w:szCs w:val="21"/>
                <w:highlight w:val="none"/>
              </w:rPr>
              <w:t>一、商务要求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合同签订时间</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自中标通知书发出之日起25日内与采购人完成合同签订。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▲交付使用时间及地点</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1.交货时间：按采购人提供的供货计划分批供货，接到配送计划后由中标供应商在</w:t>
            </w:r>
            <w:r>
              <w:rPr>
                <w:rFonts w:hint="eastAsia" w:ascii="宋体" w:hAnsi="宋体"/>
                <w:color w:val="auto"/>
                <w:szCs w:val="21"/>
                <w:highlight w:val="none"/>
                <w:lang w:val="en-US" w:eastAsia="zh-CN"/>
              </w:rPr>
              <w:t>5</w:t>
            </w:r>
            <w:r>
              <w:rPr>
                <w:rFonts w:hint="eastAsia" w:ascii="宋体" w:hAnsi="宋体"/>
                <w:color w:val="auto"/>
                <w:szCs w:val="21"/>
                <w:highlight w:val="none"/>
              </w:rPr>
              <w:t>个工作日内配送到交货地点。</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2.交货地点：广西区内采购人指定地点；未验收前保管工作由中标供应商自行负责。</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3.中标供应商必须承担产品运输、验收检测和提供产品说明书等其他类似的义务。</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4.交货方式：现场交货。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▲质保期</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eastAsia="宋体" w:cs="Times New Roman"/>
                <w:color w:val="auto"/>
                <w:szCs w:val="21"/>
                <w:highlight w:val="none"/>
              </w:rPr>
              <w:t>自交货验收合格之日起有效期：≥</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个月。所送货品应明确标示批号、生产日期和有效期。从送达交货地点并完成验收工作之日起，投标人需保证疫苗剩余有效期不少于6个月，不符合要求的，采购人有权拒收。对近效期（≤</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个月）疫苗，采购人可根据情况要求进行退换货处理，替换的货物到达采购人指定地点时的有效期应≥6个月。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包装要求</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投标产品的包装及标识执行国家标准，标识中应标明产品名称、注册号、批号、成分、浓度、剂量、储存、温度、规格、失效期以及生产厂家名称、地址、联系电话等信息。</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投标产品包装应符合《生物制品包装规程》的标准，具有良好的密封性和防潮性，破损率低于国家规定标准。</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大包装指整箱，中包装指大包装里面的中盒，小包装指中包装里面每剂次（支或瓶）的包装盒。大、中、小包装均应印有批号（生产日期）、失效期</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规格、包装规格、追溯码</w:t>
            </w:r>
            <w:r>
              <w:rPr>
                <w:rFonts w:hint="eastAsia" w:ascii="宋体" w:hAnsi="宋体" w:eastAsia="宋体" w:cs="Times New Roman"/>
                <w:color w:val="auto"/>
                <w:szCs w:val="21"/>
                <w:highlight w:val="none"/>
              </w:rPr>
              <w:t>等包装标识，大包装和中包装应印有或贴有“免费”字样。小包装应附中文使用说明书一份。</w:t>
            </w:r>
          </w:p>
          <w:p>
            <w:pPr>
              <w:spacing w:line="360" w:lineRule="exact"/>
              <w:ind w:firstLine="421" w:firstLineChars="200"/>
              <w:rPr>
                <w:rFonts w:hint="eastAsia" w:ascii="宋体" w:hAnsi="宋体"/>
                <w:color w:val="auto"/>
                <w:szCs w:val="21"/>
                <w:highlight w:val="none"/>
              </w:rPr>
            </w:pPr>
            <w:r>
              <w:rPr>
                <w:rFonts w:hint="eastAsia" w:ascii="宋体" w:hAnsi="宋体"/>
                <w:b/>
                <w:bCs/>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供应商应提供精确到疫苗最小包装的追溯码和对应的码源关系数据，并在货物到达采购人指定省、市或县级疾控中心前完成在国家疫苗追溯协同服务平台对应追溯码数据库的上传。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供货及运输</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1.采购人提出供货需求后供应商应在5个工作日内将货物运抵至采购人指定地点。</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2.储存和运输应符合《中华人民共和国疫苗管理法》《药品经营质量管理规范》《疫苗储存和运输管理规范》和《预防接种工作规范》的规定，采取有效措施保证储运过程中的疫苗质量，并提供疫苗储存及运输过程中的冷链监测数据。</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3.根据采购人的实际需求采用冷链设备将疫苗运抵至制定市或县级疾控中心（同时提供货物清单、每个供货批次批签发证明文件和合格的检验报告等工作所需材料）。</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4.货物运送至市或县级疾控中心后，在3个工作日由成交供应商和采购人进行联合验收。货物的外包装应完整且符合储存运输要求。如不符合上述要求，采购人可拒绝接收。</w:t>
            </w:r>
          </w:p>
          <w:p>
            <w:pPr>
              <w:spacing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5.供应商供应本项目的疫苗批号需与供应广西的非免疫规划疫苗批号有区分，同批号疫苗不再作为非免疫规划疫苗销售到广西。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质量、安全性、有效性及稳定性要求</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供应商所提供的疫苗无质量相关的不良记录（指药品监督管理部门在日常监督检查过程中出具的任何与报价产品质量相关的处罚或通告，提供承诺函）。</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供应商所提供的疫苗具有国家药监局临床试验备案的医疗机构或者疾病预防控制机构出具的临床试验报告。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提供投标产品近3年（2023年1月-2025年12月）疑似预防接种异常反应（AEFI）监测数据和参与处理的投标产品疑似预防接种异常反应的相关报告数据（含AEFI监测数据与ADR反馈数据），报告数据包含但不仅限于不良反应类型、判定与依据、响应时间、处置过程等关键技术数据。</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投标人提供投标产品上市后Ⅳ期临床研究文献（《科学引文索引》期刊。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投标人提供投标产品上市后国内免疫原性、安全性研究和免疫持久性研究文献（《科学引文索引》期刊）。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投标人提供投标产品上市后与其他疫苗在目标人群中联合接种研究文献（《科学引文索引》期刊）。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投标人应对投标产品的开展热稳定性评价实验，提供疫苗稳定性试验结果及说明。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售后服务要求</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1.需确保疫苗的完整性。对于采购文件没有列出，而对疫苗的正常使用必不可少的且应属于疫苗需求配带的物品，成交供应商有责任给予补充。</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2.需承诺协助采购人处理疑似预防接种异常反应，并提供处理措施方案的人员配置和服务。</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▲3.属于预防接种异常反应或者不能排除的，由供应商参照《广西预防接种异常反应补偿办法》的补偿标准承担相应补偿费用（</w:t>
            </w:r>
            <w:r>
              <w:rPr>
                <w:rFonts w:hint="eastAsia" w:ascii="宋体" w:hAnsi="宋体" w:eastAsia="宋体" w:cs="宋体"/>
                <w:color w:val="auto"/>
                <w:sz w:val="21"/>
                <w:szCs w:val="21"/>
                <w:highlight w:val="none"/>
                <w:lang w:eastAsia="zh-CN"/>
              </w:rPr>
              <w:t>投标时</w:t>
            </w:r>
            <w:r>
              <w:rPr>
                <w:rFonts w:hint="eastAsia" w:ascii="宋体" w:hAnsi="宋体" w:eastAsia="宋体" w:cs="宋体"/>
                <w:color w:val="auto"/>
                <w:sz w:val="21"/>
                <w:szCs w:val="21"/>
                <w:highlight w:val="none"/>
              </w:rPr>
              <w:t>提供承诺函）。投标人应将投标产品的预防接种异常反应补偿纳入商业化保险，提供有效期内的保险合同。</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4.在合同执行过程中,供应商负责对临近、超过有效期或少液等其它在疫苗生产过程中形成的不合格的疫苗进行无条件更换或退回。</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产品提交给采购人后，采购人在质量保证期内有权要求国家药检部门对产品实施检验。由于产品质量问题要求回收产品时的费用及损失由投标人承担。若对产品质量出现争议，则中国食品药品检定研究院的检验报告具有强制约束力.</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应具有良好的售后服务能力和网络，应保证产品的及时供应，有专职人员动态监测产品销售、运输情况。投标人应提供有关其售后服务的信息，包括名称、建立时间、技术人员的数量、联系人和联系方式情况，以及采购人能在本项目下得到的有效的售后服务计划和承诺</w:t>
            </w:r>
          </w:p>
          <w:p>
            <w:pPr>
              <w:spacing w:line="360" w:lineRule="exact"/>
              <w:ind w:firstLine="420" w:firstLineChars="200"/>
              <w:rPr>
                <w:rFonts w:hint="eastAsia" w:ascii="宋体" w:hAnsi="宋体"/>
                <w:color w:val="auto"/>
                <w:szCs w:val="21"/>
                <w:highlight w:val="none"/>
              </w:rPr>
            </w:pPr>
            <w:r>
              <w:rPr>
                <w:rFonts w:hint="eastAsia" w:ascii="宋体" w:hAnsi="宋体" w:eastAsia="宋体" w:cs="宋体"/>
                <w:color w:val="auto"/>
                <w:sz w:val="21"/>
                <w:szCs w:val="21"/>
                <w:highlight w:val="none"/>
              </w:rPr>
              <w:t>7.提供应急供货实施方案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付款方式</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无预付款，</w:t>
            </w:r>
            <w:r>
              <w:rPr>
                <w:rFonts w:hint="eastAsia" w:ascii="宋体" w:hAnsi="宋体"/>
                <w:color w:val="auto"/>
                <w:szCs w:val="21"/>
                <w:highlight w:val="none"/>
                <w:lang w:eastAsia="zh-CN"/>
              </w:rPr>
              <w:t>按采购人供货需求分批供货，以实际供货量进行结算。</w:t>
            </w:r>
            <w:r>
              <w:rPr>
                <w:rFonts w:hint="eastAsia" w:ascii="宋体" w:hAnsi="宋体"/>
                <w:color w:val="auto"/>
                <w:szCs w:val="21"/>
                <w:highlight w:val="none"/>
              </w:rPr>
              <w:t>每批货物供货完毕并验收合格之日起15个工作日内，中标供应商开具请款函及发票给采购人，采购人在收到请款函及发票之日起10个工作日内支付该批货物合同款给中标供应商。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报价及要求</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人的投标报价为人民币含税价，本项目实行总价包干且为采购人指定地点的现场交货价。投标报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知识产权</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ind w:right="-57" w:rightChars="-27" w:firstLine="420" w:firstLineChars="200"/>
              <w:jc w:val="left"/>
              <w:rPr>
                <w:rFonts w:hint="eastAsia" w:ascii="宋体" w:hAnsi="宋体"/>
                <w:color w:val="auto"/>
                <w:szCs w:val="21"/>
                <w:highlight w:val="none"/>
              </w:rPr>
            </w:pPr>
            <w:r>
              <w:rPr>
                <w:rFonts w:hint="eastAsia" w:ascii="宋体" w:hAnsi="宋体"/>
                <w:color w:val="auto"/>
                <w:szCs w:val="21"/>
                <w:highlight w:val="none"/>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验收要求</w:t>
            </w:r>
          </w:p>
        </w:tc>
        <w:tc>
          <w:tcPr>
            <w:tcW w:w="7603"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1.采购人可以根据采购项目具体情况自行组织验收，或者委托第三方机构或部门开展采购项目履约验收工作，验收过程中所产生的费用均由中标人承担，投标人在投标报价时应考虑相关费用。</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2.在验收过程中发现中标人有违约问题，可暂缓资金结算，待违约问题解决后，方可办理资金结算事宜。</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3.验收依据：按合同（含本招标文件采购需求、中标供应商投标文件承诺）要求及国家标准进行验收。</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4.验收标准</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（1）中标供应商按采购人需求清单进行供货，货物交到指定地点后，</w:t>
            </w:r>
            <w:r>
              <w:rPr>
                <w:rFonts w:hint="eastAsia" w:hAnsi="宋体"/>
                <w:color w:val="auto"/>
                <w:sz w:val="21"/>
                <w:highlight w:val="none"/>
                <w:lang w:val="en-US" w:eastAsia="zh-CN"/>
              </w:rPr>
              <w:t>由采购人指定收货人及中标供应商</w:t>
            </w:r>
            <w:r>
              <w:rPr>
                <w:rFonts w:hint="eastAsia" w:hAnsi="宋体"/>
                <w:color w:val="auto"/>
                <w:sz w:val="21"/>
                <w:highlight w:val="none"/>
              </w:rPr>
              <w:t>双方现场进行货品清点。货物的外包装应牢固、完好，符合储存运输要求，相关资料齐全，疫苗效期满足约定要求。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（2）供应商必须按投标文件和合同约定的品牌、规格供货，验收期间如发现货物有破损</w:t>
            </w:r>
            <w:r>
              <w:rPr>
                <w:rFonts w:hint="eastAsia" w:hAnsi="宋体"/>
                <w:color w:val="auto"/>
                <w:sz w:val="21"/>
                <w:highlight w:val="none"/>
                <w:lang w:val="en-US" w:eastAsia="zh-CN"/>
              </w:rPr>
              <w:t>或</w:t>
            </w:r>
            <w:r>
              <w:rPr>
                <w:rFonts w:hint="eastAsia" w:hAnsi="宋体"/>
                <w:color w:val="auto"/>
                <w:sz w:val="21"/>
                <w:highlight w:val="none"/>
              </w:rPr>
              <w:t>验收不合格时，中标供应商必须在采购人指定的时间内无条件更换，由此造成的损失和责任由供应商承担。货物交付并验收合格，双方签署验收单，作为合同款结算依据。</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（3）如有抽检要求的，检测结果应符合招标文件采购需求及采购合同约定的要求。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（4）所有产品均已运输至指定地点。</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（5）招标文件采购需求及采购合同约定的附件、技术资料等齐全；提供产品使用说明书、合格证。</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5.验收要求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lang w:eastAsia="zh-CN"/>
              </w:rPr>
              <w:t>（</w:t>
            </w:r>
            <w:r>
              <w:rPr>
                <w:rFonts w:hint="eastAsia" w:hAnsi="宋体"/>
                <w:color w:val="auto"/>
                <w:sz w:val="21"/>
                <w:highlight w:val="none"/>
                <w:lang w:val="en-US" w:eastAsia="zh-CN"/>
              </w:rPr>
              <w:t>1）</w:t>
            </w:r>
            <w:r>
              <w:rPr>
                <w:rFonts w:hint="eastAsia" w:hAnsi="宋体"/>
                <w:color w:val="auto"/>
                <w:sz w:val="21"/>
                <w:highlight w:val="none"/>
              </w:rPr>
              <w:t>中标人按时间节点完成货物供货后，应及时整理技术资料并作出全面检查和整理，列出清单，作为采购人验收和使用的技术条件依据，清单应交给采购人；</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2</w:t>
            </w:r>
            <w:r>
              <w:rPr>
                <w:rFonts w:hint="eastAsia" w:hAnsi="宋体"/>
                <w:color w:val="auto"/>
                <w:sz w:val="21"/>
                <w:highlight w:val="none"/>
              </w:rPr>
              <w:t>）验收小组依据招标文件、中标人投标文件技术参数逐条进行验收，采购人在产品验收环节发现产品的技术参数指标达不到投标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（3）验收时中标人提供验收文档，包括但不限于：技术方案、实施方案、售后服务方案、培训方案、测试文档、使用说明书、电子文档，以及对所有需要进行核查的原件等。</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4</w:t>
            </w:r>
            <w:r>
              <w:rPr>
                <w:rFonts w:hint="eastAsia" w:hAnsi="宋体"/>
                <w:color w:val="auto"/>
                <w:sz w:val="21"/>
                <w:highlight w:val="none"/>
              </w:rPr>
              <w:t>）项目验收过程中，若采购人委托第三方检测机构介入的，费用由中标人另行承担。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eastAsia="宋体" w:cs="宋体"/>
                <w:color w:val="auto"/>
                <w:sz w:val="21"/>
                <w:szCs w:val="21"/>
                <w:highlight w:val="none"/>
              </w:rPr>
              <w:t>▲</w:t>
            </w:r>
            <w:r>
              <w:rPr>
                <w:rFonts w:hint="eastAsia" w:ascii="宋体" w:hAnsi="宋体"/>
                <w:color w:val="auto"/>
                <w:szCs w:val="21"/>
                <w:highlight w:val="none"/>
              </w:rPr>
              <w:t>履约保证金</w:t>
            </w:r>
          </w:p>
        </w:tc>
        <w:tc>
          <w:tcPr>
            <w:tcW w:w="7603"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1.中标公告发布之日起</w:t>
            </w:r>
            <w:r>
              <w:rPr>
                <w:rFonts w:hint="eastAsia" w:hAnsi="宋体"/>
                <w:color w:val="auto"/>
                <w:sz w:val="21"/>
                <w:highlight w:val="none"/>
                <w:lang w:val="en-US" w:eastAsia="zh-CN"/>
              </w:rPr>
              <w:t>5</w:t>
            </w:r>
            <w:r>
              <w:rPr>
                <w:rFonts w:hint="eastAsia" w:hAnsi="宋体"/>
                <w:color w:val="auto"/>
                <w:sz w:val="21"/>
                <w:highlight w:val="none"/>
              </w:rPr>
              <w:t>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开户名称：广西壮族自治区疾病预防控制中心</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开户银行：建行南宁市汇春路支行</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 xml:space="preserve">银行账号：4500 1604 5680 5070 0256  </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2.履约保证金提交方式：支票、汇票、本票、银行转账或者金融机构、担保机构出具的保函等非现金形式。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bCs/>
                <w:color w:val="auto"/>
                <w:szCs w:val="21"/>
                <w:highlight w:val="none"/>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（一）投标人的履约能力要求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质量管理、企业信用要求</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5"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能力或者业绩要求</w:t>
            </w:r>
          </w:p>
        </w:tc>
        <w:tc>
          <w:tcPr>
            <w:tcW w:w="7603"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exact"/>
              <w:rPr>
                <w:rFonts w:hint="eastAsia" w:ascii="宋体" w:hAnsi="宋体"/>
                <w:bCs/>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二</w:t>
            </w:r>
            <w:r>
              <w:rPr>
                <w:rFonts w:hint="eastAsia" w:ascii="宋体" w:hAnsi="宋体"/>
                <w:b/>
                <w:color w:val="auto"/>
                <w:szCs w:val="21"/>
                <w:highlight w:val="none"/>
              </w:rPr>
              <w:t>）验收事项其他说明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1.本章《采购需求》有其他要求的按其要求。</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合同履行过程中，由采购人根据中标人所提供的货物或服务，对照招标文件要求及中标人投标文件承诺进行检验并记录，发现中标人在投标文件中有弄虚作假的行为，或在投标文件中有针对技术商务条款有虚假响应情况的，采购单位将终止合同或不予验收，并追究中标人的责任，由此带来的一切损失由中标人自行承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其他未尽事宜应严格按照《关于印发广西壮族自治区政府采购项目履约验收管理办法的通知》[桂财采〔2015〕22号]以及《财政部关于进一步加强政府采购需求和履约验收管理的指导意见》[财库〔2016〕205号]规定执行。</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4.验收过程中，除另有约定的以外，所产生的费用均由中标人承担。报价时应考虑相关费用。</w:t>
            </w:r>
          </w:p>
          <w:p>
            <w:pPr>
              <w:spacing w:line="360" w:lineRule="exact"/>
              <w:ind w:firstLine="411" w:firstLineChars="196"/>
              <w:rPr>
                <w:rFonts w:hint="eastAsia" w:ascii="宋体" w:hAnsi="宋体"/>
                <w:color w:val="auto"/>
                <w:szCs w:val="21"/>
                <w:highlight w:val="none"/>
              </w:rPr>
            </w:pPr>
            <w:r>
              <w:rPr>
                <w:rFonts w:hint="eastAsia" w:ascii="宋体" w:hAnsi="宋体"/>
                <w:color w:val="auto"/>
                <w:szCs w:val="21"/>
                <w:highlight w:val="none"/>
              </w:rPr>
              <w:t>5.产品实行强制标准认证制度、生产许可证制度、销售或经营许可证制度、注册证制度的，中标人均应提供相关有效的证书复印件。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三</w:t>
            </w:r>
            <w:r>
              <w:rPr>
                <w:rFonts w:hint="eastAsia" w:ascii="宋体" w:hAnsi="宋体"/>
                <w:b/>
                <w:color w:val="auto"/>
                <w:szCs w:val="21"/>
                <w:highlight w:val="none"/>
              </w:rPr>
              <w:t>）其他要求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1.投标人结合自身能力及本项目采购需求，请在投标文件中提供项目实施方案（包括但不限于项目实施管理、组织架构、产品配送组织计划、</w:t>
            </w:r>
            <w:r>
              <w:rPr>
                <w:rFonts w:hint="eastAsia" w:ascii="宋体" w:hAnsi="宋体"/>
                <w:bCs/>
                <w:color w:val="auto"/>
                <w:szCs w:val="21"/>
                <w:highlight w:val="none"/>
              </w:rPr>
              <w:t>运输方式及交货</w:t>
            </w:r>
            <w:r>
              <w:rPr>
                <w:rFonts w:hint="eastAsia" w:ascii="宋体" w:hAnsi="宋体"/>
                <w:color w:val="auto"/>
                <w:szCs w:val="21"/>
                <w:highlight w:val="none"/>
              </w:rPr>
              <w:t>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.如有，请投标文件中提供技术能力相关证明，包含但不限于信誉、业绩等内容。</w:t>
            </w:r>
          </w:p>
          <w:p>
            <w:pPr>
              <w:spacing w:line="360" w:lineRule="exact"/>
              <w:ind w:firstLine="421" w:firstLineChars="200"/>
              <w:rPr>
                <w:rFonts w:hint="eastAsia" w:ascii="宋体" w:hAnsi="宋体"/>
                <w:b/>
                <w:color w:val="auto"/>
                <w:szCs w:val="21"/>
                <w:highlight w:val="none"/>
              </w:rPr>
            </w:pPr>
            <w:r>
              <w:rPr>
                <w:rFonts w:hint="eastAsia" w:ascii="宋体" w:hAnsi="宋体"/>
                <w:b/>
                <w:color w:val="auto"/>
                <w:szCs w:val="21"/>
                <w:highlight w:val="none"/>
                <w:lang w:val="en-US" w:eastAsia="zh-CN"/>
              </w:rPr>
              <w:t>3</w:t>
            </w:r>
            <w:r>
              <w:rPr>
                <w:rFonts w:hint="eastAsia" w:ascii="宋体" w:hAnsi="宋体"/>
                <w:b/>
                <w:color w:val="auto"/>
                <w:szCs w:val="21"/>
                <w:highlight w:val="none"/>
              </w:rPr>
              <w:t>.“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b/>
                <w:color w:val="auto"/>
                <w:szCs w:val="21"/>
                <w:highlight w:val="none"/>
              </w:rPr>
              <w:t>三、其他说明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18"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b/>
                <w:color w:val="auto"/>
                <w:szCs w:val="21"/>
                <w:highlight w:val="none"/>
                <w:u w:val="single"/>
              </w:rPr>
              <w:t>本项目以分标预算金额为最高限价，投标人的投标报价超所投分标最高限价的作无效投标处理</w:t>
            </w:r>
            <w:r>
              <w:rPr>
                <w:rFonts w:hint="eastAsia" w:ascii="宋体" w:hAnsi="宋体"/>
                <w:color w:val="auto"/>
                <w:szCs w:val="21"/>
                <w:highlight w:val="none"/>
              </w:rPr>
              <w:t>。</w:t>
            </w:r>
          </w:p>
          <w:p>
            <w:pPr>
              <w:spacing w:line="360" w:lineRule="exact"/>
              <w:ind w:firstLine="404" w:firstLineChars="200"/>
              <w:rPr>
                <w:rFonts w:hint="eastAsia" w:ascii="宋体" w:hAnsi="宋体"/>
                <w:bCs/>
                <w:color w:val="auto"/>
                <w:spacing w:val="-4"/>
                <w:szCs w:val="21"/>
                <w:highlight w:val="none"/>
              </w:rPr>
            </w:pPr>
            <w:r>
              <w:rPr>
                <w:rFonts w:hint="eastAsia" w:ascii="宋体" w:hAnsi="宋体"/>
                <w:color w:val="auto"/>
                <w:spacing w:val="-4"/>
                <w:szCs w:val="21"/>
                <w:highlight w:val="none"/>
              </w:rPr>
              <w:t>▲</w:t>
            </w:r>
            <w:r>
              <w:rPr>
                <w:rFonts w:hint="eastAsia" w:ascii="宋体" w:hAnsi="宋体"/>
                <w:b/>
                <w:color w:val="auto"/>
                <w:spacing w:val="-4"/>
                <w:szCs w:val="21"/>
                <w:highlight w:val="none"/>
              </w:rPr>
              <w:t>2.</w:t>
            </w:r>
            <w:r>
              <w:rPr>
                <w:rFonts w:hint="eastAsia" w:ascii="宋体" w:hAnsi="宋体"/>
                <w:color w:val="auto"/>
                <w:spacing w:val="-4"/>
                <w:szCs w:val="21"/>
                <w:highlight w:val="none"/>
              </w:rPr>
              <w:t>投标人就本需求中全部内容作完整唯一报价，不完整响应或拆分投标的将导致投标无效。</w:t>
            </w:r>
          </w:p>
        </w:tc>
      </w:tr>
    </w:tbl>
    <w:p>
      <w:pPr>
        <w:snapToGrid w:val="0"/>
        <w:spacing w:line="360" w:lineRule="auto"/>
        <w:ind w:firstLine="648" w:firstLineChars="202"/>
        <w:jc w:val="center"/>
        <w:rPr>
          <w:rFonts w:ascii="宋体" w:hAnsi="宋体" w:cs="宋体"/>
          <w:b/>
          <w:bCs/>
          <w:color w:val="auto"/>
          <w:sz w:val="32"/>
          <w:szCs w:val="32"/>
          <w:highlight w:val="none"/>
        </w:rPr>
      </w:pPr>
    </w:p>
    <w:p>
      <w:pPr>
        <w:spacing w:line="360" w:lineRule="exact"/>
        <w:ind w:firstLine="413" w:firstLineChars="147"/>
        <w:jc w:val="left"/>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u w:val="single"/>
        </w:rPr>
        <w:t>分标</w:t>
      </w:r>
      <w:r>
        <w:rPr>
          <w:rFonts w:hint="eastAsia" w:asciiTheme="minorEastAsia" w:hAnsiTheme="minorEastAsia" w:eastAsiaTheme="minorEastAsia" w:cstheme="minorEastAsia"/>
          <w:b/>
          <w:color w:val="auto"/>
          <w:sz w:val="28"/>
          <w:szCs w:val="28"/>
          <w:highlight w:val="none"/>
          <w:u w:val="single"/>
          <w:lang w:val="en-US" w:eastAsia="zh-CN"/>
        </w:rPr>
        <w:t>4</w:t>
      </w:r>
      <w:r>
        <w:rPr>
          <w:rFonts w:hint="eastAsia" w:asciiTheme="minorEastAsia" w:hAnsiTheme="minorEastAsia" w:eastAsiaTheme="minorEastAsia" w:cstheme="minorEastAsia"/>
          <w:b/>
          <w:color w:val="auto"/>
          <w:sz w:val="28"/>
          <w:szCs w:val="28"/>
          <w:highlight w:val="none"/>
        </w:rPr>
        <w:t xml:space="preserve">    采购预算：</w:t>
      </w:r>
      <w:r>
        <w:rPr>
          <w:rFonts w:hint="eastAsia" w:asciiTheme="minorEastAsia" w:hAnsiTheme="minorEastAsia" w:eastAsiaTheme="minorEastAsia" w:cstheme="minorEastAsia"/>
          <w:b/>
          <w:color w:val="auto"/>
          <w:sz w:val="28"/>
          <w:szCs w:val="28"/>
          <w:highlight w:val="none"/>
          <w:u w:val="single"/>
          <w:lang w:val="en-US" w:eastAsia="zh-CN"/>
        </w:rPr>
        <w:t>90.2538</w:t>
      </w:r>
      <w:r>
        <w:rPr>
          <w:rFonts w:hint="eastAsia" w:asciiTheme="minorEastAsia" w:hAnsiTheme="minorEastAsia" w:eastAsiaTheme="minorEastAsia" w:cstheme="minorEastAsia"/>
          <w:b/>
          <w:color w:val="auto"/>
          <w:sz w:val="28"/>
          <w:szCs w:val="28"/>
          <w:highlight w:val="none"/>
        </w:rPr>
        <w:t>万元</w:t>
      </w:r>
    </w:p>
    <w:tbl>
      <w:tblPr>
        <w:tblStyle w:val="20"/>
        <w:tblW w:w="477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0"/>
        <w:gridCol w:w="606"/>
        <w:gridCol w:w="721"/>
        <w:gridCol w:w="1077"/>
        <w:gridCol w:w="769"/>
        <w:gridCol w:w="53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132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color w:val="auto"/>
                <w:kern w:val="0"/>
                <w:highlight w:val="none"/>
              </w:rPr>
              <w:t>货物名称</w:t>
            </w:r>
          </w:p>
        </w:tc>
        <w:tc>
          <w:tcPr>
            <w:tcW w:w="1077"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数量</w:t>
            </w:r>
          </w:p>
        </w:tc>
        <w:tc>
          <w:tcPr>
            <w:tcW w:w="769"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b/>
                <w:color w:val="auto"/>
                <w:szCs w:val="21"/>
                <w:highlight w:val="none"/>
              </w:rPr>
              <w:t>单位</w:t>
            </w:r>
          </w:p>
        </w:tc>
        <w:tc>
          <w:tcPr>
            <w:tcW w:w="5343" w:type="dxa"/>
            <w:tcBorders>
              <w:top w:val="single" w:color="000000" w:sz="4" w:space="0"/>
              <w:left w:val="single" w:color="000000" w:sz="4" w:space="0"/>
              <w:bottom w:val="single" w:color="000000" w:sz="4" w:space="0"/>
              <w:right w:val="single" w:color="000000" w:sz="4" w:space="0"/>
            </w:tcBorders>
            <w:noWrap w:val="0"/>
            <w:vAlign w:val="center"/>
          </w:tcPr>
          <w:p>
            <w:pPr>
              <w:tabs>
                <w:tab w:val="left" w:pos="180"/>
                <w:tab w:val="left" w:pos="1620"/>
              </w:tabs>
              <w:spacing w:line="360" w:lineRule="exact"/>
              <w:jc w:val="center"/>
              <w:rPr>
                <w:rFonts w:hint="eastAsia" w:ascii="宋体" w:hAnsi="宋体"/>
                <w:b/>
                <w:color w:val="auto"/>
                <w:szCs w:val="21"/>
                <w:highlight w:val="none"/>
              </w:rPr>
            </w:pPr>
            <w:r>
              <w:rPr>
                <w:rFonts w:hint="eastAsia" w:ascii="宋体" w:hAnsi="宋体" w:cs="宋体"/>
                <w:b/>
                <w:bCs/>
                <w:color w:val="auto"/>
                <w:highlight w:val="none"/>
              </w:rPr>
              <w:t>主要技术参数及性能要求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1327" w:type="dxa"/>
            <w:gridSpan w:val="2"/>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三价流感病毒裂解疫苗（四）</w:t>
            </w:r>
          </w:p>
        </w:tc>
        <w:tc>
          <w:tcPr>
            <w:tcW w:w="107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100282</w:t>
            </w:r>
          </w:p>
        </w:tc>
        <w:tc>
          <w:tcPr>
            <w:tcW w:w="769"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exact"/>
              <w:jc w:val="center"/>
              <w:textAlignment w:val="center"/>
              <w:rPr>
                <w:rFonts w:hint="eastAsia" w:ascii="宋体" w:hAnsi="宋体"/>
                <w:color w:val="auto"/>
                <w:szCs w:val="21"/>
                <w:highlight w:val="none"/>
              </w:rPr>
            </w:pPr>
            <w:r>
              <w:rPr>
                <w:rFonts w:hint="eastAsia" w:ascii="宋体" w:hAnsi="宋体"/>
                <w:color w:val="auto"/>
                <w:szCs w:val="21"/>
                <w:highlight w:val="none"/>
                <w:lang w:val="en-US" w:eastAsia="zh-CN"/>
              </w:rPr>
              <w:t>支</w:t>
            </w:r>
          </w:p>
        </w:tc>
        <w:tc>
          <w:tcPr>
            <w:tcW w:w="534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exact"/>
              <w:textAlignment w:val="top"/>
              <w:rPr>
                <w:rFonts w:hint="eastAsia"/>
              </w:rPr>
            </w:pPr>
            <w:r>
              <w:rPr>
                <w:rFonts w:hint="eastAsia"/>
              </w:rPr>
              <w:t>▲1.规格：0.5m</w:t>
            </w:r>
            <w:r>
              <w:rPr>
                <w:rFonts w:hint="eastAsia"/>
                <w:lang w:val="en-US" w:eastAsia="zh-CN"/>
              </w:rPr>
              <w:t>L</w:t>
            </w:r>
            <w:r>
              <w:rPr>
                <w:rFonts w:hint="eastAsia"/>
              </w:rPr>
              <w:t>/支，每1次人用剂量为0.5m</w:t>
            </w:r>
            <w:r>
              <w:rPr>
                <w:rFonts w:hint="eastAsia"/>
                <w:lang w:val="en-US" w:eastAsia="zh-CN"/>
              </w:rPr>
              <w:t>L</w:t>
            </w:r>
            <w:r>
              <w:rPr>
                <w:rFonts w:hint="eastAsia"/>
              </w:rPr>
              <w:t>，含各型流感病毒株血凝素应为15μg。</w:t>
            </w:r>
          </w:p>
          <w:p>
            <w:pPr>
              <w:widowControl/>
              <w:numPr>
                <w:ilvl w:val="0"/>
                <w:numId w:val="0"/>
              </w:numPr>
              <w:spacing w:line="360" w:lineRule="exact"/>
              <w:textAlignment w:val="top"/>
              <w:rPr>
                <w:rFonts w:hint="eastAsia"/>
              </w:rPr>
            </w:pPr>
            <w:r>
              <w:rPr>
                <w:rFonts w:hint="eastAsia"/>
                <w:lang w:val="en-US" w:eastAsia="zh-CN"/>
              </w:rPr>
              <w:t>2.</w:t>
            </w:r>
            <w:r>
              <w:rPr>
                <w:rFonts w:hint="eastAsia"/>
              </w:rPr>
              <w:t>外观：应为微乳白色液体，无异物。</w:t>
            </w:r>
          </w:p>
          <w:p>
            <w:pPr>
              <w:widowControl/>
              <w:numPr>
                <w:ilvl w:val="0"/>
                <w:numId w:val="0"/>
              </w:numPr>
              <w:spacing w:line="360" w:lineRule="exact"/>
              <w:textAlignment w:val="top"/>
              <w:rPr>
                <w:rFonts w:hint="eastAsia"/>
              </w:rPr>
            </w:pPr>
            <w:r>
              <w:rPr>
                <w:rFonts w:hint="eastAsia"/>
              </w:rPr>
              <w:t>▲3.包装：预灌封注射器。</w:t>
            </w:r>
          </w:p>
          <w:p>
            <w:pPr>
              <w:widowControl/>
              <w:spacing w:line="360" w:lineRule="exact"/>
              <w:textAlignment w:val="top"/>
              <w:rPr>
                <w:rFonts w:hint="eastAsia"/>
              </w:rPr>
            </w:pPr>
            <w:r>
              <w:rPr>
                <w:rFonts w:hint="eastAsia"/>
              </w:rPr>
              <w:t>4.接种对象：3岁以上</w:t>
            </w:r>
            <w:r>
              <w:rPr>
                <w:rFonts w:hint="eastAsia"/>
                <w:lang w:val="en-US" w:eastAsia="zh-CN"/>
              </w:rPr>
              <w:t>人群</w:t>
            </w:r>
            <w:r>
              <w:rPr>
                <w:rFonts w:hint="eastAsia"/>
              </w:rPr>
              <w:t>。</w:t>
            </w:r>
          </w:p>
          <w:p>
            <w:pPr>
              <w:widowControl/>
              <w:spacing w:line="360" w:lineRule="exact"/>
              <w:textAlignment w:val="top"/>
              <w:rPr>
                <w:rFonts w:hint="eastAsia"/>
                <w:lang w:val="en-US" w:eastAsia="zh-CN"/>
              </w:rPr>
            </w:pPr>
            <w:r>
              <w:rPr>
                <w:rFonts w:hint="eastAsia"/>
                <w:lang w:val="en-US" w:eastAsia="zh-CN"/>
              </w:rPr>
              <w:t>5</w:t>
            </w:r>
            <w:r>
              <w:rPr>
                <w:rFonts w:hint="eastAsia"/>
              </w:rPr>
              <w:t>.</w:t>
            </w:r>
            <w:r>
              <w:rPr>
                <w:rFonts w:hint="eastAsia"/>
                <w:lang w:val="en-US" w:eastAsia="zh-CN"/>
              </w:rPr>
              <w:t>贮藏：于 2-8℃避光保存和运输。严禁冻结。</w:t>
            </w:r>
          </w:p>
          <w:p>
            <w:pPr>
              <w:widowControl/>
              <w:spacing w:line="360" w:lineRule="exact"/>
              <w:textAlignment w:val="top"/>
              <w:rPr>
                <w:rFonts w:hint="default"/>
                <w:lang w:val="en-US"/>
              </w:rPr>
            </w:pPr>
            <w:r>
              <w:rPr>
                <w:rFonts w:hint="eastAsia"/>
                <w:lang w:val="en-US" w:eastAsia="zh-CN"/>
              </w:rPr>
              <w:t>6.有效期：从送达交货地点并完成验收工作之日起，需保证疫苗剩余有效期不少于 6 个月。</w:t>
            </w:r>
          </w:p>
          <w:p>
            <w:pPr>
              <w:widowControl/>
              <w:spacing w:line="360" w:lineRule="exact"/>
              <w:textAlignment w:val="top"/>
              <w:rPr>
                <w:rFonts w:hint="eastAsia"/>
              </w:rPr>
            </w:pPr>
            <w:r>
              <w:rPr>
                <w:rFonts w:hint="eastAsia"/>
                <w:lang w:val="en-US" w:eastAsia="zh-CN"/>
              </w:rPr>
              <w:t>7</w:t>
            </w:r>
            <w:r>
              <w:rPr>
                <w:rFonts w:hint="eastAsia"/>
              </w:rPr>
              <w:t>.质量符合《中华人民共和国药典（2025年版）三部》的标准，并提供质检报告等质量保证相关资料复印件。</w:t>
            </w:r>
          </w:p>
          <w:p>
            <w:pPr>
              <w:widowControl/>
              <w:spacing w:line="360" w:lineRule="exact"/>
              <w:textAlignment w:val="top"/>
              <w:rPr>
                <w:rFonts w:hint="eastAsia"/>
              </w:rPr>
            </w:pPr>
            <w:r>
              <w:rPr>
                <w:rFonts w:hint="eastAsia" w:asciiTheme="minorHAnsi" w:hAnsiTheme="minorHAnsi" w:eastAsiaTheme="minorEastAsia" w:cstheme="minorBidi"/>
                <w:bCs w:val="0"/>
                <w:caps w:val="0"/>
                <w:szCs w:val="24"/>
                <w:lang w:val="en-US" w:eastAsia="zh-CN"/>
              </w:rPr>
              <w:t>8.具体</w:t>
            </w:r>
            <w:r>
              <w:rPr>
                <w:rFonts w:hint="eastAsia" w:asciiTheme="minorHAnsi" w:hAnsiTheme="minorHAnsi" w:eastAsiaTheme="minorEastAsia" w:cstheme="minorBidi"/>
                <w:bCs w:val="0"/>
                <w:caps w:val="0"/>
                <w:szCs w:val="24"/>
              </w:rPr>
              <w:t>投标产品有效期内的生物制品批签发证明或2026年国家食品药品检定研究院或省级药品监督管理局接受检验回执</w:t>
            </w:r>
            <w:r>
              <w:rPr>
                <w:rFonts w:hint="eastAsia" w:asciiTheme="minorHAnsi" w:hAnsiTheme="minorHAnsi" w:eastAsiaTheme="minorEastAsia" w:cstheme="minorBidi"/>
                <w:bCs w:val="0"/>
                <w:caps w:val="0"/>
                <w:szCs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top"/>
          </w:tcPr>
          <w:p>
            <w:pPr>
              <w:spacing w:line="360" w:lineRule="exact"/>
              <w:rPr>
                <w:rFonts w:hint="eastAsia" w:ascii="宋体" w:hAnsi="宋体"/>
                <w:b/>
                <w:bCs/>
                <w:color w:val="auto"/>
                <w:szCs w:val="21"/>
                <w:highlight w:val="none"/>
              </w:rPr>
            </w:pPr>
            <w:r>
              <w:rPr>
                <w:rFonts w:hint="eastAsia" w:ascii="宋体" w:hAnsi="宋体"/>
                <w:b/>
                <w:color w:val="auto"/>
                <w:szCs w:val="21"/>
                <w:highlight w:val="none"/>
              </w:rPr>
              <w:t>一、商务要求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合同签订时间</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自中标通知书发出之日起25日内与采购人完成合同签订。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▲交付使用时间及地点</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1.交货时间：按采购人提供的供货计划分批供货，接到配送计划后由中标供应商在</w:t>
            </w:r>
            <w:r>
              <w:rPr>
                <w:rFonts w:hint="eastAsia" w:ascii="宋体" w:hAnsi="宋体"/>
                <w:color w:val="auto"/>
                <w:szCs w:val="21"/>
                <w:highlight w:val="none"/>
                <w:lang w:val="en-US" w:eastAsia="zh-CN"/>
              </w:rPr>
              <w:t>5</w:t>
            </w:r>
            <w:r>
              <w:rPr>
                <w:rFonts w:hint="eastAsia" w:ascii="宋体" w:hAnsi="宋体"/>
                <w:color w:val="auto"/>
                <w:szCs w:val="21"/>
                <w:highlight w:val="none"/>
              </w:rPr>
              <w:t>个工作日内配送到交货地点。</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2.交货地点：广西区内采购人指定地点；未验收前保管工作由中标供应商自行负责。</w:t>
            </w:r>
          </w:p>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3.中标供应商必须承担产品运输、验收检测和提供产品说明书等其他类似的义务。</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4.交货方式：现场交货。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▲质保期</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eastAsia="宋体" w:cs="Times New Roman"/>
                <w:color w:val="auto"/>
                <w:szCs w:val="21"/>
                <w:highlight w:val="none"/>
              </w:rPr>
              <w:t>自交货验收合格之日起有效期：≥</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个月。所送货品应明确标示批号、生产日期和有效期。从送达交货地点并完成验收工作之日起，投标人需保证疫苗剩余有效期不少于6个月，不符合要求的，采购人有权拒收。对近效期（≤</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个月）疫苗，采购人可根据情况要求进行退换货处理，替换的货物到达采购人指定地点时的有效期应≥6个月。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包装要求</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投标产品的包装及标识执行国家标准，标识中应标明产品名称、注册号、批号、成分、浓度、剂量、储存、温度、规格、失效期以及生产厂家名称、地址、联系电话等信息。</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投标产品包装应符合《生物制品包装规程》的标准，具有良好的密封性和防潮性，破损率低于国家规定标准。</w:t>
            </w:r>
          </w:p>
          <w:p>
            <w:pPr>
              <w:spacing w:line="360" w:lineRule="exact"/>
              <w:ind w:firstLine="420" w:firstLineChars="200"/>
              <w:rPr>
                <w:rFonts w:hint="eastAsia" w:ascii="宋体" w:hAnsi="宋体" w:eastAsia="宋体" w:cs="Times New Roman"/>
                <w:color w:val="auto"/>
                <w:szCs w:val="21"/>
                <w:highlight w:val="none"/>
              </w:rPr>
            </w:pPr>
            <w:r>
              <w:rPr>
                <w:rFonts w:hint="eastAsia" w:ascii="宋体" w:hAnsi="宋体"/>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大包装指整箱，中包装指大包装里面的中盒，小包装指中包装里面每剂次（支或瓶）的包装盒。大、中、小包装均应印有批号（生产日期）、失效期</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规格、包装规格、追溯码</w:t>
            </w:r>
            <w:r>
              <w:rPr>
                <w:rFonts w:hint="eastAsia" w:ascii="宋体" w:hAnsi="宋体" w:eastAsia="宋体" w:cs="Times New Roman"/>
                <w:color w:val="auto"/>
                <w:szCs w:val="21"/>
                <w:highlight w:val="none"/>
              </w:rPr>
              <w:t>等包装标识，大包装和中包装应印有或贴有“免费”字样。小包装应附中文使用说明书一份。</w:t>
            </w:r>
          </w:p>
          <w:p>
            <w:pPr>
              <w:spacing w:line="360" w:lineRule="exact"/>
              <w:ind w:firstLine="421" w:firstLineChars="200"/>
              <w:rPr>
                <w:rFonts w:hint="eastAsia" w:ascii="宋体" w:hAnsi="宋体"/>
                <w:color w:val="auto"/>
                <w:szCs w:val="21"/>
                <w:highlight w:val="none"/>
              </w:rPr>
            </w:pPr>
            <w:r>
              <w:rPr>
                <w:rFonts w:hint="eastAsia" w:ascii="宋体" w:hAnsi="宋体"/>
                <w:b/>
                <w:bCs/>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供应商应提供精确到疫苗最小包装的追溯码和对应的码源关系数据，并在货物到达采购人指定省、市或县级疾控中心前完成在国家疫苗追溯协同服务平台对应追溯码数据库的上传。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供货及运输</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1.采购人提出供货需求后供应商应在5个工作日内将货物运抵至采购人指定地点。</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2.储存和运输应符合《中华人民共和国疫苗管理法》《药品经营质量管理规范》《疫苗储存和运输管理规范》和《预防接种工作规范》的规定，采取有效措施保证储运过程中的疫苗质量，并提供疫苗储存及运输过程中的冷链监测数据。</w:t>
            </w:r>
          </w:p>
          <w:p>
            <w:pPr>
              <w:spacing w:line="360" w:lineRule="exact"/>
              <w:ind w:firstLine="421" w:firstLineChars="200"/>
              <w:rPr>
                <w:rFonts w:hint="eastAsia" w:ascii="宋体" w:hAnsi="宋体" w:eastAsia="宋体" w:cs="宋体"/>
                <w:color w:val="auto"/>
                <w:sz w:val="21"/>
                <w:szCs w:val="21"/>
                <w:highlight w:val="none"/>
              </w:rPr>
            </w:pPr>
            <w:r>
              <w:rPr>
                <w:rFonts w:hint="eastAsia" w:ascii="宋体" w:hAnsi="宋体"/>
                <w:b/>
                <w:bCs/>
                <w:color w:val="auto"/>
                <w:szCs w:val="21"/>
                <w:highlight w:val="none"/>
              </w:rPr>
              <w:t>▲</w:t>
            </w:r>
            <w:r>
              <w:rPr>
                <w:rFonts w:hint="eastAsia" w:ascii="宋体" w:hAnsi="宋体" w:eastAsia="宋体" w:cs="宋体"/>
                <w:color w:val="auto"/>
                <w:sz w:val="21"/>
                <w:szCs w:val="21"/>
                <w:highlight w:val="none"/>
              </w:rPr>
              <w:t>3.根据采购人的实际需求采用冷链设备将疫苗运抵至制定市或县级疾控中心（同时提供货物清单、每个供货批次批签发证明文件和合格的检验报告等工作所需材料）。</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4.货物运送至市或县级疾控中心后，在3个工作日由成交供应商和采购人进行联合验收。货物的外包装应完整且符合储存运输要求。如不符合上述要求，采购人可拒绝接收。</w:t>
            </w:r>
          </w:p>
          <w:p>
            <w:pPr>
              <w:spacing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5.供应商供应本项目的疫苗批号需与供应广西的非免疫规划疫苗批号有区分，同批号疫苗不再作为非免疫规划疫苗销售到广西。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质量、安全性、有效性及稳定性要求</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供应商所提供的疫苗无质量相关的不良记录（指药品监督管理部门在日常监督检查过程中出具的任何与报价产品质量相关的处罚或通告，提供承诺函）。</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供应商所提供的疫苗具有国家药监局临床试验备案的医疗机构或者疾病预防控制机构出具的临床试验报告。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提供投标产品近3年（2023年1月-2025年12月）疑似预防接种异常反应（AEFI）监测数据和参与处理的投标产品疑似预防接种异常反应的相关报告数据（含AEFI监测数据与ADR反馈数据），报告数据包含但不仅限于不良反应类型、判定与依据、响应时间、处置过程等关键技术数据。</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投标人提供投标产品上市后Ⅳ期临床研究文献（《科学引文索引》期刊。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投标人提供投标产品上市后国内免疫原性、安全性研究和免疫持久性研究文献（《科学引文索引》期刊）。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投标人提供投标产品上市后与其他疫苗在目标人群中联合接种研究文献（《科学引文索引》期刊）。</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投标人应对投标产品的开展热稳定性评价实验，提供疫苗稳定性试验结果及说明。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售后服务要求</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1.需确保疫苗的完整性。对于采购文件没有列出，而对疫苗的正常使用必不可少的且应属于疫苗需求配带的物品，成交供应商有责任给予补充。</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2.需承诺协助采购人处理疑似预防接种异常反应，并提供处理措施方案的人员配置和服务。</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▲3.属于预防接种异常反应或者不能排除的，由供应商参照《广西预防接种异常反应补偿办法》的补偿标准承担相应补偿费用（</w:t>
            </w:r>
            <w:r>
              <w:rPr>
                <w:rFonts w:hint="eastAsia" w:ascii="宋体" w:hAnsi="宋体" w:eastAsia="宋体" w:cs="宋体"/>
                <w:color w:val="auto"/>
                <w:sz w:val="21"/>
                <w:szCs w:val="21"/>
                <w:highlight w:val="none"/>
                <w:lang w:eastAsia="zh-CN"/>
              </w:rPr>
              <w:t>投标时</w:t>
            </w:r>
            <w:r>
              <w:rPr>
                <w:rFonts w:hint="eastAsia" w:ascii="宋体" w:hAnsi="宋体" w:eastAsia="宋体" w:cs="宋体"/>
                <w:color w:val="auto"/>
                <w:sz w:val="21"/>
                <w:szCs w:val="21"/>
                <w:highlight w:val="none"/>
              </w:rPr>
              <w:t>提供承诺函）。投标人应将投标产品的预防接种异常反应补偿纳入商业化保险，提供有效期内的保险合同。</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4.在合同执行过程中,供应商负责对临近、超过有效期或少液等其它在疫苗生产过程中形成的不合格的疫苗进行无条件更换或退回。</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产品提交给采购人后，采购人在质量保证期内有权要求国家药检部门对产品实施检验。由于产品质量问题要求回收产品时的费用及损失由投标人承担。若对产品质量出现争议，则中国食品药品检定研究院的检验报告具有强制约束力.</w:t>
            </w:r>
          </w:p>
          <w:p>
            <w:pPr>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应具有良好的售后服务能力和网络，应保证产品的及时供应，有专职人员动态监测产品销售、运输情况。投标人应提供有关其售后服务的信息，包括名称、建立时间、技术人员的数量、联系人和联系方式情况，以及采购人能在本项目下得到的有效的售后服务计划和承诺</w:t>
            </w:r>
          </w:p>
          <w:p>
            <w:pPr>
              <w:spacing w:line="360" w:lineRule="exact"/>
              <w:ind w:firstLine="420" w:firstLineChars="200"/>
              <w:rPr>
                <w:rFonts w:hint="eastAsia" w:ascii="宋体" w:hAnsi="宋体"/>
                <w:color w:val="auto"/>
                <w:szCs w:val="21"/>
                <w:highlight w:val="none"/>
              </w:rPr>
            </w:pPr>
            <w:r>
              <w:rPr>
                <w:rFonts w:hint="eastAsia" w:ascii="宋体" w:hAnsi="宋体" w:eastAsia="宋体" w:cs="宋体"/>
                <w:color w:val="auto"/>
                <w:sz w:val="21"/>
                <w:szCs w:val="21"/>
                <w:highlight w:val="none"/>
              </w:rPr>
              <w:t>7.提供应急供货实施方案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付款方式</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无预付款，</w:t>
            </w:r>
            <w:r>
              <w:rPr>
                <w:rFonts w:hint="eastAsia" w:ascii="宋体" w:hAnsi="宋体"/>
                <w:color w:val="auto"/>
                <w:szCs w:val="21"/>
                <w:highlight w:val="none"/>
                <w:lang w:eastAsia="zh-CN"/>
              </w:rPr>
              <w:t>按采购人供货需求分批供货，以实际供货量进行结算。</w:t>
            </w:r>
            <w:r>
              <w:rPr>
                <w:rFonts w:hint="eastAsia" w:ascii="宋体" w:hAnsi="宋体"/>
                <w:color w:val="auto"/>
                <w:szCs w:val="21"/>
                <w:highlight w:val="none"/>
              </w:rPr>
              <w:t>每批货物供货完毕并验收合格之日起15个工作日内，中标供应商开具请款函及发票给采购人，采购人在收到请款函及发票之日起10个工作日内支付该批货物合同款给中标供应商。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报价及要求</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人的投标报价为人民币含税价，本项目实行总价包干且为采购人指定地点的现场交货价。投标报价包含设备及服务所需的一切费用总和，包括但不限于货物价格、标准附件、备品备件、专用工具、包装、运输、装卸、保管、验收、产品检验检测、培训、售后服务、技术支持、人员服务、保险、招标代理服务费、税金等，以及合同明示所有责任、义务和一般风险等，采购人不再支付任何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知识产权</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ind w:right="-57" w:rightChars="-27" w:firstLine="420" w:firstLineChars="200"/>
              <w:jc w:val="left"/>
              <w:rPr>
                <w:rFonts w:hint="eastAsia" w:ascii="宋体" w:hAnsi="宋体"/>
                <w:color w:val="auto"/>
                <w:szCs w:val="21"/>
                <w:highlight w:val="none"/>
              </w:rPr>
            </w:pPr>
            <w:r>
              <w:rPr>
                <w:rFonts w:hint="eastAsia" w:ascii="宋体" w:hAnsi="宋体"/>
                <w:color w:val="auto"/>
                <w:szCs w:val="21"/>
                <w:highlight w:val="none"/>
              </w:rPr>
              <w:t>中标供应商保证所提供的产品及服务涉及到的知识产权和相关技术资料是合法取得的，采购人在使用产品及服务时不会侵犯任何第三方的专利权、商标权、工业设计权或其他权利，不会因为采购人的使用遭受第三方侵权指控，包括被责令致歉、停止使用、追偿或要求赔偿损失等。否则，中标供应商负责解决由此引起的一切纠纷，采购人有权追究中标供应商的法律责任，其不利后果由中标供应商全部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color w:val="auto"/>
                <w:szCs w:val="21"/>
                <w:highlight w:val="none"/>
              </w:rPr>
              <w:t>验收要求</w:t>
            </w:r>
          </w:p>
        </w:tc>
        <w:tc>
          <w:tcPr>
            <w:tcW w:w="7910"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1.采购人可以根据采购项目具体情况自行组织验收，或者委托第三方机构或部门开展采购项目履约验收工作，验收过程中所产生的费用均由中标人承担，投标人在投标报价时应考虑相关费用。</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2.在验收过程中发现中标人有违约问题，可暂缓资金结算，待违约问题解决后，方可办理资金结算事宜。</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3.验收依据：按合同（含本招标文件采购需求、中标供应商投标文件承诺）要求及国家标准进行验收。</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4.验收标准</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（1）中标供应商按采购人需求清单进行供货，货物交到指定地点后，</w:t>
            </w:r>
            <w:r>
              <w:rPr>
                <w:rFonts w:hint="eastAsia" w:hAnsi="宋体"/>
                <w:color w:val="auto"/>
                <w:sz w:val="21"/>
                <w:highlight w:val="none"/>
                <w:lang w:val="en-US" w:eastAsia="zh-CN"/>
              </w:rPr>
              <w:t>由采购人指定收货人及中标供应商</w:t>
            </w:r>
            <w:r>
              <w:rPr>
                <w:rFonts w:hint="eastAsia" w:hAnsi="宋体"/>
                <w:color w:val="auto"/>
                <w:sz w:val="21"/>
                <w:highlight w:val="none"/>
              </w:rPr>
              <w:t>双方现场进行货品清点。货物的外包装应牢固、完好，符合储存运输要求，相关资料齐全，疫苗效期满足约定要求。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（2）供应商必须按投标文件和合同约定的品牌、规格供货，验收期间如发现货物有破损</w:t>
            </w:r>
            <w:r>
              <w:rPr>
                <w:rFonts w:hint="eastAsia" w:hAnsi="宋体"/>
                <w:color w:val="auto"/>
                <w:sz w:val="21"/>
                <w:highlight w:val="none"/>
                <w:lang w:val="en-US" w:eastAsia="zh-CN"/>
              </w:rPr>
              <w:t>或</w:t>
            </w:r>
            <w:r>
              <w:rPr>
                <w:rFonts w:hint="eastAsia" w:hAnsi="宋体"/>
                <w:color w:val="auto"/>
                <w:sz w:val="21"/>
                <w:highlight w:val="none"/>
              </w:rPr>
              <w:t>验收不合格时，中标供应商必须在采购人指定的时间内无条件更换，由此造成的损失和责任由供应商承担。货物交付并验收合格，双方签署验收单，作为合同款结算依据。</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（3）如有抽检要求的，检测结果应符合招标文件采购需求及采购合同约定的要求。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（4）所有产品均已运输至指定地点。</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（5）招标文件采购需求及采购合同约定的附件、技术资料等齐全；提供产品使用说明书、合格证。</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5.验收要求</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lang w:eastAsia="zh-CN"/>
              </w:rPr>
              <w:t>（</w:t>
            </w:r>
            <w:r>
              <w:rPr>
                <w:rFonts w:hint="eastAsia" w:hAnsi="宋体"/>
                <w:color w:val="auto"/>
                <w:sz w:val="21"/>
                <w:highlight w:val="none"/>
                <w:lang w:val="en-US" w:eastAsia="zh-CN"/>
              </w:rPr>
              <w:t>1）</w:t>
            </w:r>
            <w:r>
              <w:rPr>
                <w:rFonts w:hint="eastAsia" w:hAnsi="宋体"/>
                <w:color w:val="auto"/>
                <w:sz w:val="21"/>
                <w:highlight w:val="none"/>
              </w:rPr>
              <w:t>中标人按时间节点完成货物供货后，应及时整理技术资料并作出全面检查和整理，列出清单，作为采购人验收和使用的技术条件依据，清单应交给采购人；</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2</w:t>
            </w:r>
            <w:r>
              <w:rPr>
                <w:rFonts w:hint="eastAsia" w:hAnsi="宋体"/>
                <w:color w:val="auto"/>
                <w:sz w:val="21"/>
                <w:highlight w:val="none"/>
              </w:rPr>
              <w:t>）验收小组依据招标文件、中标人投标文件技术参数逐条进行验收，采购人在产品验收环节发现产品的技术参数指标达不到投标文件中技术参数响应的内容，属虚假应标行为，采购人将单方面终止合同拒收货物，有权追究中标供应商违约责任，赔偿采购人因采购时间延长造成的经济等方面损失，视情形将违约情况上报政府采购监督管理部门。</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（3）验收时中标人提供验收文档，包括但不限于：技术方案、实施方案、售后服务方案、培训方案、测试文档、使用说明书、电子文档，以及对所有需要进行核查的原件等。</w:t>
            </w:r>
          </w:p>
          <w:p>
            <w:pPr>
              <w:pStyle w:val="14"/>
              <w:snapToGrid w:val="0"/>
              <w:spacing w:line="360" w:lineRule="exact"/>
              <w:outlineLvl w:val="0"/>
              <w:rPr>
                <w:rFonts w:hint="eastAsia" w:hAnsi="宋体"/>
                <w:color w:val="auto"/>
                <w:sz w:val="21"/>
                <w:highlight w:val="none"/>
              </w:rPr>
            </w:pPr>
            <w:r>
              <w:rPr>
                <w:rFonts w:hint="eastAsia" w:hAnsi="宋体"/>
                <w:color w:val="auto"/>
                <w:sz w:val="21"/>
                <w:highlight w:val="none"/>
              </w:rPr>
              <w:t>（</w:t>
            </w:r>
            <w:r>
              <w:rPr>
                <w:rFonts w:hint="eastAsia" w:hAnsi="宋体"/>
                <w:color w:val="auto"/>
                <w:sz w:val="21"/>
                <w:highlight w:val="none"/>
                <w:lang w:val="en-US" w:eastAsia="zh-CN"/>
              </w:rPr>
              <w:t>4</w:t>
            </w:r>
            <w:r>
              <w:rPr>
                <w:rFonts w:hint="eastAsia" w:hAnsi="宋体"/>
                <w:color w:val="auto"/>
                <w:sz w:val="21"/>
                <w:highlight w:val="none"/>
              </w:rPr>
              <w:t>）项目验收过程中，若采购人委托第三方检测机构介入的，费用由中标人另行承担。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color w:val="auto"/>
                <w:szCs w:val="21"/>
                <w:highlight w:val="none"/>
              </w:rPr>
            </w:pPr>
            <w:r>
              <w:rPr>
                <w:rFonts w:hint="eastAsia" w:ascii="宋体" w:hAnsi="宋体" w:eastAsia="宋体" w:cs="宋体"/>
                <w:color w:val="auto"/>
                <w:sz w:val="21"/>
                <w:szCs w:val="21"/>
                <w:highlight w:val="none"/>
              </w:rPr>
              <w:t>▲</w:t>
            </w:r>
            <w:r>
              <w:rPr>
                <w:rFonts w:hint="eastAsia" w:ascii="宋体" w:hAnsi="宋体"/>
                <w:color w:val="auto"/>
                <w:szCs w:val="21"/>
                <w:highlight w:val="none"/>
              </w:rPr>
              <w:t>履约保证金</w:t>
            </w:r>
          </w:p>
        </w:tc>
        <w:tc>
          <w:tcPr>
            <w:tcW w:w="7910" w:type="dxa"/>
            <w:gridSpan w:val="4"/>
            <w:tcBorders>
              <w:top w:val="single" w:color="auto" w:sz="4" w:space="0"/>
              <w:left w:val="nil"/>
              <w:bottom w:val="single" w:color="auto" w:sz="4" w:space="0"/>
              <w:right w:val="single" w:color="auto" w:sz="4" w:space="0"/>
            </w:tcBorders>
            <w:noWrap w:val="0"/>
            <w:vAlign w:val="center"/>
          </w:tcPr>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1.中标公告发布之日起</w:t>
            </w:r>
            <w:r>
              <w:rPr>
                <w:rFonts w:hint="eastAsia" w:hAnsi="宋体"/>
                <w:color w:val="auto"/>
                <w:sz w:val="21"/>
                <w:highlight w:val="none"/>
                <w:lang w:val="en-US" w:eastAsia="zh-CN"/>
              </w:rPr>
              <w:t>5</w:t>
            </w:r>
            <w:r>
              <w:rPr>
                <w:rFonts w:hint="eastAsia" w:hAnsi="宋体"/>
                <w:color w:val="auto"/>
                <w:sz w:val="21"/>
                <w:highlight w:val="none"/>
              </w:rPr>
              <w:t>个工作日内，中标供应商按合同金额的2%向采购人指定账户交纳履约保证金。待采购人计划供货的所有货物验收合格后，在三个月内若无质量问题，凭中标供应商申请书退还履约保证金（不计利息）。履约保证金指定账户：</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开户名称：广西壮族自治区疾病预防控制中心</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开户银行：建行南宁市汇春路支行</w:t>
            </w:r>
          </w:p>
          <w:p>
            <w:pPr>
              <w:pStyle w:val="14"/>
              <w:snapToGrid w:val="0"/>
              <w:spacing w:line="360" w:lineRule="exact"/>
              <w:ind w:firstLine="420" w:firstLineChars="200"/>
              <w:outlineLvl w:val="0"/>
              <w:rPr>
                <w:rFonts w:hAnsi="宋体"/>
                <w:color w:val="auto"/>
                <w:sz w:val="21"/>
                <w:highlight w:val="none"/>
              </w:rPr>
            </w:pPr>
            <w:r>
              <w:rPr>
                <w:rFonts w:hint="eastAsia" w:hAnsi="宋体"/>
                <w:color w:val="auto"/>
                <w:sz w:val="21"/>
                <w:highlight w:val="none"/>
              </w:rPr>
              <w:t xml:space="preserve">银行账号：4500 1604 5680 5070 0256  </w:t>
            </w:r>
          </w:p>
          <w:p>
            <w:pPr>
              <w:pStyle w:val="14"/>
              <w:snapToGrid w:val="0"/>
              <w:spacing w:line="360" w:lineRule="exact"/>
              <w:ind w:firstLine="420" w:firstLineChars="200"/>
              <w:outlineLvl w:val="0"/>
              <w:rPr>
                <w:rFonts w:hint="eastAsia" w:hAnsi="宋体"/>
                <w:color w:val="auto"/>
                <w:sz w:val="21"/>
                <w:highlight w:val="none"/>
              </w:rPr>
            </w:pPr>
            <w:r>
              <w:rPr>
                <w:rFonts w:hint="eastAsia" w:hAnsi="宋体"/>
                <w:color w:val="auto"/>
                <w:sz w:val="21"/>
                <w:highlight w:val="none"/>
              </w:rPr>
              <w:t>2.履约保证金提交方式：支票、汇票、本票、银行转账或者金融机构、担保机构出具的保函等非现金形式。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bCs/>
                <w:color w:val="auto"/>
                <w:szCs w:val="21"/>
                <w:highlight w:val="none"/>
              </w:rPr>
              <w:t>二、与实现项目目标相关的其他要求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（一）投标人的履约能力要求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质量管理、企业信用要求</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16"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能力或者业绩要求</w:t>
            </w:r>
          </w:p>
        </w:tc>
        <w:tc>
          <w:tcPr>
            <w:tcW w:w="7910" w:type="dxa"/>
            <w:gridSpan w:val="4"/>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color w:val="auto"/>
                <w:szCs w:val="21"/>
                <w:highlight w:val="none"/>
              </w:rPr>
              <w:t>如有，请结合本招标文件“评标办法及评分标准”在投标文件中自行提供。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180"/>
                <w:tab w:val="left" w:pos="1620"/>
              </w:tabs>
              <w:spacing w:line="360" w:lineRule="exact"/>
              <w:rPr>
                <w:rFonts w:hint="eastAsia" w:ascii="宋体" w:hAnsi="宋体"/>
                <w:bCs/>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二</w:t>
            </w:r>
            <w:r>
              <w:rPr>
                <w:rFonts w:hint="eastAsia" w:ascii="宋体" w:hAnsi="宋体"/>
                <w:b/>
                <w:color w:val="auto"/>
                <w:szCs w:val="21"/>
                <w:highlight w:val="none"/>
              </w:rPr>
              <w:t>）验收事项其他说明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1.本章《采购需求》有其他要求的按其要求。</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合同履行过程中，由采购人根据中标人所提供的货物或服务，对照招标文件要求及中标人投标文件承诺进行检验并记录，发现中标人在投标文件中有弄虚作假的行为，或在投标文件中有针对技术商务条款有虚假响应情况的，采购单位将终止合同或不予验收，并追究中标人的责任，由此带来的一切损失由中标人自行承担。</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其他未尽事宜应严格按照《关于印发广西壮族自治区政府采购项目履约验收管理办法的通知》[桂财采〔2015〕22号]以及《财政部关于进一步加强政府采购需求和履约验收管理的指导意见》[财库〔2016〕205号]规定执行。</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4.验收过程中，除另有约定的以外，所产生的费用均由中标人承担。报价时应考虑相关费用。</w:t>
            </w:r>
          </w:p>
          <w:p>
            <w:pPr>
              <w:spacing w:line="360" w:lineRule="exact"/>
              <w:ind w:firstLine="411" w:firstLineChars="196"/>
              <w:rPr>
                <w:rFonts w:hint="eastAsia" w:ascii="宋体" w:hAnsi="宋体"/>
                <w:color w:val="auto"/>
                <w:szCs w:val="21"/>
                <w:highlight w:val="none"/>
              </w:rPr>
            </w:pPr>
            <w:r>
              <w:rPr>
                <w:rFonts w:hint="eastAsia" w:ascii="宋体" w:hAnsi="宋体"/>
                <w:color w:val="auto"/>
                <w:szCs w:val="21"/>
                <w:highlight w:val="none"/>
              </w:rPr>
              <w:t>5.产品实行强制标准认证制度、生产许可证制度、销售或经营许可证制度、注册证制度的，中标人均应提供相关有效的证书复印件。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val="en-US" w:eastAsia="zh-CN"/>
              </w:rPr>
              <w:t>三</w:t>
            </w:r>
            <w:r>
              <w:rPr>
                <w:rFonts w:hint="eastAsia" w:ascii="宋体" w:hAnsi="宋体"/>
                <w:b/>
                <w:color w:val="auto"/>
                <w:szCs w:val="21"/>
                <w:highlight w:val="none"/>
              </w:rPr>
              <w:t>）其他要求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1.投标人结合自身能力及本项目采购需求，请在投标文件中提供项目实施方案（包括但不限于项目实施管理、组织架构、产品配送组织计划、</w:t>
            </w:r>
            <w:r>
              <w:rPr>
                <w:rFonts w:hint="eastAsia" w:ascii="宋体" w:hAnsi="宋体"/>
                <w:bCs/>
                <w:color w:val="auto"/>
                <w:szCs w:val="21"/>
                <w:highlight w:val="none"/>
              </w:rPr>
              <w:t>运输方式及交货</w:t>
            </w:r>
            <w:r>
              <w:rPr>
                <w:rFonts w:hint="eastAsia" w:ascii="宋体" w:hAnsi="宋体"/>
                <w:color w:val="auto"/>
                <w:szCs w:val="21"/>
                <w:highlight w:val="none"/>
              </w:rPr>
              <w:t>保障、进度计划、质量控制方案和验收措施等）（格式自拟）；有售前、售中和售后服务方案（包括但不限于对接方案、供货产品质量保障方案、产品质量问题处理、产品运输及保存、供货产品后期使用各环节的质量和使用效果的其他相关服务方案等）等（格式自拟）。</w:t>
            </w:r>
          </w:p>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.如有，请投标文件中提供技术能力相关证明，包含但不限于信誉、业绩等内容。</w:t>
            </w:r>
          </w:p>
          <w:p>
            <w:pPr>
              <w:spacing w:line="360" w:lineRule="exact"/>
              <w:ind w:firstLine="421" w:firstLineChars="200"/>
              <w:rPr>
                <w:rFonts w:hint="eastAsia" w:ascii="宋体" w:hAnsi="宋体"/>
                <w:b/>
                <w:color w:val="auto"/>
                <w:szCs w:val="21"/>
                <w:highlight w:val="none"/>
              </w:rPr>
            </w:pPr>
            <w:r>
              <w:rPr>
                <w:rFonts w:hint="eastAsia" w:ascii="宋体" w:hAnsi="宋体"/>
                <w:b/>
                <w:color w:val="auto"/>
                <w:szCs w:val="21"/>
                <w:highlight w:val="none"/>
                <w:lang w:val="en-US" w:eastAsia="zh-CN"/>
              </w:rPr>
              <w:t>3</w:t>
            </w:r>
            <w:r>
              <w:rPr>
                <w:rFonts w:hint="eastAsia" w:ascii="宋体" w:hAnsi="宋体"/>
                <w:b/>
                <w:color w:val="auto"/>
                <w:szCs w:val="21"/>
                <w:highlight w:val="none"/>
              </w:rPr>
              <w:t>.“技术需求及要求”中有特殊要求的，按其要求执行；未作要求的，如有，投标文件中可提供产品生产商编写的有参数描述的产品说明书或彩页（应有详细的产品技术介绍、技术参数、产品图样照片等），当投标文件中提供的产品参数与该产品生产商提供的参数同一参数内容不符合时，以生产商资料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highlight w:val="none"/>
              </w:rPr>
            </w:pPr>
            <w:r>
              <w:rPr>
                <w:rFonts w:hint="eastAsia" w:ascii="宋体" w:hAnsi="宋体"/>
                <w:b/>
                <w:color w:val="auto"/>
                <w:szCs w:val="21"/>
                <w:highlight w:val="none"/>
              </w:rPr>
              <w:t>三、其他说明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26" w:type="dxa"/>
            <w:gridSpan w:val="6"/>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b/>
                <w:color w:val="auto"/>
                <w:szCs w:val="21"/>
                <w:highlight w:val="none"/>
                <w:u w:val="single"/>
              </w:rPr>
              <w:t>本项目以分标预算金额为最高限价，投标人的投标报价超所投分标最高限价的作无效投标处理</w:t>
            </w:r>
            <w:r>
              <w:rPr>
                <w:rFonts w:hint="eastAsia" w:ascii="宋体" w:hAnsi="宋体"/>
                <w:color w:val="auto"/>
                <w:szCs w:val="21"/>
                <w:highlight w:val="none"/>
              </w:rPr>
              <w:t>。</w:t>
            </w:r>
          </w:p>
          <w:p>
            <w:pPr>
              <w:spacing w:line="360" w:lineRule="exact"/>
              <w:ind w:firstLine="404" w:firstLineChars="200"/>
              <w:rPr>
                <w:rFonts w:hint="eastAsia" w:ascii="宋体" w:hAnsi="宋体"/>
                <w:bCs/>
                <w:color w:val="auto"/>
                <w:spacing w:val="-4"/>
                <w:szCs w:val="21"/>
                <w:highlight w:val="none"/>
              </w:rPr>
            </w:pPr>
            <w:r>
              <w:rPr>
                <w:rFonts w:hint="eastAsia" w:ascii="宋体" w:hAnsi="宋体"/>
                <w:color w:val="auto"/>
                <w:spacing w:val="-4"/>
                <w:szCs w:val="21"/>
                <w:highlight w:val="none"/>
              </w:rPr>
              <w:t>▲</w:t>
            </w:r>
            <w:r>
              <w:rPr>
                <w:rFonts w:hint="eastAsia" w:ascii="宋体" w:hAnsi="宋体"/>
                <w:b/>
                <w:color w:val="auto"/>
                <w:spacing w:val="-4"/>
                <w:szCs w:val="21"/>
                <w:highlight w:val="none"/>
              </w:rPr>
              <w:t>2.</w:t>
            </w:r>
            <w:r>
              <w:rPr>
                <w:rFonts w:hint="eastAsia" w:ascii="宋体" w:hAnsi="宋体"/>
                <w:color w:val="auto"/>
                <w:spacing w:val="-4"/>
                <w:szCs w:val="21"/>
                <w:highlight w:val="none"/>
              </w:rPr>
              <w:t>投标人就本需求中全部内容作完整唯一报价，不完整响应或拆分投标的将导致投标无效。</w:t>
            </w:r>
          </w:p>
        </w:tc>
      </w:tr>
    </w:tbl>
    <w:p>
      <w:pPr>
        <w:snapToGrid w:val="0"/>
        <w:spacing w:line="360" w:lineRule="auto"/>
        <w:ind w:firstLine="648" w:firstLineChars="202"/>
        <w:jc w:val="center"/>
        <w:rPr>
          <w:rFonts w:ascii="宋体" w:hAnsi="宋体" w:cs="宋体"/>
          <w:b/>
          <w:bCs/>
          <w:color w:val="auto"/>
          <w:sz w:val="32"/>
          <w:szCs w:val="32"/>
          <w:highlight w:val="none"/>
        </w:rPr>
      </w:pPr>
    </w:p>
    <w:p>
      <w:pPr>
        <w:snapToGrid w:val="0"/>
        <w:jc w:val="center"/>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32"/>
          <w:szCs w:val="32"/>
          <w:highlight w:val="none"/>
        </w:rPr>
      </w:pPr>
    </w:p>
    <w:p>
      <w:pPr>
        <w:snapToGrid w:val="0"/>
        <w:jc w:val="center"/>
        <w:rPr>
          <w:rFonts w:hint="eastAsia" w:ascii="宋体" w:hAnsi="宋体" w:eastAsia="宋体" w:cs="宋体"/>
          <w:b/>
          <w:color w:val="auto"/>
          <w:sz w:val="48"/>
          <w:szCs w:val="48"/>
          <w:highlight w:val="none"/>
        </w:rPr>
      </w:pPr>
    </w:p>
    <w:p>
      <w:pPr>
        <w:snapToGrid w:val="0"/>
        <w:jc w:val="center"/>
        <w:rPr>
          <w:rFonts w:hint="eastAsia" w:ascii="宋体" w:hAnsi="宋体" w:eastAsia="宋体" w:cs="宋体"/>
          <w:b/>
          <w:color w:val="auto"/>
          <w:sz w:val="48"/>
          <w:szCs w:val="48"/>
          <w:highlight w:val="none"/>
        </w:rPr>
      </w:pPr>
    </w:p>
    <w:p>
      <w:pPr>
        <w:snapToGrid w:val="0"/>
        <w:jc w:val="center"/>
        <w:rPr>
          <w:rFonts w:hint="eastAsia" w:ascii="宋体" w:hAnsi="宋体" w:eastAsia="宋体" w:cs="宋体"/>
          <w:b/>
          <w:color w:val="auto"/>
          <w:sz w:val="48"/>
          <w:szCs w:val="48"/>
          <w:highlight w:val="none"/>
        </w:rPr>
      </w:pPr>
    </w:p>
    <w:p>
      <w:pPr>
        <w:snapToGrid w:val="0"/>
        <w:jc w:val="center"/>
        <w:rPr>
          <w:rFonts w:hint="eastAsia" w:ascii="宋体" w:hAnsi="宋体" w:eastAsia="宋体" w:cs="宋体"/>
          <w:b/>
          <w:color w:val="auto"/>
          <w:sz w:val="48"/>
          <w:szCs w:val="48"/>
          <w:highlight w:val="none"/>
        </w:rPr>
      </w:pPr>
    </w:p>
    <w:p>
      <w:pPr>
        <w:snapToGrid w:val="0"/>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第三章  投标人须知</w:t>
      </w:r>
    </w:p>
    <w:p>
      <w:pPr>
        <w:spacing w:line="36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6"/>
          <w:szCs w:val="36"/>
          <w:highlight w:val="none"/>
        </w:rPr>
        <w:t>投标</w:t>
      </w:r>
      <w:bookmarkStart w:id="2" w:name="_Toc254970667"/>
      <w:bookmarkStart w:id="3" w:name="_Toc254970526"/>
      <w:r>
        <w:rPr>
          <w:rFonts w:hint="eastAsia" w:ascii="宋体" w:hAnsi="宋体" w:eastAsia="宋体" w:cs="宋体"/>
          <w:b/>
          <w:color w:val="auto"/>
          <w:sz w:val="36"/>
          <w:szCs w:val="36"/>
          <w:highlight w:val="none"/>
        </w:rPr>
        <w:t>人须知及前附表</w:t>
      </w:r>
      <w:bookmarkEnd w:id="2"/>
      <w:bookmarkEnd w:id="3"/>
    </w:p>
    <w:tbl>
      <w:tblPr>
        <w:tblStyle w:val="20"/>
        <w:tblpPr w:leftFromText="180" w:rightFromText="180" w:vertAnchor="text" w:horzAnchor="page" w:tblpX="1068" w:tblpY="1098"/>
        <w:tblOverlap w:val="never"/>
        <w:tblW w:w="96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17"/>
        <w:gridCol w:w="905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序号</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bCs/>
                <w:color w:val="auto"/>
                <w:sz w:val="21"/>
                <w:szCs w:val="21"/>
                <w:highlight w:val="none"/>
                <w:u w:val="none"/>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1</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rPr>
              <w:t>项目名称：</w:t>
            </w:r>
            <w:r>
              <w:rPr>
                <w:rFonts w:hint="eastAsia" w:ascii="宋体" w:hAnsi="宋体" w:eastAsia="宋体" w:cs="宋体"/>
                <w:b/>
                <w:bCs/>
                <w:color w:val="auto"/>
                <w:sz w:val="21"/>
                <w:szCs w:val="21"/>
                <w:highlight w:val="none"/>
                <w:u w:val="none"/>
                <w:lang w:eastAsia="zh-CN"/>
              </w:rPr>
              <w:t>2026-2027年流感季免费流感疫苗采购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2</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投标报价及费用：1.本项目投标应以人民币报价；2.不论投标结果如何，投标人均应自行承担所有与投标有关的全部费用；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3</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详见公开招标公告</w:t>
            </w:r>
          </w:p>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实际交纳的保证金须按要求交纳，否则视为未交纳保证金。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4</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sz w:val="21"/>
                <w:szCs w:val="21"/>
                <w:highlight w:val="none"/>
                <w:u w:val="none"/>
              </w:rPr>
            </w:pPr>
            <w:r>
              <w:rPr>
                <w:rFonts w:hint="eastAsia" w:ascii="宋体" w:hAnsi="宋体" w:eastAsia="宋体" w:cs="宋体"/>
                <w:b/>
                <w:color w:val="auto"/>
                <w:sz w:val="21"/>
                <w:szCs w:val="21"/>
                <w:highlight w:val="none"/>
                <w:u w:val="none"/>
              </w:rPr>
              <w:t>现场勘查：详见采购需求(如有)。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5</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演示时间及地点：无。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6</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（1）答疑、澄清：</w:t>
            </w:r>
            <w:r>
              <w:rPr>
                <w:rFonts w:hint="eastAsia" w:ascii="宋体" w:hAnsi="宋体" w:eastAsia="宋体" w:cs="宋体"/>
                <w:b/>
                <w:color w:val="auto"/>
                <w:sz w:val="21"/>
                <w:szCs w:val="21"/>
                <w:highlight w:val="none"/>
                <w:u w:val="none"/>
              </w:rPr>
              <w:t>投标人如认为招标文件表述不清晰、</w:t>
            </w:r>
            <w:r>
              <w:rPr>
                <w:rFonts w:hint="eastAsia" w:ascii="宋体" w:hAnsi="宋体" w:eastAsia="宋体" w:cs="宋体"/>
                <w:b/>
                <w:bCs/>
                <w:color w:val="auto"/>
                <w:sz w:val="21"/>
                <w:szCs w:val="21"/>
                <w:highlight w:val="none"/>
                <w:u w:val="none"/>
              </w:rPr>
              <w:t>有误或有不合理要求的</w:t>
            </w:r>
            <w:r>
              <w:rPr>
                <w:rFonts w:hint="eastAsia" w:ascii="宋体" w:hAnsi="宋体" w:eastAsia="宋体" w:cs="宋体"/>
                <w:color w:val="auto"/>
                <w:sz w:val="21"/>
                <w:szCs w:val="21"/>
                <w:highlight w:val="none"/>
                <w:u w:val="none"/>
              </w:rPr>
              <w:t>，应当以书面形式要求采购人或者本中心作出书面答疑、澄清；</w:t>
            </w:r>
          </w:p>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（2）询问、质疑：</w:t>
            </w:r>
            <w:r>
              <w:rPr>
                <w:rFonts w:hint="eastAsia" w:ascii="宋体" w:hAnsi="宋体" w:eastAsia="宋体" w:cs="宋体"/>
                <w:b/>
                <w:color w:val="auto"/>
                <w:sz w:val="21"/>
                <w:szCs w:val="21"/>
                <w:highlight w:val="none"/>
                <w:u w:val="none"/>
              </w:rPr>
              <w:t>如投标人认为招标文件存在歧视性、排他性或者其他违法内容的</w:t>
            </w:r>
            <w:r>
              <w:rPr>
                <w:rFonts w:hint="eastAsia" w:ascii="宋体" w:hAnsi="宋体" w:eastAsia="宋体" w:cs="宋体"/>
                <w:color w:val="auto"/>
                <w:sz w:val="21"/>
                <w:szCs w:val="21"/>
                <w:highlight w:val="none"/>
                <w:u w:val="none"/>
              </w:rPr>
              <w:t>，按投标人须知“一、总则（九）询问、质疑和投诉”中的要求向采购人或者采购代理机构提出书面询问、质疑，并提供必要的证明材料。</w:t>
            </w:r>
          </w:p>
          <w:p>
            <w:pPr>
              <w:keepNext w:val="0"/>
              <w:keepLines w:val="0"/>
              <w:pageBreakBefore w:val="0"/>
              <w:kinsoku/>
              <w:wordWrap/>
              <w:overflowPunct/>
              <w:topLinePunct w:val="0"/>
              <w:autoSpaceDE/>
              <w:autoSpaceDN/>
              <w:bidi w:val="0"/>
              <w:adjustRightInd/>
              <w:snapToGrid w:val="0"/>
              <w:spacing w:line="360" w:lineRule="exact"/>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答疑、澄清内容是招标文件的组成部份，本中心将以书面形式送达所有已报名的投标人。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7</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color w:val="auto"/>
                <w:sz w:val="21"/>
                <w:szCs w:val="21"/>
                <w:highlight w:val="none"/>
                <w:u w:val="none"/>
              </w:rPr>
              <w:t>投标文件形式：</w:t>
            </w:r>
            <w:r>
              <w:rPr>
                <w:rFonts w:hint="eastAsia" w:ascii="宋体" w:hAnsi="宋体" w:eastAsia="宋体" w:cs="宋体"/>
                <w:snapToGrid w:val="0"/>
                <w:color w:val="auto"/>
                <w:sz w:val="21"/>
                <w:szCs w:val="21"/>
                <w:highlight w:val="none"/>
                <w:u w:val="none"/>
              </w:rPr>
              <w:t>投标供应商应准备电子投标文件。</w:t>
            </w:r>
          </w:p>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snapToGrid w:val="0"/>
                <w:color w:val="auto"/>
                <w:sz w:val="21"/>
                <w:szCs w:val="21"/>
                <w:highlight w:val="none"/>
                <w:u w:val="none"/>
              </w:rPr>
              <w:t>电子投标文件是指通过“广西政府采购云</w:t>
            </w:r>
            <w:r>
              <w:rPr>
                <w:rFonts w:hint="eastAsia" w:ascii="宋体" w:hAnsi="宋体" w:eastAsia="宋体" w:cs="宋体"/>
                <w:color w:val="auto"/>
                <w:sz w:val="21"/>
                <w:szCs w:val="21"/>
                <w:highlight w:val="none"/>
                <w:u w:val="none"/>
              </w:rPr>
              <w:t>电子投标</w:t>
            </w:r>
            <w:r>
              <w:rPr>
                <w:rFonts w:hint="eastAsia" w:ascii="宋体" w:hAnsi="宋体" w:eastAsia="宋体" w:cs="宋体"/>
                <w:snapToGrid w:val="0"/>
                <w:color w:val="auto"/>
                <w:sz w:val="21"/>
                <w:szCs w:val="21"/>
                <w:highlight w:val="none"/>
                <w:u w:val="none"/>
              </w:rPr>
              <w:t>客户端”完成投标文件编制后生成并加密的数据电文形式的电子加密投标文件。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8</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snapToGrid w:val="0"/>
                <w:color w:val="auto"/>
                <w:sz w:val="21"/>
                <w:szCs w:val="21"/>
                <w:highlight w:val="none"/>
                <w:u w:val="none"/>
              </w:rPr>
              <w:t>投标文件的编制：供应商应先安装“广西政府采购云</w:t>
            </w:r>
            <w:r>
              <w:rPr>
                <w:rFonts w:hint="eastAsia" w:ascii="宋体" w:hAnsi="宋体" w:eastAsia="宋体" w:cs="宋体"/>
                <w:color w:val="auto"/>
                <w:sz w:val="21"/>
                <w:szCs w:val="21"/>
                <w:highlight w:val="none"/>
                <w:u w:val="none"/>
              </w:rPr>
              <w:t>电子投标</w:t>
            </w:r>
            <w:r>
              <w:rPr>
                <w:rFonts w:hint="eastAsia" w:ascii="宋体" w:hAnsi="宋体" w:eastAsia="宋体" w:cs="宋体"/>
                <w:snapToGrid w:val="0"/>
                <w:color w:val="auto"/>
                <w:sz w:val="21"/>
                <w:szCs w:val="21"/>
                <w:highlight w:val="none"/>
                <w:u w:val="none"/>
              </w:rPr>
              <w:t>客户端”，并按照本招标文件和“广西政府采购云平台”的要求，通过“广西政府采购云</w:t>
            </w:r>
            <w:r>
              <w:rPr>
                <w:rFonts w:hint="eastAsia" w:ascii="宋体" w:hAnsi="宋体" w:eastAsia="宋体" w:cs="宋体"/>
                <w:color w:val="auto"/>
                <w:sz w:val="21"/>
                <w:szCs w:val="21"/>
                <w:highlight w:val="none"/>
                <w:u w:val="none"/>
              </w:rPr>
              <w:t>电子投标</w:t>
            </w:r>
            <w:r>
              <w:rPr>
                <w:rFonts w:hint="eastAsia" w:ascii="宋体" w:hAnsi="宋体" w:eastAsia="宋体" w:cs="宋体"/>
                <w:snapToGrid w:val="0"/>
                <w:color w:val="auto"/>
                <w:sz w:val="21"/>
                <w:szCs w:val="21"/>
                <w:highlight w:val="none"/>
                <w:u w:val="none"/>
              </w:rPr>
              <w:t>客户端”编制并加密投标文件。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9</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10</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法定代表人或其授权代表签字或签章：本招标文件所涉及的法定代表人或其授权代表签字或签章的内容，如果投标单位没有法定代表人电子签章，涉及到法定代表人或其授权代表签字或签章的内容，投标单位可以线下签字或签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11</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12</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投标文件的上传和提交：本项目通过“广西政府采购云平台（http://www.gcy.zfcg.gxzf.gov.cn）”实行在线投标响应（电子投标），投标供应商应当在投标截止时间前，将生成的“电子加密投标文件”上传提交至“广西政府采购云平台”。</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“电子加密投标文件”的上传、提交：</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a.投标供应商应在投标截止时间前将“电子加密投标文件”成功上传提交至“广西政府采购云平台”，否则投标无效。</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13</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电子加密投标文件的解密：</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snapToGrid w:val="0"/>
                <w:color w:val="auto"/>
                <w:sz w:val="21"/>
                <w:szCs w:val="21"/>
                <w:highlight w:val="none"/>
                <w:u w:val="none"/>
              </w:rPr>
            </w:pPr>
            <w:r>
              <w:rPr>
                <w:rFonts w:hint="eastAsia" w:ascii="宋体" w:hAnsi="宋体" w:eastAsia="宋体" w:cs="宋体"/>
                <w:snapToGrid w:val="0"/>
                <w:color w:val="auto"/>
                <w:sz w:val="21"/>
                <w:szCs w:val="21"/>
                <w:highlight w:val="none"/>
                <w:u w:val="none"/>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14</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投标截止时间及地点：</w:t>
            </w:r>
            <w:r>
              <w:rPr>
                <w:rFonts w:hint="eastAsia" w:ascii="宋体" w:hAnsi="宋体" w:eastAsia="宋体" w:cs="宋体"/>
                <w:b/>
                <w:bCs/>
                <w:color w:val="auto"/>
                <w:sz w:val="21"/>
                <w:szCs w:val="21"/>
                <w:highlight w:val="none"/>
                <w:u w:val="none"/>
              </w:rPr>
              <w:t>2026年</w:t>
            </w:r>
            <w:r>
              <w:rPr>
                <w:rFonts w:hint="eastAsia" w:ascii="宋体" w:hAnsi="宋体" w:eastAsia="宋体" w:cs="宋体"/>
                <w:b/>
                <w:bCs/>
                <w:color w:val="auto"/>
                <w:sz w:val="21"/>
                <w:szCs w:val="21"/>
                <w:highlight w:val="none"/>
                <w:u w:val="none"/>
                <w:lang w:val="en-US" w:eastAsia="zh-CN"/>
              </w:rPr>
              <w:t>10</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13</w:t>
            </w:r>
            <w:r>
              <w:rPr>
                <w:rFonts w:hint="eastAsia" w:ascii="宋体" w:hAnsi="宋体" w:eastAsia="宋体" w:cs="宋体"/>
                <w:b/>
                <w:bCs/>
                <w:color w:val="auto"/>
                <w:sz w:val="21"/>
                <w:szCs w:val="21"/>
                <w:highlight w:val="none"/>
                <w:u w:val="none"/>
              </w:rPr>
              <w:t>日</w:t>
            </w:r>
            <w:r>
              <w:rPr>
                <w:rFonts w:hint="eastAsia" w:ascii="宋体" w:hAnsi="宋体" w:eastAsia="宋体" w:cs="宋体"/>
                <w:b/>
                <w:color w:val="auto"/>
                <w:sz w:val="21"/>
                <w:szCs w:val="21"/>
                <w:highlight w:val="none"/>
                <w:u w:val="none"/>
              </w:rPr>
              <w:t>上午10时整</w:t>
            </w:r>
            <w:r>
              <w:rPr>
                <w:rFonts w:hint="eastAsia" w:ascii="宋体" w:hAnsi="宋体" w:eastAsia="宋体" w:cs="宋体"/>
                <w:b w:val="0"/>
                <w:bCs/>
                <w:color w:val="auto"/>
                <w:sz w:val="21"/>
                <w:szCs w:val="21"/>
                <w:highlight w:val="none"/>
                <w:u w:val="none"/>
              </w:rPr>
              <w:t>，南宁市星湖路22号广西壮族自治区政府采购中心开标大厅。（本项目采用在线开评标方式，投标</w:t>
            </w:r>
            <w:r>
              <w:rPr>
                <w:rFonts w:hint="eastAsia" w:ascii="宋体" w:hAnsi="宋体" w:eastAsia="宋体" w:cs="宋体"/>
                <w:color w:val="auto"/>
                <w:sz w:val="21"/>
                <w:szCs w:val="21"/>
                <w:highlight w:val="none"/>
                <w:u w:val="none"/>
              </w:rPr>
              <w:t>供应商无须前往开标现场</w:t>
            </w:r>
            <w:r>
              <w:rPr>
                <w:rFonts w:hint="eastAsia" w:ascii="宋体" w:hAnsi="宋体" w:eastAsia="宋体" w:cs="宋体"/>
                <w:b/>
                <w:color w:val="auto"/>
                <w:sz w:val="21"/>
                <w:szCs w:val="21"/>
                <w:highlight w:val="none"/>
                <w:u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15</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开标时间及地点：</w:t>
            </w:r>
            <w:r>
              <w:rPr>
                <w:rFonts w:hint="eastAsia" w:ascii="宋体" w:hAnsi="宋体" w:eastAsia="宋体" w:cs="宋体"/>
                <w:b/>
                <w:bCs/>
                <w:color w:val="auto"/>
                <w:sz w:val="21"/>
                <w:szCs w:val="21"/>
                <w:highlight w:val="none"/>
                <w:u w:val="none"/>
              </w:rPr>
              <w:t>2026年</w:t>
            </w:r>
            <w:r>
              <w:rPr>
                <w:rFonts w:hint="eastAsia" w:ascii="宋体" w:hAnsi="宋体" w:eastAsia="宋体" w:cs="宋体"/>
                <w:b/>
                <w:bCs/>
                <w:color w:val="auto"/>
                <w:sz w:val="21"/>
                <w:szCs w:val="21"/>
                <w:highlight w:val="none"/>
                <w:u w:val="none"/>
                <w:lang w:val="en-US" w:eastAsia="zh-CN"/>
              </w:rPr>
              <w:t>10</w:t>
            </w:r>
            <w:r>
              <w:rPr>
                <w:rFonts w:hint="eastAsia" w:ascii="宋体" w:hAnsi="宋体" w:eastAsia="宋体" w:cs="宋体"/>
                <w:b/>
                <w:bCs/>
                <w:color w:val="auto"/>
                <w:sz w:val="21"/>
                <w:szCs w:val="21"/>
                <w:highlight w:val="none"/>
                <w:u w:val="none"/>
              </w:rPr>
              <w:t>月</w:t>
            </w:r>
            <w:r>
              <w:rPr>
                <w:rFonts w:hint="eastAsia" w:ascii="宋体" w:hAnsi="宋体" w:eastAsia="宋体" w:cs="宋体"/>
                <w:b/>
                <w:bCs/>
                <w:color w:val="auto"/>
                <w:sz w:val="21"/>
                <w:szCs w:val="21"/>
                <w:highlight w:val="none"/>
                <w:u w:val="none"/>
                <w:lang w:val="en-US" w:eastAsia="zh-CN"/>
              </w:rPr>
              <w:t>13</w:t>
            </w:r>
            <w:r>
              <w:rPr>
                <w:rFonts w:hint="eastAsia" w:ascii="宋体" w:hAnsi="宋体" w:eastAsia="宋体" w:cs="宋体"/>
                <w:b/>
                <w:bCs/>
                <w:color w:val="auto"/>
                <w:sz w:val="21"/>
                <w:szCs w:val="21"/>
                <w:highlight w:val="none"/>
                <w:u w:val="none"/>
              </w:rPr>
              <w:t>日</w:t>
            </w:r>
            <w:r>
              <w:rPr>
                <w:rFonts w:hint="eastAsia" w:ascii="宋体" w:hAnsi="宋体" w:eastAsia="宋体" w:cs="宋体"/>
                <w:b/>
                <w:color w:val="auto"/>
                <w:sz w:val="21"/>
                <w:szCs w:val="21"/>
                <w:highlight w:val="none"/>
                <w:u w:val="none"/>
              </w:rPr>
              <w:t>上午10时整</w:t>
            </w:r>
            <w:r>
              <w:rPr>
                <w:rFonts w:hint="eastAsia" w:ascii="宋体" w:hAnsi="宋体" w:eastAsia="宋体" w:cs="宋体"/>
                <w:b w:val="0"/>
                <w:bCs/>
                <w:color w:val="auto"/>
                <w:sz w:val="21"/>
                <w:szCs w:val="21"/>
                <w:highlight w:val="none"/>
                <w:u w:val="none"/>
              </w:rPr>
              <w:t>，南宁市星湖路22号广西壮族自治区政府采购中心开标大厅。（本项目采用在线开评标方式，投标</w:t>
            </w:r>
            <w:r>
              <w:rPr>
                <w:rFonts w:hint="eastAsia" w:ascii="宋体" w:hAnsi="宋体" w:eastAsia="宋体" w:cs="宋体"/>
                <w:color w:val="auto"/>
                <w:sz w:val="21"/>
                <w:szCs w:val="21"/>
                <w:highlight w:val="none"/>
                <w:u w:val="none"/>
              </w:rPr>
              <w:t>供应商无须前往开标现场</w:t>
            </w:r>
            <w:r>
              <w:rPr>
                <w:rFonts w:hint="eastAsia" w:ascii="宋体" w:hAnsi="宋体" w:eastAsia="宋体" w:cs="宋体"/>
                <w:b/>
                <w:color w:val="auto"/>
                <w:sz w:val="21"/>
                <w:szCs w:val="21"/>
                <w:highlight w:val="none"/>
                <w:u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16</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17</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中标公告及中标通知书：本中心在采购人依法确认中标人后二个工作日内发布中标公告和中标通知书，中标公告发布于上述媒体（详细见公告中公布的网站）。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18</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19</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60" w:lineRule="exact"/>
              <w:textAlignment w:val="auto"/>
              <w:rPr>
                <w:rFonts w:hint="eastAsia" w:ascii="宋体" w:hAnsi="宋体" w:eastAsia="宋体" w:cs="宋体"/>
                <w:color w:val="auto"/>
                <w:kern w:val="0"/>
                <w:sz w:val="21"/>
                <w:szCs w:val="21"/>
                <w:highlight w:val="none"/>
                <w:u w:val="none"/>
              </w:rPr>
            </w:pPr>
            <w:r>
              <w:rPr>
                <w:rFonts w:hint="eastAsia" w:ascii="宋体" w:hAnsi="宋体" w:eastAsia="宋体" w:cs="宋体"/>
                <w:color w:val="auto"/>
                <w:sz w:val="21"/>
                <w:szCs w:val="21"/>
                <w:highlight w:val="none"/>
                <w:u w:val="none"/>
              </w:rPr>
              <w:t>付款方式：</w:t>
            </w:r>
            <w:r>
              <w:rPr>
                <w:rFonts w:hint="eastAsia" w:ascii="宋体" w:hAnsi="宋体" w:eastAsia="宋体" w:cs="宋体"/>
                <w:color w:val="auto"/>
                <w:kern w:val="0"/>
                <w:sz w:val="21"/>
                <w:szCs w:val="21"/>
                <w:highlight w:val="none"/>
                <w:u w:val="none"/>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20</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投标文件有效期：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21</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对招标文件、采购过程或者中标结果的质疑由采购人接收或采购代理机构代为接收，由采购人负责答复。</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接收质疑函方式：以书面形式。</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质疑联系部门及联系方式：</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 xml:space="preserve">（1）广西壮族自治区政府采购中心内审科     </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电话：0771-8600453</w:t>
            </w:r>
          </w:p>
          <w:p>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eastAsia="宋体" w:cs="宋体"/>
                <w:b/>
                <w:bCs/>
                <w:snapToGrid w:val="0"/>
                <w:color w:val="auto"/>
                <w:sz w:val="21"/>
                <w:szCs w:val="21"/>
                <w:highlight w:val="none"/>
                <w:u w:val="none"/>
              </w:rPr>
            </w:pPr>
            <w:r>
              <w:rPr>
                <w:rFonts w:hint="eastAsia" w:ascii="宋体" w:hAnsi="宋体" w:eastAsia="宋体" w:cs="宋体"/>
                <w:b/>
                <w:bCs/>
                <w:snapToGrid w:val="0"/>
                <w:color w:val="auto"/>
                <w:sz w:val="21"/>
                <w:szCs w:val="21"/>
                <w:highlight w:val="none"/>
                <w:u w:val="none"/>
              </w:rPr>
              <w:t>地址：广西南宁市星湖路22号</w:t>
            </w:r>
          </w:p>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b/>
                <w:bCs/>
                <w:color w:val="auto"/>
                <w:sz w:val="21"/>
                <w:szCs w:val="21"/>
                <w:highlight w:val="none"/>
                <w:u w:val="none"/>
                <w:lang w:eastAsia="zh-CN"/>
              </w:rPr>
            </w:pPr>
            <w:r>
              <w:rPr>
                <w:rFonts w:hint="eastAsia" w:ascii="宋体" w:hAnsi="宋体" w:eastAsia="宋体" w:cs="宋体"/>
                <w:b/>
                <w:bCs/>
                <w:color w:val="auto"/>
                <w:sz w:val="21"/>
                <w:szCs w:val="21"/>
                <w:highlight w:val="none"/>
                <w:u w:val="none"/>
              </w:rPr>
              <w:t>（2）</w:t>
            </w:r>
            <w:r>
              <w:rPr>
                <w:rFonts w:hint="eastAsia" w:ascii="宋体" w:hAnsi="宋体" w:eastAsia="宋体" w:cs="宋体"/>
                <w:b/>
                <w:bCs/>
                <w:color w:val="auto"/>
                <w:sz w:val="21"/>
                <w:szCs w:val="21"/>
                <w:highlight w:val="none"/>
                <w:u w:val="none"/>
                <w:lang w:eastAsia="zh-CN"/>
              </w:rPr>
              <w:t>广西壮族自治区疾病预防控制中心</w:t>
            </w:r>
          </w:p>
          <w:p>
            <w:pPr>
              <w:keepNext w:val="0"/>
              <w:keepLines w:val="0"/>
              <w:pageBreakBefore w:val="0"/>
              <w:widowControl w:val="0"/>
              <w:kinsoku/>
              <w:wordWrap/>
              <w:overflowPunct/>
              <w:topLinePunct w:val="0"/>
              <w:autoSpaceDE/>
              <w:autoSpaceDN/>
              <w:bidi w:val="0"/>
              <w:adjustRightInd w:val="0"/>
              <w:snapToGrid w:val="0"/>
              <w:spacing w:line="400" w:lineRule="exact"/>
              <w:ind w:firstLine="421" w:firstLineChars="200"/>
              <w:textAlignment w:val="auto"/>
              <w:rPr>
                <w:rFonts w:hint="eastAsia" w:ascii="宋体" w:hAnsi="宋体" w:eastAsia="宋体" w:cs="宋体"/>
                <w:color w:val="auto"/>
                <w:sz w:val="21"/>
                <w:szCs w:val="21"/>
                <w:highlight w:val="none"/>
              </w:rPr>
            </w:pPr>
            <w:r>
              <w:rPr>
                <w:rFonts w:hint="eastAsia" w:ascii="宋体" w:hAnsi="宋体"/>
                <w:b/>
                <w:bCs/>
                <w:snapToGrid w:val="0"/>
                <w:color w:val="auto"/>
                <w:highlight w:val="none"/>
              </w:rPr>
              <w:t>采购人联系电话</w:t>
            </w:r>
            <w:r>
              <w:rPr>
                <w:rFonts w:hint="eastAsia" w:ascii="宋体" w:hAnsi="宋体" w:eastAsia="宋体" w:cs="宋体"/>
                <w:b/>
                <w:bCs/>
                <w:color w:val="auto"/>
                <w:sz w:val="21"/>
                <w:szCs w:val="21"/>
                <w:highlight w:val="none"/>
                <w:u w:val="none"/>
              </w:rPr>
              <w:t>：</w:t>
            </w:r>
            <w:r>
              <w:rPr>
                <w:rFonts w:hint="eastAsia" w:ascii="宋体" w:hAnsi="宋体" w:eastAsia="宋体" w:cs="宋体"/>
                <w:color w:val="auto"/>
                <w:sz w:val="21"/>
                <w:szCs w:val="21"/>
                <w:highlight w:val="none"/>
              </w:rPr>
              <w:t>0771-2521509</w:t>
            </w:r>
          </w:p>
          <w:p>
            <w:pPr>
              <w:keepNext w:val="0"/>
              <w:keepLines w:val="0"/>
              <w:pageBreakBefore w:val="0"/>
              <w:kinsoku/>
              <w:wordWrap/>
              <w:overflowPunct/>
              <w:topLinePunct w:val="0"/>
              <w:autoSpaceDE/>
              <w:autoSpaceDN/>
              <w:bidi w:val="0"/>
              <w:adjustRightInd/>
              <w:snapToGrid w:val="0"/>
              <w:spacing w:line="360" w:lineRule="exact"/>
              <w:ind w:firstLine="421" w:firstLineChars="200"/>
              <w:textAlignment w:val="auto"/>
              <w:rPr>
                <w:rFonts w:hint="eastAsia" w:ascii="宋体" w:hAnsi="宋体" w:eastAsia="宋体" w:cs="宋体"/>
                <w:b/>
                <w:bCs/>
                <w:color w:val="auto"/>
                <w:sz w:val="21"/>
                <w:szCs w:val="21"/>
                <w:highlight w:val="none"/>
                <w:u w:val="none"/>
              </w:rPr>
            </w:pPr>
            <w:r>
              <w:rPr>
                <w:rFonts w:hint="eastAsia" w:ascii="宋体" w:hAnsi="宋体"/>
                <w:b/>
                <w:bCs/>
                <w:snapToGrid w:val="0"/>
                <w:color w:val="auto"/>
                <w:highlight w:val="none"/>
              </w:rPr>
              <w:t>采购人地址</w:t>
            </w:r>
            <w:r>
              <w:rPr>
                <w:rFonts w:hint="eastAsia" w:ascii="宋体" w:hAnsi="宋体" w:eastAsia="宋体" w:cs="宋体"/>
                <w:b/>
                <w:bCs/>
                <w:color w:val="auto"/>
                <w:sz w:val="21"/>
                <w:szCs w:val="21"/>
                <w:highlight w:val="none"/>
                <w:u w:val="none"/>
              </w:rPr>
              <w:t>：</w:t>
            </w:r>
            <w:r>
              <w:rPr>
                <w:rFonts w:hint="eastAsia" w:ascii="宋体" w:hAnsi="宋体" w:eastAsia="宋体" w:cs="宋体"/>
                <w:color w:val="auto"/>
                <w:szCs w:val="21"/>
                <w:highlight w:val="none"/>
                <w:lang w:eastAsia="zh-CN"/>
              </w:rPr>
              <w:t>南宁市金洲路</w:t>
            </w:r>
            <w:r>
              <w:rPr>
                <w:rFonts w:hint="eastAsia" w:ascii="宋体" w:hAnsi="宋体" w:eastAsia="宋体" w:cs="宋体"/>
                <w:color w:val="auto"/>
                <w:szCs w:val="21"/>
                <w:highlight w:val="none"/>
                <w:lang w:val="en-US" w:eastAsia="zh-CN"/>
              </w:rPr>
              <w:t>18号</w:t>
            </w:r>
          </w:p>
          <w:p>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val="0"/>
                <w:snapToGrid w:val="0"/>
                <w:color w:val="auto"/>
                <w:sz w:val="21"/>
                <w:szCs w:val="21"/>
                <w:highlight w:val="none"/>
                <w:u w:val="none"/>
              </w:rPr>
              <w:t>现场提交质疑办理业务时间：质疑期内每个工作日采购人或采购代理机构正常工作时间，其中采购代理机构为9：00到12：00，14：00到17：00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22</w:t>
            </w:r>
          </w:p>
        </w:tc>
        <w:tc>
          <w:tcPr>
            <w:tcW w:w="905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本招标文件解释权属广西壮族自治区政府采购中心。</w:t>
            </w:r>
          </w:p>
        </w:tc>
      </w:tr>
    </w:tbl>
    <w:p>
      <w:pPr>
        <w:spacing w:line="360" w:lineRule="exact"/>
        <w:jc w:val="center"/>
        <w:rPr>
          <w:rFonts w:hint="eastAsia" w:ascii="宋体" w:hAnsi="宋体" w:eastAsia="宋体" w:cs="宋体"/>
          <w:b/>
          <w:color w:val="auto"/>
          <w:sz w:val="32"/>
          <w:szCs w:val="32"/>
          <w:highlight w:val="none"/>
        </w:rPr>
      </w:pPr>
    </w:p>
    <w:p>
      <w:pPr>
        <w:pStyle w:val="14"/>
        <w:snapToGrid w:val="0"/>
        <w:spacing w:before="120" w:after="120" w:line="360" w:lineRule="exact"/>
        <w:jc w:val="center"/>
        <w:rPr>
          <w:rFonts w:hint="eastAsia" w:ascii="宋体" w:hAnsi="宋体" w:eastAsia="宋体" w:cs="宋体"/>
          <w:b/>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snapToGrid w:val="0"/>
        <w:spacing w:before="120" w:after="120" w:line="500" w:lineRule="exact"/>
        <w:jc w:val="center"/>
        <w:textAlignment w:val="auto"/>
        <w:rPr>
          <w:rFonts w:hint="eastAsia" w:ascii="宋体" w:hAnsi="宋体" w:eastAsia="宋体" w:cs="宋体"/>
          <w:b/>
          <w:color w:val="auto"/>
          <w:sz w:val="48"/>
          <w:szCs w:val="48"/>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6"/>
          <w:szCs w:val="36"/>
          <w:highlight w:val="none"/>
        </w:rPr>
        <w:t>投标人须知</w:t>
      </w:r>
    </w:p>
    <w:p>
      <w:pPr>
        <w:pStyle w:val="6"/>
        <w:rPr>
          <w:rFonts w:hint="eastAsia"/>
          <w:color w:val="auto"/>
          <w:highlight w:val="none"/>
        </w:rPr>
      </w:pP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一、总  则</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 适用范围</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本招标文件适用本项目的招标、投标、评标、定标、验收、合同履约、付款等行为（法律、法规另有规定的，从其规定）。</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（二）定义</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1.“采购人”系指组织本次招标的采购单位。</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2.“采购代理机构”系指广西壮族自治区政府采购中心（以下简称“本中心”）。</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3.“投标人”系指响应招标、参加投标竞争的法人、其他组织或者自然人。</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4.“产品”系指供方按招标文件规定，须向采购人提供的一切设备、保险、税金、备品备件、工具、手册及其它有关技术资料和材料。</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5.“服务”系指招标文件规定投标人须承担的安装、调试、技术协助、校准、培训、技术指导以及其他类似的义务。</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6.“项目”系指投标人按招标文件规定向采购人提供的产品和服务。</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7.“书面形式”包括信函、传真、电报等。</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8.“▲”系指在投标人须知中的实质性要求条款。</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（三）招标方式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公开招标方式。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（四）投标委托</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如投标人代表不是法定代表人(负责人)，须有法定代表人(负责人)出具的授权委托书，格式见第六章《投标文件格式》。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（五）投标费用</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投标人均应自行承担所有与投标有关的全部费用（招标文件有相关的规定除外）。</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（六）本项目不接受联合体投标</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（七）</w:t>
      </w:r>
      <w:r>
        <w:rPr>
          <w:rFonts w:hint="eastAsia" w:ascii="宋体" w:hAnsi="宋体" w:eastAsia="宋体" w:cs="宋体"/>
          <w:b/>
          <w:color w:val="auto"/>
          <w:kern w:val="0"/>
          <w:sz w:val="21"/>
          <w:szCs w:val="21"/>
          <w:highlight w:val="none"/>
        </w:rPr>
        <w:t>转包与分包</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1.本项目不允许转包。</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2.本项目不可以分包。</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（八）特别说明：</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▲1.单位负责人为同一人或者存在直接控股、管理关系的不同供应商，不得参加同一合同项下的政府采购活动。</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分标准》中的推荐原则确定一个投标人获得中标人推荐资格，其他同品牌投标人不作为中标候选人。</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非单一产品采购项目中，多家投标人提供的招标文件中载明的核心产品品牌相同的，视为提供相同品牌产品。</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▲3.投标人应仔细阅读招标文件的所有内容，按照招标文件的要求提交投标文件，并对所提供的全部资料的真实性承担法律责任。</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▲4.投标人在投标活动中提供任何虚假材料、互相串通投标，其投标无效，并报监管部门查处。</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2"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▲5.投标截止时间前三天，报名登记的供应商不足三家的，本中心将延迟截标和开标时间不少于十日，并书面通知已报名登记的供应商，并在财政部门指定的政府采购信息发布媒体及本中心网站上发布变更公告。</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中小企业价格评审优惠：根据《政府采购促进中小企业发展管理办法》（财库〔2020〕46号）的规定，对符合条件的小型、微型企业（以下简称“中小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本国产品价格扣除：根据《国务院办公厅关于在政府采购中实施本国产品标准及相关政策的通知》（国办发〔2025〕34号），在政府采购活动中既有本国产品又有非本国产品参与竞争的情况下，依法对本国产品给予价格评审优惠。 本项目对本国产品给予价格扣除，扣除比例详见评标方法及评分标准。投标人如申请享受此项价格扣除，必须按本文件“投标文件格式”要求，填写并提交《关于符合本国产品标准的声明函》。未提交或提交不符合要求的，不享受扣除，按其原报价计算价格分。</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w:t>
      </w:r>
      <w:r>
        <w:rPr>
          <w:rFonts w:hint="eastAsia" w:ascii="宋体" w:hAnsi="宋体" w:eastAsia="宋体" w:cs="宋体"/>
          <w:b/>
          <w:color w:val="auto"/>
          <w:sz w:val="21"/>
          <w:szCs w:val="21"/>
          <w:highlight w:val="none"/>
        </w:rPr>
        <w:t>询问、质疑和投诉</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投标人对政府采购活动事项有疑问的，可以向采购人、采购代理机构提出询问。</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2.投标人认为招标文件、招标过程或中标结果使自己的合法权益受到损害的，应当在知道或者应知其权益受到损害之日起七个工作日内，以书面形式向采购人提出质疑。具体计算时间如下：</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（一）对可以质疑的招标采购文件提出质疑的，为收到采购文件之日；</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（二）对招标采购过程提出质疑的，为各采购程序环节结束之日；</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（三）对中标结果提出质疑的，为中标结果公告期限届满之日。投标人对采购单位的质疑答复不满意或者采购人未在规定时间内作出答复的，可以在答复期满后十五个工作日内向同级采购监管部门投诉。</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质疑、投诉应当采用书面形式，质疑书、投诉书均应明确阐述招标采购文件、招标采购过程、中标结果中使自己合法权益受到损害的实质性内容，提供相关事实、明确的请求、必要的证明材料，便于有关单位调查、答复和处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4.采购人、采购代理机构接收质疑函的方式、联系部门、联系电话和地址等信息详见“投标人须知前附表”。</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5.质</w:t>
      </w:r>
      <w:r>
        <w:rPr>
          <w:rFonts w:hint="eastAsia" w:ascii="宋体" w:hAnsi="宋体" w:eastAsia="宋体" w:cs="宋体"/>
          <w:color w:val="auto"/>
          <w:sz w:val="21"/>
          <w:szCs w:val="21"/>
          <w:highlight w:val="none"/>
        </w:rPr>
        <w:t>疑供应商提起质疑应当符合下列条件：</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（1）质疑供应商是参与所质疑项目采购活动的供应商（潜在供应商已依法获取可之一的采购文件的，可以对该采购文件质疑）；</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（2）质疑函内容符合本章第3项的规定；</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（3）在质疑有效期限内提起质疑；</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（4）属于所质疑的采购人或采购人委托的采购代理机构组织的采购活动；</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（5）同一质疑事项未经采购人或采购人委托的采购代理机构质疑处理； </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（6）供应商对同一采购程序环节的质疑应当在质疑有效期内一次性提出；</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（7）供应商提交质疑应当提交必要的证明材料，证明材料应以合法手段取得；</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（8）财政部门规定的其他条件。</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二、招标文件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（一）招标文件的构成。</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1.公开招标公告；</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2.招标项目采购需求</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3.投标人须知；</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4.评标方法及评分标准；</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5.政府采购合同主要条款；</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6.投标文件格式。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（二）投标人的风险</w:t>
      </w:r>
    </w:p>
    <w:p>
      <w:pPr>
        <w:keepNext w:val="0"/>
        <w:keepLines w:val="0"/>
        <w:pageBreakBefore w:val="0"/>
        <w:widowControl w:val="0"/>
        <w:tabs>
          <w:tab w:val="left" w:pos="180"/>
          <w:tab w:val="left" w:pos="162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r>
        <w:rPr>
          <w:rFonts w:hint="eastAsia" w:ascii="宋体" w:hAnsi="宋体" w:eastAsia="宋体" w:cs="宋体"/>
          <w:color w:val="auto"/>
          <w:sz w:val="21"/>
          <w:szCs w:val="21"/>
          <w:highlight w:val="none"/>
        </w:rPr>
        <w:cr/>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2.对招标文件提出的实质性要求和条件作出明确响应是指投标人必须对招标文件中涉及招标项目的价格、采购货物的主要技术参数和性能配置、数量、交货（或竣工）时间、售后服务及其它要求、合同主要条款等内容作出明确响应。 </w:t>
      </w:r>
    </w:p>
    <w:p>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3.采购货物的主要技术参数和性能配置由评标委员会在评标前评定，但不能改变实质性内容。</w:t>
      </w:r>
    </w:p>
    <w:p>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（三）招标文件的澄清与修改 </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sz w:val="21"/>
          <w:szCs w:val="21"/>
          <w:highlight w:val="none"/>
        </w:rPr>
        <w:t>投标人应认真阅</w:t>
      </w:r>
      <w:r>
        <w:rPr>
          <w:rFonts w:hint="eastAsia" w:ascii="宋体" w:hAnsi="宋体" w:eastAsia="宋体" w:cs="宋体"/>
          <w:bCs/>
          <w:color w:val="auto"/>
          <w:sz w:val="21"/>
          <w:szCs w:val="21"/>
          <w:highlight w:val="none"/>
          <w:u w:val="none"/>
        </w:rPr>
        <w:t>读本招标文件，发现其中有误或有不合理要求的，投</w:t>
      </w:r>
      <w:r>
        <w:rPr>
          <w:rFonts w:hint="eastAsia" w:ascii="宋体" w:hAnsi="宋体" w:eastAsia="宋体" w:cs="宋体"/>
          <w:b w:val="0"/>
          <w:bCs/>
          <w:color w:val="auto"/>
          <w:sz w:val="21"/>
          <w:szCs w:val="21"/>
          <w:highlight w:val="none"/>
          <w:u w:val="none"/>
        </w:rPr>
        <w:t>标人应当在“采购文件：第三章 《投标人须知及前附表》序号6”规定的时间前以书面形式要求招标采购单位答疑、澄清。本中心对已发出的招标文件进行必要澄清或者修改可能影响投标文件编制的，应当在招标文件要求提交投标文件截止时间15日前，在财政部门指定的政府采购信息发布媒体</w:t>
      </w:r>
      <w:r>
        <w:rPr>
          <w:rFonts w:hint="eastAsia" w:ascii="宋体" w:hAnsi="宋体" w:eastAsia="宋体" w:cs="宋体"/>
          <w:bCs/>
          <w:color w:val="auto"/>
          <w:sz w:val="21"/>
          <w:szCs w:val="21"/>
          <w:highlight w:val="none"/>
          <w:u w:val="none"/>
        </w:rPr>
        <w:t>及本中心网站上发布更正公告，并以书面形式通知所有招标文件收受人。该澄清或者修改的内容为招标文件的组成部分</w:t>
      </w:r>
      <w:r>
        <w:rPr>
          <w:rFonts w:hint="eastAsia" w:ascii="宋体" w:hAnsi="宋体" w:eastAsia="宋体" w:cs="宋体"/>
          <w:color w:val="auto"/>
          <w:sz w:val="21"/>
          <w:szCs w:val="21"/>
          <w:highlight w:val="none"/>
          <w:u w:val="none"/>
        </w:rPr>
        <w:t>。</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2.本中心必须以书面形式答复投标人要求澄清的问题，并将不包含问题来源的答复书面通知所有报名登记的投标人；除书面答复以外的其他澄清方式及澄清内容均无效。</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3.招标文件的答疑、澄清、修改、补充的内容为招标文件的组成部分。当招标文件与招标文件的答疑、澄清、修改、补充通知就同一内容的表述不一致时，以最后发出的书面文件为准。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4.招标文件的答疑、澄清、修改、补充都应该通过本中心以法定形式发布，采购人非通过本机构，不得擅自答疑、澄清、修改、补充招标文件。</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5.本中心可以视采购具体情况，延长招标文件或者资格预审文件提供期限，并在财政部门指定的政府采购信息发布媒体及本中心网站上发布公告。</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1"/>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三、投标文件的编制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（一）投标文件的组成</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投标文件由资格文件、资信及商务文件、技术文件、投标报价文件</w:t>
      </w:r>
      <w:r>
        <w:rPr>
          <w:rFonts w:hint="eastAsia" w:ascii="宋体" w:hAnsi="宋体" w:eastAsia="宋体" w:cs="宋体"/>
          <w:b/>
          <w:color w:val="auto"/>
          <w:sz w:val="21"/>
          <w:szCs w:val="21"/>
          <w:highlight w:val="none"/>
          <w:u w:val="none"/>
        </w:rPr>
        <w:t>四部份</w:t>
      </w:r>
      <w:r>
        <w:rPr>
          <w:rFonts w:hint="eastAsia" w:ascii="宋体" w:hAnsi="宋体" w:eastAsia="宋体" w:cs="宋体"/>
          <w:color w:val="auto"/>
          <w:sz w:val="21"/>
          <w:szCs w:val="21"/>
          <w:highlight w:val="none"/>
          <w:u w:val="none"/>
        </w:rPr>
        <w:t>组成。</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1.资格文件：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u w:val="none"/>
        </w:rPr>
        <w:t>（1）有</w:t>
      </w:r>
      <w:r>
        <w:rPr>
          <w:rFonts w:hint="eastAsia" w:ascii="宋体" w:hAnsi="宋体" w:eastAsia="宋体" w:cs="宋体"/>
          <w:color w:val="auto"/>
          <w:sz w:val="21"/>
          <w:szCs w:val="21"/>
          <w:highlight w:val="none"/>
          <w:u w:val="none"/>
        </w:rPr>
        <w:t>效的营业执照等证明文件复印件；</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1" w:firstLineChars="200"/>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rPr>
        <w:t>①投标人有效的营业执照等证明文件扫描件或其他电子文件，同时要加盖单位公章</w:t>
      </w:r>
      <w:r>
        <w:rPr>
          <w:rFonts w:hint="eastAsia" w:ascii="宋体" w:hAnsi="宋体" w:eastAsia="宋体" w:cs="宋体"/>
          <w:b/>
          <w:color w:val="auto"/>
          <w:sz w:val="21"/>
          <w:szCs w:val="21"/>
          <w:highlight w:val="none"/>
          <w:u w:val="none"/>
        </w:rPr>
        <w:t>（必须提供）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②对于有经营资质要求的，投标人必须提供有效的经营资质证书副本内页扫描件或其他电子文件，同时要加盖单位公章。</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bCs w:val="0"/>
          <w:color w:val="auto"/>
          <w:sz w:val="21"/>
          <w:szCs w:val="21"/>
          <w:highlight w:val="none"/>
          <w:u w:val="none"/>
        </w:rPr>
        <w:t>（2）</w:t>
      </w:r>
      <w:r>
        <w:rPr>
          <w:rFonts w:hint="eastAsia" w:ascii="宋体" w:hAnsi="宋体" w:eastAsia="宋体" w:cs="宋体"/>
          <w:b/>
          <w:bCs w:val="0"/>
          <w:color w:val="auto"/>
          <w:kern w:val="0"/>
          <w:sz w:val="21"/>
          <w:szCs w:val="21"/>
          <w:highlight w:val="none"/>
          <w:u w:val="none"/>
        </w:rPr>
        <w:t>参加政府采购活动前三年内在经营活动中没有重大违法记录的书面声明</w:t>
      </w:r>
      <w:r>
        <w:rPr>
          <w:rFonts w:hint="eastAsia" w:ascii="宋体" w:hAnsi="宋体" w:eastAsia="宋体" w:cs="宋体"/>
          <w:b w:val="0"/>
          <w:bCs/>
          <w:color w:val="auto"/>
          <w:sz w:val="21"/>
          <w:szCs w:val="21"/>
          <w:highlight w:val="none"/>
          <w:u w:val="none"/>
        </w:rPr>
        <w:t>和信用记录查询方法；</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①</w:t>
      </w:r>
      <w:r>
        <w:rPr>
          <w:rFonts w:hint="eastAsia" w:ascii="宋体" w:hAnsi="宋体" w:eastAsia="宋体" w:cs="宋体"/>
          <w:b/>
          <w:bCs/>
          <w:color w:val="auto"/>
          <w:kern w:val="0"/>
          <w:sz w:val="21"/>
          <w:szCs w:val="21"/>
          <w:highlight w:val="none"/>
          <w:u w:val="none"/>
        </w:rPr>
        <w:t>参加政府采购活动前三年内在经营活动中没有重大违法记录的书面声明</w:t>
      </w:r>
      <w:r>
        <w:rPr>
          <w:rFonts w:hint="eastAsia" w:ascii="宋体" w:hAnsi="宋体" w:eastAsia="宋体" w:cs="宋体"/>
          <w:color w:val="auto"/>
          <w:sz w:val="21"/>
          <w:szCs w:val="21"/>
          <w:highlight w:val="none"/>
          <w:u w:val="none"/>
        </w:rPr>
        <w:t>（格式自拟，</w:t>
      </w:r>
      <w:r>
        <w:rPr>
          <w:rFonts w:hint="eastAsia" w:ascii="宋体" w:hAnsi="宋体" w:eastAsia="宋体" w:cs="宋体"/>
          <w:b/>
          <w:bCs/>
          <w:color w:val="auto"/>
          <w:sz w:val="21"/>
          <w:szCs w:val="21"/>
          <w:highlight w:val="none"/>
          <w:u w:val="none"/>
        </w:rPr>
        <w:t>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②供应商可在“信用中国”网站（www.creditchina.gov.cn）、中国政府采购网（www.ccgp.gov.cn）查询相关供应商主体信用记录。</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“信用中国”网站查询方法：投标人在本项目投标截止时间前10日内,进入投标人基本信息页面，点击“下载信用报告”后点击“下载”。</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“中国政府采购网”的查询方法：点击“政府采购严重违法失信行为记录名单”进行查询。截止时间为本项目投标截止时间前10日至投标截止时间中任意一天。</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pStyle w:val="2"/>
        <w:rPr>
          <w:rFonts w:hint="default" w:eastAsia="宋体"/>
          <w:b/>
          <w:bCs w:val="0"/>
          <w:lang w:val="en-US" w:eastAsia="zh-CN"/>
        </w:rPr>
      </w:pPr>
      <w:r>
        <w:rPr>
          <w:rFonts w:hint="eastAsia" w:ascii="宋体" w:eastAsia="宋体" w:cs="宋体"/>
          <w:b/>
          <w:bCs w:val="0"/>
          <w:color w:val="auto"/>
          <w:sz w:val="21"/>
          <w:szCs w:val="21"/>
          <w:highlight w:val="none"/>
          <w:u w:val="none"/>
          <w:lang w:val="en-US" w:eastAsia="zh-CN"/>
        </w:rPr>
        <w:t>(3)提供</w:t>
      </w:r>
      <w:r>
        <w:rPr>
          <w:rFonts w:hint="eastAsia" w:ascii="宋体" w:hAnsi="宋体" w:eastAsia="宋体" w:cs="宋体"/>
          <w:b/>
          <w:bCs w:val="0"/>
          <w:color w:val="auto"/>
          <w:sz w:val="21"/>
          <w:szCs w:val="21"/>
          <w:highlight w:val="none"/>
          <w:lang w:eastAsia="zh-CN"/>
        </w:rPr>
        <w:t>本项目所采购疫苗</w:t>
      </w:r>
      <w:r>
        <w:rPr>
          <w:rFonts w:hint="eastAsia" w:ascii="宋体" w:eastAsia="宋体" w:cs="宋体"/>
          <w:b/>
          <w:bCs w:val="0"/>
          <w:color w:val="auto"/>
          <w:sz w:val="21"/>
          <w:szCs w:val="21"/>
          <w:highlight w:val="none"/>
          <w:lang w:eastAsia="zh-CN"/>
        </w:rPr>
        <w:t>的</w:t>
      </w:r>
      <w:r>
        <w:rPr>
          <w:rFonts w:hint="eastAsia" w:ascii="宋体" w:hAnsi="宋体" w:eastAsia="宋体" w:cs="宋体"/>
          <w:b/>
          <w:bCs w:val="0"/>
          <w:color w:val="auto"/>
          <w:sz w:val="21"/>
          <w:szCs w:val="21"/>
          <w:highlight w:val="none"/>
        </w:rPr>
        <w:t>有效药品生产许可证、药品注册批件</w:t>
      </w:r>
      <w:r>
        <w:rPr>
          <w:rFonts w:hint="eastAsia" w:ascii="宋体" w:hAnsi="宋体" w:eastAsia="宋体" w:cs="宋体"/>
          <w:b/>
          <w:bCs w:val="0"/>
          <w:color w:val="auto"/>
          <w:sz w:val="21"/>
          <w:szCs w:val="21"/>
          <w:highlight w:val="none"/>
          <w:u w:val="none"/>
        </w:rPr>
        <w:t>（必须提供）</w:t>
      </w:r>
      <w:r>
        <w:rPr>
          <w:rFonts w:hint="eastAsia" w:ascii="宋体" w:hAnsi="宋体" w:eastAsia="宋体" w:cs="宋体"/>
          <w:b/>
          <w:bCs w:val="0"/>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2.资信及商务文件：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（1）投标保证金的相关证明扫描件或其他电子文件（必须提供）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（2）投标声明书 (格式见第六章)（必须提供）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color w:val="auto"/>
          <w:sz w:val="21"/>
          <w:szCs w:val="21"/>
          <w:highlight w:val="none"/>
          <w:u w:val="none"/>
        </w:rPr>
        <w:t>（3）法定代表人授权委托书和委托代理人身份证扫描件或其他电子文件（格式见第六章)（必须提供）</w:t>
      </w:r>
      <w:r>
        <w:rPr>
          <w:rFonts w:hint="eastAsia" w:ascii="宋体" w:hAnsi="宋体" w:eastAsia="宋体" w:cs="宋体"/>
          <w:color w:val="auto"/>
          <w:sz w:val="21"/>
          <w:szCs w:val="21"/>
          <w:highlight w:val="none"/>
          <w:u w:val="none"/>
        </w:rPr>
        <w:t>；</w:t>
      </w:r>
      <w:r>
        <w:rPr>
          <w:rFonts w:hint="eastAsia" w:ascii="宋体" w:hAnsi="宋体" w:eastAsia="宋体" w:cs="宋体"/>
          <w:b w:val="0"/>
          <w:bCs/>
          <w:color w:val="auto"/>
          <w:sz w:val="21"/>
          <w:szCs w:val="21"/>
          <w:highlight w:val="none"/>
          <w:u w:val="none"/>
        </w:rPr>
        <w:t>当法定代表人参加投标时，必须提供法定代表人身份证扫描件或其他电子文件；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（4）投标截止之日前半年内投标人</w:t>
      </w:r>
      <w:r>
        <w:rPr>
          <w:rFonts w:hint="eastAsia" w:ascii="宋体" w:hAnsi="宋体" w:eastAsia="宋体" w:cs="宋体"/>
          <w:b/>
          <w:color w:val="auto"/>
          <w:sz w:val="21"/>
          <w:szCs w:val="21"/>
          <w:highlight w:val="none"/>
          <w:u w:val="none"/>
          <w:lang w:eastAsia="zh-CN"/>
        </w:rPr>
        <w:t>任意一个月</w:t>
      </w:r>
      <w:r>
        <w:rPr>
          <w:rFonts w:hint="eastAsia" w:ascii="宋体" w:hAnsi="宋体" w:eastAsia="宋体" w:cs="宋体"/>
          <w:b/>
          <w:color w:val="auto"/>
          <w:sz w:val="21"/>
          <w:szCs w:val="21"/>
          <w:highlight w:val="none"/>
          <w:u w:val="none"/>
        </w:rPr>
        <w:t>的依法缴纳税费或依法免缴税费的证明（扫描件或其他电子文件，格式自拟）（必须提供）；</w:t>
      </w:r>
      <w:r>
        <w:rPr>
          <w:rFonts w:hint="eastAsia" w:ascii="宋体" w:hAnsi="宋体" w:eastAsia="宋体" w:cs="宋体"/>
          <w:color w:val="auto"/>
          <w:sz w:val="21"/>
          <w:szCs w:val="21"/>
          <w:highlight w:val="none"/>
          <w:u w:val="none"/>
        </w:rPr>
        <w:t>无纳税记录的，应提供由投标人所在地主管国税或地税部门出具的《依法纳税或依法免税证明》（格式</w:t>
      </w:r>
      <w:r>
        <w:rPr>
          <w:rFonts w:hint="eastAsia" w:ascii="宋体" w:hAnsi="宋体" w:eastAsia="宋体" w:cs="宋体"/>
          <w:b w:val="0"/>
          <w:bCs w:val="0"/>
          <w:color w:val="auto"/>
          <w:sz w:val="21"/>
          <w:szCs w:val="21"/>
          <w:highlight w:val="none"/>
          <w:u w:val="none"/>
        </w:rPr>
        <w:t>自拟，扫描件或其他电子文件）。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（5）投标截止之日前半年内投标人</w:t>
      </w:r>
      <w:r>
        <w:rPr>
          <w:rFonts w:hint="eastAsia" w:ascii="宋体" w:hAnsi="宋体" w:eastAsia="宋体" w:cs="宋体"/>
          <w:b/>
          <w:color w:val="auto"/>
          <w:sz w:val="21"/>
          <w:szCs w:val="21"/>
          <w:highlight w:val="none"/>
          <w:u w:val="none"/>
          <w:lang w:eastAsia="zh-CN"/>
        </w:rPr>
        <w:t>任意一个月</w:t>
      </w:r>
      <w:r>
        <w:rPr>
          <w:rFonts w:hint="eastAsia" w:ascii="宋体" w:hAnsi="宋体" w:eastAsia="宋体" w:cs="宋体"/>
          <w:b/>
          <w:color w:val="auto"/>
          <w:sz w:val="21"/>
          <w:szCs w:val="21"/>
          <w:highlight w:val="none"/>
          <w:u w:val="none"/>
        </w:rPr>
        <w:t>的依法缴纳社保费的缴费凭证</w:t>
      </w:r>
      <w:r>
        <w:rPr>
          <w:rFonts w:hint="eastAsia" w:ascii="宋体" w:hAnsi="宋体" w:eastAsia="宋体" w:cs="宋体"/>
          <w:color w:val="auto"/>
          <w:sz w:val="21"/>
          <w:szCs w:val="21"/>
          <w:highlight w:val="none"/>
          <w:u w:val="none"/>
        </w:rPr>
        <w:t>（</w:t>
      </w:r>
      <w:r>
        <w:rPr>
          <w:rFonts w:hint="eastAsia" w:ascii="宋体" w:hAnsi="宋体" w:eastAsia="宋体" w:cs="宋体"/>
          <w:b/>
          <w:color w:val="auto"/>
          <w:sz w:val="21"/>
          <w:szCs w:val="21"/>
          <w:highlight w:val="none"/>
          <w:u w:val="none"/>
        </w:rPr>
        <w:t>扫描件或其他电子文件，格式自拟）（必须提供）；</w:t>
      </w:r>
      <w:r>
        <w:rPr>
          <w:rFonts w:hint="eastAsia" w:ascii="宋体" w:hAnsi="宋体" w:eastAsia="宋体" w:cs="宋体"/>
          <w:color w:val="auto"/>
          <w:sz w:val="21"/>
          <w:szCs w:val="21"/>
          <w:highlight w:val="none"/>
          <w:u w:val="none"/>
        </w:rPr>
        <w:t>无缴费记录的，应提供由投标人所在地</w:t>
      </w:r>
      <w:r>
        <w:rPr>
          <w:rFonts w:hint="eastAsia" w:ascii="宋体" w:hAnsi="宋体" w:eastAsia="宋体" w:cs="宋体"/>
          <w:b w:val="0"/>
          <w:bCs w:val="0"/>
          <w:color w:val="auto"/>
          <w:sz w:val="21"/>
          <w:szCs w:val="21"/>
          <w:highlight w:val="none"/>
          <w:u w:val="none"/>
        </w:rPr>
        <w:t>社保部门出具的《依法缴纳或依法免缴社保费证明》（格式自拟，扫描件或其他电子文件）。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（6）财务状况报告（格式自拟，必须提供）；</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kern w:val="0"/>
          <w:sz w:val="21"/>
          <w:szCs w:val="21"/>
          <w:highlight w:val="none"/>
          <w:u w:val="none"/>
        </w:rPr>
        <w:t>（7）</w:t>
      </w:r>
      <w:r>
        <w:rPr>
          <w:rFonts w:hint="eastAsia" w:ascii="宋体" w:hAnsi="宋体" w:eastAsia="宋体" w:cs="宋体"/>
          <w:b/>
          <w:color w:val="auto"/>
          <w:sz w:val="21"/>
          <w:szCs w:val="21"/>
          <w:highlight w:val="none"/>
          <w:u w:val="none"/>
        </w:rPr>
        <w:t>具备履行合同所必需的设备和专业技术能力的证明材料（内容、格式自拟，必须提供）</w:t>
      </w:r>
      <w:r>
        <w:rPr>
          <w:rFonts w:hint="eastAsia" w:ascii="宋体" w:hAnsi="宋体" w:eastAsia="宋体" w:cs="宋体"/>
          <w:b/>
          <w:color w:val="auto"/>
          <w:kern w:val="0"/>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（8）商务响应表</w:t>
      </w:r>
      <w:r>
        <w:rPr>
          <w:rFonts w:hint="eastAsia" w:ascii="宋体" w:hAnsi="宋体" w:eastAsia="宋体" w:cs="宋体"/>
          <w:color w:val="auto"/>
          <w:sz w:val="21"/>
          <w:szCs w:val="21"/>
          <w:highlight w:val="none"/>
          <w:u w:val="none"/>
        </w:rPr>
        <w:t>（格式见第六章）</w:t>
      </w:r>
      <w:r>
        <w:rPr>
          <w:rFonts w:hint="eastAsia" w:ascii="宋体" w:hAnsi="宋体" w:eastAsia="宋体" w:cs="宋体"/>
          <w:b/>
          <w:color w:val="auto"/>
          <w:sz w:val="21"/>
          <w:szCs w:val="21"/>
          <w:highlight w:val="none"/>
          <w:u w:val="none"/>
        </w:rPr>
        <w:t>（必须提供）；</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 xml:space="preserve">  ▲（9）</w:t>
      </w:r>
      <w:r>
        <w:rPr>
          <w:rFonts w:hint="eastAsia" w:ascii="宋体" w:hAnsi="宋体" w:eastAsia="宋体" w:cs="宋体"/>
          <w:b/>
          <w:color w:val="auto"/>
          <w:sz w:val="21"/>
          <w:szCs w:val="21"/>
          <w:highlight w:val="none"/>
          <w:u w:val="none"/>
        </w:rPr>
        <w:t>招标项目采购需求中要求必须提供的材料等；</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（10）具备法律、行政法规规定的其他条件的证明材料</w:t>
      </w:r>
      <w:r>
        <w:rPr>
          <w:rFonts w:hint="eastAsia" w:ascii="宋体" w:hAnsi="宋体" w:eastAsia="宋体" w:cs="宋体"/>
          <w:b/>
          <w:color w:val="auto"/>
          <w:sz w:val="21"/>
          <w:szCs w:val="21"/>
          <w:highlight w:val="none"/>
          <w:u w:val="none"/>
        </w:rPr>
        <w:t>(如有规定,则必须提供)。</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lang w:eastAsia="zh-CN"/>
        </w:rPr>
        <w:t>以下</w:t>
      </w:r>
      <w:r>
        <w:rPr>
          <w:rFonts w:hint="eastAsia" w:ascii="宋体" w:hAnsi="宋体" w:eastAsia="宋体" w:cs="宋体"/>
          <w:b/>
          <w:bCs/>
          <w:color w:val="auto"/>
          <w:sz w:val="21"/>
          <w:szCs w:val="21"/>
          <w:highlight w:val="none"/>
          <w:u w:val="none"/>
        </w:rPr>
        <w:t xml:space="preserve">可作为投标人资信评分的资质证明材料（可选）  </w:t>
      </w:r>
    </w:p>
    <w:p>
      <w:pPr>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（11）类似案例成功的业绩（投标人同类项目实施情况一览表、合同扫描件）；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12</w:t>
      </w: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其他特殊资质证书（如本地化服务能力等）；</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（13）节能环保产品或政府强制采购节能产品清单证书</w:t>
      </w:r>
      <w:r>
        <w:rPr>
          <w:rFonts w:hint="eastAsia" w:ascii="宋体" w:hAnsi="宋体" w:eastAsia="宋体" w:cs="宋体"/>
          <w:b/>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（14）投标人质量管理和质量保证体系等方面的认证证书；</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（15）投标人认为可以证明其能力或业绩的其他材料；</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（16）投标人关于产品生产时间、升级或者更新淘汰计划、配件供应以及本单位债务纠纷、违法违规记录等方面的情况（内容见投标声明书）；</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（17）中小企业声明函（格式见第六章，如有请提供）；</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（18）关于符合本国产品标准的声明函（格式见第六章，如有请提供）；</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（19）投标人情况介绍。</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3.技术文件</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（1）对本项目系统总体要求的理解；</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w:t>
      </w:r>
      <w:r>
        <w:rPr>
          <w:rFonts w:hint="eastAsia" w:ascii="宋体" w:hAnsi="宋体" w:eastAsia="宋体" w:cs="宋体"/>
          <w:b/>
          <w:color w:val="auto"/>
          <w:sz w:val="21"/>
          <w:szCs w:val="21"/>
          <w:highlight w:val="none"/>
          <w:u w:val="none"/>
        </w:rPr>
        <w:t>技术响应表（必须提供）；</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（3）设备配置清单（均不含报价）；</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（4）</w:t>
      </w:r>
      <w:r>
        <w:rPr>
          <w:rFonts w:hint="eastAsia" w:ascii="宋体" w:hAnsi="宋体" w:eastAsia="宋体" w:cs="宋体"/>
          <w:b/>
          <w:color w:val="auto"/>
          <w:sz w:val="21"/>
          <w:szCs w:val="21"/>
          <w:highlight w:val="none"/>
          <w:u w:val="none"/>
        </w:rPr>
        <w:t>售后服务承诺书</w:t>
      </w:r>
      <w:r>
        <w:rPr>
          <w:rFonts w:hint="eastAsia" w:ascii="宋体" w:hAnsi="宋体" w:eastAsia="宋体" w:cs="宋体"/>
          <w:color w:val="auto"/>
          <w:sz w:val="21"/>
          <w:szCs w:val="21"/>
          <w:highlight w:val="none"/>
          <w:u w:val="none"/>
        </w:rPr>
        <w:t>（应据项目实际要求描述如：投标人建议的安装、调试、验收方法或方案；技术服务、技术培训、售后服务的内容和措施等），</w:t>
      </w:r>
      <w:r>
        <w:rPr>
          <w:rFonts w:hint="eastAsia" w:ascii="宋体" w:hAnsi="宋体" w:eastAsia="宋体" w:cs="宋体"/>
          <w:b/>
          <w:color w:val="auto"/>
          <w:sz w:val="21"/>
          <w:szCs w:val="21"/>
          <w:highlight w:val="none"/>
          <w:u w:val="none"/>
        </w:rPr>
        <w:t>(格式自拟,必须提供)</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（5）投标人拥有主要装备和检测设施的情况和现状（格式自拟）及项目实施人员一览表； </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（6）优惠条件：投标人承诺给予招标人的各种优惠条件，包括备品备件、专用耗材、售后服务等方面的优惠；</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（7）投标人对本项目的合理化建议和改进措施；</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（8）投标人需要说明的其他文件和说明（格式略）；</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▲（9）招标项目采购需求中要求必须提供的材料。</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4.报价文件：</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 xml:space="preserve">，格式见第六章）； </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（2）投标报价明细表（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（3）投标人针对报价需要说明的其他文件和说明（格式自拟）；</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（4）开标一览表（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pPr>
        <w:pStyle w:val="17"/>
        <w:keepNext w:val="0"/>
        <w:keepLines w:val="0"/>
        <w:pageBreakBefore w:val="0"/>
        <w:widowControl w:val="0"/>
        <w:kinsoku w:val="0"/>
        <w:wordWrap/>
        <w:overflowPunct w:val="0"/>
        <w:topLinePunct w:val="0"/>
        <w:autoSpaceDE w:val="0"/>
        <w:autoSpaceDN w:val="0"/>
        <w:bidi w:val="0"/>
        <w:snapToGrid w:val="0"/>
        <w:spacing w:after="0" w:line="40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注：法定代表人授权委托书、投标声明书、投标函、开标一览表必须按</w:t>
      </w:r>
      <w:r>
        <w:rPr>
          <w:rFonts w:hint="eastAsia" w:ascii="宋体" w:hAnsi="宋体" w:eastAsia="宋体" w:cs="宋体"/>
          <w:b/>
          <w:color w:val="auto"/>
          <w:sz w:val="21"/>
          <w:szCs w:val="21"/>
          <w:highlight w:val="none"/>
        </w:rPr>
        <w:t>招标文件格式要求签字或签章</w:t>
      </w:r>
      <w:r>
        <w:rPr>
          <w:rFonts w:hint="eastAsia" w:ascii="宋体" w:hAnsi="宋体" w:eastAsia="宋体" w:cs="宋体"/>
          <w:b/>
          <w:bCs/>
          <w:color w:val="auto"/>
          <w:sz w:val="21"/>
          <w:szCs w:val="21"/>
          <w:highlight w:val="none"/>
        </w:rPr>
        <w:t>并加盖单位公章。</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（二）投标文件的语言及计量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投标文件以及投标方与招标方就有关投标事宜的所有来往函电，均应以中文汉语书写。除签名、盖章、专用名称等特殊情形外，以中文汉语以外的文字表述的投标文件视同未提供。</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投标计量单位，招标文件已有明确规定的，使用招标文件规定的计量单位；招标文件没有规定的，应采用中华人民共和国法定计量单位（货币单位：人民币元），否则视同未响应。</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（三）投标报价</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1.投标报价应按招标文件中相关附表格式填写。</w:t>
      </w:r>
      <w:r>
        <w:rPr>
          <w:rFonts w:hint="eastAsia" w:ascii="宋体" w:hAnsi="宋体" w:eastAsia="宋体" w:cs="宋体"/>
          <w:b/>
          <w:bCs/>
          <w:color w:val="auto"/>
          <w:sz w:val="21"/>
          <w:szCs w:val="21"/>
          <w:highlight w:val="none"/>
        </w:rPr>
        <w:t>投标人可就《项目采购需求》中所有分标的货物和服务内容按分标分别作完整唯一报价，也可对某个分标或几个分标的货物和服务内容按分标分别作完整唯一报价。</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2.投标报价是履行合同的最终价格，应包括货款、标准附件、备品备件、专用工具、包装、运输、装卸、保险、税金、货到就位以及安装、调试、培训、保修等一切税金和费用。</w:t>
      </w:r>
    </w:p>
    <w:p>
      <w:pPr>
        <w:keepNext w:val="0"/>
        <w:keepLines w:val="0"/>
        <w:pageBreakBefore w:val="0"/>
        <w:widowControl w:val="0"/>
        <w:tabs>
          <w:tab w:val="left" w:pos="525"/>
        </w:tabs>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3.投标文件只允许有一个报价，有选择的或有条件的报价将不予接受。</w:t>
      </w:r>
    </w:p>
    <w:p>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（四）投标文件的有效期</w:t>
      </w:r>
    </w:p>
    <w:p>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1.自投标截止日</w:t>
      </w:r>
      <w:r>
        <w:rPr>
          <w:rFonts w:hint="eastAsia" w:ascii="宋体" w:hAnsi="宋体" w:eastAsia="宋体" w:cs="宋体"/>
          <w:color w:val="auto"/>
          <w:sz w:val="21"/>
          <w:szCs w:val="21"/>
          <w:highlight w:val="none"/>
          <w:u w:val="none"/>
        </w:rPr>
        <w:t>起</w:t>
      </w:r>
      <w:r>
        <w:rPr>
          <w:rFonts w:hint="eastAsia" w:ascii="宋体" w:hAnsi="宋体" w:eastAsia="宋体" w:cs="宋体"/>
          <w:b/>
          <w:color w:val="auto"/>
          <w:sz w:val="21"/>
          <w:szCs w:val="21"/>
          <w:highlight w:val="none"/>
          <w:u w:val="none"/>
        </w:rPr>
        <w:t>六十日</w:t>
      </w:r>
      <w:r>
        <w:rPr>
          <w:rFonts w:hint="eastAsia" w:ascii="宋体" w:hAnsi="宋体" w:eastAsia="宋体" w:cs="宋体"/>
          <w:color w:val="auto"/>
          <w:sz w:val="21"/>
          <w:szCs w:val="21"/>
          <w:highlight w:val="none"/>
        </w:rPr>
        <w:t>投标文件应保持有效。有效期不足的投标文件将被拒绝。</w:t>
      </w:r>
    </w:p>
    <w:p>
      <w:pPr>
        <w:pStyle w:val="7"/>
        <w:keepNext w:val="0"/>
        <w:keepLines w:val="0"/>
        <w:pageBreakBefore w:val="0"/>
        <w:widowControl w:val="0"/>
        <w:numPr>
          <w:ilvl w:val="0"/>
          <w:numId w:val="0"/>
        </w:numPr>
        <w:tabs>
          <w:tab w:val="left" w:pos="720"/>
          <w:tab w:val="left" w:pos="840"/>
          <w:tab w:val="clear" w:pos="36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2.在特殊情况下，招标人可与投标人协商延长投标书的有效期，这种要求和答复均以书面形式进行。</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3.投标人可拒绝接受延期要求而不会导致投标保证金被没收。同意延长有效期的投标人需要相应延长投标保证金的有效期，但不能修改投标文件。</w:t>
      </w:r>
      <w:r>
        <w:rPr>
          <w:rFonts w:hint="eastAsia" w:ascii="宋体" w:hAnsi="宋体" w:eastAsia="宋体" w:cs="宋体"/>
          <w:b/>
          <w:color w:val="auto"/>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4.中标人的投标文件自开标之日起至合同履行完毕止均应保持有效。</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（五）投标保证金</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1.投标保证金应用人民币，投标人须按规定提交投标保证金。否则，其投标将被拒绝。</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2.保证金交纳形式：支票、汇票、本票、金融机构、担保机构出具的保函等非现金形式。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3.投标人应按本须知及招标公告中所明确的开户名称、开户银行、账号，于投标截止前交到本中心账户上（投标人交纳投标保证金时应充分考虑保证金到达本中心账户上的清算时间）。</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1"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本项目保证金事宜请联系本中心财务处（地址：广西南宁市星湖路22号广西壮族自治区政府采购中心综合楼3楼306室；电话：0771-8600309）</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1"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1"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①办理投标保证金手续时，请务必在保证金凭据上注明或写明项目名称及项目编号，以免耽误投标。</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②未中标人的投标保证金在中标通知书发出后4个工作日内退还，不计利息。</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③</w:t>
      </w:r>
      <w:r>
        <w:rPr>
          <w:rFonts w:hint="eastAsia" w:ascii="宋体" w:hAnsi="宋体" w:eastAsia="宋体" w:cs="宋体"/>
          <w:b/>
          <w:color w:val="auto"/>
          <w:spacing w:val="-4"/>
          <w:sz w:val="21"/>
          <w:szCs w:val="21"/>
          <w:highlight w:val="none"/>
        </w:rPr>
        <w:t>中标人的投标保证金自政府采购合同签订之日起4个工作日内（合同签订后送达本中心)后退还，不计利息。</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kern w:val="0"/>
          <w:sz w:val="21"/>
          <w:szCs w:val="21"/>
          <w:highlight w:val="none"/>
        </w:rPr>
        <w:t>中标人应在中标通知书发出之日起</w:t>
      </w:r>
      <w:r>
        <w:rPr>
          <w:rFonts w:hint="eastAsia" w:ascii="宋体" w:hAnsi="宋体" w:eastAsia="宋体" w:cs="宋体"/>
          <w:color w:val="auto"/>
          <w:sz w:val="21"/>
          <w:szCs w:val="21"/>
          <w:highlight w:val="none"/>
          <w:u w:val="single"/>
        </w:rPr>
        <w:t>25</w:t>
      </w:r>
      <w:r>
        <w:rPr>
          <w:rFonts w:hint="eastAsia" w:ascii="宋体" w:hAnsi="宋体" w:eastAsia="宋体" w:cs="宋体"/>
          <w:color w:val="auto"/>
          <w:sz w:val="21"/>
          <w:szCs w:val="21"/>
          <w:highlight w:val="none"/>
        </w:rPr>
        <w:t>日内与采购人签订合同。</w:t>
      </w:r>
      <w:r>
        <w:rPr>
          <w:rFonts w:hint="eastAsia" w:ascii="宋体" w:hAnsi="宋体" w:eastAsia="宋体" w:cs="宋体"/>
          <w:bCs/>
          <w:color w:val="auto"/>
          <w:sz w:val="21"/>
          <w:szCs w:val="21"/>
          <w:highlight w:val="none"/>
        </w:rPr>
        <w:t>采购需求另有要求的，按照其要求执行。</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5.投标保证金不计息。</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6.投标人有下列情形之一的，投标保证金将不予退还：</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（1）投标人在投标有效期内撤回投标文件的；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（2）投标人在投标过程中弄虚作假，提供虚假材料的；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（3）中标人无正当理由不与采购人签订合同的；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bCs/>
          <w:color w:val="auto"/>
          <w:spacing w:val="-6"/>
          <w:sz w:val="21"/>
          <w:szCs w:val="21"/>
          <w:highlight w:val="none"/>
        </w:rPr>
        <w:t>将中标项目转让给他人或者在投标文件中未说明且未经招标采购人同意，将中标项目分包给他人的；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（5）拒绝履行合同义务的；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（6）其他严重扰乱招投标程序的。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（六）投标文件的签署和份数</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1.投标人应按本招标文件规定的格式和顺序编制投标文件并标注页码，投标文件内容不完整、编排混乱导致投标文件被误读、漏读或者查找不到相关内容的，是投标人的责任。</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2.投标文件份数：见投标人须知及前附表。</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3.投标文件须由投标人在规定位置盖章并由法定代表人或法定代表人的授权委托人签字或签章，投标人应写全称。</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4.投标文件不得涂改，若有修改错漏处，须加盖单位公章或者法定代表人或授权委托人签字或签章。投标文件扫描不清晰或乱码或表达不清所引起的后果由投标人负责。</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（七）投标文件的上传、提交、修改、撤回和解密</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rPr>
        <w:t>投标文件的上传、提交：见投标人须知及前附表。</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04" w:firstLineChars="20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w:t>
      </w:r>
      <w:r>
        <w:rPr>
          <w:rFonts w:hint="eastAsia" w:ascii="宋体" w:hAnsi="宋体" w:eastAsia="宋体" w:cs="宋体"/>
          <w:snapToGrid w:val="0"/>
          <w:color w:val="auto"/>
          <w:sz w:val="21"/>
          <w:szCs w:val="21"/>
          <w:highlight w:val="none"/>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jc w:val="left"/>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4.投标人已经被推荐为第一中标候选供应商后撤回投标或放弃中标的，其投标保证金将不予退还，并上缴国库，给采购人造成损失的，还应当赔偿损失，并作为不良行为记录在案。</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（八）投标无效的情形</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1.在符合性审查和资格性审查时，如发现下列情形之一的，投标文件将被视为无效：</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（1）超越了按照法律法规规定必须获得行政许可或者行政审批的经营范围的；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（2）资格证明文件不全的，或者不符合招标文件标明的资格要求的；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（3）投标文件无法定代表人（负责人）或其授权委托代理人签字或签章，或未提供法定代表人（负责人）授权委托书、投标声明书或者填写项目不齐全的；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（4）投标代表人未能出具身份证明或与法定代表人（负责人）授权委托人身份不符的；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（5）项目不齐全或者内容虚假的；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（6）投标文件的实质性内容未使用中文表述、意思表述不明确、前后矛盾或者使用计量单位不符合投标文件要求的（经评标委员会认定并允许其当场更正的笔误除外）；</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（7）投标有效期、交付使用时间、质保期等商务条款不能满足招标文件要求的；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（8）未实质性响应招标文件要求或者投标文件有招标方不能接受的附加条件的；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（9）未按照招标文件的规定提交投标保证金的（说明：评标时，评标委员会将以本中心财务室编制的《采购文件购买名单及保证金收缴情况表》作为评审依据）。</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2.在技术评审时，如发现下列情形之一的，投标文件将被视为无效：</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（1）未提供或未如实提供投标货物的技术参数，或者投标文件标明的响应或偏离与事实不符或虚假投标的；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rPr>
        <w:t>（2）明显不符合招标文件要求的规格型号、质量标准，或者与招标文件中的技术指标、主要功能项目发生实质性偏离的；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5" w:firstLineChars="200"/>
        <w:textAlignment w:val="auto"/>
        <w:outlineLvl w:val="0"/>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（3）标星号“</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spacing w:val="-4"/>
          <w:sz w:val="21"/>
          <w:szCs w:val="21"/>
          <w:highlight w:val="none"/>
        </w:rPr>
        <w:t>”的技术、性能指标发生负偏离达</w:t>
      </w:r>
      <w:r>
        <w:rPr>
          <w:rFonts w:hint="eastAsia" w:ascii="宋体" w:hAnsi="宋体" w:eastAsia="宋体" w:cs="宋体"/>
          <w:b/>
          <w:bCs/>
          <w:color w:val="auto"/>
          <w:spacing w:val="-4"/>
          <w:sz w:val="21"/>
          <w:szCs w:val="21"/>
          <w:highlight w:val="none"/>
          <w:u w:val="single"/>
        </w:rPr>
        <w:t xml:space="preserve">  1  </w:t>
      </w:r>
      <w:r>
        <w:rPr>
          <w:rFonts w:hint="eastAsia" w:ascii="宋体" w:hAnsi="宋体" w:eastAsia="宋体" w:cs="宋体"/>
          <w:b/>
          <w:bCs/>
          <w:color w:val="auto"/>
          <w:spacing w:val="-4"/>
          <w:sz w:val="21"/>
          <w:szCs w:val="21"/>
          <w:highlight w:val="none"/>
        </w:rPr>
        <w:t>项（含）以上的；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（4）投标技术方案不明确，存在一个或一个以上备选（替换）投标方案的；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（5）与其他参加本次投标供应商的投标文件（技术文件）的文字表述内容差错相同二处以上的。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3.在报价评审时，如发现下列情形之一的，投标文件将被视为无效：</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（1）未采用人民币报价或者未按照招标文件标明的币种报价的；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（2）报价超出最高限价，或者超出采购预算金额，采购人不能支付的；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（3）投标报价具有选择性，或者开标价格与投标文件承诺的优惠（折扣）价格不一致的。</w:t>
      </w:r>
    </w:p>
    <w:p>
      <w:pPr>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jc w:val="left"/>
        <w:textAlignment w:val="auto"/>
        <w:rPr>
          <w:rFonts w:hint="eastAsia" w:ascii="宋体" w:hAnsi="宋体" w:eastAsia="宋体" w:cs="宋体"/>
          <w:color w:val="auto"/>
          <w:kern w:val="0"/>
          <w:sz w:val="21"/>
          <w:szCs w:val="21"/>
          <w:highlight w:val="none"/>
          <w:lang w:val="zh-CN"/>
        </w:rPr>
      </w:pPr>
      <w:bookmarkStart w:id="4" w:name="_Toc40864952"/>
      <w:bookmarkStart w:id="5" w:name="_Toc40865068"/>
      <w:bookmarkStart w:id="6" w:name="_Toc40864676"/>
      <w:r>
        <w:rPr>
          <w:rFonts w:hint="eastAsia" w:ascii="宋体" w:hAnsi="宋体" w:eastAsia="宋体" w:cs="宋体"/>
          <w:color w:val="auto"/>
          <w:kern w:val="0"/>
          <w:sz w:val="21"/>
          <w:szCs w:val="21"/>
          <w:highlight w:val="none"/>
          <w:lang w:val="zh-CN"/>
        </w:rPr>
        <w:t>（4）评标委员会在评审中，经启动异常低价审查程序后供应商未能</w:t>
      </w:r>
      <w:r>
        <w:rPr>
          <w:rFonts w:hint="eastAsia" w:ascii="宋体" w:hAnsi="宋体" w:eastAsia="宋体" w:cs="宋体"/>
          <w:bCs/>
          <w:color w:val="auto"/>
          <w:sz w:val="21"/>
          <w:szCs w:val="21"/>
          <w:highlight w:val="none"/>
        </w:rPr>
        <w:t>证明其报价合理性的</w:t>
      </w:r>
      <w:r>
        <w:rPr>
          <w:rFonts w:hint="eastAsia" w:ascii="宋体" w:hAnsi="宋体" w:eastAsia="宋体" w:cs="宋体"/>
          <w:color w:val="auto"/>
          <w:kern w:val="0"/>
          <w:sz w:val="21"/>
          <w:szCs w:val="21"/>
          <w:highlight w:val="none"/>
          <w:lang w:val="zh-CN"/>
        </w:rPr>
        <w:t>。</w:t>
      </w:r>
      <w:bookmarkEnd w:id="4"/>
      <w:bookmarkEnd w:id="5"/>
      <w:bookmarkEnd w:id="6"/>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4.有下列情形之一的视为投标人相互串通投标，投标文件将被视为无效:</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（1）不同投标人的投标文件由同一单位或者个人编制；或不同投标人报名的IP地址一致的；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（2）不同投标人委托同一单位或者个人办理投标事宜；</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（3）不同投标人的投标文件载明的项目管理成员或者联系人员为同一人；</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（4）不同投标人的投标文件异常一致或投标报价呈规律性差异；</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（5）不同投标人的投标文件相互混装；</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（6）不同投标人的投标保证金从同一个单位或者个人账户转出。</w:t>
      </w:r>
    </w:p>
    <w:p>
      <w:pPr>
        <w:pStyle w:val="13"/>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05"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5.</w:t>
      </w:r>
      <w:r>
        <w:rPr>
          <w:rFonts w:hint="eastAsia" w:ascii="宋体" w:hAnsi="宋体" w:eastAsia="宋体" w:cs="宋体"/>
          <w:b/>
          <w:bCs/>
          <w:color w:val="auto"/>
          <w:sz w:val="21"/>
          <w:szCs w:val="21"/>
          <w:highlight w:val="none"/>
        </w:rPr>
        <w:t>其他投标无效的情形：</w:t>
      </w:r>
    </w:p>
    <w:p>
      <w:pPr>
        <w:pStyle w:val="13"/>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（1）投标文件未按招标文件要求签署或CA电子签章的；</w:t>
      </w:r>
    </w:p>
    <w:p>
      <w:pPr>
        <w:pStyle w:val="13"/>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（2）供应商提交两份或两份以上内容不同的投标文件；</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（3）投标供应商在线制作投标文件时填写的报价金额与解密后“电子加密投标文件”中《开标一览表》填写的金额不一致并拒绝按招标文件要求接受调整的；</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b/>
          <w:bCs/>
          <w:color w:val="auto"/>
          <w:sz w:val="21"/>
          <w:szCs w:val="21"/>
          <w:highlight w:val="none"/>
        </w:rPr>
        <w:t>（4）法律、法规和招标文件规定的其他无效情形（或出现重大偏差）。</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04" w:firstLineChars="200"/>
        <w:textAlignment w:val="auto"/>
        <w:outlineLvl w:val="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6.被拒绝的投标文件为无效。</w:t>
      </w:r>
    </w:p>
    <w:p>
      <w:pPr>
        <w:pStyle w:val="13"/>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snapToGrid w:val="0"/>
          <w:color w:val="auto"/>
          <w:sz w:val="21"/>
          <w:szCs w:val="21"/>
          <w:highlight w:val="none"/>
        </w:rPr>
      </w:pPr>
      <w:r>
        <w:rPr>
          <w:rFonts w:hint="eastAsia" w:ascii="宋体" w:hAnsi="宋体" w:eastAsia="宋体" w:cs="宋体"/>
          <w:b/>
          <w:color w:val="auto"/>
          <w:sz w:val="21"/>
          <w:szCs w:val="21"/>
          <w:highlight w:val="none"/>
        </w:rPr>
        <w:t>四、开标</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（一）开标准备</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本中心将</w:t>
      </w:r>
      <w:r>
        <w:rPr>
          <w:rFonts w:hint="eastAsia" w:ascii="宋体" w:hAnsi="宋体" w:eastAsia="宋体" w:cs="宋体"/>
          <w:color w:val="auto"/>
          <w:sz w:val="21"/>
          <w:szCs w:val="21"/>
          <w:highlight w:val="none"/>
        </w:rPr>
        <w:t>按招标文件规定的时间、地点通过“广西政府采购云平台”组织开标、开启投标文件，所有供应商均应当准时在线参加。投标供应商因未在线参加开标而导致投标文件无法按时解密等一切后果由供应商自行承担。</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（二）开标程序：</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1.电子开标会由本中心主持</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2.本中心工作人员向各投标供应商发出电子加密投标文件【开始解密】通知，由供应商按招标文件规定的时间内自行进行投标文件解密。</w:t>
      </w:r>
      <w:r>
        <w:rPr>
          <w:rFonts w:hint="eastAsia" w:ascii="宋体" w:hAnsi="宋体" w:eastAsia="宋体" w:cs="宋体"/>
          <w:snapToGrid w:val="0"/>
          <w:color w:val="auto"/>
          <w:sz w:val="21"/>
          <w:szCs w:val="21"/>
          <w:highlight w:val="none"/>
        </w:rPr>
        <w:t>投标供应商未在规定时间内完成解密的，系统默认自动放弃。</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文件解密结束，开启报价文件。投标供应商在线制作投标文件时填写的报价金额与解密后“电子加密投标文件”中《开标一览表》填写的金额不一致的，以解密后“电子加密投标文件”中《开标一览表》填写的金额为准，投标供应商拒绝接受此调整的，按无效投标处理。</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4.进入资格文件审查环节，本中心或者招标采购单位依法对投标供应商的资格进行审查。</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5.开启资格审查通过的投标供应商的商务技术文件进入符合性审查及商务技术评审。</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①当整个招标项目的投标人不足3家的不开标，本中心将按政府采购管理的有关规定处理。</w:t>
      </w:r>
    </w:p>
    <w:p>
      <w:pPr>
        <w:pStyle w:val="14"/>
        <w:keepNext w:val="0"/>
        <w:keepLines w:val="0"/>
        <w:pageBreakBefore w:val="0"/>
        <w:widowControl w:val="0"/>
        <w:kinsoku w:val="0"/>
        <w:wordWrap/>
        <w:overflowPunct w:val="0"/>
        <w:topLinePunct w:val="0"/>
        <w:autoSpaceDE w:val="0"/>
        <w:autoSpaceDN w:val="0"/>
        <w:bidi w:val="0"/>
        <w:adjustRightInd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②开标后,某分标投标人不足3家的，本中心将按政府采购管理的有关规定处理。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特别说明：如遇“广西政府采购云平台”电子化开标或评审程序调整的，按调整后程序执行。</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772" w:leftChars="0" w:firstLine="0" w:firstLineChars="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w:t>
      </w:r>
      <w:r>
        <w:rPr>
          <w:rFonts w:hint="eastAsia" w:ascii="宋体" w:hAnsi="宋体" w:eastAsia="宋体" w:cs="宋体"/>
          <w:b/>
          <w:bCs/>
          <w:color w:val="auto"/>
          <w:sz w:val="21"/>
          <w:szCs w:val="21"/>
          <w:highlight w:val="none"/>
        </w:rPr>
        <w:t>资格审查</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采购人</w:t>
      </w:r>
      <w:r>
        <w:rPr>
          <w:rFonts w:hint="eastAsia" w:ascii="宋体" w:hAnsi="宋体" w:eastAsia="宋体" w:cs="宋体"/>
          <w:color w:val="auto"/>
          <w:spacing w:val="-4"/>
          <w:sz w:val="21"/>
          <w:szCs w:val="21"/>
          <w:highlight w:val="none"/>
        </w:rPr>
        <w:t>或本中心工作人员</w:t>
      </w:r>
      <w:r>
        <w:rPr>
          <w:rFonts w:hint="eastAsia" w:ascii="宋体" w:hAnsi="宋体" w:eastAsia="宋体" w:cs="宋体"/>
          <w:color w:val="auto"/>
          <w:sz w:val="21"/>
          <w:szCs w:val="21"/>
          <w:highlight w:val="none"/>
        </w:rPr>
        <w:t>依法对投标人的资格进行审查。合格投标人不足3家的，不得评标。</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772" w:leftChars="0" w:firstLine="0" w:firstLineChars="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六、评标</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69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（一）组建评标委员会</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textAlignment w:val="auto"/>
        <w:rPr>
          <w:rFonts w:hint="eastAsia" w:ascii="宋体" w:hAnsi="宋体" w:eastAsia="宋体" w:cs="宋体"/>
          <w:color w:val="auto"/>
          <w:spacing w:val="-4"/>
          <w:sz w:val="21"/>
          <w:szCs w:val="21"/>
          <w:highlight w:val="none"/>
        </w:rPr>
      </w:pPr>
      <w:r>
        <w:rPr>
          <w:rFonts w:hint="eastAsia" w:ascii="宋体" w:hAnsi="宋体" w:eastAsia="宋体" w:cs="宋体"/>
          <w:bCs/>
          <w:color w:val="auto"/>
          <w:sz w:val="21"/>
          <w:szCs w:val="21"/>
          <w:highlight w:val="none"/>
        </w:rPr>
        <w:t>本招标采购项目的</w:t>
      </w:r>
      <w:r>
        <w:rPr>
          <w:rFonts w:hint="eastAsia" w:ascii="宋体" w:hAnsi="宋体" w:eastAsia="宋体" w:cs="宋体"/>
          <w:color w:val="auto"/>
          <w:spacing w:val="-4"/>
          <w:sz w:val="21"/>
          <w:szCs w:val="21"/>
          <w:highlight w:val="none"/>
        </w:rPr>
        <w:t>评标委员会由采购人代表和评审专家组成，成员人数应当为5人以上单数，其中评审专家不得少于成员总数的三分之二。</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69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（二）评标的方式</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689"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本项目采用不公开方式评标，评标的依据为招标文件和投标文件。</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69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w:t>
      </w:r>
      <w:r>
        <w:rPr>
          <w:rFonts w:hint="eastAsia" w:ascii="宋体" w:hAnsi="宋体" w:eastAsia="宋体" w:cs="宋体"/>
          <w:b/>
          <w:bCs/>
          <w:color w:val="auto"/>
          <w:sz w:val="21"/>
          <w:szCs w:val="21"/>
          <w:highlight w:val="none"/>
        </w:rPr>
        <w:t>评标程序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评标委员会仅对通过资格审查的投标文件进行后续评审，程序如下：</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（1）符合性审查：评标委员会审查投标文件是否实质性响应招标文件要求。未通过审查的投标，不进入详细评审。</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询标与澄清：在评标过程中，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（3）商务与技术评审：评标委员会依据评分标准，对通过符合性审查的投标进行详细评审。</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（4）报价评审</w:t>
      </w:r>
    </w:p>
    <w:p>
      <w:pPr>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报价符合性审查：评标委员会审查投标报价是否符合招标文件关于报价的格式、币种、范围（如报价是否完全响应并覆盖招标文件“采购需求”及“货物/服务”清单中所列全部内容、是否超采购预算或最高限价）等基础要求。</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b)异常低价甄别与说明：对通过报价符合性审查的投标，如触发下列情形，评标委员会应当启动异常低价审查程序：</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１）报价低于全部通过符合性审查投标人投标报价平均值50%的；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２）报价低于通过符合性审查的次低报价投标人投标报价50%的；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３）报价低于采购项目最高限价45%的；</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４）评标委员会基于专业判断，认为投标人报价过低，有可能影响产品质量或者不能诚信履约的其他情形。</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通过电子询标方式，要求相关投标人在规定时间内提供有关书面说明及必要的证明材料。投标人不能提供书面说明、证明材料，或者提供的提供书面说明、证明材料不能证明其报价合理性的，评标委员会应将其作为无效投标处理。</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c)价格评分：对通过上述全部审查的有效报价，由系统按招标文件规定计算价格分。</w:t>
      </w:r>
    </w:p>
    <w:p>
      <w:pPr>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（5）评分汇总与推荐：评标委员会在评审系统内完成评审后，系统将自动计算、汇总得分并生成排序结果。评标委员会据此集体审议推荐中标候选人，并对《评标报告》予以确认。</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689" w:leftChars="0" w:firstLine="0" w:firstLineChars="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（四）</w:t>
      </w:r>
      <w:r>
        <w:rPr>
          <w:rFonts w:hint="eastAsia" w:ascii="宋体" w:hAnsi="宋体" w:eastAsia="宋体" w:cs="宋体"/>
          <w:b/>
          <w:color w:val="auto"/>
          <w:sz w:val="21"/>
          <w:szCs w:val="21"/>
          <w:highlight w:val="none"/>
        </w:rPr>
        <w:t>错误修正</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689"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投标文件如果出现计算或表达上的错误，修正错误的原则如下：</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1.投标文件中开标一览表（报价表）内容与投标文件中相应内容不一致的，以开标一览表（报价表）为准；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5.对不同文字文本投标文件的解释发生异议的，以中文文本为准。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同时出现两种以上不一致的，按照前款规定的顺序修正。</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按上述修正错误的原则及方法调整或修正投标文件的投标报价，投标人同意并签字或签章确认后，调整后的投标报价对投标人具有约束作用。如果投标人不接受修正后的报价，则其投标将作为无效投标处理。</w:t>
      </w:r>
    </w:p>
    <w:p>
      <w:pPr>
        <w:pStyle w:val="14"/>
        <w:keepNext w:val="0"/>
        <w:keepLines w:val="0"/>
        <w:pageBreakBefore w:val="0"/>
        <w:widowControl w:val="0"/>
        <w:tabs>
          <w:tab w:val="left" w:pos="630"/>
        </w:tabs>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（五）评标原则和评标方法</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2.评标方法。本项目评标方法是</w:t>
      </w:r>
      <w:r>
        <w:rPr>
          <w:rFonts w:hint="eastAsia" w:ascii="宋体" w:hAnsi="宋体" w:eastAsia="宋体" w:cs="宋体"/>
          <w:b/>
          <w:color w:val="auto"/>
          <w:sz w:val="21"/>
          <w:szCs w:val="21"/>
          <w:highlight w:val="none"/>
          <w:u w:val="none"/>
        </w:rPr>
        <w:t>综合评分法</w:t>
      </w:r>
      <w:r>
        <w:rPr>
          <w:rFonts w:hint="eastAsia" w:ascii="宋体" w:hAnsi="宋体" w:eastAsia="宋体" w:cs="宋体"/>
          <w:color w:val="auto"/>
          <w:sz w:val="21"/>
          <w:szCs w:val="21"/>
          <w:highlight w:val="none"/>
          <w:u w:val="none"/>
        </w:rPr>
        <w:t>，</w:t>
      </w:r>
      <w:r>
        <w:rPr>
          <w:rFonts w:hint="eastAsia" w:ascii="宋体" w:hAnsi="宋体" w:eastAsia="宋体" w:cs="宋体"/>
          <w:color w:val="auto"/>
          <w:sz w:val="21"/>
          <w:szCs w:val="21"/>
          <w:highlight w:val="none"/>
        </w:rPr>
        <w:t>具体评标内容及评分标准等详见第四章：评标方法及评分标准。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（六）评标过程的监控</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本项目评标过程实行全程录音、录像监控，投标人在评标过程中所进行的试图影响评标结果的不公正活动，可能导致其投标被拒绝。</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七、评标结果</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（一）</w:t>
      </w:r>
      <w:r>
        <w:rPr>
          <w:rFonts w:hint="eastAsia" w:ascii="宋体" w:hAnsi="宋体" w:eastAsia="宋体" w:cs="宋体"/>
          <w:color w:val="auto"/>
          <w:sz w:val="21"/>
          <w:szCs w:val="21"/>
          <w:highlight w:val="none"/>
        </w:rPr>
        <w:t>本中心将在评标结束后2个工作日内将评标报告送采购人，采购人在5个工作日内按照评标报告中推荐的中标候选供应商顺序确定中标供应商。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（二）中标供应商确定后，本中心在中国政府采购网、广西财政网、广西壮族自治区政府采购中心网站发布中标结果公告。</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（三）在发布中标结果公告的同时，本中心向中标供应商发出中标通知书。</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（四）</w:t>
      </w:r>
      <w:r>
        <w:rPr>
          <w:rFonts w:hint="eastAsia" w:ascii="宋体" w:hAnsi="宋体" w:eastAsia="宋体" w:cs="宋体"/>
          <w:bCs/>
          <w:color w:val="auto"/>
          <w:sz w:val="21"/>
          <w:szCs w:val="21"/>
          <w:highlight w:val="none"/>
        </w:rPr>
        <w:t>投标人认为招标文件、招标过程和中标结果使自己的权益受到损害的，可以在知道或者应知其权益受到损害之日起七个工作日内，以书面形式向本中心提出质疑，并及时索要书面回执。</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w:t>
      </w:r>
      <w:r>
        <w:rPr>
          <w:rFonts w:hint="eastAsia" w:ascii="宋体" w:hAnsi="宋体" w:eastAsia="宋体" w:cs="宋体"/>
          <w:bCs/>
          <w:color w:val="auto"/>
          <w:sz w:val="21"/>
          <w:szCs w:val="21"/>
          <w:highlight w:val="none"/>
        </w:rPr>
        <w:t>本中心应当按照有关规定就采购人委托授权范围内的事项在收到投标人的书面质疑后七个工作日内做出答复，但答复的内容不得涉及商业秘密。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八、签订合同</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1"/>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（一）合同授予标准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合同将授予被确定投标文件满足招标文件全部实质性要求，具备履行合同能力，评审得分最高，综合评分排名第一的供应商。</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（二）签订合同</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（1）投标人接到中标通知书后，应按中标通知书规定的时间、地点与采购人签订合同。中标人无正当理由不得放弃中标。</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（2）如中标供应商不按中标通知书的规定签订合同，则按中标供应商违约处理，本中心将没收中标供应商投标的全部投标保证金。</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中标供应商拒绝与采购人签订合同或因不可抗力或者自身原因不能履行采购合同的，采购人可以与中标供应商之后排名第一的中标候选供应商签订采购合同，以此类推,也可以重新招标。中标供应商放弃中标项目，拒绝与采购人签订合同的，其投标保证金将不予退还，并上缴国库，给采购人造成损失的，还应当赔偿损失，并作为不良行为记录在案。</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九、其他事项</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（1）解释权：</w:t>
      </w:r>
      <w:r>
        <w:rPr>
          <w:rFonts w:hint="eastAsia" w:ascii="宋体" w:hAnsi="宋体" w:eastAsia="宋体" w:cs="宋体"/>
          <w:color w:val="auto"/>
          <w:spacing w:val="-4"/>
          <w:sz w:val="21"/>
          <w:szCs w:val="21"/>
          <w:highlight w:val="none"/>
        </w:rPr>
        <w:t>本招标文件解释权属本中心。</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1"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（2）有关事宜</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rPr>
      </w:pPr>
      <w:bookmarkStart w:id="7" w:name="_Toc254970548"/>
      <w:bookmarkStart w:id="8" w:name="_Toc254970689"/>
      <w:r>
        <w:rPr>
          <w:rFonts w:hint="eastAsia" w:ascii="宋体" w:hAnsi="宋体" w:eastAsia="宋体" w:cs="宋体"/>
          <w:color w:val="auto"/>
          <w:sz w:val="21"/>
          <w:szCs w:val="21"/>
          <w:highlight w:val="none"/>
        </w:rPr>
        <w:t>所有与本招标文件有关的函件请按下列通讯地址联系：</w:t>
      </w:r>
    </w:p>
    <w:p>
      <w:pPr>
        <w:pStyle w:val="14"/>
        <w:keepNext w:val="0"/>
        <w:keepLines w:val="0"/>
        <w:pageBreakBefore w:val="0"/>
        <w:widowControl w:val="0"/>
        <w:tabs>
          <w:tab w:val="left" w:pos="199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邮政编码：530022</w:t>
      </w:r>
    </w:p>
    <w:p>
      <w:pPr>
        <w:pStyle w:val="14"/>
        <w:keepNext w:val="0"/>
        <w:keepLines w:val="0"/>
        <w:pageBreakBefore w:val="0"/>
        <w:widowControl w:val="0"/>
        <w:tabs>
          <w:tab w:val="left" w:pos="1990"/>
        </w:tabs>
        <w:kinsoku w:val="0"/>
        <w:wordWrap/>
        <w:overflowPunct w:val="0"/>
        <w:topLinePunct w:val="0"/>
        <w:autoSpaceDE w:val="0"/>
        <w:autoSpaceDN w:val="0"/>
        <w:bidi w:val="0"/>
        <w:snapToGrid w:val="0"/>
        <w:spacing w:line="400" w:lineRule="exact"/>
        <w:ind w:leftChars="0" w:firstLine="420" w:firstLineChars="200"/>
        <w:textAlignment w:val="auto"/>
        <w:rPr>
          <w:rFonts w:hint="eastAsia" w:ascii="宋体" w:hAnsi="宋体" w:eastAsia="宋体" w:cs="宋体"/>
          <w:b w:val="0"/>
          <w:bCs w:val="0"/>
          <w:color w:val="auto"/>
          <w:spacing w:val="-4"/>
          <w:sz w:val="21"/>
          <w:szCs w:val="21"/>
          <w:highlight w:val="none"/>
        </w:rPr>
      </w:pPr>
      <w:r>
        <w:rPr>
          <w:rFonts w:hint="eastAsia" w:ascii="宋体" w:hAnsi="宋体" w:eastAsia="宋体" w:cs="宋体"/>
          <w:b w:val="0"/>
          <w:bCs w:val="0"/>
          <w:color w:val="auto"/>
          <w:sz w:val="21"/>
          <w:szCs w:val="21"/>
          <w:highlight w:val="none"/>
        </w:rPr>
        <w:t xml:space="preserve">通讯地址：广西南宁市星湖路22号 </w:t>
      </w:r>
    </w:p>
    <w:p>
      <w:pPr>
        <w:pStyle w:val="14"/>
        <w:keepNext w:val="0"/>
        <w:keepLines w:val="0"/>
        <w:pageBreakBefore w:val="0"/>
        <w:widowControl w:val="0"/>
        <w:kinsoku w:val="0"/>
        <w:wordWrap/>
        <w:overflowPunct w:val="0"/>
        <w:topLinePunct w:val="0"/>
        <w:autoSpaceDE w:val="0"/>
        <w:autoSpaceDN w:val="0"/>
        <w:bidi w:val="0"/>
        <w:snapToGrid w:val="0"/>
        <w:spacing w:line="400" w:lineRule="exact"/>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电    话：0771-</w:t>
      </w:r>
      <w:r>
        <w:rPr>
          <w:rFonts w:hint="eastAsia" w:hAnsi="宋体" w:eastAsia="宋体" w:cs="宋体"/>
          <w:b w:val="0"/>
          <w:bCs w:val="0"/>
          <w:color w:val="auto"/>
          <w:sz w:val="21"/>
          <w:szCs w:val="21"/>
          <w:highlight w:val="none"/>
          <w:lang w:eastAsia="zh-CN"/>
        </w:rPr>
        <w:t>8600434</w:t>
      </w:r>
      <w:r>
        <w:rPr>
          <w:rFonts w:hint="eastAsia" w:ascii="宋体" w:hAnsi="宋体" w:eastAsia="宋体" w:cs="宋体"/>
          <w:b w:val="0"/>
          <w:bCs w:val="0"/>
          <w:color w:val="auto"/>
          <w:sz w:val="21"/>
          <w:szCs w:val="21"/>
          <w:highlight w:val="none"/>
        </w:rPr>
        <w:t xml:space="preserve"> </w:t>
      </w:r>
    </w:p>
    <w:p>
      <w:pPr>
        <w:pStyle w:val="14"/>
        <w:keepNext w:val="0"/>
        <w:keepLines w:val="0"/>
        <w:pageBreakBefore w:val="0"/>
        <w:widowControl w:val="0"/>
        <w:kinsoku w:val="0"/>
        <w:wordWrap/>
        <w:overflowPunct w:val="0"/>
        <w:topLinePunct w:val="0"/>
        <w:autoSpaceDE w:val="0"/>
        <w:autoSpaceDN w:val="0"/>
        <w:bidi w:val="0"/>
        <w:snapToGrid w:val="0"/>
        <w:spacing w:line="360" w:lineRule="exact"/>
        <w:ind w:firstLine="824"/>
        <w:textAlignment w:val="auto"/>
        <w:rPr>
          <w:rFonts w:hint="eastAsia" w:ascii="宋体" w:hAnsi="宋体" w:eastAsia="宋体" w:cs="宋体"/>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5"/>
        <w:rPr>
          <w:rFonts w:hint="eastAsia" w:ascii="宋体" w:hAnsi="宋体" w:eastAsia="宋体" w:cs="宋体"/>
          <w:color w:val="auto"/>
          <w:sz w:val="48"/>
          <w:szCs w:val="48"/>
          <w:highlight w:val="none"/>
        </w:rPr>
      </w:pPr>
    </w:p>
    <w:bookmarkEnd w:id="7"/>
    <w:bookmarkEnd w:id="8"/>
    <w:p>
      <w:pPr>
        <w:pStyle w:val="14"/>
        <w:snapToGrid w:val="0"/>
        <w:spacing w:before="120" w:after="120"/>
        <w:jc w:val="center"/>
        <w:outlineLvl w:val="0"/>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第四章  评标方法及评分标准</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Cs/>
          <w:color w:val="auto"/>
          <w:sz w:val="32"/>
          <w:szCs w:val="32"/>
          <w:highlight w:val="none"/>
        </w:rPr>
        <w:br w:type="page"/>
      </w:r>
      <w:r>
        <w:rPr>
          <w:rFonts w:hint="eastAsia" w:ascii="宋体" w:hAnsi="宋体" w:eastAsia="宋体" w:cs="宋体"/>
          <w:b/>
          <w:color w:val="auto"/>
          <w:sz w:val="36"/>
          <w:szCs w:val="36"/>
          <w:highlight w:val="none"/>
        </w:rPr>
        <w:t>评标方法及评分标准</w:t>
      </w:r>
    </w:p>
    <w:p>
      <w:pPr>
        <w:pStyle w:val="30"/>
        <w:adjustRightInd w:val="0"/>
        <w:snapToGrid w:val="0"/>
        <w:spacing w:line="360" w:lineRule="exact"/>
        <w:ind w:firstLine="42"/>
        <w:jc w:val="center"/>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b/>
          <w:bCs/>
          <w:color w:val="auto"/>
          <w:highlight w:val="none"/>
          <w:lang w:val="en-US" w:eastAsia="zh-CN"/>
        </w:rPr>
        <w:t>适用于分标1、分标2、分标3、分标4</w:t>
      </w:r>
      <w:r>
        <w:rPr>
          <w:rFonts w:hint="eastAsia" w:ascii="宋体" w:hAnsi="宋体" w:eastAsia="宋体" w:cs="宋体"/>
          <w:color w:val="auto"/>
          <w:sz w:val="21"/>
          <w:szCs w:val="21"/>
          <w:highlight w:val="none"/>
        </w:rPr>
        <w:t>）</w:t>
      </w:r>
    </w:p>
    <w:p>
      <w:pPr>
        <w:pStyle w:val="19"/>
        <w:pageBreakBefore w:val="0"/>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p>
    <w:p>
      <w:pPr>
        <w:pStyle w:val="14"/>
        <w:pageBreakBefore w:val="0"/>
        <w:kinsoku/>
        <w:wordWrap/>
        <w:overflowPunct/>
        <w:topLinePunct w:val="0"/>
        <w:autoSpaceDE/>
        <w:autoSpaceDN/>
        <w:bidi w:val="0"/>
        <w:spacing w:line="360" w:lineRule="exact"/>
        <w:ind w:firstLine="516" w:firstLineChars="245"/>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一、评标原则</w:t>
      </w:r>
    </w:p>
    <w:p>
      <w:pPr>
        <w:pStyle w:val="14"/>
        <w:pageBreakBefore w:val="0"/>
        <w:kinsoku/>
        <w:wordWrap/>
        <w:overflowPunct/>
        <w:topLinePunct w:val="0"/>
        <w:autoSpaceDE/>
        <w:autoSpaceDN/>
        <w:bidi w:val="0"/>
        <w:spacing w:line="360" w:lineRule="exact"/>
        <w:ind w:firstLine="483" w:firstLineChars="23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(一)评委组成：本招标采购项目的</w:t>
      </w:r>
      <w:r>
        <w:rPr>
          <w:rFonts w:hint="eastAsia" w:asciiTheme="minorEastAsia" w:hAnsiTheme="minorEastAsia" w:eastAsiaTheme="minorEastAsia" w:cstheme="minorEastAsia"/>
          <w:color w:val="auto"/>
          <w:spacing w:val="-4"/>
          <w:sz w:val="21"/>
          <w:szCs w:val="21"/>
          <w:highlight w:val="none"/>
        </w:rPr>
        <w:t>评标委员会由采购人代表和评审专家组成，成员人数应当为5人以上单数，其中评审专家不得少于成员总数的三分之二。</w:t>
      </w:r>
    </w:p>
    <w:p>
      <w:pPr>
        <w:pStyle w:val="14"/>
        <w:pageBreakBefore w:val="0"/>
        <w:kinsoku/>
        <w:wordWrap/>
        <w:overflowPunct/>
        <w:topLinePunct w:val="0"/>
        <w:autoSpaceDE/>
        <w:autoSpaceDN/>
        <w:bidi w:val="0"/>
        <w:spacing w:line="360" w:lineRule="exact"/>
        <w:ind w:firstLine="499" w:firstLineChars="238"/>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(二)评标依据：评委将以招投标文件为评标依据，对投标人的投标内容按百分制打分。</w:t>
      </w:r>
    </w:p>
    <w:p>
      <w:pPr>
        <w:pStyle w:val="14"/>
        <w:pageBreakBefore w:val="0"/>
        <w:kinsoku/>
        <w:wordWrap/>
        <w:overflowPunct/>
        <w:topLinePunct w:val="0"/>
        <w:autoSpaceDE/>
        <w:autoSpaceDN/>
        <w:bidi w:val="0"/>
        <w:spacing w:line="360" w:lineRule="exact"/>
        <w:ind w:firstLine="510" w:firstLineChars="243"/>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(三)评标方式：以封闭方式进行。</w:t>
      </w:r>
    </w:p>
    <w:p>
      <w:pPr>
        <w:pStyle w:val="5"/>
        <w:pageBreakBefore w:val="0"/>
        <w:kinsoku/>
        <w:wordWrap/>
        <w:overflowPunct/>
        <w:topLinePunct w:val="0"/>
        <w:autoSpaceDE/>
        <w:autoSpaceDN/>
        <w:bidi w:val="0"/>
        <w:spacing w:line="36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（四）无效投标处理原则：在评标过程中，包括在异常低价认定程序中被认定为无效的投标，其投标文件不再进入后续评审阶段，也不参与得分计算与汇总排名。</w:t>
      </w:r>
    </w:p>
    <w:p>
      <w:pPr>
        <w:pStyle w:val="14"/>
        <w:pageBreakBefore w:val="0"/>
        <w:kinsoku/>
        <w:wordWrap/>
        <w:overflowPunct/>
        <w:topLinePunct w:val="0"/>
        <w:autoSpaceDE/>
        <w:autoSpaceDN/>
        <w:bidi w:val="0"/>
        <w:spacing w:line="360" w:lineRule="exact"/>
        <w:ind w:firstLine="512" w:firstLineChars="243"/>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bCs w:val="0"/>
          <w:color w:val="auto"/>
          <w:sz w:val="21"/>
          <w:szCs w:val="21"/>
          <w:highlight w:val="none"/>
        </w:rPr>
        <w:t>二、评</w:t>
      </w:r>
      <w:r>
        <w:rPr>
          <w:rFonts w:hint="eastAsia" w:asciiTheme="minorEastAsia" w:hAnsiTheme="minorEastAsia" w:eastAsiaTheme="minorEastAsia" w:cstheme="minorEastAsia"/>
          <w:b/>
          <w:color w:val="auto"/>
          <w:sz w:val="21"/>
          <w:szCs w:val="21"/>
          <w:highlight w:val="none"/>
        </w:rPr>
        <w:t>标方法</w:t>
      </w:r>
    </w:p>
    <w:p>
      <w:pPr>
        <w:pStyle w:val="14"/>
        <w:pageBreakBefore w:val="0"/>
        <w:kinsoku/>
        <w:wordWrap/>
        <w:overflowPunct/>
        <w:topLinePunct w:val="0"/>
        <w:autoSpaceDE/>
        <w:autoSpaceDN/>
        <w:bidi w:val="0"/>
        <w:spacing w:line="360" w:lineRule="exact"/>
        <w:ind w:firstLine="420" w:firstLineChars="200"/>
        <w:textAlignment w:val="auto"/>
        <w:outlineLvl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（一）对进入详评的，采用百分制综合评分法。</w:t>
      </w:r>
    </w:p>
    <w:p>
      <w:pPr>
        <w:pStyle w:val="14"/>
        <w:pageBreakBefore w:val="0"/>
        <w:kinsoku/>
        <w:wordWrap/>
        <w:overflowPunct/>
        <w:topLinePunct w:val="0"/>
        <w:autoSpaceDE/>
        <w:autoSpaceDN/>
        <w:bidi w:val="0"/>
        <w:spacing w:line="360" w:lineRule="exact"/>
        <w:ind w:firstLine="420" w:firstLineChars="200"/>
        <w:textAlignment w:val="auto"/>
        <w:outlineLvl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（二）计分办法（按四舍五入取至百分位）：</w:t>
      </w:r>
    </w:p>
    <w:p>
      <w:pPr>
        <w:pStyle w:val="14"/>
        <w:pageBreakBefore w:val="0"/>
        <w:kinsoku/>
        <w:wordWrap/>
        <w:overflowPunct/>
        <w:topLinePunct w:val="0"/>
        <w:autoSpaceDE/>
        <w:autoSpaceDN/>
        <w:bidi w:val="0"/>
        <w:spacing w:line="360" w:lineRule="exact"/>
        <w:ind w:firstLine="501" w:firstLineChars="238"/>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1、价格分</w:t>
      </w:r>
      <w:r>
        <w:rPr>
          <w:rFonts w:hint="eastAsia" w:asciiTheme="minorEastAsia" w:hAnsiTheme="minorEastAsia" w:eastAsiaTheme="minorEastAsia" w:cstheme="minorEastAsia"/>
          <w:b/>
          <w:bCs/>
          <w:color w:val="auto"/>
          <w:spacing w:val="-8"/>
          <w:sz w:val="21"/>
          <w:szCs w:val="21"/>
          <w:highlight w:val="none"/>
        </w:rPr>
        <w:t>………………………………………………………………………………………</w:t>
      </w:r>
      <w:r>
        <w:rPr>
          <w:rFonts w:hint="eastAsia" w:asciiTheme="minorEastAsia" w:hAnsiTheme="minorEastAsia" w:eastAsiaTheme="minorEastAsia" w:cstheme="minorEastAsia"/>
          <w:b/>
          <w:color w:val="auto"/>
          <w:sz w:val="21"/>
          <w:szCs w:val="21"/>
          <w:highlight w:val="none"/>
        </w:rPr>
        <w:t>30分</w:t>
      </w:r>
    </w:p>
    <w:p>
      <w:pPr>
        <w:pStyle w:val="30"/>
        <w:pageBreakBefore w:val="0"/>
        <w:kinsoku/>
        <w:wordWrap/>
        <w:overflowPunct/>
        <w:topLinePunct w:val="0"/>
        <w:autoSpaceDE/>
        <w:autoSpaceDN/>
        <w:bidi w:val="0"/>
        <w:adjustRightInd w:val="0"/>
        <w:snapToGrid w:val="0"/>
        <w:spacing w:line="360" w:lineRule="exact"/>
        <w:ind w:firstLine="378" w:firstLineChars="18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bCs/>
          <w:color w:val="auto"/>
          <w:sz w:val="21"/>
          <w:szCs w:val="21"/>
          <w:highlight w:val="none"/>
        </w:rPr>
        <w:t>符合《政府采购促进中小企业发展管理办法》（财库〔2020〕46号）规定条件且按该办法中规定的格式提供了《中小企业声明函》的小型和微型企业参与投标，对其投标报价给予10%的扣除，</w:t>
      </w:r>
      <w:r>
        <w:rPr>
          <w:rFonts w:hint="eastAsia" w:asciiTheme="minorEastAsia" w:hAnsiTheme="minorEastAsia" w:eastAsiaTheme="minorEastAsia" w:cstheme="minorEastAsia"/>
          <w:color w:val="auto"/>
          <w:sz w:val="21"/>
          <w:szCs w:val="21"/>
          <w:highlight w:val="none"/>
        </w:rPr>
        <w:t>扣除后的价格为评标价，即评标价=投标价×（1-10%）；</w:t>
      </w:r>
    </w:p>
    <w:p>
      <w:pPr>
        <w:pStyle w:val="30"/>
        <w:pageBreakBefore w:val="0"/>
        <w:kinsoku/>
        <w:wordWrap/>
        <w:overflowPunct/>
        <w:topLinePunct w:val="0"/>
        <w:autoSpaceDE/>
        <w:autoSpaceDN/>
        <w:bidi w:val="0"/>
        <w:adjustRightInd w:val="0"/>
        <w:snapToGrid w:val="0"/>
        <w:spacing w:line="360" w:lineRule="exact"/>
        <w:ind w:firstLine="378" w:firstLineChars="18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符合《国务院办公厅关于在政府采购中实施本国产品标准及相关政策的通知》（国办发〔2025〕34号）规定</w:t>
      </w:r>
      <w:r>
        <w:rPr>
          <w:rFonts w:hint="eastAsia" w:asciiTheme="minorEastAsia" w:hAnsiTheme="minorEastAsia" w:eastAsiaTheme="minorEastAsia" w:cstheme="minorEastAsia"/>
          <w:bCs/>
          <w:color w:val="auto"/>
          <w:sz w:val="21"/>
          <w:szCs w:val="21"/>
          <w:highlight w:val="none"/>
        </w:rPr>
        <w:t>条件且按该通知中规定的格式提供了《关于符合本国产品标准的声明函》的供应商参与投标，对其投标报价给予20%的扣除，</w:t>
      </w:r>
      <w:r>
        <w:rPr>
          <w:rFonts w:hint="eastAsia" w:asciiTheme="minorEastAsia" w:hAnsiTheme="minorEastAsia" w:eastAsiaTheme="minorEastAsia" w:cstheme="minorEastAsia"/>
          <w:color w:val="auto"/>
          <w:sz w:val="21"/>
          <w:szCs w:val="21"/>
          <w:highlight w:val="none"/>
        </w:rPr>
        <w:t>扣除后的价格为评标价，即评标价=投标价×（1-20%）；除上述情况外，评标价=投标价。</w:t>
      </w:r>
    </w:p>
    <w:p>
      <w:pPr>
        <w:pStyle w:val="14"/>
        <w:pageBreakBefore w:val="0"/>
        <w:kinsoku/>
        <w:wordWrap/>
        <w:overflowPunct/>
        <w:topLinePunct w:val="0"/>
        <w:autoSpaceDE/>
        <w:autoSpaceDN/>
        <w:bidi w:val="0"/>
        <w:spacing w:line="360" w:lineRule="exact"/>
        <w:ind w:firstLine="420" w:firstLineChars="200"/>
        <w:textAlignment w:val="auto"/>
        <w:outlineLvl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投标产品生产企业</w:t>
      </w:r>
      <w:r>
        <w:rPr>
          <w:rFonts w:hint="eastAsia" w:asciiTheme="minorEastAsia" w:hAnsiTheme="minorEastAsia" w:eastAsiaTheme="minorEastAsia" w:cstheme="minorEastAsia"/>
          <w:color w:val="auto"/>
          <w:sz w:val="21"/>
          <w:szCs w:val="21"/>
          <w:highlight w:val="none"/>
        </w:rPr>
        <w:t>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14"/>
        <w:pageBreakBefore w:val="0"/>
        <w:kinsoku/>
        <w:wordWrap/>
        <w:overflowPunct/>
        <w:topLinePunct w:val="0"/>
        <w:autoSpaceDE/>
        <w:autoSpaceDN/>
        <w:bidi w:val="0"/>
        <w:spacing w:line="360" w:lineRule="exact"/>
        <w:ind w:firstLine="420" w:firstLineChars="200"/>
        <w:textAlignment w:val="auto"/>
        <w:outlineLvl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投标产品提供</w:t>
      </w:r>
      <w:r>
        <w:rPr>
          <w:rFonts w:hint="eastAsia" w:asciiTheme="minorEastAsia" w:hAnsiTheme="minorEastAsia" w:eastAsiaTheme="minorEastAsia" w:cstheme="minorEastAsia"/>
          <w:color w:val="auto"/>
          <w:sz w:val="21"/>
          <w:szCs w:val="21"/>
          <w:highlight w:val="none"/>
        </w:rPr>
        <w:t>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14"/>
        <w:pageBreakBefore w:val="0"/>
        <w:kinsoku/>
        <w:wordWrap/>
        <w:overflowPunct/>
        <w:topLinePunct w:val="0"/>
        <w:autoSpaceDE/>
        <w:autoSpaceDN/>
        <w:bidi w:val="0"/>
        <w:spacing w:line="360" w:lineRule="exact"/>
        <w:ind w:firstLine="210" w:firstLineChars="100"/>
        <w:textAlignment w:val="auto"/>
        <w:outlineLvl w:val="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（2）以满足招标文件要求且评标价最低的投标人的评标价为评标基准价，其价格分为</w:t>
      </w:r>
      <w:r>
        <w:rPr>
          <w:rFonts w:hint="eastAsia" w:asciiTheme="minorEastAsia" w:hAnsiTheme="minorEastAsia" w:eastAsiaTheme="minorEastAsia" w:cstheme="minorEastAsia"/>
          <w:b/>
          <w:color w:val="auto"/>
          <w:sz w:val="21"/>
          <w:szCs w:val="21"/>
          <w:highlight w:val="none"/>
        </w:rPr>
        <w:t>30</w:t>
      </w:r>
      <w:r>
        <w:rPr>
          <w:rFonts w:hint="eastAsia" w:asciiTheme="minorEastAsia" w:hAnsiTheme="minorEastAsia" w:eastAsiaTheme="minorEastAsia" w:cstheme="minorEastAsia"/>
          <w:color w:val="auto"/>
          <w:sz w:val="21"/>
          <w:szCs w:val="21"/>
          <w:highlight w:val="none"/>
        </w:rPr>
        <w:t>分。</w:t>
      </w:r>
    </w:p>
    <w:p>
      <w:pPr>
        <w:pStyle w:val="14"/>
        <w:pageBreakBefore w:val="0"/>
        <w:kinsoku/>
        <w:wordWrap/>
        <w:overflowPunct/>
        <w:topLinePunct w:val="0"/>
        <w:autoSpaceDE/>
        <w:autoSpaceDN/>
        <w:bidi w:val="0"/>
        <w:spacing w:line="360" w:lineRule="exact"/>
        <w:textAlignment w:val="auto"/>
        <w:outlineLvl w:val="0"/>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bCs/>
          <w:color w:val="auto"/>
          <w:sz w:val="21"/>
          <w:szCs w:val="21"/>
          <w:highlight w:val="none"/>
        </w:rPr>
        <w:t xml:space="preserve">   （3）某投标人价格分</w:t>
      </w:r>
      <w:r>
        <w:rPr>
          <w:rFonts w:hint="eastAsia" w:asciiTheme="minorEastAsia" w:hAnsiTheme="minorEastAsia" w:eastAsiaTheme="minorEastAsia" w:cstheme="minorEastAsia"/>
          <w:b/>
          <w:color w:val="auto"/>
          <w:sz w:val="21"/>
          <w:szCs w:val="21"/>
          <w:highlight w:val="none"/>
        </w:rPr>
        <w:t xml:space="preserve"> =评标基准价（金额）/某投标人评标价（金额）×30分</w:t>
      </w:r>
    </w:p>
    <w:p>
      <w:pPr>
        <w:pageBreakBefore w:val="0"/>
        <w:kinsoku/>
        <w:wordWrap/>
        <w:overflowPunct/>
        <w:topLinePunct w:val="0"/>
        <w:autoSpaceDE/>
        <w:autoSpaceDN/>
        <w:bidi w:val="0"/>
        <w:spacing w:line="360" w:lineRule="exact"/>
        <w:ind w:firstLine="421" w:firstLineChars="200"/>
        <w:textAlignment w:val="auto"/>
        <w:rPr>
          <w:rFonts w:hint="eastAsia" w:asciiTheme="minorEastAsia" w:hAnsiTheme="minorEastAsia" w:eastAsiaTheme="minorEastAsia" w:cstheme="minorEastAsia"/>
          <w:b w:val="0"/>
          <w:bCs/>
          <w:color w:val="auto"/>
          <w:sz w:val="21"/>
          <w:szCs w:val="21"/>
          <w:highlight w:val="none"/>
        </w:rPr>
      </w:pPr>
      <w:r>
        <w:rPr>
          <w:rFonts w:hint="eastAsia" w:asciiTheme="minorEastAsia" w:hAnsiTheme="minorEastAsia" w:eastAsiaTheme="minorEastAsia" w:cstheme="minorEastAsia"/>
          <w:b/>
          <w:bCs w:val="0"/>
          <w:color w:val="auto"/>
          <w:sz w:val="21"/>
          <w:szCs w:val="21"/>
          <w:highlight w:val="none"/>
          <w:lang w:val="en-US" w:eastAsia="zh-CN"/>
        </w:rPr>
        <w:t>2、</w:t>
      </w:r>
      <w:r>
        <w:rPr>
          <w:rFonts w:hint="eastAsia" w:asciiTheme="minorEastAsia" w:hAnsiTheme="minorEastAsia" w:eastAsiaTheme="minorEastAsia" w:cstheme="minorEastAsia"/>
          <w:b/>
          <w:bCs w:val="0"/>
          <w:color w:val="auto"/>
          <w:sz w:val="21"/>
          <w:szCs w:val="21"/>
          <w:highlight w:val="none"/>
        </w:rPr>
        <w:t>技术分</w:t>
      </w:r>
      <w:r>
        <w:rPr>
          <w:rFonts w:hint="eastAsia" w:asciiTheme="minorEastAsia" w:hAnsiTheme="minorEastAsia" w:eastAsiaTheme="minorEastAsia" w:cstheme="minorEastAsia"/>
          <w:b/>
          <w:bCs w:val="0"/>
          <w:color w:val="auto"/>
          <w:spacing w:val="-8"/>
          <w:sz w:val="21"/>
          <w:szCs w:val="21"/>
          <w:highlight w:val="none"/>
        </w:rPr>
        <w:t>…………………………………………………………………………………………</w:t>
      </w:r>
      <w:r>
        <w:rPr>
          <w:rFonts w:hint="eastAsia" w:asciiTheme="minorEastAsia" w:hAnsiTheme="minorEastAsia" w:eastAsiaTheme="minorEastAsia" w:cstheme="minorEastAsia"/>
          <w:b/>
          <w:bCs w:val="0"/>
          <w:color w:val="auto"/>
          <w:sz w:val="21"/>
          <w:szCs w:val="21"/>
          <w:highlight w:val="none"/>
        </w:rPr>
        <w:t>5</w:t>
      </w:r>
      <w:r>
        <w:rPr>
          <w:rFonts w:hint="eastAsia" w:asciiTheme="minorEastAsia" w:hAnsiTheme="minorEastAsia" w:eastAsiaTheme="minorEastAsia" w:cstheme="minorEastAsia"/>
          <w:b/>
          <w:bCs w:val="0"/>
          <w:color w:val="auto"/>
          <w:sz w:val="21"/>
          <w:szCs w:val="21"/>
          <w:highlight w:val="none"/>
          <w:lang w:val="en-US" w:eastAsia="zh-CN"/>
        </w:rPr>
        <w:t>3</w:t>
      </w:r>
      <w:r>
        <w:rPr>
          <w:rFonts w:hint="eastAsia" w:asciiTheme="minorEastAsia" w:hAnsiTheme="minorEastAsia" w:eastAsiaTheme="minorEastAsia" w:cstheme="minorEastAsia"/>
          <w:b/>
          <w:bCs w:val="0"/>
          <w:color w:val="auto"/>
          <w:sz w:val="21"/>
          <w:szCs w:val="21"/>
          <w:highlight w:val="none"/>
        </w:rPr>
        <w:t>分</w:t>
      </w:r>
    </w:p>
    <w:p>
      <w:pPr>
        <w:pageBreakBefore w:val="0"/>
        <w:widowControl/>
        <w:shd w:val="clear" w:color="auto" w:fill="FFFFFF"/>
        <w:kinsoku/>
        <w:wordWrap/>
        <w:overflowPunct/>
        <w:topLinePunct w:val="0"/>
        <w:bidi w:val="0"/>
        <w:spacing w:line="360" w:lineRule="exact"/>
        <w:ind w:firstLine="421"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rPr>
        <w:t>（1）</w:t>
      </w:r>
      <w:r>
        <w:rPr>
          <w:rFonts w:hint="eastAsia" w:asciiTheme="minorEastAsia" w:hAnsiTheme="minorEastAsia" w:eastAsiaTheme="minorEastAsia" w:cstheme="minorEastAsia"/>
          <w:color w:val="auto"/>
          <w:sz w:val="21"/>
          <w:szCs w:val="21"/>
          <w:highlight w:val="none"/>
        </w:rPr>
        <w:t>投标人投标产品完全满足招标文件</w:t>
      </w:r>
      <w:r>
        <w:rPr>
          <w:rFonts w:hint="eastAsia" w:asciiTheme="minorEastAsia" w:hAnsiTheme="minorEastAsia" w:cstheme="minorEastAsia"/>
          <w:color w:val="auto"/>
          <w:sz w:val="21"/>
          <w:szCs w:val="21"/>
          <w:highlight w:val="none"/>
          <w:lang w:eastAsia="zh-CN"/>
        </w:rPr>
        <w:t>未标记</w:t>
      </w:r>
      <w:r>
        <w:rPr>
          <w:rFonts w:hint="eastAsia" w:asciiTheme="minorEastAsia" w:hAnsiTheme="minorEastAsia" w:eastAsiaTheme="minorEastAsia" w:cstheme="minorEastAsia"/>
          <w:color w:val="auto"/>
          <w:sz w:val="21"/>
          <w:szCs w:val="21"/>
          <w:highlight w:val="none"/>
        </w:rPr>
        <w:t>“▲”号的</w:t>
      </w:r>
      <w:r>
        <w:rPr>
          <w:rFonts w:hint="eastAsia" w:asciiTheme="minorEastAsia" w:hAnsiTheme="minorEastAsia" w:eastAsiaTheme="minorEastAsia" w:cstheme="minorEastAsia"/>
          <w:b w:val="0"/>
          <w:bCs w:val="0"/>
          <w:color w:val="auto"/>
          <w:sz w:val="21"/>
          <w:szCs w:val="21"/>
          <w:highlight w:val="none"/>
        </w:rPr>
        <w:t>主要技术参数</w:t>
      </w:r>
      <w:r>
        <w:rPr>
          <w:rFonts w:hint="eastAsia" w:asciiTheme="minorEastAsia" w:hAnsiTheme="minorEastAsia" w:cstheme="minorEastAsia"/>
          <w:b w:val="0"/>
          <w:bCs w:val="0"/>
          <w:color w:val="auto"/>
          <w:sz w:val="21"/>
          <w:szCs w:val="21"/>
          <w:highlight w:val="none"/>
          <w:lang w:eastAsia="zh-CN"/>
        </w:rPr>
        <w:t>、商务条款</w:t>
      </w:r>
      <w:r>
        <w:rPr>
          <w:rFonts w:hint="eastAsia" w:asciiTheme="minorEastAsia" w:hAnsiTheme="minorEastAsia" w:eastAsiaTheme="minorEastAsia" w:cstheme="minorEastAsia"/>
          <w:b w:val="0"/>
          <w:bCs w:val="0"/>
          <w:color w:val="auto"/>
          <w:sz w:val="21"/>
          <w:szCs w:val="21"/>
          <w:highlight w:val="none"/>
        </w:rPr>
        <w:t>要求的</w:t>
      </w:r>
      <w:r>
        <w:rPr>
          <w:rFonts w:hint="eastAsia" w:asciiTheme="minorEastAsia" w:hAnsiTheme="minorEastAsia" w:eastAsiaTheme="minorEastAsia" w:cstheme="minorEastAsia"/>
          <w:color w:val="auto"/>
          <w:sz w:val="21"/>
          <w:szCs w:val="21"/>
          <w:highlight w:val="none"/>
        </w:rPr>
        <w:t>得基本分</w:t>
      </w: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rPr>
        <w:t>分。未标记“▲”号的</w:t>
      </w:r>
      <w:r>
        <w:rPr>
          <w:rFonts w:hint="eastAsia" w:asciiTheme="minorEastAsia" w:hAnsiTheme="minorEastAsia" w:cstheme="minorEastAsia"/>
          <w:color w:val="auto"/>
          <w:sz w:val="21"/>
          <w:szCs w:val="21"/>
          <w:highlight w:val="none"/>
          <w:lang w:eastAsia="zh-CN"/>
        </w:rPr>
        <w:t>主要</w:t>
      </w:r>
      <w:r>
        <w:rPr>
          <w:rFonts w:hint="eastAsia" w:asciiTheme="minorEastAsia" w:hAnsiTheme="minorEastAsia" w:eastAsiaTheme="minorEastAsia" w:cstheme="minorEastAsia"/>
          <w:color w:val="auto"/>
          <w:sz w:val="21"/>
          <w:szCs w:val="21"/>
          <w:highlight w:val="none"/>
        </w:rPr>
        <w:t>技术参数或</w:t>
      </w:r>
      <w:r>
        <w:rPr>
          <w:rFonts w:hint="eastAsia" w:asciiTheme="minorEastAsia" w:hAnsiTheme="minorEastAsia" w:eastAsiaTheme="minorEastAsia" w:cstheme="minorEastAsia"/>
          <w:color w:val="auto"/>
          <w:sz w:val="21"/>
          <w:szCs w:val="21"/>
          <w:highlight w:val="none"/>
          <w:lang w:eastAsia="zh-CN"/>
        </w:rPr>
        <w:t>商务条款</w:t>
      </w:r>
      <w:r>
        <w:rPr>
          <w:rFonts w:hint="eastAsia" w:asciiTheme="minorEastAsia" w:hAnsiTheme="minorEastAsia" w:eastAsiaTheme="minorEastAsia" w:cstheme="minorEastAsia"/>
          <w:color w:val="auto"/>
          <w:sz w:val="21"/>
          <w:szCs w:val="21"/>
          <w:highlight w:val="none"/>
        </w:rPr>
        <w:t>存在负偏离的或不响应的，在基本分（</w:t>
      </w:r>
      <w:r>
        <w:rPr>
          <w:rFonts w:hint="eastAsia" w:asciiTheme="minorEastAsia" w:hAnsiTheme="minorEastAsia" w:eastAsiaTheme="minorEastAsia" w:cstheme="minorEastAsia"/>
          <w:color w:val="auto"/>
          <w:sz w:val="21"/>
          <w:szCs w:val="21"/>
          <w:highlight w:val="none"/>
          <w:lang w:val="en-US" w:eastAsia="zh-CN"/>
        </w:rPr>
        <w:t>满分10</w:t>
      </w:r>
      <w:r>
        <w:rPr>
          <w:rFonts w:hint="eastAsia" w:asciiTheme="minorEastAsia" w:hAnsiTheme="minorEastAsia" w:eastAsiaTheme="minorEastAsia" w:cstheme="minorEastAsia"/>
          <w:color w:val="auto"/>
          <w:sz w:val="21"/>
          <w:szCs w:val="21"/>
          <w:highlight w:val="none"/>
        </w:rPr>
        <w:t>分）的基础上，每有一项扣</w:t>
      </w: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分，最多扣完本项分值。</w:t>
      </w:r>
    </w:p>
    <w:p>
      <w:pPr>
        <w:pageBreakBefore w:val="0"/>
        <w:widowControl/>
        <w:shd w:val="clear" w:color="auto" w:fill="FFFFFF"/>
        <w:kinsoku/>
        <w:wordWrap/>
        <w:overflowPunct/>
        <w:topLinePunct w:val="0"/>
        <w:bidi w:val="0"/>
        <w:spacing w:line="360" w:lineRule="exact"/>
        <w:ind w:firstLine="421"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2</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2024-2025年没有与投标产品质量相关的不良记录得3分；如有与投标产品质量相关的不良记录，得0分。（</w:t>
      </w:r>
      <w:r>
        <w:rPr>
          <w:rFonts w:hint="eastAsia" w:asciiTheme="minorEastAsia" w:hAnsiTheme="minorEastAsia" w:cstheme="minorEastAsia"/>
          <w:b w:val="0"/>
          <w:bCs w:val="0"/>
          <w:color w:val="auto"/>
          <w:kern w:val="2"/>
          <w:sz w:val="21"/>
          <w:szCs w:val="21"/>
          <w:highlight w:val="none"/>
          <w:vertAlign w:val="baseline"/>
          <w:lang w:val="en-US" w:eastAsia="zh-CN" w:bidi="ar"/>
        </w:rPr>
        <w:t>投标人</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须提供</w:t>
      </w:r>
      <w:r>
        <w:rPr>
          <w:rFonts w:hint="eastAsia" w:asciiTheme="minorEastAsia" w:hAnsiTheme="minorEastAsia" w:cstheme="minorEastAsia"/>
          <w:b w:val="0"/>
          <w:bCs w:val="0"/>
          <w:color w:val="auto"/>
          <w:kern w:val="2"/>
          <w:sz w:val="21"/>
          <w:szCs w:val="21"/>
          <w:highlight w:val="none"/>
          <w:vertAlign w:val="baseline"/>
          <w:lang w:val="en-US" w:eastAsia="zh-CN" w:bidi="ar"/>
        </w:rPr>
        <w:t>盖单位公章的</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承诺函，未提供</w:t>
      </w:r>
      <w:r>
        <w:rPr>
          <w:rFonts w:hint="eastAsia" w:asciiTheme="minorEastAsia" w:hAnsiTheme="minorEastAsia" w:cstheme="minorEastAsia"/>
          <w:b w:val="0"/>
          <w:bCs w:val="0"/>
          <w:color w:val="auto"/>
          <w:kern w:val="2"/>
          <w:sz w:val="21"/>
          <w:szCs w:val="21"/>
          <w:highlight w:val="none"/>
          <w:vertAlign w:val="baseline"/>
          <w:lang w:val="en-US" w:eastAsia="zh-CN" w:bidi="ar"/>
        </w:rPr>
        <w:t>的</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不得分）</w:t>
      </w:r>
      <w:r>
        <w:rPr>
          <w:rFonts w:hint="eastAsia" w:asciiTheme="minorEastAsia" w:hAnsiTheme="minorEastAsia" w:eastAsiaTheme="minorEastAsia" w:cstheme="minorEastAsia"/>
          <w:color w:val="auto"/>
          <w:sz w:val="21"/>
          <w:szCs w:val="21"/>
          <w:highlight w:val="none"/>
          <w:lang w:val="en-US" w:eastAsia="zh-CN"/>
        </w:rPr>
        <w:t>（满分3分）</w:t>
      </w:r>
    </w:p>
    <w:p>
      <w:pPr>
        <w:pageBreakBefore w:val="0"/>
        <w:widowControl/>
        <w:shd w:val="clear" w:color="auto" w:fill="FFFFFF"/>
        <w:kinsoku/>
        <w:wordWrap/>
        <w:overflowPunct/>
        <w:topLinePunct w:val="0"/>
        <w:bidi w:val="0"/>
        <w:spacing w:line="36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注：不良记录系指药品监督管理部门在日常监督检查过程中出具的任何与投标产品质量相关的处罚或通告。</w:t>
      </w:r>
    </w:p>
    <w:p>
      <w:pPr>
        <w:pageBreakBefore w:val="0"/>
        <w:widowControl/>
        <w:numPr>
          <w:ilvl w:val="0"/>
          <w:numId w:val="0"/>
        </w:numPr>
        <w:shd w:val="clear" w:color="auto" w:fill="FFFFFF"/>
        <w:kinsoku/>
        <w:wordWrap/>
        <w:overflowPunct/>
        <w:topLinePunct w:val="0"/>
        <w:bidi w:val="0"/>
        <w:spacing w:line="360" w:lineRule="exact"/>
        <w:ind w:firstLine="421"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3</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color w:val="auto"/>
          <w:sz w:val="21"/>
          <w:szCs w:val="21"/>
          <w:highlight w:val="none"/>
          <w:lang w:val="en-US" w:eastAsia="zh-CN"/>
        </w:rPr>
        <w:t>所提供的疫苗具有国家药监局临床试验备案的医疗机构或者疾病预防控制机构出具的临床试验报告。</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w:t>
      </w: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须</w:t>
      </w:r>
      <w:r>
        <w:rPr>
          <w:rFonts w:hint="eastAsia" w:asciiTheme="minorEastAsia" w:hAnsiTheme="minorEastAsia" w:cstheme="minorEastAsia"/>
          <w:b w:val="0"/>
          <w:bCs w:val="0"/>
          <w:color w:val="auto"/>
          <w:kern w:val="2"/>
          <w:sz w:val="21"/>
          <w:szCs w:val="21"/>
          <w:highlight w:val="none"/>
          <w:vertAlign w:val="baseline"/>
          <w:lang w:val="en-US" w:eastAsia="zh-CN" w:bidi="ar"/>
        </w:rPr>
        <w:t>按要求</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提供</w:t>
      </w:r>
      <w:r>
        <w:rPr>
          <w:rFonts w:hint="eastAsia" w:asciiTheme="minorEastAsia" w:hAnsiTheme="minorEastAsia" w:cstheme="minorEastAsia"/>
          <w:color w:val="auto"/>
          <w:sz w:val="21"/>
          <w:szCs w:val="21"/>
          <w:highlight w:val="none"/>
          <w:lang w:val="en-US" w:eastAsia="zh-CN"/>
        </w:rPr>
        <w:t>本项所述</w:t>
      </w:r>
      <w:r>
        <w:rPr>
          <w:rFonts w:hint="eastAsia" w:asciiTheme="minorEastAsia" w:hAnsiTheme="minorEastAsia" w:eastAsiaTheme="minorEastAsia" w:cstheme="minorEastAsia"/>
          <w:color w:val="auto"/>
          <w:sz w:val="21"/>
          <w:szCs w:val="21"/>
          <w:highlight w:val="none"/>
          <w:lang w:val="en-US" w:eastAsia="zh-CN"/>
        </w:rPr>
        <w:t>的临床试验报告</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，未提供的不得分）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w:t>
      </w:r>
    </w:p>
    <w:p>
      <w:pPr>
        <w:pageBreakBefore w:val="0"/>
        <w:widowControl/>
        <w:shd w:val="clear" w:color="auto" w:fill="FFFFFF"/>
        <w:kinsoku/>
        <w:wordWrap/>
        <w:overflowPunct/>
        <w:topLinePunct w:val="0"/>
        <w:bidi w:val="0"/>
        <w:spacing w:line="360" w:lineRule="exact"/>
        <w:ind w:firstLine="421" w:firstLineChars="200"/>
        <w:textAlignment w:val="auto"/>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4</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投标产品批签发情况：根据投标人提供的2026年投标产品批签发数量信息一览表综合给分，</w:t>
      </w:r>
      <w:r>
        <w:rPr>
          <w:rFonts w:hint="eastAsia" w:asciiTheme="minorEastAsia" w:hAnsiTheme="minorEastAsia" w:eastAsiaTheme="minorEastAsia" w:cstheme="minorEastAsia"/>
          <w:color w:val="auto"/>
          <w:sz w:val="21"/>
          <w:szCs w:val="21"/>
          <w:highlight w:val="none"/>
          <w:lang w:val="en-US" w:eastAsia="zh-CN"/>
        </w:rPr>
        <w:t>批签发数量＜500万支，得</w:t>
      </w: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分；批签发数量在500万支～1000万支，得</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val="en-US" w:eastAsia="zh-CN"/>
        </w:rPr>
        <w:t>分；批签发数量在1000万支～1500万支的得</w:t>
      </w:r>
      <w:r>
        <w:rPr>
          <w:rFonts w:hint="eastAsia" w:asciiTheme="minorEastAsia" w:hAnsi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lang w:val="en-US" w:eastAsia="zh-CN"/>
        </w:rPr>
        <w:t>分；批签发数量＞1500万支的得</w:t>
      </w:r>
      <w:r>
        <w:rPr>
          <w:rFonts w:hint="eastAsia" w:asciiTheme="minorEastAsia" w:hAnsi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en-US" w:eastAsia="zh-CN"/>
        </w:rPr>
        <w:t>分。</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w:t>
      </w: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须提供2026年投标产品批签发数量信息一览表，未提供的不得分）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en-US" w:eastAsia="zh-CN"/>
        </w:rPr>
        <w:t>分）</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w:t>
      </w:r>
    </w:p>
    <w:p>
      <w:pPr>
        <w:pageBreakBefore w:val="0"/>
        <w:widowControl/>
        <w:shd w:val="clear" w:color="auto" w:fill="FFFFFF"/>
        <w:kinsoku/>
        <w:wordWrap/>
        <w:overflowPunct/>
        <w:topLinePunct w:val="0"/>
        <w:bidi w:val="0"/>
        <w:spacing w:line="360" w:lineRule="exact"/>
        <w:ind w:firstLine="421"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5</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投标人提供投标产品近3年（2023年1月-2025年12月）疑似预防接种异常反应（AEFI）监测数据和参与处理的投标产品疑似预防接种异常反应的相关报告数据（含AEFI监测数据与ADR反馈数据），报告数据包含但不仅限于</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产品一般反应发生率</w:t>
      </w:r>
      <w:r>
        <w:rPr>
          <w:rFonts w:hint="eastAsia" w:asciiTheme="minorEastAsia" w:hAnsiTheme="minorEastAsia" w:cstheme="minorEastAsia"/>
          <w:b w:val="0"/>
          <w:bCs w:val="0"/>
          <w:color w:val="auto"/>
          <w:kern w:val="2"/>
          <w:sz w:val="21"/>
          <w:szCs w:val="21"/>
          <w:highlight w:val="none"/>
          <w:vertAlign w:val="baseline"/>
          <w:lang w:val="en-US" w:eastAsia="zh-CN" w:bidi="ar"/>
        </w:rPr>
        <w:t>得2分、</w:t>
      </w:r>
      <w:r>
        <w:rPr>
          <w:rFonts w:hint="eastAsia" w:asciiTheme="minorEastAsia" w:hAnsiTheme="minorEastAsia" w:eastAsiaTheme="minorEastAsia" w:cstheme="minorEastAsia"/>
          <w:color w:val="auto"/>
          <w:sz w:val="21"/>
          <w:szCs w:val="21"/>
          <w:highlight w:val="none"/>
          <w:lang w:val="en-US" w:eastAsia="zh-CN"/>
        </w:rPr>
        <w:t>不良反应类型</w:t>
      </w:r>
      <w:r>
        <w:rPr>
          <w:rFonts w:hint="eastAsia" w:asciiTheme="minorEastAsia" w:hAnsiTheme="minorEastAsia" w:cstheme="minorEastAsia"/>
          <w:b w:val="0"/>
          <w:bCs w:val="0"/>
          <w:color w:val="auto"/>
          <w:kern w:val="2"/>
          <w:sz w:val="21"/>
          <w:szCs w:val="21"/>
          <w:highlight w:val="none"/>
          <w:vertAlign w:val="baseline"/>
          <w:lang w:val="en-US" w:eastAsia="zh-CN" w:bidi="ar"/>
        </w:rPr>
        <w:t>得</w:t>
      </w:r>
      <w:r>
        <w:rPr>
          <w:rFonts w:hint="eastAsia" w:asciiTheme="minorEastAsia" w:hAnsiTheme="minorEastAsia" w:cstheme="minorEastAsia"/>
          <w:color w:val="auto"/>
          <w:sz w:val="21"/>
          <w:szCs w:val="21"/>
          <w:highlight w:val="none"/>
          <w:lang w:val="en-US" w:eastAsia="zh-CN"/>
        </w:rPr>
        <w:t>2分</w:t>
      </w:r>
      <w:r>
        <w:rPr>
          <w:rFonts w:hint="eastAsia" w:asciiTheme="minorEastAsia" w:hAnsiTheme="minorEastAsia" w:eastAsiaTheme="minorEastAsia" w:cstheme="minorEastAsia"/>
          <w:color w:val="auto"/>
          <w:sz w:val="21"/>
          <w:szCs w:val="21"/>
          <w:highlight w:val="none"/>
          <w:lang w:val="en-US" w:eastAsia="zh-CN"/>
        </w:rPr>
        <w:t>、判定与依据</w:t>
      </w:r>
      <w:r>
        <w:rPr>
          <w:rFonts w:hint="eastAsia" w:asciiTheme="minorEastAsia" w:hAnsiTheme="minorEastAsia" w:cstheme="minorEastAsia"/>
          <w:b w:val="0"/>
          <w:bCs w:val="0"/>
          <w:color w:val="auto"/>
          <w:kern w:val="2"/>
          <w:sz w:val="21"/>
          <w:szCs w:val="21"/>
          <w:highlight w:val="none"/>
          <w:vertAlign w:val="baseline"/>
          <w:lang w:val="en-US" w:eastAsia="zh-CN" w:bidi="ar"/>
        </w:rPr>
        <w:t>得</w:t>
      </w:r>
      <w:r>
        <w:rPr>
          <w:rFonts w:hint="eastAsia" w:asciiTheme="minorEastAsia" w:hAnsiTheme="minorEastAsia" w:cstheme="minorEastAsia"/>
          <w:color w:val="auto"/>
          <w:sz w:val="21"/>
          <w:szCs w:val="21"/>
          <w:highlight w:val="none"/>
          <w:lang w:val="en-US" w:eastAsia="zh-CN"/>
        </w:rPr>
        <w:t>2分</w:t>
      </w:r>
      <w:r>
        <w:rPr>
          <w:rFonts w:hint="eastAsia" w:asciiTheme="minorEastAsia" w:hAnsiTheme="minorEastAsia" w:eastAsiaTheme="minorEastAsia" w:cstheme="minorEastAsia"/>
          <w:color w:val="auto"/>
          <w:sz w:val="21"/>
          <w:szCs w:val="21"/>
          <w:highlight w:val="none"/>
          <w:lang w:val="en-US" w:eastAsia="zh-CN"/>
        </w:rPr>
        <w:t>、处置过程等关键技术数据</w:t>
      </w:r>
      <w:r>
        <w:rPr>
          <w:rFonts w:hint="eastAsia" w:asciiTheme="minorEastAsia" w:hAnsiTheme="minorEastAsia" w:cstheme="minorEastAsia"/>
          <w:b w:val="0"/>
          <w:bCs w:val="0"/>
          <w:color w:val="auto"/>
          <w:kern w:val="2"/>
          <w:sz w:val="21"/>
          <w:szCs w:val="21"/>
          <w:highlight w:val="none"/>
          <w:vertAlign w:val="baseline"/>
          <w:lang w:val="en-US" w:eastAsia="zh-CN" w:bidi="ar"/>
        </w:rPr>
        <w:t>得</w:t>
      </w:r>
      <w:r>
        <w:rPr>
          <w:rFonts w:hint="eastAsia" w:asciiTheme="minorEastAsia" w:hAnsiTheme="minorEastAsia" w:cstheme="minorEastAsia"/>
          <w:color w:val="auto"/>
          <w:sz w:val="21"/>
          <w:szCs w:val="21"/>
          <w:highlight w:val="none"/>
          <w:lang w:val="en-US" w:eastAsia="zh-CN"/>
        </w:rPr>
        <w:t>2分</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w:t>
      </w: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须按要求提供本项所述的</w:t>
      </w:r>
      <w:r>
        <w:rPr>
          <w:rFonts w:hint="eastAsia" w:asciiTheme="minorEastAsia" w:hAnsiTheme="minorEastAsia" w:eastAsiaTheme="minorEastAsia" w:cstheme="minorEastAsia"/>
          <w:color w:val="auto"/>
          <w:sz w:val="21"/>
          <w:szCs w:val="21"/>
          <w:highlight w:val="none"/>
          <w:lang w:val="en-US" w:eastAsia="zh-CN"/>
        </w:rPr>
        <w:t>相关报告数据</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，未提供的不得分）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en-US" w:eastAsia="zh-CN"/>
        </w:rPr>
        <w:t>分）</w:t>
      </w:r>
    </w:p>
    <w:p>
      <w:pPr>
        <w:keepNext w:val="0"/>
        <w:keepLines w:val="0"/>
        <w:pageBreakBefore w:val="0"/>
        <w:suppressLineNumbers w:val="0"/>
        <w:kinsoku/>
        <w:wordWrap/>
        <w:overflowPunct/>
        <w:topLinePunct w:val="0"/>
        <w:bidi w:val="0"/>
        <w:snapToGrid/>
        <w:spacing w:before="0" w:beforeLines="0" w:beforeAutospacing="0" w:after="0" w:afterLines="0" w:afterAutospacing="0" w:line="360" w:lineRule="exact"/>
        <w:ind w:left="0" w:leftChars="0" w:right="0" w:rightChars="0" w:firstLine="421" w:firstLineChars="200"/>
        <w:textAlignment w:val="auto"/>
        <w:rPr>
          <w:rFonts w:hint="eastAsia" w:asciiTheme="minorEastAsia" w:hAnsiTheme="minorEastAsia" w:eastAsiaTheme="minorEastAsia" w:cstheme="minorEastAsia"/>
          <w:color w:val="auto"/>
          <w:kern w:val="2"/>
          <w:sz w:val="21"/>
          <w:szCs w:val="21"/>
          <w:highlight w:val="none"/>
          <w:lang w:val="en-US" w:eastAsia="zh-CN" w:bidi="ar"/>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6</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免疫原性：</w:t>
      </w:r>
      <w:r>
        <w:rPr>
          <w:rFonts w:hint="eastAsia" w:asciiTheme="minorEastAsia" w:hAnsiTheme="minorEastAsia" w:eastAsiaTheme="minorEastAsia" w:cstheme="minorEastAsia"/>
          <w:color w:val="auto"/>
          <w:kern w:val="2"/>
          <w:sz w:val="21"/>
          <w:szCs w:val="21"/>
          <w:highlight w:val="none"/>
          <w:lang w:val="en-US" w:eastAsia="zh-CN" w:bidi="ar"/>
        </w:rPr>
        <w:t>每提供1份关于投标产品上市后免疫原性指标相关研究情况的国家级核心期刊或SCI期刊论文得1分，未提供的得0分。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val="en-US" w:eastAsia="zh-CN"/>
        </w:rPr>
        <w:t>分）</w:t>
      </w:r>
    </w:p>
    <w:p>
      <w:pPr>
        <w:pageBreakBefore w:val="0"/>
        <w:widowControl/>
        <w:kinsoku/>
        <w:wordWrap/>
        <w:overflowPunct/>
        <w:topLinePunct w:val="0"/>
        <w:bidi w:val="0"/>
        <w:snapToGrid/>
        <w:spacing w:before="0" w:beforeLines="0" w:after="0" w:afterLines="0" w:line="360" w:lineRule="exact"/>
        <w:ind w:firstLine="421" w:firstLineChars="200"/>
        <w:jc w:val="left"/>
        <w:textAlignment w:val="auto"/>
        <w:rPr>
          <w:rFonts w:hint="eastAsia" w:asciiTheme="minorEastAsia" w:hAnsiTheme="minorEastAsia" w:eastAsiaTheme="minorEastAsia" w:cstheme="minorEastAsia"/>
          <w:color w:val="auto"/>
          <w:kern w:val="2"/>
          <w:sz w:val="21"/>
          <w:szCs w:val="21"/>
          <w:highlight w:val="none"/>
          <w:lang w:val="en-US" w:eastAsia="zh-CN" w:bidi="ar"/>
        </w:rPr>
      </w:pP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注：</w:t>
      </w:r>
      <w:r>
        <w:rPr>
          <w:rFonts w:hint="eastAsia" w:asciiTheme="minorEastAsia" w:hAnsiTheme="minorEastAsia" w:eastAsiaTheme="minorEastAsia" w:cstheme="minorEastAsia"/>
          <w:b/>
          <w:bCs/>
          <w:color w:val="auto"/>
          <w:kern w:val="2"/>
          <w:sz w:val="21"/>
          <w:szCs w:val="21"/>
          <w:highlight w:val="none"/>
          <w:lang w:val="en-US" w:eastAsia="zh-CN" w:bidi="ar"/>
        </w:rPr>
        <w:t>须提供相关材料证明发表论文的期刊属于国家级核心期刊或SCI 期刊，且提供的论文摘要（索引）中需明确提及上市后免疫原性指标数据，</w:t>
      </w: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如为外文标题，应提供准确的中文翻译，不可将多个文献资料混在一起干扰评标专家判断，</w:t>
      </w:r>
      <w:r>
        <w:rPr>
          <w:rFonts w:hint="eastAsia" w:asciiTheme="minorEastAsia" w:hAnsiTheme="minorEastAsia" w:eastAsiaTheme="minorEastAsia" w:cstheme="minorEastAsia"/>
          <w:b/>
          <w:bCs/>
          <w:color w:val="auto"/>
          <w:kern w:val="2"/>
          <w:sz w:val="21"/>
          <w:szCs w:val="21"/>
          <w:highlight w:val="none"/>
          <w:lang w:val="en-US" w:eastAsia="zh-CN" w:bidi="ar"/>
        </w:rPr>
        <w:t>否则不予认可</w:t>
      </w:r>
      <w:r>
        <w:rPr>
          <w:rFonts w:hint="eastAsia" w:asciiTheme="minorEastAsia" w:hAnsiTheme="minorEastAsia" w:eastAsiaTheme="minorEastAsia" w:cstheme="minorEastAsia"/>
          <w:color w:val="auto"/>
          <w:kern w:val="2"/>
          <w:sz w:val="21"/>
          <w:szCs w:val="21"/>
          <w:highlight w:val="none"/>
          <w:lang w:val="en-US" w:eastAsia="zh-CN" w:bidi="ar"/>
        </w:rPr>
        <w:t>。</w:t>
      </w:r>
    </w:p>
    <w:p>
      <w:pPr>
        <w:pageBreakBefore w:val="0"/>
        <w:widowControl/>
        <w:kinsoku/>
        <w:wordWrap/>
        <w:overflowPunct/>
        <w:topLinePunct w:val="0"/>
        <w:bidi w:val="0"/>
        <w:snapToGrid/>
        <w:spacing w:before="0" w:beforeLines="0" w:after="0" w:afterLines="0" w:line="360" w:lineRule="exact"/>
        <w:ind w:firstLine="421" w:firstLineChars="200"/>
        <w:jc w:val="left"/>
        <w:textAlignment w:val="auto"/>
        <w:rPr>
          <w:rFonts w:hint="eastAsia" w:asciiTheme="minorEastAsia" w:hAnsiTheme="minorEastAsia" w:eastAsiaTheme="minorEastAsia" w:cstheme="minorEastAsia"/>
          <w:color w:val="auto"/>
          <w:kern w:val="2"/>
          <w:sz w:val="21"/>
          <w:szCs w:val="21"/>
          <w:highlight w:val="none"/>
          <w:lang w:val="en-US" w:eastAsia="zh-CN" w:bidi="ar"/>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7</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kern w:val="2"/>
          <w:sz w:val="21"/>
          <w:szCs w:val="21"/>
          <w:highlight w:val="none"/>
          <w:lang w:val="en-US" w:eastAsia="zh-CN" w:bidi="ar"/>
        </w:rPr>
        <w:t>安全性：每提供1份关于投标产品上市后后使用安全性相关研究情况的国家级核心期刊或SCI期刊论文得1分，未提供的得0分。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分）</w:t>
      </w:r>
    </w:p>
    <w:p>
      <w:pPr>
        <w:pageBreakBefore w:val="0"/>
        <w:kinsoku/>
        <w:wordWrap/>
        <w:overflowPunct/>
        <w:topLinePunct w:val="0"/>
        <w:bidi w:val="0"/>
        <w:spacing w:line="360" w:lineRule="exact"/>
        <w:ind w:firstLine="421" w:firstLineChars="200"/>
        <w:jc w:val="left"/>
        <w:textAlignment w:val="auto"/>
        <w:rPr>
          <w:rFonts w:hint="eastAsia" w:asciiTheme="minorEastAsia" w:hAnsiTheme="minorEastAsia" w:eastAsiaTheme="minorEastAsia" w:cstheme="minorEastAsia"/>
          <w:b/>
          <w:bCs/>
          <w:color w:val="auto"/>
          <w:kern w:val="2"/>
          <w:sz w:val="21"/>
          <w:szCs w:val="21"/>
          <w:highlight w:val="none"/>
          <w:lang w:val="en-US" w:eastAsia="zh-CN" w:bidi="ar"/>
        </w:rPr>
      </w:pP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注：</w:t>
      </w:r>
      <w:r>
        <w:rPr>
          <w:rFonts w:hint="eastAsia" w:asciiTheme="minorEastAsia" w:hAnsiTheme="minorEastAsia" w:eastAsiaTheme="minorEastAsia" w:cstheme="minorEastAsia"/>
          <w:b/>
          <w:bCs/>
          <w:color w:val="auto"/>
          <w:kern w:val="2"/>
          <w:sz w:val="21"/>
          <w:szCs w:val="21"/>
          <w:highlight w:val="none"/>
          <w:lang w:val="en-US" w:eastAsia="zh-CN" w:bidi="ar"/>
        </w:rPr>
        <w:t>须提供相关材料证明发表论文的期刊属于国家级核心期刊或SCI 期刊，且提供的论文摘要（索引）中需明确提及上市后使用安全性指标数据，</w:t>
      </w: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如为外文标题，应提供准确的中文翻译，不可将多个文献资料混在一起干扰评标专家判断。</w:t>
      </w:r>
      <w:r>
        <w:rPr>
          <w:rFonts w:hint="eastAsia" w:asciiTheme="minorEastAsia" w:hAnsiTheme="minorEastAsia" w:eastAsiaTheme="minorEastAsia" w:cstheme="minorEastAsia"/>
          <w:b/>
          <w:bCs/>
          <w:color w:val="auto"/>
          <w:kern w:val="2"/>
          <w:sz w:val="21"/>
          <w:szCs w:val="21"/>
          <w:highlight w:val="none"/>
          <w:lang w:val="en-US" w:eastAsia="zh-CN" w:bidi="ar"/>
        </w:rPr>
        <w:t>否则不予认可。</w:t>
      </w:r>
    </w:p>
    <w:p>
      <w:pPr>
        <w:pageBreakBefore w:val="0"/>
        <w:widowControl/>
        <w:kinsoku/>
        <w:wordWrap/>
        <w:overflowPunct/>
        <w:topLinePunct w:val="0"/>
        <w:bidi w:val="0"/>
        <w:snapToGrid/>
        <w:spacing w:before="0" w:beforeLines="0" w:after="0" w:afterLines="0" w:line="360" w:lineRule="exact"/>
        <w:ind w:firstLine="421" w:firstLineChars="200"/>
        <w:jc w:val="left"/>
        <w:textAlignment w:val="auto"/>
        <w:rPr>
          <w:rFonts w:hint="eastAsia" w:asciiTheme="minorEastAsia" w:hAnsiTheme="minorEastAsia" w:eastAsiaTheme="minorEastAsia" w:cstheme="minorEastAsia"/>
          <w:color w:val="auto"/>
          <w:kern w:val="2"/>
          <w:sz w:val="21"/>
          <w:szCs w:val="21"/>
          <w:highlight w:val="none"/>
          <w:lang w:val="en-US" w:eastAsia="zh-CN" w:bidi="ar"/>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8</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kern w:val="2"/>
          <w:sz w:val="21"/>
          <w:szCs w:val="21"/>
          <w:highlight w:val="none"/>
          <w:vertAlign w:val="baseline"/>
          <w:lang w:val="en-US" w:eastAsia="zh-CN" w:bidi="ar"/>
        </w:rPr>
        <w:t>免疫效果</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w:t>
      </w:r>
      <w:r>
        <w:rPr>
          <w:rFonts w:hint="eastAsia" w:asciiTheme="minorEastAsia" w:hAnsiTheme="minorEastAsia" w:eastAsiaTheme="minorEastAsia" w:cstheme="minorEastAsia"/>
          <w:color w:val="auto"/>
          <w:kern w:val="2"/>
          <w:sz w:val="21"/>
          <w:szCs w:val="21"/>
          <w:highlight w:val="none"/>
          <w:lang w:val="en-US" w:eastAsia="zh-CN" w:bidi="ar"/>
        </w:rPr>
        <w:t>每提供1份关于投标产品上市后疾病防控效果相关研究</w:t>
      </w:r>
      <w:r>
        <w:rPr>
          <w:rFonts w:hint="eastAsia" w:asciiTheme="minorEastAsia" w:hAnsiTheme="minorEastAsia" w:eastAsiaTheme="minorEastAsia" w:cstheme="minorEastAsia"/>
          <w:color w:val="auto"/>
          <w:kern w:val="2"/>
          <w:sz w:val="21"/>
          <w:szCs w:val="21"/>
          <w:highlight w:val="none"/>
          <w:vertAlign w:val="baseline"/>
          <w:lang w:val="en-US" w:eastAsia="zh-CN" w:bidi="ar"/>
        </w:rPr>
        <w:t>进行评价的</w:t>
      </w:r>
      <w:r>
        <w:rPr>
          <w:rFonts w:hint="eastAsia" w:asciiTheme="minorEastAsia" w:hAnsiTheme="minorEastAsia" w:eastAsiaTheme="minorEastAsia" w:cstheme="minorEastAsia"/>
          <w:color w:val="auto"/>
          <w:kern w:val="2"/>
          <w:sz w:val="21"/>
          <w:szCs w:val="21"/>
          <w:highlight w:val="none"/>
          <w:lang w:val="en-US" w:eastAsia="zh-CN" w:bidi="ar"/>
        </w:rPr>
        <w:t>国家级核心期刊或SCI期刊论文得1分，未提供的得0分。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分）</w:t>
      </w:r>
    </w:p>
    <w:p>
      <w:pPr>
        <w:pageBreakBefore w:val="0"/>
        <w:kinsoku/>
        <w:wordWrap/>
        <w:overflowPunct/>
        <w:topLinePunct w:val="0"/>
        <w:bidi w:val="0"/>
        <w:spacing w:line="360" w:lineRule="exact"/>
        <w:ind w:firstLine="421" w:firstLineChars="200"/>
        <w:jc w:val="left"/>
        <w:textAlignment w:val="auto"/>
        <w:rPr>
          <w:rFonts w:hint="eastAsia" w:asciiTheme="minorEastAsia" w:hAnsiTheme="minorEastAsia" w:eastAsiaTheme="minorEastAsia" w:cstheme="minorEastAsia"/>
          <w:b/>
          <w:bCs/>
          <w:color w:val="auto"/>
          <w:kern w:val="2"/>
          <w:sz w:val="21"/>
          <w:szCs w:val="21"/>
          <w:highlight w:val="none"/>
          <w:lang w:val="en-US" w:eastAsia="zh-CN" w:bidi="ar"/>
        </w:rPr>
      </w:pP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注：</w:t>
      </w:r>
      <w:r>
        <w:rPr>
          <w:rFonts w:hint="eastAsia" w:asciiTheme="minorEastAsia" w:hAnsiTheme="minorEastAsia" w:eastAsiaTheme="minorEastAsia" w:cstheme="minorEastAsia"/>
          <w:b/>
          <w:bCs/>
          <w:color w:val="auto"/>
          <w:kern w:val="2"/>
          <w:sz w:val="21"/>
          <w:szCs w:val="21"/>
          <w:highlight w:val="none"/>
          <w:lang w:val="en-US" w:eastAsia="zh-CN" w:bidi="ar"/>
        </w:rPr>
        <w:t>须提供相关材料证明发表论文的期刊属于国家级核心期刊或SCI 期刊，且提供的论文摘要（索引）中需明确提及上市后疾病防控指标数据，</w:t>
      </w: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如为外文标题，应提供准确的中文翻译，不可将多个文献资料混在一起干扰评标专家判断。</w:t>
      </w:r>
      <w:r>
        <w:rPr>
          <w:rFonts w:hint="eastAsia" w:asciiTheme="minorEastAsia" w:hAnsiTheme="minorEastAsia" w:eastAsiaTheme="minorEastAsia" w:cstheme="minorEastAsia"/>
          <w:b/>
          <w:bCs/>
          <w:color w:val="auto"/>
          <w:kern w:val="2"/>
          <w:sz w:val="21"/>
          <w:szCs w:val="21"/>
          <w:highlight w:val="none"/>
          <w:lang w:val="en-US" w:eastAsia="zh-CN" w:bidi="ar"/>
        </w:rPr>
        <w:t>否则不予认可。</w:t>
      </w:r>
    </w:p>
    <w:p>
      <w:pPr>
        <w:keepNext w:val="0"/>
        <w:keepLines w:val="0"/>
        <w:pageBreakBefore w:val="0"/>
        <w:suppressLineNumbers w:val="0"/>
        <w:kinsoku/>
        <w:wordWrap/>
        <w:overflowPunct/>
        <w:topLinePunct w:val="0"/>
        <w:bidi w:val="0"/>
        <w:snapToGrid/>
        <w:spacing w:before="0" w:beforeLines="0" w:beforeAutospacing="0" w:after="0" w:afterLines="0" w:afterAutospacing="0" w:line="360" w:lineRule="exact"/>
        <w:ind w:left="0" w:leftChars="0" w:right="0" w:rightChars="0" w:firstLine="421" w:firstLineChars="200"/>
        <w:textAlignment w:val="auto"/>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pP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val="en-US" w:eastAsia="zh-CN"/>
        </w:rPr>
        <w:t>9</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kern w:val="2"/>
          <w:sz w:val="21"/>
          <w:szCs w:val="21"/>
          <w:highlight w:val="none"/>
          <w:lang w:val="en-US" w:eastAsia="zh-CN" w:bidi="ar"/>
        </w:rPr>
        <w:t>投标产品</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上市后的临床研究情况（</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b w:val="0"/>
          <w:bCs w:val="0"/>
          <w:color w:val="auto"/>
          <w:kern w:val="2"/>
          <w:sz w:val="21"/>
          <w:szCs w:val="21"/>
          <w:highlight w:val="none"/>
          <w:vertAlign w:val="baseline"/>
          <w:lang w:val="en-US" w:eastAsia="zh-CN" w:bidi="ar"/>
        </w:rPr>
        <w:t>7</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分）：</w:t>
      </w:r>
    </w:p>
    <w:p>
      <w:pPr>
        <w:keepNext w:val="0"/>
        <w:keepLines w:val="0"/>
        <w:pageBreakBefore w:val="0"/>
        <w:suppressLineNumbers w:val="0"/>
        <w:kinsoku/>
        <w:wordWrap/>
        <w:overflowPunct/>
        <w:topLinePunct w:val="0"/>
        <w:bidi w:val="0"/>
        <w:snapToGrid/>
        <w:spacing w:before="0" w:beforeLines="0" w:beforeAutospacing="0" w:after="0" w:afterLines="0" w:afterAutospacing="0" w:line="360" w:lineRule="exact"/>
        <w:ind w:left="0" w:leftChars="0" w:right="0" w:rightChars="0" w:firstLine="421" w:firstLineChars="200"/>
        <w:textAlignment w:val="auto"/>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pP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1）</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每完成一项四期临床研究</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提供合作协议，四期临床研究技术总结报告等证明材料</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得3分；已开展四期临床研究但未完成的，每有一项</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提供合作协议</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得1分。（不提供证明材料的不得分）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val="en-US" w:eastAsia="zh-CN"/>
        </w:rPr>
        <w:t>分）</w:t>
      </w:r>
    </w:p>
    <w:p>
      <w:pPr>
        <w:keepNext w:val="0"/>
        <w:keepLines w:val="0"/>
        <w:pageBreakBefore w:val="0"/>
        <w:suppressLineNumbers w:val="0"/>
        <w:kinsoku/>
        <w:wordWrap/>
        <w:overflowPunct/>
        <w:topLinePunct w:val="0"/>
        <w:bidi w:val="0"/>
        <w:snapToGrid/>
        <w:spacing w:before="0" w:beforeLines="0" w:beforeAutospacing="0" w:after="0" w:afterLines="0" w:afterAutospacing="0" w:line="360" w:lineRule="exact"/>
        <w:ind w:left="0" w:leftChars="0" w:right="0" w:rightChars="0" w:firstLine="421" w:firstLineChars="200"/>
        <w:textAlignment w:val="auto"/>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pP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2）</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开展除四期临床研究以外的其他上市后研究，每完成一项</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提供合作协议和技术总结报告等证明材料</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得1分，未完成的每一项</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提供合作协议</w:t>
      </w:r>
      <w:r>
        <w:rPr>
          <w:rFonts w:hint="eastAsia" w:asciiTheme="minorEastAsia" w:hAnsiTheme="minorEastAsia" w:eastAsiaTheme="minorEastAsia" w:cstheme="minorEastAsia"/>
          <w:color w:val="auto"/>
          <w:kern w:val="2"/>
          <w:sz w:val="21"/>
          <w:szCs w:val="21"/>
          <w:highlight w:val="no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得0.5分。（不提供证明材料的不得分）</w:t>
      </w:r>
      <w:r>
        <w:rPr>
          <w:rFonts w:hint="eastAsia" w:asciiTheme="minorEastAsia" w:hAnsiTheme="minorEastAsia" w:eastAsiaTheme="minorEastAsia" w:cstheme="minorEastAsia"/>
          <w:color w:val="auto"/>
          <w:sz w:val="21"/>
          <w:szCs w:val="21"/>
          <w:highlight w:val="none"/>
          <w:lang w:val="en-US" w:eastAsia="zh-CN"/>
        </w:rPr>
        <w:t>（满分3分）</w:t>
      </w:r>
    </w:p>
    <w:p>
      <w:pPr>
        <w:keepNext w:val="0"/>
        <w:keepLines w:val="0"/>
        <w:pageBreakBefore w:val="0"/>
        <w:widowControl/>
        <w:numPr>
          <w:ilvl w:val="0"/>
          <w:numId w:val="0"/>
        </w:numPr>
        <w:suppressLineNumbers w:val="0"/>
        <w:tabs>
          <w:tab w:val="left" w:pos="312"/>
        </w:tabs>
        <w:kinsoku/>
        <w:wordWrap/>
        <w:overflowPunct/>
        <w:topLinePunct w:val="0"/>
        <w:bidi w:val="0"/>
        <w:snapToGrid/>
        <w:spacing w:before="0" w:beforeLines="0" w:beforeAutospacing="0" w:after="0" w:afterLines="0" w:afterAutospacing="0" w:line="360" w:lineRule="exact"/>
        <w:ind w:left="0" w:leftChars="0" w:right="0" w:rightChars="0" w:firstLine="421" w:firstLineChars="200"/>
        <w:jc w:val="left"/>
        <w:textAlignment w:val="auto"/>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pPr>
      <w:r>
        <w:rPr>
          <w:rFonts w:hint="eastAsia" w:asciiTheme="minorEastAsia" w:hAnsiTheme="minorEastAsia" w:eastAsiaTheme="minorEastAsia" w:cstheme="minorEastAsia"/>
          <w:b/>
          <w:bCs/>
          <w:color w:val="auto"/>
          <w:sz w:val="21"/>
          <w:szCs w:val="21"/>
          <w:highlight w:val="none"/>
        </w:rPr>
        <w:t>（1</w:t>
      </w:r>
      <w:r>
        <w:rPr>
          <w:rFonts w:hint="eastAsia" w:asciiTheme="minorEastAsia" w:hAnsiTheme="minorEastAsia" w:eastAsiaTheme="minorEastAsia" w:cstheme="minorEastAsia"/>
          <w:b/>
          <w:bCs/>
          <w:color w:val="auto"/>
          <w:sz w:val="21"/>
          <w:szCs w:val="21"/>
          <w:highlight w:val="none"/>
          <w:lang w:val="en-US" w:eastAsia="zh-CN"/>
        </w:rPr>
        <w:t>0</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color w:val="auto"/>
          <w:kern w:val="2"/>
          <w:sz w:val="21"/>
          <w:szCs w:val="21"/>
          <w:highlight w:val="none"/>
          <w:vertAlign w:val="baseline"/>
          <w:lang w:val="en-US" w:eastAsia="zh-CN" w:bidi="ar"/>
        </w:rPr>
        <w:t>疑似预防接种异常反应</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监测</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val="en-US" w:eastAsia="zh-CN"/>
        </w:rPr>
        <w:t>分）</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w:t>
      </w:r>
    </w:p>
    <w:p>
      <w:pPr>
        <w:keepNext w:val="0"/>
        <w:keepLines w:val="0"/>
        <w:pageBreakBefore w:val="0"/>
        <w:suppressLineNumbers w:val="0"/>
        <w:kinsoku/>
        <w:wordWrap/>
        <w:overflowPunct/>
        <w:topLinePunct w:val="0"/>
        <w:bidi w:val="0"/>
        <w:snapToGrid/>
        <w:spacing w:before="0" w:beforeLines="0" w:beforeAutospacing="0" w:after="0" w:afterLines="0" w:afterAutospacing="0" w:line="360" w:lineRule="exact"/>
        <w:ind w:left="0" w:leftChars="0" w:right="0" w:rightChars="0" w:firstLine="421" w:firstLineChars="200"/>
        <w:textAlignment w:val="auto"/>
        <w:rPr>
          <w:rFonts w:hint="eastAsia" w:asciiTheme="minorEastAsia" w:hAnsiTheme="minorEastAsia" w:eastAsiaTheme="minorEastAsia" w:cstheme="minorEastAsia"/>
          <w:color w:val="auto"/>
          <w:kern w:val="2"/>
          <w:sz w:val="21"/>
          <w:szCs w:val="21"/>
          <w:highlight w:val="none"/>
          <w:vertAlign w:val="baseline"/>
          <w:lang w:val="en-US" w:eastAsia="zh-CN" w:bidi="ar"/>
        </w:rPr>
      </w:pP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1）</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根据投标人提供的异常反应监测制度文件：投标人承诺设立专门机构，配备专职人员，主动收集、跟踪分析疑似预防接种异常反应。提供异常反应监测制度的得</w:t>
      </w:r>
      <w:r>
        <w:rPr>
          <w:rFonts w:hint="eastAsia" w:asciiTheme="minorEastAsia" w:hAnsiTheme="minorEastAsia" w:cstheme="minorEastAsia"/>
          <w:b w:val="0"/>
          <w:bCs w:val="0"/>
          <w:color w:val="auto"/>
          <w:kern w:val="2"/>
          <w:sz w:val="21"/>
          <w:szCs w:val="21"/>
          <w:highlight w:val="none"/>
          <w:vertAlign w:val="baseline"/>
          <w:lang w:val="en-US" w:eastAsia="zh-CN" w:bidi="ar"/>
        </w:rPr>
        <w:t>2</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分，未提供不得分。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分）</w:t>
      </w:r>
    </w:p>
    <w:p>
      <w:pPr>
        <w:keepNext w:val="0"/>
        <w:keepLines w:val="0"/>
        <w:pageBreakBefore w:val="0"/>
        <w:widowControl/>
        <w:numPr>
          <w:ilvl w:val="0"/>
          <w:numId w:val="0"/>
        </w:numPr>
        <w:suppressLineNumbers w:val="0"/>
        <w:tabs>
          <w:tab w:val="left" w:pos="312"/>
        </w:tabs>
        <w:kinsoku/>
        <w:wordWrap/>
        <w:overflowPunct/>
        <w:topLinePunct w:val="0"/>
        <w:bidi w:val="0"/>
        <w:snapToGrid/>
        <w:spacing w:before="0" w:beforeLines="0" w:beforeAutospacing="0" w:after="0" w:afterLines="0" w:afterAutospacing="0" w:line="360" w:lineRule="exact"/>
        <w:ind w:left="0" w:right="0" w:firstLine="421" w:firstLineChars="200"/>
        <w:jc w:val="left"/>
        <w:textAlignment w:val="auto"/>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pPr>
      <w:r>
        <w:rPr>
          <w:rFonts w:hint="eastAsia" w:asciiTheme="minorEastAsia" w:hAnsiTheme="minorEastAsia" w:cstheme="minorEastAsia"/>
          <w:b/>
          <w:bCs/>
          <w:color w:val="auto"/>
          <w:kern w:val="2"/>
          <w:sz w:val="21"/>
          <w:szCs w:val="21"/>
          <w:highlight w:val="none"/>
          <w:vertAlign w:val="baseline"/>
          <w:lang w:val="en-US" w:eastAsia="zh-CN" w:bidi="ar"/>
        </w:rPr>
        <w:t>2</w:t>
      </w:r>
      <w:r>
        <w:rPr>
          <w:rFonts w:hint="eastAsia" w:asciiTheme="minorEastAsia" w:hAnsiTheme="minorEastAsia" w:eastAsiaTheme="minorEastAsia" w:cstheme="minorEastAsia"/>
          <w:b/>
          <w:bCs/>
          <w:color w:val="auto"/>
          <w:kern w:val="2"/>
          <w:sz w:val="21"/>
          <w:szCs w:val="21"/>
          <w:highlight w:val="none"/>
          <w:vertAlign w:val="baseline"/>
          <w:lang w:val="en-US" w:eastAsia="zh-CN" w:bidi="ar"/>
        </w:rPr>
        <w:t>）</w:t>
      </w:r>
      <w:r>
        <w:rPr>
          <w:rFonts w:hint="eastAsia" w:asciiTheme="minorEastAsia" w:hAnsiTheme="minorEastAsia" w:eastAsiaTheme="minorEastAsia" w:cstheme="minorEastAsia"/>
          <w:b w:val="0"/>
          <w:bCs w:val="0"/>
          <w:color w:val="auto"/>
          <w:kern w:val="2"/>
          <w:sz w:val="21"/>
          <w:szCs w:val="21"/>
          <w:highlight w:val="none"/>
          <w:vertAlign w:val="baseline"/>
          <w:lang w:val="en-US" w:eastAsia="zh-CN" w:bidi="ar"/>
        </w:rPr>
        <w:t>产品异常反应发生率：提供投标产2024-2025年AEFI监测数据且无异常增高或聚集性事件的得3分，有异常增高或聚集性事件的不得分。</w:t>
      </w:r>
      <w:r>
        <w:rPr>
          <w:rFonts w:hint="eastAsia" w:asciiTheme="minorEastAsia" w:hAnsiTheme="minorEastAsia" w:eastAsiaTheme="minorEastAsia" w:cstheme="minorEastAsia"/>
          <w:color w:val="auto"/>
          <w:sz w:val="21"/>
          <w:szCs w:val="21"/>
          <w:highlight w:val="none"/>
          <w:lang w:val="en-US" w:eastAsia="zh-CN"/>
        </w:rPr>
        <w:t>（满分</w:t>
      </w:r>
      <w:r>
        <w:rPr>
          <w:rFonts w:hint="eastAsia" w:asciiTheme="minorEastAsia" w:hAnsi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en-US" w:eastAsia="zh-CN"/>
        </w:rPr>
        <w:t>分）</w:t>
      </w:r>
    </w:p>
    <w:p>
      <w:pPr>
        <w:pageBreakBefore w:val="0"/>
        <w:kinsoku/>
        <w:wordWrap/>
        <w:overflowPunct/>
        <w:topLinePunct w:val="0"/>
        <w:autoSpaceDE/>
        <w:autoSpaceDN/>
        <w:bidi w:val="0"/>
        <w:spacing w:line="360" w:lineRule="exact"/>
        <w:ind w:firstLine="421"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val="0"/>
          <w:color w:val="auto"/>
          <w:sz w:val="21"/>
          <w:szCs w:val="21"/>
          <w:highlight w:val="none"/>
          <w:lang w:val="en-US" w:eastAsia="zh-CN"/>
        </w:rPr>
        <w:t>3、</w:t>
      </w:r>
      <w:r>
        <w:rPr>
          <w:rFonts w:hint="eastAsia" w:asciiTheme="minorEastAsia" w:hAnsiTheme="minorEastAsia" w:eastAsiaTheme="minorEastAsia" w:cstheme="minorEastAsia"/>
          <w:b/>
          <w:bCs/>
          <w:color w:val="auto"/>
          <w:sz w:val="21"/>
          <w:szCs w:val="21"/>
          <w:highlight w:val="none"/>
        </w:rPr>
        <w:t>商务分</w:t>
      </w:r>
      <w:r>
        <w:rPr>
          <w:rFonts w:hint="eastAsia" w:asciiTheme="minorEastAsia" w:hAnsiTheme="minorEastAsia" w:eastAsiaTheme="minorEastAsia" w:cstheme="minorEastAsia"/>
          <w:b/>
          <w:bCs w:val="0"/>
          <w:color w:val="auto"/>
          <w:spacing w:val="-8"/>
          <w:sz w:val="21"/>
          <w:szCs w:val="21"/>
          <w:highlight w:val="none"/>
        </w:rPr>
        <w:t>…………………………………………………………………………………………</w:t>
      </w:r>
      <w:r>
        <w:rPr>
          <w:rFonts w:hint="eastAsia" w:asciiTheme="minorEastAsia" w:hAnsiTheme="minorEastAsia" w:eastAsiaTheme="minorEastAsia" w:cstheme="minorEastAsia"/>
          <w:b/>
          <w:bCs/>
          <w:color w:val="auto"/>
          <w:sz w:val="21"/>
          <w:szCs w:val="21"/>
          <w:highlight w:val="none"/>
        </w:rPr>
        <w:t>满分</w:t>
      </w:r>
      <w:r>
        <w:rPr>
          <w:rFonts w:hint="eastAsia" w:asciiTheme="minorEastAsia" w:hAnsiTheme="minorEastAsia" w:eastAsiaTheme="minorEastAsia" w:cstheme="minorEastAsia"/>
          <w:b/>
          <w:bCs/>
          <w:color w:val="auto"/>
          <w:sz w:val="21"/>
          <w:szCs w:val="21"/>
          <w:highlight w:val="none"/>
          <w:lang w:val="en-US" w:eastAsia="zh-CN"/>
        </w:rPr>
        <w:t>17</w:t>
      </w:r>
      <w:r>
        <w:rPr>
          <w:rFonts w:hint="eastAsia" w:asciiTheme="minorEastAsia" w:hAnsiTheme="minorEastAsia" w:eastAsiaTheme="minorEastAsia" w:cstheme="minorEastAsia"/>
          <w:b/>
          <w:bCs/>
          <w:color w:val="auto"/>
          <w:sz w:val="21"/>
          <w:szCs w:val="21"/>
          <w:highlight w:val="none"/>
        </w:rPr>
        <w:t>分</w:t>
      </w:r>
    </w:p>
    <w:p>
      <w:pPr>
        <w:pageBreakBefore w:val="0"/>
        <w:widowControl/>
        <w:kinsoku/>
        <w:wordWrap/>
        <w:overflowPunct/>
        <w:topLinePunct w:val="0"/>
        <w:bidi w:val="0"/>
        <w:snapToGrid w:val="0"/>
        <w:spacing w:line="360" w:lineRule="exact"/>
        <w:ind w:firstLine="421"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val="en-US" w:eastAsia="zh-CN"/>
        </w:rPr>
        <w:t>1</w:t>
      </w: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rPr>
        <w:t>售后服务方案（满分1</w:t>
      </w:r>
      <w:r>
        <w:rPr>
          <w:rFonts w:hint="eastAsia" w:asciiTheme="minorEastAsia" w:hAnsiTheme="minorEastAsia" w:eastAsiaTheme="minorEastAsia" w:cstheme="minorEastAsia"/>
          <w:b/>
          <w:bCs/>
          <w:color w:val="auto"/>
          <w:sz w:val="21"/>
          <w:szCs w:val="21"/>
          <w:highlight w:val="none"/>
          <w:lang w:val="en-US" w:eastAsia="zh-CN"/>
        </w:rPr>
        <w:t>2</w:t>
      </w:r>
      <w:r>
        <w:rPr>
          <w:rFonts w:hint="eastAsia" w:asciiTheme="minorEastAsia" w:hAnsiTheme="minorEastAsia" w:eastAsiaTheme="minorEastAsia" w:cstheme="minorEastAsia"/>
          <w:b/>
          <w:bCs/>
          <w:color w:val="auto"/>
          <w:sz w:val="21"/>
          <w:szCs w:val="21"/>
          <w:highlight w:val="none"/>
        </w:rPr>
        <w:t>分）</w:t>
      </w:r>
    </w:p>
    <w:p>
      <w:pPr>
        <w:pageBreakBefore w:val="0"/>
        <w:widowControl/>
        <w:kinsoku/>
        <w:wordWrap/>
        <w:overflowPunct/>
        <w:topLinePunct w:val="0"/>
        <w:bidi w:val="0"/>
        <w:snapToGrid w:val="0"/>
        <w:spacing w:line="360" w:lineRule="exact"/>
        <w:ind w:firstLine="412" w:firstLineChars="200"/>
        <w:textAlignment w:val="auto"/>
        <w:rPr>
          <w:rFonts w:hint="eastAsia" w:asciiTheme="minorEastAsia" w:hAnsiTheme="minorEastAsia" w:eastAsiaTheme="minorEastAsia" w:cstheme="minorEastAsia"/>
          <w:b w:val="0"/>
          <w:bCs/>
          <w:color w:val="auto"/>
          <w:spacing w:val="-2"/>
          <w:sz w:val="21"/>
          <w:szCs w:val="21"/>
          <w:highlight w:val="none"/>
        </w:rPr>
      </w:pPr>
      <w:r>
        <w:rPr>
          <w:rFonts w:hint="eastAsia" w:asciiTheme="minorEastAsia" w:hAnsiTheme="minorEastAsia" w:eastAsiaTheme="minorEastAsia" w:cstheme="minorEastAsia"/>
          <w:b w:val="0"/>
          <w:bCs/>
          <w:color w:val="auto"/>
          <w:spacing w:val="-2"/>
          <w:sz w:val="21"/>
          <w:szCs w:val="21"/>
          <w:highlight w:val="none"/>
        </w:rPr>
        <w:t>根据各投标人提供的相关服务</w:t>
      </w:r>
      <w:r>
        <w:rPr>
          <w:rFonts w:hint="eastAsia" w:asciiTheme="minorEastAsia" w:hAnsiTheme="minorEastAsia" w:eastAsiaTheme="minorEastAsia" w:cstheme="minorEastAsia"/>
          <w:b w:val="0"/>
          <w:bCs/>
          <w:color w:val="auto"/>
          <w:spacing w:val="-2"/>
          <w:sz w:val="21"/>
          <w:szCs w:val="21"/>
          <w:highlight w:val="none"/>
          <w:lang w:eastAsia="zh-CN"/>
        </w:rPr>
        <w:t>方案</w:t>
      </w:r>
      <w:r>
        <w:rPr>
          <w:rFonts w:hint="eastAsia" w:asciiTheme="minorEastAsia" w:hAnsiTheme="minorEastAsia" w:eastAsiaTheme="minorEastAsia" w:cstheme="minorEastAsia"/>
          <w:b w:val="0"/>
          <w:bCs/>
          <w:color w:val="auto"/>
          <w:spacing w:val="-2"/>
          <w:sz w:val="21"/>
          <w:szCs w:val="21"/>
          <w:highlight w:val="none"/>
        </w:rPr>
        <w:t>及采购方</w:t>
      </w:r>
      <w:r>
        <w:rPr>
          <w:rFonts w:hint="eastAsia" w:asciiTheme="minorEastAsia" w:hAnsiTheme="minorEastAsia" w:eastAsiaTheme="minorEastAsia" w:cstheme="minorEastAsia"/>
          <w:b w:val="0"/>
          <w:bCs/>
          <w:color w:val="auto"/>
          <w:spacing w:val="-2"/>
          <w:sz w:val="21"/>
          <w:szCs w:val="21"/>
          <w:highlight w:val="none"/>
          <w:lang w:eastAsia="zh-CN"/>
        </w:rPr>
        <w:t>案</w:t>
      </w:r>
      <w:r>
        <w:rPr>
          <w:rFonts w:hint="eastAsia" w:asciiTheme="minorEastAsia" w:hAnsiTheme="minorEastAsia" w:eastAsiaTheme="minorEastAsia" w:cstheme="minorEastAsia"/>
          <w:b w:val="0"/>
          <w:bCs/>
          <w:color w:val="auto"/>
          <w:spacing w:val="-2"/>
          <w:sz w:val="21"/>
          <w:szCs w:val="21"/>
          <w:highlight w:val="none"/>
        </w:rPr>
        <w:t>进行评审</w:t>
      </w:r>
      <w:r>
        <w:rPr>
          <w:rFonts w:hint="eastAsia" w:asciiTheme="minorEastAsia" w:hAnsiTheme="minorEastAsia" w:eastAsiaTheme="minorEastAsia" w:cstheme="minorEastAsia"/>
          <w:b w:val="0"/>
          <w:bCs/>
          <w:color w:val="auto"/>
          <w:spacing w:val="-2"/>
          <w:sz w:val="21"/>
          <w:szCs w:val="21"/>
          <w:highlight w:val="none"/>
          <w:lang w:eastAsia="zh-CN"/>
        </w:rPr>
        <w:t>（内容包括</w:t>
      </w:r>
      <w:r>
        <w:rPr>
          <w:rFonts w:hint="eastAsia" w:asciiTheme="minorEastAsia" w:hAnsiTheme="minorEastAsia" w:eastAsiaTheme="minorEastAsia" w:cstheme="minorEastAsia"/>
          <w:b w:val="0"/>
          <w:bCs/>
          <w:color w:val="auto"/>
          <w:spacing w:val="-2"/>
          <w:sz w:val="21"/>
          <w:szCs w:val="21"/>
          <w:highlight w:val="none"/>
        </w:rPr>
        <w:t>：①对接、②供货产品质量保障、③产品质量问题处理、④产品运输及保存、⑤供货产品后期使用各环节的质量和使用效果的其他相关服务</w:t>
      </w:r>
      <w:r>
        <w:rPr>
          <w:rFonts w:hint="eastAsia" w:asciiTheme="minorEastAsia" w:hAnsiTheme="minorEastAsia" w:eastAsiaTheme="minorEastAsia" w:cstheme="minorEastAsia"/>
          <w:b w:val="0"/>
          <w:bCs/>
          <w:color w:val="auto"/>
          <w:spacing w:val="-2"/>
          <w:sz w:val="21"/>
          <w:szCs w:val="21"/>
          <w:highlight w:val="none"/>
          <w:lang w:eastAsia="zh-CN"/>
        </w:rPr>
        <w:t>）</w:t>
      </w:r>
    </w:p>
    <w:p>
      <w:pPr>
        <w:pageBreakBefore w:val="0"/>
        <w:widowControl/>
        <w:kinsoku/>
        <w:wordWrap/>
        <w:overflowPunct/>
        <w:topLinePunct w:val="0"/>
        <w:bidi w:val="0"/>
        <w:snapToGrid w:val="0"/>
        <w:spacing w:line="360" w:lineRule="exact"/>
        <w:ind w:firstLine="412" w:firstLineChars="200"/>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一档（</w:t>
      </w:r>
      <w:r>
        <w:rPr>
          <w:rFonts w:hint="eastAsia" w:asciiTheme="minorEastAsia" w:hAnsiTheme="minorEastAsia" w:eastAsiaTheme="minorEastAsia" w:cstheme="minorEastAsia"/>
          <w:color w:val="auto"/>
          <w:spacing w:val="-2"/>
          <w:sz w:val="21"/>
          <w:szCs w:val="21"/>
          <w:highlight w:val="none"/>
          <w:lang w:val="en-US" w:eastAsia="zh-CN"/>
        </w:rPr>
        <w:t>3</w:t>
      </w:r>
      <w:r>
        <w:rPr>
          <w:rFonts w:hint="eastAsia" w:asciiTheme="minorEastAsia" w:hAnsiTheme="minorEastAsia" w:eastAsiaTheme="minorEastAsia" w:cstheme="minorEastAsia"/>
          <w:color w:val="auto"/>
          <w:spacing w:val="-2"/>
          <w:sz w:val="21"/>
          <w:szCs w:val="21"/>
          <w:highlight w:val="none"/>
        </w:rPr>
        <w:t>分）：有售后服务方案，但方案</w:t>
      </w:r>
      <w:r>
        <w:rPr>
          <w:rFonts w:hint="eastAsia" w:asciiTheme="minorEastAsia" w:hAnsiTheme="minorEastAsia" w:eastAsiaTheme="minorEastAsia" w:cstheme="minorEastAsia"/>
          <w:color w:val="auto"/>
          <w:spacing w:val="-2"/>
          <w:sz w:val="21"/>
          <w:szCs w:val="21"/>
          <w:highlight w:val="none"/>
          <w:lang w:eastAsia="zh-CN"/>
        </w:rPr>
        <w:t>内容</w:t>
      </w:r>
      <w:r>
        <w:rPr>
          <w:rFonts w:hint="eastAsia" w:asciiTheme="minorEastAsia" w:hAnsiTheme="minorEastAsia" w:eastAsiaTheme="minorEastAsia" w:cstheme="minorEastAsia"/>
          <w:color w:val="auto"/>
          <w:spacing w:val="-2"/>
          <w:sz w:val="21"/>
          <w:szCs w:val="21"/>
          <w:highlight w:val="none"/>
        </w:rPr>
        <w:t>仅能满足招标文件要求。</w:t>
      </w:r>
    </w:p>
    <w:p>
      <w:pPr>
        <w:pageBreakBefore w:val="0"/>
        <w:widowControl/>
        <w:kinsoku/>
        <w:wordWrap/>
        <w:overflowPunct/>
        <w:topLinePunct w:val="0"/>
        <w:bidi w:val="0"/>
        <w:snapToGrid w:val="0"/>
        <w:spacing w:line="360" w:lineRule="exact"/>
        <w:ind w:firstLine="412" w:firstLineChars="200"/>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二档（</w:t>
      </w:r>
      <w:r>
        <w:rPr>
          <w:rFonts w:hint="eastAsia" w:asciiTheme="minorEastAsia" w:hAnsiTheme="minorEastAsia" w:eastAsiaTheme="minorEastAsia" w:cstheme="minorEastAsia"/>
          <w:color w:val="auto"/>
          <w:spacing w:val="-2"/>
          <w:sz w:val="21"/>
          <w:szCs w:val="21"/>
          <w:highlight w:val="none"/>
          <w:lang w:val="en-US" w:eastAsia="zh-CN"/>
        </w:rPr>
        <w:t>6</w:t>
      </w:r>
      <w:r>
        <w:rPr>
          <w:rFonts w:hint="eastAsia" w:asciiTheme="minorEastAsia" w:hAnsiTheme="minorEastAsia" w:eastAsiaTheme="minorEastAsia" w:cstheme="minorEastAsia"/>
          <w:color w:val="auto"/>
          <w:spacing w:val="-2"/>
          <w:sz w:val="21"/>
          <w:szCs w:val="21"/>
          <w:highlight w:val="none"/>
        </w:rPr>
        <w:t>分）：投标人提供有售前、售中和售后服务方案，方案包含以上5个方面内容，且各项内容具体</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清晰。</w:t>
      </w:r>
    </w:p>
    <w:p>
      <w:pPr>
        <w:pageBreakBefore w:val="0"/>
        <w:widowControl/>
        <w:kinsoku/>
        <w:wordWrap/>
        <w:overflowPunct/>
        <w:topLinePunct w:val="0"/>
        <w:bidi w:val="0"/>
        <w:snapToGrid w:val="0"/>
        <w:spacing w:line="360" w:lineRule="exact"/>
        <w:ind w:firstLine="412" w:firstLineChars="200"/>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三档（</w:t>
      </w:r>
      <w:r>
        <w:rPr>
          <w:rFonts w:hint="eastAsia" w:asciiTheme="minorEastAsia" w:hAnsiTheme="minorEastAsia" w:eastAsiaTheme="minorEastAsia" w:cstheme="minorEastAsia"/>
          <w:color w:val="auto"/>
          <w:spacing w:val="-2"/>
          <w:sz w:val="21"/>
          <w:szCs w:val="21"/>
          <w:highlight w:val="none"/>
          <w:lang w:val="en-US" w:eastAsia="zh-CN"/>
        </w:rPr>
        <w:t>9</w:t>
      </w:r>
      <w:r>
        <w:rPr>
          <w:rFonts w:hint="eastAsia" w:asciiTheme="minorEastAsia" w:hAnsiTheme="minorEastAsia" w:eastAsiaTheme="minorEastAsia" w:cstheme="minorEastAsia"/>
          <w:color w:val="auto"/>
          <w:spacing w:val="-2"/>
          <w:sz w:val="21"/>
          <w:szCs w:val="21"/>
          <w:highlight w:val="none"/>
        </w:rPr>
        <w:t>分）：投标人提供有售前、售中和售后服务方案，方案包含以上5个方面内容，且各项内容具体</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清晰，切合项目实际，具有可执行性。并提供有本项目售后服务总负责人以及具体负责人的姓名、职务、详细的地址和联系方式，并有检测质量分析和质量控制措施，能够保证售后服务的质量及效率。</w:t>
      </w:r>
    </w:p>
    <w:p>
      <w:pPr>
        <w:pageBreakBefore w:val="0"/>
        <w:widowControl/>
        <w:kinsoku/>
        <w:wordWrap/>
        <w:overflowPunct/>
        <w:topLinePunct w:val="0"/>
        <w:bidi w:val="0"/>
        <w:snapToGrid w:val="0"/>
        <w:spacing w:line="360" w:lineRule="exact"/>
        <w:ind w:firstLine="412" w:firstLineChars="200"/>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四档（</w:t>
      </w:r>
      <w:r>
        <w:rPr>
          <w:rFonts w:hint="eastAsia" w:asciiTheme="minorEastAsia" w:hAnsiTheme="minorEastAsia" w:eastAsiaTheme="minorEastAsia" w:cstheme="minorEastAsia"/>
          <w:color w:val="auto"/>
          <w:spacing w:val="-2"/>
          <w:sz w:val="21"/>
          <w:szCs w:val="21"/>
          <w:highlight w:val="none"/>
          <w:lang w:val="en-US" w:eastAsia="zh-CN"/>
        </w:rPr>
        <w:t>12</w:t>
      </w:r>
      <w:r>
        <w:rPr>
          <w:rFonts w:hint="eastAsia" w:asciiTheme="minorEastAsia" w:hAnsiTheme="minorEastAsia" w:eastAsiaTheme="minorEastAsia" w:cstheme="minorEastAsia"/>
          <w:color w:val="auto"/>
          <w:spacing w:val="-2"/>
          <w:sz w:val="21"/>
          <w:szCs w:val="21"/>
          <w:highlight w:val="none"/>
        </w:rPr>
        <w:t>分）：</w:t>
      </w:r>
      <w:r>
        <w:rPr>
          <w:rFonts w:hint="eastAsia" w:asciiTheme="minorEastAsia" w:hAnsiTheme="minorEastAsia" w:eastAsiaTheme="minorEastAsia" w:cstheme="minorEastAsia"/>
          <w:color w:val="auto"/>
          <w:spacing w:val="-2"/>
          <w:sz w:val="21"/>
          <w:szCs w:val="21"/>
          <w:highlight w:val="none"/>
          <w:lang w:eastAsia="zh-CN"/>
        </w:rPr>
        <w:t>在</w:t>
      </w:r>
      <w:r>
        <w:rPr>
          <w:rFonts w:hint="eastAsia" w:asciiTheme="minorEastAsia" w:hAnsiTheme="minorEastAsia" w:eastAsiaTheme="minorEastAsia" w:cstheme="minorEastAsia"/>
          <w:color w:val="auto"/>
          <w:spacing w:val="-2"/>
          <w:sz w:val="21"/>
          <w:szCs w:val="21"/>
          <w:highlight w:val="none"/>
        </w:rPr>
        <w:t>满足三档的基础上，</w:t>
      </w:r>
      <w:r>
        <w:rPr>
          <w:rFonts w:hint="eastAsia" w:asciiTheme="minorEastAsia" w:hAnsiTheme="minorEastAsia" w:eastAsiaTheme="minorEastAsia" w:cstheme="minorEastAsia"/>
          <w:color w:val="auto"/>
          <w:spacing w:val="-2"/>
          <w:sz w:val="21"/>
          <w:szCs w:val="21"/>
          <w:highlight w:val="none"/>
          <w:lang w:val="en-US" w:eastAsia="zh-CN"/>
        </w:rPr>
        <w:t>投标人承诺设立专门机构，配备专职人员，主动收集、跟踪分析疑似预防接种反应。提供相关人员明细表及详细分工安排（格式自拟，须明确人数）。</w:t>
      </w:r>
    </w:p>
    <w:p>
      <w:pPr>
        <w:pageBreakBefore w:val="0"/>
        <w:kinsoku/>
        <w:wordWrap/>
        <w:overflowPunct/>
        <w:topLinePunct w:val="0"/>
        <w:autoSpaceDE/>
        <w:autoSpaceDN/>
        <w:bidi w:val="0"/>
        <w:spacing w:line="360" w:lineRule="exact"/>
        <w:ind w:firstLine="421" w:firstLineChars="200"/>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bCs/>
          <w:color w:val="auto"/>
          <w:sz w:val="21"/>
          <w:szCs w:val="21"/>
          <w:highlight w:val="none"/>
        </w:rPr>
        <w:t>注：方案</w:t>
      </w:r>
      <w:r>
        <w:rPr>
          <w:rFonts w:hint="eastAsia" w:asciiTheme="minorEastAsia" w:hAnsiTheme="minorEastAsia" w:eastAsiaTheme="minorEastAsia" w:cstheme="minorEastAsia"/>
          <w:b/>
          <w:color w:val="auto"/>
          <w:sz w:val="21"/>
          <w:szCs w:val="21"/>
          <w:highlight w:val="none"/>
        </w:rPr>
        <w:t>不符合最低入档条件的按0分计分。</w:t>
      </w:r>
    </w:p>
    <w:p>
      <w:pPr>
        <w:pStyle w:val="2"/>
        <w:pageBreakBefore w:val="0"/>
        <w:kinsoku/>
        <w:wordWrap/>
        <w:overflowPunct/>
        <w:topLinePunct w:val="0"/>
        <w:bidi w:val="0"/>
        <w:spacing w:before="0" w:after="0" w:line="360" w:lineRule="exact"/>
        <w:ind w:firstLine="421"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lang w:val="en-US" w:eastAsia="zh-CN"/>
        </w:rPr>
        <w:t>2</w:t>
      </w:r>
      <w:r>
        <w:rPr>
          <w:rFonts w:hint="eastAsia" w:asciiTheme="minorEastAsia" w:hAnsiTheme="minorEastAsia" w:eastAsiaTheme="minorEastAsia" w:cstheme="minorEastAsia"/>
          <w:b/>
          <w:bCs/>
          <w:color w:val="auto"/>
          <w:sz w:val="21"/>
          <w:szCs w:val="21"/>
          <w:highlight w:val="none"/>
          <w:lang w:eastAsia="zh-CN"/>
        </w:rPr>
        <w:t>）</w:t>
      </w:r>
      <w:r>
        <w:rPr>
          <w:rFonts w:hint="eastAsia" w:asciiTheme="minorEastAsia" w:hAnsiTheme="minorEastAsia" w:eastAsiaTheme="minorEastAsia" w:cstheme="minorEastAsia"/>
          <w:b/>
          <w:bCs/>
          <w:color w:val="auto"/>
          <w:sz w:val="21"/>
          <w:szCs w:val="21"/>
          <w:highlight w:val="none"/>
        </w:rPr>
        <w:t>信誉业绩（满分</w:t>
      </w:r>
      <w:r>
        <w:rPr>
          <w:rFonts w:hint="eastAsia" w:asciiTheme="minorEastAsia" w:hAnsiTheme="minorEastAsia" w:eastAsiaTheme="minorEastAsia" w:cstheme="minorEastAsia"/>
          <w:b/>
          <w:bCs/>
          <w:color w:val="auto"/>
          <w:sz w:val="21"/>
          <w:szCs w:val="21"/>
          <w:highlight w:val="none"/>
          <w:lang w:val="en-US" w:eastAsia="zh-CN"/>
        </w:rPr>
        <w:t>5</w:t>
      </w:r>
      <w:r>
        <w:rPr>
          <w:rFonts w:hint="eastAsia" w:asciiTheme="minorEastAsia" w:hAnsiTheme="minorEastAsia" w:eastAsiaTheme="minorEastAsia" w:cstheme="minorEastAsia"/>
          <w:b/>
          <w:bCs/>
          <w:color w:val="auto"/>
          <w:sz w:val="21"/>
          <w:szCs w:val="21"/>
          <w:highlight w:val="none"/>
        </w:rPr>
        <w:t>分）</w:t>
      </w:r>
    </w:p>
    <w:p>
      <w:pPr>
        <w:pageBreakBefore w:val="0"/>
        <w:kinsoku/>
        <w:wordWrap/>
        <w:overflowPunct/>
        <w:topLinePunct w:val="0"/>
        <w:bidi w:val="0"/>
        <w:spacing w:line="36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color w:val="auto"/>
          <w:sz w:val="21"/>
          <w:szCs w:val="21"/>
          <w:highlight w:val="none"/>
          <w:lang w:eastAsia="zh-CN"/>
        </w:rPr>
        <w:t>或厂家</w:t>
      </w:r>
      <w:r>
        <w:rPr>
          <w:rFonts w:hint="eastAsia" w:asciiTheme="minorEastAsia" w:hAnsiTheme="minorEastAsia" w:eastAsiaTheme="minorEastAsia" w:cstheme="minorEastAsia"/>
          <w:color w:val="auto"/>
          <w:sz w:val="21"/>
          <w:szCs w:val="21"/>
          <w:highlight w:val="none"/>
        </w:rPr>
        <w:t>自202</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年1月1日（以合同签订日期为准）以来完成的本项目所投分标投标产品销售业绩，每提供一个项目业绩的得1分，满分</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pPr>
        <w:pageBreakBefore w:val="0"/>
        <w:kinsoku/>
        <w:wordWrap/>
        <w:overflowPunct/>
        <w:topLinePunct w:val="0"/>
        <w:bidi w:val="0"/>
        <w:spacing w:line="360" w:lineRule="exact"/>
        <w:ind w:firstLine="421"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b/>
          <w:color w:val="auto"/>
          <w:sz w:val="21"/>
          <w:szCs w:val="21"/>
          <w:highlight w:val="none"/>
        </w:rPr>
        <w:t>注：投标文件中</w:t>
      </w:r>
      <w:r>
        <w:rPr>
          <w:rFonts w:hint="eastAsia" w:asciiTheme="minorEastAsia" w:hAnsiTheme="minorEastAsia" w:eastAsiaTheme="minorEastAsia" w:cstheme="minorEastAsia"/>
          <w:b/>
          <w:color w:val="auto"/>
          <w:sz w:val="21"/>
          <w:szCs w:val="21"/>
          <w:highlight w:val="none"/>
          <w:lang w:eastAsia="zh-CN"/>
        </w:rPr>
        <w:t>须</w:t>
      </w:r>
      <w:r>
        <w:rPr>
          <w:rFonts w:hint="eastAsia" w:asciiTheme="minorEastAsia" w:hAnsiTheme="minorEastAsia" w:eastAsiaTheme="minorEastAsia" w:cstheme="minorEastAsia"/>
          <w:b/>
          <w:color w:val="auto"/>
          <w:sz w:val="21"/>
          <w:szCs w:val="21"/>
          <w:highlight w:val="none"/>
        </w:rPr>
        <w:t>提供采购合同复印件</w:t>
      </w:r>
      <w:r>
        <w:rPr>
          <w:rFonts w:hint="eastAsia" w:asciiTheme="minorEastAsia" w:hAnsiTheme="minorEastAsia" w:eastAsiaTheme="minorEastAsia" w:cstheme="minorEastAsia"/>
          <w:b/>
          <w:color w:val="auto"/>
          <w:sz w:val="21"/>
          <w:szCs w:val="21"/>
          <w:highlight w:val="none"/>
          <w:lang w:val="en-US" w:eastAsia="zh-CN"/>
        </w:rPr>
        <w:t>以及有效的单位货物销售发票复印件</w:t>
      </w:r>
      <w:r>
        <w:rPr>
          <w:rFonts w:hint="eastAsia" w:asciiTheme="minorEastAsia" w:hAnsiTheme="minorEastAsia" w:eastAsiaTheme="minorEastAsia" w:cstheme="minorEastAsia"/>
          <w:b/>
          <w:color w:val="auto"/>
          <w:sz w:val="21"/>
          <w:szCs w:val="21"/>
          <w:highlight w:val="none"/>
        </w:rPr>
        <w:t>，未体现关键信息（关键信息至少包括采购单位</w:t>
      </w:r>
      <w:r>
        <w:rPr>
          <w:rFonts w:hint="eastAsia" w:asciiTheme="minorEastAsia" w:hAnsiTheme="minorEastAsia" w:eastAsiaTheme="minorEastAsia" w:cstheme="minorEastAsia"/>
          <w:b/>
          <w:color w:val="auto"/>
          <w:sz w:val="21"/>
          <w:szCs w:val="21"/>
          <w:highlight w:val="none"/>
          <w:lang w:eastAsia="zh-CN"/>
        </w:rPr>
        <w:t>名称</w:t>
      </w:r>
      <w:r>
        <w:rPr>
          <w:rFonts w:hint="eastAsia" w:asciiTheme="minorEastAsia" w:hAnsiTheme="minorEastAsia" w:eastAsiaTheme="minorEastAsia" w:cstheme="minorEastAsia"/>
          <w:b/>
          <w:color w:val="auto"/>
          <w:sz w:val="21"/>
          <w:szCs w:val="21"/>
          <w:highlight w:val="none"/>
        </w:rPr>
        <w:t>、项目名称、合同签订时间</w:t>
      </w:r>
      <w:bookmarkStart w:id="9" w:name="OLE_LINK2"/>
      <w:r>
        <w:rPr>
          <w:rFonts w:hint="eastAsia" w:asciiTheme="minorEastAsia" w:hAnsiTheme="minorEastAsia" w:eastAsiaTheme="minorEastAsia" w:cstheme="minorEastAsia"/>
          <w:b/>
          <w:color w:val="auto"/>
          <w:sz w:val="21"/>
          <w:szCs w:val="21"/>
          <w:highlight w:val="none"/>
          <w:lang w:eastAsia="zh-CN"/>
        </w:rPr>
        <w:t>、</w:t>
      </w:r>
      <w:r>
        <w:rPr>
          <w:rFonts w:hint="eastAsia" w:asciiTheme="minorEastAsia" w:hAnsiTheme="minorEastAsia" w:eastAsiaTheme="minorEastAsia" w:cstheme="minorEastAsia"/>
          <w:b/>
          <w:color w:val="auto"/>
          <w:sz w:val="21"/>
          <w:szCs w:val="21"/>
          <w:highlight w:val="none"/>
          <w:lang w:val="en-US" w:eastAsia="zh-CN"/>
        </w:rPr>
        <w:t>甲乙双方盖章页</w:t>
      </w:r>
      <w:bookmarkEnd w:id="9"/>
      <w:r>
        <w:rPr>
          <w:rFonts w:hint="eastAsia" w:asciiTheme="minorEastAsia" w:hAnsiTheme="minorEastAsia" w:eastAsiaTheme="minorEastAsia" w:cstheme="minorEastAsia"/>
          <w:b/>
          <w:color w:val="auto"/>
          <w:sz w:val="21"/>
          <w:szCs w:val="21"/>
          <w:highlight w:val="none"/>
        </w:rPr>
        <w:t>）的合同业绩不</w:t>
      </w:r>
      <w:r>
        <w:rPr>
          <w:rFonts w:hint="eastAsia" w:asciiTheme="minorEastAsia" w:hAnsiTheme="minorEastAsia" w:eastAsiaTheme="minorEastAsia" w:cstheme="minorEastAsia"/>
          <w:b/>
          <w:color w:val="auto"/>
          <w:sz w:val="21"/>
          <w:szCs w:val="21"/>
          <w:highlight w:val="none"/>
          <w:lang w:eastAsia="zh-CN"/>
        </w:rPr>
        <w:t>得分。</w:t>
      </w:r>
    </w:p>
    <w:p>
      <w:pPr>
        <w:pageBreakBefore w:val="0"/>
        <w:kinsoku/>
        <w:wordWrap/>
        <w:overflowPunct/>
        <w:topLinePunct w:val="0"/>
        <w:autoSpaceDE/>
        <w:autoSpaceDN/>
        <w:bidi w:val="0"/>
        <w:spacing w:line="360" w:lineRule="exact"/>
        <w:ind w:firstLine="421"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（三）总得分=1+2+3</w:t>
      </w:r>
    </w:p>
    <w:p>
      <w:pPr>
        <w:pageBreakBefore w:val="0"/>
        <w:kinsoku/>
        <w:wordWrap/>
        <w:overflowPunct/>
        <w:topLinePunct w:val="0"/>
        <w:autoSpaceDE/>
        <w:autoSpaceDN/>
        <w:bidi w:val="0"/>
        <w:spacing w:line="360" w:lineRule="exact"/>
        <w:ind w:firstLine="421" w:firstLineChars="200"/>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三、中标候选人推荐原则</w:t>
      </w:r>
    </w:p>
    <w:p>
      <w:pPr>
        <w:pStyle w:val="11"/>
        <w:pageBreakBefore w:val="0"/>
        <w:kinsoku/>
        <w:wordWrap/>
        <w:overflowPunct/>
        <w:topLinePunct w:val="0"/>
        <w:bidi w:val="0"/>
        <w:spacing w:before="0" w:after="0" w:line="360" w:lineRule="exact"/>
        <w:ind w:firstLine="421" w:firstLineChars="200"/>
        <w:jc w:val="left"/>
        <w:textAlignment w:val="auto"/>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一）本项目投标人可选择其中一个分标参与投标，也可选择多个分标参与投标，选择多个分标参与投标的，一个投标人只能中分标1、分标2、分标3的其中一个分标（即分标1、分标2、分标3的投标人不能重复中标，只能成为其中一个分标的中标人）；在遵循前述原则的基础上，分标1、分标2、分标3的第一中标候选人可以兼中分标4。</w:t>
      </w:r>
    </w:p>
    <w:p>
      <w:pPr>
        <w:pStyle w:val="11"/>
        <w:pageBreakBefore w:val="0"/>
        <w:kinsoku/>
        <w:wordWrap/>
        <w:overflowPunct/>
        <w:topLinePunct w:val="0"/>
        <w:bidi w:val="0"/>
        <w:spacing w:before="0" w:after="0" w:line="360" w:lineRule="exact"/>
        <w:ind w:firstLine="421" w:firstLineChars="200"/>
        <w:jc w:val="left"/>
        <w:textAlignment w:val="auto"/>
        <w:rPr>
          <w:rFonts w:hint="eastAsia" w:asciiTheme="minorEastAsia" w:hAnsiTheme="minorEastAsia" w:eastAsiaTheme="minorEastAsia" w:cstheme="minorEastAsia"/>
          <w:b/>
          <w:bCs/>
          <w:color w:val="auto"/>
          <w:kern w:val="2"/>
          <w:sz w:val="21"/>
          <w:szCs w:val="21"/>
          <w:highlight w:val="none"/>
          <w:lang w:val="en-US" w:eastAsia="zh-CN" w:bidi="ar-SA"/>
        </w:rPr>
      </w:pPr>
      <w:r>
        <w:rPr>
          <w:rFonts w:hint="eastAsia" w:asciiTheme="minorEastAsia" w:hAnsiTheme="minorEastAsia" w:eastAsiaTheme="minorEastAsia" w:cstheme="minorEastAsia"/>
          <w:b/>
          <w:bCs/>
          <w:color w:val="auto"/>
          <w:kern w:val="2"/>
          <w:sz w:val="21"/>
          <w:szCs w:val="21"/>
          <w:highlight w:val="none"/>
          <w:lang w:val="en-US" w:eastAsia="zh-CN" w:bidi="ar-SA"/>
        </w:rPr>
        <w:t>由评标委员会根据分标1至分标4各投标人的综合得分由高到低进行排名，并按分标1→分标2→分标3→分标4的顺序推荐各分标的第一中标候选人。</w:t>
      </w:r>
    </w:p>
    <w:p>
      <w:pPr>
        <w:pageBreakBefore w:val="0"/>
        <w:kinsoku/>
        <w:wordWrap/>
        <w:overflowPunct/>
        <w:topLinePunct w:val="0"/>
        <w:autoSpaceDE/>
        <w:autoSpaceDN/>
        <w:bidi w:val="0"/>
        <w:spacing w:line="360" w:lineRule="exact"/>
        <w:ind w:firstLine="420" w:firstLineChars="200"/>
        <w:jc w:val="left"/>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w:t>
      </w:r>
      <w:r>
        <w:rPr>
          <w:rFonts w:hint="eastAsia" w:asciiTheme="minorEastAsia" w:hAnsiTheme="minorEastAsia" w:eastAsiaTheme="minorEastAsia" w:cstheme="minorEastAsia"/>
          <w:bCs/>
          <w:color w:val="auto"/>
          <w:sz w:val="21"/>
          <w:szCs w:val="21"/>
          <w:highlight w:val="none"/>
          <w:lang w:eastAsia="zh-CN"/>
        </w:rPr>
        <w:t>二</w:t>
      </w:r>
      <w:r>
        <w:rPr>
          <w:rFonts w:hint="eastAsia" w:asciiTheme="minorEastAsia" w:hAnsiTheme="minorEastAsia" w:eastAsiaTheme="minorEastAsia" w:cstheme="minorEastAsia"/>
          <w:bCs/>
          <w:color w:val="auto"/>
          <w:sz w:val="21"/>
          <w:szCs w:val="21"/>
          <w:highlight w:val="none"/>
        </w:rPr>
        <w:t>）评标委员会将根据得分由高到低排列次序（得分相同时，以评标价由低到高顺序排列；得分相同且评标价相同的，按技术指标优劣顺序排列）并推荐中标候选</w:t>
      </w:r>
      <w:r>
        <w:rPr>
          <w:rFonts w:hint="eastAsia" w:asciiTheme="minorEastAsia" w:hAnsiTheme="minorEastAsia" w:cstheme="minorEastAsia"/>
          <w:bCs/>
          <w:color w:val="auto"/>
          <w:sz w:val="21"/>
          <w:szCs w:val="21"/>
          <w:highlight w:val="none"/>
          <w:lang w:eastAsia="zh-CN"/>
        </w:rPr>
        <w:t>人</w:t>
      </w:r>
      <w:r>
        <w:rPr>
          <w:rFonts w:hint="eastAsia" w:asciiTheme="minorEastAsia" w:hAnsiTheme="minorEastAsia" w:eastAsiaTheme="minorEastAsia" w:cstheme="minorEastAsia"/>
          <w:bCs/>
          <w:color w:val="auto"/>
          <w:sz w:val="21"/>
          <w:szCs w:val="21"/>
          <w:highlight w:val="none"/>
        </w:rPr>
        <w:t>。采购人应当确定评审委员会推荐排名第一的中标候选人为中标人。</w:t>
      </w:r>
    </w:p>
    <w:p>
      <w:pPr>
        <w:pageBreakBefore w:val="0"/>
        <w:kinsoku/>
        <w:wordWrap/>
        <w:overflowPunct/>
        <w:topLinePunct w:val="0"/>
        <w:autoSpaceDE/>
        <w:autoSpaceDN/>
        <w:bidi w:val="0"/>
        <w:spacing w:line="360" w:lineRule="exact"/>
        <w:ind w:firstLine="420" w:firstLineChars="200"/>
        <w:jc w:val="left"/>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w:t>
      </w:r>
      <w:r>
        <w:rPr>
          <w:rFonts w:hint="eastAsia" w:asciiTheme="minorEastAsia" w:hAnsiTheme="minorEastAsia" w:eastAsiaTheme="minorEastAsia" w:cstheme="minorEastAsia"/>
          <w:bCs/>
          <w:color w:val="auto"/>
          <w:sz w:val="21"/>
          <w:szCs w:val="21"/>
          <w:highlight w:val="none"/>
          <w:lang w:eastAsia="zh-CN"/>
        </w:rPr>
        <w:t>三</w:t>
      </w:r>
      <w:r>
        <w:rPr>
          <w:rFonts w:hint="eastAsia" w:asciiTheme="minorEastAsia" w:hAnsiTheme="minorEastAsia" w:eastAsiaTheme="minorEastAsia" w:cstheme="minorEastAsia"/>
          <w:bCs/>
          <w:color w:val="auto"/>
          <w:sz w:val="21"/>
          <w:szCs w:val="21"/>
          <w:highlight w:val="none"/>
        </w:rPr>
        <w:t>）排名第一的中标候选人放弃中标、拒绝签订政府采购合同的，采购人可以确定排名第二的中标候选人为中标人。排名第二的中标候选人因前款规定的同样原因不能签订合同的，采购人可以确定排名第三的中标候选人为中标人，其余以此类推。</w:t>
      </w:r>
    </w:p>
    <w:p>
      <w:pPr>
        <w:pStyle w:val="2"/>
        <w:rPr>
          <w:rFonts w:hint="eastAsia"/>
          <w:color w:val="auto"/>
          <w:highlight w:val="none"/>
        </w:rPr>
      </w:pPr>
    </w:p>
    <w:p>
      <w:pPr>
        <w:spacing w:before="120" w:after="120" w:line="420" w:lineRule="exact"/>
        <w:ind w:firstLine="642" w:firstLineChars="200"/>
        <w:jc w:val="left"/>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pPr>
        <w:spacing w:line="420" w:lineRule="exact"/>
        <w:ind w:firstLine="642" w:firstLineChars="200"/>
        <w:jc w:val="left"/>
        <w:rPr>
          <w:rFonts w:hint="eastAsia" w:ascii="宋体" w:hAnsi="宋体" w:eastAsia="宋体" w:cs="宋体"/>
          <w:bCs/>
          <w:color w:val="auto"/>
          <w:sz w:val="32"/>
          <w:szCs w:val="32"/>
          <w:highlight w:val="none"/>
        </w:rPr>
      </w:pPr>
      <w:r>
        <w:rPr>
          <w:rFonts w:hint="eastAsia" w:ascii="宋体" w:hAnsi="宋体" w:eastAsia="宋体" w:cs="宋体"/>
          <w:b/>
          <w:color w:val="auto"/>
          <w:sz w:val="32"/>
          <w:szCs w:val="32"/>
          <w:highlight w:val="none"/>
        </w:rPr>
        <w:t xml:space="preserve">                 </w:t>
      </w:r>
    </w:p>
    <w:p>
      <w:pPr>
        <w:pStyle w:val="19"/>
        <w:ind w:firstLine="442"/>
        <w:rPr>
          <w:rFonts w:hint="eastAsia" w:ascii="宋体" w:hAnsi="宋体" w:eastAsia="宋体" w:cs="宋体"/>
          <w:b/>
          <w:color w:val="auto"/>
          <w:sz w:val="32"/>
          <w:szCs w:val="32"/>
          <w:highlight w:val="none"/>
        </w:rPr>
      </w:pPr>
    </w:p>
    <w:p>
      <w:pPr>
        <w:pStyle w:val="19"/>
        <w:ind w:firstLine="442"/>
        <w:rPr>
          <w:rFonts w:hint="eastAsia" w:ascii="宋体" w:hAnsi="宋体" w:eastAsia="宋体" w:cs="宋体"/>
          <w:b/>
          <w:color w:val="auto"/>
          <w:sz w:val="32"/>
          <w:szCs w:val="32"/>
          <w:highlight w:val="none"/>
        </w:rPr>
      </w:pPr>
    </w:p>
    <w:p>
      <w:pPr>
        <w:rPr>
          <w:rFonts w:hint="eastAsia" w:ascii="宋体" w:hAnsi="宋体" w:eastAsia="宋体" w:cs="宋体"/>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5"/>
        <w:rPr>
          <w:rFonts w:hint="eastAsia" w:ascii="宋体" w:hAnsi="宋体" w:eastAsia="宋体" w:cs="宋体"/>
          <w:b/>
          <w:color w:val="auto"/>
          <w:sz w:val="32"/>
          <w:szCs w:val="32"/>
          <w:highlight w:val="none"/>
        </w:rPr>
      </w:pPr>
    </w:p>
    <w:p>
      <w:pPr>
        <w:rPr>
          <w:rFonts w:hint="eastAsia" w:ascii="宋体" w:hAnsi="宋体" w:eastAsia="宋体" w:cs="宋体"/>
          <w:b/>
          <w:color w:val="auto"/>
          <w:sz w:val="32"/>
          <w:szCs w:val="32"/>
          <w:highlight w:val="none"/>
        </w:rPr>
      </w:pPr>
    </w:p>
    <w:p>
      <w:pPr>
        <w:pStyle w:val="19"/>
        <w:ind w:firstLine="442"/>
        <w:rPr>
          <w:rFonts w:hint="eastAsia" w:ascii="宋体" w:hAnsi="宋体" w:eastAsia="宋体" w:cs="宋体"/>
          <w:b/>
          <w:color w:val="auto"/>
          <w:sz w:val="32"/>
          <w:szCs w:val="32"/>
          <w:highlight w:val="none"/>
        </w:rPr>
      </w:pPr>
    </w:p>
    <w:p>
      <w:pPr>
        <w:pStyle w:val="19"/>
        <w:ind w:firstLine="442"/>
        <w:rPr>
          <w:rFonts w:hint="eastAsia" w:ascii="宋体" w:hAnsi="宋体" w:eastAsia="宋体" w:cs="宋体"/>
          <w:b/>
          <w:color w:val="auto"/>
          <w:sz w:val="32"/>
          <w:szCs w:val="32"/>
          <w:highlight w:val="none"/>
        </w:rPr>
      </w:pPr>
    </w:p>
    <w:p>
      <w:pPr>
        <w:pStyle w:val="19"/>
        <w:ind w:firstLine="442"/>
        <w:rPr>
          <w:rFonts w:hint="eastAsia" w:ascii="宋体" w:hAnsi="宋体" w:eastAsia="宋体" w:cs="宋体"/>
          <w:b/>
          <w:color w:val="auto"/>
          <w:sz w:val="32"/>
          <w:szCs w:val="32"/>
          <w:highlight w:val="none"/>
        </w:rPr>
      </w:pPr>
    </w:p>
    <w:p>
      <w:pPr>
        <w:rPr>
          <w:rFonts w:hint="eastAsia" w:ascii="宋体" w:hAnsi="宋体" w:eastAsia="宋体" w:cs="宋体"/>
          <w:b/>
          <w:color w:val="auto"/>
          <w:sz w:val="48"/>
          <w:szCs w:val="48"/>
          <w:highlight w:val="none"/>
        </w:rPr>
      </w:pPr>
    </w:p>
    <w:p>
      <w:pPr>
        <w:pStyle w:val="19"/>
        <w:ind w:firstLine="240"/>
        <w:rPr>
          <w:rFonts w:hint="eastAsia" w:ascii="宋体" w:hAnsi="宋体" w:eastAsia="宋体" w:cs="宋体"/>
          <w:color w:val="auto"/>
          <w:sz w:val="48"/>
          <w:szCs w:val="48"/>
          <w:highlight w:val="none"/>
        </w:rPr>
      </w:pPr>
    </w:p>
    <w:p>
      <w:pPr>
        <w:jc w:val="center"/>
        <w:rPr>
          <w:rFonts w:hint="eastAsia" w:ascii="宋体" w:hAnsi="宋体" w:eastAsia="宋体" w:cs="宋体"/>
          <w:b/>
          <w:dstrike/>
          <w:color w:val="auto"/>
          <w:sz w:val="48"/>
          <w:szCs w:val="48"/>
          <w:highlight w:val="none"/>
        </w:rPr>
      </w:pPr>
      <w:r>
        <w:rPr>
          <w:rFonts w:hint="eastAsia" w:ascii="宋体" w:hAnsi="宋体" w:eastAsia="宋体" w:cs="宋体"/>
          <w:b/>
          <w:color w:val="auto"/>
          <w:sz w:val="48"/>
          <w:szCs w:val="48"/>
          <w:highlight w:val="none"/>
        </w:rPr>
        <w:t>第五章    政府采购合同主要条款</w:t>
      </w:r>
    </w:p>
    <w:p>
      <w:pPr>
        <w:pStyle w:val="14"/>
        <w:snapToGrid w:val="0"/>
        <w:spacing w:before="120" w:after="120"/>
        <w:jc w:val="center"/>
        <w:outlineLvl w:val="0"/>
        <w:rPr>
          <w:rFonts w:hint="eastAsia" w:ascii="宋体" w:hAnsi="宋体" w:eastAsia="宋体" w:cs="宋体"/>
          <w:b/>
          <w:color w:val="auto"/>
          <w:sz w:val="48"/>
          <w:szCs w:val="48"/>
          <w:highlight w:val="none"/>
        </w:rPr>
      </w:pPr>
    </w:p>
    <w:p>
      <w:pPr>
        <w:pStyle w:val="14"/>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pPr>
        <w:pStyle w:val="14"/>
        <w:jc w:val="center"/>
        <w:rPr>
          <w:rFonts w:hint="eastAsia" w:ascii="宋体" w:hAnsi="宋体" w:eastAsia="宋体" w:cs="宋体"/>
          <w:color w:val="auto"/>
          <w:sz w:val="32"/>
          <w:szCs w:val="32"/>
          <w:highlight w:val="none"/>
        </w:rPr>
      </w:pPr>
    </w:p>
    <w:p>
      <w:pPr>
        <w:pStyle w:val="6"/>
        <w:rPr>
          <w:rFonts w:hint="eastAsia" w:ascii="宋体" w:hAnsi="宋体" w:eastAsia="宋体" w:cs="宋体"/>
          <w:color w:val="auto"/>
          <w:sz w:val="32"/>
          <w:szCs w:val="32"/>
          <w:highlight w:val="none"/>
        </w:rPr>
      </w:pPr>
    </w:p>
    <w:p>
      <w:pPr>
        <w:rPr>
          <w:rFonts w:hint="eastAsia"/>
          <w:color w:val="auto"/>
          <w:highlight w:val="none"/>
        </w:rPr>
      </w:pPr>
    </w:p>
    <w:p>
      <w:pPr>
        <w:pStyle w:val="14"/>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广西壮族自治区政府采购合同</w:t>
      </w:r>
    </w:p>
    <w:p>
      <w:pPr>
        <w:pStyle w:val="14"/>
        <w:rPr>
          <w:rFonts w:hint="eastAsia" w:ascii="宋体" w:hAnsi="宋体" w:eastAsia="宋体" w:cs="宋体"/>
          <w:color w:val="auto"/>
          <w:sz w:val="32"/>
          <w:szCs w:val="32"/>
          <w:highlight w:val="none"/>
        </w:rPr>
      </w:pPr>
    </w:p>
    <w:p>
      <w:pPr>
        <w:pStyle w:val="14"/>
        <w:rPr>
          <w:rFonts w:hint="eastAsia" w:ascii="宋体" w:hAnsi="宋体" w:eastAsia="宋体" w:cs="宋体"/>
          <w:color w:val="auto"/>
          <w:sz w:val="32"/>
          <w:szCs w:val="32"/>
          <w:highlight w:val="none"/>
        </w:rPr>
      </w:pPr>
    </w:p>
    <w:p>
      <w:pPr>
        <w:pStyle w:val="6"/>
        <w:rPr>
          <w:rFonts w:hint="eastAsia"/>
          <w:color w:val="auto"/>
          <w:highlight w:val="none"/>
        </w:rPr>
      </w:pPr>
    </w:p>
    <w:p>
      <w:pPr>
        <w:pStyle w:val="14"/>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合同名称：</w:t>
      </w:r>
      <w:r>
        <w:rPr>
          <w:rFonts w:hint="eastAsia" w:ascii="宋体" w:hAnsi="宋体" w:eastAsia="宋体" w:cs="宋体"/>
          <w:b/>
          <w:color w:val="auto"/>
          <w:sz w:val="30"/>
          <w:szCs w:val="30"/>
          <w:highlight w:val="none"/>
          <w:u w:val="single"/>
        </w:rPr>
        <w:t xml:space="preserve">                            </w:t>
      </w:r>
    </w:p>
    <w:p>
      <w:pPr>
        <w:pStyle w:val="14"/>
        <w:spacing w:line="480" w:lineRule="auto"/>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合同编号：</w:t>
      </w:r>
      <w:r>
        <w:rPr>
          <w:rFonts w:hint="eastAsia" w:ascii="宋体" w:hAnsi="宋体" w:eastAsia="宋体" w:cs="宋体"/>
          <w:b/>
          <w:color w:val="auto"/>
          <w:sz w:val="30"/>
          <w:szCs w:val="30"/>
          <w:highlight w:val="none"/>
          <w:u w:val="single"/>
        </w:rPr>
        <w:t xml:space="preserve">                            </w:t>
      </w:r>
    </w:p>
    <w:p>
      <w:pPr>
        <w:pStyle w:val="14"/>
        <w:spacing w:line="480" w:lineRule="auto"/>
        <w:jc w:val="center"/>
        <w:rPr>
          <w:rFonts w:hint="eastAsia" w:ascii="宋体" w:hAnsi="宋体" w:eastAsia="宋体" w:cs="宋体"/>
          <w:color w:val="auto"/>
          <w:sz w:val="30"/>
          <w:szCs w:val="30"/>
          <w:highlight w:val="none"/>
        </w:rPr>
      </w:pPr>
    </w:p>
    <w:p>
      <w:pPr>
        <w:pStyle w:val="14"/>
        <w:spacing w:after="156" w:afterLines="50" w:line="480" w:lineRule="auto"/>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采购单位（甲方）</w:t>
      </w:r>
      <w:r>
        <w:rPr>
          <w:rFonts w:hint="eastAsia" w:ascii="宋体" w:hAnsi="宋体" w:eastAsia="宋体" w:cs="宋体"/>
          <w:b/>
          <w:color w:val="auto"/>
          <w:sz w:val="30"/>
          <w:szCs w:val="30"/>
          <w:highlight w:val="none"/>
          <w:u w:val="single"/>
        </w:rPr>
        <w:t xml:space="preserve">                      </w:t>
      </w:r>
    </w:p>
    <w:p>
      <w:pPr>
        <w:pStyle w:val="14"/>
        <w:spacing w:line="480" w:lineRule="auto"/>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住   所：</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pPr>
        <w:pStyle w:val="14"/>
        <w:spacing w:line="480" w:lineRule="auto"/>
        <w:ind w:firstLine="1490" w:firstLineChars="495"/>
        <w:rPr>
          <w:rFonts w:hint="eastAsia" w:ascii="宋体" w:hAnsi="宋体" w:eastAsia="宋体" w:cs="宋体"/>
          <w:b/>
          <w:color w:val="auto"/>
          <w:sz w:val="30"/>
          <w:szCs w:val="30"/>
          <w:highlight w:val="none"/>
        </w:rPr>
      </w:pPr>
    </w:p>
    <w:p>
      <w:pPr>
        <w:pStyle w:val="14"/>
        <w:spacing w:after="156" w:afterLines="50" w:line="480" w:lineRule="auto"/>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供 应 商（乙方）</w:t>
      </w:r>
      <w:r>
        <w:rPr>
          <w:rFonts w:hint="eastAsia" w:ascii="宋体" w:hAnsi="宋体" w:eastAsia="宋体" w:cs="宋体"/>
          <w:b/>
          <w:color w:val="auto"/>
          <w:sz w:val="30"/>
          <w:szCs w:val="30"/>
          <w:highlight w:val="none"/>
          <w:u w:val="single"/>
        </w:rPr>
        <w:t xml:space="preserve">                      </w:t>
      </w:r>
    </w:p>
    <w:p>
      <w:pPr>
        <w:pStyle w:val="14"/>
        <w:spacing w:line="480" w:lineRule="auto"/>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住   所：</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pPr>
        <w:pStyle w:val="14"/>
        <w:spacing w:line="480" w:lineRule="auto"/>
        <w:jc w:val="center"/>
        <w:rPr>
          <w:rFonts w:hint="eastAsia" w:ascii="宋体" w:hAnsi="宋体" w:eastAsia="宋体" w:cs="宋体"/>
          <w:color w:val="auto"/>
          <w:sz w:val="30"/>
          <w:szCs w:val="30"/>
          <w:highlight w:val="none"/>
        </w:rPr>
      </w:pPr>
    </w:p>
    <w:p>
      <w:pPr>
        <w:pStyle w:val="14"/>
        <w:spacing w:line="480" w:lineRule="auto"/>
        <w:ind w:firstLine="1490" w:firstLineChars="49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签订合同地点：</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pPr>
        <w:pStyle w:val="14"/>
        <w:spacing w:line="480" w:lineRule="auto"/>
        <w:ind w:firstLine="1490" w:firstLineChars="495"/>
        <w:rPr>
          <w:rFonts w:hint="eastAsia" w:ascii="宋体" w:hAnsi="宋体" w:eastAsia="宋体" w:cs="宋体"/>
          <w:b/>
          <w:color w:val="auto"/>
          <w:sz w:val="44"/>
          <w:szCs w:val="44"/>
          <w:highlight w:val="none"/>
        </w:rPr>
      </w:pPr>
      <w:r>
        <w:rPr>
          <w:rFonts w:hint="eastAsia" w:ascii="宋体" w:hAnsi="宋体" w:eastAsia="宋体" w:cs="宋体"/>
          <w:b/>
          <w:color w:val="auto"/>
          <w:sz w:val="30"/>
          <w:szCs w:val="30"/>
          <w:highlight w:val="none"/>
        </w:rPr>
        <w:t>签订合同时间：</w:t>
      </w:r>
      <w:r>
        <w:rPr>
          <w:rFonts w:hint="eastAsia" w:ascii="宋体" w:hAnsi="宋体" w:eastAsia="宋体" w:cs="宋体"/>
          <w:b/>
          <w:color w:val="auto"/>
          <w:sz w:val="30"/>
          <w:szCs w:val="30"/>
          <w:highlight w:val="none"/>
          <w:u w:val="single"/>
        </w:rPr>
        <w:t xml:space="preserve">            </w:t>
      </w:r>
      <w:r>
        <w:rPr>
          <w:rFonts w:hint="eastAsia" w:hAnsi="宋体" w:eastAsia="宋体"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r>
        <w:rPr>
          <w:rFonts w:hint="eastAsia" w:ascii="宋体" w:hAnsi="宋体" w:eastAsia="宋体" w:cs="宋体"/>
          <w:b/>
          <w:color w:val="auto"/>
          <w:sz w:val="44"/>
          <w:szCs w:val="44"/>
          <w:highlight w:val="none"/>
          <w:u w:val="single"/>
        </w:rPr>
        <w:t xml:space="preserve">     </w:t>
      </w:r>
    </w:p>
    <w:p>
      <w:pPr>
        <w:pStyle w:val="14"/>
        <w:jc w:val="center"/>
        <w:rPr>
          <w:rFonts w:hint="eastAsia" w:ascii="宋体" w:hAnsi="宋体" w:eastAsia="宋体" w:cs="宋体"/>
          <w:color w:val="auto"/>
          <w:sz w:val="21"/>
          <w:szCs w:val="21"/>
          <w:highlight w:val="none"/>
        </w:rPr>
      </w:pPr>
    </w:p>
    <w:p>
      <w:pPr>
        <w:pStyle w:val="14"/>
        <w:jc w:val="center"/>
        <w:rPr>
          <w:rFonts w:hint="eastAsia" w:ascii="宋体" w:hAnsi="宋体" w:eastAsia="宋体" w:cs="宋体"/>
          <w:color w:val="auto"/>
          <w:sz w:val="21"/>
          <w:szCs w:val="21"/>
          <w:highlight w:val="none"/>
        </w:rPr>
      </w:pPr>
    </w:p>
    <w:p>
      <w:pPr>
        <w:pStyle w:val="14"/>
        <w:jc w:val="center"/>
        <w:rPr>
          <w:rFonts w:hint="eastAsia" w:ascii="宋体" w:hAnsi="宋体" w:eastAsia="宋体" w:cs="宋体"/>
          <w:color w:val="auto"/>
          <w:sz w:val="21"/>
          <w:szCs w:val="21"/>
          <w:highlight w:val="none"/>
        </w:rPr>
      </w:pPr>
    </w:p>
    <w:p>
      <w:pPr>
        <w:pStyle w:val="14"/>
        <w:jc w:val="center"/>
        <w:rPr>
          <w:rFonts w:hint="eastAsia" w:ascii="宋体" w:hAnsi="宋体" w:eastAsia="宋体" w:cs="宋体"/>
          <w:color w:val="auto"/>
          <w:sz w:val="21"/>
          <w:szCs w:val="21"/>
          <w:highlight w:val="none"/>
        </w:rPr>
      </w:pPr>
    </w:p>
    <w:p>
      <w:pPr>
        <w:pStyle w:val="14"/>
        <w:spacing w:line="4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合同使用说明：根据《中华人民共和国政府采购法》、《中华人民共和国民法典》等法律、法规规定，按照招标文件规定条款和中标供应商投标文件及其承诺，甲乙双方签订本合同。</w:t>
      </w:r>
    </w:p>
    <w:p>
      <w:pPr>
        <w:pStyle w:val="14"/>
        <w:snapToGrid w:val="0"/>
        <w:spacing w:before="120" w:after="120"/>
        <w:jc w:val="center"/>
        <w:outlineLvl w:val="0"/>
        <w:rPr>
          <w:rFonts w:hint="eastAsia" w:ascii="宋体" w:hAnsi="宋体" w:eastAsia="宋体" w:cs="宋体"/>
          <w:color w:val="auto"/>
          <w:sz w:val="32"/>
          <w:szCs w:val="32"/>
          <w:highlight w:val="none"/>
        </w:rPr>
      </w:pPr>
    </w:p>
    <w:p>
      <w:pPr>
        <w:spacing w:line="300" w:lineRule="auto"/>
        <w:ind w:left="420" w:hanging="420"/>
        <w:jc w:val="cente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采购</w:t>
      </w:r>
      <w:r>
        <w:rPr>
          <w:rFonts w:hint="eastAsia" w:ascii="宋体" w:hAnsi="宋体" w:eastAsia="宋体" w:cs="宋体"/>
          <w:b/>
          <w:bCs/>
          <w:color w:val="auto"/>
          <w:sz w:val="32"/>
          <w:szCs w:val="32"/>
          <w:highlight w:val="none"/>
        </w:rPr>
        <w:t>合同文本</w:t>
      </w:r>
    </w:p>
    <w:p>
      <w:pPr>
        <w:pStyle w:val="8"/>
        <w:jc w:val="center"/>
        <w:rPr>
          <w:rFonts w:hint="eastAsia" w:asciiTheme="majorEastAsia" w:hAnsiTheme="majorEastAsia" w:eastAsiaTheme="majorEastAsia" w:cstheme="majorEastAsia"/>
          <w:b/>
          <w:bCs/>
          <w:color w:val="auto"/>
          <w:sz w:val="32"/>
          <w:szCs w:val="32"/>
          <w:highlight w:val="none"/>
          <w:lang w:val="en-US" w:eastAsia="zh-CN"/>
        </w:rPr>
      </w:pPr>
      <w:r>
        <w:rPr>
          <w:rFonts w:hint="eastAsia" w:asciiTheme="majorEastAsia" w:hAnsiTheme="majorEastAsia" w:eastAsiaTheme="majorEastAsia" w:cstheme="majorEastAsia"/>
          <w:b/>
          <w:bCs/>
          <w:color w:val="auto"/>
          <w:sz w:val="32"/>
          <w:szCs w:val="32"/>
          <w:highlight w:val="none"/>
          <w:lang w:val="en-US" w:eastAsia="zh-CN"/>
        </w:rPr>
        <w:t>2026-2027年流行季免费流感疫苗采购合同</w:t>
      </w:r>
    </w:p>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bCs/>
          <w:color w:val="auto"/>
          <w:sz w:val="36"/>
          <w:szCs w:val="36"/>
          <w:highlight w:val="none"/>
        </w:rPr>
      </w:pPr>
    </w:p>
    <w:p>
      <w:pPr>
        <w:pStyle w:val="19"/>
        <w:ind w:firstLine="24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pPr>
        <w:snapToGrid w:val="0"/>
        <w:spacing w:line="360" w:lineRule="exact"/>
        <w:ind w:right="480" w:firstLine="5985" w:firstLineChars="285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合同编号：</w:t>
      </w:r>
    </w:p>
    <w:p>
      <w:pPr>
        <w:snapToGrid w:val="0"/>
        <w:spacing w:line="36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采购单位（甲方）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0"/>
          <w:sz w:val="21"/>
          <w:szCs w:val="21"/>
          <w:highlight w:val="none"/>
        </w:rPr>
        <w:t>采 购 计 划 号</w:t>
      </w:r>
      <w:r>
        <w:rPr>
          <w:rFonts w:hint="eastAsia" w:ascii="宋体" w:hAnsi="宋体" w:eastAsia="宋体" w:cs="宋体"/>
          <w:color w:val="auto"/>
          <w:sz w:val="21"/>
          <w:szCs w:val="21"/>
          <w:highlight w:val="none"/>
          <w:u w:val="single"/>
        </w:rPr>
        <w:t xml:space="preserve">                        </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供 应 商（乙方）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项目名称</w:t>
      </w:r>
      <w:r>
        <w:rPr>
          <w:rFonts w:hint="eastAsia" w:ascii="宋体" w:hAnsi="宋体" w:eastAsia="宋体" w:cs="宋体"/>
          <w:color w:val="auto"/>
          <w:spacing w:val="-20"/>
          <w:sz w:val="21"/>
          <w:szCs w:val="21"/>
          <w:highlight w:val="none"/>
        </w:rPr>
        <w:t>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签  订  地  点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签 订 时 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p>
    <w:p>
      <w:pPr>
        <w:pStyle w:val="14"/>
        <w:keepNext w:val="0"/>
        <w:keepLines w:val="0"/>
        <w:pageBreakBefore w:val="0"/>
        <w:kinsoku/>
        <w:overflowPunct/>
        <w:topLinePunct w:val="0"/>
        <w:autoSpaceDE/>
        <w:autoSpaceDN/>
        <w:bidi w:val="0"/>
        <w:adjustRightInd/>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根据《中华人民共和国政府采购法》、《中华人民共和国民法典》等法律、法规规定，按照招标文件规定条款和中标供应商投标文件及其承诺，甲乙双方签订本合同。</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第一条　合同标的</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1.供货一览表</w:t>
      </w:r>
    </w:p>
    <w:tbl>
      <w:tblPr>
        <w:tblStyle w:val="20"/>
        <w:tblW w:w="9764"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1125"/>
        <w:gridCol w:w="1145"/>
        <w:gridCol w:w="1167"/>
        <w:gridCol w:w="1192"/>
        <w:gridCol w:w="996"/>
        <w:gridCol w:w="833"/>
        <w:gridCol w:w="975"/>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071"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125"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w:t>
            </w: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1145"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商标</w:t>
            </w: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1167"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w:t>
            </w:r>
          </w:p>
        </w:tc>
        <w:tc>
          <w:tcPr>
            <w:tcW w:w="1192"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w:t>
            </w: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厂家</w:t>
            </w:r>
          </w:p>
        </w:tc>
        <w:tc>
          <w:tcPr>
            <w:tcW w:w="996"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  量</w:t>
            </w:r>
          </w:p>
        </w:tc>
        <w:tc>
          <w:tcPr>
            <w:tcW w:w="833"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975"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  价</w:t>
            </w: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1260" w:type="dxa"/>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  额</w:t>
            </w: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trPr>
        <w:tc>
          <w:tcPr>
            <w:tcW w:w="9764" w:type="dxa"/>
            <w:gridSpan w:val="9"/>
            <w:vAlign w:val="center"/>
          </w:tcPr>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详细内容见“</w:t>
            </w:r>
            <w:r>
              <w:rPr>
                <w:rFonts w:hint="eastAsia" w:ascii="宋体" w:hAnsi="宋体" w:eastAsia="宋体" w:cs="宋体"/>
                <w:b/>
                <w:color w:val="auto"/>
                <w:sz w:val="21"/>
                <w:szCs w:val="21"/>
                <w:highlight w:val="none"/>
              </w:rPr>
              <w:t>投标报价明细表</w:t>
            </w:r>
            <w:r>
              <w:rPr>
                <w:rFonts w:hint="eastAsia" w:ascii="宋体" w:hAnsi="宋体" w:eastAsia="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764" w:type="dxa"/>
            <w:gridSpan w:val="9"/>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人民币合计金额（大写）                          （小写）                 </w:t>
            </w:r>
          </w:p>
        </w:tc>
      </w:tr>
    </w:tbl>
    <w:p>
      <w:pPr>
        <w:pStyle w:val="14"/>
        <w:keepNext w:val="0"/>
        <w:keepLines w:val="0"/>
        <w:pageBreakBefore w:val="0"/>
        <w:kinsoku/>
        <w:overflowPunct/>
        <w:topLinePunct w:val="0"/>
        <w:autoSpaceDE/>
        <w:autoSpaceDN/>
        <w:bidi w:val="0"/>
        <w:adjustRightInd/>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2.合同合计金额包括货物价款，备件、专用工具、安装、调试、检验、技术培训及技术资料和包装、运输等全部费用。如招投标文件对其另有规定的，从其规定。</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第二条　质量保证</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1.乙方所提供的货物型号、技术规格、技术参数等质量必须与招投标文件和承诺相一致。乙方提供的节能和环保产品必须是列入政府采购清单的产品。</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2.乙方所提供的货物必须是全新、未使用的原装产品，且在正常安装、使用和保养条件下，其使用寿命期内各项指标均达到质量要求。</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第三条　权利保证</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乙方应保证所提供货物在使用时不会侵犯任何第三方的专利权、商标权、工业设计权或其他权利。</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乙方应按招标文件规定的时间向甲方提供使用货物的有关技术资料。</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乙方保证所交付的货物的所有权完全属于乙方且无任何抵押、质押、查封等产权瑕疵。</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第四条　包装和运输</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1.乙方提供的货物均应按招投标文件要求的包装材料、包装标准、包装方式进行包装，每一包装单元内应附详细的装箱单和质量合格证。</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2.货物的运输方式：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3.乙方负责货物运输，货物运输合理损耗及计算方法：</w:t>
      </w:r>
      <w:r>
        <w:rPr>
          <w:rFonts w:hint="eastAsia" w:ascii="宋体" w:hAnsi="宋体" w:eastAsia="宋体" w:cs="宋体"/>
          <w:color w:val="auto"/>
          <w:sz w:val="21"/>
          <w:szCs w:val="21"/>
          <w:highlight w:val="none"/>
          <w:u w:val="single"/>
        </w:rPr>
        <w:t xml:space="preserve">           。</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第五条　交付和验收</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1.交付使用时间：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2.乙方提供不符合招投标文件和本合同规定的货物，甲方有权拒绝接受。</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3.乙方应将所提供货物的装箱清单、用户手册、原厂保修卡、随机资料、工具和备品、备件等交付给甲方，如有缺失应及时补齐，否则视为逾期交货。</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采购人委托本中心组织的验收项目，其验收时间以该项目验收方案确定的验收时间为准，验收结果以该项目验收报告结论为准。在验收过程中发现乙方有违约问题，可暂缓资金结算，待违约问题解决后，方可办理资金结算事宜。</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.甲方对验收有异议的，在验收后五个工作日内以书面形式向乙方提出，乙方应自收到甲方书面异议后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日内及时予以解决。</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第六条　安装和培训</w:t>
      </w:r>
      <w:r>
        <w:rPr>
          <w:rFonts w:hint="eastAsia" w:hAnsi="宋体" w:eastAsia="宋体" w:cs="宋体"/>
          <w:b/>
          <w:color w:val="auto"/>
          <w:sz w:val="21"/>
          <w:szCs w:val="21"/>
          <w:highlight w:val="none"/>
          <w:lang w:eastAsia="zh-CN"/>
        </w:rPr>
        <w:t>（如有）</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1.甲方应提供必要安装条件（如场地、电源、水源等）。</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2.乙方负责甲方有关人员的培训。培训时间、地点：</w:t>
      </w:r>
      <w:r>
        <w:rPr>
          <w:rFonts w:hint="eastAsia" w:ascii="宋体" w:hAnsi="宋体" w:eastAsia="宋体" w:cs="宋体"/>
          <w:color w:val="auto"/>
          <w:sz w:val="21"/>
          <w:szCs w:val="21"/>
          <w:highlight w:val="none"/>
          <w:u w:val="single"/>
        </w:rPr>
        <w:t xml:space="preserve">             。</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第七条  售后服务、</w:t>
      </w:r>
      <w:r>
        <w:rPr>
          <w:rFonts w:hint="eastAsia" w:ascii="宋体" w:hAnsi="宋体" w:eastAsia="宋体" w:cs="宋体"/>
          <w:b/>
          <w:color w:val="auto"/>
          <w:sz w:val="21"/>
          <w:szCs w:val="21"/>
          <w:highlight w:val="none"/>
          <w:lang w:eastAsia="zh-CN"/>
        </w:rPr>
        <w:t>质保</w:t>
      </w:r>
      <w:r>
        <w:rPr>
          <w:rFonts w:hint="eastAsia" w:ascii="宋体" w:hAnsi="宋体" w:eastAsia="宋体" w:cs="宋体"/>
          <w:b/>
          <w:color w:val="auto"/>
          <w:sz w:val="21"/>
          <w:szCs w:val="21"/>
          <w:highlight w:val="none"/>
        </w:rPr>
        <w:t>期</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1.乙方应按照国家有关法律法规和“三包”规定以及招投标文件和本合同所附的《服务承诺》，为甲方提供售后服务。</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2.货物</w:t>
      </w:r>
      <w:r>
        <w:rPr>
          <w:rFonts w:hint="eastAsia" w:ascii="宋体" w:hAnsi="宋体" w:eastAsia="宋体" w:cs="宋体"/>
          <w:color w:val="auto"/>
          <w:sz w:val="21"/>
          <w:szCs w:val="21"/>
          <w:highlight w:val="none"/>
          <w:lang w:eastAsia="zh-CN"/>
        </w:rPr>
        <w:t>质保</w:t>
      </w:r>
      <w:r>
        <w:rPr>
          <w:rFonts w:hint="eastAsia" w:ascii="宋体" w:hAnsi="宋体" w:eastAsia="宋体" w:cs="宋体"/>
          <w:color w:val="auto"/>
          <w:sz w:val="21"/>
          <w:szCs w:val="21"/>
          <w:highlight w:val="none"/>
        </w:rPr>
        <w:t>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
          <w:color w:val="auto"/>
          <w:sz w:val="21"/>
          <w:szCs w:val="21"/>
          <w:highlight w:val="none"/>
          <w:u w:val="single"/>
        </w:rPr>
        <w:t xml:space="preserve">  </w:t>
      </w:r>
      <w:r>
        <w:rPr>
          <w:rFonts w:hint="eastAsia" w:ascii="宋体" w:hAnsi="宋体" w:eastAsia="宋体" w:cs="宋体"/>
          <w:color w:val="auto"/>
          <w:sz w:val="21"/>
          <w:szCs w:val="21"/>
          <w:highlight w:val="none"/>
        </w:rPr>
        <w:t>。</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3.乙方提供的服务承诺和售后服务及保修期责任等其它具体约定事项。（见合同附件）</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第八条　付款方式和保证金</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1.当采购数量与实际使用数量不一致时，乙方应根据实际使用量供货，合同的最终结算金额按实际使用量乘以中标单价进行计算。</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2.资金性质：</w:t>
      </w:r>
      <w:r>
        <w:rPr>
          <w:rFonts w:hint="eastAsia" w:ascii="宋体" w:hAnsi="宋体" w:eastAsia="宋体" w:cs="宋体"/>
          <w:color w:val="auto"/>
          <w:sz w:val="21"/>
          <w:szCs w:val="21"/>
          <w:highlight w:val="none"/>
          <w:u w:val="single"/>
        </w:rPr>
        <w:t>财政性资金。</w:t>
      </w:r>
    </w:p>
    <w:p>
      <w:pPr>
        <w:keepNext w:val="0"/>
        <w:keepLines w:val="0"/>
        <w:pageBreakBefore w:val="0"/>
        <w:widowControl/>
        <w:kinsoku/>
        <w:overflowPunct/>
        <w:topLinePunct w:val="0"/>
        <w:autoSpaceDE/>
        <w:autoSpaceDN/>
        <w:bidi w:val="0"/>
        <w:adjustRightInd/>
        <w:spacing w:line="400" w:lineRule="exact"/>
        <w:ind w:firstLine="420" w:firstLineChars="20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3.付款方式：</w:t>
      </w:r>
      <w:r>
        <w:rPr>
          <w:rFonts w:hint="eastAsia" w:ascii="宋体" w:hAnsi="宋体" w:eastAsia="宋体" w:cs="宋体"/>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第九条 履约保证金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rPr>
        <w:t>1.履约保证金金额：</w:t>
      </w:r>
      <w:r>
        <w:rPr>
          <w:rFonts w:hint="eastAsia" w:ascii="宋体" w:hAnsi="宋体" w:eastAsia="宋体" w:cs="宋体"/>
          <w:bCs/>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2.履约保证金递交方式：</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3.履约保证金递交时间：</w:t>
      </w:r>
      <w:r>
        <w:rPr>
          <w:rFonts w:hint="eastAsia" w:ascii="宋体" w:hAnsi="宋体" w:eastAsia="宋体" w:cs="宋体"/>
          <w:bCs/>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4.履约保证金退还：</w:t>
      </w:r>
      <w:r>
        <w:rPr>
          <w:rFonts w:hint="eastAsia" w:ascii="宋体" w:hAnsi="宋体" w:eastAsia="宋体" w:cs="宋体"/>
          <w:bCs/>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开户名：</w:t>
      </w:r>
      <w:r>
        <w:rPr>
          <w:rFonts w:hint="eastAsia" w:ascii="宋体" w:hAnsi="宋体" w:eastAsia="宋体" w:cs="宋体"/>
          <w:bCs/>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开户行：</w:t>
      </w:r>
      <w:r>
        <w:rPr>
          <w:rFonts w:hint="eastAsia" w:ascii="宋体" w:hAnsi="宋体" w:eastAsia="宋体" w:cs="宋体"/>
          <w:bCs/>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rPr>
        <w:t>账  号：</w:t>
      </w:r>
      <w:r>
        <w:rPr>
          <w:rFonts w:hint="eastAsia" w:ascii="宋体" w:hAnsi="宋体" w:eastAsia="宋体" w:cs="宋体"/>
          <w:bCs/>
          <w:color w:val="auto"/>
          <w:sz w:val="21"/>
          <w:szCs w:val="21"/>
          <w:highlight w:val="none"/>
          <w:u w:val="single"/>
          <w:lang w:val="en-US" w:eastAsia="zh-CN"/>
        </w:rPr>
        <w:t xml:space="preserve">          </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第十条 税费</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本合同执行中相关的一切税费均由乙方负担。</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第十一条 质量保证及售后服务</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按招标文件规定的货物性能、技术要求、质量标准向甲方提供未经使用的全新产品。乙方提供货物的质量保证期按交货验收合格之日起计（期限以采购需求的要求、乙方承诺、制造商质保中较长者为准）。对达不到技术要求者，根据实际情况，甲方可按以下办法处理：</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⑴更换：由乙方承担所发生的全部费用。</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⑵贬值处理：由甲乙双方合议定价。</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⑶退货处理：乙方应退还甲方支付的合同款，同时应承担该货物的直接费用（运输、保险、检验、货款利息及银行手续费等）。</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2.如在使用过程中发生质量问题，乙方在接到甲方通知后在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小时内到达甲方现场。</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3.在质保期内，乙方应对货物出现的质量及安全问题负责处理解决并承担一切费用。</w:t>
      </w:r>
    </w:p>
    <w:p>
      <w:pPr>
        <w:pStyle w:val="14"/>
        <w:keepNext w:val="0"/>
        <w:keepLines w:val="0"/>
        <w:pageBreakBefore w:val="0"/>
        <w:kinsoku/>
        <w:overflowPunct/>
        <w:topLinePunct w:val="0"/>
        <w:autoSpaceDE/>
        <w:autoSpaceDN/>
        <w:bidi w:val="0"/>
        <w:adjustRightInd/>
        <w:snapToGrid w:val="0"/>
        <w:spacing w:before="120" w:after="120" w:line="400" w:lineRule="exact"/>
        <w:ind w:firstLine="413" w:firstLineChars="196"/>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第十二条 调试和验收</w:t>
      </w:r>
      <w:r>
        <w:rPr>
          <w:rFonts w:hint="eastAsia" w:hAnsi="宋体" w:eastAsia="宋体" w:cs="宋体"/>
          <w:b/>
          <w:color w:val="auto"/>
          <w:sz w:val="21"/>
          <w:szCs w:val="21"/>
          <w:highlight w:val="none"/>
          <w:lang w:eastAsia="zh-CN"/>
        </w:rPr>
        <w:t>（如有）</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1.甲方对乙方提交的货物依据招标文件上的技术规格要求和国家有关质量标准进行现场初步验收，外观、说明书符合招标文件技术要求的，给予签收，初步验收不合格的不予签收。货到后，</w:t>
      </w:r>
      <w:r>
        <w:rPr>
          <w:rFonts w:hint="eastAsia" w:ascii="宋体" w:hAnsi="宋体" w:eastAsia="宋体" w:cs="宋体"/>
          <w:bCs/>
          <w:color w:val="auto"/>
          <w:sz w:val="21"/>
          <w:szCs w:val="21"/>
          <w:highlight w:val="none"/>
        </w:rPr>
        <w:t>甲方应当在到货并安装、调试完后七个工作日内进行验收</w:t>
      </w:r>
      <w:r>
        <w:rPr>
          <w:rFonts w:hint="eastAsia" w:ascii="宋体" w:hAnsi="宋体" w:eastAsia="宋体" w:cs="宋体"/>
          <w:color w:val="auto"/>
          <w:sz w:val="21"/>
          <w:szCs w:val="21"/>
          <w:highlight w:val="none"/>
        </w:rPr>
        <w:t>。</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2.乙方交货前应对产品作出全面检查和对验收文件进行整理，并列出清单，作为甲方收货验收和使用的技术条件依据，检验的结果应随货物交甲方。</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3.甲方对乙方提供的货物在使用前进行调试时，乙方需负责安装并培训甲方的使用操作人员，并协助甲方一起调试，直到符合技术要求，甲方才做最终验收。</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4.对技术复杂的货物，甲方应请国家认可的专业检测机构参与初步验收及最终验收，并由其出具质量检测报告，检测相关费用由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方承担。</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5.验收时乙方必须在现场，验收完毕后作出验收结果报告；验收费用由乙方负责。</w:t>
      </w:r>
    </w:p>
    <w:p>
      <w:pPr>
        <w:pStyle w:val="14"/>
        <w:keepNext w:val="0"/>
        <w:keepLines w:val="0"/>
        <w:pageBreakBefore w:val="0"/>
        <w:kinsoku/>
        <w:overflowPunct/>
        <w:topLinePunct w:val="0"/>
        <w:autoSpaceDE/>
        <w:autoSpaceDN/>
        <w:bidi w:val="0"/>
        <w:adjustRightInd/>
        <w:snapToGrid w:val="0"/>
        <w:spacing w:before="120" w:after="120" w:line="400" w:lineRule="exact"/>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第十三条 货物包装、发运及运输</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1.乙方应在货物发运前对其进行满足运输距离、防潮、防震、防锈和防破损装卸等要求包装，以保证货物安全运达甲方指定地点。</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2.使用说明书、质量检验证明书、随配附件和工具以及清单一并附于货物内。</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3.乙方在货物发运手续办理完毕后二十四小时内或货到甲方四十八小时前通知甲方，以准备接货。</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4.货物在交付甲方前发生的风险均由乙方负责。</w:t>
      </w:r>
    </w:p>
    <w:p>
      <w:pPr>
        <w:pStyle w:val="14"/>
        <w:keepNext w:val="0"/>
        <w:keepLines w:val="0"/>
        <w:pageBreakBefore w:val="0"/>
        <w:kinsoku/>
        <w:overflowPunct/>
        <w:topLinePunct w:val="0"/>
        <w:autoSpaceDE/>
        <w:autoSpaceDN/>
        <w:bidi w:val="0"/>
        <w:adjustRightInd/>
        <w:snapToGrid w:val="0"/>
        <w:spacing w:before="120" w:after="120"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5.货物在规定的交付期限内由乙方送达甲方指定的地点并初步验收合格后视为交付，乙方同时需通知甲方货物已送达。</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第十四条　违约责任</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2.乙方提供的货物如侵犯了第三方合法权益而引发的任何纠纷或诉讼，均由乙方负责交涉并承担全部责任。</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3.因包装、运输引起的货物损坏，按质量不合格处罚。</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4.甲方无故延期接收货物、乙方逾期交货的，每天向对方偿付违约货款额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违约金，但违约金累计不得超过违约货款额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天对方有权解除合同，违约方承担因此给对方造成经济损失；甲方延期付货款的，每天向乙方偿付延期货款额</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违约金，但违约金累计不得超过延期货款额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5.乙方未按本合同和投标文件中规定的服务承诺提供售后服务的，乙方应按本合同合计金额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向甲方支付违约金。</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6.乙方提供的货物在质量保证期内，因设计、工艺或材料的缺陷和其它质量原因造成的问题，由乙方负责，费用从履约保证金中扣除，履约保证金不足以支付的，由乙方另行支付。</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7.其它违约行为按违约货款额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%收取违约金并赔偿经济损失。</w:t>
      </w:r>
    </w:p>
    <w:p>
      <w:pPr>
        <w:pStyle w:val="14"/>
        <w:keepNext w:val="0"/>
        <w:keepLines w:val="0"/>
        <w:pageBreakBefore w:val="0"/>
        <w:kinsoku/>
        <w:overflowPunct/>
        <w:topLinePunct w:val="0"/>
        <w:autoSpaceDE/>
        <w:autoSpaceDN/>
        <w:bidi w:val="0"/>
        <w:adjustRightInd/>
        <w:snapToGrid w:val="0"/>
        <w:spacing w:before="120" w:after="120" w:line="400" w:lineRule="exact"/>
        <w:ind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第十五条 不可抗力事件处理</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1.在合同有效期内，任何一方因不可抗力事件导致不能履行合同，则合同履行期可延长，其延长期与不可抗力影响期相同。</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2.不可抗力事件发生后，应立即通知对方，并寄送有关权威机构出具的证明。</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3.不可抗力事件延续一百二十天以上，双方应通过友好协商，确定是否继续履行合同。</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第十六条  合同争议解决</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1.因货物质量问题发生争议的，应邀请国家认可的质量检测机构按照国家标准对货物质量进行验收。货物符合国家标准的，鉴定费由甲方承担；货物不符合国家标准的，鉴定费由乙方承担。</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2.因履行本合同引起的或与本合同有关的争议，甲乙双方应首先通过友好协商解决，如果协商不能解决，可向甲方所在地人民法院提起诉讼。</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3.诉讼期间，本合同继续履行。</w:t>
      </w:r>
    </w:p>
    <w:p>
      <w:pPr>
        <w:pStyle w:val="14"/>
        <w:keepNext w:val="0"/>
        <w:keepLines w:val="0"/>
        <w:pageBreakBefore w:val="0"/>
        <w:kinsoku/>
        <w:overflowPunct/>
        <w:topLinePunct w:val="0"/>
        <w:autoSpaceDE/>
        <w:autoSpaceDN/>
        <w:bidi w:val="0"/>
        <w:adjustRightInd/>
        <w:snapToGrid w:val="0"/>
        <w:spacing w:before="120" w:after="120"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第十七条 合同生效及其它</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合同经双方法定代表人或授权代表签字并加盖单位合同专用章或单位公章后生效。</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合同执行中涉及采购资金和采购内容修改或补充的，须经财政部门审批，并签书面补充协议报财政部门备案，方可作为主合同不可分割的一部分。</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本合同（包括招标文件和投标文件）未尽事宜，遵照《中华人民共和国民法典》有关条文执行。</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第十八条　合同的变更、终止与转让</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1.除《中华人民共和国政府采购法》第五十条规定的情形外，本合同一经签订，甲乙双方不得擅自变更、中止或终止。</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2.未经甲方书面同意，乙方不得擅自转让（无进口资格的供应商委托进口货物除外）其应履行的合同义务。</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第十九条　签订本合同依据</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1.政府采购招标文件</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2.乙方提供的投标文件</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3.投标函</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4.中标通知书</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5.其他约定附件</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第二十条　本合同一式柒份，具有同等法律效力。广西壮族自治区财政厅政府采购监督管理处、代理机构各一份，甲方四份，乙方一份。（可根据需要另增加）</w:t>
      </w:r>
    </w:p>
    <w:p>
      <w:pPr>
        <w:keepNext w:val="0"/>
        <w:keepLines w:val="0"/>
        <w:pageBreakBefore w:val="0"/>
        <w:kinsoku/>
        <w:overflowPunct/>
        <w:topLinePunct w:val="0"/>
        <w:autoSpaceDE/>
        <w:autoSpaceDN/>
        <w:bidi w:val="0"/>
        <w:adjustRightInd/>
        <w:snapToGrid w:val="0"/>
        <w:spacing w:line="400" w:lineRule="exact"/>
        <w:ind w:firstLine="421" w:firstLineChars="200"/>
        <w:rPr>
          <w:rFonts w:hint="eastAsia" w:ascii="宋体" w:hAnsi="宋体" w:eastAsia="宋体" w:cs="宋体"/>
          <w:color w:val="auto"/>
          <w:spacing w:val="4"/>
          <w:sz w:val="21"/>
          <w:szCs w:val="21"/>
          <w:highlight w:val="none"/>
        </w:rPr>
      </w:pPr>
      <w:r>
        <w:rPr>
          <w:rFonts w:hint="eastAsia" w:ascii="宋体" w:hAnsi="宋体" w:eastAsia="宋体" w:cs="宋体"/>
          <w:b/>
          <w:color w:val="auto"/>
          <w:sz w:val="21"/>
          <w:szCs w:val="21"/>
          <w:highlight w:val="none"/>
        </w:rPr>
        <w:t>自签订之日起两个工作日内，甲方应当将合同通过广西政府采购云平台上传完成合同网上公示。</w:t>
      </w: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0" w:firstLineChars="200"/>
        <w:rPr>
          <w:rFonts w:hint="eastAsia" w:ascii="宋体" w:hAnsi="宋体" w:eastAsia="宋体" w:cs="宋体"/>
          <w:color w:val="auto"/>
          <w:sz w:val="21"/>
          <w:szCs w:val="21"/>
          <w:highlight w:val="none"/>
        </w:rPr>
      </w:pPr>
    </w:p>
    <w:tbl>
      <w:tblPr>
        <w:tblStyle w:val="20"/>
        <w:tblW w:w="9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2"/>
        <w:gridCol w:w="4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甲方（章）           </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945" w:firstLineChars="45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乙方（章）              </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rPr>
        <w:tc>
          <w:tcPr>
            <w:tcW w:w="4652"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4710" w:type="dxa"/>
            <w:vAlign w:val="center"/>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9" w:hRule="atLeast"/>
        </w:trPr>
        <w:tc>
          <w:tcPr>
            <w:tcW w:w="9362" w:type="dxa"/>
            <w:gridSpan w:val="2"/>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经办人：</w:t>
            </w:r>
          </w:p>
          <w:p>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630" w:firstLineChars="3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pPr>
        <w:keepNext w:val="0"/>
        <w:keepLines w:val="0"/>
        <w:pageBreakBefore w:val="0"/>
        <w:kinsoku/>
        <w:overflowPunct/>
        <w:topLinePunct w:val="0"/>
        <w:autoSpaceDE/>
        <w:autoSpaceDN/>
        <w:bidi w:val="0"/>
        <w:adjustRightInd/>
        <w:snapToGrid w:val="0"/>
        <w:spacing w:line="400" w:lineRule="exact"/>
        <w:ind w:left="420" w:hanging="420" w:hangingChars="200"/>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 同 附 件</w:t>
      </w:r>
    </w:p>
    <w:tbl>
      <w:tblPr>
        <w:tblStyle w:val="20"/>
        <w:tblW w:w="48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7"/>
        <w:gridCol w:w="4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5000" w:type="pct"/>
            <w:gridSpan w:val="2"/>
            <w:tcBorders>
              <w:top w:val="single" w:color="auto" w:sz="4" w:space="0"/>
              <w:left w:val="single" w:color="auto" w:sz="4" w:space="0"/>
              <w:bottom w:val="single" w:color="auto" w:sz="4" w:space="0"/>
              <w:right w:val="single" w:color="auto" w:sz="4" w:space="0"/>
            </w:tcBorders>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1、供应商承诺具体事项：</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5000" w:type="pct"/>
            <w:gridSpan w:val="2"/>
            <w:tcBorders>
              <w:top w:val="single" w:color="auto" w:sz="4" w:space="0"/>
              <w:left w:val="single" w:color="auto" w:sz="4" w:space="0"/>
              <w:bottom w:val="single" w:color="auto" w:sz="4" w:space="0"/>
              <w:right w:val="single" w:color="auto" w:sz="4" w:space="0"/>
            </w:tcBorders>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2、售后服务具体事项：</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5000" w:type="pct"/>
            <w:gridSpan w:val="2"/>
            <w:tcBorders>
              <w:top w:val="single" w:color="auto" w:sz="4" w:space="0"/>
              <w:left w:val="single" w:color="auto" w:sz="4" w:space="0"/>
              <w:bottom w:val="single" w:color="auto" w:sz="4" w:space="0"/>
              <w:right w:val="single" w:color="auto" w:sz="4" w:space="0"/>
            </w:tcBorders>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3、保修期责任：</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5000" w:type="pct"/>
            <w:gridSpan w:val="2"/>
            <w:tcBorders>
              <w:top w:val="single" w:color="auto" w:sz="4" w:space="0"/>
              <w:left w:val="single" w:color="auto" w:sz="4" w:space="0"/>
              <w:bottom w:val="single" w:color="auto" w:sz="4" w:space="0"/>
              <w:right w:val="single" w:color="auto" w:sz="4" w:space="0"/>
            </w:tcBorders>
          </w:tcPr>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4、其他具体事项：</w:t>
            </w: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trPr>
        <w:tc>
          <w:tcPr>
            <w:tcW w:w="2746"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overflowPunct/>
              <w:topLinePunct w:val="0"/>
              <w:autoSpaceDE/>
              <w:autoSpaceDN/>
              <w:bidi w:val="0"/>
              <w:adjustRightInd/>
              <w:snapToGrid w:val="0"/>
              <w:spacing w:line="400" w:lineRule="exact"/>
              <w:ind w:firstLine="42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甲方（章）</w:t>
            </w:r>
          </w:p>
          <w:p>
            <w:pPr>
              <w:keepNext w:val="0"/>
              <w:keepLines w:val="0"/>
              <w:pageBreakBefore w:val="0"/>
              <w:kinsoku/>
              <w:wordWrap w:val="0"/>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年   月   日 </w:t>
            </w:r>
          </w:p>
        </w:tc>
        <w:tc>
          <w:tcPr>
            <w:tcW w:w="2253"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overflowPunct/>
              <w:topLinePunct w:val="0"/>
              <w:autoSpaceDE/>
              <w:autoSpaceDN/>
              <w:bidi w:val="0"/>
              <w:adjustRightInd/>
              <w:snapToGrid w:val="0"/>
              <w:spacing w:line="400" w:lineRule="exact"/>
              <w:ind w:firstLine="42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乙方（章）</w:t>
            </w: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p>
          <w:p>
            <w:pPr>
              <w:keepNext w:val="0"/>
              <w:keepLines w:val="0"/>
              <w:pageBreakBefore w:val="0"/>
              <w:kinsoku/>
              <w:overflowPunct/>
              <w:topLinePunct w:val="0"/>
              <w:autoSpaceDE/>
              <w:autoSpaceDN/>
              <w:bidi w:val="0"/>
              <w:adjustRightInd/>
              <w:snapToGrid w:val="0"/>
              <w:spacing w:line="400" w:lineRule="exact"/>
              <w:ind w:firstLine="422"/>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pPr>
        <w:keepNext w:val="0"/>
        <w:keepLines w:val="0"/>
        <w:pageBreakBefore w:val="0"/>
        <w:kinsoku/>
        <w:overflowPunct/>
        <w:topLinePunct w:val="0"/>
        <w:autoSpaceDE/>
        <w:autoSpaceDN/>
        <w:bidi w:val="0"/>
        <w:adjustRightInd/>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注：售后服务事项填不下时可另加附页</w:t>
      </w:r>
    </w:p>
    <w:p>
      <w:pPr>
        <w:pStyle w:val="14"/>
        <w:keepNext w:val="0"/>
        <w:keepLines w:val="0"/>
        <w:pageBreakBefore w:val="0"/>
        <w:kinsoku/>
        <w:overflowPunct/>
        <w:topLinePunct w:val="0"/>
        <w:autoSpaceDE/>
        <w:autoSpaceDN/>
        <w:bidi w:val="0"/>
        <w:adjustRightInd/>
        <w:snapToGrid w:val="0"/>
        <w:spacing w:before="120" w:after="120" w:line="400" w:lineRule="exact"/>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32"/>
          <w:szCs w:val="32"/>
          <w:highlight w:val="none"/>
        </w:rPr>
      </w:pPr>
    </w:p>
    <w:p>
      <w:pPr>
        <w:pStyle w:val="6"/>
        <w:rPr>
          <w:rFonts w:hint="eastAsia" w:ascii="宋体" w:hAnsi="宋体" w:eastAsia="宋体" w:cs="宋体"/>
          <w:b/>
          <w:color w:val="auto"/>
          <w:sz w:val="32"/>
          <w:szCs w:val="32"/>
          <w:highlight w:val="none"/>
        </w:rPr>
      </w:pPr>
    </w:p>
    <w:p>
      <w:pPr>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4"/>
        <w:snapToGrid w:val="0"/>
        <w:spacing w:before="120" w:after="120"/>
        <w:jc w:val="center"/>
        <w:outlineLvl w:val="0"/>
        <w:rPr>
          <w:rFonts w:hint="eastAsia" w:ascii="宋体" w:hAnsi="宋体" w:eastAsia="宋体" w:cs="宋体"/>
          <w:b/>
          <w:color w:val="auto"/>
          <w:sz w:val="48"/>
          <w:szCs w:val="48"/>
          <w:highlight w:val="none"/>
        </w:rPr>
      </w:pPr>
    </w:p>
    <w:p>
      <w:pPr>
        <w:pStyle w:val="14"/>
        <w:snapToGrid w:val="0"/>
        <w:spacing w:before="120" w:after="120"/>
        <w:jc w:val="center"/>
        <w:outlineLvl w:val="0"/>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第六章　投标文件格式</w:t>
      </w:r>
    </w:p>
    <w:p>
      <w:pPr>
        <w:snapToGrid w:val="0"/>
        <w:spacing w:before="50" w:after="50"/>
        <w:outlineLvl w:val="1"/>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bookmarkStart w:id="10" w:name="_Toc254970556"/>
      <w:bookmarkStart w:id="11" w:name="_Toc254970697"/>
    </w:p>
    <w:bookmarkEnd w:id="10"/>
    <w:bookmarkEnd w:id="11"/>
    <w:p>
      <w:pPr>
        <w:snapToGrid w:val="0"/>
        <w:spacing w:before="156" w:beforeLines="50" w:after="50" w:line="360" w:lineRule="exact"/>
        <w:jc w:val="center"/>
        <w:outlineLvl w:val="1"/>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pStyle w:val="19"/>
        <w:rPr>
          <w:rFonts w:hint="eastAsia" w:ascii="宋体" w:hAnsi="宋体" w:eastAsia="宋体" w:cs="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val="0"/>
        <w:spacing w:before="156" w:beforeLines="50" w:after="50" w:line="700" w:lineRule="exact"/>
        <w:jc w:val="center"/>
        <w:textAlignment w:val="auto"/>
        <w:outlineLvl w:val="1"/>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投标文件格式</w:t>
      </w:r>
    </w:p>
    <w:p>
      <w:pPr>
        <w:pStyle w:val="19"/>
        <w:rPr>
          <w:rFonts w:hint="eastAsia"/>
          <w:color w:val="auto"/>
          <w:highlight w:val="none"/>
        </w:rPr>
      </w:pPr>
    </w:p>
    <w:p>
      <w:pPr>
        <w:snapToGrid w:val="0"/>
        <w:spacing w:before="156" w:beforeLines="50" w:after="50" w:line="360" w:lineRule="exact"/>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一、</w:t>
      </w:r>
      <w:r>
        <w:rPr>
          <w:rFonts w:hint="eastAsia" w:ascii="宋体" w:hAnsi="宋体" w:eastAsia="宋体" w:cs="宋体"/>
          <w:b/>
          <w:color w:val="auto"/>
          <w:sz w:val="32"/>
          <w:szCs w:val="32"/>
          <w:highlight w:val="none"/>
        </w:rPr>
        <w:t>投标文件封面</w:t>
      </w:r>
      <w:r>
        <w:rPr>
          <w:rFonts w:hint="eastAsia" w:ascii="宋体" w:hAnsi="宋体" w:eastAsia="宋体" w:cs="宋体"/>
          <w:b/>
          <w:bCs/>
          <w:color w:val="auto"/>
          <w:sz w:val="32"/>
          <w:szCs w:val="32"/>
          <w:highlight w:val="none"/>
        </w:rPr>
        <w:t>格式</w:t>
      </w:r>
    </w:p>
    <w:p>
      <w:pPr>
        <w:snapToGrid w:val="0"/>
        <w:spacing w:before="156" w:beforeLines="50" w:after="50" w:line="360" w:lineRule="exact"/>
        <w:rPr>
          <w:rFonts w:hint="eastAsia" w:ascii="宋体" w:hAnsi="宋体" w:eastAsia="宋体" w:cs="宋体"/>
          <w:b/>
          <w:color w:val="auto"/>
          <w:sz w:val="32"/>
          <w:szCs w:val="32"/>
          <w:highlight w:val="none"/>
        </w:rPr>
      </w:pPr>
    </w:p>
    <w:p>
      <w:pPr>
        <w:snapToGrid w:val="0"/>
        <w:spacing w:before="156" w:beforeLines="50" w:after="50" w:line="360" w:lineRule="exact"/>
        <w:rPr>
          <w:rFonts w:hint="eastAsia" w:ascii="宋体" w:hAnsi="宋体" w:eastAsia="宋体" w:cs="宋体"/>
          <w:color w:val="auto"/>
          <w:sz w:val="32"/>
          <w:szCs w:val="32"/>
          <w:highlight w:val="none"/>
        </w:rPr>
      </w:pPr>
    </w:p>
    <w:p>
      <w:pPr>
        <w:snapToGrid w:val="0"/>
        <w:spacing w:before="156" w:beforeLines="50" w:after="50" w:line="360" w:lineRule="exact"/>
        <w:rPr>
          <w:rFonts w:hint="eastAsia"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p>
    <w:p>
      <w:pPr>
        <w:snapToGrid w:val="0"/>
        <w:spacing w:before="156" w:beforeLines="50" w:after="50" w:line="36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投标文件</w:t>
      </w:r>
    </w:p>
    <w:p>
      <w:pPr>
        <w:snapToGrid w:val="0"/>
        <w:spacing w:before="156" w:beforeLines="50" w:after="50" w:line="360" w:lineRule="exact"/>
        <w:rPr>
          <w:rFonts w:hint="eastAsia" w:ascii="宋体" w:hAnsi="宋体" w:eastAsia="宋体" w:cs="宋体"/>
          <w:bCs/>
          <w:color w:val="auto"/>
          <w:sz w:val="32"/>
          <w:szCs w:val="32"/>
          <w:highlight w:val="none"/>
        </w:rPr>
      </w:pPr>
    </w:p>
    <w:p>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项目名称： </w:t>
      </w:r>
    </w:p>
    <w:p>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所投分标：</w:t>
      </w:r>
      <w:r>
        <w:rPr>
          <w:rFonts w:hint="eastAsia" w:ascii="宋体" w:hAnsi="宋体" w:eastAsia="宋体" w:cs="宋体"/>
          <w:bCs/>
          <w:color w:val="auto"/>
          <w:sz w:val="32"/>
          <w:szCs w:val="32"/>
          <w:highlight w:val="none"/>
          <w:lang w:eastAsia="zh-CN"/>
        </w:rPr>
        <w:t>本项目</w:t>
      </w:r>
      <w:r>
        <w:rPr>
          <w:rFonts w:hint="eastAsia" w:ascii="宋体" w:hAnsi="宋体" w:eastAsia="宋体" w:cs="宋体"/>
          <w:bCs/>
          <w:color w:val="auto"/>
          <w:sz w:val="32"/>
          <w:szCs w:val="32"/>
          <w:highlight w:val="none"/>
          <w:lang w:val="en-US" w:eastAsia="zh-CN"/>
        </w:rPr>
        <w:t>/</w:t>
      </w:r>
      <w:r>
        <w:rPr>
          <w:rFonts w:hint="eastAsia" w:ascii="宋体" w:hAnsi="宋体" w:eastAsia="宋体" w:cs="宋体"/>
          <w:bCs/>
          <w:color w:val="auto"/>
          <w:sz w:val="32"/>
          <w:szCs w:val="32"/>
          <w:highlight w:val="none"/>
        </w:rPr>
        <w:t>分标</w:t>
      </w:r>
      <w:r>
        <w:rPr>
          <w:rFonts w:hint="eastAsia" w:ascii="宋体" w:hAnsi="宋体" w:eastAsia="宋体" w:cs="宋体"/>
          <w:bCs/>
          <w:color w:val="auto"/>
          <w:sz w:val="32"/>
          <w:szCs w:val="32"/>
          <w:highlight w:val="none"/>
          <w:u w:val="single"/>
        </w:rPr>
        <w:t xml:space="preserve">       </w:t>
      </w:r>
    </w:p>
    <w:p>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投标人名称：（盖章）</w:t>
      </w:r>
    </w:p>
    <w:p>
      <w:pPr>
        <w:snapToGrid w:val="0"/>
        <w:spacing w:before="156" w:beforeLines="50" w:after="50" w:line="360" w:lineRule="exact"/>
        <w:ind w:firstLine="960" w:firstLineChars="3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投标人地址：</w:t>
      </w:r>
    </w:p>
    <w:p>
      <w:pPr>
        <w:snapToGrid w:val="0"/>
        <w:spacing w:before="156" w:beforeLines="50" w:after="50" w:line="360" w:lineRule="exact"/>
        <w:jc w:val="center"/>
        <w:outlineLvl w:val="1"/>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年  月  日</w:t>
      </w:r>
    </w:p>
    <w:p>
      <w:pPr>
        <w:snapToGrid w:val="0"/>
        <w:spacing w:before="156" w:beforeLines="50" w:after="50" w:line="360" w:lineRule="exact"/>
        <w:jc w:val="center"/>
        <w:outlineLvl w:val="1"/>
        <w:rPr>
          <w:rFonts w:hint="eastAsia" w:ascii="宋体" w:hAnsi="宋体" w:eastAsia="宋体" w:cs="宋体"/>
          <w:bCs/>
          <w:color w:val="auto"/>
          <w:sz w:val="32"/>
          <w:szCs w:val="32"/>
          <w:highlight w:val="none"/>
        </w:rPr>
      </w:pPr>
      <w:bookmarkStart w:id="12" w:name="_Toc254970698"/>
      <w:bookmarkStart w:id="13" w:name="_Toc254970557"/>
    </w:p>
    <w:p>
      <w:pPr>
        <w:snapToGrid w:val="0"/>
        <w:spacing w:before="156" w:beforeLines="50" w:after="50" w:line="360" w:lineRule="exact"/>
        <w:outlineLvl w:val="1"/>
        <w:rPr>
          <w:rFonts w:hint="eastAsia" w:ascii="宋体" w:hAnsi="宋体" w:eastAsia="宋体" w:cs="宋体"/>
          <w:bCs/>
          <w:color w:val="auto"/>
          <w:sz w:val="24"/>
          <w:szCs w:val="24"/>
          <w:highlight w:val="none"/>
        </w:rPr>
      </w:pPr>
      <w:r>
        <w:rPr>
          <w:rFonts w:hint="eastAsia" w:ascii="宋体" w:hAnsi="宋体" w:eastAsia="宋体" w:cs="宋体"/>
          <w:bCs/>
          <w:color w:val="auto"/>
          <w:sz w:val="32"/>
          <w:szCs w:val="32"/>
          <w:highlight w:val="none"/>
        </w:rPr>
        <w:t xml:space="preserve"> </w:t>
      </w:r>
      <w:r>
        <w:rPr>
          <w:rFonts w:hint="eastAsia" w:ascii="宋体" w:hAnsi="宋体" w:eastAsia="宋体" w:cs="宋体"/>
          <w:bCs/>
          <w:color w:val="auto"/>
          <w:sz w:val="24"/>
          <w:szCs w:val="24"/>
          <w:highlight w:val="none"/>
        </w:rPr>
        <w:t xml:space="preserve">    [注：</w:t>
      </w:r>
      <w:r>
        <w:rPr>
          <w:rFonts w:hint="eastAsia" w:ascii="宋体" w:hAnsi="宋体" w:eastAsia="宋体" w:cs="宋体"/>
          <w:color w:val="auto"/>
          <w:sz w:val="24"/>
          <w:szCs w:val="24"/>
          <w:highlight w:val="none"/>
        </w:rPr>
        <w:t>投标文件由</w:t>
      </w:r>
      <w:r>
        <w:rPr>
          <w:rFonts w:hint="eastAsia" w:ascii="宋体" w:hAnsi="宋体" w:eastAsia="宋体" w:cs="宋体"/>
          <w:b/>
          <w:bCs/>
          <w:color w:val="auto"/>
          <w:sz w:val="24"/>
          <w:szCs w:val="24"/>
          <w:highlight w:val="none"/>
        </w:rPr>
        <w:t>资格文件、资信及商务文件、技术文件、投标报价文件</w:t>
      </w:r>
      <w:r>
        <w:rPr>
          <w:rFonts w:hint="eastAsia" w:ascii="宋体" w:hAnsi="宋体" w:eastAsia="宋体" w:cs="宋体"/>
          <w:b/>
          <w:color w:val="auto"/>
          <w:sz w:val="24"/>
          <w:szCs w:val="24"/>
          <w:highlight w:val="none"/>
        </w:rPr>
        <w:t>四部份</w:t>
      </w:r>
      <w:r>
        <w:rPr>
          <w:rFonts w:hint="eastAsia" w:ascii="宋体" w:hAnsi="宋体" w:eastAsia="宋体" w:cs="宋体"/>
          <w:color w:val="auto"/>
          <w:sz w:val="24"/>
          <w:szCs w:val="24"/>
          <w:highlight w:val="none"/>
        </w:rPr>
        <w:t>组成</w:t>
      </w:r>
      <w:r>
        <w:rPr>
          <w:rFonts w:hint="eastAsia" w:ascii="宋体" w:hAnsi="宋体" w:eastAsia="宋体" w:cs="宋体"/>
          <w:bCs/>
          <w:color w:val="auto"/>
          <w:sz w:val="24"/>
          <w:szCs w:val="24"/>
          <w:highlight w:val="none"/>
        </w:rPr>
        <w:t>]</w:t>
      </w: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snapToGrid w:val="0"/>
        <w:spacing w:before="156" w:beforeLines="50" w:after="50" w:line="360" w:lineRule="exact"/>
        <w:jc w:val="center"/>
        <w:outlineLvl w:val="0"/>
        <w:rPr>
          <w:rFonts w:hint="eastAsia" w:ascii="宋体" w:hAnsi="宋体" w:eastAsia="宋体" w:cs="宋体"/>
          <w:bCs/>
          <w:color w:val="auto"/>
          <w:sz w:val="32"/>
          <w:szCs w:val="32"/>
          <w:highlight w:val="none"/>
        </w:rPr>
      </w:pPr>
    </w:p>
    <w:p>
      <w:pPr>
        <w:keepNext w:val="0"/>
        <w:keepLines w:val="0"/>
        <w:pageBreakBefore w:val="0"/>
        <w:widowControl w:val="0"/>
        <w:kinsoku/>
        <w:wordWrap/>
        <w:overflowPunct/>
        <w:topLinePunct w:val="0"/>
        <w:autoSpaceDE/>
        <w:autoSpaceDN/>
        <w:bidi w:val="0"/>
        <w:adjustRightInd/>
        <w:snapToGrid w:val="0"/>
        <w:spacing w:before="156" w:beforeLines="50" w:after="50" w:line="200" w:lineRule="exact"/>
        <w:jc w:val="center"/>
        <w:textAlignment w:val="auto"/>
        <w:outlineLvl w:val="0"/>
        <w:rPr>
          <w:rFonts w:hint="eastAsia" w:ascii="宋体" w:hAnsi="宋体" w:eastAsia="宋体" w:cs="宋体"/>
          <w:bCs/>
          <w:color w:val="auto"/>
          <w:sz w:val="32"/>
          <w:szCs w:val="32"/>
          <w:highlight w:val="none"/>
        </w:rPr>
      </w:pP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outlineLvl w:val="0"/>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二、投标文件目录</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outlineLvl w:val="1"/>
        <w:rPr>
          <w:rFonts w:hint="eastAsia" w:ascii="宋体" w:hAnsi="宋体" w:eastAsia="宋体" w:cs="宋体"/>
          <w:bCs/>
          <w:color w:val="auto"/>
          <w:sz w:val="32"/>
          <w:szCs w:val="32"/>
          <w:highlight w:val="none"/>
        </w:rPr>
      </w:pP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1.资格文件：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u w:val="none"/>
        </w:rPr>
        <w:t>（1）有</w:t>
      </w:r>
      <w:r>
        <w:rPr>
          <w:rFonts w:hint="eastAsia" w:ascii="宋体" w:hAnsi="宋体" w:eastAsia="宋体" w:cs="宋体"/>
          <w:color w:val="auto"/>
          <w:sz w:val="21"/>
          <w:szCs w:val="21"/>
          <w:highlight w:val="none"/>
          <w:u w:val="none"/>
        </w:rPr>
        <w:t>效的营业执照等证明文件复印件；</w:t>
      </w:r>
    </w:p>
    <w:p>
      <w:pPr>
        <w:pStyle w:val="14"/>
        <w:keepNext w:val="0"/>
        <w:keepLines w:val="0"/>
        <w:pageBreakBefore w:val="0"/>
        <w:widowControl w:val="0"/>
        <w:kinsoku w:val="0"/>
        <w:wordWrap/>
        <w:overflowPunct w:val="0"/>
        <w:topLinePunct w:val="0"/>
        <w:autoSpaceDE w:val="0"/>
        <w:autoSpaceDN w:val="0"/>
        <w:bidi w:val="0"/>
        <w:adjustRightInd w:val="0"/>
        <w:snapToGrid w:val="0"/>
        <w:spacing w:line="360" w:lineRule="exact"/>
        <w:ind w:leftChars="0" w:firstLine="421" w:firstLineChars="200"/>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rPr>
        <w:t>①投标人有效的营业执照等证明文件扫描件或其他电子文件，同时要加盖单位公章</w:t>
      </w:r>
      <w:r>
        <w:rPr>
          <w:rFonts w:hint="eastAsia" w:ascii="宋体" w:hAnsi="宋体" w:eastAsia="宋体" w:cs="宋体"/>
          <w:b/>
          <w:color w:val="auto"/>
          <w:sz w:val="21"/>
          <w:szCs w:val="21"/>
          <w:highlight w:val="none"/>
          <w:u w:val="none"/>
        </w:rPr>
        <w:t>（必须提供）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②对于有经营资质要求的，投标人必须提供有效的经营资质证书副本内页扫描件或其他电子文件，同时要加盖单位公章。</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bCs w:val="0"/>
          <w:color w:val="auto"/>
          <w:sz w:val="21"/>
          <w:szCs w:val="21"/>
          <w:highlight w:val="none"/>
          <w:u w:val="none"/>
        </w:rPr>
        <w:t>（2）</w:t>
      </w:r>
      <w:r>
        <w:rPr>
          <w:rFonts w:hint="eastAsia" w:ascii="宋体" w:hAnsi="宋体" w:eastAsia="宋体" w:cs="宋体"/>
          <w:b/>
          <w:bCs w:val="0"/>
          <w:color w:val="auto"/>
          <w:kern w:val="0"/>
          <w:sz w:val="21"/>
          <w:szCs w:val="21"/>
          <w:highlight w:val="none"/>
          <w:u w:val="none"/>
        </w:rPr>
        <w:t>参加政府采购活动前三年内在经营活动中没有重大违法记录的书面声明</w:t>
      </w:r>
      <w:r>
        <w:rPr>
          <w:rFonts w:hint="eastAsia" w:ascii="宋体" w:hAnsi="宋体" w:eastAsia="宋体" w:cs="宋体"/>
          <w:b w:val="0"/>
          <w:bCs/>
          <w:color w:val="auto"/>
          <w:sz w:val="21"/>
          <w:szCs w:val="21"/>
          <w:highlight w:val="none"/>
          <w:u w:val="none"/>
        </w:rPr>
        <w:t>和信用记录查询方法；</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①</w:t>
      </w:r>
      <w:r>
        <w:rPr>
          <w:rFonts w:hint="eastAsia" w:ascii="宋体" w:hAnsi="宋体" w:eastAsia="宋体" w:cs="宋体"/>
          <w:b/>
          <w:bCs/>
          <w:color w:val="auto"/>
          <w:kern w:val="0"/>
          <w:sz w:val="21"/>
          <w:szCs w:val="21"/>
          <w:highlight w:val="none"/>
          <w:u w:val="none"/>
        </w:rPr>
        <w:t>参加政府采购活动前三年内在经营活动中没有重大违法记录的书面声明</w:t>
      </w:r>
      <w:r>
        <w:rPr>
          <w:rFonts w:hint="eastAsia" w:ascii="宋体" w:hAnsi="宋体" w:eastAsia="宋体" w:cs="宋体"/>
          <w:color w:val="auto"/>
          <w:sz w:val="21"/>
          <w:szCs w:val="21"/>
          <w:highlight w:val="none"/>
          <w:u w:val="none"/>
        </w:rPr>
        <w:t>（格式自拟，</w:t>
      </w:r>
      <w:r>
        <w:rPr>
          <w:rFonts w:hint="eastAsia" w:ascii="宋体" w:hAnsi="宋体" w:eastAsia="宋体" w:cs="宋体"/>
          <w:b/>
          <w:bCs/>
          <w:color w:val="auto"/>
          <w:sz w:val="21"/>
          <w:szCs w:val="21"/>
          <w:highlight w:val="none"/>
          <w:u w:val="none"/>
        </w:rPr>
        <w:t>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②供应商可在“信用中国”网站（www.creditchina.gov.cn）、中国政府采购网（www.ccgp.gov.cn）查询相关供应商主体信用记录。</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“信用中国”网站查询方法：投标人在本项目投标截止时间前10日内,进入投标人基本信息页面，点击“下载信用报告”后点击“下载”。</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“中国政府采购网”的查询方法：点击“政府采购严重违法失信行为记录名单”进行查询。截止时间为本项目投标截止时间前10日至投标截止时间中任意一天。</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0" w:firstLineChars="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pStyle w:val="2"/>
        <w:ind w:left="0" w:leftChars="0" w:firstLine="421" w:firstLineChars="200"/>
        <w:rPr>
          <w:rFonts w:hint="eastAsia"/>
        </w:rPr>
      </w:pPr>
      <w:r>
        <w:rPr>
          <w:rFonts w:hint="eastAsia" w:ascii="宋体" w:eastAsia="宋体" w:cs="宋体"/>
          <w:b/>
          <w:bCs w:val="0"/>
          <w:color w:val="auto"/>
          <w:sz w:val="21"/>
          <w:szCs w:val="21"/>
          <w:highlight w:val="none"/>
          <w:u w:val="none"/>
          <w:lang w:val="en-US" w:eastAsia="zh-CN"/>
        </w:rPr>
        <w:t>(3)提供</w:t>
      </w:r>
      <w:r>
        <w:rPr>
          <w:rFonts w:hint="eastAsia" w:ascii="宋体" w:hAnsi="宋体" w:eastAsia="宋体" w:cs="宋体"/>
          <w:b/>
          <w:bCs w:val="0"/>
          <w:color w:val="auto"/>
          <w:sz w:val="21"/>
          <w:szCs w:val="21"/>
          <w:highlight w:val="none"/>
          <w:lang w:eastAsia="zh-CN"/>
        </w:rPr>
        <w:t>本项目所采购疫苗</w:t>
      </w:r>
      <w:r>
        <w:rPr>
          <w:rFonts w:hint="eastAsia" w:ascii="宋体" w:eastAsia="宋体" w:cs="宋体"/>
          <w:b/>
          <w:bCs w:val="0"/>
          <w:color w:val="auto"/>
          <w:sz w:val="21"/>
          <w:szCs w:val="21"/>
          <w:highlight w:val="none"/>
          <w:lang w:eastAsia="zh-CN"/>
        </w:rPr>
        <w:t>的</w:t>
      </w:r>
      <w:r>
        <w:rPr>
          <w:rFonts w:hint="eastAsia" w:ascii="宋体" w:hAnsi="宋体" w:eastAsia="宋体" w:cs="宋体"/>
          <w:b/>
          <w:bCs w:val="0"/>
          <w:color w:val="auto"/>
          <w:sz w:val="21"/>
          <w:szCs w:val="21"/>
          <w:highlight w:val="none"/>
        </w:rPr>
        <w:t>有效药品生产许可证、药品注册批件</w:t>
      </w:r>
      <w:r>
        <w:rPr>
          <w:rFonts w:hint="eastAsia" w:ascii="宋体" w:hAnsi="宋体" w:eastAsia="宋体" w:cs="宋体"/>
          <w:b/>
          <w:bCs w:val="0"/>
          <w:color w:val="auto"/>
          <w:sz w:val="21"/>
          <w:szCs w:val="21"/>
          <w:highlight w:val="none"/>
          <w:u w:val="none"/>
        </w:rPr>
        <w:t>（必须提供）</w:t>
      </w:r>
      <w:r>
        <w:rPr>
          <w:rFonts w:hint="eastAsia" w:ascii="宋体" w:hAnsi="宋体" w:eastAsia="宋体" w:cs="宋体"/>
          <w:b/>
          <w:bCs w:val="0"/>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2.资信及商务文件：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（1）投标保证金的相关证明扫描件或其他电子文件（必须提供）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（2）投标声明书 (格式见第六章)（必须提供）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color w:val="auto"/>
          <w:sz w:val="21"/>
          <w:szCs w:val="21"/>
          <w:highlight w:val="none"/>
          <w:u w:val="none"/>
        </w:rPr>
        <w:t>（3）法定代表人授权委托书和委托代理人身份证扫描件或其他电子文件（格式见第六章)（必须提供）</w:t>
      </w:r>
      <w:r>
        <w:rPr>
          <w:rFonts w:hint="eastAsia" w:ascii="宋体" w:hAnsi="宋体" w:eastAsia="宋体" w:cs="宋体"/>
          <w:color w:val="auto"/>
          <w:sz w:val="21"/>
          <w:szCs w:val="21"/>
          <w:highlight w:val="none"/>
          <w:u w:val="none"/>
        </w:rPr>
        <w:t>；</w:t>
      </w:r>
      <w:r>
        <w:rPr>
          <w:rFonts w:hint="eastAsia" w:ascii="宋体" w:hAnsi="宋体" w:eastAsia="宋体" w:cs="宋体"/>
          <w:b w:val="0"/>
          <w:bCs/>
          <w:color w:val="auto"/>
          <w:sz w:val="21"/>
          <w:szCs w:val="21"/>
          <w:highlight w:val="none"/>
          <w:u w:val="none"/>
        </w:rPr>
        <w:t>当法定代表人参加投标时，必须提供法定代表人身份证扫描件或其他电子文件；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（4）投标截止之日前半年内投标人</w:t>
      </w:r>
      <w:r>
        <w:rPr>
          <w:rFonts w:hint="eastAsia" w:ascii="宋体" w:hAnsi="宋体" w:eastAsia="宋体" w:cs="宋体"/>
          <w:b/>
          <w:color w:val="auto"/>
          <w:sz w:val="21"/>
          <w:szCs w:val="21"/>
          <w:highlight w:val="none"/>
          <w:u w:val="none"/>
          <w:lang w:eastAsia="zh-CN"/>
        </w:rPr>
        <w:t>任意一个月</w:t>
      </w:r>
      <w:r>
        <w:rPr>
          <w:rFonts w:hint="eastAsia" w:ascii="宋体" w:hAnsi="宋体" w:eastAsia="宋体" w:cs="宋体"/>
          <w:b/>
          <w:color w:val="auto"/>
          <w:sz w:val="21"/>
          <w:szCs w:val="21"/>
          <w:highlight w:val="none"/>
          <w:u w:val="none"/>
        </w:rPr>
        <w:t>的依法缴纳税费或依法免缴税费的证明（扫描件或其他电子文件，格式自拟）（必须提供）；</w:t>
      </w:r>
      <w:r>
        <w:rPr>
          <w:rFonts w:hint="eastAsia" w:ascii="宋体" w:hAnsi="宋体" w:eastAsia="宋体" w:cs="宋体"/>
          <w:color w:val="auto"/>
          <w:sz w:val="21"/>
          <w:szCs w:val="21"/>
          <w:highlight w:val="none"/>
          <w:u w:val="none"/>
        </w:rPr>
        <w:t>无纳税记录的，应提供由投标人所在地主管国税或地税部门出具的《依法纳税或依法免税证明》（格式</w:t>
      </w:r>
      <w:r>
        <w:rPr>
          <w:rFonts w:hint="eastAsia" w:ascii="宋体" w:hAnsi="宋体" w:eastAsia="宋体" w:cs="宋体"/>
          <w:b w:val="0"/>
          <w:bCs w:val="0"/>
          <w:color w:val="auto"/>
          <w:sz w:val="21"/>
          <w:szCs w:val="21"/>
          <w:highlight w:val="none"/>
          <w:u w:val="none"/>
        </w:rPr>
        <w:t>自拟，扫描件或其他电子文件）。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（5）投标截止之日前半年内投标人</w:t>
      </w:r>
      <w:r>
        <w:rPr>
          <w:rFonts w:hint="eastAsia" w:ascii="宋体" w:hAnsi="宋体" w:eastAsia="宋体" w:cs="宋体"/>
          <w:b/>
          <w:color w:val="auto"/>
          <w:sz w:val="21"/>
          <w:szCs w:val="21"/>
          <w:highlight w:val="none"/>
          <w:u w:val="none"/>
          <w:lang w:eastAsia="zh-CN"/>
        </w:rPr>
        <w:t>任意一个月</w:t>
      </w:r>
      <w:r>
        <w:rPr>
          <w:rFonts w:hint="eastAsia" w:ascii="宋体" w:hAnsi="宋体" w:eastAsia="宋体" w:cs="宋体"/>
          <w:b/>
          <w:color w:val="auto"/>
          <w:sz w:val="21"/>
          <w:szCs w:val="21"/>
          <w:highlight w:val="none"/>
          <w:u w:val="none"/>
        </w:rPr>
        <w:t>的依法缴纳社保费的缴费凭证</w:t>
      </w:r>
      <w:r>
        <w:rPr>
          <w:rFonts w:hint="eastAsia" w:ascii="宋体" w:hAnsi="宋体" w:eastAsia="宋体" w:cs="宋体"/>
          <w:color w:val="auto"/>
          <w:sz w:val="21"/>
          <w:szCs w:val="21"/>
          <w:highlight w:val="none"/>
          <w:u w:val="none"/>
        </w:rPr>
        <w:t>（</w:t>
      </w:r>
      <w:r>
        <w:rPr>
          <w:rFonts w:hint="eastAsia" w:ascii="宋体" w:hAnsi="宋体" w:eastAsia="宋体" w:cs="宋体"/>
          <w:b/>
          <w:color w:val="auto"/>
          <w:sz w:val="21"/>
          <w:szCs w:val="21"/>
          <w:highlight w:val="none"/>
          <w:u w:val="none"/>
        </w:rPr>
        <w:t>扫描件或其他电子文件，格式自拟）（必须提供）；</w:t>
      </w:r>
      <w:r>
        <w:rPr>
          <w:rFonts w:hint="eastAsia" w:ascii="宋体" w:hAnsi="宋体" w:eastAsia="宋体" w:cs="宋体"/>
          <w:color w:val="auto"/>
          <w:sz w:val="21"/>
          <w:szCs w:val="21"/>
          <w:highlight w:val="none"/>
          <w:u w:val="none"/>
        </w:rPr>
        <w:t>无缴费记录的，应提供由投标人所在地</w:t>
      </w:r>
      <w:r>
        <w:rPr>
          <w:rFonts w:hint="eastAsia" w:ascii="宋体" w:hAnsi="宋体" w:eastAsia="宋体" w:cs="宋体"/>
          <w:b w:val="0"/>
          <w:bCs w:val="0"/>
          <w:color w:val="auto"/>
          <w:sz w:val="21"/>
          <w:szCs w:val="21"/>
          <w:highlight w:val="none"/>
          <w:u w:val="none"/>
        </w:rPr>
        <w:t>社保部门出具的《依法缴纳或依法免缴社保费证明》（格式自拟，扫描件或其他电子文件）。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（6）财务状况报告（格式自拟，必须提供）；</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kern w:val="0"/>
          <w:sz w:val="21"/>
          <w:szCs w:val="21"/>
          <w:highlight w:val="none"/>
          <w:u w:val="none"/>
        </w:rPr>
        <w:t>（7）</w:t>
      </w:r>
      <w:r>
        <w:rPr>
          <w:rFonts w:hint="eastAsia" w:ascii="宋体" w:hAnsi="宋体" w:eastAsia="宋体" w:cs="宋体"/>
          <w:b/>
          <w:color w:val="auto"/>
          <w:sz w:val="21"/>
          <w:szCs w:val="21"/>
          <w:highlight w:val="none"/>
          <w:u w:val="none"/>
        </w:rPr>
        <w:t>具备履行合同所必需的设备和专业技术能力的证明材料（内容、格式自拟，必须提供）</w:t>
      </w:r>
      <w:r>
        <w:rPr>
          <w:rFonts w:hint="eastAsia" w:ascii="宋体" w:hAnsi="宋体" w:eastAsia="宋体" w:cs="宋体"/>
          <w:b/>
          <w:color w:val="auto"/>
          <w:kern w:val="0"/>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color w:val="auto"/>
          <w:sz w:val="21"/>
          <w:szCs w:val="21"/>
          <w:highlight w:val="none"/>
          <w:u w:val="none"/>
        </w:rPr>
        <w:t>（8）商务响应表</w:t>
      </w:r>
      <w:r>
        <w:rPr>
          <w:rFonts w:hint="eastAsia" w:ascii="宋体" w:hAnsi="宋体" w:eastAsia="宋体" w:cs="宋体"/>
          <w:color w:val="auto"/>
          <w:sz w:val="21"/>
          <w:szCs w:val="21"/>
          <w:highlight w:val="none"/>
          <w:u w:val="none"/>
        </w:rPr>
        <w:t>（格式见第六章）</w:t>
      </w:r>
      <w:r>
        <w:rPr>
          <w:rFonts w:hint="eastAsia" w:ascii="宋体" w:hAnsi="宋体" w:eastAsia="宋体" w:cs="宋体"/>
          <w:b/>
          <w:color w:val="auto"/>
          <w:sz w:val="21"/>
          <w:szCs w:val="21"/>
          <w:highlight w:val="none"/>
          <w:u w:val="none"/>
        </w:rPr>
        <w:t>（必须提供）；</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0" w:firstLineChars="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 xml:space="preserve">  ▲（9）</w:t>
      </w:r>
      <w:r>
        <w:rPr>
          <w:rFonts w:hint="eastAsia" w:ascii="宋体" w:hAnsi="宋体" w:eastAsia="宋体" w:cs="宋体"/>
          <w:b/>
          <w:color w:val="auto"/>
          <w:sz w:val="21"/>
          <w:szCs w:val="21"/>
          <w:highlight w:val="none"/>
          <w:u w:val="none"/>
        </w:rPr>
        <w:t>招标项目采购需求中要求必须提供的材料等；</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（10）具备法律、行政法规规定的其他条件的证明材料</w:t>
      </w:r>
      <w:r>
        <w:rPr>
          <w:rFonts w:hint="eastAsia" w:ascii="宋体" w:hAnsi="宋体" w:eastAsia="宋体" w:cs="宋体"/>
          <w:b/>
          <w:color w:val="auto"/>
          <w:sz w:val="21"/>
          <w:szCs w:val="21"/>
          <w:highlight w:val="none"/>
          <w:u w:val="none"/>
        </w:rPr>
        <w:t>(如有规定,则必须提供)。</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lang w:eastAsia="zh-CN"/>
        </w:rPr>
        <w:t>以下</w:t>
      </w:r>
      <w:r>
        <w:rPr>
          <w:rFonts w:hint="eastAsia" w:ascii="宋体" w:hAnsi="宋体" w:eastAsia="宋体" w:cs="宋体"/>
          <w:b/>
          <w:bCs/>
          <w:color w:val="auto"/>
          <w:sz w:val="21"/>
          <w:szCs w:val="21"/>
          <w:highlight w:val="none"/>
          <w:u w:val="none"/>
        </w:rPr>
        <w:t xml:space="preserve">可作为投标人资信评分的资质证明材料（可选）  </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（11）类似案例成功的业绩（投标人同类项目实施情况一览表、合同扫描件）；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12</w:t>
      </w:r>
      <w:r>
        <w:rPr>
          <w:rFonts w:hint="eastAsia" w:ascii="宋体" w:hAnsi="宋体" w:eastAsia="宋体" w:cs="宋体"/>
          <w:b/>
          <w:color w:val="auto"/>
          <w:sz w:val="21"/>
          <w:szCs w:val="21"/>
          <w:highlight w:val="none"/>
          <w:u w:val="none"/>
        </w:rPr>
        <w:t>）</w:t>
      </w:r>
      <w:r>
        <w:rPr>
          <w:rFonts w:hint="eastAsia" w:ascii="宋体" w:hAnsi="宋体" w:eastAsia="宋体" w:cs="宋体"/>
          <w:color w:val="auto"/>
          <w:sz w:val="21"/>
          <w:szCs w:val="21"/>
          <w:highlight w:val="none"/>
          <w:u w:val="none"/>
        </w:rPr>
        <w:t>其他特殊资质证书（如本地化服务能力等）；</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（13）节能环保产品或政府强制采购节能产品清单证书</w:t>
      </w:r>
      <w:r>
        <w:rPr>
          <w:rFonts w:hint="eastAsia" w:ascii="宋体" w:hAnsi="宋体" w:eastAsia="宋体" w:cs="宋体"/>
          <w:b/>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（14）投标人质量管理和质量保证体系等方面的认证证书；</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（15）投标人认为可以证明其能力或业绩的其他材料；</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（16）投标人关于产品生产时间、升级或者更新淘汰计划、配件供应以及本单位债务纠纷、违法违规记录等方面的情况（内容见投标声明书）；</w:t>
      </w:r>
    </w:p>
    <w:p>
      <w:pPr>
        <w:keepNext w:val="0"/>
        <w:keepLines w:val="0"/>
        <w:pageBreakBefore w:val="0"/>
        <w:widowControl w:val="0"/>
        <w:kinsoku w:val="0"/>
        <w:wordWrap/>
        <w:overflowPunct w:val="0"/>
        <w:topLinePunct w:val="0"/>
        <w:autoSpaceDE w:val="0"/>
        <w:autoSpaceDN w:val="0"/>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（17）中小企业声明函（格式见第六章，如有请提供）；</w:t>
      </w:r>
    </w:p>
    <w:p>
      <w:pPr>
        <w:keepNext w:val="0"/>
        <w:keepLines w:val="0"/>
        <w:pageBreakBefore w:val="0"/>
        <w:widowControl w:val="0"/>
        <w:kinsoku w:val="0"/>
        <w:wordWrap/>
        <w:overflowPunct w:val="0"/>
        <w:topLinePunct w:val="0"/>
        <w:autoSpaceDE w:val="0"/>
        <w:autoSpaceDN w:val="0"/>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（18）关于符合本国产品标准的声明函（格式见第六章，如有请提供）；</w:t>
      </w:r>
    </w:p>
    <w:p>
      <w:pPr>
        <w:keepNext w:val="0"/>
        <w:keepLines w:val="0"/>
        <w:pageBreakBefore w:val="0"/>
        <w:widowControl w:val="0"/>
        <w:kinsoku w:val="0"/>
        <w:wordWrap/>
        <w:overflowPunct w:val="0"/>
        <w:topLinePunct w:val="0"/>
        <w:autoSpaceDE w:val="0"/>
        <w:autoSpaceDN w:val="0"/>
        <w:bidi w:val="0"/>
        <w:adjustRightInd w:val="0"/>
        <w:snapToGrid w:val="0"/>
        <w:spacing w:line="360" w:lineRule="exact"/>
        <w:ind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（19）投标人情况介绍。</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3.技术文件</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（1）对本项目系统总体要求的理解；</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（2）</w:t>
      </w:r>
      <w:r>
        <w:rPr>
          <w:rFonts w:hint="eastAsia" w:ascii="宋体" w:hAnsi="宋体" w:eastAsia="宋体" w:cs="宋体"/>
          <w:b/>
          <w:color w:val="auto"/>
          <w:sz w:val="21"/>
          <w:szCs w:val="21"/>
          <w:highlight w:val="none"/>
          <w:u w:val="none"/>
        </w:rPr>
        <w:t>技术响应表（必须提供）；</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（3）设备配置清单（均不含报价）；</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（4）</w:t>
      </w:r>
      <w:r>
        <w:rPr>
          <w:rFonts w:hint="eastAsia" w:ascii="宋体" w:hAnsi="宋体" w:eastAsia="宋体" w:cs="宋体"/>
          <w:b/>
          <w:color w:val="auto"/>
          <w:sz w:val="21"/>
          <w:szCs w:val="21"/>
          <w:highlight w:val="none"/>
          <w:u w:val="none"/>
        </w:rPr>
        <w:t>售后服务承诺书</w:t>
      </w:r>
      <w:r>
        <w:rPr>
          <w:rFonts w:hint="eastAsia" w:ascii="宋体" w:hAnsi="宋体" w:eastAsia="宋体" w:cs="宋体"/>
          <w:color w:val="auto"/>
          <w:sz w:val="21"/>
          <w:szCs w:val="21"/>
          <w:highlight w:val="none"/>
          <w:u w:val="none"/>
        </w:rPr>
        <w:t>（应据项目实际要求描述如：投标人建议的安装、调试、验收方法或方案；技术服务、技术培训、售后服务的内容和措施等），</w:t>
      </w:r>
      <w:r>
        <w:rPr>
          <w:rFonts w:hint="eastAsia" w:ascii="宋体" w:hAnsi="宋体" w:eastAsia="宋体" w:cs="宋体"/>
          <w:b/>
          <w:color w:val="auto"/>
          <w:sz w:val="21"/>
          <w:szCs w:val="21"/>
          <w:highlight w:val="none"/>
          <w:u w:val="none"/>
        </w:rPr>
        <w:t>(格式自拟,必须提供)</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（5）投标人拥有主要装备和检测设施的情况和现状（格式自拟）及项目实施人员一览表； </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（6）优惠条件：投标人承诺给予招标人的各种优惠条件，包括备品备件、专用耗材、售后服务等方面的优惠；</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（7）投标人对本项目的合理化建议和改进措施；</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（8）投标人需要说明的其他文件和说明（格式略）；</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▲（9）招标项目采购需求中要求必须提供的材料。</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13" w:firstLineChars="196"/>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4.报价文件：</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 xml:space="preserve">，格式见第六章）； </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（2）投标报价明细表（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（3）投标人针对报价需要说明的其他文件和说明（格式自拟）；</w:t>
      </w:r>
    </w:p>
    <w:p>
      <w:pPr>
        <w:keepNext w:val="0"/>
        <w:keepLines w:val="0"/>
        <w:pageBreakBefore w:val="0"/>
        <w:widowControl w:val="0"/>
        <w:tabs>
          <w:tab w:val="left" w:pos="3870"/>
          <w:tab w:val="left" w:pos="4085"/>
        </w:tabs>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（4）开标一览表（</w:t>
      </w:r>
      <w:r>
        <w:rPr>
          <w:rFonts w:hint="eastAsia" w:ascii="宋体" w:hAnsi="宋体" w:eastAsia="宋体" w:cs="宋体"/>
          <w:b/>
          <w:color w:val="auto"/>
          <w:sz w:val="21"/>
          <w:szCs w:val="21"/>
          <w:highlight w:val="none"/>
        </w:rPr>
        <w:t>必须提供</w:t>
      </w:r>
      <w:r>
        <w:rPr>
          <w:rFonts w:hint="eastAsia" w:ascii="宋体" w:hAnsi="宋体" w:eastAsia="宋体" w:cs="宋体"/>
          <w:color w:val="auto"/>
          <w:sz w:val="21"/>
          <w:szCs w:val="21"/>
          <w:highlight w:val="none"/>
        </w:rPr>
        <w:t>,格式见第六章）。</w:t>
      </w:r>
    </w:p>
    <w:p>
      <w:pPr>
        <w:pStyle w:val="17"/>
        <w:keepNext w:val="0"/>
        <w:keepLines w:val="0"/>
        <w:pageBreakBefore w:val="0"/>
        <w:widowControl w:val="0"/>
        <w:kinsoku w:val="0"/>
        <w:wordWrap/>
        <w:overflowPunct w:val="0"/>
        <w:topLinePunct w:val="0"/>
        <w:autoSpaceDE w:val="0"/>
        <w:autoSpaceDN w:val="0"/>
        <w:bidi w:val="0"/>
        <w:spacing w:line="360" w:lineRule="exac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注：法定代表人授权委托书、投标声明书、投标函、开标一览表必须按</w:t>
      </w:r>
      <w:r>
        <w:rPr>
          <w:rFonts w:hint="eastAsia" w:ascii="宋体" w:hAnsi="宋体" w:eastAsia="宋体" w:cs="宋体"/>
          <w:b/>
          <w:color w:val="auto"/>
          <w:sz w:val="21"/>
          <w:szCs w:val="21"/>
          <w:highlight w:val="none"/>
        </w:rPr>
        <w:t>招标文件格式要求签字或签章</w:t>
      </w:r>
      <w:r>
        <w:rPr>
          <w:rFonts w:hint="eastAsia" w:ascii="宋体" w:hAnsi="宋体" w:eastAsia="宋体" w:cs="宋体"/>
          <w:b/>
          <w:bCs/>
          <w:color w:val="auto"/>
          <w:sz w:val="21"/>
          <w:szCs w:val="21"/>
          <w:highlight w:val="none"/>
        </w:rPr>
        <w:t>并加盖单位公章。</w:t>
      </w: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p>
    <w:p>
      <w:pPr>
        <w:pStyle w:val="17"/>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三、投标文件格式</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 xml:space="preserve">  一）</w:t>
      </w:r>
      <w:r>
        <w:rPr>
          <w:rFonts w:hint="eastAsia" w:ascii="宋体" w:hAnsi="宋体" w:eastAsia="宋体" w:cs="宋体"/>
          <w:b/>
          <w:bCs/>
          <w:color w:val="auto"/>
          <w:sz w:val="21"/>
          <w:szCs w:val="21"/>
          <w:highlight w:val="none"/>
        </w:rPr>
        <w:t>资格文件部分（格式）</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u w:val="none"/>
        </w:rPr>
        <w:t>（1）有</w:t>
      </w:r>
      <w:r>
        <w:rPr>
          <w:rFonts w:hint="eastAsia" w:ascii="宋体" w:hAnsi="宋体" w:eastAsia="宋体" w:cs="宋体"/>
          <w:color w:val="auto"/>
          <w:sz w:val="21"/>
          <w:szCs w:val="21"/>
          <w:highlight w:val="none"/>
          <w:u w:val="none"/>
        </w:rPr>
        <w:t>效的营业执照等证明文件复印件；</w:t>
      </w:r>
    </w:p>
    <w:p>
      <w:pPr>
        <w:pStyle w:val="14"/>
        <w:keepNext w:val="0"/>
        <w:keepLines w:val="0"/>
        <w:pageBreakBefore w:val="0"/>
        <w:widowControl w:val="0"/>
        <w:kinsoku w:val="0"/>
        <w:wordWrap/>
        <w:overflowPunct w:val="0"/>
        <w:topLinePunct w:val="0"/>
        <w:autoSpaceDE w:val="0"/>
        <w:autoSpaceDN w:val="0"/>
        <w:bidi w:val="0"/>
        <w:adjustRightInd w:val="0"/>
        <w:snapToGrid w:val="0"/>
        <w:spacing w:line="360" w:lineRule="exact"/>
        <w:ind w:leftChars="0" w:firstLine="421" w:firstLineChars="200"/>
        <w:textAlignment w:val="auto"/>
        <w:rPr>
          <w:rFonts w:hint="eastAsia" w:ascii="宋体" w:hAnsi="宋体" w:eastAsia="宋体" w:cs="宋体"/>
          <w:b/>
          <w:color w:val="auto"/>
          <w:sz w:val="21"/>
          <w:szCs w:val="21"/>
          <w:highlight w:val="none"/>
          <w:u w:val="none"/>
        </w:rPr>
      </w:pPr>
      <w:r>
        <w:rPr>
          <w:rFonts w:hint="eastAsia" w:ascii="宋体" w:hAnsi="宋体" w:eastAsia="宋体" w:cs="宋体"/>
          <w:b/>
          <w:bCs/>
          <w:color w:val="auto"/>
          <w:sz w:val="21"/>
          <w:szCs w:val="21"/>
          <w:highlight w:val="none"/>
          <w:u w:val="none"/>
        </w:rPr>
        <w:t>①投标人有效的营业执照等证明文件扫描件或其他电子文件，同时要加盖单位公章</w:t>
      </w:r>
      <w:r>
        <w:rPr>
          <w:rFonts w:hint="eastAsia" w:ascii="宋体" w:hAnsi="宋体" w:eastAsia="宋体" w:cs="宋体"/>
          <w:b/>
          <w:color w:val="auto"/>
          <w:sz w:val="21"/>
          <w:szCs w:val="21"/>
          <w:highlight w:val="none"/>
          <w:u w:val="none"/>
        </w:rPr>
        <w:t>（必须提供）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b/>
          <w:color w:val="auto"/>
          <w:sz w:val="21"/>
          <w:szCs w:val="21"/>
          <w:highlight w:val="none"/>
          <w:u w:val="none"/>
        </w:rPr>
      </w:pPr>
      <w:r>
        <w:rPr>
          <w:rFonts w:hint="eastAsia" w:ascii="宋体" w:hAnsi="宋体" w:eastAsia="宋体" w:cs="宋体"/>
          <w:color w:val="auto"/>
          <w:sz w:val="21"/>
          <w:szCs w:val="21"/>
          <w:highlight w:val="none"/>
          <w:u w:val="none"/>
        </w:rPr>
        <w:t>②对于有经营资质要求的，投标人必须提供有效的经营资质证书副本内页扫描件或其他电子文件，同时要加盖单位公章。</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b w:val="0"/>
          <w:bCs/>
          <w:color w:val="auto"/>
          <w:sz w:val="21"/>
          <w:szCs w:val="21"/>
          <w:highlight w:val="none"/>
          <w:u w:val="none"/>
        </w:rPr>
      </w:pPr>
      <w:r>
        <w:rPr>
          <w:rFonts w:hint="eastAsia" w:ascii="宋体" w:hAnsi="宋体" w:eastAsia="宋体" w:cs="宋体"/>
          <w:b/>
          <w:bCs w:val="0"/>
          <w:color w:val="auto"/>
          <w:sz w:val="21"/>
          <w:szCs w:val="21"/>
          <w:highlight w:val="none"/>
          <w:u w:val="none"/>
        </w:rPr>
        <w:t>（2）</w:t>
      </w:r>
      <w:r>
        <w:rPr>
          <w:rFonts w:hint="eastAsia" w:ascii="宋体" w:hAnsi="宋体" w:eastAsia="宋体" w:cs="宋体"/>
          <w:b/>
          <w:bCs w:val="0"/>
          <w:color w:val="auto"/>
          <w:kern w:val="0"/>
          <w:sz w:val="21"/>
          <w:szCs w:val="21"/>
          <w:highlight w:val="none"/>
          <w:u w:val="none"/>
        </w:rPr>
        <w:t>参加政府采购活动前三年内在经营活动中没有重大违法记录的书面声明</w:t>
      </w:r>
      <w:r>
        <w:rPr>
          <w:rFonts w:hint="eastAsia" w:ascii="宋体" w:hAnsi="宋体" w:eastAsia="宋体" w:cs="宋体"/>
          <w:b w:val="0"/>
          <w:bCs/>
          <w:color w:val="auto"/>
          <w:sz w:val="21"/>
          <w:szCs w:val="21"/>
          <w:highlight w:val="none"/>
          <w:u w:val="none"/>
        </w:rPr>
        <w:t>和信用记录查询方法；</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1"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①</w:t>
      </w:r>
      <w:r>
        <w:rPr>
          <w:rFonts w:hint="eastAsia" w:ascii="宋体" w:hAnsi="宋体" w:eastAsia="宋体" w:cs="宋体"/>
          <w:b/>
          <w:bCs/>
          <w:color w:val="auto"/>
          <w:kern w:val="0"/>
          <w:sz w:val="21"/>
          <w:szCs w:val="21"/>
          <w:highlight w:val="none"/>
          <w:u w:val="none"/>
        </w:rPr>
        <w:t>参加政府采购活动前三年内在经营活动中没有重大违法记录的书面声明</w:t>
      </w:r>
      <w:r>
        <w:rPr>
          <w:rFonts w:hint="eastAsia" w:ascii="宋体" w:hAnsi="宋体" w:eastAsia="宋体" w:cs="宋体"/>
          <w:color w:val="auto"/>
          <w:sz w:val="21"/>
          <w:szCs w:val="21"/>
          <w:highlight w:val="none"/>
          <w:u w:val="none"/>
        </w:rPr>
        <w:t>（格式自拟，</w:t>
      </w:r>
      <w:r>
        <w:rPr>
          <w:rFonts w:hint="eastAsia" w:ascii="宋体" w:hAnsi="宋体" w:eastAsia="宋体" w:cs="宋体"/>
          <w:b/>
          <w:bCs/>
          <w:color w:val="auto"/>
          <w:sz w:val="21"/>
          <w:szCs w:val="21"/>
          <w:highlight w:val="none"/>
          <w:u w:val="none"/>
        </w:rPr>
        <w:t>必须提供</w:t>
      </w:r>
      <w:r>
        <w:rPr>
          <w:rFonts w:hint="eastAsia" w:ascii="宋体" w:hAnsi="宋体" w:eastAsia="宋体" w:cs="宋体"/>
          <w:color w:val="auto"/>
          <w:sz w:val="21"/>
          <w:szCs w:val="21"/>
          <w:highlight w:val="none"/>
          <w:u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②供应商可在“信用中国”网站（www.creditchina.gov.cn）、中国政府采购网（www.ccgp.gov.cn）查询相关供应商主体信用记录。</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“信用中国”网站查询方法：投标人在本项目投标截止时间前10日内,进入投标人基本信息页面，点击“下载信用报告”后点击“下载”。</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“中国政府采购网”的查询方法：点击“政府采购严重违法失信行为记录名单”进行查询。截止时间为本项目投标截止时间前10日至投标截止时间中任意一天。</w:t>
      </w:r>
    </w:p>
    <w:p>
      <w:pPr>
        <w:keepNext w:val="0"/>
        <w:keepLines w:val="0"/>
        <w:pageBreakBefore w:val="0"/>
        <w:widowControl w:val="0"/>
        <w:kinsoku w:val="0"/>
        <w:wordWrap/>
        <w:overflowPunct w:val="0"/>
        <w:topLinePunct w:val="0"/>
        <w:autoSpaceDE w:val="0"/>
        <w:autoSpaceDN w:val="0"/>
        <w:bidi w:val="0"/>
        <w:snapToGrid w:val="0"/>
        <w:spacing w:line="360" w:lineRule="exact"/>
        <w:ind w:leftChars="0" w:firstLine="0" w:firstLineChars="0"/>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pStyle w:val="2"/>
        <w:ind w:left="0" w:leftChars="0" w:firstLine="421" w:firstLineChars="200"/>
        <w:rPr>
          <w:rFonts w:hint="eastAsia"/>
        </w:rPr>
      </w:pPr>
      <w:r>
        <w:rPr>
          <w:rFonts w:hint="eastAsia" w:ascii="宋体" w:eastAsia="宋体" w:cs="宋体"/>
          <w:b/>
          <w:bCs w:val="0"/>
          <w:color w:val="auto"/>
          <w:sz w:val="21"/>
          <w:szCs w:val="21"/>
          <w:highlight w:val="none"/>
          <w:u w:val="none"/>
          <w:lang w:val="en-US" w:eastAsia="zh-CN"/>
        </w:rPr>
        <w:t>(3)提供</w:t>
      </w:r>
      <w:r>
        <w:rPr>
          <w:rFonts w:hint="eastAsia" w:ascii="宋体" w:hAnsi="宋体" w:eastAsia="宋体" w:cs="宋体"/>
          <w:b/>
          <w:bCs w:val="0"/>
          <w:color w:val="auto"/>
          <w:sz w:val="21"/>
          <w:szCs w:val="21"/>
          <w:highlight w:val="none"/>
          <w:lang w:eastAsia="zh-CN"/>
        </w:rPr>
        <w:t>本项目所采购疫苗</w:t>
      </w:r>
      <w:r>
        <w:rPr>
          <w:rFonts w:hint="eastAsia" w:ascii="宋体" w:eastAsia="宋体" w:cs="宋体"/>
          <w:b/>
          <w:bCs w:val="0"/>
          <w:color w:val="auto"/>
          <w:sz w:val="21"/>
          <w:szCs w:val="21"/>
          <w:highlight w:val="none"/>
          <w:lang w:eastAsia="zh-CN"/>
        </w:rPr>
        <w:t>的</w:t>
      </w:r>
      <w:r>
        <w:rPr>
          <w:rFonts w:hint="eastAsia" w:ascii="宋体" w:hAnsi="宋体" w:eastAsia="宋体" w:cs="宋体"/>
          <w:b/>
          <w:bCs w:val="0"/>
          <w:color w:val="auto"/>
          <w:sz w:val="21"/>
          <w:szCs w:val="21"/>
          <w:highlight w:val="none"/>
        </w:rPr>
        <w:t>有效药品生产许可证、药品注册批件</w:t>
      </w:r>
      <w:r>
        <w:rPr>
          <w:rFonts w:hint="eastAsia" w:ascii="宋体" w:hAnsi="宋体" w:eastAsia="宋体" w:cs="宋体"/>
          <w:b/>
          <w:bCs w:val="0"/>
          <w:color w:val="auto"/>
          <w:sz w:val="21"/>
          <w:szCs w:val="21"/>
          <w:highlight w:val="none"/>
          <w:u w:val="none"/>
        </w:rPr>
        <w:t>（必须提供）</w:t>
      </w:r>
      <w:r>
        <w:rPr>
          <w:rFonts w:hint="eastAsia" w:ascii="宋体" w:hAnsi="宋体" w:eastAsia="宋体" w:cs="宋体"/>
          <w:b/>
          <w:bCs w:val="0"/>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r>
        <w:rPr>
          <w:rFonts w:hint="eastAsia" w:ascii="宋体" w:hAnsi="宋体" w:eastAsia="宋体" w:cs="宋体"/>
          <w:b/>
          <w:color w:val="auto"/>
          <w:sz w:val="32"/>
          <w:szCs w:val="32"/>
          <w:highlight w:val="non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6"/>
          <w:szCs w:val="36"/>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参加政府采购活动前三年内在经营活动中没有重大违法记录的书面声明</w:t>
      </w: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sz w:val="36"/>
          <w:szCs w:val="36"/>
          <w:highlight w:val="none"/>
        </w:rPr>
      </w:pPr>
      <w:r>
        <w:rPr>
          <w:rFonts w:hint="eastAsia" w:ascii="宋体" w:hAnsi="宋体" w:eastAsia="宋体" w:cs="宋体"/>
          <w:b/>
          <w:color w:val="auto"/>
          <w:sz w:val="32"/>
          <w:szCs w:val="32"/>
          <w:highlight w:val="none"/>
        </w:rPr>
        <w:t>（格式自拟，必须提供</w:t>
      </w:r>
      <w:r>
        <w:rPr>
          <w:rFonts w:hint="eastAsia" w:ascii="宋体" w:hAnsi="宋体" w:eastAsia="宋体" w:cs="宋体"/>
          <w:b/>
          <w:color w:val="auto"/>
          <w:sz w:val="36"/>
          <w:szCs w:val="36"/>
          <w:highlight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firstLine="413" w:firstLineChars="196"/>
        <w:jc w:val="center"/>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3509" w:firstLineChars="1671"/>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法定代表人（或机构负责人）或委托代理人签名（或签章）：             </w:t>
      </w:r>
    </w:p>
    <w:p>
      <w:pPr>
        <w:keepNext w:val="0"/>
        <w:keepLines w:val="0"/>
        <w:pageBreakBefore w:val="0"/>
        <w:widowControl w:val="0"/>
        <w:kinsoku w:val="0"/>
        <w:wordWrap/>
        <w:overflowPunct w:val="0"/>
        <w:topLinePunct w:val="0"/>
        <w:autoSpaceDE w:val="0"/>
        <w:autoSpaceDN w:val="0"/>
        <w:bidi w:val="0"/>
        <w:snapToGrid w:val="0"/>
        <w:spacing w:line="360" w:lineRule="exact"/>
        <w:ind w:firstLine="5880" w:firstLineChars="2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投标人公章：                                    </w:t>
      </w:r>
    </w:p>
    <w:p>
      <w:pPr>
        <w:pStyle w:val="14"/>
        <w:keepNext w:val="0"/>
        <w:keepLines w:val="0"/>
        <w:pageBreakBefore w:val="0"/>
        <w:widowControl w:val="0"/>
        <w:tabs>
          <w:tab w:val="left" w:pos="5580"/>
        </w:tabs>
        <w:kinsoku w:val="0"/>
        <w:wordWrap/>
        <w:overflowPunct w:val="0"/>
        <w:topLinePunct w:val="0"/>
        <w:autoSpaceDE w:val="0"/>
        <w:autoSpaceDN w:val="0"/>
        <w:bidi w:val="0"/>
        <w:spacing w:line="360" w:lineRule="exact"/>
        <w:ind w:left="1080" w:leftChars="257" w:hanging="54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pPr>
        <w:keepNext w:val="0"/>
        <w:keepLines w:val="0"/>
        <w:pageBreakBefore w:val="0"/>
        <w:widowControl w:val="0"/>
        <w:kinsoku w:val="0"/>
        <w:wordWrap/>
        <w:overflowPunct w:val="0"/>
        <w:topLinePunct w:val="0"/>
        <w:autoSpaceDE w:val="0"/>
        <w:autoSpaceDN w:val="0"/>
        <w:bidi w:val="0"/>
        <w:snapToGrid w:val="0"/>
        <w:spacing w:line="360" w:lineRule="exact"/>
        <w:ind w:firstLine="843" w:firstLineChars="40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说明:1.投标人应按照相关法规规定如实做出书面声明。</w:t>
      </w:r>
    </w:p>
    <w:p>
      <w:pPr>
        <w:keepNext w:val="0"/>
        <w:keepLines w:val="0"/>
        <w:pageBreakBefore w:val="0"/>
        <w:widowControl w:val="0"/>
        <w:kinsoku w:val="0"/>
        <w:wordWrap/>
        <w:overflowPunct w:val="0"/>
        <w:topLinePunct w:val="0"/>
        <w:autoSpaceDE w:val="0"/>
        <w:autoSpaceDN w:val="0"/>
        <w:bidi w:val="0"/>
        <w:snapToGrid w:val="0"/>
        <w:spacing w:line="360" w:lineRule="exact"/>
        <w:ind w:firstLine="1475" w:firstLineChars="70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2.</w:t>
      </w:r>
      <w:r>
        <w:rPr>
          <w:rFonts w:hint="eastAsia" w:ascii="宋体" w:hAnsi="宋体" w:eastAsia="宋体" w:cs="宋体"/>
          <w:b/>
          <w:color w:val="auto"/>
          <w:kern w:val="0"/>
          <w:sz w:val="21"/>
          <w:szCs w:val="21"/>
          <w:highlight w:val="none"/>
        </w:rPr>
        <w:t>按照采购文件的规定盖章（自然人投标的无需盖章，需要签字或签章）。</w:t>
      </w:r>
    </w:p>
    <w:bookmarkEnd w:id="12"/>
    <w:bookmarkEnd w:id="13"/>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w:t>
      </w:r>
      <w:r>
        <w:rPr>
          <w:rFonts w:hint="eastAsia" w:ascii="宋体" w:hAnsi="宋体" w:eastAsia="宋体" w:cs="宋体"/>
          <w:b/>
          <w:bCs/>
          <w:color w:val="auto"/>
          <w:sz w:val="21"/>
          <w:szCs w:val="21"/>
          <w:highlight w:val="none"/>
        </w:rPr>
        <w:t>资信及商务文件部分（格式）</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color w:val="auto"/>
          <w:sz w:val="21"/>
          <w:szCs w:val="21"/>
          <w:highlight w:val="none"/>
        </w:rPr>
        <w:t>投标保证金的相关证明扫描件或其他电子文件</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04" w:firstLineChars="97"/>
        <w:jc w:val="left"/>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21"/>
          <w:szCs w:val="21"/>
          <w:highlight w:val="none"/>
        </w:rPr>
        <w:t>（2）投标声明书格式：</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投标声明书</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广西壮族自治区政府采购中心</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（投标人名称）系中华人民共和国合法企业，经营地址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（投标人名称）的法定代表人，我方愿意参加贵方组织的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_</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项目的投标，为便于贵方公正、择优地确定中标人及其投标产品和服务，我方就本次投标有关事项郑重声明如下：</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1.我方向贵方提交的所有投标文件、资料都是准确的和真实的。</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2.我方不是采购人的附属机构；在获知本项目采购信息后，与采购人聘请的为此项目提供咨询服务的公司及其附属机构没有任何联系。</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3.我方此次向贵方提供的产品名称为：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；规格型号：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；该型号产品我方有现货可供，并已于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月生产完工或向　</w:t>
      </w:r>
      <w:r>
        <w:rPr>
          <w:rFonts w:hint="eastAsia" w:ascii="宋体" w:hAnsi="宋体" w:eastAsia="宋体" w:cs="宋体"/>
          <w:color w:val="auto"/>
          <w:sz w:val="21"/>
          <w:szCs w:val="21"/>
          <w:highlight w:val="none"/>
          <w:u w:val="single"/>
        </w:rPr>
        <w:t>　              （原厂商名称）</w:t>
      </w:r>
      <w:r>
        <w:rPr>
          <w:rFonts w:hint="eastAsia" w:ascii="宋体" w:hAnsi="宋体" w:eastAsia="宋体" w:cs="宋体"/>
          <w:color w:val="auto"/>
          <w:sz w:val="21"/>
          <w:szCs w:val="21"/>
          <w:highlight w:val="none"/>
        </w:rPr>
        <w:t>购进［</w:t>
      </w:r>
      <w:r>
        <w:rPr>
          <w:rFonts w:hint="eastAsia" w:ascii="宋体" w:hAnsi="宋体" w:eastAsia="宋体" w:cs="宋体"/>
          <w:b/>
          <w:bCs/>
          <w:color w:val="auto"/>
          <w:sz w:val="21"/>
          <w:szCs w:val="21"/>
          <w:highlight w:val="none"/>
        </w:rPr>
        <w:t>或</w:t>
      </w:r>
      <w:r>
        <w:rPr>
          <w:rFonts w:hint="eastAsia" w:ascii="宋体" w:hAnsi="宋体" w:eastAsia="宋体" w:cs="宋体"/>
          <w:color w:val="auto"/>
          <w:sz w:val="21"/>
          <w:szCs w:val="21"/>
          <w:highlight w:val="none"/>
        </w:rPr>
        <w:t>需在中标后向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订购］。</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4.我方诚意提请贵方关注：近期有关该型号产品的生产、供货、售后服务以及性能等方面的重大决策和事项有：</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w:t>
      </w:r>
    </w:p>
    <w:p>
      <w:pPr>
        <w:keepNext w:val="0"/>
        <w:keepLines w:val="0"/>
        <w:pageBreakBefore w:val="0"/>
        <w:widowControl w:val="0"/>
        <w:kinsoku w:val="0"/>
        <w:wordWrap/>
        <w:overflowPunct w:val="0"/>
        <w:topLinePunct w:val="0"/>
        <w:autoSpaceDE w:val="0"/>
        <w:autoSpaceDN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5.我方参加政府采购活动前三年内在经营活动中重大违法记录和不良信用记录情况：</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1"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b/>
          <w:color w:val="auto"/>
          <w:sz w:val="21"/>
          <w:szCs w:val="21"/>
          <w:highlight w:val="none"/>
          <w:u w:val="single"/>
        </w:rPr>
        <w:t>　　　　　　</w:t>
      </w:r>
      <w:r>
        <w:rPr>
          <w:rFonts w:hint="eastAsia" w:ascii="宋体" w:hAnsi="宋体" w:eastAsia="宋体" w:cs="宋体"/>
          <w:color w:val="auto"/>
          <w:sz w:val="21"/>
          <w:szCs w:val="21"/>
          <w:highlight w:val="none"/>
          <w:u w:val="single"/>
        </w:rPr>
        <w:t>　　　　　　　　　　　　　　　　　　　　　</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6.以上事项如有虚假或隐瞒，我方愿意承担一切后果。</w:t>
      </w:r>
    </w:p>
    <w:p>
      <w:pPr>
        <w:keepNext w:val="0"/>
        <w:keepLines w:val="0"/>
        <w:pageBreakBefore w:val="0"/>
        <w:widowControl w:val="0"/>
        <w:kinsoku w:val="0"/>
        <w:wordWrap/>
        <w:overflowPunct w:val="0"/>
        <w:topLinePunct w:val="0"/>
        <w:autoSpaceDE w:val="0"/>
        <w:autoSpaceDN w:val="0"/>
        <w:bidi w:val="0"/>
        <w:snapToGrid w:val="0"/>
        <w:spacing w:before="156" w:beforeLines="50" w:line="360" w:lineRule="exact"/>
        <w:ind w:firstLine="3509" w:firstLineChars="1671"/>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0" w:firstLineChars="20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投标人公章：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年    月    日</w:t>
      </w:r>
    </w:p>
    <w:p>
      <w:pPr>
        <w:keepNext w:val="0"/>
        <w:keepLines w:val="0"/>
        <w:pageBreakBefore w:val="0"/>
        <w:widowControl w:val="0"/>
        <w:kinsoku w:val="0"/>
        <w:wordWrap/>
        <w:overflowPunct w:val="0"/>
        <w:topLinePunct w:val="0"/>
        <w:autoSpaceDE w:val="0"/>
        <w:autoSpaceDN w:val="0"/>
        <w:bidi w:val="0"/>
        <w:spacing w:before="100" w:beforeAutospacing="1" w:after="100" w:afterAutospacing="1" w:line="360" w:lineRule="exact"/>
        <w:ind w:firstLine="413" w:firstLineChars="196"/>
        <w:jc w:val="left"/>
        <w:textAlignment w:val="auto"/>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（重大违法记录，是指供应商因违法经营受到刑事处罚或者责令停产停业、吊销许可证或者执照、较大数额罚款等行政处罚。）</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（3）法定代表人授权委托书格式：</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法定代表人授权委托书</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致：</w:t>
      </w:r>
      <w:r>
        <w:rPr>
          <w:rFonts w:hint="eastAsia" w:ascii="宋体" w:hAnsi="宋体" w:eastAsia="宋体" w:cs="宋体"/>
          <w:color w:val="auto"/>
          <w:sz w:val="21"/>
          <w:szCs w:val="21"/>
          <w:highlight w:val="none"/>
          <w:u w:val="single"/>
        </w:rPr>
        <w:t>广西壮族自治区政府采购中心</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（投标人名称）的法定代表人，现授权委托本单位在职职工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（姓名）以我方的名义参加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项目的投标活动，并代表我方全权办理针对上述项目的投标、开标、评标、签约等具体事务和签署相关文件。</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我方对被授权人的签名事项负全部责任。</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在撤销授权的书面通知以前，本授权书一直有效。</w:t>
      </w:r>
      <w:r>
        <w:rPr>
          <w:rFonts w:hint="eastAsia" w:ascii="宋体" w:hAnsi="宋体" w:eastAsia="宋体" w:cs="宋体"/>
          <w:color w:val="auto"/>
          <w:sz w:val="21"/>
          <w:szCs w:val="21"/>
          <w:highlight w:val="none"/>
        </w:rPr>
        <w:t>被授权人在授权书有效期内签署的所有文件不因授权的撤销而失效。</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被授权人无转委托权，特此委托。</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被授权人签名：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法定代表人签字（或签章）：</w:t>
      </w:r>
      <w:r>
        <w:rPr>
          <w:rFonts w:hint="eastAsia" w:ascii="宋体" w:hAnsi="宋体" w:eastAsia="宋体" w:cs="宋体"/>
          <w:color w:val="auto"/>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所在部门职务：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职务：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被授权人身份证号码：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贴附“委托代理人身份证复印件”（正反两面）</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4620" w:firstLineChars="2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投标人公章：</w:t>
      </w:r>
      <w:r>
        <w:rPr>
          <w:rFonts w:hint="eastAsia" w:ascii="宋体" w:hAnsi="宋体" w:eastAsia="宋体" w:cs="宋体"/>
          <w:color w:val="auto"/>
          <w:sz w:val="21"/>
          <w:szCs w:val="21"/>
          <w:highlight w:val="none"/>
          <w:u w:val="single"/>
          <w:lang w:val="en-US" w:eastAsia="zh-CN"/>
        </w:rPr>
        <w:t xml:space="preserve">      </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413" w:firstLineChars="196"/>
        <w:jc w:val="lef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（4）投标截止之日前半年内投标人</w:t>
      </w:r>
      <w:r>
        <w:rPr>
          <w:rFonts w:hint="eastAsia" w:ascii="宋体" w:hAnsi="宋体" w:eastAsia="宋体" w:cs="宋体"/>
          <w:b/>
          <w:color w:val="auto"/>
          <w:sz w:val="21"/>
          <w:szCs w:val="21"/>
          <w:highlight w:val="none"/>
          <w:lang w:eastAsia="zh-CN"/>
        </w:rPr>
        <w:t>任意一个月</w:t>
      </w:r>
      <w:r>
        <w:rPr>
          <w:rFonts w:hint="eastAsia" w:ascii="宋体" w:hAnsi="宋体" w:eastAsia="宋体" w:cs="宋体"/>
          <w:b/>
          <w:color w:val="auto"/>
          <w:sz w:val="21"/>
          <w:szCs w:val="21"/>
          <w:highlight w:val="none"/>
        </w:rPr>
        <w:t>的依法缴纳税费或依法免缴税费的证明（扫描件或其他电子文件，格式自拟）（</w:t>
      </w:r>
      <w:r>
        <w:rPr>
          <w:rFonts w:hint="eastAsia" w:ascii="宋体" w:hAnsi="宋体" w:eastAsia="宋体" w:cs="宋体"/>
          <w:b/>
          <w:color w:val="auto"/>
          <w:sz w:val="21"/>
          <w:szCs w:val="21"/>
          <w:highlight w:val="none"/>
          <w:u w:val="single"/>
        </w:rPr>
        <w:t>必须提供</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无纳税记录的，应提供由投标人所在地主管国税或地税部门出具的《依法纳税或依法免税证明》（格式自拟，</w:t>
      </w:r>
      <w:r>
        <w:rPr>
          <w:rFonts w:hint="eastAsia" w:ascii="宋体" w:hAnsi="宋体" w:eastAsia="宋体" w:cs="宋体"/>
          <w:b/>
          <w:color w:val="auto"/>
          <w:sz w:val="21"/>
          <w:szCs w:val="21"/>
          <w:highlight w:val="none"/>
        </w:rPr>
        <w:t>扫描件或其他电子文件</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（5）投标截止之日前半年内投标人</w:t>
      </w:r>
      <w:r>
        <w:rPr>
          <w:rFonts w:hint="eastAsia" w:ascii="宋体" w:hAnsi="宋体" w:eastAsia="宋体" w:cs="宋体"/>
          <w:b/>
          <w:color w:val="auto"/>
          <w:sz w:val="21"/>
          <w:szCs w:val="21"/>
          <w:highlight w:val="none"/>
          <w:lang w:eastAsia="zh-CN"/>
        </w:rPr>
        <w:t>任意一个月</w:t>
      </w:r>
      <w:r>
        <w:rPr>
          <w:rFonts w:hint="eastAsia" w:ascii="宋体" w:hAnsi="宋体" w:eastAsia="宋体" w:cs="宋体"/>
          <w:b/>
          <w:color w:val="auto"/>
          <w:sz w:val="21"/>
          <w:szCs w:val="21"/>
          <w:highlight w:val="none"/>
        </w:rPr>
        <w:t>的依法缴纳社保费的缴费凭证</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扫描件或其他电子文件，格式自拟）（</w:t>
      </w:r>
      <w:r>
        <w:rPr>
          <w:rFonts w:hint="eastAsia" w:ascii="宋体" w:hAnsi="宋体" w:eastAsia="宋体" w:cs="宋体"/>
          <w:b/>
          <w:color w:val="auto"/>
          <w:sz w:val="21"/>
          <w:szCs w:val="21"/>
          <w:highlight w:val="none"/>
          <w:u w:val="single"/>
        </w:rPr>
        <w:t>必须提供</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无缴费记录的，应提供由投标人所在地社保部门出具的《依法缴纳或依法免缴社保费证明》（格式自拟，</w:t>
      </w:r>
      <w:r>
        <w:rPr>
          <w:rFonts w:hint="eastAsia" w:ascii="宋体" w:hAnsi="宋体" w:eastAsia="宋体" w:cs="宋体"/>
          <w:b/>
          <w:color w:val="auto"/>
          <w:sz w:val="21"/>
          <w:szCs w:val="21"/>
          <w:highlight w:val="none"/>
        </w:rPr>
        <w:t>扫描件或其他电子文件</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（6）财务状况报告（</w:t>
      </w:r>
      <w:r>
        <w:rPr>
          <w:rFonts w:hint="eastAsia" w:ascii="宋体" w:hAnsi="宋体" w:eastAsia="宋体" w:cs="宋体"/>
          <w:b/>
          <w:color w:val="auto"/>
          <w:sz w:val="21"/>
          <w:szCs w:val="21"/>
          <w:highlight w:val="none"/>
          <w:u w:val="single"/>
        </w:rPr>
        <w:t>格式自拟，必须提供</w:t>
      </w:r>
      <w:r>
        <w:rPr>
          <w:rFonts w:hint="eastAsia" w:ascii="宋体" w:hAnsi="宋体" w:eastAsia="宋体" w:cs="宋体"/>
          <w:b/>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（7）</w:t>
      </w:r>
      <w:r>
        <w:rPr>
          <w:rFonts w:hint="eastAsia" w:ascii="宋体" w:hAnsi="宋体" w:eastAsia="宋体" w:cs="宋体"/>
          <w:b/>
          <w:color w:val="auto"/>
          <w:sz w:val="21"/>
          <w:szCs w:val="21"/>
          <w:highlight w:val="none"/>
        </w:rPr>
        <w:t>具备履行合同所必需的设备和专业技术能力的证明材料（</w:t>
      </w:r>
      <w:r>
        <w:rPr>
          <w:rFonts w:hint="eastAsia" w:ascii="宋体" w:hAnsi="宋体" w:eastAsia="宋体" w:cs="宋体"/>
          <w:b/>
          <w:color w:val="auto"/>
          <w:sz w:val="21"/>
          <w:szCs w:val="21"/>
          <w:highlight w:val="none"/>
          <w:u w:val="single"/>
        </w:rPr>
        <w:t>内容、格式自拟，必须提供</w:t>
      </w:r>
      <w:r>
        <w:rPr>
          <w:rFonts w:hint="eastAsia" w:ascii="宋体" w:hAnsi="宋体" w:eastAsia="宋体" w:cs="宋体"/>
          <w:b/>
          <w:color w:val="auto"/>
          <w:sz w:val="21"/>
          <w:szCs w:val="21"/>
          <w:highlight w:val="none"/>
        </w:rPr>
        <w:t>）</w:t>
      </w:r>
      <w:r>
        <w:rPr>
          <w:rFonts w:hint="eastAsia" w:ascii="宋体" w:hAnsi="宋体" w:eastAsia="宋体" w:cs="宋体"/>
          <w:b/>
          <w:color w:val="auto"/>
          <w:kern w:val="0"/>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（8）商务响应表格式：</w:t>
      </w:r>
    </w:p>
    <w:p>
      <w:pPr>
        <w:keepNext w:val="0"/>
        <w:keepLines w:val="0"/>
        <w:pageBreakBefore w:val="0"/>
        <w:widowControl w:val="0"/>
        <w:kinsoku w:val="0"/>
        <w:wordWrap/>
        <w:overflowPunct w:val="0"/>
        <w:topLinePunct w:val="0"/>
        <w:autoSpaceDE w:val="0"/>
        <w:autoSpaceDN w:val="0"/>
        <w:bidi w:val="0"/>
        <w:snapToGrid w:val="0"/>
        <w:spacing w:before="50" w:line="360" w:lineRule="exact"/>
        <w:jc w:val="center"/>
        <w:textAlignment w:val="auto"/>
        <w:rPr>
          <w:rFonts w:hint="eastAsia" w:ascii="宋体" w:hAnsi="宋体" w:eastAsia="宋体" w:cs="宋体"/>
          <w:color w:val="auto"/>
          <w:sz w:val="32"/>
          <w:szCs w:val="32"/>
          <w:highlight w:val="none"/>
          <w:u w:val="single"/>
        </w:rPr>
      </w:pPr>
      <w:r>
        <w:rPr>
          <w:rFonts w:hint="eastAsia" w:ascii="宋体" w:hAnsi="宋体" w:eastAsia="宋体" w:cs="宋体"/>
          <w:b/>
          <w:color w:val="auto"/>
          <w:sz w:val="32"/>
          <w:szCs w:val="32"/>
          <w:highlight w:val="none"/>
        </w:rPr>
        <w:t>商务响应表</w:t>
      </w:r>
    </w:p>
    <w:p>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color w:val="auto"/>
          <w:sz w:val="32"/>
          <w:szCs w:val="32"/>
          <w:highlight w:val="none"/>
          <w:u w:val="single"/>
        </w:rPr>
      </w:pPr>
    </w:p>
    <w:tbl>
      <w:tblPr>
        <w:tblStyle w:val="20"/>
        <w:tblW w:w="940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7"/>
        <w:gridCol w:w="2280"/>
        <w:gridCol w:w="3165"/>
        <w:gridCol w:w="30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1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228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招标文件要求</w:t>
            </w:r>
          </w:p>
        </w:tc>
        <w:tc>
          <w:tcPr>
            <w:tcW w:w="31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是否提供并响应</w:t>
            </w:r>
          </w:p>
        </w:tc>
        <w:tc>
          <w:tcPr>
            <w:tcW w:w="304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val="0"/>
              <w:wordWrap/>
              <w:overflowPunct w:val="0"/>
              <w:topLinePunct w:val="0"/>
              <w:autoSpaceDE w:val="0"/>
              <w:autoSpaceDN w:val="0"/>
              <w:bidi w:val="0"/>
              <w:snapToGrid w:val="0"/>
              <w:spacing w:before="156" w:before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9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2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ind w:firstLine="315" w:firstLineChars="150"/>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9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2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9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2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3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ind w:left="43"/>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ind w:left="43"/>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9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22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31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c>
          <w:tcPr>
            <w:tcW w:w="30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p>
        </w:tc>
      </w:tr>
    </w:tbl>
    <w:p>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32"/>
          <w:szCs w:val="32"/>
          <w:highlight w:val="none"/>
        </w:rPr>
      </w:pPr>
    </w:p>
    <w:p>
      <w:pPr>
        <w:keepNext w:val="0"/>
        <w:keepLines w:val="0"/>
        <w:pageBreakBefore w:val="0"/>
        <w:widowControl w:val="0"/>
        <w:kinsoku w:val="0"/>
        <w:wordWrap/>
        <w:overflowPunct w:val="0"/>
        <w:topLinePunct w:val="0"/>
        <w:autoSpaceDE w:val="0"/>
        <w:autoSpaceDN w:val="0"/>
        <w:bidi w:val="0"/>
        <w:snapToGrid w:val="0"/>
        <w:spacing w:before="50" w:after="50" w:line="360" w:lineRule="exact"/>
        <w:ind w:firstLine="3570" w:firstLineChars="1700"/>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u w:val="single"/>
          <w:lang w:val="en-US" w:eastAsia="zh-CN"/>
        </w:rPr>
        <w:t xml:space="preserve"> </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ind w:firstLine="245" w:firstLineChars="98"/>
        <w:jc w:val="left"/>
        <w:textAlignment w:val="auto"/>
        <w:rPr>
          <w:rFonts w:hint="eastAsia" w:ascii="宋体" w:hAnsi="宋体" w:eastAsia="宋体" w:cs="宋体"/>
          <w:color w:val="auto"/>
          <w:spacing w:val="20"/>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2742" w:firstLineChars="1097"/>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ind w:firstLine="206" w:firstLineChars="98"/>
        <w:jc w:val="lef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left="840" w:hanging="840" w:hangingChars="4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left="840" w:hanging="840" w:hangingChars="4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left="840" w:hanging="840" w:hangingChars="4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949" w:leftChars="152" w:hanging="630" w:hangingChars="3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（9）招标项目采购需求中要求必须提供的材料等</w:t>
      </w:r>
      <w:r>
        <w:rPr>
          <w:rFonts w:hint="eastAsia" w:ascii="宋体" w:hAnsi="宋体" w:eastAsia="宋体" w:cs="宋体"/>
          <w:color w:val="auto"/>
          <w:sz w:val="21"/>
          <w:szCs w:val="21"/>
          <w:highlight w:val="none"/>
        </w:rPr>
        <w:t>（招标项目采购需求中要求必须提供的材料，据实提供）</w:t>
      </w:r>
      <w:r>
        <w:rPr>
          <w:rFonts w:hint="eastAsia" w:ascii="宋体" w:hAnsi="宋体" w:eastAsia="宋体" w:cs="宋体"/>
          <w:color w:val="auto"/>
          <w:sz w:val="21"/>
          <w:szCs w:val="21"/>
          <w:highlight w:val="none"/>
          <w:lang w:eastAsia="zh-CN"/>
        </w:rPr>
        <w:t>；</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（10）具备法律、行政法规规定的其他条件的证明材料（格式自拟）；</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（11）类似案例成功的业绩（投标人同类项目实施情况一览表、合同扫描件）；</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（12）其他特殊资质证书（如本地化服务能力等）；</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（13）节能环保产品或政府强制采购节能产品清单证书；</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（14）投标人质量管理和质量保证体系等方面的认证证书；</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（15）投标人认为可以证明其能力或业绩的其他材料；</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1058" w:leftChars="304" w:hanging="420" w:hanging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（16）投标人关于产品生产时间、升级或者更新淘汰计划、配件供应以及本单位债务纠纷、违法违规记录等方面的情况（内容见投标声明书）；</w:t>
      </w:r>
    </w:p>
    <w:p>
      <w:pPr>
        <w:keepNext w:val="0"/>
        <w:keepLines w:val="0"/>
        <w:pageBreakBefore w:val="0"/>
        <w:widowControl w:val="0"/>
        <w:kinsoku w:val="0"/>
        <w:wordWrap/>
        <w:overflowPunct w:val="0"/>
        <w:topLinePunct w:val="0"/>
        <w:autoSpaceDE w:val="0"/>
        <w:autoSpaceDN w:val="0"/>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keepNext w:val="0"/>
        <w:keepLines w:val="0"/>
        <w:pageBreakBefore w:val="0"/>
        <w:widowControl w:val="0"/>
        <w:kinsoku w:val="0"/>
        <w:wordWrap/>
        <w:overflowPunct w:val="0"/>
        <w:topLinePunct w:val="0"/>
        <w:autoSpaceDE w:val="0"/>
        <w:autoSpaceDN w:val="0"/>
        <w:bidi w:val="0"/>
        <w:snapToGrid w:val="0"/>
        <w:spacing w:before="312" w:beforeLines="100" w:after="312" w:afterLines="10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（17）中小企业声明函格式：</w:t>
      </w:r>
    </w:p>
    <w:p>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中小企业声明函</w:t>
      </w:r>
    </w:p>
    <w:p>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color w:val="auto"/>
          <w:sz w:val="32"/>
          <w:szCs w:val="32"/>
          <w:highlight w:val="none"/>
        </w:rPr>
      </w:pP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本公司（联合体）郑重声明，根据《政府采购促进中小企业发展管理办法》（财库〔2020〕46号）的规定，本公司 （联合体）参加</w:t>
      </w:r>
      <w:r>
        <w:rPr>
          <w:rFonts w:hint="eastAsia" w:ascii="宋体" w:hAnsi="宋体" w:eastAsia="宋体" w:cs="宋体"/>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釆购活动,提供的货物全部由符合政策要求的中小企业制造。相关企业（含联合体中的中小企业、签订分包意向协议的中小企业）的具体情况如下</w:t>
      </w:r>
      <w:bookmarkStart w:id="14" w:name="bookmark1"/>
      <w:bookmarkEnd w:id="14"/>
      <w:r>
        <w:rPr>
          <w:rFonts w:hint="eastAsia" w:ascii="宋体" w:hAnsi="宋体" w:eastAsia="宋体" w:cs="宋体"/>
          <w:color w:val="auto"/>
          <w:sz w:val="21"/>
          <w:szCs w:val="21"/>
          <w:highlight w:val="none"/>
        </w:rPr>
        <w:t>：</w:t>
      </w: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 xml:space="preserve">     （标的名称）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 xml:space="preserve">     （釆购文件中明确的所属行业）行业</w:t>
      </w:r>
      <w:r>
        <w:rPr>
          <w:rFonts w:hint="eastAsia" w:ascii="宋体" w:hAnsi="宋体" w:eastAsia="宋体" w:cs="宋体"/>
          <w:color w:val="auto"/>
          <w:sz w:val="21"/>
          <w:szCs w:val="21"/>
          <w:highlight w:val="none"/>
        </w:rPr>
        <w:t>；制造商为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 xml:space="preserve">； </w:t>
      </w: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 xml:space="preserve">    （标的名称）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 xml:space="preserve">     （釆购文件中明确的所属行业）行业</w:t>
      </w:r>
      <w:r>
        <w:rPr>
          <w:rFonts w:hint="eastAsia" w:ascii="宋体" w:hAnsi="宋体" w:eastAsia="宋体" w:cs="宋体"/>
          <w:color w:val="auto"/>
          <w:sz w:val="21"/>
          <w:szCs w:val="21"/>
          <w:highlight w:val="none"/>
        </w:rPr>
        <w:t>；制造商为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 企业、微型企业）</w:t>
      </w:r>
      <w:r>
        <w:rPr>
          <w:rFonts w:hint="eastAsia" w:ascii="宋体" w:hAnsi="宋体" w:eastAsia="宋体" w:cs="宋体"/>
          <w:color w:val="auto"/>
          <w:sz w:val="21"/>
          <w:szCs w:val="21"/>
          <w:highlight w:val="none"/>
        </w:rPr>
        <w:t>；</w:t>
      </w: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pPr>
        <w:pStyle w:val="34"/>
        <w:keepNext w:val="0"/>
        <w:keepLines w:val="0"/>
        <w:pageBreakBefore w:val="0"/>
        <w:widowControl w:val="0"/>
        <w:kinsoku w:val="0"/>
        <w:wordWrap/>
        <w:overflowPunct w:val="0"/>
        <w:topLinePunct w:val="0"/>
        <w:autoSpaceDE w:val="0"/>
        <w:autoSpaceDN w:val="0"/>
        <w:bidi w:val="0"/>
        <w:spacing w:after="40"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pPr>
        <w:pStyle w:val="34"/>
        <w:keepNext w:val="0"/>
        <w:keepLines w:val="0"/>
        <w:pageBreakBefore w:val="0"/>
        <w:widowControl w:val="0"/>
        <w:kinsoku w:val="0"/>
        <w:wordWrap/>
        <w:overflowPunct w:val="0"/>
        <w:topLinePunct w:val="0"/>
        <w:autoSpaceDE w:val="0"/>
        <w:autoSpaceDN w:val="0"/>
        <w:bidi w:val="0"/>
        <w:spacing w:after="40" w:line="360" w:lineRule="exact"/>
        <w:ind w:firstLine="640"/>
        <w:jc w:val="both"/>
        <w:textAlignment w:val="auto"/>
        <w:rPr>
          <w:rFonts w:hint="eastAsia" w:ascii="宋体" w:hAnsi="宋体" w:eastAsia="宋体" w:cs="宋体"/>
          <w:color w:val="auto"/>
          <w:sz w:val="21"/>
          <w:szCs w:val="21"/>
          <w:highlight w:val="none"/>
        </w:rPr>
      </w:pP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企业名称（盖章）：</w:t>
      </w:r>
    </w:p>
    <w:p>
      <w:pPr>
        <w:pStyle w:val="34"/>
        <w:keepNext w:val="0"/>
        <w:keepLines w:val="0"/>
        <w:pageBreakBefore w:val="0"/>
        <w:widowControl w:val="0"/>
        <w:kinsoku w:val="0"/>
        <w:wordWrap/>
        <w:overflowPunct w:val="0"/>
        <w:topLinePunct w:val="0"/>
        <w:autoSpaceDE w:val="0"/>
        <w:autoSpaceDN w:val="0"/>
        <w:bidi w:val="0"/>
        <w:spacing w:line="360" w:lineRule="exact"/>
        <w:ind w:firstLine="64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p>
    <w:p>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color w:val="auto"/>
          <w:sz w:val="21"/>
          <w:szCs w:val="21"/>
          <w:highlight w:val="none"/>
        </w:rPr>
      </w:pPr>
    </w:p>
    <w:p>
      <w:pPr>
        <w:pStyle w:val="33"/>
        <w:keepNext w:val="0"/>
        <w:keepLines w:val="0"/>
        <w:pageBreakBefore w:val="0"/>
        <w:widowControl w:val="0"/>
        <w:kinsoku w:val="0"/>
        <w:wordWrap/>
        <w:overflowPunct w:val="0"/>
        <w:topLinePunct w:val="0"/>
        <w:autoSpaceDE w:val="0"/>
        <w:autoSpaceDN w:val="0"/>
        <w:bidi w:val="0"/>
        <w:spacing w:after="0" w:line="360" w:lineRule="exact"/>
        <w:textAlignment w:val="auto"/>
        <w:rPr>
          <w:rFonts w:hint="eastAsia" w:ascii="宋体" w:hAnsi="宋体" w:eastAsia="宋体" w:cs="宋体"/>
          <w:color w:val="auto"/>
          <w:sz w:val="21"/>
          <w:szCs w:val="21"/>
          <w:highlight w:val="none"/>
        </w:rPr>
      </w:pPr>
    </w:p>
    <w:p>
      <w:pPr>
        <w:pStyle w:val="33"/>
        <w:keepNext w:val="0"/>
        <w:keepLines w:val="0"/>
        <w:pageBreakBefore w:val="0"/>
        <w:widowControl w:val="0"/>
        <w:kinsoku w:val="0"/>
        <w:wordWrap/>
        <w:overflowPunct w:val="0"/>
        <w:topLinePunct w:val="0"/>
        <w:autoSpaceDE w:val="0"/>
        <w:autoSpaceDN w:val="0"/>
        <w:bidi w:val="0"/>
        <w:adjustRightInd w:val="0"/>
        <w:snapToGrid w:val="0"/>
        <w:spacing w:after="0"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pPr>
        <w:pStyle w:val="33"/>
        <w:keepNext w:val="0"/>
        <w:keepLines w:val="0"/>
        <w:pageBreakBefore w:val="0"/>
        <w:widowControl w:val="0"/>
        <w:kinsoku w:val="0"/>
        <w:wordWrap/>
        <w:overflowPunct w:val="0"/>
        <w:topLinePunct w:val="0"/>
        <w:autoSpaceDE w:val="0"/>
        <w:autoSpaceDN w:val="0"/>
        <w:bidi w:val="0"/>
        <w:adjustRightInd w:val="0"/>
        <w:snapToGrid w:val="0"/>
        <w:spacing w:after="0"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1、从业人员、营业收入、资产总额填报上一年度数据，无上一年度数据的新成立企业可不填报。</w:t>
      </w:r>
    </w:p>
    <w:p>
      <w:pPr>
        <w:pStyle w:val="33"/>
        <w:keepNext w:val="0"/>
        <w:keepLines w:val="0"/>
        <w:pageBreakBefore w:val="0"/>
        <w:widowControl w:val="0"/>
        <w:kinsoku w:val="0"/>
        <w:wordWrap/>
        <w:overflowPunct w:val="0"/>
        <w:topLinePunct w:val="0"/>
        <w:autoSpaceDE w:val="0"/>
        <w:autoSpaceDN w:val="0"/>
        <w:bidi w:val="0"/>
        <w:adjustRightInd w:val="0"/>
        <w:snapToGrid w:val="0"/>
        <w:spacing w:after="0" w:line="360" w:lineRule="exact"/>
        <w:jc w:val="left"/>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21"/>
          <w:szCs w:val="21"/>
          <w:highlight w:val="none"/>
        </w:rPr>
        <w:t>2、采购文件中明确的所属行业名称是根据《关于印发中小企业划型标准规定的通知》（工信部联企业[2011]300号）规定确定。</w:t>
      </w:r>
      <w:r>
        <w:rPr>
          <w:rFonts w:hint="eastAsia" w:ascii="宋体" w:hAnsi="宋体" w:eastAsia="宋体" w:cs="宋体"/>
          <w:color w:val="auto"/>
          <w:sz w:val="32"/>
          <w:szCs w:val="32"/>
          <w:highlight w:val="none"/>
        </w:rPr>
        <w:br w:type="page"/>
      </w:r>
    </w:p>
    <w:p>
      <w:pPr>
        <w:pStyle w:val="11"/>
        <w:keepNext w:val="0"/>
        <w:keepLines w:val="0"/>
        <w:pageBreakBefore w:val="0"/>
        <w:widowControl w:val="0"/>
        <w:kinsoku w:val="0"/>
        <w:wordWrap/>
        <w:overflowPunct w:val="0"/>
        <w:topLinePunct w:val="0"/>
        <w:autoSpaceDE w:val="0"/>
        <w:autoSpaceDN w:val="0"/>
        <w:bidi w:val="0"/>
        <w:spacing w:line="360" w:lineRule="exact"/>
        <w:ind w:firstLine="210" w:firstLineChars="100"/>
        <w:jc w:val="left"/>
        <w:textAlignment w:val="auto"/>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21"/>
          <w:szCs w:val="21"/>
          <w:highlight w:val="none"/>
        </w:rPr>
        <w:t>（18）关于符合本国产品标准的声明函格式：</w:t>
      </w:r>
    </w:p>
    <w:p>
      <w:pPr>
        <w:pStyle w:val="11"/>
        <w:keepNext w:val="0"/>
        <w:keepLines w:val="0"/>
        <w:pageBreakBefore w:val="0"/>
        <w:widowControl w:val="0"/>
        <w:kinsoku w:val="0"/>
        <w:wordWrap/>
        <w:overflowPunct w:val="0"/>
        <w:topLinePunct w:val="0"/>
        <w:autoSpaceDE w:val="0"/>
        <w:autoSpaceDN w:val="0"/>
        <w:bidi w:val="0"/>
        <w:spacing w:line="360" w:lineRule="exact"/>
        <w:ind w:firstLine="642" w:firstLineChars="200"/>
        <w:jc w:val="left"/>
        <w:textAlignment w:val="auto"/>
        <w:rPr>
          <w:rFonts w:hint="eastAsia" w:ascii="宋体" w:hAnsi="宋体" w:eastAsia="宋体" w:cs="宋体"/>
          <w:color w:val="auto"/>
          <w:kern w:val="2"/>
          <w:sz w:val="32"/>
          <w:szCs w:val="32"/>
          <w:highlight w:val="none"/>
        </w:rPr>
      </w:pP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jc w:val="center"/>
        <w:textAlignment w:val="auto"/>
        <w:rPr>
          <w:rFonts w:hint="eastAsia" w:ascii="宋体" w:hAnsi="宋体" w:eastAsia="宋体" w:cs="宋体"/>
          <w:color w:val="auto"/>
          <w:sz w:val="30"/>
          <w:szCs w:val="30"/>
          <w:highlight w:val="none"/>
        </w:rPr>
      </w:pPr>
      <w:r>
        <w:rPr>
          <w:rStyle w:val="22"/>
          <w:rFonts w:hint="eastAsia" w:ascii="宋体" w:hAnsi="宋体" w:eastAsia="宋体" w:cs="宋体"/>
          <w:color w:val="auto"/>
          <w:sz w:val="30"/>
          <w:szCs w:val="30"/>
          <w:highlight w:val="none"/>
          <w:shd w:val="clear" w:color="auto" w:fill="FFFFFF"/>
        </w:rPr>
        <w:t>关于符合本国产品标准的声明函</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32"/>
          <w:szCs w:val="32"/>
          <w:highlight w:val="none"/>
        </w:rPr>
      </w:pP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1.</w:t>
      </w:r>
      <w:r>
        <w:rPr>
          <w:rStyle w:val="23"/>
          <w:rFonts w:hint="eastAsia" w:ascii="宋体" w:hAnsi="宋体" w:eastAsia="宋体" w:cs="宋体"/>
          <w:color w:val="auto"/>
          <w:sz w:val="21"/>
          <w:szCs w:val="21"/>
          <w:highlight w:val="none"/>
          <w:shd w:val="clear" w:color="auto" w:fill="FFFFFF"/>
        </w:rPr>
        <w:t>（产品名称1）</w:t>
      </w:r>
      <w:r>
        <w:rPr>
          <w:rStyle w:val="23"/>
          <w:rFonts w:hint="eastAsia" w:ascii="宋体" w:hAnsi="宋体" w:eastAsia="宋体" w:cs="宋体"/>
          <w:color w:val="auto"/>
          <w:sz w:val="21"/>
          <w:szCs w:val="21"/>
          <w:highlight w:val="none"/>
          <w:shd w:val="clear" w:color="auto" w:fill="FFFFFF"/>
          <w:vertAlign w:val="superscript"/>
        </w:rPr>
        <w:t>1</w:t>
      </w:r>
      <w:r>
        <w:rPr>
          <w:rFonts w:hint="eastAsia" w:ascii="宋体" w:hAnsi="宋体" w:eastAsia="宋体" w:cs="宋体"/>
          <w:color w:val="auto"/>
          <w:sz w:val="21"/>
          <w:szCs w:val="21"/>
          <w:highlight w:val="none"/>
          <w:shd w:val="clear" w:color="auto" w:fill="FFFFFF"/>
        </w:rPr>
        <w:t>，生产厂为</w:t>
      </w:r>
      <w:r>
        <w:rPr>
          <w:rStyle w:val="23"/>
          <w:rFonts w:hint="eastAsia" w:ascii="宋体" w:hAnsi="宋体" w:eastAsia="宋体" w:cs="宋体"/>
          <w:color w:val="auto"/>
          <w:sz w:val="21"/>
          <w:szCs w:val="21"/>
          <w:highlight w:val="none"/>
          <w:shd w:val="clear" w:color="auto" w:fill="FFFFFF"/>
        </w:rPr>
        <w:t>（厂名）</w:t>
      </w:r>
      <w:r>
        <w:rPr>
          <w:rStyle w:val="23"/>
          <w:rFonts w:hint="eastAsia" w:ascii="宋体" w:hAnsi="宋体" w:eastAsia="宋体" w:cs="宋体"/>
          <w:color w:val="auto"/>
          <w:sz w:val="21"/>
          <w:szCs w:val="21"/>
          <w:highlight w:val="none"/>
          <w:shd w:val="clear" w:color="auto" w:fill="FFFFFF"/>
          <w:vertAlign w:val="superscript"/>
        </w:rPr>
        <w:t>2</w:t>
      </w:r>
      <w:r>
        <w:rPr>
          <w:rFonts w:hint="eastAsia" w:ascii="宋体" w:hAnsi="宋体" w:eastAsia="宋体" w:cs="宋体"/>
          <w:color w:val="auto"/>
          <w:sz w:val="21"/>
          <w:szCs w:val="21"/>
          <w:highlight w:val="none"/>
          <w:shd w:val="clear" w:color="auto" w:fill="FFFFFF"/>
        </w:rPr>
        <w:t>，厂址为</w:t>
      </w:r>
      <w:r>
        <w:rPr>
          <w:rStyle w:val="23"/>
          <w:rFonts w:hint="eastAsia" w:ascii="宋体" w:hAnsi="宋体" w:eastAsia="宋体" w:cs="宋体"/>
          <w:color w:val="auto"/>
          <w:sz w:val="21"/>
          <w:szCs w:val="21"/>
          <w:highlight w:val="none"/>
          <w:shd w:val="clear" w:color="auto" w:fill="FFFFFF"/>
        </w:rPr>
        <w:t>（生产厂址）</w:t>
      </w:r>
      <w:r>
        <w:rPr>
          <w:rFonts w:hint="eastAsia" w:ascii="宋体" w:hAnsi="宋体" w:eastAsia="宋体" w:cs="宋体"/>
          <w:color w:val="auto"/>
          <w:sz w:val="21"/>
          <w:szCs w:val="21"/>
          <w:highlight w:val="none"/>
          <w:shd w:val="clear" w:color="auto" w:fill="FFFFFF"/>
        </w:rPr>
        <w:t>。</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w:t>
      </w:r>
      <w:r>
        <w:rPr>
          <w:rStyle w:val="23"/>
          <w:rFonts w:hint="eastAsia" w:ascii="宋体" w:hAnsi="宋体" w:eastAsia="宋体" w:cs="宋体"/>
          <w:color w:val="auto"/>
          <w:sz w:val="21"/>
          <w:szCs w:val="21"/>
          <w:highlight w:val="none"/>
          <w:shd w:val="clear" w:color="auto" w:fill="FFFFFF"/>
        </w:rPr>
        <w:t>（产品名称2）</w:t>
      </w:r>
      <w:r>
        <w:rPr>
          <w:rFonts w:hint="eastAsia" w:ascii="宋体" w:hAnsi="宋体" w:eastAsia="宋体" w:cs="宋体"/>
          <w:color w:val="auto"/>
          <w:sz w:val="21"/>
          <w:szCs w:val="21"/>
          <w:highlight w:val="none"/>
          <w:shd w:val="clear" w:color="auto" w:fill="FFFFFF"/>
        </w:rPr>
        <w:t>，生产厂为</w:t>
      </w:r>
      <w:r>
        <w:rPr>
          <w:rStyle w:val="23"/>
          <w:rFonts w:hint="eastAsia" w:ascii="宋体" w:hAnsi="宋体" w:eastAsia="宋体" w:cs="宋体"/>
          <w:color w:val="auto"/>
          <w:sz w:val="21"/>
          <w:szCs w:val="21"/>
          <w:highlight w:val="none"/>
          <w:shd w:val="clear" w:color="auto" w:fill="FFFFFF"/>
        </w:rPr>
        <w:t>（厂名）</w:t>
      </w:r>
      <w:r>
        <w:rPr>
          <w:rFonts w:hint="eastAsia" w:ascii="宋体" w:hAnsi="宋体" w:eastAsia="宋体" w:cs="宋体"/>
          <w:color w:val="auto"/>
          <w:sz w:val="21"/>
          <w:szCs w:val="21"/>
          <w:highlight w:val="none"/>
          <w:shd w:val="clear" w:color="auto" w:fill="FFFFFF"/>
        </w:rPr>
        <w:t>，厂址为</w:t>
      </w:r>
      <w:r>
        <w:rPr>
          <w:rStyle w:val="23"/>
          <w:rFonts w:hint="eastAsia" w:ascii="宋体" w:hAnsi="宋体" w:eastAsia="宋体" w:cs="宋体"/>
          <w:color w:val="auto"/>
          <w:sz w:val="21"/>
          <w:szCs w:val="21"/>
          <w:highlight w:val="none"/>
          <w:shd w:val="clear" w:color="auto" w:fill="FFFFFF"/>
        </w:rPr>
        <w:t>（生产厂址）</w:t>
      </w:r>
      <w:r>
        <w:rPr>
          <w:rFonts w:hint="eastAsia" w:ascii="宋体" w:hAnsi="宋体" w:eastAsia="宋体" w:cs="宋体"/>
          <w:color w:val="auto"/>
          <w:sz w:val="21"/>
          <w:szCs w:val="21"/>
          <w:highlight w:val="none"/>
          <w:shd w:val="clear" w:color="auto" w:fill="FFFFFF"/>
        </w:rPr>
        <w:t>。</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本公司（单位）对上述声明内容的真实性负责。如有虚假，愿承担相应法律责任。</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jc w:val="right"/>
        <w:textAlignment w:val="auto"/>
        <w:rPr>
          <w:rFonts w:hint="eastAsia" w:ascii="宋体" w:hAnsi="宋体" w:eastAsia="宋体" w:cs="宋体"/>
          <w:color w:val="auto"/>
          <w:sz w:val="21"/>
          <w:szCs w:val="21"/>
          <w:highlight w:val="none"/>
          <w:shd w:val="clear" w:color="auto" w:fill="FFFFFF"/>
        </w:rPr>
      </w:pP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公司（单位）名称（盖章）：      </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日期：　　　　　年　　月　日    </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__________________________________________________________________________________</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1.产品如有型号，请在“产品名称”栏一并填写。</w:t>
      </w:r>
    </w:p>
    <w:p>
      <w:pPr>
        <w:pStyle w:val="18"/>
        <w:keepNext w:val="0"/>
        <w:keepLines w:val="0"/>
        <w:pageBreakBefore w:val="0"/>
        <w:widowControl w:val="0"/>
        <w:shd w:val="clear" w:color="auto" w:fill="FFFFFF"/>
        <w:kinsoku w:val="0"/>
        <w:wordWrap/>
        <w:overflowPunct w:val="0"/>
        <w:topLinePunct w:val="0"/>
        <w:autoSpaceDE w:val="0"/>
        <w:autoSpaceDN w:val="0"/>
        <w:bidi w:val="0"/>
        <w:spacing w:before="30" w:beforeAutospacing="0" w:after="30" w:afterAutospacing="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2.生产厂名与厂址应与生产厂营业执照载明的相关信息保持一致。</w:t>
      </w:r>
    </w:p>
    <w:p>
      <w:pPr>
        <w:pStyle w:val="19"/>
        <w:keepNext w:val="0"/>
        <w:keepLines w:val="0"/>
        <w:pageBreakBefore w:val="0"/>
        <w:widowControl w:val="0"/>
        <w:kinsoku w:val="0"/>
        <w:wordWrap/>
        <w:overflowPunct w:val="0"/>
        <w:topLinePunct w:val="0"/>
        <w:autoSpaceDE w:val="0"/>
        <w:autoSpaceDN w:val="0"/>
        <w:bidi w:val="0"/>
        <w:spacing w:line="360" w:lineRule="exact"/>
        <w:ind w:firstLine="240"/>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421"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（19）投标人情况介绍（主要产品、技术力量、生产规模、经营业绩等，格式自拟）。</w:t>
      </w:r>
    </w:p>
    <w:p>
      <w:pPr>
        <w:keepNext w:val="0"/>
        <w:keepLines w:val="0"/>
        <w:pageBreakBefore w:val="0"/>
        <w:widowControl w:val="0"/>
        <w:kinsoku w:val="0"/>
        <w:wordWrap/>
        <w:overflowPunct w:val="0"/>
        <w:topLinePunct w:val="0"/>
        <w:autoSpaceDE w:val="0"/>
        <w:autoSpaceDN w:val="0"/>
        <w:bidi w:val="0"/>
        <w:snapToGrid w:val="0"/>
        <w:spacing w:line="360" w:lineRule="exact"/>
        <w:ind w:firstLine="516" w:firstLineChars="246"/>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516" w:firstLineChars="246"/>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516" w:firstLineChars="246"/>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pPr>
        <w:keepNext w:val="0"/>
        <w:keepLines w:val="0"/>
        <w:pageBreakBefore w:val="0"/>
        <w:widowControl w:val="0"/>
        <w:kinsoku w:val="0"/>
        <w:wordWrap/>
        <w:overflowPunct w:val="0"/>
        <w:topLinePunct w:val="0"/>
        <w:autoSpaceDE w:val="0"/>
        <w:autoSpaceDN w:val="0"/>
        <w:bidi w:val="0"/>
        <w:snapToGrid w:val="0"/>
        <w:spacing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三）技术文件部分（格式）</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color w:val="auto"/>
          <w:sz w:val="21"/>
          <w:szCs w:val="21"/>
          <w:highlight w:val="none"/>
        </w:rPr>
        <w:t>对本项目系统总体要求的理解（包括：功能说明、性能指标、设备选型说明以及质量、性能、价格、外观、体积等方面进行比较和选择的理由和过程，格式自拟）</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color w:val="auto"/>
          <w:sz w:val="21"/>
          <w:szCs w:val="21"/>
          <w:highlight w:val="none"/>
        </w:rPr>
        <w:t>技术响应表格式：</w:t>
      </w:r>
      <w:r>
        <w:rPr>
          <w:rFonts w:hint="eastAsia" w:ascii="宋体" w:hAnsi="宋体" w:eastAsia="宋体" w:cs="宋体"/>
          <w:b/>
          <w:color w:val="auto"/>
          <w:sz w:val="21"/>
          <w:szCs w:val="21"/>
          <w:highlight w:val="none"/>
        </w:rPr>
        <w:t xml:space="preserve"> </w:t>
      </w:r>
    </w:p>
    <w:p>
      <w:pPr>
        <w:pStyle w:val="19"/>
        <w:keepNext w:val="0"/>
        <w:keepLines w:val="0"/>
        <w:pageBreakBefore w:val="0"/>
        <w:widowControl w:val="0"/>
        <w:kinsoku w:val="0"/>
        <w:wordWrap/>
        <w:overflowPunct w:val="0"/>
        <w:topLinePunct w:val="0"/>
        <w:autoSpaceDE w:val="0"/>
        <w:autoSpaceDN w:val="0"/>
        <w:bidi w:val="0"/>
        <w:spacing w:line="360" w:lineRule="exact"/>
        <w:ind w:left="0" w:leftChars="0" w:firstLine="0" w:firstLineChars="0"/>
        <w:jc w:val="center"/>
        <w:textAlignment w:val="auto"/>
        <w:rPr>
          <w:rFonts w:hint="eastAsia"/>
          <w:b/>
          <w:bCs/>
          <w:color w:val="auto"/>
          <w:sz w:val="30"/>
          <w:szCs w:val="30"/>
          <w:highlight w:val="none"/>
        </w:rPr>
      </w:pPr>
      <w:r>
        <w:rPr>
          <w:rFonts w:hint="eastAsia" w:ascii="宋体" w:hAnsi="宋体" w:eastAsia="宋体" w:cs="宋体"/>
          <w:b/>
          <w:bCs/>
          <w:color w:val="auto"/>
          <w:sz w:val="30"/>
          <w:szCs w:val="30"/>
          <w:highlight w:val="none"/>
        </w:rPr>
        <w:t>技术响应表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3600"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pacing w:line="360" w:lineRule="exact"/>
              <w:ind w:left="5250"/>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pPr>
              <w:pStyle w:val="14"/>
              <w:keepNext w:val="0"/>
              <w:keepLines w:val="0"/>
              <w:pageBreakBefore w:val="0"/>
              <w:widowControl w:val="0"/>
              <w:kinsoku w:val="0"/>
              <w:wordWrap/>
              <w:overflowPunct w:val="0"/>
              <w:topLinePunct w:val="0"/>
              <w:autoSpaceDE w:val="0"/>
              <w:autoSpaceDN w:val="0"/>
              <w:bidi w:val="0"/>
              <w:spacing w:line="360" w:lineRule="exact"/>
              <w:ind w:left="5250"/>
              <w:textAlignment w:val="auto"/>
              <w:rPr>
                <w:rFonts w:hint="eastAsia" w:ascii="宋体" w:hAnsi="宋体" w:eastAsia="宋体" w:cs="宋体"/>
                <w:color w:val="auto"/>
                <w:sz w:val="21"/>
                <w:szCs w:val="21"/>
                <w:highlight w:val="none"/>
              </w:rPr>
            </w:pPr>
          </w:p>
        </w:tc>
      </w:tr>
    </w:tbl>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rPr>
          <w:rFonts w:hint="eastAsia" w:ascii="宋体" w:hAnsi="宋体" w:eastAsia="宋体" w:cs="宋体"/>
          <w:color w:val="auto"/>
          <w:sz w:val="21"/>
          <w:szCs w:val="21"/>
          <w:highlight w:val="none"/>
          <w:u w:val="single"/>
        </w:rPr>
      </w:pPr>
    </w:p>
    <w:p>
      <w:pPr>
        <w:pStyle w:val="9"/>
        <w:keepNext w:val="0"/>
        <w:keepLines w:val="0"/>
        <w:pageBreakBefore w:val="0"/>
        <w:widowControl w:val="0"/>
        <w:kinsoku w:val="0"/>
        <w:wordWrap/>
        <w:overflowPunct w:val="0"/>
        <w:topLinePunct w:val="0"/>
        <w:autoSpaceDE w:val="0"/>
        <w:autoSpaceDN w:val="0"/>
        <w:bidi w:val="0"/>
        <w:spacing w:line="360" w:lineRule="exact"/>
        <w:ind w:firstLine="421"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投标人应根据投标设备的性能指标、对照招标文件要求在技术响应表中详细列明招标要求及投标设备技术规格的响应情况，并填写“偏离说明”。“偏离说明”栏注明“正偏离”、“负偏离”或“无偏离”。投标技术规格与招标要求相同的为无偏离，投标技术规格高于招标要求的为正偏离，低于招标要求的为负偏离。</w:t>
      </w:r>
    </w:p>
    <w:p>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50" w:line="360" w:lineRule="exact"/>
        <w:ind w:firstLine="3150" w:firstLineChars="1500"/>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u w:val="single"/>
          <w:lang w:val="en-US" w:eastAsia="zh-CN"/>
        </w:rPr>
        <w:t xml:space="preserve">      </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50" w:after="50" w:line="360" w:lineRule="exact"/>
        <w:ind w:firstLine="3000" w:firstLineChars="1200"/>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pPr>
        <w:pStyle w:val="14"/>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color w:val="auto"/>
          <w:sz w:val="21"/>
          <w:szCs w:val="21"/>
          <w:highlight w:val="none"/>
        </w:rPr>
        <w:t>设备配置清单格式：</w:t>
      </w:r>
    </w:p>
    <w:p>
      <w:pPr>
        <w:pStyle w:val="19"/>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b/>
          <w:bCs/>
          <w:color w:val="auto"/>
          <w:sz w:val="30"/>
          <w:szCs w:val="30"/>
          <w:highlight w:val="none"/>
        </w:rPr>
      </w:pPr>
      <w:r>
        <w:rPr>
          <w:rFonts w:hint="eastAsia" w:ascii="宋体" w:hAnsi="宋体" w:eastAsia="宋体" w:cs="宋体"/>
          <w:b/>
          <w:bCs/>
          <w:color w:val="auto"/>
          <w:sz w:val="30"/>
          <w:szCs w:val="30"/>
          <w:highlight w:val="none"/>
        </w:rPr>
        <w:t>设备配置清单</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149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bl>
    <w:p>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ind w:firstLine="3045" w:firstLineChars="1450"/>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ind w:firstLine="500" w:firstLineChars="200"/>
        <w:jc w:val="left"/>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u w:val="single"/>
          <w:lang w:val="en-US" w:eastAsia="zh-CN"/>
        </w:rPr>
        <w:t xml:space="preserve">  </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（4）</w:t>
      </w:r>
      <w:r>
        <w:rPr>
          <w:rFonts w:hint="eastAsia" w:ascii="宋体" w:hAnsi="宋体" w:eastAsia="宋体" w:cs="宋体"/>
          <w:color w:val="auto"/>
          <w:sz w:val="21"/>
          <w:szCs w:val="21"/>
          <w:highlight w:val="none"/>
        </w:rPr>
        <w:t>售后服务承诺书（应据项目实际要求描述如：投标人建议的安装、调试、验收方法或方案；技术服务、技术培训、售后服务的内容和措施等）</w:t>
      </w:r>
      <w:r>
        <w:rPr>
          <w:rFonts w:hint="eastAsia" w:ascii="宋体" w:hAnsi="宋体" w:eastAsia="宋体" w:cs="宋体"/>
          <w:b/>
          <w:color w:val="auto"/>
          <w:sz w:val="21"/>
          <w:szCs w:val="21"/>
          <w:highlight w:val="none"/>
        </w:rPr>
        <w:t>(格式自拟,必须提供）</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w:t>
      </w:r>
      <w:r>
        <w:rPr>
          <w:rFonts w:hint="eastAsia" w:ascii="宋体" w:hAnsi="宋体" w:eastAsia="宋体" w:cs="宋体"/>
          <w:color w:val="auto"/>
          <w:sz w:val="21"/>
          <w:szCs w:val="21"/>
          <w:highlight w:val="none"/>
        </w:rPr>
        <w:t>投标人拥有主要装备和检测设施的情况和现状（格式自拟）及项目实施人员一览表</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（6）优惠条件：投标人承诺给予招标人的各种优惠条件，包括备品备件、专用耗材、售后服务等方面的优惠；</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30"/>
          <w:szCs w:val="30"/>
          <w:highlight w:val="none"/>
        </w:rPr>
        <w:t>备品备件、专用耗材、售后服务优惠表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格式</w:t>
      </w:r>
      <w:r>
        <w:rPr>
          <w:rFonts w:hint="eastAsia" w:ascii="宋体" w:hAnsi="宋体" w:eastAsia="宋体" w:cs="宋体"/>
          <w:color w:val="auto"/>
          <w:sz w:val="21"/>
          <w:szCs w:val="21"/>
          <w:highlight w:val="none"/>
          <w:lang w:eastAsia="zh-CN"/>
        </w:rPr>
        <w:t>）</w:t>
      </w:r>
    </w:p>
    <w:tbl>
      <w:tblPr>
        <w:tblStyle w:val="20"/>
        <w:tblW w:w="932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1709"/>
        <w:gridCol w:w="1845"/>
        <w:gridCol w:w="1215"/>
        <w:gridCol w:w="1080"/>
        <w:gridCol w:w="2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709" w:type="dxa"/>
            <w:tcBorders>
              <w:top w:val="single" w:color="auto" w:sz="4" w:space="0"/>
              <w:left w:val="single" w:color="auto" w:sz="4" w:space="0"/>
              <w:bottom w:val="single" w:color="auto" w:sz="2"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优惠内容</w:t>
            </w:r>
          </w:p>
        </w:tc>
        <w:tc>
          <w:tcPr>
            <w:tcW w:w="1845" w:type="dxa"/>
            <w:tcBorders>
              <w:top w:val="single" w:color="auto" w:sz="4" w:space="0"/>
              <w:left w:val="single" w:color="auto" w:sz="4" w:space="0"/>
              <w:bottom w:val="single" w:color="auto" w:sz="2"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适用机型</w:t>
            </w:r>
          </w:p>
        </w:tc>
        <w:tc>
          <w:tcPr>
            <w:tcW w:w="1215"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080" w:type="dxa"/>
            <w:tcBorders>
              <w:top w:val="single" w:color="auto" w:sz="4" w:space="0"/>
              <w:left w:val="single" w:color="auto" w:sz="4" w:space="0"/>
              <w:bottom w:val="single" w:color="auto" w:sz="2"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比投标报价优惠率</w:t>
            </w:r>
          </w:p>
        </w:tc>
        <w:tc>
          <w:tcPr>
            <w:tcW w:w="2745" w:type="dxa"/>
            <w:tcBorders>
              <w:top w:val="single" w:color="auto" w:sz="4" w:space="0"/>
              <w:left w:val="single" w:color="auto" w:sz="4" w:space="0"/>
              <w:bottom w:val="single" w:color="auto" w:sz="2"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比招标要求提供更优售后服务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709" w:type="dxa"/>
            <w:tcBorders>
              <w:top w:val="single" w:color="auto" w:sz="2" w:space="0"/>
              <w:left w:val="single" w:color="auto" w:sz="2" w:space="0"/>
              <w:bottom w:val="single" w:color="auto" w:sz="6"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op w:val="single" w:color="auto" w:sz="2" w:space="0"/>
              <w:left w:val="single" w:color="auto" w:sz="4" w:space="0"/>
              <w:bottom w:val="single" w:color="auto" w:sz="6" w:space="0"/>
              <w:right w:val="single" w:color="auto" w:sz="6"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215"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080" w:type="dxa"/>
            <w:tcBorders>
              <w:top w:val="single" w:color="auto" w:sz="2" w:space="0"/>
              <w:left w:val="single" w:color="auto" w:sz="6" w:space="0"/>
              <w:bottom w:val="single" w:color="auto" w:sz="6" w:space="0"/>
              <w:right w:val="single" w:color="auto" w:sz="2"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c>
          <w:tcPr>
            <w:tcW w:w="2745" w:type="dxa"/>
            <w:tcBorders>
              <w:top w:val="single" w:color="auto" w:sz="2" w:space="0"/>
              <w:left w:val="single" w:color="auto" w:sz="6" w:space="0"/>
              <w:bottom w:val="single" w:color="auto" w:sz="6" w:space="0"/>
              <w:right w:val="single" w:color="auto" w:sz="2"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709" w:type="dxa"/>
            <w:tcBorders>
              <w:top w:val="single" w:color="auto" w:sz="6" w:space="0"/>
              <w:left w:val="single" w:color="auto" w:sz="2" w:space="0"/>
              <w:bottom w:val="single" w:color="auto" w:sz="6"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op w:val="single" w:color="auto" w:sz="6" w:space="0"/>
              <w:left w:val="single" w:color="auto" w:sz="4" w:space="0"/>
              <w:bottom w:val="single" w:color="auto" w:sz="6" w:space="0"/>
              <w:right w:val="single" w:color="auto" w:sz="6"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215"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2"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c>
          <w:tcPr>
            <w:tcW w:w="2745" w:type="dxa"/>
            <w:tcBorders>
              <w:top w:val="single" w:color="auto" w:sz="6" w:space="0"/>
              <w:left w:val="single" w:color="auto" w:sz="6" w:space="0"/>
              <w:bottom w:val="single" w:color="auto" w:sz="6" w:space="0"/>
              <w:right w:val="single" w:color="auto" w:sz="2"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709" w:type="dxa"/>
            <w:tcBorders>
              <w:top w:val="single" w:color="auto" w:sz="6" w:space="0"/>
              <w:left w:val="single" w:color="auto" w:sz="2" w:space="0"/>
              <w:bottom w:val="single" w:color="auto" w:sz="6" w:space="0"/>
              <w:right w:val="single" w:color="auto" w:sz="4"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845" w:type="dxa"/>
            <w:tcBorders>
              <w:top w:val="single" w:color="auto" w:sz="6" w:space="0"/>
              <w:left w:val="single" w:color="auto" w:sz="4" w:space="0"/>
              <w:bottom w:val="single" w:color="auto" w:sz="6" w:space="0"/>
              <w:right w:val="single" w:color="auto" w:sz="6"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215"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c>
          <w:tcPr>
            <w:tcW w:w="1080" w:type="dxa"/>
            <w:tcBorders>
              <w:top w:val="single" w:color="auto" w:sz="6" w:space="0"/>
              <w:left w:val="single" w:color="auto" w:sz="6" w:space="0"/>
              <w:bottom w:val="single" w:color="auto" w:sz="6" w:space="0"/>
              <w:right w:val="single" w:color="auto" w:sz="2"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c>
          <w:tcPr>
            <w:tcW w:w="2745" w:type="dxa"/>
            <w:tcBorders>
              <w:top w:val="single" w:color="auto" w:sz="6" w:space="0"/>
              <w:left w:val="single" w:color="auto" w:sz="6" w:space="0"/>
              <w:bottom w:val="single" w:color="auto" w:sz="6" w:space="0"/>
              <w:right w:val="single" w:color="auto" w:sz="2" w:space="0"/>
            </w:tcBorders>
            <w:vAlign w:val="center"/>
          </w:tcPr>
          <w:p>
            <w:pPr>
              <w:pStyle w:val="14"/>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color w:val="auto"/>
                <w:sz w:val="21"/>
                <w:szCs w:val="21"/>
                <w:highlight w:val="none"/>
              </w:rPr>
            </w:pPr>
          </w:p>
        </w:tc>
      </w:tr>
    </w:tbl>
    <w:p>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ind w:firstLine="2940" w:firstLineChars="1400"/>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100" w:beforeAutospacing="1" w:after="100" w:afterAutospacing="1" w:line="360" w:lineRule="exact"/>
        <w:ind w:firstLine="1000" w:firstLineChars="4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投标人盖章：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jc w:val="left"/>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（7）投标人对本项目的合理化建议和改进措施（格式自拟）</w:t>
      </w:r>
    </w:p>
    <w:p>
      <w:pPr>
        <w:keepNext w:val="0"/>
        <w:keepLines w:val="0"/>
        <w:pageBreakBefore w:val="0"/>
        <w:widowControl w:val="0"/>
        <w:kinsoku w:val="0"/>
        <w:wordWrap/>
        <w:overflowPunct w:val="0"/>
        <w:topLinePunct w:val="0"/>
        <w:autoSpaceDE w:val="0"/>
        <w:autoSpaceDN w:val="0"/>
        <w:bidi w:val="0"/>
        <w:snapToGrid w:val="0"/>
        <w:spacing w:before="50" w:after="156" w:afterLines="50"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（8）投标人需要说明的其他文件和说明（格式自拟）</w:t>
      </w:r>
    </w:p>
    <w:p>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▲（9）招标项目采购需求中要求必须提供的材料。（招标项目采购需求中要求必须提供的材料，据实提供）</w:t>
      </w:r>
    </w:p>
    <w:p>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50" w:line="360" w:lineRule="exact"/>
        <w:jc w:val="lef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四）报价文件部分 （格式）</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210" w:firstLineChars="1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（1）投标函格式：</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投 标 函</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广西壮族自治区政府采购中心</w:t>
      </w:r>
      <w:r>
        <w:rPr>
          <w:rFonts w:hint="eastAsia" w:ascii="宋体" w:hAnsi="宋体" w:eastAsia="宋体" w:cs="宋体"/>
          <w:color w:val="auto"/>
          <w:sz w:val="21"/>
          <w:szCs w:val="21"/>
          <w:highlight w:val="none"/>
        </w:rPr>
        <w:t>：</w:t>
      </w:r>
    </w:p>
    <w:p>
      <w:pPr>
        <w:keepNext w:val="0"/>
        <w:keepLines w:val="0"/>
        <w:pageBreakBefore w:val="0"/>
        <w:widowControl w:val="0"/>
        <w:kinsoku w:val="0"/>
        <w:wordWrap/>
        <w:overflowPunct w:val="0"/>
        <w:topLinePunct w:val="0"/>
        <w:autoSpaceDE w:val="0"/>
        <w:autoSpaceDN w:val="0"/>
        <w:bidi w:val="0"/>
        <w:snapToGrid w:val="0"/>
        <w:spacing w:line="360" w:lineRule="exact"/>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根据贵方为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项目的招标公告（项目编号：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（全名）经正式授权并代表投标人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（投标人名称）上传并提交加密的电子投标文件一份。</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据此函，签字代表宣布同意如下：</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1.投标人已详细审查全部“招标文件”，包括修改文件（如有的话）以及全部参考资料和有关附件，已经了解我方对于招标文件、采购过程、采购结果有依法进行询问、质疑、投诉的权利及相关渠道和要求。</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2.投标人在投标之前已经与贵方进行了充分的沟通，完全理解并接受招标文件的各项规定和要求，对招标文件的合理性、合法性不再有异议。</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3.本投标有效期自开标日起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个</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日（自然日）。</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4.如中标，本投标文件至本项目合同履行完毕止均保持有效，本投标人将按“招标文件”及政府采购法律、法规的规定履行合同责任和义务。</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5.投标人同意按照贵方要求提供与投标有关的一切数据或资料。</w:t>
      </w:r>
    </w:p>
    <w:p>
      <w:pPr>
        <w:keepNext w:val="0"/>
        <w:keepLines w:val="0"/>
        <w:pageBreakBefore w:val="0"/>
        <w:widowControl w:val="0"/>
        <w:kinsoku w:val="0"/>
        <w:wordWrap/>
        <w:overflowPunct w:val="0"/>
        <w:topLinePunct w:val="0"/>
        <w:autoSpaceDE w:val="0"/>
        <w:autoSpaceDN w:val="0"/>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6.与本投标有关的一切正式往来信函请寄：</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投标人代表姓名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职务：</w:t>
      </w:r>
      <w:r>
        <w:rPr>
          <w:rFonts w:hint="eastAsia" w:ascii="宋体" w:hAnsi="宋体" w:eastAsia="宋体" w:cs="宋体"/>
          <w:color w:val="auto"/>
          <w:sz w:val="21"/>
          <w:szCs w:val="21"/>
          <w:highlight w:val="none"/>
          <w:u w:val="single"/>
          <w:lang w:val="en-US" w:eastAsia="zh-CN"/>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银行账号：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pPr>
        <w:pStyle w:val="14"/>
        <w:keepNext w:val="0"/>
        <w:keepLines w:val="0"/>
        <w:pageBreakBefore w:val="0"/>
        <w:widowControl w:val="0"/>
        <w:kinsoku w:val="0"/>
        <w:wordWrap/>
        <w:overflowPunct w:val="0"/>
        <w:topLinePunct w:val="0"/>
        <w:autoSpaceDE w:val="0"/>
        <w:autoSpaceDN w:val="0"/>
        <w:bidi w:val="0"/>
        <w:snapToGrid w:val="0"/>
        <w:spacing w:line="360" w:lineRule="exact"/>
        <w:ind w:firstLine="5670" w:firstLineChars="2700"/>
        <w:textAlignment w:val="auto"/>
        <w:rPr>
          <w:rFonts w:hint="eastAsia" w:ascii="宋体" w:hAnsi="宋体" w:eastAsia="宋体" w:cs="宋体"/>
          <w:color w:val="auto"/>
          <w:sz w:val="21"/>
          <w:szCs w:val="21"/>
          <w:highlight w:val="none"/>
        </w:rPr>
      </w:pPr>
    </w:p>
    <w:p>
      <w:pPr>
        <w:pStyle w:val="14"/>
        <w:keepNext w:val="0"/>
        <w:keepLines w:val="0"/>
        <w:pageBreakBefore w:val="0"/>
        <w:widowControl w:val="0"/>
        <w:kinsoku w:val="0"/>
        <w:wordWrap/>
        <w:overflowPunct w:val="0"/>
        <w:topLinePunct w:val="0"/>
        <w:autoSpaceDE w:val="0"/>
        <w:autoSpaceDN w:val="0"/>
        <w:bidi w:val="0"/>
        <w:snapToGrid w:val="0"/>
        <w:spacing w:line="360" w:lineRule="exact"/>
        <w:ind w:firstLine="5670" w:firstLineChars="2700"/>
        <w:textAlignment w:val="auto"/>
        <w:rPr>
          <w:rFonts w:hint="eastAsia" w:ascii="宋体" w:hAnsi="宋体" w:eastAsia="宋体" w:cs="宋体"/>
          <w:color w:val="auto"/>
          <w:sz w:val="21"/>
          <w:szCs w:val="21"/>
          <w:highlight w:val="none"/>
        </w:rPr>
      </w:pPr>
    </w:p>
    <w:p>
      <w:pPr>
        <w:pStyle w:val="14"/>
        <w:keepNext w:val="0"/>
        <w:keepLines w:val="0"/>
        <w:pageBreakBefore w:val="0"/>
        <w:widowControl w:val="0"/>
        <w:kinsoku w:val="0"/>
        <w:wordWrap/>
        <w:overflowPunct w:val="0"/>
        <w:topLinePunct w:val="0"/>
        <w:autoSpaceDE w:val="0"/>
        <w:autoSpaceDN w:val="0"/>
        <w:bidi w:val="0"/>
        <w:snapToGrid w:val="0"/>
        <w:spacing w:line="360" w:lineRule="exact"/>
        <w:ind w:firstLine="5880" w:firstLineChars="2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(公章)</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ind w:firstLine="5880" w:firstLineChars="28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before="156" w:beforeLines="50" w:after="50" w:line="360" w:lineRule="exac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（2）投标报价明细表格式</w:t>
      </w:r>
    </w:p>
    <w:p>
      <w:pPr>
        <w:pStyle w:val="14"/>
        <w:keepNext w:val="0"/>
        <w:keepLines w:val="0"/>
        <w:pageBreakBefore w:val="0"/>
        <w:widowControl w:val="0"/>
        <w:kinsoku w:val="0"/>
        <w:wordWrap/>
        <w:overflowPunct w:val="0"/>
        <w:topLinePunct w:val="0"/>
        <w:autoSpaceDE w:val="0"/>
        <w:autoSpaceDN w:val="0"/>
        <w:bidi w:val="0"/>
        <w:snapToGrid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30"/>
          <w:szCs w:val="30"/>
          <w:highlight w:val="none"/>
        </w:rPr>
        <w:t>投标报价明细表</w:t>
      </w:r>
    </w:p>
    <w:p>
      <w:pPr>
        <w:pStyle w:val="14"/>
        <w:keepNext w:val="0"/>
        <w:keepLines w:val="0"/>
        <w:pageBreakBefore w:val="0"/>
        <w:widowControl w:val="0"/>
        <w:kinsoku w:val="0"/>
        <w:wordWrap/>
        <w:overflowPunct w:val="0"/>
        <w:topLinePunct w:val="0"/>
        <w:autoSpaceDE w:val="0"/>
        <w:autoSpaceDN w:val="0"/>
        <w:bidi w:val="0"/>
        <w:snapToGrid w:val="0"/>
        <w:spacing w:line="360" w:lineRule="exact"/>
        <w:ind w:firstLine="105" w:firstLineChars="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金额单位：人民币（元）</w:t>
      </w:r>
    </w:p>
    <w:tbl>
      <w:tblPr>
        <w:tblStyle w:val="20"/>
        <w:tblW w:w="9934" w:type="dxa"/>
        <w:tblInd w:w="-7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9"/>
        <w:gridCol w:w="1515"/>
        <w:gridCol w:w="765"/>
        <w:gridCol w:w="1125"/>
        <w:gridCol w:w="1275"/>
        <w:gridCol w:w="1800"/>
        <w:gridCol w:w="900"/>
        <w:gridCol w:w="196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rPr>
              <w:t>序号</w:t>
            </w:r>
          </w:p>
        </w:tc>
        <w:tc>
          <w:tcPr>
            <w:tcW w:w="15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765" w:type="dxa"/>
            <w:tcBorders>
              <w:top w:val="single" w:color="auto" w:sz="4" w:space="0"/>
              <w:left w:val="single" w:color="auto" w:sz="4" w:space="0"/>
              <w:bottom w:val="single" w:color="auto" w:sz="4" w:space="0"/>
              <w:right w:val="single" w:color="auto" w:sz="4" w:space="0"/>
            </w:tcBorders>
            <w:vAlign w:val="center"/>
          </w:tcPr>
          <w:p>
            <w:pPr>
              <w:pStyle w:val="35"/>
              <w:keepNext w:val="0"/>
              <w:keepLines w:val="0"/>
              <w:pageBreakBefore w:val="0"/>
              <w:widowControl w:val="0"/>
              <w:kinsoku w:val="0"/>
              <w:wordWrap/>
              <w:overflowPunct w:val="0"/>
              <w:topLinePunct w:val="0"/>
              <w:autoSpaceDE w:val="0"/>
              <w:autoSpaceDN w:val="0"/>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品牌</w:t>
            </w: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12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生产厂家</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51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7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80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51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7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80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8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51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pacing w:val="20"/>
                <w:sz w:val="21"/>
                <w:szCs w:val="21"/>
                <w:highlight w:val="none"/>
              </w:rPr>
              <w:t>……</w:t>
            </w:r>
          </w:p>
        </w:tc>
        <w:tc>
          <w:tcPr>
            <w:tcW w:w="7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12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27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80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900"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c>
          <w:tcPr>
            <w:tcW w:w="1965"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pacing w:val="20"/>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69"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u w:val="single"/>
                <w:lang w:val="en-US" w:eastAsia="zh-CN"/>
              </w:rPr>
            </w:pPr>
            <w:r>
              <w:rPr>
                <w:rFonts w:hint="eastAsia" w:ascii="宋体" w:hAnsi="宋体" w:eastAsia="宋体" w:cs="宋体"/>
                <w:color w:val="auto"/>
                <w:sz w:val="21"/>
                <w:szCs w:val="21"/>
                <w:highlight w:val="none"/>
              </w:rPr>
              <w:t>合计金额大写：</w:t>
            </w:r>
            <w:r>
              <w:rPr>
                <w:rFonts w:hint="eastAsia" w:ascii="宋体" w:hAnsi="宋体" w:eastAsia="宋体" w:cs="宋体"/>
                <w:color w:val="auto"/>
                <w:sz w:val="21"/>
                <w:szCs w:val="21"/>
                <w:highlight w:val="none"/>
                <w:u w:val="single"/>
                <w:lang w:val="en-US" w:eastAsia="zh-CN"/>
              </w:rPr>
              <w:t xml:space="preserve">               </w:t>
            </w:r>
          </w:p>
        </w:tc>
        <w:tc>
          <w:tcPr>
            <w:tcW w:w="1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tabs>
                <w:tab w:val="left" w:pos="1418"/>
              </w:tabs>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pacing w:val="20"/>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tc>
      </w:tr>
    </w:tbl>
    <w:p>
      <w:pPr>
        <w:keepNext w:val="0"/>
        <w:keepLines w:val="0"/>
        <w:pageBreakBefore w:val="0"/>
        <w:widowControl w:val="0"/>
        <w:tabs>
          <w:tab w:val="left" w:pos="1418"/>
        </w:tabs>
        <w:kinsoku w:val="0"/>
        <w:wordWrap/>
        <w:overflowPunct w:val="0"/>
        <w:topLinePunct w:val="0"/>
        <w:autoSpaceDE w:val="0"/>
        <w:autoSpaceDN w:val="0"/>
        <w:bidi w:val="0"/>
        <w:snapToGrid w:val="0"/>
        <w:spacing w:line="360" w:lineRule="exact"/>
        <w:ind w:left="1418" w:hanging="567"/>
        <w:jc w:val="center"/>
        <w:textAlignment w:val="auto"/>
        <w:rPr>
          <w:rFonts w:hint="eastAsia" w:ascii="宋体" w:hAnsi="宋体" w:eastAsia="宋体" w:cs="宋体"/>
          <w:color w:val="auto"/>
          <w:spacing w:val="20"/>
          <w:sz w:val="21"/>
          <w:szCs w:val="21"/>
          <w:highlight w:val="none"/>
          <w:u w:val="singl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3150" w:firstLineChars="1500"/>
        <w:textAlignment w:val="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法定代表人或委托代理人签字或签章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pacing w:val="20"/>
          <w:sz w:val="21"/>
          <w:szCs w:val="21"/>
          <w:highlight w:val="none"/>
          <w:u w:val="single"/>
        </w:rPr>
      </w:pPr>
    </w:p>
    <w:p>
      <w:pPr>
        <w:keepNext w:val="0"/>
        <w:keepLines w:val="0"/>
        <w:pageBreakBefore w:val="0"/>
        <w:widowControl w:val="0"/>
        <w:kinsoku w:val="0"/>
        <w:wordWrap/>
        <w:overflowPunct w:val="0"/>
        <w:topLinePunct w:val="0"/>
        <w:autoSpaceDE w:val="0"/>
        <w:autoSpaceDN w:val="0"/>
        <w:bidi w:val="0"/>
        <w:snapToGrid w:val="0"/>
        <w:spacing w:line="360" w:lineRule="exact"/>
        <w:ind w:firstLine="3150" w:firstLineChars="15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投标人盖章：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日  期：</w:t>
      </w:r>
      <w:r>
        <w:rPr>
          <w:rFonts w:hint="eastAsia" w:ascii="宋体" w:hAnsi="宋体" w:eastAsia="宋体" w:cs="宋体"/>
          <w:color w:val="auto"/>
          <w:sz w:val="21"/>
          <w:szCs w:val="21"/>
          <w:highlight w:val="none"/>
          <w:u w:val="singl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color w:val="auto"/>
          <w:sz w:val="21"/>
          <w:szCs w:val="21"/>
          <w:highlight w:val="none"/>
        </w:rPr>
        <w:t>投标人针对报价需要说明的其他文件和说明（格式自拟）</w:t>
      </w:r>
    </w:p>
    <w:p>
      <w:pPr>
        <w:keepNext w:val="0"/>
        <w:keepLines w:val="0"/>
        <w:pageBreakBefore w:val="0"/>
        <w:widowControl w:val="0"/>
        <w:kinsoku w:val="0"/>
        <w:wordWrap/>
        <w:overflowPunct w:val="0"/>
        <w:topLinePunct w:val="0"/>
        <w:autoSpaceDE w:val="0"/>
        <w:autoSpaceDN w:val="0"/>
        <w:bidi w:val="0"/>
        <w:snapToGrid w:val="0"/>
        <w:spacing w:line="360" w:lineRule="exact"/>
        <w:ind w:firstLine="421" w:firstLineChars="200"/>
        <w:textAlignment w:val="auto"/>
        <w:rPr>
          <w:rFonts w:hint="eastAsia" w:ascii="宋体" w:hAnsi="宋体" w:eastAsia="宋体" w:cs="宋体"/>
          <w:b/>
          <w:color w:val="auto"/>
          <w:sz w:val="21"/>
          <w:szCs w:val="21"/>
          <w:highlight w:val="none"/>
        </w:rPr>
      </w:pPr>
    </w:p>
    <w:p>
      <w:pPr>
        <w:keepNext w:val="0"/>
        <w:keepLines w:val="0"/>
        <w:pageBreakBefore w:val="0"/>
        <w:widowControl w:val="0"/>
        <w:kinsoku w:val="0"/>
        <w:wordWrap/>
        <w:overflowPunct w:val="0"/>
        <w:topLinePunct w:val="0"/>
        <w:autoSpaceDE w:val="0"/>
        <w:autoSpaceDN w:val="0"/>
        <w:bidi w:val="0"/>
        <w:snapToGrid w:val="0"/>
        <w:spacing w:line="36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（4）开标一览表</w:t>
      </w:r>
    </w:p>
    <w:p>
      <w:pPr>
        <w:keepNext w:val="0"/>
        <w:keepLines w:val="0"/>
        <w:pageBreakBefore w:val="0"/>
        <w:widowControl w:val="0"/>
        <w:kinsoku w:val="0"/>
        <w:wordWrap/>
        <w:overflowPunct w:val="0"/>
        <w:topLinePunct w:val="0"/>
        <w:autoSpaceDE w:val="0"/>
        <w:autoSpaceDN w:val="0"/>
        <w:bidi w:val="0"/>
        <w:snapToGrid w:val="0"/>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30"/>
          <w:szCs w:val="30"/>
          <w:highlight w:val="none"/>
        </w:rPr>
        <w:t>开标一览表</w:t>
      </w:r>
    </w:p>
    <w:p>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lang w:val="en-US" w:eastAsia="zh-CN"/>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snapToGrid w:val="0"/>
        <w:spacing w:line="360" w:lineRule="exact"/>
        <w:ind w:firstLine="102" w:firstLineChars="49"/>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金额单位：人民币（元）</w:t>
      </w:r>
    </w:p>
    <w:tbl>
      <w:tblPr>
        <w:tblStyle w:val="20"/>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855"/>
        <w:gridCol w:w="1381"/>
        <w:gridCol w:w="751"/>
        <w:gridCol w:w="172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74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c>
          <w:tcPr>
            <w:tcW w:w="18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品牌及厂家</w:t>
            </w: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bCs/>
                <w:color w:val="auto"/>
                <w:sz w:val="21"/>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center"/>
              <w:textAlignment w:val="auto"/>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val="0"/>
              <w:wordWrap/>
              <w:overflowPunct w:val="0"/>
              <w:topLinePunct w:val="0"/>
              <w:autoSpaceDE w:val="0"/>
              <w:autoSpaceDN w:val="0"/>
              <w:bidi w:val="0"/>
              <w:snapToGrid w:val="0"/>
              <w:spacing w:before="50" w:after="50" w:line="36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合计金额大写：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u w:val="single"/>
              </w:rPr>
              <w:t xml:space="preserve">            </w:t>
            </w:r>
          </w:p>
        </w:tc>
      </w:tr>
    </w:tbl>
    <w:p>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注: </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1.报价一经涂改，应在涂改处加盖单位公章或者由法定代表人或授权委托人签字或签章，否则其投标作无效标处理。</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2.凡需用专用耗材的专用设备类采购项目，应按招标文件规定的耗材量或按耗材的常规试用量提供报价。</w:t>
      </w:r>
    </w:p>
    <w:p>
      <w:pPr>
        <w:keepNext w:val="0"/>
        <w:keepLines w:val="0"/>
        <w:pageBreakBefore w:val="0"/>
        <w:widowControl w:val="0"/>
        <w:kinsoku w:val="0"/>
        <w:wordWrap/>
        <w:overflowPunct w:val="0"/>
        <w:topLinePunct w:val="0"/>
        <w:autoSpaceDE w:val="0"/>
        <w:autoSpaceDN w:val="0"/>
        <w:bidi w:val="0"/>
        <w:adjustRightInd/>
        <w:snapToGrid w:val="0"/>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3.投标费用包括项目实施所需的人工费、运输费、安装调试费、制作投标文件费、税费及其他一切费用。</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4.以上报价应与“投标设备报价明细表”中的“投标总价”相一致。</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2" w:leftChars="-1" w:right="-817" w:rightChars="-389"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1"/>
          <w:szCs w:val="21"/>
          <w:highlight w:val="none"/>
        </w:rPr>
        <w:t>5.项</w:t>
      </w:r>
      <w:r>
        <w:rPr>
          <w:rFonts w:hint="eastAsia" w:ascii="宋体" w:hAnsi="宋体" w:eastAsia="宋体" w:cs="宋体"/>
          <w:bCs/>
          <w:color w:val="auto"/>
          <w:sz w:val="21"/>
          <w:szCs w:val="21"/>
          <w:highlight w:val="none"/>
        </w:rPr>
        <w:t>目中有多个分标的，每一分标的开标一览表必须分别按格式要求填写并签字、盖章。</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2" w:leftChars="-1" w:right="-817" w:rightChars="-389" w:firstLine="420" w:firstLineChars="200"/>
        <w:textAlignment w:val="auto"/>
        <w:rPr>
          <w:rFonts w:hint="eastAsia" w:ascii="宋体" w:hAnsi="宋体" w:eastAsia="宋体" w:cs="宋体"/>
          <w:color w:val="auto"/>
          <w:sz w:val="21"/>
          <w:szCs w:val="21"/>
          <w:highlight w:val="none"/>
        </w:rPr>
      </w:pPr>
    </w:p>
    <w:p>
      <w:pPr>
        <w:keepNext w:val="0"/>
        <w:keepLines w:val="0"/>
        <w:pageBreakBefore w:val="0"/>
        <w:widowControl w:val="0"/>
        <w:kinsoku w:val="0"/>
        <w:wordWrap/>
        <w:overflowPunct w:val="0"/>
        <w:topLinePunct w:val="0"/>
        <w:autoSpaceDE w:val="0"/>
        <w:autoSpaceDN w:val="0"/>
        <w:bidi w:val="0"/>
        <w:adjustRightInd/>
        <w:snapToGrid w:val="0"/>
        <w:spacing w:line="360" w:lineRule="exact"/>
        <w:ind w:left="-2" w:leftChars="-1" w:right="-817" w:rightChars="-389" w:firstLine="3570" w:firstLineChars="17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法定代表人或委托代理人签字或签章：                    </w:t>
      </w:r>
    </w:p>
    <w:p>
      <w:pPr>
        <w:keepNext w:val="0"/>
        <w:keepLines w:val="0"/>
        <w:pageBreakBefore w:val="0"/>
        <w:widowControl w:val="0"/>
        <w:kinsoku w:val="0"/>
        <w:wordWrap/>
        <w:overflowPunct w:val="0"/>
        <w:topLinePunct w:val="0"/>
        <w:autoSpaceDE w:val="0"/>
        <w:autoSpaceDN w:val="0"/>
        <w:bidi w:val="0"/>
        <w:adjustRightInd/>
        <w:snapToGrid w:val="0"/>
        <w:spacing w:line="360" w:lineRule="exact"/>
        <w:ind w:right="-817" w:rightChars="-389" w:firstLine="4410" w:firstLineChars="2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投标人名称（盖章）：</w:t>
      </w:r>
    </w:p>
    <w:p>
      <w:pPr>
        <w:keepNext w:val="0"/>
        <w:keepLines w:val="0"/>
        <w:pageBreakBefore w:val="0"/>
        <w:widowControl w:val="0"/>
        <w:kinsoku w:val="0"/>
        <w:wordWrap/>
        <w:overflowPunct w:val="0"/>
        <w:topLinePunct w:val="0"/>
        <w:autoSpaceDE w:val="0"/>
        <w:autoSpaceDN w:val="0"/>
        <w:bidi w:val="0"/>
        <w:adjustRightInd/>
        <w:snapToGrid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 </w:t>
      </w:r>
    </w:p>
    <w:sectPr>
      <w:footerReference r:id="rId6" w:type="default"/>
      <w:pgSz w:w="11850" w:h="16783"/>
      <w:pgMar w:top="1440" w:right="1230"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34"/>
    <w:family w:val="roman"/>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宋体"/>
    <w:panose1 w:val="02000000000000000000"/>
    <w:charset w:val="86"/>
    <w:family w:val="auto"/>
    <w:pitch w:val="default"/>
    <w:sig w:usb0="00000000" w:usb1="00000000" w:usb2="00000012"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EdcmWhMCAAATBAAADgAAAAAAAAABACAAAAA1AQAAZHJzL2Uyb0RvYy54bWxQSwUGAAAAAAYABgBZ&#10;AQAAugUAAAAA&#10;">
              <v:fill on="f" focussize="0,0"/>
              <v:stroke on="f" weight="0.5pt"/>
              <v:imagedata o:title=""/>
              <o:lock v:ext="edit" aspectratio="f"/>
              <v:textbox inset="0mm,0mm,0mm,0mm" style="mso-fit-shape-to-text:t;">
                <w:txbxContent>
                  <w:p>
                    <w:pPr>
                      <w:pStyle w:val="15"/>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b0gwvFQIAABMEAAAOAAAAAAAAAAEAIAAAADUBAABkcnMvZTJvRG9jLnhtbFBLBQYAAAAABgAG&#10;AFkBAAC8BQAAAAA=&#10;">
              <v:fill on="f" focussize="0,0"/>
              <v:stroke on="f" weight="0.5pt"/>
              <v:imagedata o:title=""/>
              <o:lock v:ext="edit" aspectratio="f"/>
              <v:textbox inset="0mm,0mm,0mm,0mm" style="mso-fit-shape-to-text:t;">
                <w:txbxContent>
                  <w:p>
                    <w:pPr>
                      <w:pStyle w:val="1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doX50UAgAAFQQAAA4AAAAAAAAAAQAgAAAANQEAAGRycy9lMm9Eb2MueG1sUEsFBgAAAAAGAAYA&#10;WQEAALsFA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15"/>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Theme="minor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0JkVFAIAABMEAAAOAAAAZHJz&#10;L2Uyb0RvYy54bWytU02O0zAU3iNxB8t7mrSo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X0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F7QmRUUAgAAEwQAAA4AAAAAAAAAAQAgAAAANQEAAGRycy9lMm9Eb2MueG1sUEsFBgAAAAAGAAYA&#10;WQEAALsFAAAAAA==&#10;">
              <v:fill on="f" focussize="0,0"/>
              <v:stroke on="f" weight="0.5pt"/>
              <v:imagedata o:title=""/>
              <o:lock v:ext="edit" aspectratio="f"/>
              <v:textbox inset="0mm,0mm,0mm,0mm" style="mso-fit-shape-to-text:t;">
                <w:txbxContent>
                  <w:p>
                    <w:pPr>
                      <w:pStyle w:val="15"/>
                      <w:rPr>
                        <w:rFonts w:hint="eastAsia" w:eastAsiaTheme="minorEastAsia"/>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NxeOVFQIAABUEAAAOAAAAAAAAAAEAIAAAADUBAABkcnMvZTJvRG9jLnhtbFBLBQYAAAAABgAG&#10;AFkBAAC8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0</w:t>
                    </w:r>
                    <w: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PbXR6EgIAABU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P&#10;bXR6EgIAABUEAAAOAAAAAAAAAAEAIAAAADUBAABkcnMvZTJvRG9jLnhtbFBLBQYAAAAABgAGAFkB&#10;AAC5BQAAAAA=&#10;">
              <v:fill on="f" focussize="0,0"/>
              <v:stroke on="f" weight="0.5pt"/>
              <v:imagedata o:title=""/>
              <o:lock v:ext="edit" aspectratio="f"/>
              <v:textbox inset="0mm,0mm,0mm,0mm" style="mso-fit-shape-to-text:t;">
                <w:txbxContent>
                  <w:p>
                    <w:pPr>
                      <w:pStyle w:val="15"/>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Theme="minor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k72REwIAABU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SJO9kRMCAAAVBAAADgAAAAAAAAABACAAAAA1AQAAZHJzL2Uyb0RvYy54bWxQSwUGAAAAAAYABgBZ&#10;AQAAugUAAAAA&#10;">
              <v:fill on="f" focussize="0,0"/>
              <v:stroke on="f" weight="0.5pt"/>
              <v:imagedata o:title=""/>
              <o:lock v:ext="edit" aspectratio="f"/>
              <v:textbox inset="0mm,0mm,0mm,0mm" style="mso-fit-shape-to-text:t;">
                <w:txbxContent>
                  <w:p>
                    <w:pPr>
                      <w:pStyle w:val="15"/>
                      <w:rPr>
                        <w:rFonts w:hint="eastAsia" w:eastAsiaTheme="minorEastAsia"/>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jc w:val="both"/>
      <w:rPr>
        <w:rFonts w:hint="eastAsia" w:eastAsia="宋体"/>
        <w:b w:val="0"/>
        <w:bCs w:val="0"/>
        <w:sz w:val="21"/>
        <w:szCs w:val="21"/>
        <w:u w:val="single"/>
        <w:lang w:val="en-US" w:eastAsia="zh-CN"/>
      </w:rPr>
    </w:pPr>
    <w:r>
      <w:rPr>
        <w:rFonts w:hint="eastAsia" w:ascii="宋体" w:hAnsi="宋体" w:eastAsia="宋体" w:cs="宋体"/>
        <w:b w:val="0"/>
        <w:bCs w:val="0"/>
        <w:sz w:val="21"/>
        <w:szCs w:val="21"/>
        <w:u w:val="single"/>
        <w:lang w:val="en-US" w:eastAsia="zh-CN"/>
      </w:rPr>
      <w:t xml:space="preserve">                         2026-2027年流感季免费流感疫苗采购（</w:t>
    </w:r>
    <w:r>
      <w:rPr>
        <w:rFonts w:hint="eastAsia" w:ascii="宋体" w:hAnsi="宋体" w:eastAsia="宋体" w:cs="宋体"/>
        <w:b w:val="0"/>
        <w:bCs w:val="0"/>
        <w:sz w:val="21"/>
        <w:szCs w:val="21"/>
        <w:u w:val="single"/>
      </w:rPr>
      <w:t>GXZC2026-G1-00</w:t>
    </w:r>
    <w:r>
      <w:rPr>
        <w:rFonts w:hint="eastAsia" w:ascii="宋体" w:hAnsi="宋体" w:eastAsia="宋体" w:cs="宋体"/>
        <w:b w:val="0"/>
        <w:bCs w:val="0"/>
        <w:sz w:val="21"/>
        <w:szCs w:val="21"/>
        <w:u w:val="single"/>
        <w:lang w:val="en-US" w:eastAsia="zh-CN"/>
      </w:rPr>
      <w:t>3119</w:t>
    </w:r>
    <w:r>
      <w:rPr>
        <w:rFonts w:hint="eastAsia" w:ascii="宋体" w:hAnsi="宋体" w:eastAsia="宋体" w:cs="宋体"/>
        <w:b w:val="0"/>
        <w:bCs w:val="0"/>
        <w:sz w:val="21"/>
        <w:szCs w:val="21"/>
        <w:u w:val="single"/>
      </w:rPr>
      <w:t>-CGZX</w:t>
    </w:r>
    <w:r>
      <w:rPr>
        <w:rFonts w:hint="eastAsia" w:ascii="宋体" w:hAnsi="宋体" w:eastAsia="宋体" w:cs="宋体"/>
        <w:b w:val="0"/>
        <w:bCs w:val="0"/>
        <w:sz w:val="21"/>
        <w:szCs w:val="21"/>
        <w:u w:val="single"/>
        <w:lang w:eastAsia="zh-CN"/>
      </w:rPr>
      <w:t>）</w:t>
    </w:r>
  </w:p>
  <w:p>
    <w:pPr>
      <w:pStyle w:val="16"/>
      <w:pBdr>
        <w:bottom w:val="none" w:color="auto" w:sz="0" w:space="1"/>
      </w:pBdr>
      <w:tabs>
        <w:tab w:val="left" w:pos="5894"/>
        <w:tab w:val="clear" w:pos="4153"/>
      </w:tabs>
      <w:jc w:val="both"/>
      <w:rPr>
        <w:rFonts w:hint="default" w:eastAsiaTheme="minorEastAsia"/>
        <w:u w:val="singl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F864CB"/>
    <w:multiLevelType w:val="singleLevel"/>
    <w:tmpl w:val="E1F864CB"/>
    <w:lvl w:ilvl="0" w:tentative="0">
      <w:start w:val="1"/>
      <w:numFmt w:val="decimal"/>
      <w:suff w:val="nothing"/>
      <w:lvlText w:val="（%1）"/>
      <w:lvlJc w:val="left"/>
    </w:lvl>
  </w:abstractNum>
  <w:abstractNum w:abstractNumId="1">
    <w:nsid w:val="5FFDC433"/>
    <w:multiLevelType w:val="singleLevel"/>
    <w:tmpl w:val="5FFDC433"/>
    <w:lvl w:ilvl="0" w:tentative="0">
      <w:start w:val="1"/>
      <w:numFmt w:val="decimal"/>
      <w:pStyle w:val="7"/>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xODNjNDc5NzJmNmIwYWUzZjhjYjdlZDVkM2NhZTYifQ=="/>
  </w:docVars>
  <w:rsids>
    <w:rsidRoot w:val="00520112"/>
    <w:rsid w:val="00002299"/>
    <w:rsid w:val="001978C2"/>
    <w:rsid w:val="001B223C"/>
    <w:rsid w:val="00520112"/>
    <w:rsid w:val="00826171"/>
    <w:rsid w:val="00861FAF"/>
    <w:rsid w:val="00943CD8"/>
    <w:rsid w:val="00C20C5D"/>
    <w:rsid w:val="00C32BF4"/>
    <w:rsid w:val="00DA0B79"/>
    <w:rsid w:val="00F2000C"/>
    <w:rsid w:val="01007149"/>
    <w:rsid w:val="012E36B9"/>
    <w:rsid w:val="01896B19"/>
    <w:rsid w:val="01B80C1B"/>
    <w:rsid w:val="01D427A1"/>
    <w:rsid w:val="01FC7E4D"/>
    <w:rsid w:val="02474A49"/>
    <w:rsid w:val="02482FCE"/>
    <w:rsid w:val="0279651D"/>
    <w:rsid w:val="02801DAF"/>
    <w:rsid w:val="028916DF"/>
    <w:rsid w:val="02CA179F"/>
    <w:rsid w:val="02CB1CF7"/>
    <w:rsid w:val="03155CE0"/>
    <w:rsid w:val="031E5B13"/>
    <w:rsid w:val="033C6A80"/>
    <w:rsid w:val="033F6241"/>
    <w:rsid w:val="034A70C0"/>
    <w:rsid w:val="036A59B4"/>
    <w:rsid w:val="03863E70"/>
    <w:rsid w:val="03AB333B"/>
    <w:rsid w:val="03F31506"/>
    <w:rsid w:val="03FB4410"/>
    <w:rsid w:val="0406676F"/>
    <w:rsid w:val="048B5043"/>
    <w:rsid w:val="0491110B"/>
    <w:rsid w:val="04C70D83"/>
    <w:rsid w:val="05120CA5"/>
    <w:rsid w:val="05432019"/>
    <w:rsid w:val="05AB7D53"/>
    <w:rsid w:val="05CD222A"/>
    <w:rsid w:val="05D37841"/>
    <w:rsid w:val="063876A4"/>
    <w:rsid w:val="067811B7"/>
    <w:rsid w:val="069331B4"/>
    <w:rsid w:val="06E67100"/>
    <w:rsid w:val="06F37A6F"/>
    <w:rsid w:val="06FF6413"/>
    <w:rsid w:val="07402BE8"/>
    <w:rsid w:val="078C5300"/>
    <w:rsid w:val="07C05BA3"/>
    <w:rsid w:val="07C471B2"/>
    <w:rsid w:val="07F81CA6"/>
    <w:rsid w:val="087E3119"/>
    <w:rsid w:val="088E04ED"/>
    <w:rsid w:val="08BE627A"/>
    <w:rsid w:val="08C07E24"/>
    <w:rsid w:val="08C607F0"/>
    <w:rsid w:val="08CC0577"/>
    <w:rsid w:val="08FB4BA5"/>
    <w:rsid w:val="0911242E"/>
    <w:rsid w:val="09280895"/>
    <w:rsid w:val="092D4D1C"/>
    <w:rsid w:val="09750C0F"/>
    <w:rsid w:val="098175B4"/>
    <w:rsid w:val="09DE547F"/>
    <w:rsid w:val="09E638BB"/>
    <w:rsid w:val="0A251C00"/>
    <w:rsid w:val="0A8F3F52"/>
    <w:rsid w:val="0AA1189D"/>
    <w:rsid w:val="0AF017BA"/>
    <w:rsid w:val="0B0D77B0"/>
    <w:rsid w:val="0B673342"/>
    <w:rsid w:val="0BDD0D82"/>
    <w:rsid w:val="0BFF1A71"/>
    <w:rsid w:val="0C0F0EA7"/>
    <w:rsid w:val="0C801DA5"/>
    <w:rsid w:val="0C8E44C1"/>
    <w:rsid w:val="0CC3104A"/>
    <w:rsid w:val="0CF72E53"/>
    <w:rsid w:val="0D8301BA"/>
    <w:rsid w:val="0DBB7AFD"/>
    <w:rsid w:val="0DFF7FC8"/>
    <w:rsid w:val="0E664FCA"/>
    <w:rsid w:val="0EB51830"/>
    <w:rsid w:val="0EC53B0D"/>
    <w:rsid w:val="0F01319E"/>
    <w:rsid w:val="0F798264"/>
    <w:rsid w:val="0F9B7155"/>
    <w:rsid w:val="0FDD19F6"/>
    <w:rsid w:val="102B1CFD"/>
    <w:rsid w:val="104F5B80"/>
    <w:rsid w:val="10B9616D"/>
    <w:rsid w:val="10C33B0F"/>
    <w:rsid w:val="11277FB0"/>
    <w:rsid w:val="11617912"/>
    <w:rsid w:val="1196605D"/>
    <w:rsid w:val="121431B8"/>
    <w:rsid w:val="12631F4C"/>
    <w:rsid w:val="12643F6B"/>
    <w:rsid w:val="126F08F1"/>
    <w:rsid w:val="1285376F"/>
    <w:rsid w:val="12957088"/>
    <w:rsid w:val="12D82C44"/>
    <w:rsid w:val="12FD2134"/>
    <w:rsid w:val="13143B13"/>
    <w:rsid w:val="131F1EDC"/>
    <w:rsid w:val="137A2D83"/>
    <w:rsid w:val="13914897"/>
    <w:rsid w:val="139B0D39"/>
    <w:rsid w:val="13AC7923"/>
    <w:rsid w:val="13D62C3A"/>
    <w:rsid w:val="13E452E8"/>
    <w:rsid w:val="143706EB"/>
    <w:rsid w:val="14636979"/>
    <w:rsid w:val="146C3A9E"/>
    <w:rsid w:val="14C6467D"/>
    <w:rsid w:val="14E1232E"/>
    <w:rsid w:val="14FE5F5C"/>
    <w:rsid w:val="151C4AB2"/>
    <w:rsid w:val="154A2F50"/>
    <w:rsid w:val="156328A3"/>
    <w:rsid w:val="1571C42C"/>
    <w:rsid w:val="15E2587E"/>
    <w:rsid w:val="16007BEB"/>
    <w:rsid w:val="160B2261"/>
    <w:rsid w:val="160C6659"/>
    <w:rsid w:val="163A6142"/>
    <w:rsid w:val="163B5B8B"/>
    <w:rsid w:val="163F682C"/>
    <w:rsid w:val="16465E0D"/>
    <w:rsid w:val="164A4AB2"/>
    <w:rsid w:val="16582CFB"/>
    <w:rsid w:val="16A95DCF"/>
    <w:rsid w:val="16D23D7F"/>
    <w:rsid w:val="16D76A65"/>
    <w:rsid w:val="16F06BB2"/>
    <w:rsid w:val="17023688"/>
    <w:rsid w:val="17396CFA"/>
    <w:rsid w:val="174724F7"/>
    <w:rsid w:val="17604CAC"/>
    <w:rsid w:val="17775314"/>
    <w:rsid w:val="178A3AD7"/>
    <w:rsid w:val="17DDCAA2"/>
    <w:rsid w:val="17F2171A"/>
    <w:rsid w:val="17F35B20"/>
    <w:rsid w:val="180A4C18"/>
    <w:rsid w:val="18365A0D"/>
    <w:rsid w:val="186000AA"/>
    <w:rsid w:val="18D41B24"/>
    <w:rsid w:val="18E267B3"/>
    <w:rsid w:val="191E4471"/>
    <w:rsid w:val="19280074"/>
    <w:rsid w:val="198426F9"/>
    <w:rsid w:val="199D3F96"/>
    <w:rsid w:val="19DB4820"/>
    <w:rsid w:val="1A4B4271"/>
    <w:rsid w:val="1A964EAC"/>
    <w:rsid w:val="1A980C31"/>
    <w:rsid w:val="1AC60538"/>
    <w:rsid w:val="1B1C0EEA"/>
    <w:rsid w:val="1B4251E8"/>
    <w:rsid w:val="1B4C3F58"/>
    <w:rsid w:val="1B753723"/>
    <w:rsid w:val="1B77A33C"/>
    <w:rsid w:val="1B950C9D"/>
    <w:rsid w:val="1BA530D8"/>
    <w:rsid w:val="1BAA299A"/>
    <w:rsid w:val="1BF5AAB0"/>
    <w:rsid w:val="1C0A6F71"/>
    <w:rsid w:val="1C197E29"/>
    <w:rsid w:val="1C2269D4"/>
    <w:rsid w:val="1C56042C"/>
    <w:rsid w:val="1C602C04"/>
    <w:rsid w:val="1CA45DEC"/>
    <w:rsid w:val="1CA63F19"/>
    <w:rsid w:val="1CD501DC"/>
    <w:rsid w:val="1CE86FEA"/>
    <w:rsid w:val="1CEF284F"/>
    <w:rsid w:val="1D251260"/>
    <w:rsid w:val="1D252579"/>
    <w:rsid w:val="1D3D1873"/>
    <w:rsid w:val="1D572919"/>
    <w:rsid w:val="1D584EAC"/>
    <w:rsid w:val="1D893CB6"/>
    <w:rsid w:val="1D8D4E5D"/>
    <w:rsid w:val="1DD05275"/>
    <w:rsid w:val="1DD41F50"/>
    <w:rsid w:val="1DE1641B"/>
    <w:rsid w:val="1DFF753E"/>
    <w:rsid w:val="1DFFF0A5"/>
    <w:rsid w:val="1E19489C"/>
    <w:rsid w:val="1E25455A"/>
    <w:rsid w:val="1E3801D7"/>
    <w:rsid w:val="1E4A671A"/>
    <w:rsid w:val="1E5369D0"/>
    <w:rsid w:val="1E6A01BF"/>
    <w:rsid w:val="1EEEC191"/>
    <w:rsid w:val="1EF22751"/>
    <w:rsid w:val="1F1523FE"/>
    <w:rsid w:val="1F2F60C8"/>
    <w:rsid w:val="1FBB1775"/>
    <w:rsid w:val="1FCF0C21"/>
    <w:rsid w:val="1FD941DA"/>
    <w:rsid w:val="1FE25C23"/>
    <w:rsid w:val="203334D1"/>
    <w:rsid w:val="206EF638"/>
    <w:rsid w:val="207C43F8"/>
    <w:rsid w:val="20820C62"/>
    <w:rsid w:val="21404409"/>
    <w:rsid w:val="214709EA"/>
    <w:rsid w:val="21894E00"/>
    <w:rsid w:val="21C00F0E"/>
    <w:rsid w:val="21CC6D4C"/>
    <w:rsid w:val="21CF4F08"/>
    <w:rsid w:val="220A23E4"/>
    <w:rsid w:val="223C00C4"/>
    <w:rsid w:val="22401962"/>
    <w:rsid w:val="2251554A"/>
    <w:rsid w:val="22A82894"/>
    <w:rsid w:val="22B4192D"/>
    <w:rsid w:val="22B64FF2"/>
    <w:rsid w:val="22DD47CD"/>
    <w:rsid w:val="22F028ED"/>
    <w:rsid w:val="23042EFF"/>
    <w:rsid w:val="2316700E"/>
    <w:rsid w:val="231B417D"/>
    <w:rsid w:val="233D2346"/>
    <w:rsid w:val="23711416"/>
    <w:rsid w:val="237325A6"/>
    <w:rsid w:val="23892362"/>
    <w:rsid w:val="23A21D52"/>
    <w:rsid w:val="23EF2834"/>
    <w:rsid w:val="2440568A"/>
    <w:rsid w:val="245636BF"/>
    <w:rsid w:val="245F5BD8"/>
    <w:rsid w:val="247955FF"/>
    <w:rsid w:val="2487775E"/>
    <w:rsid w:val="249266C1"/>
    <w:rsid w:val="250B33FF"/>
    <w:rsid w:val="2511775C"/>
    <w:rsid w:val="25203261"/>
    <w:rsid w:val="253D4222"/>
    <w:rsid w:val="259F4C1E"/>
    <w:rsid w:val="25C86E84"/>
    <w:rsid w:val="25D565A0"/>
    <w:rsid w:val="25F807A6"/>
    <w:rsid w:val="26025181"/>
    <w:rsid w:val="260809E9"/>
    <w:rsid w:val="263B7010"/>
    <w:rsid w:val="265045E4"/>
    <w:rsid w:val="267F0C45"/>
    <w:rsid w:val="26914755"/>
    <w:rsid w:val="26F7B346"/>
    <w:rsid w:val="27210100"/>
    <w:rsid w:val="274912B9"/>
    <w:rsid w:val="277E5333"/>
    <w:rsid w:val="27B06542"/>
    <w:rsid w:val="28054735"/>
    <w:rsid w:val="28364D3A"/>
    <w:rsid w:val="28446E7D"/>
    <w:rsid w:val="28872728"/>
    <w:rsid w:val="289E7DFB"/>
    <w:rsid w:val="28AB1255"/>
    <w:rsid w:val="28FC3BD8"/>
    <w:rsid w:val="28FD33EC"/>
    <w:rsid w:val="29CA02C8"/>
    <w:rsid w:val="2AA7245F"/>
    <w:rsid w:val="2AD76BDC"/>
    <w:rsid w:val="2AF77E8C"/>
    <w:rsid w:val="2B0D3BB0"/>
    <w:rsid w:val="2B54022C"/>
    <w:rsid w:val="2B5D3585"/>
    <w:rsid w:val="2BD15781"/>
    <w:rsid w:val="2C0B775A"/>
    <w:rsid w:val="2C666469"/>
    <w:rsid w:val="2C6F788B"/>
    <w:rsid w:val="2D07786C"/>
    <w:rsid w:val="2D5A7B2B"/>
    <w:rsid w:val="2D691711"/>
    <w:rsid w:val="2D6A046D"/>
    <w:rsid w:val="2D9E60D7"/>
    <w:rsid w:val="2DFD4BAB"/>
    <w:rsid w:val="2E536EC1"/>
    <w:rsid w:val="2E6952B5"/>
    <w:rsid w:val="2EAD4823"/>
    <w:rsid w:val="2EAE5EA6"/>
    <w:rsid w:val="2EC27BA3"/>
    <w:rsid w:val="2EE6563F"/>
    <w:rsid w:val="2F083808"/>
    <w:rsid w:val="2F1A178D"/>
    <w:rsid w:val="2F6A7056"/>
    <w:rsid w:val="2F6B30AA"/>
    <w:rsid w:val="2F755505"/>
    <w:rsid w:val="2F7F75C1"/>
    <w:rsid w:val="2FB90FA6"/>
    <w:rsid w:val="2FD20138"/>
    <w:rsid w:val="2FF74247"/>
    <w:rsid w:val="30281C88"/>
    <w:rsid w:val="304869A0"/>
    <w:rsid w:val="30706BEF"/>
    <w:rsid w:val="307D2D30"/>
    <w:rsid w:val="30A26452"/>
    <w:rsid w:val="30D86E69"/>
    <w:rsid w:val="31624A09"/>
    <w:rsid w:val="317DE5F1"/>
    <w:rsid w:val="32266F65"/>
    <w:rsid w:val="323E5792"/>
    <w:rsid w:val="327402D3"/>
    <w:rsid w:val="32A277CA"/>
    <w:rsid w:val="32D14858"/>
    <w:rsid w:val="32D5DC4B"/>
    <w:rsid w:val="33016C78"/>
    <w:rsid w:val="337FB0B1"/>
    <w:rsid w:val="33C65A3F"/>
    <w:rsid w:val="33FF585B"/>
    <w:rsid w:val="3451330B"/>
    <w:rsid w:val="345474EF"/>
    <w:rsid w:val="348E76C9"/>
    <w:rsid w:val="34D670AE"/>
    <w:rsid w:val="34DE7744"/>
    <w:rsid w:val="34F52A80"/>
    <w:rsid w:val="35211922"/>
    <w:rsid w:val="355552CD"/>
    <w:rsid w:val="355C372E"/>
    <w:rsid w:val="35670F33"/>
    <w:rsid w:val="35BB01BC"/>
    <w:rsid w:val="35DB87BA"/>
    <w:rsid w:val="35FE7713"/>
    <w:rsid w:val="35FF300C"/>
    <w:rsid w:val="363E3FB3"/>
    <w:rsid w:val="36580A84"/>
    <w:rsid w:val="36581519"/>
    <w:rsid w:val="36985520"/>
    <w:rsid w:val="36E656DB"/>
    <w:rsid w:val="36EE0DAC"/>
    <w:rsid w:val="37593293"/>
    <w:rsid w:val="375A28BD"/>
    <w:rsid w:val="375C12D9"/>
    <w:rsid w:val="377D30CE"/>
    <w:rsid w:val="378B730D"/>
    <w:rsid w:val="37FC4126"/>
    <w:rsid w:val="38333F25"/>
    <w:rsid w:val="38545D86"/>
    <w:rsid w:val="38895522"/>
    <w:rsid w:val="395D0BF4"/>
    <w:rsid w:val="39A36682"/>
    <w:rsid w:val="39B051C8"/>
    <w:rsid w:val="39D7D948"/>
    <w:rsid w:val="3A04298C"/>
    <w:rsid w:val="3A053032"/>
    <w:rsid w:val="3A083232"/>
    <w:rsid w:val="3A0B0650"/>
    <w:rsid w:val="3A2434F2"/>
    <w:rsid w:val="3A633FE5"/>
    <w:rsid w:val="3A6807EC"/>
    <w:rsid w:val="3A854A54"/>
    <w:rsid w:val="3AE72E6B"/>
    <w:rsid w:val="3B2F036E"/>
    <w:rsid w:val="3B301622"/>
    <w:rsid w:val="3B3BEEAF"/>
    <w:rsid w:val="3B627439"/>
    <w:rsid w:val="3B7D1FFA"/>
    <w:rsid w:val="3BB684FD"/>
    <w:rsid w:val="3BBE52F7"/>
    <w:rsid w:val="3BDA598A"/>
    <w:rsid w:val="3BED848B"/>
    <w:rsid w:val="3CD57C20"/>
    <w:rsid w:val="3CDF1048"/>
    <w:rsid w:val="3CFA3AE8"/>
    <w:rsid w:val="3D26F944"/>
    <w:rsid w:val="3D310A41"/>
    <w:rsid w:val="3D3D1A63"/>
    <w:rsid w:val="3D3E8A93"/>
    <w:rsid w:val="3D5051DA"/>
    <w:rsid w:val="3D5B0736"/>
    <w:rsid w:val="3DC56B27"/>
    <w:rsid w:val="3DDFBACA"/>
    <w:rsid w:val="3DFB4478"/>
    <w:rsid w:val="3DFF057B"/>
    <w:rsid w:val="3E1E66A1"/>
    <w:rsid w:val="3E52324D"/>
    <w:rsid w:val="3E5A1AC3"/>
    <w:rsid w:val="3EBE34B1"/>
    <w:rsid w:val="3EDC25BB"/>
    <w:rsid w:val="3EE0262C"/>
    <w:rsid w:val="3F00466A"/>
    <w:rsid w:val="3F0FD6D4"/>
    <w:rsid w:val="3F391984"/>
    <w:rsid w:val="3F555765"/>
    <w:rsid w:val="3F7D2D46"/>
    <w:rsid w:val="3F843B96"/>
    <w:rsid w:val="3F8D5553"/>
    <w:rsid w:val="3F9AFC76"/>
    <w:rsid w:val="3FA23E73"/>
    <w:rsid w:val="3FAE21A9"/>
    <w:rsid w:val="3FB6E500"/>
    <w:rsid w:val="3FFF55C6"/>
    <w:rsid w:val="3FFFA867"/>
    <w:rsid w:val="40101AEA"/>
    <w:rsid w:val="40111499"/>
    <w:rsid w:val="40226500"/>
    <w:rsid w:val="40300E10"/>
    <w:rsid w:val="407879B5"/>
    <w:rsid w:val="40CB6D8B"/>
    <w:rsid w:val="40EF1917"/>
    <w:rsid w:val="40EF6094"/>
    <w:rsid w:val="4199432E"/>
    <w:rsid w:val="41C660F7"/>
    <w:rsid w:val="4202058A"/>
    <w:rsid w:val="420D591D"/>
    <w:rsid w:val="42187DAE"/>
    <w:rsid w:val="421E0F5B"/>
    <w:rsid w:val="429338D8"/>
    <w:rsid w:val="42B04F85"/>
    <w:rsid w:val="43507DFC"/>
    <w:rsid w:val="43EC32A0"/>
    <w:rsid w:val="440818D8"/>
    <w:rsid w:val="44102666"/>
    <w:rsid w:val="442B65B3"/>
    <w:rsid w:val="44A91191"/>
    <w:rsid w:val="44D42B90"/>
    <w:rsid w:val="44D77AAC"/>
    <w:rsid w:val="44FF2277"/>
    <w:rsid w:val="451C7960"/>
    <w:rsid w:val="452758F6"/>
    <w:rsid w:val="453D3EEC"/>
    <w:rsid w:val="459F279E"/>
    <w:rsid w:val="45BB8BE9"/>
    <w:rsid w:val="460B799F"/>
    <w:rsid w:val="46C557DB"/>
    <w:rsid w:val="46C93D6D"/>
    <w:rsid w:val="471517AC"/>
    <w:rsid w:val="47221EC0"/>
    <w:rsid w:val="47595B5E"/>
    <w:rsid w:val="4782069B"/>
    <w:rsid w:val="47E726FC"/>
    <w:rsid w:val="47EEDB4B"/>
    <w:rsid w:val="48007F78"/>
    <w:rsid w:val="482F19AD"/>
    <w:rsid w:val="48500DF2"/>
    <w:rsid w:val="488F68F0"/>
    <w:rsid w:val="4899680E"/>
    <w:rsid w:val="48C97EF9"/>
    <w:rsid w:val="48F055E1"/>
    <w:rsid w:val="490270C2"/>
    <w:rsid w:val="495D4B69"/>
    <w:rsid w:val="498B70B7"/>
    <w:rsid w:val="49970DB2"/>
    <w:rsid w:val="49BD3C89"/>
    <w:rsid w:val="4AD36ADF"/>
    <w:rsid w:val="4B3865FC"/>
    <w:rsid w:val="4B86231B"/>
    <w:rsid w:val="4BED2B6B"/>
    <w:rsid w:val="4C1E0756"/>
    <w:rsid w:val="4C5E4F57"/>
    <w:rsid w:val="4CA7245A"/>
    <w:rsid w:val="4CDD5E7C"/>
    <w:rsid w:val="4CFDC1B2"/>
    <w:rsid w:val="4D0D5AC2"/>
    <w:rsid w:val="4D470B7A"/>
    <w:rsid w:val="4D5B26C6"/>
    <w:rsid w:val="4D6A4789"/>
    <w:rsid w:val="4D9C3C64"/>
    <w:rsid w:val="4DDB166D"/>
    <w:rsid w:val="4E031912"/>
    <w:rsid w:val="4E4B32B9"/>
    <w:rsid w:val="4E545991"/>
    <w:rsid w:val="4E9B0304"/>
    <w:rsid w:val="4EC866B8"/>
    <w:rsid w:val="4EE63768"/>
    <w:rsid w:val="4EEA0D24"/>
    <w:rsid w:val="4EF4342A"/>
    <w:rsid w:val="4F2064F4"/>
    <w:rsid w:val="4F6F63BB"/>
    <w:rsid w:val="4F801100"/>
    <w:rsid w:val="4F8432CF"/>
    <w:rsid w:val="4FA04497"/>
    <w:rsid w:val="4FB07F85"/>
    <w:rsid w:val="505179D5"/>
    <w:rsid w:val="5078139D"/>
    <w:rsid w:val="507F724A"/>
    <w:rsid w:val="50B96C00"/>
    <w:rsid w:val="50ED12A0"/>
    <w:rsid w:val="50F55521"/>
    <w:rsid w:val="515E50B1"/>
    <w:rsid w:val="51974469"/>
    <w:rsid w:val="51A52CE0"/>
    <w:rsid w:val="51B26AC0"/>
    <w:rsid w:val="51BC5018"/>
    <w:rsid w:val="520C4646"/>
    <w:rsid w:val="5219601D"/>
    <w:rsid w:val="52584BD7"/>
    <w:rsid w:val="52877104"/>
    <w:rsid w:val="529E16D0"/>
    <w:rsid w:val="52A720A8"/>
    <w:rsid w:val="531F54EC"/>
    <w:rsid w:val="532E7CC6"/>
    <w:rsid w:val="532F4F57"/>
    <w:rsid w:val="533E38A0"/>
    <w:rsid w:val="537F3495"/>
    <w:rsid w:val="538C05FC"/>
    <w:rsid w:val="539E0C46"/>
    <w:rsid w:val="53D12F03"/>
    <w:rsid w:val="53D55AFF"/>
    <w:rsid w:val="541467C7"/>
    <w:rsid w:val="54475C01"/>
    <w:rsid w:val="544B4013"/>
    <w:rsid w:val="544D5EC8"/>
    <w:rsid w:val="548067C5"/>
    <w:rsid w:val="548412D3"/>
    <w:rsid w:val="54D656F3"/>
    <w:rsid w:val="54D86127"/>
    <w:rsid w:val="54D87DBE"/>
    <w:rsid w:val="550F6DEF"/>
    <w:rsid w:val="55124B31"/>
    <w:rsid w:val="55356037"/>
    <w:rsid w:val="55375F74"/>
    <w:rsid w:val="55631913"/>
    <w:rsid w:val="55C51814"/>
    <w:rsid w:val="55CF9F9B"/>
    <w:rsid w:val="55E06D2A"/>
    <w:rsid w:val="55E85946"/>
    <w:rsid w:val="55EF10BA"/>
    <w:rsid w:val="55FD878D"/>
    <w:rsid w:val="5623777B"/>
    <w:rsid w:val="5637484F"/>
    <w:rsid w:val="564160B0"/>
    <w:rsid w:val="56727785"/>
    <w:rsid w:val="56BEC401"/>
    <w:rsid w:val="56BF08EB"/>
    <w:rsid w:val="56EBC05C"/>
    <w:rsid w:val="572C7A0E"/>
    <w:rsid w:val="574808E2"/>
    <w:rsid w:val="578D049F"/>
    <w:rsid w:val="57E82929"/>
    <w:rsid w:val="57EE57E7"/>
    <w:rsid w:val="5815460A"/>
    <w:rsid w:val="583C0F42"/>
    <w:rsid w:val="58D2260D"/>
    <w:rsid w:val="58D5034F"/>
    <w:rsid w:val="58DB657A"/>
    <w:rsid w:val="58F64B9B"/>
    <w:rsid w:val="595E6596"/>
    <w:rsid w:val="59E16582"/>
    <w:rsid w:val="59F6057D"/>
    <w:rsid w:val="59FF7C96"/>
    <w:rsid w:val="5A763D56"/>
    <w:rsid w:val="5A7FA57A"/>
    <w:rsid w:val="5A8262B5"/>
    <w:rsid w:val="5A9304C2"/>
    <w:rsid w:val="5AA31152"/>
    <w:rsid w:val="5AA601F5"/>
    <w:rsid w:val="5B317A04"/>
    <w:rsid w:val="5B3C0DBD"/>
    <w:rsid w:val="5B671C5E"/>
    <w:rsid w:val="5BCB0B78"/>
    <w:rsid w:val="5BDE41EF"/>
    <w:rsid w:val="5BDFE987"/>
    <w:rsid w:val="5BE7F168"/>
    <w:rsid w:val="5BEFFB1C"/>
    <w:rsid w:val="5BFD215F"/>
    <w:rsid w:val="5BFFBF2D"/>
    <w:rsid w:val="5C0C22DA"/>
    <w:rsid w:val="5C0F5926"/>
    <w:rsid w:val="5C125C60"/>
    <w:rsid w:val="5C501DC8"/>
    <w:rsid w:val="5C5F7C1B"/>
    <w:rsid w:val="5C6E4D42"/>
    <w:rsid w:val="5C9E5181"/>
    <w:rsid w:val="5CC80DAC"/>
    <w:rsid w:val="5D0D6309"/>
    <w:rsid w:val="5D4E1605"/>
    <w:rsid w:val="5D504448"/>
    <w:rsid w:val="5D7E8EB8"/>
    <w:rsid w:val="5DC00580"/>
    <w:rsid w:val="5DCC30FF"/>
    <w:rsid w:val="5DD8795B"/>
    <w:rsid w:val="5DF57146"/>
    <w:rsid w:val="5E281D50"/>
    <w:rsid w:val="5EA345D2"/>
    <w:rsid w:val="5EC23124"/>
    <w:rsid w:val="5ECE0637"/>
    <w:rsid w:val="5EFBBBFE"/>
    <w:rsid w:val="5F220723"/>
    <w:rsid w:val="5F3FFD66"/>
    <w:rsid w:val="5F4FF4B8"/>
    <w:rsid w:val="5F5C0E82"/>
    <w:rsid w:val="5F5F0C6E"/>
    <w:rsid w:val="5F76650A"/>
    <w:rsid w:val="5F93061C"/>
    <w:rsid w:val="5FAA3AFF"/>
    <w:rsid w:val="5FB40AB0"/>
    <w:rsid w:val="5FD31583"/>
    <w:rsid w:val="5FDC63D3"/>
    <w:rsid w:val="5FE3A983"/>
    <w:rsid w:val="5FFBE505"/>
    <w:rsid w:val="5FFD27BB"/>
    <w:rsid w:val="5FFFFED9"/>
    <w:rsid w:val="604E6937"/>
    <w:rsid w:val="60630B8F"/>
    <w:rsid w:val="609603C4"/>
    <w:rsid w:val="60B42F40"/>
    <w:rsid w:val="60CE4002"/>
    <w:rsid w:val="61294B28"/>
    <w:rsid w:val="614B35C0"/>
    <w:rsid w:val="616474CA"/>
    <w:rsid w:val="6172193C"/>
    <w:rsid w:val="619A6E2E"/>
    <w:rsid w:val="61BA75C6"/>
    <w:rsid w:val="61C93BBF"/>
    <w:rsid w:val="620A3C9F"/>
    <w:rsid w:val="621C2B4B"/>
    <w:rsid w:val="622D5490"/>
    <w:rsid w:val="622F218A"/>
    <w:rsid w:val="62810F0E"/>
    <w:rsid w:val="62935CDE"/>
    <w:rsid w:val="62BB0AF8"/>
    <w:rsid w:val="631321A0"/>
    <w:rsid w:val="631B2E02"/>
    <w:rsid w:val="63424833"/>
    <w:rsid w:val="63590E7D"/>
    <w:rsid w:val="638F59E4"/>
    <w:rsid w:val="63A26C03"/>
    <w:rsid w:val="63BDAB1A"/>
    <w:rsid w:val="640B266D"/>
    <w:rsid w:val="64DA2ADC"/>
    <w:rsid w:val="64E5191A"/>
    <w:rsid w:val="64F733FB"/>
    <w:rsid w:val="655A6BE2"/>
    <w:rsid w:val="65783306"/>
    <w:rsid w:val="65827169"/>
    <w:rsid w:val="65D336CE"/>
    <w:rsid w:val="65DF6369"/>
    <w:rsid w:val="65E12D35"/>
    <w:rsid w:val="65F176A9"/>
    <w:rsid w:val="65F7D035"/>
    <w:rsid w:val="66394B24"/>
    <w:rsid w:val="665B5EF5"/>
    <w:rsid w:val="666B7416"/>
    <w:rsid w:val="668D6ECB"/>
    <w:rsid w:val="668F508F"/>
    <w:rsid w:val="67015916"/>
    <w:rsid w:val="677FEECE"/>
    <w:rsid w:val="67DA506E"/>
    <w:rsid w:val="67ED1853"/>
    <w:rsid w:val="67F7DFC4"/>
    <w:rsid w:val="67FDE746"/>
    <w:rsid w:val="67FFF44D"/>
    <w:rsid w:val="680D7FE1"/>
    <w:rsid w:val="684A23F5"/>
    <w:rsid w:val="68C1444C"/>
    <w:rsid w:val="68D5A7D2"/>
    <w:rsid w:val="68DD3DAB"/>
    <w:rsid w:val="691E53FA"/>
    <w:rsid w:val="6937D82F"/>
    <w:rsid w:val="697D7C9D"/>
    <w:rsid w:val="6996E000"/>
    <w:rsid w:val="699A7912"/>
    <w:rsid w:val="69D105E2"/>
    <w:rsid w:val="69DC0241"/>
    <w:rsid w:val="69DF89BF"/>
    <w:rsid w:val="69EB973D"/>
    <w:rsid w:val="69FF5C44"/>
    <w:rsid w:val="69FF7A92"/>
    <w:rsid w:val="6A270136"/>
    <w:rsid w:val="6A451A8E"/>
    <w:rsid w:val="6A692012"/>
    <w:rsid w:val="6A6F45A5"/>
    <w:rsid w:val="6ABE50E7"/>
    <w:rsid w:val="6AF9048F"/>
    <w:rsid w:val="6B636601"/>
    <w:rsid w:val="6B737C7F"/>
    <w:rsid w:val="6C04142F"/>
    <w:rsid w:val="6C060AF4"/>
    <w:rsid w:val="6C25286D"/>
    <w:rsid w:val="6C4C7E3C"/>
    <w:rsid w:val="6C7F0497"/>
    <w:rsid w:val="6CDE737B"/>
    <w:rsid w:val="6CDF7631"/>
    <w:rsid w:val="6CF959D6"/>
    <w:rsid w:val="6D2A0A99"/>
    <w:rsid w:val="6D2F5EB0"/>
    <w:rsid w:val="6D342E96"/>
    <w:rsid w:val="6D390568"/>
    <w:rsid w:val="6D3B6583"/>
    <w:rsid w:val="6D7762A4"/>
    <w:rsid w:val="6D7D938F"/>
    <w:rsid w:val="6DAE1443"/>
    <w:rsid w:val="6DD864C0"/>
    <w:rsid w:val="6DF59C98"/>
    <w:rsid w:val="6E2D186C"/>
    <w:rsid w:val="6E354E19"/>
    <w:rsid w:val="6E7F8861"/>
    <w:rsid w:val="6E87F5AA"/>
    <w:rsid w:val="6E912A5B"/>
    <w:rsid w:val="6EB413D7"/>
    <w:rsid w:val="6F0A08FB"/>
    <w:rsid w:val="6F12155D"/>
    <w:rsid w:val="6F1B1434"/>
    <w:rsid w:val="6F3D83C4"/>
    <w:rsid w:val="6F5E57A9"/>
    <w:rsid w:val="6F6FBFB2"/>
    <w:rsid w:val="6F751AEC"/>
    <w:rsid w:val="6F7F3E9B"/>
    <w:rsid w:val="6F7F3FD9"/>
    <w:rsid w:val="6F904A19"/>
    <w:rsid w:val="6F9E1043"/>
    <w:rsid w:val="6FA523D2"/>
    <w:rsid w:val="6FCFD5EB"/>
    <w:rsid w:val="6FDCC8F0"/>
    <w:rsid w:val="6FDFF80D"/>
    <w:rsid w:val="6FEF1086"/>
    <w:rsid w:val="6FFA4806"/>
    <w:rsid w:val="700A66D9"/>
    <w:rsid w:val="70343BF2"/>
    <w:rsid w:val="7045513D"/>
    <w:rsid w:val="70716758"/>
    <w:rsid w:val="70AE175A"/>
    <w:rsid w:val="70B82EFE"/>
    <w:rsid w:val="70D867D7"/>
    <w:rsid w:val="70DF2506"/>
    <w:rsid w:val="70FA71EB"/>
    <w:rsid w:val="71224B2C"/>
    <w:rsid w:val="71323370"/>
    <w:rsid w:val="71502811"/>
    <w:rsid w:val="7152012A"/>
    <w:rsid w:val="71637B14"/>
    <w:rsid w:val="71772BD3"/>
    <w:rsid w:val="71A87F57"/>
    <w:rsid w:val="71F64A2C"/>
    <w:rsid w:val="720553A9"/>
    <w:rsid w:val="722630D5"/>
    <w:rsid w:val="7239220A"/>
    <w:rsid w:val="72716A26"/>
    <w:rsid w:val="72734B26"/>
    <w:rsid w:val="72A21CE6"/>
    <w:rsid w:val="72A35D15"/>
    <w:rsid w:val="72BEAA7D"/>
    <w:rsid w:val="72DF37DC"/>
    <w:rsid w:val="72E158F4"/>
    <w:rsid w:val="72E476B5"/>
    <w:rsid w:val="72FA63AE"/>
    <w:rsid w:val="733817AF"/>
    <w:rsid w:val="737427E7"/>
    <w:rsid w:val="739F35DC"/>
    <w:rsid w:val="73B02BDC"/>
    <w:rsid w:val="73CC7BB2"/>
    <w:rsid w:val="73F7C2DB"/>
    <w:rsid w:val="73FF9B81"/>
    <w:rsid w:val="743B50B2"/>
    <w:rsid w:val="743C3DE5"/>
    <w:rsid w:val="74594980"/>
    <w:rsid w:val="74663604"/>
    <w:rsid w:val="7476258E"/>
    <w:rsid w:val="7476433D"/>
    <w:rsid w:val="74B51309"/>
    <w:rsid w:val="74C463D7"/>
    <w:rsid w:val="75100D0B"/>
    <w:rsid w:val="758324AC"/>
    <w:rsid w:val="758C6C69"/>
    <w:rsid w:val="76147E47"/>
    <w:rsid w:val="763FEEB7"/>
    <w:rsid w:val="764F26AB"/>
    <w:rsid w:val="7665694D"/>
    <w:rsid w:val="769E507F"/>
    <w:rsid w:val="76AC04E9"/>
    <w:rsid w:val="76DFD89B"/>
    <w:rsid w:val="76EE4191"/>
    <w:rsid w:val="76F3A360"/>
    <w:rsid w:val="76FC0FDA"/>
    <w:rsid w:val="77162EED"/>
    <w:rsid w:val="77234EBA"/>
    <w:rsid w:val="77272DBC"/>
    <w:rsid w:val="773FDBE5"/>
    <w:rsid w:val="77789B13"/>
    <w:rsid w:val="77BA09E4"/>
    <w:rsid w:val="77C52B3F"/>
    <w:rsid w:val="77E66908"/>
    <w:rsid w:val="77E6B8CF"/>
    <w:rsid w:val="77F7AAAB"/>
    <w:rsid w:val="77FFBEE0"/>
    <w:rsid w:val="781E1B9A"/>
    <w:rsid w:val="78240EAC"/>
    <w:rsid w:val="78707DB1"/>
    <w:rsid w:val="78982909"/>
    <w:rsid w:val="78CC4774"/>
    <w:rsid w:val="78E3598A"/>
    <w:rsid w:val="78E41530"/>
    <w:rsid w:val="79017606"/>
    <w:rsid w:val="79254512"/>
    <w:rsid w:val="797C23F5"/>
    <w:rsid w:val="797E20D2"/>
    <w:rsid w:val="79DD5C7F"/>
    <w:rsid w:val="79FE43B0"/>
    <w:rsid w:val="7A1F1F5A"/>
    <w:rsid w:val="7A37930C"/>
    <w:rsid w:val="7A777B3D"/>
    <w:rsid w:val="7AB160CE"/>
    <w:rsid w:val="7ADBCDCD"/>
    <w:rsid w:val="7AEA7832"/>
    <w:rsid w:val="7AFFCB20"/>
    <w:rsid w:val="7B35F9EC"/>
    <w:rsid w:val="7B3E66FC"/>
    <w:rsid w:val="7B5E491F"/>
    <w:rsid w:val="7B678C6B"/>
    <w:rsid w:val="7BAE2572"/>
    <w:rsid w:val="7BB634F9"/>
    <w:rsid w:val="7BBEC007"/>
    <w:rsid w:val="7BD52A50"/>
    <w:rsid w:val="7BDD1187"/>
    <w:rsid w:val="7C292A65"/>
    <w:rsid w:val="7C86235A"/>
    <w:rsid w:val="7CEDA36D"/>
    <w:rsid w:val="7CF6149F"/>
    <w:rsid w:val="7CFDD5D4"/>
    <w:rsid w:val="7D4312E1"/>
    <w:rsid w:val="7D4B5C4B"/>
    <w:rsid w:val="7D9FC99C"/>
    <w:rsid w:val="7DA32222"/>
    <w:rsid w:val="7DA948F8"/>
    <w:rsid w:val="7DAB5FD5"/>
    <w:rsid w:val="7DBF1020"/>
    <w:rsid w:val="7DEB4F78"/>
    <w:rsid w:val="7E376A32"/>
    <w:rsid w:val="7E6751AD"/>
    <w:rsid w:val="7E7A6107"/>
    <w:rsid w:val="7E7BD026"/>
    <w:rsid w:val="7E7FDF7A"/>
    <w:rsid w:val="7E9FF3C1"/>
    <w:rsid w:val="7ECA2357"/>
    <w:rsid w:val="7ED73590"/>
    <w:rsid w:val="7EFF212D"/>
    <w:rsid w:val="7EFF435A"/>
    <w:rsid w:val="7EFF95E9"/>
    <w:rsid w:val="7F1F2C30"/>
    <w:rsid w:val="7F336F9E"/>
    <w:rsid w:val="7F374AB3"/>
    <w:rsid w:val="7F385D51"/>
    <w:rsid w:val="7F3F8DE7"/>
    <w:rsid w:val="7F55690C"/>
    <w:rsid w:val="7F691C30"/>
    <w:rsid w:val="7F6E346B"/>
    <w:rsid w:val="7F72CE96"/>
    <w:rsid w:val="7F7C0542"/>
    <w:rsid w:val="7F7D504B"/>
    <w:rsid w:val="7F7DF675"/>
    <w:rsid w:val="7F7E2510"/>
    <w:rsid w:val="7F7F1CF8"/>
    <w:rsid w:val="7F800CF0"/>
    <w:rsid w:val="7F893DEE"/>
    <w:rsid w:val="7F91649B"/>
    <w:rsid w:val="7F9E88C6"/>
    <w:rsid w:val="7F9F04C0"/>
    <w:rsid w:val="7F9FD445"/>
    <w:rsid w:val="7FA55D66"/>
    <w:rsid w:val="7FAD8FC0"/>
    <w:rsid w:val="7FB65F35"/>
    <w:rsid w:val="7FB7D00B"/>
    <w:rsid w:val="7FBC918B"/>
    <w:rsid w:val="7FCB7F71"/>
    <w:rsid w:val="7FD1ACE7"/>
    <w:rsid w:val="7FD75186"/>
    <w:rsid w:val="7FD921E9"/>
    <w:rsid w:val="7FDD69C3"/>
    <w:rsid w:val="7FDE6B21"/>
    <w:rsid w:val="7FDF2B88"/>
    <w:rsid w:val="7FDFBCF4"/>
    <w:rsid w:val="7FDFEBBF"/>
    <w:rsid w:val="7FE71D4F"/>
    <w:rsid w:val="7FE7ABEA"/>
    <w:rsid w:val="7FEBA6B4"/>
    <w:rsid w:val="7FEFE109"/>
    <w:rsid w:val="7FF54A46"/>
    <w:rsid w:val="7FF5F9F0"/>
    <w:rsid w:val="7FF675A3"/>
    <w:rsid w:val="7FF799B2"/>
    <w:rsid w:val="7FF96741"/>
    <w:rsid w:val="7FFBD750"/>
    <w:rsid w:val="7FFE5837"/>
    <w:rsid w:val="7FFE586E"/>
    <w:rsid w:val="7FFF7CB0"/>
    <w:rsid w:val="8AFF798D"/>
    <w:rsid w:val="91ED5B94"/>
    <w:rsid w:val="96DFF26E"/>
    <w:rsid w:val="9B7E3FD7"/>
    <w:rsid w:val="9C5D8B08"/>
    <w:rsid w:val="9D3D291B"/>
    <w:rsid w:val="9D5B3AD1"/>
    <w:rsid w:val="9F6E90AA"/>
    <w:rsid w:val="9F7F0683"/>
    <w:rsid w:val="9FBC9820"/>
    <w:rsid w:val="9FBF0E65"/>
    <w:rsid w:val="9FE7947E"/>
    <w:rsid w:val="9FEDDFD3"/>
    <w:rsid w:val="9FFE646D"/>
    <w:rsid w:val="9FFF8BFE"/>
    <w:rsid w:val="9FFF95EF"/>
    <w:rsid w:val="A17DB9D3"/>
    <w:rsid w:val="A2AF8A06"/>
    <w:rsid w:val="A3DF9BAB"/>
    <w:rsid w:val="A7F78BB3"/>
    <w:rsid w:val="A7FD2289"/>
    <w:rsid w:val="AB5BF459"/>
    <w:rsid w:val="ABE3A3A2"/>
    <w:rsid w:val="AD9FA718"/>
    <w:rsid w:val="ADDD63DF"/>
    <w:rsid w:val="ADFEDDEC"/>
    <w:rsid w:val="AE15E930"/>
    <w:rsid w:val="AFD7879E"/>
    <w:rsid w:val="AFEDB280"/>
    <w:rsid w:val="AFFF728D"/>
    <w:rsid w:val="AFFFDCEF"/>
    <w:rsid w:val="B38FAF17"/>
    <w:rsid w:val="B3BE371A"/>
    <w:rsid w:val="B3BE5AA9"/>
    <w:rsid w:val="B3DF3D0C"/>
    <w:rsid w:val="B73F25A9"/>
    <w:rsid w:val="B771DBA4"/>
    <w:rsid w:val="B77AF7E6"/>
    <w:rsid w:val="B7FE35AC"/>
    <w:rsid w:val="B9DD4280"/>
    <w:rsid w:val="BB3F2B8C"/>
    <w:rsid w:val="BBBDD138"/>
    <w:rsid w:val="BBF66328"/>
    <w:rsid w:val="BDAFCACA"/>
    <w:rsid w:val="BDF7F852"/>
    <w:rsid w:val="BECA29CD"/>
    <w:rsid w:val="BF36C91B"/>
    <w:rsid w:val="BF5A8257"/>
    <w:rsid w:val="BFAFDF8C"/>
    <w:rsid w:val="BFB6D8C2"/>
    <w:rsid w:val="BFFAB066"/>
    <w:rsid w:val="BFFDCEE0"/>
    <w:rsid w:val="CA37AFD4"/>
    <w:rsid w:val="CA7FD5BB"/>
    <w:rsid w:val="CAB50932"/>
    <w:rsid w:val="CD7FDB4B"/>
    <w:rsid w:val="CFEBF856"/>
    <w:rsid w:val="CFF48617"/>
    <w:rsid w:val="CFF5BA5D"/>
    <w:rsid w:val="CFFEC5CD"/>
    <w:rsid w:val="D0F7FBF1"/>
    <w:rsid w:val="D1FF79FD"/>
    <w:rsid w:val="D3BFD3CA"/>
    <w:rsid w:val="D4F9264A"/>
    <w:rsid w:val="D4FEE332"/>
    <w:rsid w:val="D56EF5D0"/>
    <w:rsid w:val="D637907A"/>
    <w:rsid w:val="D7FFA4B4"/>
    <w:rsid w:val="DA6AA958"/>
    <w:rsid w:val="DAA6F6D5"/>
    <w:rsid w:val="DAFFB9C9"/>
    <w:rsid w:val="DB5B98A9"/>
    <w:rsid w:val="DBDF528C"/>
    <w:rsid w:val="DBDF6844"/>
    <w:rsid w:val="DBFB4B36"/>
    <w:rsid w:val="DBFD07DC"/>
    <w:rsid w:val="DCBE6950"/>
    <w:rsid w:val="DDF70303"/>
    <w:rsid w:val="DDF7DA20"/>
    <w:rsid w:val="DE9D0776"/>
    <w:rsid w:val="DECF9334"/>
    <w:rsid w:val="DEDDBE7E"/>
    <w:rsid w:val="DEF5A4A9"/>
    <w:rsid w:val="DEFAC194"/>
    <w:rsid w:val="DF797A8B"/>
    <w:rsid w:val="DFB9D491"/>
    <w:rsid w:val="DFBE954C"/>
    <w:rsid w:val="DFCF2B5F"/>
    <w:rsid w:val="DFE820C4"/>
    <w:rsid w:val="DFF764FA"/>
    <w:rsid w:val="DFF7DCE6"/>
    <w:rsid w:val="E4AF0D9B"/>
    <w:rsid w:val="E5E3CCFE"/>
    <w:rsid w:val="E5FF83BB"/>
    <w:rsid w:val="E73FCBDF"/>
    <w:rsid w:val="E7D6ACA1"/>
    <w:rsid w:val="E7F7F380"/>
    <w:rsid w:val="E97DA068"/>
    <w:rsid w:val="E9CFCD59"/>
    <w:rsid w:val="EA2F54B1"/>
    <w:rsid w:val="EAAE0E7B"/>
    <w:rsid w:val="EB7FFADD"/>
    <w:rsid w:val="EBBF3E12"/>
    <w:rsid w:val="EBF67A0E"/>
    <w:rsid w:val="EED856B8"/>
    <w:rsid w:val="EEDFBAB4"/>
    <w:rsid w:val="EEE5AA21"/>
    <w:rsid w:val="EFE6F8AF"/>
    <w:rsid w:val="EFEFA3E9"/>
    <w:rsid w:val="EFF6F904"/>
    <w:rsid w:val="F0733BE6"/>
    <w:rsid w:val="F13F41CC"/>
    <w:rsid w:val="F1DD6007"/>
    <w:rsid w:val="F1E7A158"/>
    <w:rsid w:val="F2FD37FC"/>
    <w:rsid w:val="F33F5F16"/>
    <w:rsid w:val="F37F7E6D"/>
    <w:rsid w:val="F3FBEA30"/>
    <w:rsid w:val="F4BFD6CF"/>
    <w:rsid w:val="F5BB9FDC"/>
    <w:rsid w:val="F5FCB0B6"/>
    <w:rsid w:val="F5FF9768"/>
    <w:rsid w:val="F6FF2FC8"/>
    <w:rsid w:val="F73F39C2"/>
    <w:rsid w:val="F76D3426"/>
    <w:rsid w:val="F773E4B5"/>
    <w:rsid w:val="F77FBD5A"/>
    <w:rsid w:val="F77FD4EF"/>
    <w:rsid w:val="F7B3202E"/>
    <w:rsid w:val="F7BFE6DC"/>
    <w:rsid w:val="F7EF9B21"/>
    <w:rsid w:val="F7F7FD1D"/>
    <w:rsid w:val="F7F8366B"/>
    <w:rsid w:val="F947F1AE"/>
    <w:rsid w:val="F97AA881"/>
    <w:rsid w:val="F97D83F2"/>
    <w:rsid w:val="F9F353B7"/>
    <w:rsid w:val="F9FB0387"/>
    <w:rsid w:val="F9FFE4E1"/>
    <w:rsid w:val="FAEAE7A5"/>
    <w:rsid w:val="FB7FC34E"/>
    <w:rsid w:val="FBA25053"/>
    <w:rsid w:val="FBBF53AB"/>
    <w:rsid w:val="FBDCC5B6"/>
    <w:rsid w:val="FBEC04F0"/>
    <w:rsid w:val="FBFFDEAA"/>
    <w:rsid w:val="FBFFE51B"/>
    <w:rsid w:val="FCB94C8C"/>
    <w:rsid w:val="FCF7B382"/>
    <w:rsid w:val="FCFF6361"/>
    <w:rsid w:val="FD79DE9F"/>
    <w:rsid w:val="FD9FB619"/>
    <w:rsid w:val="FDD19406"/>
    <w:rsid w:val="FDD797EF"/>
    <w:rsid w:val="FDDE2EAC"/>
    <w:rsid w:val="FDDF708C"/>
    <w:rsid w:val="FDEC0B4D"/>
    <w:rsid w:val="FDED962D"/>
    <w:rsid w:val="FDF3B098"/>
    <w:rsid w:val="FDFDEC60"/>
    <w:rsid w:val="FE1FEF1B"/>
    <w:rsid w:val="FE479FD8"/>
    <w:rsid w:val="FE6E2F29"/>
    <w:rsid w:val="FE7F4511"/>
    <w:rsid w:val="FEBF2D83"/>
    <w:rsid w:val="FEECEB6F"/>
    <w:rsid w:val="FEFB75B7"/>
    <w:rsid w:val="FEFE7BF5"/>
    <w:rsid w:val="FF3FEFDA"/>
    <w:rsid w:val="FF6F8F80"/>
    <w:rsid w:val="FF723D13"/>
    <w:rsid w:val="FF764720"/>
    <w:rsid w:val="FFAE43E5"/>
    <w:rsid w:val="FFB9D788"/>
    <w:rsid w:val="FFCF7477"/>
    <w:rsid w:val="FFCFC5BF"/>
    <w:rsid w:val="FFDA15F8"/>
    <w:rsid w:val="FFDDB456"/>
    <w:rsid w:val="FFDF1175"/>
    <w:rsid w:val="FFE24E7D"/>
    <w:rsid w:val="FFE738E7"/>
    <w:rsid w:val="FFEF2542"/>
    <w:rsid w:val="FFEF8975"/>
    <w:rsid w:val="FFF3EF4C"/>
    <w:rsid w:val="FFF7B60F"/>
    <w:rsid w:val="FFFBB617"/>
    <w:rsid w:val="FFFD8484"/>
    <w:rsid w:val="FFFDEB64"/>
    <w:rsid w:val="FFFEA8F6"/>
    <w:rsid w:val="FFFF5F13"/>
    <w:rsid w:val="FFFF7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6">
    <w:name w:val="index 8"/>
    <w:basedOn w:val="1"/>
    <w:next w:val="1"/>
    <w:qFormat/>
    <w:uiPriority w:val="0"/>
    <w:pPr>
      <w:ind w:left="2940"/>
    </w:pPr>
  </w:style>
  <w:style w:type="paragraph" w:styleId="7">
    <w:name w:val="List Number"/>
    <w:basedOn w:val="1"/>
    <w:qFormat/>
    <w:uiPriority w:val="0"/>
    <w:pPr>
      <w:numPr>
        <w:ilvl w:val="0"/>
        <w:numId w:val="1"/>
      </w:numPr>
    </w:p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sz w:val="24"/>
    </w:rPr>
  </w:style>
  <w:style w:type="paragraph" w:styleId="10">
    <w:name w:val="Body Text"/>
    <w:basedOn w:val="1"/>
    <w:next w:val="11"/>
    <w:qFormat/>
    <w:uiPriority w:val="0"/>
    <w:pPr>
      <w:spacing w:line="380" w:lineRule="exact"/>
    </w:pPr>
    <w:rPr>
      <w:sz w:val="24"/>
    </w:rPr>
  </w:style>
  <w:style w:type="paragraph" w:customStyle="1" w:styleId="11">
    <w:name w:val="Default"/>
    <w:basedOn w:val="12"/>
    <w:qFormat/>
    <w:uiPriority w:val="0"/>
    <w:pPr>
      <w:autoSpaceDE w:val="0"/>
      <w:autoSpaceDN w:val="0"/>
      <w:adjustRightInd w:val="0"/>
    </w:pPr>
    <w:rPr>
      <w:rFonts w:ascii="宋体" w:hAnsi="Times New Roman" w:eastAsia="宋体" w:cs="宋体"/>
      <w:color w:val="000000"/>
      <w:sz w:val="24"/>
      <w:szCs w:val="24"/>
    </w:rPr>
  </w:style>
  <w:style w:type="paragraph" w:styleId="12">
    <w:name w:val="Title"/>
    <w:basedOn w:val="1"/>
    <w:next w:val="1"/>
    <w:qFormat/>
    <w:uiPriority w:val="0"/>
    <w:pPr>
      <w:spacing w:before="240" w:after="60"/>
      <w:jc w:val="center"/>
      <w:outlineLvl w:val="0"/>
    </w:pPr>
    <w:rPr>
      <w:rFonts w:ascii="Arial" w:hAnsi="Arial"/>
      <w:b/>
      <w:bCs/>
      <w:sz w:val="32"/>
      <w:szCs w:val="32"/>
    </w:rPr>
  </w:style>
  <w:style w:type="paragraph" w:styleId="13">
    <w:name w:val="Body Text Indent"/>
    <w:basedOn w:val="1"/>
    <w:qFormat/>
    <w:uiPriority w:val="0"/>
    <w:pPr>
      <w:ind w:firstLine="830" w:firstLineChars="352"/>
    </w:pPr>
    <w:rPr>
      <w:rFonts w:ascii="仿宋_GB2312" w:eastAsia="仿宋_GB2312"/>
      <w:sz w:val="32"/>
      <w:szCs w:val="20"/>
    </w:rPr>
  </w:style>
  <w:style w:type="paragraph" w:styleId="14">
    <w:name w:val="Plain Text"/>
    <w:basedOn w:val="1"/>
    <w:next w:val="1"/>
    <w:qFormat/>
    <w:uiPriority w:val="0"/>
    <w:rPr>
      <w:rFonts w:ascii="宋体" w:hAnsi="Courier New" w:cs="Courier New"/>
      <w:szCs w:val="21"/>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Body Text 2"/>
    <w:basedOn w:val="1"/>
    <w:qFormat/>
    <w:uiPriority w:val="0"/>
    <w:pPr>
      <w:spacing w:after="120" w:line="480" w:lineRule="auto"/>
    </w:pPr>
  </w:style>
  <w:style w:type="paragraph" w:styleId="18">
    <w:name w:val="Normal (Web)"/>
    <w:basedOn w:val="1"/>
    <w:qFormat/>
    <w:uiPriority w:val="99"/>
    <w:pPr>
      <w:widowControl/>
      <w:spacing w:before="100" w:beforeAutospacing="1" w:after="100" w:afterAutospacing="1"/>
      <w:jc w:val="left"/>
    </w:pPr>
    <w:rPr>
      <w:rFonts w:ascii="宋体" w:hAnsi="宋体"/>
      <w:kern w:val="0"/>
      <w:sz w:val="24"/>
    </w:rPr>
  </w:style>
  <w:style w:type="paragraph" w:styleId="19">
    <w:name w:val="Body Text First Indent"/>
    <w:basedOn w:val="10"/>
    <w:qFormat/>
    <w:uiPriority w:val="0"/>
    <w:pPr>
      <w:ind w:firstLine="420" w:firstLineChars="100"/>
    </w:pPr>
  </w:style>
  <w:style w:type="character" w:styleId="22">
    <w:name w:val="Strong"/>
    <w:basedOn w:val="21"/>
    <w:qFormat/>
    <w:uiPriority w:val="0"/>
    <w:rPr>
      <w:b/>
    </w:rPr>
  </w:style>
  <w:style w:type="character" w:styleId="23">
    <w:name w:val="Emphasis"/>
    <w:qFormat/>
    <w:uiPriority w:val="0"/>
    <w:rPr>
      <w:color w:val="CC0000"/>
    </w:rPr>
  </w:style>
  <w:style w:type="character" w:styleId="24">
    <w:name w:val="annotation reference"/>
    <w:qFormat/>
    <w:uiPriority w:val="0"/>
    <w:rPr>
      <w:sz w:val="21"/>
      <w:szCs w:val="21"/>
    </w:rPr>
  </w:style>
  <w:style w:type="character" w:customStyle="1" w:styleId="25">
    <w:name w:val="font41"/>
    <w:basedOn w:val="21"/>
    <w:qFormat/>
    <w:uiPriority w:val="0"/>
    <w:rPr>
      <w:rFonts w:hint="default" w:ascii="Times New Roman" w:hAnsi="Times New Roman" w:cs="Times New Roman"/>
      <w:color w:val="000000"/>
      <w:sz w:val="28"/>
      <w:szCs w:val="28"/>
      <w:u w:val="none"/>
    </w:rPr>
  </w:style>
  <w:style w:type="character" w:customStyle="1" w:styleId="26">
    <w:name w:val="font31"/>
    <w:basedOn w:val="21"/>
    <w:qFormat/>
    <w:uiPriority w:val="0"/>
    <w:rPr>
      <w:rFonts w:hint="eastAsia" w:ascii="宋体" w:hAnsi="宋体" w:eastAsia="宋体" w:cs="宋体"/>
      <w:color w:val="000000"/>
      <w:sz w:val="28"/>
      <w:szCs w:val="28"/>
      <w:u w:val="none"/>
    </w:rPr>
  </w:style>
  <w:style w:type="character" w:customStyle="1" w:styleId="27">
    <w:name w:val="font51"/>
    <w:basedOn w:val="21"/>
    <w:qFormat/>
    <w:uiPriority w:val="0"/>
    <w:rPr>
      <w:rFonts w:hint="default" w:ascii="Times New Roman" w:hAnsi="Times New Roman" w:cs="Times New Roman"/>
      <w:color w:val="000000"/>
      <w:sz w:val="24"/>
      <w:szCs w:val="24"/>
      <w:u w:val="none"/>
    </w:rPr>
  </w:style>
  <w:style w:type="character" w:customStyle="1" w:styleId="28">
    <w:name w:val="font01"/>
    <w:basedOn w:val="21"/>
    <w:qFormat/>
    <w:uiPriority w:val="0"/>
    <w:rPr>
      <w:rFonts w:hint="eastAsia" w:ascii="宋体" w:hAnsi="宋体" w:eastAsia="宋体" w:cs="宋体"/>
      <w:color w:val="000000"/>
      <w:sz w:val="24"/>
      <w:szCs w:val="24"/>
      <w:u w:val="none"/>
    </w:rPr>
  </w:style>
  <w:style w:type="paragraph" w:customStyle="1" w:styleId="29">
    <w:name w:val="正文段"/>
    <w:basedOn w:val="1"/>
    <w:qFormat/>
    <w:uiPriority w:val="0"/>
    <w:pPr>
      <w:widowControl/>
      <w:snapToGrid w:val="0"/>
      <w:spacing w:after="156" w:afterLines="50"/>
      <w:ind w:firstLine="200" w:firstLineChars="200"/>
    </w:pPr>
    <w:rPr>
      <w:kern w:val="0"/>
      <w:sz w:val="24"/>
      <w:szCs w:val="20"/>
    </w:rPr>
  </w:style>
  <w:style w:type="paragraph" w:customStyle="1" w:styleId="30">
    <w:name w:val="p15"/>
    <w:basedOn w:val="1"/>
    <w:qFormat/>
    <w:uiPriority w:val="0"/>
    <w:pPr>
      <w:widowControl/>
    </w:pPr>
    <w:rPr>
      <w:rFonts w:ascii="宋体" w:hAnsi="宋体" w:cs="宋体"/>
      <w:kern w:val="0"/>
      <w:szCs w:val="21"/>
    </w:rPr>
  </w:style>
  <w:style w:type="paragraph" w:customStyle="1" w:styleId="31">
    <w:name w:val="表格文字"/>
    <w:basedOn w:val="1"/>
    <w:next w:val="10"/>
    <w:qFormat/>
    <w:uiPriority w:val="0"/>
    <w:pPr>
      <w:spacing w:before="25" w:after="25"/>
      <w:jc w:val="left"/>
    </w:pPr>
    <w:rPr>
      <w:bCs/>
      <w:spacing w:val="10"/>
      <w:kern w:val="0"/>
      <w:sz w:val="24"/>
    </w:rPr>
  </w:style>
  <w:style w:type="paragraph" w:customStyle="1" w:styleId="32">
    <w:name w:val="列表段落1"/>
    <w:basedOn w:val="1"/>
    <w:qFormat/>
    <w:uiPriority w:val="0"/>
    <w:pPr>
      <w:ind w:firstLine="420" w:firstLineChars="200"/>
    </w:pPr>
    <w:rPr>
      <w:rFonts w:ascii="Calibri" w:hAnsi="Calibri"/>
      <w:szCs w:val="22"/>
    </w:rPr>
  </w:style>
  <w:style w:type="paragraph" w:customStyle="1" w:styleId="33">
    <w:name w:val="Body text|3"/>
    <w:basedOn w:val="1"/>
    <w:qFormat/>
    <w:uiPriority w:val="0"/>
    <w:pPr>
      <w:spacing w:after="460"/>
      <w:jc w:val="center"/>
    </w:pPr>
    <w:rPr>
      <w:rFonts w:ascii="宋体" w:hAnsi="宋体"/>
      <w:kern w:val="0"/>
      <w:sz w:val="34"/>
      <w:szCs w:val="34"/>
    </w:rPr>
  </w:style>
  <w:style w:type="paragraph" w:customStyle="1" w:styleId="34">
    <w:name w:val="Body text|1"/>
    <w:basedOn w:val="1"/>
    <w:qFormat/>
    <w:uiPriority w:val="0"/>
    <w:pPr>
      <w:spacing w:line="353" w:lineRule="auto"/>
      <w:ind w:firstLine="400"/>
      <w:jc w:val="left"/>
    </w:pPr>
    <w:rPr>
      <w:rFonts w:ascii="宋体" w:hAnsi="宋体"/>
      <w:kern w:val="0"/>
      <w:sz w:val="30"/>
      <w:szCs w:val="30"/>
    </w:rPr>
  </w:style>
  <w:style w:type="paragraph" w:customStyle="1" w:styleId="35">
    <w:name w:val="表内文字"/>
    <w:basedOn w:val="1"/>
    <w:qFormat/>
    <w:uiPriority w:val="0"/>
    <w:pPr>
      <w:snapToGrid w:val="0"/>
      <w:spacing w:before="50" w:after="50" w:line="360" w:lineRule="exact"/>
    </w:pPr>
    <w:rPr>
      <w:rFonts w:ascii="宋体" w:hAnsi="宋体"/>
      <w:b/>
      <w:color w:val="0000FF"/>
      <w:szCs w:val="21"/>
    </w:rPr>
  </w:style>
  <w:style w:type="character" w:customStyle="1" w:styleId="36">
    <w:name w:val="NormalCharacter"/>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6769</Words>
  <Characters>7379</Characters>
  <Lines>828</Lines>
  <Paragraphs>233</Paragraphs>
  <TotalTime>683</TotalTime>
  <ScaleCrop>false</ScaleCrop>
  <LinksUpToDate>false</LinksUpToDate>
  <CharactersWithSpaces>7571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2026-07-30T09:02:00Z</dcterms:created>
  <dc:creator>19244</dc:creator>
  <cp:lastModifiedBy>gxxc</cp:lastModifiedBy>
  <cp:lastPrinted>2026-09-19T20:57:00Z</cp:lastPrinted>
  <dcterms:modified xsi:type="dcterms:W3CDTF">2026-09-22T08:52:30Z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eyJoZGlkIjoiMThjZTI4MjhhOTM5MTViYTdmMmMxZjcyNTEyNjVjOWMiLCJ1c2VySWQiOiIxNTgyNDM5MDc0In0=</vt:lpwstr>
  </property>
  <property fmtid="{D5CDD505-2E9C-101B-9397-08002B2CF9AE}" pid="4" name="ICV">
    <vt:lpwstr>360FA485FF4D4EE4AEFA1A414D832B84_13</vt:lpwstr>
  </property>
</Properties>
</file>