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ascii="仿宋_GB2312" w:eastAsia="仿宋_GB2312"/>
          <w:b/>
          <w:sz w:val="72"/>
          <w:szCs w:val="72"/>
        </w:rPr>
      </w:pPr>
    </w:p>
    <w:p>
      <w:pPr>
        <w:spacing w:before="156" w:beforeLines="50"/>
        <w:jc w:val="center"/>
        <w:rPr>
          <w:rFonts w:ascii="仿宋_GB2312" w:eastAsia="仿宋_GB2312"/>
          <w:sz w:val="72"/>
          <w:szCs w:val="72"/>
        </w:rPr>
      </w:pPr>
      <w:r>
        <w:rPr>
          <w:rFonts w:hint="eastAsia" w:ascii="仿宋_GB2312" w:eastAsia="仿宋_GB2312"/>
          <w:sz w:val="72"/>
          <w:szCs w:val="72"/>
        </w:rPr>
        <w:t>公开招标采购文件</w:t>
      </w:r>
    </w:p>
    <w:p>
      <w:pPr>
        <w:snapToGrid w:val="0"/>
        <w:jc w:val="center"/>
        <w:rPr>
          <w:rFonts w:ascii="仿宋_GB2312" w:eastAsia="仿宋_GB2312"/>
          <w:sz w:val="48"/>
          <w:szCs w:val="48"/>
        </w:rPr>
      </w:pPr>
    </w:p>
    <w:p>
      <w:pPr>
        <w:snapToGrid w:val="0"/>
        <w:jc w:val="center"/>
        <w:rPr>
          <w:rFonts w:ascii="仿宋_GB2312" w:eastAsia="仿宋_GB2312"/>
          <w:sz w:val="48"/>
          <w:szCs w:val="48"/>
        </w:rPr>
      </w:pPr>
    </w:p>
    <w:p>
      <w:pPr>
        <w:snapToGrid w:val="0"/>
        <w:jc w:val="center"/>
        <w:rPr>
          <w:rFonts w:ascii="仿宋_GB2312" w:eastAsia="仿宋_GB2312"/>
          <w:sz w:val="48"/>
          <w:szCs w:val="48"/>
        </w:rPr>
      </w:pPr>
    </w:p>
    <w:p>
      <w:pPr>
        <w:snapToGrid w:val="0"/>
        <w:jc w:val="center"/>
        <w:rPr>
          <w:rFonts w:ascii="仿宋_GB2312" w:eastAsia="仿宋_GB2312"/>
          <w:sz w:val="48"/>
          <w:szCs w:val="48"/>
        </w:rPr>
      </w:pPr>
    </w:p>
    <w:p>
      <w:pPr>
        <w:snapToGrid w:val="0"/>
        <w:ind w:firstLine="1484" w:firstLineChars="493"/>
        <w:rPr>
          <w:rFonts w:ascii="仿宋_GB2312" w:eastAsia="仿宋_GB2312"/>
          <w:b/>
          <w:bCs/>
          <w:sz w:val="30"/>
          <w:szCs w:val="30"/>
          <w:lang w:val="en"/>
        </w:rPr>
      </w:pPr>
      <w:r>
        <w:rPr>
          <w:rFonts w:hint="eastAsia" w:ascii="仿宋_GB2312" w:eastAsia="仿宋_GB2312"/>
          <w:b/>
          <w:bCs/>
          <w:sz w:val="30"/>
          <w:szCs w:val="30"/>
        </w:rPr>
        <w:t>项目编号：</w:t>
      </w:r>
      <w:r>
        <w:rPr>
          <w:rFonts w:ascii="仿宋_GB2312" w:eastAsia="仿宋_GB2312"/>
          <w:b/>
          <w:bCs/>
          <w:sz w:val="30"/>
          <w:szCs w:val="30"/>
          <w:lang w:val="en"/>
        </w:rPr>
        <w:t>GXZC2026-G1-003528-CGZX</w:t>
      </w:r>
    </w:p>
    <w:p>
      <w:pPr>
        <w:snapToGrid w:val="0"/>
        <w:ind w:firstLine="1843"/>
        <w:rPr>
          <w:rFonts w:ascii="仿宋_GB2312" w:eastAsia="仿宋_GB2312"/>
          <w:b/>
          <w:bCs/>
          <w:sz w:val="30"/>
          <w:szCs w:val="30"/>
        </w:rPr>
      </w:pPr>
    </w:p>
    <w:p>
      <w:pPr>
        <w:snapToGrid w:val="0"/>
        <w:spacing w:line="360" w:lineRule="auto"/>
        <w:ind w:left="2973" w:leftChars="742" w:hanging="1415" w:hangingChars="470"/>
        <w:jc w:val="left"/>
        <w:rPr>
          <w:rFonts w:ascii="仿宋_GB2312" w:eastAsia="仿宋_GB2312"/>
          <w:b/>
          <w:sz w:val="30"/>
          <w:szCs w:val="72"/>
          <w:lang w:val="en"/>
        </w:rPr>
      </w:pPr>
      <w:r>
        <w:rPr>
          <w:rFonts w:hint="eastAsia" w:ascii="仿宋_GB2312" w:eastAsia="仿宋_GB2312"/>
          <w:b/>
          <w:sz w:val="30"/>
          <w:szCs w:val="72"/>
        </w:rPr>
        <w:t>项目名称：广西职业师范学院实验室配套设备购置项目</w:t>
      </w:r>
    </w:p>
    <w:p>
      <w:pPr>
        <w:snapToGrid w:val="0"/>
        <w:ind w:firstLine="1843" w:firstLineChars="612"/>
        <w:rPr>
          <w:rFonts w:ascii="仿宋_GB2312" w:eastAsia="仿宋_GB2312"/>
          <w:b/>
          <w:sz w:val="30"/>
          <w:szCs w:val="72"/>
        </w:rPr>
      </w:pPr>
    </w:p>
    <w:p>
      <w:pPr>
        <w:snapToGrid w:val="0"/>
        <w:ind w:firstLine="1484" w:firstLineChars="493"/>
        <w:rPr>
          <w:rFonts w:ascii="仿宋_GB2312" w:eastAsia="仿宋_GB2312"/>
          <w:b/>
          <w:sz w:val="44"/>
          <w:szCs w:val="44"/>
          <w:lang w:val="en"/>
        </w:rPr>
      </w:pPr>
      <w:r>
        <w:rPr>
          <w:rFonts w:hint="eastAsia" w:ascii="仿宋_GB2312" w:eastAsia="仿宋_GB2312"/>
          <w:b/>
          <w:sz w:val="30"/>
          <w:szCs w:val="72"/>
        </w:rPr>
        <w:t>采购单位：</w:t>
      </w:r>
      <w:r>
        <w:rPr>
          <w:rFonts w:ascii="仿宋_GB2312" w:eastAsia="仿宋_GB2312"/>
          <w:b/>
          <w:sz w:val="30"/>
          <w:szCs w:val="72"/>
          <w:lang w:val="en"/>
        </w:rPr>
        <w:t>广西职业师范学院</w:t>
      </w:r>
    </w:p>
    <w:p>
      <w:pPr>
        <w:snapToGrid w:val="0"/>
        <w:ind w:firstLine="2861" w:firstLineChars="950"/>
        <w:rPr>
          <w:rFonts w:ascii="仿宋_GB2312" w:eastAsia="仿宋_GB2312"/>
          <w:b/>
          <w:sz w:val="30"/>
          <w:szCs w:val="72"/>
        </w:rPr>
      </w:pPr>
    </w:p>
    <w:p>
      <w:pPr>
        <w:ind w:firstLine="2861" w:firstLineChars="950"/>
        <w:rPr>
          <w:rFonts w:ascii="仿宋_GB2312" w:eastAsia="仿宋_GB2312"/>
          <w:b/>
          <w:sz w:val="30"/>
          <w:szCs w:val="72"/>
        </w:rPr>
      </w:pPr>
    </w:p>
    <w:p>
      <w:pPr>
        <w:ind w:firstLine="2861" w:firstLineChars="950"/>
        <w:rPr>
          <w:rFonts w:ascii="仿宋_GB2312" w:eastAsia="仿宋_GB2312"/>
          <w:b/>
          <w:sz w:val="30"/>
          <w:szCs w:val="72"/>
        </w:rPr>
      </w:pPr>
    </w:p>
    <w:p>
      <w:pPr>
        <w:ind w:firstLine="2861" w:firstLineChars="950"/>
        <w:rPr>
          <w:rFonts w:ascii="仿宋_GB2312" w:eastAsia="仿宋_GB2312"/>
          <w:b/>
          <w:sz w:val="30"/>
          <w:szCs w:val="72"/>
        </w:rPr>
      </w:pPr>
    </w:p>
    <w:p>
      <w:pPr>
        <w:pStyle w:val="6"/>
      </w:pPr>
    </w:p>
    <w:p>
      <w:pPr>
        <w:snapToGrid w:val="0"/>
        <w:spacing w:before="156" w:beforeLines="50"/>
        <w:rPr>
          <w:rFonts w:ascii="仿宋_GB2312" w:eastAsia="仿宋_GB2312"/>
          <w:b/>
          <w:sz w:val="30"/>
          <w:szCs w:val="72"/>
        </w:rPr>
      </w:pPr>
      <w:r>
        <w:rPr>
          <w:rFonts w:hint="eastAsia" w:ascii="仿宋_GB2312" w:eastAsia="仿宋_GB2312"/>
          <w:b/>
          <w:sz w:val="30"/>
          <w:szCs w:val="72"/>
        </w:rPr>
        <w:t xml:space="preserve">        采购代理机构：广西壮族自治区政府采购中心</w:t>
      </w:r>
    </w:p>
    <w:p>
      <w:pPr>
        <w:snapToGrid w:val="0"/>
        <w:spacing w:before="156" w:beforeLines="50"/>
        <w:rPr>
          <w:rFonts w:ascii="仿宋_GB2312" w:eastAsia="仿宋_GB2312"/>
          <w:b/>
          <w:szCs w:val="21"/>
        </w:rPr>
      </w:pPr>
    </w:p>
    <w:p>
      <w:pPr>
        <w:snapToGrid w:val="0"/>
        <w:spacing w:before="156" w:beforeLines="50"/>
        <w:jc w:val="center"/>
        <w:rPr>
          <w:rFonts w:ascii="仿宋_GB2312" w:eastAsia="仿宋_GB2312"/>
          <w:b/>
          <w:sz w:val="30"/>
          <w:szCs w:val="72"/>
          <w:lang w:val="en"/>
        </w:rPr>
      </w:pPr>
      <w:r>
        <w:rPr>
          <w:rFonts w:ascii="仿宋_GB2312" w:eastAsia="仿宋_GB2312"/>
          <w:b/>
          <w:sz w:val="30"/>
          <w:szCs w:val="72"/>
          <w:lang w:val="en"/>
        </w:rPr>
        <w:t>202</w:t>
      </w:r>
      <w:r>
        <w:rPr>
          <w:rFonts w:hint="eastAsia" w:ascii="仿宋_GB2312" w:eastAsia="仿宋_GB2312"/>
          <w:b/>
          <w:sz w:val="30"/>
          <w:szCs w:val="72"/>
        </w:rPr>
        <w:t>6</w:t>
      </w:r>
      <w:r>
        <w:rPr>
          <w:rFonts w:ascii="仿宋_GB2312" w:eastAsia="仿宋_GB2312"/>
          <w:b/>
          <w:sz w:val="30"/>
          <w:szCs w:val="72"/>
          <w:lang w:val="en"/>
        </w:rPr>
        <w:t>年</w:t>
      </w:r>
      <w:r>
        <w:rPr>
          <w:rFonts w:hint="eastAsia" w:ascii="仿宋_GB2312" w:eastAsia="仿宋_GB2312"/>
          <w:b/>
          <w:sz w:val="30"/>
          <w:szCs w:val="72"/>
        </w:rPr>
        <w:t>11</w:t>
      </w:r>
      <w:r>
        <w:rPr>
          <w:rFonts w:ascii="仿宋_GB2312" w:eastAsia="仿宋_GB2312"/>
          <w:b/>
          <w:sz w:val="30"/>
          <w:szCs w:val="72"/>
          <w:lang w:val="en"/>
        </w:rPr>
        <w:t>月</w:t>
      </w:r>
    </w:p>
    <w:p>
      <w:pPr>
        <w:pStyle w:val="37"/>
        <w:rPr>
          <w:lang w:val="en"/>
        </w:rPr>
      </w:pPr>
    </w:p>
    <w:p>
      <w:pPr>
        <w:pStyle w:val="29"/>
        <w:jc w:val="center"/>
        <w:rPr>
          <w:rFonts w:ascii="隶书" w:eastAsia="隶书"/>
          <w:b/>
          <w:sz w:val="44"/>
        </w:rPr>
      </w:pPr>
    </w:p>
    <w:p>
      <w:pPr>
        <w:sectPr>
          <w:headerReference r:id="rId3" w:type="default"/>
          <w:footerReference r:id="rId4" w:type="default"/>
          <w:pgSz w:w="11906" w:h="16838"/>
          <w:pgMar w:top="1247" w:right="1247" w:bottom="1247" w:left="1247" w:header="851" w:footer="992" w:gutter="0"/>
          <w:pgNumType w:start="0"/>
          <w:cols w:space="720" w:num="1"/>
          <w:docGrid w:type="lines" w:linePitch="312" w:charSpace="0"/>
        </w:sectPr>
      </w:pPr>
    </w:p>
    <w:p/>
    <w:p>
      <w:pPr>
        <w:pStyle w:val="29"/>
        <w:tabs>
          <w:tab w:val="left" w:pos="4204"/>
        </w:tabs>
        <w:jc w:val="left"/>
        <w:rPr>
          <w:rFonts w:ascii="隶书" w:eastAsia="隶书"/>
          <w:b/>
          <w:sz w:val="44"/>
        </w:rPr>
      </w:pPr>
      <w:r>
        <w:rPr>
          <w:rFonts w:hint="eastAsia" w:ascii="隶书" w:eastAsia="隶书"/>
          <w:b/>
          <w:sz w:val="44"/>
        </w:rPr>
        <w:tab/>
      </w:r>
      <w:r>
        <w:rPr>
          <w:rFonts w:hint="eastAsia" w:ascii="隶书" w:eastAsia="隶书"/>
          <w:b/>
          <w:sz w:val="44"/>
        </w:rPr>
        <w:t>目   录</w:t>
      </w:r>
    </w:p>
    <w:p>
      <w:pPr>
        <w:pStyle w:val="29"/>
        <w:spacing w:before="120" w:after="120" w:line="360" w:lineRule="auto"/>
        <w:jc w:val="center"/>
        <w:rPr>
          <w:rFonts w:ascii="仿宋_GB2312" w:eastAsia="仿宋_GB2312"/>
          <w:b/>
          <w:sz w:val="44"/>
          <w:szCs w:val="44"/>
        </w:rPr>
      </w:pPr>
    </w:p>
    <w:p>
      <w:pPr>
        <w:spacing w:before="156" w:beforeLines="50" w:line="600" w:lineRule="auto"/>
        <w:ind w:left="360"/>
        <w:rPr>
          <w:rFonts w:ascii="仿宋_GB2312" w:eastAsia="仿宋_GB2312"/>
          <w:b/>
          <w:sz w:val="28"/>
          <w:szCs w:val="28"/>
        </w:rPr>
      </w:pPr>
      <w:r>
        <w:rPr>
          <w:rFonts w:hint="eastAsia" w:ascii="仿宋_GB2312" w:eastAsia="仿宋_GB2312"/>
          <w:b/>
          <w:sz w:val="28"/>
          <w:szCs w:val="28"/>
        </w:rPr>
        <w:t>第一章 公开招标公告……………………………………………… 2</w:t>
      </w:r>
    </w:p>
    <w:p>
      <w:pPr>
        <w:spacing w:before="156" w:beforeLines="50" w:line="600" w:lineRule="auto"/>
        <w:ind w:firstLine="359" w:firstLineChars="128"/>
        <w:rPr>
          <w:rFonts w:ascii="仿宋_GB2312" w:eastAsia="仿宋_GB2312"/>
          <w:b/>
          <w:sz w:val="28"/>
          <w:szCs w:val="28"/>
        </w:rPr>
      </w:pPr>
      <w:r>
        <w:rPr>
          <w:rFonts w:hint="eastAsia" w:ascii="仿宋_GB2312" w:eastAsia="仿宋_GB2312"/>
          <w:b/>
          <w:sz w:val="28"/>
          <w:szCs w:val="28"/>
        </w:rPr>
        <w:t xml:space="preserve">第二章 招标项目采购需求 …………………………………………6 </w:t>
      </w:r>
    </w:p>
    <w:p>
      <w:pPr>
        <w:spacing w:before="156" w:beforeLines="50" w:line="600" w:lineRule="auto"/>
        <w:ind w:left="360"/>
        <w:rPr>
          <w:rFonts w:hint="eastAsia" w:ascii="仿宋_GB2312" w:eastAsia="仿宋_GB2312"/>
          <w:b/>
          <w:sz w:val="28"/>
          <w:szCs w:val="28"/>
          <w:lang w:eastAsia="zh-CN"/>
        </w:rPr>
      </w:pPr>
      <w:r>
        <w:rPr>
          <w:rFonts w:hint="eastAsia" w:ascii="仿宋_GB2312" w:eastAsia="仿宋_GB2312"/>
          <w:b/>
          <w:sz w:val="28"/>
          <w:szCs w:val="28"/>
        </w:rPr>
        <w:t>第三章 投标人须知………………………………………………… 4</w:t>
      </w:r>
      <w:r>
        <w:rPr>
          <w:rFonts w:hint="eastAsia" w:ascii="仿宋_GB2312" w:eastAsia="仿宋_GB2312"/>
          <w:b/>
          <w:sz w:val="28"/>
          <w:szCs w:val="28"/>
          <w:lang w:val="en-US" w:eastAsia="zh-CN"/>
        </w:rPr>
        <w:t>6</w:t>
      </w:r>
    </w:p>
    <w:p>
      <w:pPr>
        <w:spacing w:before="156" w:beforeLines="50" w:line="600" w:lineRule="auto"/>
        <w:ind w:left="360"/>
        <w:rPr>
          <w:rFonts w:hint="default" w:ascii="仿宋_GB2312" w:eastAsia="仿宋_GB2312"/>
          <w:b/>
          <w:sz w:val="28"/>
          <w:szCs w:val="28"/>
          <w:lang w:val="en-US" w:eastAsia="zh-CN"/>
        </w:rPr>
      </w:pPr>
      <w:r>
        <w:rPr>
          <w:rFonts w:hint="eastAsia" w:ascii="仿宋_GB2312" w:eastAsia="仿宋_GB2312"/>
          <w:b/>
          <w:sz w:val="28"/>
          <w:szCs w:val="28"/>
        </w:rPr>
        <w:t xml:space="preserve">第四章 评标方法及评分标准……………………………………… </w:t>
      </w:r>
      <w:r>
        <w:rPr>
          <w:rFonts w:hint="eastAsia" w:ascii="仿宋_GB2312" w:eastAsia="仿宋_GB2312"/>
          <w:b/>
          <w:sz w:val="28"/>
          <w:szCs w:val="28"/>
          <w:lang w:val="en-US" w:eastAsia="zh-CN"/>
        </w:rPr>
        <w:t>60</w:t>
      </w:r>
    </w:p>
    <w:p>
      <w:pPr>
        <w:spacing w:before="156" w:beforeLines="50" w:line="600" w:lineRule="auto"/>
        <w:ind w:left="360"/>
        <w:rPr>
          <w:rFonts w:hint="eastAsia" w:ascii="仿宋_GB2312" w:eastAsia="仿宋_GB2312"/>
          <w:b/>
          <w:sz w:val="28"/>
          <w:szCs w:val="28"/>
          <w:lang w:eastAsia="zh-CN"/>
        </w:rPr>
      </w:pPr>
      <w:r>
        <w:rPr>
          <w:rFonts w:hint="eastAsia" w:ascii="仿宋_GB2312" w:eastAsia="仿宋_GB2312"/>
          <w:b/>
          <w:sz w:val="28"/>
          <w:szCs w:val="28"/>
        </w:rPr>
        <w:t>第五章 政府采购合同主要条款…………………………………… 6</w:t>
      </w:r>
      <w:r>
        <w:rPr>
          <w:rFonts w:hint="eastAsia" w:ascii="仿宋_GB2312" w:eastAsia="仿宋_GB2312"/>
          <w:b/>
          <w:sz w:val="28"/>
          <w:szCs w:val="28"/>
          <w:lang w:val="en-US" w:eastAsia="zh-CN"/>
        </w:rPr>
        <w:t>4</w:t>
      </w:r>
    </w:p>
    <w:p>
      <w:pPr>
        <w:spacing w:before="156" w:beforeLines="50" w:line="600" w:lineRule="auto"/>
        <w:ind w:left="360"/>
        <w:rPr>
          <w:rFonts w:hint="eastAsia" w:ascii="仿宋_GB2312" w:eastAsia="仿宋_GB2312"/>
          <w:b/>
          <w:sz w:val="28"/>
          <w:szCs w:val="28"/>
          <w:lang w:eastAsia="zh-CN"/>
        </w:rPr>
      </w:pPr>
      <w:r>
        <w:rPr>
          <w:rFonts w:hint="eastAsia" w:ascii="仿宋_GB2312" w:eastAsia="仿宋_GB2312"/>
          <w:b/>
          <w:sz w:val="28"/>
          <w:szCs w:val="28"/>
        </w:rPr>
        <w:t>第六章 投标文件格式……………………………………………… 7</w:t>
      </w:r>
      <w:r>
        <w:rPr>
          <w:rFonts w:hint="eastAsia" w:ascii="仿宋_GB2312" w:eastAsia="仿宋_GB2312"/>
          <w:b/>
          <w:sz w:val="28"/>
          <w:szCs w:val="28"/>
          <w:lang w:val="en-US" w:eastAsia="zh-CN"/>
        </w:rPr>
        <w:t>3</w:t>
      </w: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883"/>
        <w:jc w:val="center"/>
        <w:rPr>
          <w:rFonts w:ascii="仿宋_GB2312" w:eastAsia="仿宋_GB2312"/>
          <w:b/>
          <w:sz w:val="44"/>
          <w:szCs w:val="44"/>
        </w:rPr>
      </w:pPr>
    </w:p>
    <w:p>
      <w:pPr>
        <w:pStyle w:val="228"/>
        <w:widowControl w:val="0"/>
        <w:spacing w:afterLines="0"/>
        <w:ind w:firstLine="422"/>
        <w:jc w:val="center"/>
        <w:rPr>
          <w:rFonts w:ascii="仿宋_GB2312" w:eastAsia="仿宋_GB2312"/>
          <w:b/>
          <w:sz w:val="21"/>
          <w:szCs w:val="21"/>
        </w:rPr>
      </w:pPr>
    </w:p>
    <w:p>
      <w:pPr>
        <w:pStyle w:val="228"/>
        <w:widowControl w:val="0"/>
        <w:spacing w:afterLines="0"/>
        <w:ind w:firstLine="422"/>
        <w:jc w:val="center"/>
        <w:rPr>
          <w:rFonts w:ascii="仿宋_GB2312" w:eastAsia="仿宋_GB2312"/>
          <w:b/>
          <w:sz w:val="21"/>
          <w:szCs w:val="21"/>
        </w:rPr>
      </w:pPr>
    </w:p>
    <w:p>
      <w:pPr>
        <w:pStyle w:val="228"/>
        <w:widowControl w:val="0"/>
        <w:spacing w:afterLines="0"/>
        <w:ind w:firstLine="422"/>
        <w:jc w:val="center"/>
        <w:rPr>
          <w:rFonts w:ascii="仿宋_GB2312" w:eastAsia="仿宋_GB2312"/>
          <w:b/>
          <w:sz w:val="21"/>
          <w:szCs w:val="21"/>
        </w:rPr>
      </w:pPr>
    </w:p>
    <w:p>
      <w:pPr>
        <w:pStyle w:val="228"/>
        <w:widowControl w:val="0"/>
        <w:spacing w:afterLines="0"/>
        <w:ind w:firstLine="422"/>
        <w:jc w:val="center"/>
        <w:rPr>
          <w:rFonts w:ascii="仿宋_GB2312" w:eastAsia="仿宋_GB2312"/>
          <w:b/>
          <w:sz w:val="21"/>
          <w:szCs w:val="21"/>
        </w:rPr>
      </w:pPr>
    </w:p>
    <w:p>
      <w:pPr>
        <w:pStyle w:val="228"/>
        <w:widowControl w:val="0"/>
        <w:spacing w:afterLines="0"/>
        <w:ind w:firstLine="2182" w:firstLineChars="494"/>
        <w:rPr>
          <w:rFonts w:ascii="黑体" w:eastAsia="黑体"/>
          <w:sz w:val="32"/>
          <w:szCs w:val="32"/>
        </w:rPr>
      </w:pPr>
      <w:r>
        <w:rPr>
          <w:rFonts w:hint="eastAsia" w:ascii="仿宋_GB2312" w:eastAsia="仿宋_GB2312"/>
          <w:b/>
          <w:sz w:val="44"/>
          <w:szCs w:val="44"/>
        </w:rPr>
        <w:t>第一章  公开招标公告</w:t>
      </w:r>
    </w:p>
    <w:p>
      <w:pPr>
        <w:pStyle w:val="228"/>
        <w:widowControl w:val="0"/>
        <w:spacing w:afterLines="0"/>
        <w:ind w:firstLine="3840" w:firstLineChars="1200"/>
        <w:rPr>
          <w:b/>
          <w:sz w:val="32"/>
          <w:szCs w:val="32"/>
        </w:rPr>
      </w:pPr>
      <w:r>
        <w:rPr>
          <w:rFonts w:hint="eastAsia" w:ascii="黑体" w:eastAsia="黑体"/>
          <w:sz w:val="32"/>
          <w:szCs w:val="32"/>
        </w:rPr>
        <w:br w:type="page"/>
      </w:r>
      <w:r>
        <w:rPr>
          <w:rFonts w:hint="eastAsia"/>
          <w:b/>
          <w:sz w:val="32"/>
          <w:szCs w:val="32"/>
        </w:rPr>
        <w:t>招标公告</w:t>
      </w:r>
    </w:p>
    <w:p>
      <w:pPr>
        <w:pBdr>
          <w:top w:val="single" w:color="auto" w:sz="4" w:space="1"/>
          <w:left w:val="single" w:color="auto" w:sz="4" w:space="4"/>
          <w:bottom w:val="single" w:color="auto" w:sz="4" w:space="1"/>
          <w:right w:val="single" w:color="auto" w:sz="4" w:space="4"/>
        </w:pBdr>
        <w:adjustRightInd w:val="0"/>
        <w:snapToGrid w:val="0"/>
        <w:spacing w:line="360" w:lineRule="auto"/>
        <w:jc w:val="center"/>
        <w:rPr>
          <w:rFonts w:ascii="宋体" w:hAnsi="宋体"/>
        </w:rPr>
      </w:pPr>
      <w:r>
        <w:rPr>
          <w:rFonts w:hint="eastAsia" w:ascii="宋体" w:hAnsi="宋体"/>
        </w:rPr>
        <w:t>项目概况</w:t>
      </w:r>
    </w:p>
    <w:p>
      <w:pPr>
        <w:pBdr>
          <w:top w:val="single" w:color="auto" w:sz="4" w:space="1"/>
          <w:left w:val="single" w:color="auto" w:sz="4" w:space="4"/>
          <w:bottom w:val="single" w:color="auto" w:sz="4" w:space="1"/>
          <w:right w:val="single" w:color="auto" w:sz="4" w:space="4"/>
        </w:pBdr>
        <w:adjustRightInd w:val="0"/>
        <w:snapToGrid w:val="0"/>
        <w:spacing w:line="360" w:lineRule="auto"/>
        <w:ind w:firstLine="420" w:firstLineChars="200"/>
        <w:rPr>
          <w:rFonts w:ascii="宋体" w:hAnsi="宋体"/>
          <w:szCs w:val="21"/>
        </w:rPr>
      </w:pPr>
      <w:r>
        <w:rPr>
          <w:lang w:val="en"/>
        </w:rPr>
        <w:t>广西职业师范学院实验室配套设备购置项目</w:t>
      </w:r>
      <w:r>
        <w:t>的潜在投标人应在</w:t>
      </w:r>
      <w:r>
        <w:rPr>
          <w:lang w:val="en"/>
        </w:rPr>
        <w:t>广西政府采购云平台（网址：http://www.gcy.zfcg.gxzf.gov.cn）</w:t>
      </w:r>
      <w:r>
        <w:t xml:space="preserve">获取招标文件，并于 </w:t>
      </w:r>
      <w:r>
        <w:rPr>
          <w:lang w:val="en"/>
        </w:rPr>
        <w:t>202</w:t>
      </w:r>
      <w:r>
        <w:rPr>
          <w:rFonts w:hint="eastAsia"/>
        </w:rPr>
        <w:t>6</w:t>
      </w:r>
      <w:r>
        <w:rPr>
          <w:lang w:val="en"/>
        </w:rPr>
        <w:t>年</w:t>
      </w:r>
      <w:r>
        <w:rPr>
          <w:rFonts w:hint="eastAsia"/>
          <w:lang w:val="en-US" w:eastAsia="zh-CN"/>
        </w:rPr>
        <w:t>11</w:t>
      </w:r>
      <w:r>
        <w:rPr>
          <w:lang w:val="en"/>
        </w:rPr>
        <w:t>月</w:t>
      </w:r>
      <w:r>
        <w:rPr>
          <w:rFonts w:hint="eastAsia"/>
          <w:lang w:val="en-US" w:eastAsia="zh-CN"/>
        </w:rPr>
        <w:t>25</w:t>
      </w:r>
      <w:r>
        <w:rPr>
          <w:lang w:val="en"/>
        </w:rPr>
        <w:t>日</w:t>
      </w:r>
      <w:r>
        <w:t xml:space="preserve"> 10:00（北京时间）前递交投标文件。</w:t>
      </w:r>
    </w:p>
    <w:p>
      <w:pPr>
        <w:adjustRightInd w:val="0"/>
        <w:snapToGrid w:val="0"/>
        <w:spacing w:line="360" w:lineRule="auto"/>
        <w:ind w:firstLine="421" w:firstLineChars="200"/>
        <w:rPr>
          <w:b/>
        </w:rPr>
      </w:pPr>
      <w:bookmarkStart w:id="0" w:name="_Toc28359086"/>
      <w:bookmarkStart w:id="1" w:name="_Toc28359009"/>
      <w:r>
        <w:rPr>
          <w:rFonts w:hint="eastAsia"/>
          <w:b/>
        </w:rPr>
        <w:t>一、项目基本情况</w:t>
      </w:r>
    </w:p>
    <w:p>
      <w:pPr>
        <w:adjustRightInd w:val="0"/>
        <w:snapToGrid w:val="0"/>
        <w:spacing w:line="400" w:lineRule="exact"/>
        <w:ind w:firstLine="420" w:firstLineChars="200"/>
        <w:rPr>
          <w:lang w:val="en"/>
        </w:rPr>
      </w:pPr>
      <w:r>
        <w:rPr>
          <w:rFonts w:hint="eastAsia"/>
        </w:rPr>
        <w:t>项目编号：</w:t>
      </w:r>
      <w:r>
        <w:rPr>
          <w:lang w:val="en"/>
        </w:rPr>
        <w:t>GXZC2026-G1-003528-CGZX</w:t>
      </w:r>
    </w:p>
    <w:p>
      <w:pPr>
        <w:adjustRightInd w:val="0"/>
        <w:snapToGrid w:val="0"/>
        <w:spacing w:line="400" w:lineRule="exact"/>
        <w:ind w:firstLine="420" w:firstLineChars="200"/>
        <w:rPr>
          <w:lang w:val="en"/>
        </w:rPr>
      </w:pPr>
      <w:r>
        <w:rPr>
          <w:rFonts w:hint="eastAsia"/>
        </w:rPr>
        <w:t>项目名称：</w:t>
      </w:r>
      <w:r>
        <w:rPr>
          <w:lang w:val="en"/>
        </w:rPr>
        <w:t>广西职业师范学院实验室配套设备购置项目</w:t>
      </w:r>
    </w:p>
    <w:p>
      <w:pPr>
        <w:adjustRightInd w:val="0"/>
        <w:snapToGrid w:val="0"/>
        <w:spacing w:line="400" w:lineRule="exact"/>
        <w:ind w:firstLine="420" w:firstLineChars="200"/>
      </w:pPr>
      <w:r>
        <w:rPr>
          <w:rFonts w:hint="eastAsia"/>
        </w:rPr>
        <w:t>采购需求：</w:t>
      </w:r>
    </w:p>
    <w:p>
      <w:pPr>
        <w:adjustRightInd w:val="0"/>
        <w:snapToGrid w:val="0"/>
        <w:spacing w:line="400" w:lineRule="exact"/>
        <w:ind w:firstLine="420" w:firstLineChars="200"/>
      </w:pPr>
      <w:r>
        <w:rPr>
          <w:rFonts w:hint="eastAsia"/>
        </w:rPr>
        <w:t xml:space="preserve">标项名称: </w:t>
      </w:r>
      <w:r>
        <w:rPr>
          <w:lang w:val="en"/>
        </w:rPr>
        <w:t>广西职业师范学院实验室配套设备购置项目</w:t>
      </w:r>
      <w:r>
        <w:rPr>
          <w:rFonts w:hint="eastAsia"/>
        </w:rPr>
        <w:t xml:space="preserve">  </w:t>
      </w:r>
    </w:p>
    <w:p>
      <w:pPr>
        <w:adjustRightInd w:val="0"/>
        <w:snapToGrid w:val="0"/>
        <w:spacing w:line="400" w:lineRule="exact"/>
        <w:ind w:firstLine="420" w:firstLineChars="200"/>
      </w:pPr>
      <w:r>
        <w:rPr>
          <w:rFonts w:hint="eastAsia"/>
        </w:rPr>
        <w:t xml:space="preserve">数量:1 </w:t>
      </w:r>
      <w:r>
        <w:rPr>
          <w:rFonts w:hint="eastAsia"/>
        </w:rPr>
        <w:br w:type="textWrapping"/>
      </w:r>
      <w:r>
        <w:rPr>
          <w:rFonts w:hint="eastAsia"/>
        </w:rPr>
        <w:t xml:space="preserve">    预算金额（元）：7,663,980.00</w:t>
      </w:r>
    </w:p>
    <w:p>
      <w:pPr>
        <w:spacing w:line="400" w:lineRule="exact"/>
      </w:pPr>
      <w:r>
        <w:rPr>
          <w:lang w:val="en"/>
        </w:rPr>
        <w:t xml:space="preserve">    </w:t>
      </w:r>
      <w:r>
        <w:rPr>
          <w:rFonts w:hint="eastAsia"/>
        </w:rPr>
        <w:t>简要规格描述或项目基本概况介绍、用途：台式</w:t>
      </w:r>
      <w:r>
        <w:rPr>
          <w:rFonts w:hint="eastAsia" w:ascii="宋体" w:hAnsi="宋体" w:cs="宋体"/>
          <w:szCs w:val="21"/>
        </w:rPr>
        <w:t>计算机630台、台式工作站150台等</w:t>
      </w:r>
      <w:r>
        <w:rPr>
          <w:lang w:val="en"/>
        </w:rPr>
        <w:t>。</w:t>
      </w:r>
      <w:r>
        <w:rPr>
          <w:rFonts w:hint="eastAsia"/>
          <w:lang w:val="en"/>
        </w:rPr>
        <w:t>如需进一步了解详细内容，详见采购文件。</w:t>
      </w:r>
    </w:p>
    <w:p>
      <w:pPr>
        <w:adjustRightInd w:val="0"/>
        <w:snapToGrid w:val="0"/>
        <w:spacing w:line="400" w:lineRule="exact"/>
        <w:ind w:firstLine="420" w:firstLineChars="200"/>
      </w:pPr>
      <w:r>
        <w:rPr>
          <w:rFonts w:hint="eastAsia"/>
        </w:rPr>
        <w:t>最高限价（如有）：/</w:t>
      </w:r>
    </w:p>
    <w:p>
      <w:pPr>
        <w:adjustRightInd w:val="0"/>
        <w:snapToGrid w:val="0"/>
        <w:spacing w:line="400" w:lineRule="exact"/>
        <w:ind w:firstLine="420" w:firstLineChars="200"/>
        <w:rPr>
          <w:lang w:val="en"/>
        </w:rPr>
      </w:pPr>
      <w:r>
        <w:rPr>
          <w:rFonts w:hint="eastAsia"/>
        </w:rPr>
        <w:t>合同履约期限：自合同签订之日起至项目履约完毕。</w:t>
      </w:r>
    </w:p>
    <w:p>
      <w:pPr>
        <w:adjustRightInd w:val="0"/>
        <w:snapToGrid w:val="0"/>
        <w:spacing w:line="400" w:lineRule="exact"/>
        <w:ind w:firstLine="420" w:firstLineChars="200"/>
      </w:pPr>
      <w:r>
        <w:rPr>
          <w:rFonts w:hint="eastAsia"/>
        </w:rPr>
        <w:t>本项目（否）接受联合体投标</w:t>
      </w:r>
    </w:p>
    <w:p>
      <w:pPr>
        <w:adjustRightInd w:val="0"/>
        <w:snapToGrid w:val="0"/>
        <w:spacing w:line="400" w:lineRule="exact"/>
        <w:ind w:firstLine="420" w:firstLineChars="200"/>
      </w:pPr>
      <w:r>
        <w:rPr>
          <w:rFonts w:hint="eastAsia"/>
        </w:rPr>
        <w:t>备注：本项目各分标为线上电子招标项目，有意向参与本项目的供应商应当做好参与全流程电子招投标交易的充分准备。</w:t>
      </w:r>
    </w:p>
    <w:p>
      <w:pPr>
        <w:adjustRightInd w:val="0"/>
        <w:snapToGrid w:val="0"/>
        <w:spacing w:line="400" w:lineRule="exact"/>
        <w:ind w:firstLine="421" w:firstLineChars="200"/>
        <w:rPr>
          <w:b/>
        </w:rPr>
      </w:pPr>
      <w:r>
        <w:rPr>
          <w:rFonts w:hint="eastAsia"/>
          <w:b/>
        </w:rPr>
        <w:t>二、申请人的资格要求：</w:t>
      </w:r>
    </w:p>
    <w:p>
      <w:pPr>
        <w:adjustRightInd w:val="0"/>
        <w:snapToGrid w:val="0"/>
        <w:spacing w:line="360" w:lineRule="auto"/>
        <w:ind w:firstLine="420" w:firstLineChars="200"/>
      </w:pPr>
      <w:r>
        <w:rPr>
          <w:rFonts w:hint="eastAsia"/>
        </w:rPr>
        <w:t>1.满足《中华人民共和国政府采购法》第二十二条规定；</w:t>
      </w:r>
    </w:p>
    <w:p>
      <w:pPr>
        <w:adjustRightInd w:val="0"/>
        <w:snapToGrid w:val="0"/>
        <w:spacing w:line="360" w:lineRule="auto"/>
        <w:ind w:firstLine="420" w:firstLineChars="200"/>
      </w:pPr>
      <w:r>
        <w:rPr>
          <w:rFonts w:hint="eastAsia"/>
        </w:rPr>
        <w:t xml:space="preserve">2.落实政府采购政策需满足的资格要求：无 </w:t>
      </w:r>
    </w:p>
    <w:p>
      <w:pPr>
        <w:adjustRightInd w:val="0"/>
        <w:snapToGrid w:val="0"/>
        <w:spacing w:line="360" w:lineRule="auto"/>
        <w:ind w:firstLine="420" w:firstLineChars="200"/>
      </w:pPr>
      <w:r>
        <w:rPr>
          <w:rFonts w:hint="eastAsia"/>
        </w:rPr>
        <w:t xml:space="preserve">3.本项目的特定资格要求：无 </w:t>
      </w:r>
    </w:p>
    <w:p>
      <w:pPr>
        <w:adjustRightInd w:val="0"/>
        <w:snapToGrid w:val="0"/>
        <w:spacing w:line="360" w:lineRule="auto"/>
        <w:ind w:firstLine="421" w:firstLineChars="200"/>
        <w:rPr>
          <w:b/>
        </w:rPr>
      </w:pPr>
      <w:r>
        <w:rPr>
          <w:rFonts w:hint="eastAsia"/>
          <w:b/>
        </w:rPr>
        <w:t xml:space="preserve">三、获取招标文件 </w:t>
      </w:r>
    </w:p>
    <w:p>
      <w:pPr>
        <w:adjustRightInd w:val="0"/>
        <w:snapToGrid w:val="0"/>
        <w:spacing w:line="360" w:lineRule="auto"/>
        <w:ind w:firstLine="420" w:firstLineChars="200"/>
      </w:pPr>
      <w:r>
        <w:rPr>
          <w:rFonts w:hint="eastAsia"/>
        </w:rPr>
        <w:t>时间：</w:t>
      </w:r>
      <w:r>
        <w:rPr>
          <w:b/>
          <w:bCs/>
          <w:lang w:val="en"/>
        </w:rPr>
        <w:t>202</w:t>
      </w:r>
      <w:r>
        <w:rPr>
          <w:rFonts w:hint="eastAsia"/>
          <w:b/>
          <w:bCs/>
        </w:rPr>
        <w:t>6</w:t>
      </w:r>
      <w:r>
        <w:rPr>
          <w:b/>
          <w:bCs/>
          <w:lang w:val="en"/>
        </w:rPr>
        <w:t>年</w:t>
      </w:r>
      <w:r>
        <w:rPr>
          <w:rFonts w:hint="eastAsia"/>
          <w:b/>
          <w:bCs/>
          <w:lang w:val="en-US" w:eastAsia="zh-CN"/>
        </w:rPr>
        <w:t>11</w:t>
      </w:r>
      <w:r>
        <w:rPr>
          <w:b/>
          <w:bCs/>
          <w:lang w:val="en"/>
        </w:rPr>
        <w:t>月</w:t>
      </w:r>
      <w:r>
        <w:rPr>
          <w:rFonts w:hint="eastAsia"/>
          <w:b/>
          <w:bCs/>
          <w:lang w:val="en-US" w:eastAsia="zh-CN"/>
        </w:rPr>
        <w:t>4</w:t>
      </w:r>
      <w:r>
        <w:rPr>
          <w:b/>
          <w:bCs/>
          <w:lang w:val="en"/>
        </w:rPr>
        <w:t>日</w:t>
      </w:r>
      <w:r>
        <w:rPr>
          <w:rFonts w:hint="eastAsia"/>
          <w:b/>
          <w:bCs/>
        </w:rPr>
        <w:t>至</w:t>
      </w:r>
      <w:r>
        <w:rPr>
          <w:b/>
          <w:bCs/>
          <w:lang w:val="en"/>
        </w:rPr>
        <w:t>202</w:t>
      </w:r>
      <w:r>
        <w:rPr>
          <w:rFonts w:hint="eastAsia"/>
          <w:b/>
          <w:bCs/>
        </w:rPr>
        <w:t>6</w:t>
      </w:r>
      <w:r>
        <w:rPr>
          <w:b/>
          <w:bCs/>
          <w:lang w:val="en"/>
        </w:rPr>
        <w:t>年</w:t>
      </w:r>
      <w:r>
        <w:rPr>
          <w:rFonts w:hint="eastAsia"/>
          <w:b/>
          <w:bCs/>
          <w:lang w:val="en-US" w:eastAsia="zh-CN"/>
        </w:rPr>
        <w:t>11</w:t>
      </w:r>
      <w:r>
        <w:rPr>
          <w:b/>
          <w:bCs/>
          <w:lang w:val="en"/>
        </w:rPr>
        <w:t>月</w:t>
      </w:r>
      <w:r>
        <w:rPr>
          <w:rFonts w:hint="eastAsia"/>
          <w:b/>
          <w:bCs/>
          <w:lang w:val="en-US" w:eastAsia="zh-CN"/>
        </w:rPr>
        <w:t>12</w:t>
      </w:r>
      <w:r>
        <w:rPr>
          <w:b/>
          <w:bCs/>
          <w:lang w:val="en"/>
        </w:rPr>
        <w:t>日</w:t>
      </w:r>
      <w:r>
        <w:rPr>
          <w:rFonts w:hint="eastAsia"/>
        </w:rPr>
        <w:t xml:space="preserve"> ，每天上午0</w:t>
      </w:r>
      <w:r>
        <w:rPr>
          <w:rFonts w:hint="eastAsia"/>
          <w:lang w:val="en"/>
        </w:rPr>
        <w:t>0</w:t>
      </w:r>
      <w:r>
        <w:rPr>
          <w:rFonts w:hint="eastAsia"/>
        </w:rPr>
        <w:t>:00至12:00，下午12:00至23:59（北京时间，法定节假日除外）</w:t>
      </w:r>
    </w:p>
    <w:p>
      <w:pPr>
        <w:adjustRightInd w:val="0"/>
        <w:snapToGrid w:val="0"/>
        <w:spacing w:line="360" w:lineRule="auto"/>
        <w:ind w:firstLine="420" w:firstLineChars="200"/>
      </w:pPr>
      <w:r>
        <w:rPr>
          <w:rFonts w:hint="eastAsia"/>
        </w:rPr>
        <w:t>地点（网址）：</w:t>
      </w:r>
      <w:r>
        <w:rPr>
          <w:lang w:val="en"/>
        </w:rPr>
        <w:t>广西政府采购云平台（网址：http://www.gcy.zfcg.gxzf.gov.cn）</w:t>
      </w:r>
      <w:r>
        <w:rPr>
          <w:rFonts w:hint="eastAsia"/>
        </w:rPr>
        <w:t xml:space="preserve"> </w:t>
      </w:r>
    </w:p>
    <w:p>
      <w:pPr>
        <w:adjustRightInd w:val="0"/>
        <w:snapToGrid w:val="0"/>
        <w:spacing w:line="360" w:lineRule="auto"/>
        <w:ind w:firstLine="420" w:firstLineChars="200"/>
      </w:pPr>
      <w:r>
        <w:rPr>
          <w:rFonts w:hint="eastAsia"/>
        </w:rPr>
        <w:t>方式：请登录</w:t>
      </w:r>
      <w:r>
        <w:rPr>
          <w:lang w:val="en"/>
        </w:rPr>
        <w:t>广西政府采购云平台（网址：http://www.gcy.zfcg.gxzf.gov.cn）</w:t>
      </w:r>
      <w:r>
        <w:rPr>
          <w:rFonts w:hint="eastAsia"/>
        </w:rPr>
        <w:t>进行报名并获取采购文件；未注册的供应商可在广西政府采购云平台完成注册后再行报名。如在操作过程中遇到问题或需技术支持，请致电</w:t>
      </w:r>
      <w:r>
        <w:rPr>
          <w:lang w:val="en"/>
        </w:rPr>
        <w:t>广西政府采购云</w:t>
      </w:r>
      <w:r>
        <w:rPr>
          <w:rFonts w:hint="eastAsia"/>
        </w:rPr>
        <w:t>客服热线：95763。提示：公开招标公告附件内的招标文件仅供阅览使用；供应商只有在“</w:t>
      </w:r>
      <w:r>
        <w:rPr>
          <w:lang w:val="en"/>
        </w:rPr>
        <w:t>广西政府采购云平台</w:t>
      </w:r>
      <w:r>
        <w:rPr>
          <w:rFonts w:hint="eastAsia"/>
        </w:rPr>
        <w:t>”完成获取招标文件申请并下载了招标文件后才视作依法获取招标文件（法律法规所指的供应商获取招标文件时间以供应商完成获取招标文件申请后下载招标文件的时间为准）。</w:t>
      </w:r>
    </w:p>
    <w:p>
      <w:pPr>
        <w:adjustRightInd w:val="0"/>
        <w:snapToGrid w:val="0"/>
        <w:spacing w:line="360" w:lineRule="auto"/>
        <w:ind w:firstLine="420" w:firstLineChars="200"/>
      </w:pPr>
      <w:r>
        <w:rPr>
          <w:rFonts w:hint="eastAsia"/>
        </w:rPr>
        <w:t xml:space="preserve"> 售价（元）：0 </w:t>
      </w:r>
    </w:p>
    <w:p>
      <w:pPr>
        <w:adjustRightInd w:val="0"/>
        <w:snapToGrid w:val="0"/>
        <w:spacing w:line="360" w:lineRule="auto"/>
        <w:ind w:firstLine="421" w:firstLineChars="200"/>
        <w:rPr>
          <w:b/>
        </w:rPr>
      </w:pPr>
      <w:r>
        <w:rPr>
          <w:rFonts w:hint="eastAsia"/>
          <w:b/>
        </w:rPr>
        <w:t>四、提交投标文件截止时间、开标时间和地点</w:t>
      </w:r>
    </w:p>
    <w:p>
      <w:pPr>
        <w:adjustRightInd w:val="0"/>
        <w:snapToGrid w:val="0"/>
        <w:spacing w:line="360" w:lineRule="auto"/>
        <w:ind w:firstLine="420" w:firstLineChars="200"/>
      </w:pPr>
      <w:r>
        <w:rPr>
          <w:rFonts w:hint="eastAsia"/>
        </w:rPr>
        <w:t>提交投标文件截止时间：</w:t>
      </w:r>
      <w:r>
        <w:rPr>
          <w:lang w:val="en"/>
        </w:rPr>
        <w:t>202</w:t>
      </w:r>
      <w:r>
        <w:rPr>
          <w:rFonts w:hint="eastAsia"/>
        </w:rPr>
        <w:t>6</w:t>
      </w:r>
      <w:r>
        <w:rPr>
          <w:lang w:val="en"/>
        </w:rPr>
        <w:t>年</w:t>
      </w:r>
      <w:r>
        <w:rPr>
          <w:rFonts w:hint="eastAsia"/>
          <w:lang w:val="en-US" w:eastAsia="zh-CN"/>
        </w:rPr>
        <w:t>11</w:t>
      </w:r>
      <w:r>
        <w:rPr>
          <w:lang w:val="en"/>
        </w:rPr>
        <w:t>月</w:t>
      </w:r>
      <w:r>
        <w:rPr>
          <w:rFonts w:hint="eastAsia"/>
          <w:lang w:val="en-US" w:eastAsia="zh-CN"/>
        </w:rPr>
        <w:t>25</w:t>
      </w:r>
      <w:r>
        <w:rPr>
          <w:lang w:val="en"/>
        </w:rPr>
        <w:t>日</w:t>
      </w:r>
      <w:r>
        <w:rPr>
          <w:rFonts w:hint="eastAsia"/>
        </w:rPr>
        <w:t>10:00（北京时间）</w:t>
      </w:r>
    </w:p>
    <w:p>
      <w:pPr>
        <w:adjustRightInd w:val="0"/>
        <w:snapToGrid w:val="0"/>
        <w:spacing w:line="360" w:lineRule="auto"/>
        <w:ind w:firstLine="420" w:firstLineChars="200"/>
      </w:pPr>
      <w:r>
        <w:rPr>
          <w:rFonts w:hint="eastAsia"/>
        </w:rPr>
        <w:t>投标地点（网址）：</w:t>
      </w:r>
      <w:r>
        <w:rPr>
          <w:lang w:val="en"/>
        </w:rPr>
        <w:t>http://www.gcy.zfcg.gxzf.gov.cn</w:t>
      </w:r>
      <w:r>
        <w:rPr>
          <w:rFonts w:hint="eastAsia"/>
        </w:rPr>
        <w:t>（本项目不要求投标供应商到达开标现场，但供应商应派法定代表人或委托代理人准时在线出席电子开评标会议，随时关注开评标进度，如在开评标过程中有电子询标，应在规定的时间内对电子询标函进行澄清回复。）</w:t>
      </w:r>
    </w:p>
    <w:p>
      <w:pPr>
        <w:adjustRightInd w:val="0"/>
        <w:snapToGrid w:val="0"/>
        <w:spacing w:line="360" w:lineRule="auto"/>
        <w:ind w:firstLine="420" w:firstLineChars="200"/>
      </w:pPr>
      <w:r>
        <w:rPr>
          <w:rFonts w:hint="eastAsia"/>
        </w:rPr>
        <w:t xml:space="preserve">开标时间： </w:t>
      </w:r>
      <w:r>
        <w:rPr>
          <w:lang w:val="en"/>
        </w:rPr>
        <w:t>202</w:t>
      </w:r>
      <w:r>
        <w:rPr>
          <w:rFonts w:hint="eastAsia"/>
        </w:rPr>
        <w:t>6</w:t>
      </w:r>
      <w:r>
        <w:rPr>
          <w:lang w:val="en"/>
        </w:rPr>
        <w:t>年</w:t>
      </w:r>
      <w:r>
        <w:rPr>
          <w:rFonts w:hint="eastAsia"/>
          <w:lang w:val="en-US" w:eastAsia="zh-CN"/>
        </w:rPr>
        <w:t>11</w:t>
      </w:r>
      <w:r>
        <w:rPr>
          <w:lang w:val="en"/>
        </w:rPr>
        <w:t>月</w:t>
      </w:r>
      <w:r>
        <w:rPr>
          <w:rFonts w:hint="eastAsia"/>
          <w:lang w:val="en-US" w:eastAsia="zh-CN"/>
        </w:rPr>
        <w:t>25</w:t>
      </w:r>
      <w:r>
        <w:rPr>
          <w:lang w:val="en"/>
        </w:rPr>
        <w:t>日</w:t>
      </w:r>
      <w:r>
        <w:rPr>
          <w:rFonts w:hint="eastAsia"/>
        </w:rPr>
        <w:t xml:space="preserve">10:00 </w:t>
      </w:r>
    </w:p>
    <w:p>
      <w:pPr>
        <w:adjustRightInd w:val="0"/>
        <w:snapToGrid w:val="0"/>
        <w:spacing w:line="360" w:lineRule="auto"/>
        <w:ind w:firstLine="420" w:firstLineChars="200"/>
      </w:pPr>
      <w:r>
        <w:rPr>
          <w:rFonts w:hint="eastAsia"/>
        </w:rPr>
        <w:t>开标地点：广西壮族自治区南宁市青秀区广西政府采购云平台开标大厅</w:t>
      </w:r>
    </w:p>
    <w:p>
      <w:pPr>
        <w:adjustRightInd w:val="0"/>
        <w:snapToGrid w:val="0"/>
        <w:spacing w:line="360" w:lineRule="auto"/>
        <w:ind w:firstLine="421" w:firstLineChars="200"/>
        <w:rPr>
          <w:b/>
        </w:rPr>
      </w:pPr>
      <w:r>
        <w:rPr>
          <w:rFonts w:hint="eastAsia"/>
          <w:b/>
        </w:rPr>
        <w:t xml:space="preserve">五、公告期限 </w:t>
      </w:r>
    </w:p>
    <w:p>
      <w:pPr>
        <w:adjustRightInd w:val="0"/>
        <w:snapToGrid w:val="0"/>
        <w:spacing w:line="360" w:lineRule="auto"/>
        <w:ind w:firstLine="420" w:firstLineChars="200"/>
      </w:pPr>
      <w:r>
        <w:rPr>
          <w:rFonts w:hint="eastAsia"/>
        </w:rPr>
        <w:t>自本公告发布之日起5个工作日。</w:t>
      </w:r>
    </w:p>
    <w:p>
      <w:pPr>
        <w:adjustRightInd w:val="0"/>
        <w:snapToGrid w:val="0"/>
        <w:spacing w:line="360" w:lineRule="auto"/>
        <w:ind w:firstLine="421" w:firstLineChars="200"/>
        <w:rPr>
          <w:b/>
        </w:rPr>
      </w:pPr>
      <w:r>
        <w:rPr>
          <w:rFonts w:hint="eastAsia"/>
          <w:b/>
        </w:rPr>
        <w:t>六、其他补充事宜</w:t>
      </w:r>
    </w:p>
    <w:p>
      <w:pPr>
        <w:adjustRightInd w:val="0"/>
        <w:snapToGrid w:val="0"/>
        <w:spacing w:line="360" w:lineRule="auto"/>
        <w:ind w:firstLine="421" w:firstLineChars="200"/>
      </w:pPr>
      <w:r>
        <w:rPr>
          <w:rFonts w:hint="eastAsia"/>
          <w:b/>
        </w:rPr>
        <w:t xml:space="preserve"> </w:t>
      </w:r>
      <w:r>
        <w:rPr>
          <w:rFonts w:hint="eastAsia"/>
        </w:rPr>
        <w:t>1.投标保证金（人民币）：7</w:t>
      </w:r>
      <w:r>
        <w:rPr>
          <w:rFonts w:hint="eastAsia"/>
          <w:b/>
          <w:bCs/>
        </w:rPr>
        <w:t>万元。</w:t>
      </w:r>
      <w:r>
        <w:rPr>
          <w:rFonts w:hint="eastAsia"/>
        </w:rPr>
        <w:t>(必须足额缴纳)</w:t>
      </w:r>
    </w:p>
    <w:p>
      <w:pPr>
        <w:adjustRightInd w:val="0"/>
        <w:snapToGrid w:val="0"/>
        <w:spacing w:line="360" w:lineRule="auto"/>
        <w:ind w:firstLine="420" w:firstLineChars="200"/>
      </w:pPr>
      <w:r>
        <w:rPr>
          <w:rFonts w:hint="eastAsia"/>
        </w:rPr>
        <w:t>（1）投标保证金交纳形式：支票、汇票、本票、金融机构、担保机构出具的保函等非现金形式。</w:t>
      </w:r>
    </w:p>
    <w:p>
      <w:pPr>
        <w:adjustRightInd w:val="0"/>
        <w:snapToGrid w:val="0"/>
        <w:spacing w:line="360" w:lineRule="auto"/>
        <w:ind w:firstLine="420" w:firstLineChars="200"/>
      </w:pPr>
      <w:r>
        <w:rPr>
          <w:rFonts w:hint="eastAsia"/>
        </w:rPr>
        <w:t>（2）采用网上银行转账形式的，投标人应于提交投标文件截止时间前将投标保证金交至以下账户。</w:t>
      </w:r>
    </w:p>
    <w:p>
      <w:pPr>
        <w:adjustRightInd w:val="0"/>
        <w:snapToGrid w:val="0"/>
        <w:spacing w:line="360" w:lineRule="auto"/>
        <w:ind w:firstLine="421" w:firstLineChars="200"/>
        <w:rPr>
          <w:b/>
          <w:bCs/>
        </w:rPr>
      </w:pPr>
      <w:r>
        <w:rPr>
          <w:rFonts w:hint="eastAsia"/>
          <w:b/>
          <w:bCs/>
        </w:rPr>
        <w:t>开户名称：广西壮族自治区政府采购中心</w:t>
      </w:r>
    </w:p>
    <w:p>
      <w:pPr>
        <w:adjustRightInd w:val="0"/>
        <w:snapToGrid w:val="0"/>
        <w:spacing w:line="360" w:lineRule="auto"/>
        <w:ind w:firstLine="421" w:firstLineChars="200"/>
        <w:rPr>
          <w:b/>
          <w:bCs/>
        </w:rPr>
      </w:pPr>
      <w:r>
        <w:rPr>
          <w:rFonts w:hint="eastAsia"/>
          <w:b/>
          <w:bCs/>
        </w:rPr>
        <w:t>开户银行：中国农业银行股份有限公司南宁市古城支行</w:t>
      </w:r>
    </w:p>
    <w:p>
      <w:pPr>
        <w:adjustRightInd w:val="0"/>
        <w:snapToGrid w:val="0"/>
        <w:spacing w:line="360" w:lineRule="auto"/>
        <w:ind w:firstLine="421" w:firstLineChars="200"/>
      </w:pPr>
      <w:r>
        <w:rPr>
          <w:rFonts w:hint="eastAsia"/>
          <w:b/>
          <w:bCs/>
        </w:rPr>
        <w:t>银行账号：20009101040051648</w:t>
      </w:r>
    </w:p>
    <w:p>
      <w:pPr>
        <w:adjustRightInd w:val="0"/>
        <w:snapToGrid w:val="0"/>
        <w:spacing w:line="360" w:lineRule="auto"/>
        <w:ind w:firstLine="420" w:firstLineChars="200"/>
      </w:pPr>
      <w:r>
        <w:rPr>
          <w:rFonts w:hint="eastAsia"/>
        </w:rPr>
        <w:t>（3）采用支票、汇票、本票或者保函等形式的，投标人应于提交投标文件截止时间前递交单独密封的支票、汇票、本票或者保函原件至我中心财务处。</w:t>
      </w:r>
    </w:p>
    <w:p>
      <w:pPr>
        <w:adjustRightInd w:val="0"/>
        <w:snapToGrid w:val="0"/>
        <w:spacing w:line="360" w:lineRule="auto"/>
        <w:ind w:firstLine="420" w:firstLineChars="200"/>
      </w:pPr>
      <w:r>
        <w:rPr>
          <w:rFonts w:hint="eastAsia"/>
        </w:rPr>
        <w:t>（4）本中心财务处联系方式：</w:t>
      </w:r>
    </w:p>
    <w:p>
      <w:pPr>
        <w:adjustRightInd w:val="0"/>
        <w:snapToGrid w:val="0"/>
        <w:spacing w:line="360" w:lineRule="auto"/>
        <w:ind w:firstLine="420" w:firstLineChars="200"/>
        <w:rPr>
          <w:lang w:val="en"/>
        </w:rPr>
      </w:pPr>
      <w:r>
        <w:rPr>
          <w:lang w:val="en"/>
        </w:rPr>
        <w:t>地址：广西南宁市星湖路22号广西壮族自治区政府采购中心综合楼3楼306室； 电话：0771-8600309。</w:t>
      </w:r>
    </w:p>
    <w:p>
      <w:pPr>
        <w:adjustRightInd w:val="0"/>
        <w:snapToGrid w:val="0"/>
        <w:spacing w:line="360" w:lineRule="auto"/>
        <w:ind w:firstLine="420" w:firstLineChars="200"/>
      </w:pPr>
      <w:r>
        <w:rPr>
          <w:rFonts w:hint="eastAsia"/>
        </w:rPr>
        <w:t>2.本项目需要落实的政府采购政策</w:t>
      </w:r>
    </w:p>
    <w:p>
      <w:pPr>
        <w:adjustRightInd w:val="0"/>
        <w:snapToGrid w:val="0"/>
        <w:spacing w:line="360" w:lineRule="auto"/>
        <w:ind w:firstLine="420" w:firstLineChars="200"/>
      </w:pPr>
      <w:r>
        <w:rPr>
          <w:rFonts w:hint="eastAsia"/>
        </w:rPr>
        <w:t>政府采购促进中小企业发展；政府采购支持采用本国产品的政策；</w:t>
      </w:r>
      <w:r>
        <w:rPr>
          <w:rFonts w:hAnsi="宋体" w:cs="宋体"/>
          <w:bCs/>
          <w:kern w:val="0"/>
          <w:szCs w:val="21"/>
        </w:rPr>
        <w:t>政府采购支持采用本国产品的政策；</w:t>
      </w:r>
      <w:r>
        <w:rPr>
          <w:rFonts w:hint="eastAsia"/>
        </w:rPr>
        <w:t>强制采购节能产品；优先采购节能产品、环境标志产品；政府采购促进残疾人就业政策；政府采购支持监狱企业发展；政府采购扶持不发达地区和少数民族地区等。</w:t>
      </w:r>
    </w:p>
    <w:p>
      <w:pPr>
        <w:adjustRightInd w:val="0"/>
        <w:snapToGrid w:val="0"/>
        <w:spacing w:line="360" w:lineRule="auto"/>
        <w:ind w:firstLine="420" w:firstLineChars="200"/>
      </w:pPr>
      <w:r>
        <w:rPr>
          <w:rFonts w:hint="eastAsia"/>
        </w:rPr>
        <w:t>3.网上公告媒体查询</w:t>
      </w:r>
    </w:p>
    <w:p>
      <w:pPr>
        <w:adjustRightInd w:val="0"/>
        <w:snapToGrid w:val="0"/>
        <w:spacing w:line="360" w:lineRule="auto"/>
        <w:ind w:firstLine="420" w:firstLineChars="200"/>
      </w:pPr>
      <w:r>
        <w:rPr>
          <w:rFonts w:hint="eastAsia"/>
        </w:rPr>
        <w:t>中国政府采购网（www.ccgp.gov.cn）、广西壮族自治区政府采购网（zfcg.gxzf.gov.cn）、广西壮族自治区政府采购中心网站（gxggzy.gxzf.gov.cn）。</w:t>
      </w:r>
    </w:p>
    <w:p>
      <w:pPr>
        <w:adjustRightInd w:val="0"/>
        <w:snapToGrid w:val="0"/>
        <w:spacing w:line="360" w:lineRule="auto"/>
        <w:ind w:firstLine="420" w:firstLineChars="200"/>
      </w:pPr>
      <w:r>
        <w:rPr>
          <w:rFonts w:hint="eastAsia"/>
        </w:rPr>
        <w:t>4.其他注意事项</w:t>
      </w:r>
    </w:p>
    <w:p>
      <w:pPr>
        <w:adjustRightInd w:val="0"/>
        <w:snapToGrid w:val="0"/>
        <w:spacing w:line="360" w:lineRule="auto"/>
        <w:ind w:firstLine="420" w:firstLineChars="200"/>
      </w:pPr>
      <w:r>
        <w:rPr>
          <w:rFonts w:hint="eastAsia"/>
        </w:rPr>
        <w:t>（1）本项目实行电子投标，供应商应按照本项目招标文件和</w:t>
      </w:r>
      <w:r>
        <w:rPr>
          <w:lang w:val="en"/>
        </w:rPr>
        <w:t>广西政府采购云平台</w:t>
      </w:r>
      <w:r>
        <w:rPr>
          <w:rFonts w:hint="eastAsia"/>
        </w:rPr>
        <w:t>的要求编制、加密并提交投标文件。供应商在使用系统参与投标过程中遇到涉及平台使用的任何问题，可致电</w:t>
      </w:r>
      <w:r>
        <w:rPr>
          <w:lang w:val="en"/>
        </w:rPr>
        <w:t>广西政府采购云平台</w:t>
      </w:r>
      <w:r>
        <w:rPr>
          <w:rFonts w:hint="eastAsia"/>
        </w:rPr>
        <w:t xml:space="preserve">技术支持热线咨询，联系方式：95763。 </w:t>
      </w:r>
    </w:p>
    <w:p>
      <w:pPr>
        <w:adjustRightInd w:val="0"/>
        <w:snapToGrid w:val="0"/>
        <w:spacing w:line="360" w:lineRule="auto"/>
        <w:ind w:firstLine="420" w:firstLineChars="200"/>
      </w:pPr>
      <w:r>
        <w:rPr>
          <w:rFonts w:hint="eastAsia"/>
        </w:rPr>
        <w:t>（2）供应商应及时熟悉掌握电子标系统操作指南（见</w:t>
      </w:r>
      <w:r>
        <w:rPr>
          <w:lang w:val="en"/>
        </w:rPr>
        <w:t>广西政府采购云</w:t>
      </w:r>
      <w:r>
        <w:rPr>
          <w:rFonts w:hint="eastAsia"/>
        </w:rPr>
        <w:t>电子卖场首页右上角—服务中心—帮助文档—项目采购）：</w:t>
      </w:r>
      <w:r>
        <w:fldChar w:fldCharType="begin"/>
      </w:r>
      <w:r>
        <w:instrText xml:space="preserve"> HYPERLINK "https://service.zcygov.cn/" \l "/knowledges/tree?tag=AG1DtGwBFdiHxlNdhY0r。" </w:instrText>
      </w:r>
      <w:r>
        <w:fldChar w:fldCharType="separate"/>
      </w:r>
      <w:r>
        <w:rPr>
          <w:rFonts w:hint="eastAsia"/>
        </w:rPr>
        <w:t>https://service.zcygov.cn/#/knowledges/tree?tag=AG1DtGwBFdiHxlNdhY0r。</w:t>
      </w:r>
      <w:r>
        <w:rPr>
          <w:rFonts w:hint="eastAsia"/>
        </w:rPr>
        <w:fldChar w:fldCharType="end"/>
      </w:r>
    </w:p>
    <w:p>
      <w:pPr>
        <w:adjustRightInd w:val="0"/>
        <w:snapToGrid w:val="0"/>
        <w:spacing w:line="360" w:lineRule="auto"/>
        <w:ind w:firstLine="420" w:firstLineChars="200"/>
      </w:pPr>
      <w:r>
        <w:rPr>
          <w:rFonts w:hint="eastAsia"/>
        </w:rPr>
        <w:t>（3）供应商应及时完成CA申领和绑定（见广西壮族自治区政府采购网—办事服务—下载专区-政采云CA证书办理操作指南）。</w:t>
      </w:r>
    </w:p>
    <w:p>
      <w:pPr>
        <w:adjustRightInd w:val="0"/>
        <w:snapToGrid w:val="0"/>
        <w:spacing w:line="360" w:lineRule="auto"/>
        <w:ind w:firstLine="420" w:firstLineChars="200"/>
      </w:pPr>
      <w:r>
        <w:rPr>
          <w:rFonts w:hint="eastAsia"/>
        </w:rPr>
        <w:t>（4）供应商通过</w:t>
      </w:r>
      <w:r>
        <w:rPr>
          <w:lang w:val="en"/>
        </w:rPr>
        <w:t>广西政府采购云</w:t>
      </w:r>
      <w:r>
        <w:rPr>
          <w:rFonts w:hint="eastAsia"/>
        </w:rPr>
        <w:t>投标客户端软件制作投标文件，</w:t>
      </w:r>
      <w:r>
        <w:rPr>
          <w:lang w:val="en"/>
        </w:rPr>
        <w:t>广西政府采购云</w:t>
      </w:r>
      <w:r>
        <w:rPr>
          <w:rFonts w:hint="eastAsia"/>
        </w:rPr>
        <w:t xml:space="preserve">投标客户端软件请供应商自行前往下载并安装（见广西壮族自治区政府采购网—办事服务—下载专区-广西壮族自治区全流程电子招投标项目管理系统--供应商客户端）。 </w:t>
      </w:r>
    </w:p>
    <w:p>
      <w:pPr>
        <w:adjustRightInd w:val="0"/>
        <w:snapToGrid w:val="0"/>
        <w:spacing w:line="360" w:lineRule="auto"/>
        <w:ind w:firstLine="420" w:firstLineChars="200"/>
      </w:pPr>
      <w:r>
        <w:rPr>
          <w:rFonts w:hint="eastAsia"/>
        </w:rPr>
        <w:t>（5）因未注册入库、未办理CA数字证书、CA证书故障、操作不当等原因造成无法投标或投标失败等后果由供应商自行承担。</w:t>
      </w:r>
    </w:p>
    <w:p>
      <w:pPr>
        <w:adjustRightInd w:val="0"/>
        <w:snapToGrid w:val="0"/>
        <w:spacing w:line="360" w:lineRule="auto"/>
        <w:ind w:firstLine="420" w:firstLineChars="200"/>
      </w:pPr>
      <w:r>
        <w:rPr>
          <w:rFonts w:hint="eastAsia"/>
        </w:rPr>
        <w:t>（6）投标文件网上提交截止后，</w:t>
      </w:r>
      <w:r>
        <w:rPr>
          <w:lang w:val="en"/>
        </w:rPr>
        <w:t>广西政府采购云</w:t>
      </w:r>
      <w:r>
        <w:rPr>
          <w:rFonts w:hint="eastAsia"/>
        </w:rPr>
        <w:t>（电子标系统）自动提取所有投标文件，各供应商须在开标开始后30分钟内对上传</w:t>
      </w:r>
      <w:r>
        <w:rPr>
          <w:lang w:val="en"/>
        </w:rPr>
        <w:t>广西政府采购云</w:t>
      </w:r>
      <w:r>
        <w:rPr>
          <w:rFonts w:hint="eastAsia"/>
        </w:rPr>
        <w:t>的投标文件进行解密，所有供应商在规定的解密时限内解密完成或解密时限结束后，我中心开启投标文件；供应商超过解密时限的，系统默认自动放弃。</w:t>
      </w:r>
    </w:p>
    <w:p>
      <w:pPr>
        <w:adjustRightInd w:val="0"/>
        <w:snapToGrid w:val="0"/>
        <w:spacing w:line="360" w:lineRule="auto"/>
        <w:ind w:firstLine="421" w:firstLineChars="200"/>
        <w:rPr>
          <w:b/>
        </w:rPr>
      </w:pPr>
      <w:r>
        <w:rPr>
          <w:b/>
        </w:rPr>
        <w:t xml:space="preserve">  </w:t>
      </w:r>
    </w:p>
    <w:p>
      <w:pPr>
        <w:adjustRightInd w:val="0"/>
        <w:snapToGrid w:val="0"/>
        <w:spacing w:line="360" w:lineRule="auto"/>
        <w:ind w:firstLine="421" w:firstLineChars="200"/>
        <w:rPr>
          <w:b/>
        </w:rPr>
      </w:pPr>
      <w:r>
        <w:rPr>
          <w:rFonts w:hint="eastAsia"/>
          <w:b/>
        </w:rPr>
        <w:t>七、对本次采购提出询问，请按以下方式联系</w:t>
      </w:r>
    </w:p>
    <w:p>
      <w:pPr>
        <w:adjustRightInd w:val="0"/>
        <w:snapToGrid w:val="0"/>
        <w:spacing w:line="360" w:lineRule="auto"/>
        <w:ind w:firstLine="421" w:firstLineChars="200"/>
      </w:pPr>
      <w:r>
        <w:rPr>
          <w:rFonts w:hint="eastAsia"/>
          <w:b/>
        </w:rPr>
        <w:t xml:space="preserve"> </w:t>
      </w:r>
      <w:r>
        <w:rPr>
          <w:rFonts w:hint="eastAsia"/>
        </w:rPr>
        <w:t xml:space="preserve">   1.采购人信息</w:t>
      </w:r>
    </w:p>
    <w:p>
      <w:pPr>
        <w:adjustRightInd w:val="0"/>
        <w:snapToGrid w:val="0"/>
        <w:spacing w:line="360" w:lineRule="auto"/>
        <w:ind w:firstLine="420" w:firstLineChars="200"/>
      </w:pPr>
      <w:r>
        <w:rPr>
          <w:rFonts w:hint="eastAsia"/>
        </w:rPr>
        <w:t xml:space="preserve">   名    称：广西职业师范学院 </w:t>
      </w:r>
    </w:p>
    <w:p>
      <w:pPr>
        <w:adjustRightInd w:val="0"/>
        <w:snapToGrid w:val="0"/>
        <w:spacing w:line="360" w:lineRule="auto"/>
        <w:ind w:firstLine="420" w:firstLineChars="200"/>
      </w:pPr>
      <w:r>
        <w:rPr>
          <w:rFonts w:hint="eastAsia"/>
        </w:rPr>
        <w:t>    地    址：南宁市大学东路105号 </w:t>
      </w:r>
    </w:p>
    <w:p>
      <w:pPr>
        <w:adjustRightInd w:val="0"/>
        <w:snapToGrid w:val="0"/>
        <w:spacing w:line="360" w:lineRule="auto"/>
        <w:ind w:firstLine="420" w:firstLineChars="200"/>
      </w:pPr>
      <w:r>
        <w:rPr>
          <w:rFonts w:hint="eastAsia"/>
        </w:rPr>
        <w:t>    项目联系人：覃老师 </w:t>
      </w:r>
    </w:p>
    <w:p>
      <w:pPr>
        <w:adjustRightInd w:val="0"/>
        <w:snapToGrid w:val="0"/>
        <w:spacing w:line="360" w:lineRule="auto"/>
        <w:ind w:firstLine="420" w:firstLineChars="200"/>
      </w:pPr>
      <w:r>
        <w:rPr>
          <w:rFonts w:hint="eastAsia"/>
        </w:rPr>
        <w:t>    项目联系方式：0771-3245617</w:t>
      </w:r>
    </w:p>
    <w:p>
      <w:pPr>
        <w:adjustRightInd w:val="0"/>
        <w:snapToGrid w:val="0"/>
        <w:spacing w:line="360" w:lineRule="auto"/>
        <w:ind w:firstLine="420" w:firstLineChars="200"/>
      </w:pPr>
      <w:r>
        <w:t xml:space="preserve">    </w:t>
      </w:r>
      <w:r>
        <w:rPr>
          <w:rFonts w:hint="eastAsia"/>
        </w:rPr>
        <w:t>2.采购代理机构信息</w:t>
      </w:r>
    </w:p>
    <w:p>
      <w:pPr>
        <w:adjustRightInd w:val="0"/>
        <w:snapToGrid w:val="0"/>
        <w:spacing w:line="360" w:lineRule="auto"/>
        <w:ind w:firstLine="420" w:firstLineChars="200"/>
      </w:pPr>
      <w:r>
        <w:rPr>
          <w:rFonts w:hint="eastAsia"/>
        </w:rPr>
        <w:t xml:space="preserve">    名    称：广西壮族自治区政府采购中心  </w:t>
      </w:r>
    </w:p>
    <w:p>
      <w:pPr>
        <w:adjustRightInd w:val="0"/>
        <w:snapToGrid w:val="0"/>
        <w:spacing w:line="360" w:lineRule="auto"/>
        <w:ind w:firstLine="420" w:firstLineChars="200"/>
      </w:pPr>
      <w:r>
        <w:rPr>
          <w:rFonts w:hint="eastAsia"/>
        </w:rPr>
        <w:t xml:space="preserve">    地    址：广西南宁市星湖路22号  </w:t>
      </w:r>
    </w:p>
    <w:p>
      <w:pPr>
        <w:adjustRightInd w:val="0"/>
        <w:snapToGrid w:val="0"/>
        <w:spacing w:line="360" w:lineRule="auto"/>
        <w:ind w:firstLine="420" w:firstLineChars="200"/>
      </w:pPr>
      <w:r>
        <w:rPr>
          <w:rFonts w:hint="eastAsia"/>
        </w:rPr>
        <w:t xml:space="preserve">    项目联系人：唐梦诗</w:t>
      </w:r>
    </w:p>
    <w:p>
      <w:pPr>
        <w:adjustRightInd w:val="0"/>
        <w:snapToGrid w:val="0"/>
        <w:spacing w:line="360" w:lineRule="auto"/>
        <w:ind w:firstLine="420" w:firstLineChars="200"/>
        <w:rPr>
          <w:rFonts w:ascii="宋体" w:hAnsi="宋体" w:cs="宋体"/>
        </w:rPr>
      </w:pPr>
      <w:r>
        <w:rPr>
          <w:rFonts w:hint="eastAsia"/>
        </w:rPr>
        <w:t xml:space="preserve">    项目联系方式：0771-8600431 </w:t>
      </w:r>
    </w:p>
    <w:p>
      <w:pPr>
        <w:adjustRightInd w:val="0"/>
        <w:snapToGrid w:val="0"/>
        <w:spacing w:line="360" w:lineRule="auto"/>
        <w:ind w:firstLine="630" w:firstLineChars="300"/>
        <w:rPr>
          <w:rFonts w:ascii="宋体" w:hAnsi="宋体" w:cs="宋体"/>
        </w:rPr>
      </w:pPr>
    </w:p>
    <w:bookmarkEnd w:id="0"/>
    <w:bookmarkEnd w:id="1"/>
    <w:p>
      <w:pPr>
        <w:snapToGrid w:val="0"/>
        <w:spacing w:line="360" w:lineRule="auto"/>
        <w:ind w:left="238"/>
        <w:jc w:val="center"/>
        <w:rPr>
          <w:rFonts w:ascii="宋体" w:cs="宋体"/>
        </w:rPr>
      </w:pPr>
      <w:r>
        <w:rPr>
          <w:rFonts w:hint="eastAsia" w:ascii="宋体" w:hAnsi="宋体" w:cs="宋体"/>
        </w:rPr>
        <w:t xml:space="preserve">                                广西壮族自治区政府采购中心</w:t>
      </w:r>
    </w:p>
    <w:p>
      <w:pPr>
        <w:snapToGrid w:val="0"/>
        <w:spacing w:line="360" w:lineRule="auto"/>
        <w:ind w:left="238"/>
        <w:jc w:val="center"/>
        <w:rPr>
          <w:rFonts w:ascii="黑体" w:eastAsia="黑体"/>
          <w:sz w:val="32"/>
          <w:szCs w:val="32"/>
        </w:rPr>
      </w:pPr>
      <w:r>
        <w:rPr>
          <w:rFonts w:hint="eastAsia" w:ascii="宋体" w:hAnsi="宋体" w:cs="宋体"/>
        </w:rPr>
        <w:t xml:space="preserve">                                 </w:t>
      </w:r>
      <w:r>
        <w:rPr>
          <w:rFonts w:ascii="宋体" w:hAnsi="宋体" w:cs="宋体"/>
          <w:lang w:val="en"/>
        </w:rPr>
        <w:t>202</w:t>
      </w:r>
      <w:r>
        <w:rPr>
          <w:rFonts w:hint="eastAsia" w:ascii="宋体" w:hAnsi="宋体" w:cs="宋体"/>
        </w:rPr>
        <w:t>6</w:t>
      </w:r>
      <w:r>
        <w:rPr>
          <w:rFonts w:ascii="宋体" w:hAnsi="宋体" w:cs="宋体"/>
          <w:lang w:val="en"/>
        </w:rPr>
        <w:t>年</w:t>
      </w:r>
      <w:r>
        <w:rPr>
          <w:rFonts w:hint="eastAsia" w:ascii="宋体" w:hAnsi="宋体" w:cs="宋体"/>
          <w:lang w:val="en-US" w:eastAsia="zh-CN"/>
        </w:rPr>
        <w:t>11</w:t>
      </w:r>
      <w:r>
        <w:rPr>
          <w:rFonts w:ascii="宋体" w:hAnsi="宋体" w:cs="宋体"/>
          <w:lang w:val="en"/>
        </w:rPr>
        <w:t>月</w:t>
      </w:r>
      <w:r>
        <w:rPr>
          <w:rFonts w:hint="eastAsia" w:ascii="宋体" w:hAnsi="宋体" w:cs="宋体"/>
          <w:lang w:val="en-US" w:eastAsia="zh-CN"/>
        </w:rPr>
        <w:t>4</w:t>
      </w:r>
      <w:r>
        <w:rPr>
          <w:rFonts w:ascii="宋体" w:hAnsi="宋体" w:cs="宋体"/>
          <w:lang w:val="en"/>
        </w:rPr>
        <w:t>日</w:t>
      </w:r>
      <w:r>
        <w:rPr>
          <w:rFonts w:hint="eastAsia" w:ascii="黑体" w:eastAsia="黑体"/>
          <w:sz w:val="32"/>
          <w:szCs w:val="32"/>
        </w:rPr>
        <w:br w:type="page"/>
      </w: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line="360" w:lineRule="exact"/>
        <w:ind w:left="238"/>
        <w:jc w:val="center"/>
        <w:rPr>
          <w:rFonts w:ascii="黑体" w:eastAsia="黑体"/>
          <w:sz w:val="32"/>
          <w:szCs w:val="32"/>
        </w:rPr>
      </w:pPr>
    </w:p>
    <w:p>
      <w:pPr>
        <w:pStyle w:val="6"/>
      </w:pPr>
    </w:p>
    <w:p>
      <w:pPr>
        <w:snapToGrid w:val="0"/>
        <w:spacing w:before="156" w:beforeLines="50" w:after="156" w:afterLines="50" w:line="360" w:lineRule="exact"/>
        <w:ind w:left="238"/>
        <w:jc w:val="center"/>
        <w:rPr>
          <w:rFonts w:ascii="黑体" w:eastAsia="黑体"/>
          <w:sz w:val="32"/>
          <w:szCs w:val="32"/>
        </w:rPr>
      </w:pPr>
    </w:p>
    <w:p>
      <w:pPr>
        <w:snapToGrid w:val="0"/>
        <w:spacing w:before="156" w:beforeLines="50" w:after="156" w:afterLines="50"/>
        <w:ind w:left="238"/>
        <w:jc w:val="center"/>
        <w:rPr>
          <w:rFonts w:ascii="黑体" w:eastAsia="黑体"/>
          <w:sz w:val="36"/>
          <w:szCs w:val="36"/>
        </w:rPr>
      </w:pPr>
    </w:p>
    <w:p>
      <w:pPr>
        <w:snapToGrid w:val="0"/>
        <w:spacing w:before="156" w:beforeLines="50" w:after="156" w:afterLines="50"/>
        <w:ind w:left="238"/>
        <w:jc w:val="center"/>
        <w:rPr>
          <w:rFonts w:ascii="黑体" w:eastAsia="黑体"/>
          <w:sz w:val="36"/>
          <w:szCs w:val="36"/>
        </w:rPr>
      </w:pPr>
      <w:r>
        <w:rPr>
          <w:rFonts w:hint="eastAsia" w:ascii="仿宋_GB2312" w:eastAsia="仿宋_GB2312"/>
          <w:b/>
          <w:sz w:val="36"/>
          <w:szCs w:val="36"/>
        </w:rPr>
        <w:t xml:space="preserve">第二章  </w:t>
      </w:r>
      <w:r>
        <w:rPr>
          <w:rFonts w:hint="eastAsia" w:ascii="仿宋_GB2312" w:eastAsia="仿宋_GB2312"/>
          <w:b/>
          <w:bCs/>
          <w:sz w:val="36"/>
          <w:szCs w:val="36"/>
        </w:rPr>
        <w:t>招</w:t>
      </w:r>
      <w:r>
        <w:rPr>
          <w:rFonts w:hint="eastAsia" w:ascii="仿宋_GB2312" w:eastAsia="仿宋_GB2312"/>
          <w:b/>
          <w:sz w:val="36"/>
          <w:szCs w:val="36"/>
        </w:rPr>
        <w:t>标项目采购需求</w:t>
      </w:r>
    </w:p>
    <w:p>
      <w:pPr>
        <w:jc w:val="center"/>
        <w:rPr>
          <w:rFonts w:ascii="宋体" w:hAnsi="宋体"/>
          <w:b/>
          <w:bCs/>
          <w:sz w:val="36"/>
          <w:szCs w:val="36"/>
        </w:rPr>
      </w:pPr>
      <w:r>
        <w:br w:type="page"/>
      </w:r>
      <w:r>
        <w:rPr>
          <w:rFonts w:hint="eastAsia" w:ascii="宋体" w:hAnsi="宋体"/>
          <w:b/>
          <w:bCs/>
          <w:sz w:val="36"/>
          <w:szCs w:val="36"/>
        </w:rPr>
        <w:t>招标项目采购需求</w:t>
      </w:r>
    </w:p>
    <w:p>
      <w:pPr>
        <w:ind w:firstLine="421" w:firstLineChars="200"/>
        <w:rPr>
          <w:rFonts w:ascii="宋体" w:hAnsi="宋体" w:eastAsia="仿宋_GB2312" w:cs="宋体"/>
          <w:b/>
          <w:bCs/>
          <w:caps/>
          <w:szCs w:val="21"/>
        </w:rPr>
      </w:pPr>
    </w:p>
    <w:p>
      <w:pPr>
        <w:ind w:firstLine="421" w:firstLineChars="200"/>
        <w:rPr>
          <w:rFonts w:ascii="宋体" w:hAnsi="宋体" w:eastAsia="仿宋_GB2312" w:cs="宋体"/>
          <w:b/>
          <w:bCs/>
          <w:caps/>
          <w:szCs w:val="21"/>
        </w:rPr>
      </w:pPr>
      <w:r>
        <w:rPr>
          <w:rFonts w:hint="eastAsia" w:ascii="宋体" w:hAnsi="宋体" w:eastAsia="仿宋_GB2312" w:cs="宋体"/>
          <w:b/>
          <w:bCs/>
          <w:caps/>
          <w:szCs w:val="21"/>
        </w:rPr>
        <w:t>1.文件中条款标注▲代表实质性要求，必须满足或优于招标文件要求，否则投标无效；文件中条款标注●、★代表为重要参数要求。</w:t>
      </w:r>
    </w:p>
    <w:p>
      <w:pPr>
        <w:ind w:firstLine="421" w:firstLineChars="200"/>
        <w:rPr>
          <w:b/>
          <w:bCs/>
        </w:rPr>
      </w:pPr>
      <w:r>
        <w:rPr>
          <w:rFonts w:hint="eastAsia" w:ascii="宋体" w:hAnsi="宋体" w:eastAsia="仿宋_GB2312" w:cs="宋体"/>
          <w:b/>
          <w:bCs/>
          <w:caps/>
          <w:szCs w:val="21"/>
        </w:rPr>
        <w:t>2.本项目标的所属行业均为：</w:t>
      </w:r>
      <w:r>
        <w:rPr>
          <w:rFonts w:hint="eastAsia" w:ascii="宋体" w:hAnsi="宋体" w:eastAsia="仿宋_GB2312" w:cs="宋体"/>
          <w:b/>
          <w:bCs/>
          <w:caps/>
          <w:szCs w:val="21"/>
          <w:u w:val="single"/>
        </w:rPr>
        <w:t xml:space="preserve">  工业    </w:t>
      </w:r>
      <w:r>
        <w:rPr>
          <w:rFonts w:hint="eastAsia" w:ascii="宋体" w:hAnsi="宋体" w:eastAsia="仿宋_GB2312" w:cs="宋体"/>
          <w:b/>
          <w:bCs/>
          <w:caps/>
          <w:szCs w:val="21"/>
        </w:rPr>
        <w:t>；划分依据：《关于印发中小企业划型标准规定的通知》（工信部联企业[2011]300号）。</w:t>
      </w:r>
    </w:p>
    <w:p>
      <w:pPr>
        <w:pStyle w:val="2"/>
        <w:ind w:firstLine="240"/>
      </w:pPr>
      <w:r>
        <w:rPr>
          <w:rFonts w:hint="eastAsia"/>
        </w:rPr>
        <w:t>本项目：</w:t>
      </w:r>
    </w:p>
    <w:tbl>
      <w:tblPr>
        <w:tblStyle w:val="5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9"/>
        <w:gridCol w:w="1345"/>
        <w:gridCol w:w="684"/>
        <w:gridCol w:w="68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szCs w:val="21"/>
              </w:rPr>
            </w:pPr>
            <w:r>
              <w:rPr>
                <w:rFonts w:hint="eastAsia" w:ascii="宋体" w:hAnsi="宋体" w:cs="宋体"/>
                <w:b/>
                <w:bCs/>
                <w:szCs w:val="21"/>
              </w:rPr>
              <w:t>项号</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szCs w:val="21"/>
              </w:rPr>
            </w:pPr>
            <w:r>
              <w:rPr>
                <w:rFonts w:hint="eastAsia" w:ascii="宋体" w:hAnsi="宋体" w:cs="宋体"/>
                <w:b/>
                <w:bCs/>
                <w:szCs w:val="21"/>
              </w:rPr>
              <w:t>货物名称</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szCs w:val="21"/>
              </w:rPr>
            </w:pPr>
            <w:r>
              <w:rPr>
                <w:rFonts w:hint="eastAsia" w:ascii="宋体" w:hAnsi="宋体" w:cs="宋体"/>
                <w:b/>
                <w:bCs/>
                <w:szCs w:val="21"/>
              </w:rPr>
              <w:t>数量</w:t>
            </w:r>
          </w:p>
        </w:tc>
        <w:tc>
          <w:tcPr>
            <w:tcW w:w="685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szCs w:val="21"/>
              </w:rPr>
            </w:pPr>
            <w:r>
              <w:rPr>
                <w:rFonts w:hint="eastAsia" w:ascii="宋体" w:hAnsi="宋体" w:cs="宋体"/>
                <w:b/>
                <w:bCs/>
                <w:szCs w:val="21"/>
              </w:rPr>
              <w:t>主要技术参数及性能（配置）要求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台式计算机</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630台</w:t>
            </w:r>
          </w:p>
        </w:tc>
        <w:tc>
          <w:tcPr>
            <w:tcW w:w="6859" w:type="dxa"/>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kern w:val="0"/>
                <w:szCs w:val="21"/>
                <w:lang w:bidi="ar"/>
              </w:rPr>
            </w:pPr>
            <w:r>
              <w:rPr>
                <w:rFonts w:hint="eastAsia" w:ascii="宋体" w:hAnsi="宋体" w:cs="宋体"/>
                <w:kern w:val="0"/>
                <w:szCs w:val="21"/>
                <w:lang w:bidi="ar"/>
              </w:rPr>
              <w:t>▲1.处理器：≥八核16线程，主频≥3.0G Hz，16M缓存，符合安全可靠测评要求；（通过政府有关部门指定的中国信息安全测评中心或国家保密科技测评中心网站查看安全可靠测评结果）；</w:t>
            </w:r>
          </w:p>
          <w:p>
            <w:pPr>
              <w:spacing w:line="288" w:lineRule="auto"/>
              <w:rPr>
                <w:rFonts w:ascii="宋体" w:hAnsi="宋体" w:cs="宋体"/>
                <w:kern w:val="0"/>
                <w:szCs w:val="21"/>
                <w:lang w:bidi="ar"/>
              </w:rPr>
            </w:pPr>
            <w:r>
              <w:rPr>
                <w:rFonts w:hint="eastAsia" w:ascii="宋体" w:hAnsi="宋体" w:cs="宋体"/>
                <w:kern w:val="0"/>
                <w:szCs w:val="21"/>
                <w:lang w:bidi="ar"/>
              </w:rPr>
              <w:t>▲2.内存：≥16GB 3200MHZ DDR4，≥4个双通道内存插槽，本次配置16G之后额外预留3个插槽，方便后续扩展升级；</w:t>
            </w:r>
          </w:p>
          <w:p>
            <w:pPr>
              <w:spacing w:line="288" w:lineRule="auto"/>
              <w:rPr>
                <w:rFonts w:ascii="宋体" w:hAnsi="宋体" w:cs="宋体"/>
                <w:kern w:val="0"/>
                <w:szCs w:val="21"/>
                <w:lang w:bidi="ar"/>
              </w:rPr>
            </w:pPr>
            <w:r>
              <w:rPr>
                <w:rFonts w:hint="eastAsia" w:ascii="宋体" w:hAnsi="宋体" w:cs="宋体"/>
                <w:szCs w:val="21"/>
                <w:lang w:bidi="ar"/>
              </w:rPr>
              <w:t>★3.</w:t>
            </w:r>
            <w:r>
              <w:rPr>
                <w:rFonts w:hint="eastAsia" w:ascii="宋体" w:hAnsi="宋体" w:cs="宋体"/>
                <w:kern w:val="0"/>
                <w:szCs w:val="21"/>
                <w:lang w:bidi="ar"/>
              </w:rPr>
              <w:t>内存插槽插满最大支持内存≥64GB；</w:t>
            </w:r>
          </w:p>
          <w:p>
            <w:pPr>
              <w:spacing w:line="288" w:lineRule="auto"/>
              <w:rPr>
                <w:rFonts w:ascii="宋体" w:hAnsi="宋体" w:cs="宋体"/>
                <w:kern w:val="0"/>
                <w:szCs w:val="21"/>
                <w:lang w:bidi="ar"/>
              </w:rPr>
            </w:pPr>
            <w:r>
              <w:rPr>
                <w:rFonts w:hint="eastAsia" w:ascii="宋体" w:hAnsi="宋体" w:cs="宋体"/>
                <w:kern w:val="0"/>
                <w:szCs w:val="21"/>
                <w:lang w:bidi="ar"/>
              </w:rPr>
              <w:t>▲4.硬盘：配置4个SATA3.0硬盘扩展接口，1个M.2固态硬盘扩展槽位，本次配置1块M.2 512GB PCIE 4.0 NVMe高性能固态硬盘（非早期SATA固态硬盘）；</w:t>
            </w:r>
          </w:p>
          <w:p>
            <w:pPr>
              <w:spacing w:line="288" w:lineRule="auto"/>
              <w:rPr>
                <w:rFonts w:ascii="宋体" w:hAnsi="宋体" w:cs="宋体"/>
                <w:kern w:val="0"/>
                <w:szCs w:val="21"/>
                <w:lang w:bidi="ar"/>
              </w:rPr>
            </w:pPr>
            <w:r>
              <w:rPr>
                <w:rFonts w:hint="eastAsia" w:ascii="宋体" w:hAnsi="宋体" w:cs="宋体"/>
                <w:kern w:val="0"/>
                <w:szCs w:val="21"/>
                <w:lang w:bidi="ar"/>
              </w:rPr>
              <w:t>▲5.显卡：≥2GB专业独显，支持3屏独立显示，单精度浮点算力≥1.5 TFLOPS；</w:t>
            </w:r>
          </w:p>
          <w:p>
            <w:pPr>
              <w:spacing w:line="288" w:lineRule="auto"/>
              <w:rPr>
                <w:rFonts w:ascii="宋体" w:hAnsi="宋体" w:cs="宋体"/>
                <w:kern w:val="0"/>
                <w:szCs w:val="21"/>
                <w:lang w:bidi="ar"/>
              </w:rPr>
            </w:pPr>
            <w:r>
              <w:rPr>
                <w:rFonts w:hint="eastAsia" w:ascii="宋体" w:hAnsi="宋体" w:cs="宋体"/>
                <w:kern w:val="0"/>
                <w:szCs w:val="21"/>
                <w:lang w:bidi="ar"/>
              </w:rPr>
              <w:t>6.显卡性能：配置3个视频接口，主流接口HDMI 2.0，DP1.4，VGA分别不低于1个，满足使用部门不同需求；</w:t>
            </w:r>
          </w:p>
          <w:p>
            <w:pPr>
              <w:spacing w:line="288" w:lineRule="auto"/>
              <w:rPr>
                <w:rFonts w:ascii="宋体" w:hAnsi="宋体" w:cs="宋体"/>
                <w:kern w:val="0"/>
                <w:szCs w:val="21"/>
                <w:lang w:bidi="ar"/>
              </w:rPr>
            </w:pPr>
            <w:r>
              <w:rPr>
                <w:rFonts w:hint="eastAsia" w:ascii="宋体" w:hAnsi="宋体" w:cs="宋体"/>
                <w:kern w:val="0"/>
                <w:szCs w:val="21"/>
                <w:lang w:bidi="ar"/>
              </w:rPr>
              <w:t>7.网卡：集成1000M自适应网卡；</w:t>
            </w:r>
          </w:p>
          <w:p>
            <w:pPr>
              <w:spacing w:line="288" w:lineRule="auto"/>
              <w:rPr>
                <w:rFonts w:ascii="宋体" w:hAnsi="宋体" w:cs="宋体"/>
                <w:kern w:val="0"/>
                <w:szCs w:val="21"/>
                <w:lang w:bidi="ar"/>
              </w:rPr>
            </w:pPr>
            <w:r>
              <w:rPr>
                <w:rFonts w:hint="eastAsia" w:ascii="宋体" w:hAnsi="宋体" w:cs="宋体"/>
                <w:kern w:val="0"/>
                <w:szCs w:val="21"/>
                <w:lang w:bidi="ar"/>
              </w:rPr>
              <w:t>▲8.接口：≥10个USB接口，≥1个串口，2个PCIE3.0*16；</w:t>
            </w:r>
          </w:p>
          <w:p>
            <w:pPr>
              <w:spacing w:line="288" w:lineRule="auto"/>
              <w:rPr>
                <w:rFonts w:ascii="宋体" w:hAnsi="宋体" w:cs="宋体"/>
                <w:kern w:val="0"/>
                <w:szCs w:val="21"/>
                <w:lang w:bidi="ar"/>
              </w:rPr>
            </w:pPr>
            <w:r>
              <w:rPr>
                <w:rFonts w:hint="eastAsia" w:ascii="宋体" w:hAnsi="宋体" w:cs="宋体"/>
                <w:kern w:val="0"/>
                <w:szCs w:val="21"/>
                <w:lang w:bidi="ar"/>
              </w:rPr>
              <w:t>9.电源：≥180W；</w:t>
            </w:r>
          </w:p>
          <w:p>
            <w:pPr>
              <w:spacing w:line="288" w:lineRule="auto"/>
              <w:rPr>
                <w:rFonts w:ascii="宋体" w:hAnsi="宋体" w:cs="宋体"/>
                <w:kern w:val="0"/>
                <w:szCs w:val="21"/>
                <w:lang w:bidi="ar"/>
              </w:rPr>
            </w:pPr>
            <w:r>
              <w:rPr>
                <w:rFonts w:hint="eastAsia" w:ascii="宋体" w:hAnsi="宋体" w:cs="宋体"/>
                <w:kern w:val="0"/>
                <w:szCs w:val="21"/>
                <w:lang w:bidi="ar"/>
              </w:rPr>
              <w:t>10.键盘鼠标：与主机同品牌USB商务键鼠套装；</w:t>
            </w:r>
          </w:p>
          <w:p>
            <w:pPr>
              <w:spacing w:line="288" w:lineRule="auto"/>
              <w:rPr>
                <w:rFonts w:ascii="宋体" w:hAnsi="宋体" w:cs="宋体"/>
                <w:kern w:val="0"/>
                <w:szCs w:val="21"/>
                <w:lang w:bidi="ar"/>
              </w:rPr>
            </w:pPr>
            <w:r>
              <w:rPr>
                <w:rFonts w:hint="eastAsia" w:ascii="宋体" w:hAnsi="宋体" w:cs="宋体"/>
                <w:kern w:val="0"/>
                <w:szCs w:val="21"/>
                <w:lang w:bidi="ar"/>
              </w:rPr>
              <w:t>▲11.配置与主机同品牌显示器：≥23.8"宽屏WLED防眩光低蓝光液晶显示器，分辨率（1920*1080），配置主流HDMI、DP、VGA接口分别不低于1个，满足使用部门不同需求；</w:t>
            </w:r>
          </w:p>
          <w:p>
            <w:pPr>
              <w:pStyle w:val="3"/>
              <w:rPr>
                <w:rFonts w:ascii="宋体" w:hAnsi="宋体" w:cs="宋体"/>
                <w:sz w:val="21"/>
                <w:szCs w:val="21"/>
                <w:lang w:bidi="ar"/>
              </w:rPr>
            </w:pPr>
            <w:r>
              <w:rPr>
                <w:rFonts w:hint="eastAsia" w:ascii="宋体" w:hAnsi="宋体" w:cs="宋体"/>
                <w:sz w:val="21"/>
                <w:szCs w:val="21"/>
                <w:lang w:bidi="ar"/>
              </w:rPr>
              <w:t>★12.显示器性能：刷新率≥100HZ，亮度≥300尼特，对比度≥3000：1,色域≥99%sRGB；</w:t>
            </w:r>
          </w:p>
          <w:p>
            <w:pPr>
              <w:spacing w:line="288" w:lineRule="auto"/>
              <w:rPr>
                <w:rFonts w:ascii="宋体" w:hAnsi="宋体" w:cs="宋体"/>
                <w:kern w:val="0"/>
                <w:szCs w:val="21"/>
                <w:lang w:bidi="ar"/>
              </w:rPr>
            </w:pPr>
            <w:r>
              <w:rPr>
                <w:rFonts w:hint="eastAsia" w:ascii="宋体" w:hAnsi="宋体" w:cs="宋体"/>
                <w:kern w:val="0"/>
                <w:szCs w:val="21"/>
                <w:lang w:bidi="ar"/>
              </w:rPr>
              <w:t>▲13.机箱：≤10L，机箱正面配置可拆卸防尘面板；</w:t>
            </w:r>
          </w:p>
          <w:p>
            <w:pPr>
              <w:spacing w:line="288" w:lineRule="auto"/>
              <w:rPr>
                <w:rFonts w:ascii="宋体" w:hAnsi="宋体" w:cs="宋体"/>
                <w:kern w:val="0"/>
                <w:szCs w:val="21"/>
                <w:lang w:bidi="ar"/>
              </w:rPr>
            </w:pPr>
            <w:r>
              <w:rPr>
                <w:rFonts w:hint="eastAsia" w:ascii="宋体" w:hAnsi="宋体" w:cs="宋体"/>
                <w:kern w:val="0"/>
                <w:szCs w:val="21"/>
                <w:lang w:bidi="ar"/>
              </w:rPr>
              <w:t>★14.整机基础规格：产品工作在空闲状态下，产品的声功率级≤4.5Bel；</w:t>
            </w:r>
          </w:p>
          <w:p>
            <w:pPr>
              <w:spacing w:line="288" w:lineRule="auto"/>
              <w:rPr>
                <w:rFonts w:ascii="宋体" w:hAnsi="宋体" w:cs="宋体"/>
                <w:kern w:val="0"/>
                <w:szCs w:val="21"/>
                <w:lang w:bidi="ar"/>
              </w:rPr>
            </w:pPr>
            <w:r>
              <w:rPr>
                <w:rFonts w:hint="eastAsia" w:ascii="宋体" w:hAnsi="宋体" w:cs="宋体"/>
                <w:kern w:val="0"/>
                <w:szCs w:val="21"/>
                <w:lang w:bidi="ar"/>
              </w:rPr>
              <w:t>15.操作系统：</w:t>
            </w:r>
          </w:p>
          <w:p>
            <w:pPr>
              <w:spacing w:line="288" w:lineRule="auto"/>
              <w:rPr>
                <w:rFonts w:ascii="宋体" w:hAnsi="宋体" w:cs="宋体"/>
                <w:kern w:val="0"/>
                <w:szCs w:val="21"/>
                <w:lang w:bidi="ar"/>
              </w:rPr>
            </w:pPr>
            <w:r>
              <w:rPr>
                <w:rFonts w:hint="eastAsia" w:ascii="宋体" w:hAnsi="宋体" w:cs="宋体"/>
                <w:kern w:val="0"/>
                <w:szCs w:val="21"/>
                <w:lang w:bidi="ar"/>
              </w:rPr>
              <w:t>▲（1）操作系统符合安全可靠测评要求（通过政府有关部门指定的中国信息安全测评中心或国家保密科技测评中心网站查看安全可靠测评结果）；</w:t>
            </w:r>
          </w:p>
          <w:p>
            <w:pPr>
              <w:spacing w:line="288" w:lineRule="auto"/>
              <w:rPr>
                <w:rFonts w:ascii="宋体" w:hAnsi="宋体" w:cs="宋体"/>
                <w:kern w:val="0"/>
                <w:szCs w:val="21"/>
                <w:lang w:bidi="ar"/>
              </w:rPr>
            </w:pPr>
            <w:r>
              <w:rPr>
                <w:rFonts w:hint="eastAsia" w:ascii="宋体" w:hAnsi="宋体" w:cs="宋体"/>
                <w:kern w:val="0"/>
                <w:szCs w:val="21"/>
                <w:lang w:bidi="ar"/>
              </w:rPr>
              <w:t>（2）配置WINDOWS原生软件运行平台，不接受虚拟机、应用虚拟化的方式直接安装运行原有WINDOWS教学软件（如学校OA、考试平台等）；</w:t>
            </w:r>
          </w:p>
          <w:p>
            <w:pPr>
              <w:spacing w:line="288" w:lineRule="auto"/>
              <w:rPr>
                <w:rFonts w:ascii="宋体" w:hAnsi="宋体" w:cs="宋体"/>
                <w:kern w:val="0"/>
                <w:szCs w:val="21"/>
                <w:lang w:bidi="ar"/>
              </w:rPr>
            </w:pPr>
            <w:r>
              <w:rPr>
                <w:rFonts w:hint="eastAsia" w:ascii="宋体" w:hAnsi="宋体" w:cs="宋体"/>
                <w:kern w:val="0"/>
                <w:szCs w:val="21"/>
                <w:lang w:bidi="ar"/>
              </w:rPr>
              <w:t>（3）要求浏览器兼容IE网页,配置双核浏览器，要求浏览器支持在线视频硬解码，生成网址二维码；</w:t>
            </w:r>
          </w:p>
          <w:p>
            <w:pPr>
              <w:spacing w:line="288" w:lineRule="auto"/>
              <w:rPr>
                <w:rFonts w:ascii="宋体" w:hAnsi="宋体" w:cs="宋体"/>
                <w:kern w:val="0"/>
                <w:szCs w:val="21"/>
                <w:lang w:bidi="ar"/>
              </w:rPr>
            </w:pPr>
            <w:r>
              <w:rPr>
                <w:rFonts w:hint="eastAsia" w:ascii="宋体" w:hAnsi="宋体" w:cs="宋体"/>
                <w:kern w:val="0"/>
                <w:szCs w:val="21"/>
                <w:lang w:bidi="ar"/>
              </w:rPr>
              <w:t>（4）配置安全中心和防火墙，提供系统体检、外设管控、程序管控、垃圾清理、数据粉碎、外联控制等功能；</w:t>
            </w:r>
          </w:p>
          <w:p>
            <w:pPr>
              <w:spacing w:line="288" w:lineRule="auto"/>
              <w:rPr>
                <w:rFonts w:ascii="宋体" w:hAnsi="宋体" w:cs="宋体"/>
                <w:kern w:val="0"/>
                <w:szCs w:val="21"/>
                <w:lang w:bidi="ar"/>
              </w:rPr>
            </w:pPr>
            <w:r>
              <w:rPr>
                <w:rFonts w:hint="eastAsia" w:ascii="宋体" w:hAnsi="宋体" w:cs="宋体"/>
                <w:kern w:val="0"/>
                <w:szCs w:val="21"/>
                <w:lang w:bidi="ar"/>
              </w:rPr>
              <w:t>（5）配置系统工具，提供磁盘管理、字体管理器、文件管理器、系统监视器、设备管理器、软件中心、生物特征管理、云账号、安全中心、虚拟终端、备份还原工具、添加/删除程序等模块功能；</w:t>
            </w:r>
          </w:p>
          <w:p>
            <w:pPr>
              <w:spacing w:line="288" w:lineRule="auto"/>
              <w:rPr>
                <w:rFonts w:ascii="宋体" w:hAnsi="宋体" w:cs="宋体"/>
                <w:kern w:val="0"/>
                <w:szCs w:val="21"/>
                <w:lang w:bidi="ar"/>
              </w:rPr>
            </w:pPr>
            <w:r>
              <w:rPr>
                <w:rFonts w:hint="eastAsia" w:ascii="宋体" w:hAnsi="宋体" w:cs="宋体"/>
                <w:kern w:val="0"/>
                <w:szCs w:val="21"/>
                <w:lang w:bidi="ar"/>
              </w:rPr>
              <w:t>（6）配置应用下载平台，要求覆盖办公、图形、影音、开发、网络等常用软件，具备应用搜索、一键安装、在线更新、一键卸载等功能；提供驱动专区，用户可通过搜索外设型号找到对应驱动进行下载安装；要求对常用设计软件兼容能力支撑（如：3ds Max、PhotoShop、AutoCAD等）；</w:t>
            </w:r>
          </w:p>
          <w:p>
            <w:pPr>
              <w:pStyle w:val="3"/>
              <w:rPr>
                <w:rFonts w:ascii="宋体" w:hAnsi="宋体" w:cs="宋体"/>
                <w:kern w:val="0"/>
                <w:sz w:val="21"/>
                <w:szCs w:val="21"/>
                <w:lang w:bidi="ar"/>
              </w:rPr>
            </w:pPr>
            <w:r>
              <w:rPr>
                <w:rFonts w:hint="eastAsia" w:ascii="宋体" w:hAnsi="宋体" w:cs="宋体"/>
                <w:kern w:val="0"/>
                <w:sz w:val="21"/>
                <w:szCs w:val="21"/>
                <w:lang w:bidi="ar"/>
              </w:rPr>
              <w:t>（7）配置电子文档共享平台，提升师生协同效率；</w:t>
            </w:r>
          </w:p>
          <w:p>
            <w:pPr>
              <w:pStyle w:val="3"/>
              <w:rPr>
                <w:rFonts w:ascii="宋体" w:hAnsi="宋体" w:cs="宋体"/>
                <w:kern w:val="0"/>
                <w:sz w:val="21"/>
                <w:szCs w:val="21"/>
                <w:lang w:bidi="ar"/>
              </w:rPr>
            </w:pPr>
            <w:r>
              <w:rPr>
                <w:rFonts w:hint="eastAsia" w:ascii="宋体" w:hAnsi="宋体" w:cs="宋体"/>
                <w:kern w:val="0"/>
                <w:sz w:val="21"/>
                <w:szCs w:val="21"/>
                <w:lang w:bidi="ar"/>
              </w:rPr>
              <w:t>●</w:t>
            </w:r>
            <w:r>
              <w:rPr>
                <w:rFonts w:hint="eastAsia" w:ascii="宋体" w:hAnsi="宋体" w:cs="宋体"/>
                <w:sz w:val="21"/>
                <w:szCs w:val="21"/>
                <w:lang w:bidi="ar"/>
              </w:rPr>
              <w:t>（8）系统浏览器配置绿色上网插件，提供拦截模式开关，可对垃圾广告、不良内容、隐私内容等进行拦截，并提供拦截报告；</w:t>
            </w:r>
            <w:r>
              <w:rPr>
                <w:rFonts w:hint="eastAsia" w:ascii="宋体" w:hAnsi="宋体" w:cs="宋体"/>
                <w:kern w:val="0"/>
                <w:sz w:val="21"/>
                <w:szCs w:val="21"/>
                <w:lang w:bidi="ar"/>
              </w:rPr>
              <w:t>（如有，提供功能界面截图）</w:t>
            </w:r>
          </w:p>
          <w:p>
            <w:pPr>
              <w:spacing w:line="288" w:lineRule="auto"/>
              <w:rPr>
                <w:rFonts w:ascii="宋体" w:hAnsi="宋体" w:cs="宋体"/>
                <w:kern w:val="0"/>
                <w:szCs w:val="21"/>
                <w:lang w:bidi="ar"/>
              </w:rPr>
            </w:pPr>
            <w:r>
              <w:rPr>
                <w:rFonts w:hint="eastAsia" w:ascii="宋体" w:hAnsi="宋体" w:cs="宋体"/>
                <w:kern w:val="0"/>
                <w:szCs w:val="21"/>
                <w:lang w:bidi="ar"/>
              </w:rPr>
              <w:t>●（9）系统浏览器配置护眼模式插件，可对护眼色温进行调节；（如有，提供功能界面截图和插件软件著作权证书）</w:t>
            </w:r>
          </w:p>
          <w:p>
            <w:pPr>
              <w:spacing w:line="288" w:lineRule="auto"/>
              <w:rPr>
                <w:rFonts w:ascii="宋体" w:hAnsi="宋体" w:cs="宋体"/>
                <w:kern w:val="0"/>
                <w:szCs w:val="21"/>
                <w:lang w:bidi="ar"/>
              </w:rPr>
            </w:pPr>
            <w:r>
              <w:rPr>
                <w:rFonts w:hint="eastAsia" w:ascii="宋体" w:hAnsi="宋体" w:cs="宋体"/>
                <w:kern w:val="0"/>
                <w:szCs w:val="21"/>
                <w:lang w:bidi="ar"/>
              </w:rPr>
              <w:t>（10）系统安全：支持SElinux、AppArmor等强制访问机制；支持可信计算TCM/TPCM、TPM2.0；内置国密算法，预置国密根证书；提供支持指纹、指静脉、虹膜和声纹、掌纹等多种生物特征的认证；</w:t>
            </w:r>
          </w:p>
          <w:p>
            <w:pPr>
              <w:spacing w:line="288" w:lineRule="auto"/>
              <w:rPr>
                <w:rFonts w:ascii="宋体" w:hAnsi="宋体" w:cs="宋体"/>
                <w:kern w:val="0"/>
                <w:szCs w:val="21"/>
                <w:lang w:bidi="ar"/>
              </w:rPr>
            </w:pPr>
            <w:r>
              <w:rPr>
                <w:rFonts w:hint="eastAsia" w:ascii="宋体" w:hAnsi="宋体" w:cs="宋体"/>
                <w:kern w:val="0"/>
                <w:szCs w:val="21"/>
                <w:lang w:bidi="ar"/>
              </w:rPr>
              <w:t>16.配置教学管理功能：</w:t>
            </w:r>
          </w:p>
          <w:p>
            <w:pPr>
              <w:spacing w:line="288" w:lineRule="auto"/>
              <w:rPr>
                <w:rFonts w:ascii="宋体" w:hAnsi="宋体" w:cs="宋体"/>
                <w:kern w:val="0"/>
                <w:szCs w:val="21"/>
                <w:lang w:bidi="ar"/>
              </w:rPr>
            </w:pPr>
            <w:r>
              <w:rPr>
                <w:rFonts w:hint="eastAsia" w:ascii="宋体" w:hAnsi="宋体" w:cs="宋体"/>
                <w:kern w:val="0"/>
                <w:szCs w:val="21"/>
                <w:lang w:bidi="ar"/>
              </w:rPr>
              <w:t>(1)系统须同时兼容Legacy传统模式与UEFI模式两种硬件平台，同一引导盘无需针对不同机型单独制作不同格式，即可自动适配新老机型启动安装。</w:t>
            </w:r>
          </w:p>
          <w:p>
            <w:pPr>
              <w:spacing w:line="288" w:lineRule="auto"/>
              <w:rPr>
                <w:rFonts w:ascii="宋体" w:hAnsi="宋体" w:cs="宋体"/>
                <w:kern w:val="0"/>
                <w:szCs w:val="21"/>
                <w:lang w:bidi="ar"/>
              </w:rPr>
            </w:pPr>
            <w:r>
              <w:rPr>
                <w:rFonts w:hint="eastAsia" w:ascii="宋体" w:hAnsi="宋体" w:cs="宋体"/>
                <w:kern w:val="0"/>
                <w:szCs w:val="21"/>
                <w:lang w:bidi="ar"/>
              </w:rPr>
              <w:t>(2)系统须支持PXE网络启动方式批量安装终端底层系统，采用选座式配置模式，管理员预设学生座位号对应的配置文件后，终端按座号自动拉取配置完成全自动化安装，支持多台终端同时部署且不依赖于学生机的启动顺序，PXE服务端须以局域网内任意一台已安装系统的终端承担，无需额外配置专用服务器。</w:t>
            </w:r>
          </w:p>
          <w:p>
            <w:pPr>
              <w:spacing w:line="288" w:lineRule="auto"/>
              <w:rPr>
                <w:rFonts w:ascii="宋体" w:hAnsi="宋体" w:cs="宋体"/>
                <w:kern w:val="0"/>
                <w:szCs w:val="21"/>
                <w:lang w:bidi="ar"/>
              </w:rPr>
            </w:pPr>
            <w:r>
              <w:rPr>
                <w:rFonts w:hint="eastAsia" w:ascii="宋体" w:hAnsi="宋体" w:cs="宋体"/>
                <w:kern w:val="0"/>
                <w:szCs w:val="21"/>
                <w:lang w:bidi="ar"/>
              </w:rPr>
              <w:t>(3)为保障考试及重要教学活动的设备稳定性，系统须支持考试模式，开启后终端所有桌面自动新建增量更新点并临时变为持久不还原状态，确保考试数据完整保存；关闭考试模式后系统自动删除考试期间新建的更新点，清空所有考试留存数据，所有桌面自动恢复原有还原属性，无需重新同传即可完成考场环境重置。</w:t>
            </w:r>
          </w:p>
          <w:p>
            <w:pPr>
              <w:spacing w:line="288" w:lineRule="auto"/>
              <w:rPr>
                <w:rFonts w:ascii="宋体" w:hAnsi="宋体" w:cs="宋体"/>
                <w:kern w:val="0"/>
                <w:szCs w:val="21"/>
                <w:lang w:bidi="ar"/>
              </w:rPr>
            </w:pPr>
            <w:r>
              <w:rPr>
                <w:rFonts w:hint="eastAsia" w:ascii="宋体" w:hAnsi="宋体" w:cs="宋体"/>
                <w:kern w:val="0"/>
                <w:szCs w:val="21"/>
                <w:lang w:bidi="ar"/>
              </w:rPr>
              <w:t>(4)系统须支持终端日志的导出与自动上传双模式：选中异常终端后可导出日志文件供本地分析，也可一键上传至公网日志服务器供技术支持人员远程获取，无需人工拷贝日志文件。</w:t>
            </w:r>
          </w:p>
          <w:p>
            <w:pPr>
              <w:spacing w:line="288" w:lineRule="auto"/>
              <w:rPr>
                <w:rFonts w:ascii="宋体" w:hAnsi="宋体" w:cs="宋体"/>
                <w:kern w:val="0"/>
                <w:szCs w:val="21"/>
                <w:lang w:bidi="ar"/>
              </w:rPr>
            </w:pPr>
            <w:r>
              <w:rPr>
                <w:rFonts w:hint="eastAsia" w:ascii="宋体" w:hAnsi="宋体" w:cs="宋体"/>
                <w:kern w:val="0"/>
                <w:szCs w:val="21"/>
                <w:lang w:bidi="ar"/>
              </w:rPr>
              <w:t>(5)系统须支持管理员操作日志全程记录功能，所有管理端的操作行为（含终端管理、模板编辑、同传任务、终端配置变更等）均自动生成日志并本地保存，便于运维事后审计、故障回溯与合规审查。</w:t>
            </w:r>
          </w:p>
          <w:p>
            <w:pPr>
              <w:spacing w:line="288" w:lineRule="auto"/>
              <w:rPr>
                <w:rFonts w:ascii="宋体" w:hAnsi="宋体" w:cs="宋体"/>
                <w:kern w:val="0"/>
                <w:szCs w:val="21"/>
                <w:lang w:bidi="ar"/>
              </w:rPr>
            </w:pPr>
            <w:r>
              <w:rPr>
                <w:rFonts w:hint="eastAsia" w:ascii="宋体" w:hAnsi="宋体" w:cs="宋体"/>
                <w:kern w:val="0"/>
                <w:szCs w:val="21"/>
                <w:lang w:bidi="ar"/>
              </w:rPr>
              <w:t>(6)系统须支持对主流操作系统的还原属性进行设置，可分别为系统盘与数据盘配置不同的还原策略，包括每次还原、每日还原、每周还原、每月还原及不还原。</w:t>
            </w:r>
          </w:p>
          <w:p>
            <w:pPr>
              <w:spacing w:line="288" w:lineRule="auto"/>
              <w:rPr>
                <w:rFonts w:ascii="宋体" w:hAnsi="宋体" w:cs="宋体"/>
                <w:kern w:val="0"/>
                <w:szCs w:val="21"/>
                <w:lang w:bidi="ar"/>
              </w:rPr>
            </w:pPr>
            <w:r>
              <w:rPr>
                <w:rFonts w:hint="eastAsia" w:ascii="宋体" w:hAnsi="宋体" w:cs="宋体"/>
                <w:kern w:val="0"/>
                <w:szCs w:val="21"/>
                <w:lang w:bidi="ar"/>
              </w:rPr>
              <w:t>(7)系统须支持模板增量更新机制，开启编辑时可选择“创建新的增量更新点”进行软件安装与配置修改，支持更新点的合并、删除及备注功能，当因新增软件导致系统损坏时可快速回退至上一正常状态。</w:t>
            </w:r>
          </w:p>
          <w:p>
            <w:pPr>
              <w:spacing w:line="288" w:lineRule="auto"/>
              <w:rPr>
                <w:rFonts w:ascii="宋体" w:hAnsi="宋体" w:cs="宋体"/>
                <w:kern w:val="0"/>
                <w:szCs w:val="21"/>
                <w:lang w:bidi="ar"/>
              </w:rPr>
            </w:pPr>
            <w:r>
              <w:rPr>
                <w:rFonts w:hint="eastAsia" w:ascii="宋体" w:hAnsi="宋体" w:cs="宋体"/>
                <w:kern w:val="0"/>
                <w:szCs w:val="21"/>
                <w:lang w:bidi="ar"/>
              </w:rPr>
              <w:t>(8)系统须支持模板编辑完成后一键关闭编辑状态，关闭后模板进入锁定保护模式禁止任何修改，防止运维人员误操作更改标准教学环境。</w:t>
            </w:r>
          </w:p>
          <w:p>
            <w:pPr>
              <w:spacing w:line="288" w:lineRule="auto"/>
              <w:rPr>
                <w:rFonts w:ascii="宋体" w:hAnsi="宋体" w:cs="宋体"/>
                <w:kern w:val="0"/>
                <w:szCs w:val="21"/>
                <w:lang w:bidi="ar"/>
              </w:rPr>
            </w:pPr>
            <w:r>
              <w:rPr>
                <w:rFonts w:hint="eastAsia" w:ascii="宋体" w:hAnsi="宋体" w:cs="宋体"/>
                <w:kern w:val="0"/>
                <w:szCs w:val="21"/>
                <w:lang w:bidi="ar"/>
              </w:rPr>
              <w:t>(9)系统须支持对已有镜像进行磁盘在线扩容，扩容过程中无需重做系统，扩容完成后操作系统盘容量即时生效，满足教学软件不断增长的空间需求。</w:t>
            </w:r>
          </w:p>
          <w:p>
            <w:pPr>
              <w:spacing w:line="288" w:lineRule="auto"/>
              <w:rPr>
                <w:rFonts w:ascii="宋体" w:hAnsi="宋体" w:cs="宋体"/>
                <w:kern w:val="0"/>
                <w:szCs w:val="21"/>
                <w:lang w:bidi="ar"/>
              </w:rPr>
            </w:pPr>
            <w:r>
              <w:rPr>
                <w:rFonts w:hint="eastAsia" w:ascii="宋体" w:hAnsi="宋体" w:cs="宋体"/>
                <w:kern w:val="0"/>
                <w:szCs w:val="21"/>
                <w:lang w:bidi="ar"/>
              </w:rPr>
              <w:t>(10)系统须支持模板克隆功能，可利用现有模板复制多个副本，克隆后的模板可独立配置、下发和管理，用于容灾备份或同一模板派生多套差异化系统。</w:t>
            </w:r>
          </w:p>
          <w:p>
            <w:pPr>
              <w:spacing w:line="288" w:lineRule="auto"/>
              <w:rPr>
                <w:rFonts w:ascii="宋体" w:hAnsi="宋体" w:cs="宋体"/>
                <w:kern w:val="0"/>
                <w:szCs w:val="21"/>
                <w:lang w:bidi="ar"/>
              </w:rPr>
            </w:pPr>
            <w:r>
              <w:rPr>
                <w:rFonts w:hint="eastAsia" w:ascii="宋体" w:hAnsi="宋体" w:cs="宋体"/>
                <w:kern w:val="0"/>
                <w:szCs w:val="21"/>
                <w:lang w:bidi="ar"/>
              </w:rPr>
              <w:t>(11)系统须支持数据盘同传功能，同传操作须同步传输数据盘的数据内容、还原属性及所属桌面属性，确保所有终端的数据盘配置与环境完全一致。</w:t>
            </w:r>
          </w:p>
          <w:p>
            <w:pPr>
              <w:spacing w:line="288" w:lineRule="auto"/>
              <w:rPr>
                <w:rFonts w:ascii="宋体" w:hAnsi="宋体" w:cs="宋体"/>
                <w:kern w:val="0"/>
                <w:szCs w:val="21"/>
                <w:lang w:bidi="ar"/>
              </w:rPr>
            </w:pPr>
            <w:r>
              <w:rPr>
                <w:rFonts w:hint="eastAsia" w:ascii="宋体" w:hAnsi="宋体" w:cs="宋体"/>
                <w:kern w:val="0"/>
                <w:szCs w:val="21"/>
                <w:lang w:bidi="ar"/>
              </w:rPr>
              <w:t>(12)系统须支持同传任务的中止与恢复功能，当镜像下发过程中发现错误或遗漏软件时，管理员可随时中止下发任务，修正后重新下发，避免无效等待和重复操作。</w:t>
            </w:r>
          </w:p>
          <w:p>
            <w:pPr>
              <w:spacing w:line="288" w:lineRule="auto"/>
              <w:rPr>
                <w:rFonts w:ascii="宋体" w:hAnsi="宋体" w:cs="宋体"/>
                <w:kern w:val="0"/>
                <w:szCs w:val="21"/>
                <w:lang w:bidi="ar"/>
              </w:rPr>
            </w:pPr>
            <w:r>
              <w:rPr>
                <w:rFonts w:hint="eastAsia" w:ascii="宋体" w:hAnsi="宋体" w:cs="宋体"/>
                <w:kern w:val="0"/>
                <w:szCs w:val="21"/>
                <w:lang w:bidi="ar"/>
              </w:rPr>
              <w:t>(13)系统须支持多硬盘自动识别与管理，管理员可直观查看终端所有物理硬盘的使用情况，无需手动配置即可识别并管理多块硬盘。</w:t>
            </w:r>
          </w:p>
          <w:p>
            <w:pPr>
              <w:spacing w:line="288" w:lineRule="auto"/>
              <w:rPr>
                <w:rFonts w:ascii="宋体" w:hAnsi="宋体" w:cs="宋体"/>
                <w:kern w:val="0"/>
                <w:szCs w:val="21"/>
                <w:lang w:bidi="ar"/>
              </w:rPr>
            </w:pPr>
            <w:r>
              <w:rPr>
                <w:rFonts w:hint="eastAsia" w:ascii="宋体" w:hAnsi="宋体" w:cs="宋体"/>
                <w:kern w:val="0"/>
                <w:szCs w:val="21"/>
                <w:lang w:bidi="ar"/>
              </w:rPr>
              <w:t>(14)系统须支持终端编号与计算机名的双向自动同步：底层设置的终端编号须自动同步显示在云桌面背景右上角，实现物理位置与系统显示的对应；底层设置的计算机名须自动同步修改操作系统的计算机名，保持底层与上层系统命名一致性，便于网络环境中的设备识别与管理。</w:t>
            </w:r>
          </w:p>
          <w:p>
            <w:pPr>
              <w:spacing w:line="288" w:lineRule="auto"/>
              <w:rPr>
                <w:rFonts w:ascii="宋体" w:hAnsi="宋体" w:cs="宋体"/>
                <w:kern w:val="0"/>
                <w:szCs w:val="21"/>
                <w:lang w:bidi="ar"/>
              </w:rPr>
            </w:pPr>
            <w:r>
              <w:rPr>
                <w:rFonts w:hint="eastAsia" w:ascii="宋体" w:hAnsi="宋体" w:cs="宋体"/>
                <w:kern w:val="0"/>
                <w:szCs w:val="21"/>
                <w:lang w:bidi="ar"/>
              </w:rPr>
              <w:t>(15)系统须支持管理频道隔离机制，同一物理网段下多个室可通过设置不同管理频道号进行逻辑隔离，确保各教室终端仅接受本教室管理端的管控指令，避免跨教室干扰与误操作。</w:t>
            </w:r>
          </w:p>
          <w:p>
            <w:pPr>
              <w:spacing w:line="288" w:lineRule="auto"/>
              <w:rPr>
                <w:rFonts w:ascii="宋体" w:hAnsi="宋体" w:cs="宋体"/>
                <w:kern w:val="0"/>
                <w:szCs w:val="21"/>
                <w:lang w:bidi="ar"/>
              </w:rPr>
            </w:pPr>
            <w:r>
              <w:rPr>
                <w:rFonts w:hint="eastAsia" w:ascii="宋体" w:hAnsi="宋体" w:cs="宋体"/>
                <w:kern w:val="0"/>
                <w:szCs w:val="21"/>
                <w:lang w:bidi="ar"/>
              </w:rPr>
              <w:t>(16)系统须支持对选中的云终端执行“进入维护模式”操作，可将终端自动切换至层维护系统界面，便于管理员进行底层配置修改与系统故障排查，无需现场逐台手动操作。</w:t>
            </w:r>
          </w:p>
          <w:p>
            <w:pPr>
              <w:spacing w:line="288" w:lineRule="auto"/>
              <w:rPr>
                <w:rFonts w:ascii="宋体" w:hAnsi="宋体" w:cs="宋体"/>
                <w:kern w:val="0"/>
                <w:szCs w:val="21"/>
                <w:lang w:bidi="ar"/>
              </w:rPr>
            </w:pPr>
            <w:r>
              <w:rPr>
                <w:rFonts w:hint="eastAsia" w:ascii="宋体" w:hAnsi="宋体" w:cs="宋体"/>
                <w:kern w:val="0"/>
                <w:szCs w:val="21"/>
                <w:lang w:bidi="ar"/>
              </w:rPr>
              <w:t>(17)系统须支持在局域网主网络故障或管理端离线等异常状态下，教室内任意一台学生终端仍可开启本地运维权限，完成模板优化、单机巡检、系统还原等核心运维操作，确保基础运维工作不因网络故障而中断。</w:t>
            </w:r>
          </w:p>
          <w:p>
            <w:pPr>
              <w:spacing w:line="288" w:lineRule="auto"/>
              <w:rPr>
                <w:rFonts w:ascii="宋体" w:hAnsi="宋体" w:cs="宋体"/>
                <w:kern w:val="0"/>
                <w:szCs w:val="21"/>
                <w:lang w:bidi="ar"/>
              </w:rPr>
            </w:pPr>
            <w:r>
              <w:rPr>
                <w:rFonts w:hint="eastAsia" w:ascii="宋体" w:hAnsi="宋体" w:cs="宋体"/>
                <w:kern w:val="0"/>
                <w:szCs w:val="21"/>
                <w:lang w:bidi="ar"/>
              </w:rPr>
              <w:t>(18)系统须支持终端底层界面中英文等多语言切换功能，可一键切换为简体中文或英文显示，适配不同语言背景的管理人员操作需求。</w:t>
            </w:r>
          </w:p>
          <w:p>
            <w:pPr>
              <w:spacing w:line="288" w:lineRule="auto"/>
              <w:rPr>
                <w:rFonts w:ascii="宋体" w:hAnsi="宋体" w:cs="宋体"/>
                <w:kern w:val="0"/>
                <w:szCs w:val="21"/>
                <w:lang w:bidi="ar"/>
              </w:rPr>
            </w:pPr>
            <w:r>
              <w:rPr>
                <w:rFonts w:hint="eastAsia" w:ascii="宋体" w:hAnsi="宋体" w:cs="宋体"/>
                <w:kern w:val="0"/>
                <w:szCs w:val="21"/>
                <w:lang w:bidi="ar"/>
              </w:rPr>
              <w:t>(19)系统须支持启动项扫描分析功能，可列表展示系统所有开机自启动项，包含启动项名称、状态、类型、路径等完整信息，支持按类型筛选、按字段排序及导出为文件，便于管理员全面掌握终端开机加载状态，辅助定位系统启动慢等问题。</w:t>
            </w:r>
          </w:p>
          <w:p>
            <w:pPr>
              <w:spacing w:line="288" w:lineRule="auto"/>
              <w:rPr>
                <w:rFonts w:ascii="宋体" w:hAnsi="宋体" w:cs="宋体"/>
                <w:kern w:val="0"/>
                <w:szCs w:val="21"/>
                <w:lang w:bidi="ar"/>
              </w:rPr>
            </w:pPr>
            <w:r>
              <w:rPr>
                <w:rFonts w:hint="eastAsia" w:ascii="宋体" w:hAnsi="宋体" w:cs="宋体"/>
                <w:kern w:val="0"/>
                <w:szCs w:val="21"/>
                <w:lang w:bidi="ar"/>
              </w:rPr>
              <w:t>(20)系统须支持硬件配置总览功能，可一键查看终端CPU型号及核心数、内存总容量及插槽分布、硬盘型号及容量、显卡型号、网卡MAC地址等完整硬件信息，无需进入设备管理器或系统属性逐级翻找，有效提升资产盘点与故障报修时的信息获取效率。</w:t>
            </w:r>
          </w:p>
          <w:p>
            <w:pPr>
              <w:spacing w:line="288" w:lineRule="auto"/>
              <w:rPr>
                <w:rFonts w:ascii="宋体" w:hAnsi="宋体" w:cs="宋体"/>
                <w:kern w:val="0"/>
                <w:szCs w:val="21"/>
                <w:lang w:bidi="ar"/>
              </w:rPr>
            </w:pPr>
            <w:r>
              <w:rPr>
                <w:rFonts w:hint="eastAsia" w:ascii="宋体" w:hAnsi="宋体" w:cs="宋体"/>
                <w:kern w:val="0"/>
                <w:szCs w:val="21"/>
                <w:lang w:bidi="ar"/>
              </w:rPr>
              <w:t>(21)系统须支持已卸载软件残留扫描功能，可自动识别并展示已卸载软件残留的注册表项、目录及配置文件，按软件名称分组归集展示残留类型、路径、大小，支持导出为文件。本功能仅提供信息展示，不执行任何删除操作，确保系统安全。</w:t>
            </w:r>
          </w:p>
          <w:p>
            <w:pPr>
              <w:spacing w:line="288" w:lineRule="auto"/>
              <w:rPr>
                <w:rFonts w:ascii="宋体" w:hAnsi="宋体" w:cs="宋体"/>
                <w:kern w:val="0"/>
                <w:szCs w:val="21"/>
                <w:lang w:bidi="ar"/>
              </w:rPr>
            </w:pPr>
            <w:r>
              <w:rPr>
                <w:rFonts w:hint="eastAsia" w:ascii="宋体" w:hAnsi="宋体" w:cs="宋体"/>
                <w:kern w:val="0"/>
                <w:szCs w:val="21"/>
                <w:lang w:bidi="ar"/>
              </w:rPr>
              <w:t>17.学校现有教学软件适配服务，由此产生的费用已包含在投标总价中，采购人不再另行支付：</w:t>
            </w:r>
          </w:p>
          <w:p>
            <w:pPr>
              <w:spacing w:line="288" w:lineRule="auto"/>
              <w:rPr>
                <w:rFonts w:ascii="宋体" w:hAnsi="宋体" w:cs="宋体"/>
                <w:kern w:val="0"/>
                <w:szCs w:val="21"/>
                <w:lang w:bidi="ar"/>
              </w:rPr>
            </w:pPr>
            <w:r>
              <w:rPr>
                <w:rFonts w:hint="eastAsia" w:ascii="宋体" w:hAnsi="宋体" w:cs="宋体"/>
                <w:kern w:val="0"/>
                <w:szCs w:val="21"/>
                <w:lang w:bidi="ar"/>
              </w:rPr>
              <w:t>▲中标人提供学校现有基于Windows7、Windows10、Windows11操作系统平台的教学软件（学校OA、考试平台等）的适配和安装服务，不接受以虚拟机形式适配和安装服务。保障学校现有软件能在主机上正常运行，由此产生的费用已包含在本次投标总价中，采购人不再另行支付。</w:t>
            </w:r>
          </w:p>
          <w:p>
            <w:pPr>
              <w:spacing w:line="288" w:lineRule="auto"/>
              <w:rPr>
                <w:rFonts w:ascii="宋体" w:hAnsi="宋体" w:cs="宋体"/>
                <w:kern w:val="0"/>
                <w:szCs w:val="21"/>
                <w:lang w:bidi="ar"/>
              </w:rPr>
            </w:pPr>
            <w:r>
              <w:rPr>
                <w:rFonts w:hint="eastAsia" w:ascii="宋体" w:hAnsi="宋体" w:cs="宋体"/>
                <w:kern w:val="0"/>
                <w:szCs w:val="21"/>
                <w:lang w:bidi="ar"/>
              </w:rPr>
              <w:t>(1)全面兼容Wintel生态软件应用、业务系统、Usb/串口/并口等外设；</w:t>
            </w:r>
          </w:p>
          <w:p>
            <w:pPr>
              <w:spacing w:line="288" w:lineRule="auto"/>
              <w:rPr>
                <w:rFonts w:ascii="宋体" w:hAnsi="宋体" w:cs="宋体"/>
                <w:kern w:val="0"/>
                <w:szCs w:val="21"/>
                <w:lang w:bidi="ar"/>
              </w:rPr>
            </w:pPr>
            <w:r>
              <w:rPr>
                <w:rFonts w:hint="eastAsia" w:ascii="宋体" w:hAnsi="宋体" w:cs="宋体"/>
                <w:kern w:val="0"/>
                <w:szCs w:val="21"/>
                <w:lang w:bidi="ar"/>
              </w:rPr>
              <w:t>(2)支持目前主流的国产CPU架构：ARM 架构 （飞腾、麒麟）、C86架构（兆芯、海光）；</w:t>
            </w:r>
          </w:p>
          <w:p>
            <w:pPr>
              <w:spacing w:line="288" w:lineRule="auto"/>
              <w:rPr>
                <w:rFonts w:ascii="宋体" w:hAnsi="宋体" w:cs="宋体"/>
                <w:kern w:val="0"/>
                <w:szCs w:val="21"/>
                <w:lang w:bidi="ar"/>
              </w:rPr>
            </w:pPr>
            <w:r>
              <w:rPr>
                <w:rFonts w:hint="eastAsia" w:ascii="宋体" w:hAnsi="宋体" w:cs="宋体"/>
                <w:kern w:val="0"/>
                <w:szCs w:val="21"/>
                <w:lang w:bidi="ar"/>
              </w:rPr>
              <w:t>(3)支持目前主流的国产操作系统：统信桌面操作系统、麒麟桌面操作系统、方德桌面操作系统；</w:t>
            </w:r>
          </w:p>
          <w:p>
            <w:pPr>
              <w:spacing w:line="288" w:lineRule="auto"/>
              <w:rPr>
                <w:rFonts w:ascii="宋体" w:hAnsi="宋体" w:cs="宋体"/>
                <w:kern w:val="0"/>
                <w:szCs w:val="21"/>
                <w:lang w:bidi="ar"/>
              </w:rPr>
            </w:pPr>
            <w:r>
              <w:rPr>
                <w:rFonts w:hint="eastAsia" w:ascii="宋体" w:hAnsi="宋体" w:cs="宋体"/>
                <w:kern w:val="0"/>
                <w:szCs w:val="21"/>
                <w:lang w:bidi="ar"/>
              </w:rPr>
              <w:t>(4)跟本次配置的操作系统无缝衔接，在桌面上打开的兼容适配应用外层无窗口，显示效果与在Windows上一样；</w:t>
            </w:r>
          </w:p>
          <w:p>
            <w:pPr>
              <w:spacing w:line="288" w:lineRule="auto"/>
              <w:rPr>
                <w:rFonts w:ascii="宋体" w:hAnsi="宋体" w:cs="宋体"/>
                <w:kern w:val="0"/>
                <w:szCs w:val="21"/>
                <w:lang w:bidi="ar"/>
              </w:rPr>
            </w:pPr>
            <w:r>
              <w:rPr>
                <w:rFonts w:hint="eastAsia" w:ascii="宋体" w:hAnsi="宋体" w:cs="宋体"/>
                <w:kern w:val="0"/>
                <w:szCs w:val="21"/>
                <w:lang w:bidi="ar"/>
              </w:rPr>
              <w:t>●(5)支持在本次配置的操作系统桌面及其它目录双击Windows格式文件(包括.exe、.dwg、.psd、.msi等)自动调用兼容适配应用软件来打开；（如有，提供功能截图）;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●(6)支持在桌面任务栏显示兼容适配应用的真实图标，并可通过点击操作在不同应用间切换；（如有，提供功能截图）;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●(7)打开兼容适配应用可最小化到本次配置系统任务栏或托盘，支持托盘内应用鼠标右击图标打开菜单、左键双击唤起主界面；（如有，提供功能截图）；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●(8)不创建虚拟网卡，整个终端PC上只能有一个出口IP（虚拟化环境的IP就是主机IP），可通过这个IP追溯终端行为;（如有，提供功能截图）;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●(9)NAT模式下可自定义虚拟环境的IP或网段;（如有，提供功能截图）;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(10)支持终端用户自主安装、卸载原Windows应用;</w:t>
            </w:r>
          </w:p>
          <w:p>
            <w:pPr>
              <w:spacing w:line="288" w:lineRule="auto"/>
              <w:rPr>
                <w:rFonts w:ascii="宋体" w:hAnsi="宋体" w:cs="宋体"/>
                <w:kern w:val="0"/>
                <w:szCs w:val="21"/>
                <w:lang w:bidi="ar"/>
              </w:rPr>
            </w:pPr>
            <w:r>
              <w:rPr>
                <w:rFonts w:hint="eastAsia" w:ascii="宋体" w:hAnsi="宋体" w:cs="宋体"/>
                <w:kern w:val="0"/>
                <w:szCs w:val="21"/>
                <w:lang w:bidi="ar"/>
              </w:rPr>
              <w:t>●(11)支持自定义计算运行资源，如CPU核心数、内存大小、磁盘容量等；支持在本地终端计算资源与服务器计算资源间切换；（如有，提供功能截图）;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●(12)支持主流独立显卡加速，支持AutoCAD、MicroStation、3DMax等工程设计软件流畅使用（如有，提供功能截图）；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●(13)可以将一个大容量存储设备（U盘、移动硬盘）挂载到环境，让原生Linux应用与兼容适配应用都可以使用；（如有，提供功能截图）;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(14)支持快速发布、更新、启停，可分钟级还原系统及兼容适配应用；</w:t>
            </w:r>
          </w:p>
          <w:p>
            <w:pPr>
              <w:spacing w:line="288" w:lineRule="auto"/>
              <w:rPr>
                <w:rFonts w:ascii="宋体" w:hAnsi="宋体" w:cs="宋体"/>
                <w:kern w:val="0"/>
                <w:szCs w:val="21"/>
                <w:lang w:bidi="ar"/>
              </w:rPr>
            </w:pPr>
            <w:r>
              <w:rPr>
                <w:rFonts w:hint="eastAsia" w:ascii="宋体" w:hAnsi="宋体" w:cs="宋体"/>
                <w:kern w:val="0"/>
                <w:szCs w:val="21"/>
                <w:lang w:bidi="ar"/>
              </w:rPr>
              <w:t>(15)支持无缝视图、窗口视图等多种模式打开兼容适配应用，以满足用户个性化需求;</w:t>
            </w:r>
          </w:p>
          <w:p>
            <w:pPr>
              <w:spacing w:line="288" w:lineRule="auto"/>
              <w:rPr>
                <w:rFonts w:ascii="宋体" w:hAnsi="宋体" w:cs="宋体"/>
                <w:kern w:val="0"/>
                <w:szCs w:val="21"/>
                <w:lang w:bidi="ar"/>
              </w:rPr>
            </w:pPr>
            <w:r>
              <w:rPr>
                <w:rFonts w:hint="eastAsia" w:ascii="宋体" w:hAnsi="宋体" w:cs="宋体"/>
                <w:kern w:val="0"/>
                <w:szCs w:val="21"/>
                <w:lang w:bidi="ar"/>
              </w:rPr>
              <w:t>(16)软件与本次招标要求的操作系统兼容；</w:t>
            </w:r>
          </w:p>
          <w:p>
            <w:pPr>
              <w:spacing w:line="288" w:lineRule="auto"/>
              <w:rPr>
                <w:rFonts w:ascii="宋体" w:hAnsi="宋体" w:cs="宋体"/>
                <w:kern w:val="0"/>
                <w:szCs w:val="21"/>
                <w:lang w:bidi="ar"/>
              </w:rPr>
            </w:pPr>
            <w:r>
              <w:rPr>
                <w:rFonts w:hint="eastAsia" w:ascii="宋体" w:hAnsi="宋体" w:cs="宋体"/>
                <w:kern w:val="0"/>
                <w:szCs w:val="21"/>
                <w:lang w:bidi="ar"/>
              </w:rPr>
              <w:t>(17)软件与本次招标要求的处理器兼容；</w:t>
            </w:r>
          </w:p>
          <w:p>
            <w:pPr>
              <w:spacing w:line="288" w:lineRule="auto"/>
              <w:rPr>
                <w:rFonts w:ascii="宋体" w:hAnsi="宋体" w:cs="宋体"/>
                <w:kern w:val="0"/>
                <w:szCs w:val="21"/>
                <w:lang w:bidi="ar"/>
              </w:rPr>
            </w:pPr>
            <w:r>
              <w:rPr>
                <w:rFonts w:hint="eastAsia" w:ascii="宋体" w:hAnsi="宋体" w:cs="宋体"/>
                <w:kern w:val="0"/>
                <w:szCs w:val="21"/>
                <w:lang w:bidi="ar"/>
              </w:rPr>
              <w:t>▲18.保修与售后服务要求：三年原厂免费保修（整机保修，包括键盘、鼠标、显示器等）；三年下一个工作日上门服务，三年硬盘不回收更换服务；三年原厂VIP专业技术支持服务，提供专属热线和VIP接听通道，无需排队。供货时提供原厂售后服务承诺函，保障货物为原厂正规产品。</w:t>
            </w:r>
          </w:p>
          <w:p>
            <w:pPr>
              <w:spacing w:line="288" w:lineRule="auto"/>
              <w:rPr>
                <w:rFonts w:ascii="宋体" w:hAnsi="宋体" w:cs="宋体"/>
                <w:kern w:val="0"/>
                <w:szCs w:val="21"/>
                <w:lang w:bidi="ar"/>
              </w:rPr>
            </w:pPr>
            <w:r>
              <w:rPr>
                <w:rFonts w:hint="eastAsia" w:ascii="宋体" w:hAnsi="宋体" w:cs="宋体"/>
                <w:kern w:val="0"/>
                <w:szCs w:val="21"/>
                <w:lang w:bidi="ar"/>
              </w:rPr>
              <w:t>▲19.品质保证：所供货物要求在原厂官网或微信公众号上能通过设备序列号查询到设备整机出厂配置，且必须与招标要求相吻合，设备出厂日期必须不早于合同签订日期2个月，保障货物为原厂全新整机出厂正规产品，不接受库存及拆改配机器。</w:t>
            </w:r>
          </w:p>
          <w:p>
            <w:pPr>
              <w:spacing w:line="288" w:lineRule="auto"/>
              <w:rPr>
                <w:rFonts w:ascii="宋体" w:hAnsi="宋体" w:cs="宋体"/>
                <w:szCs w:val="21"/>
              </w:rPr>
            </w:pPr>
            <w:r>
              <w:rPr>
                <w:rFonts w:hint="eastAsia" w:ascii="宋体" w:hAnsi="宋体" w:cs="宋体"/>
                <w:kern w:val="0"/>
                <w:szCs w:val="21"/>
                <w:lang w:bidi="ar"/>
              </w:rPr>
              <w:t>▲20.</w:t>
            </w:r>
            <w:r>
              <w:rPr>
                <w:rFonts w:hint="eastAsia" w:ascii="宋体" w:hAnsi="宋体" w:cs="宋体"/>
                <w:szCs w:val="21"/>
                <w:lang w:bidi="ar"/>
              </w:rPr>
              <w:t>要求投标时对本次配套的操作系统、教学管理功能、适配软件进行一一响应，需包含生产厂商、软件名称等，不响应视为无效投标，且后续作为验收依据。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台式工作站</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150台</w:t>
            </w:r>
          </w:p>
        </w:tc>
        <w:tc>
          <w:tcPr>
            <w:tcW w:w="6859" w:type="dxa"/>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kern w:val="0"/>
                <w:szCs w:val="21"/>
                <w:lang w:bidi="ar"/>
              </w:rPr>
            </w:pPr>
            <w:r>
              <w:rPr>
                <w:rFonts w:hint="eastAsia" w:ascii="宋体" w:hAnsi="宋体" w:cs="宋体"/>
                <w:kern w:val="0"/>
                <w:szCs w:val="21"/>
                <w:lang w:bidi="ar"/>
              </w:rPr>
              <w:t>▲1.处理器：≥十六核32线程，主频≥2.8G Hz，32M缓存，符合安全可靠测评要求；（通过政府有关部门指定的中国信息安全测评中心或国家保密科技测评中心网站查看安全可靠测评结果）；</w:t>
            </w:r>
          </w:p>
          <w:p>
            <w:pPr>
              <w:spacing w:line="288" w:lineRule="auto"/>
              <w:rPr>
                <w:rFonts w:ascii="宋体" w:hAnsi="宋体" w:cs="宋体"/>
                <w:kern w:val="0"/>
                <w:szCs w:val="21"/>
                <w:lang w:bidi="ar"/>
              </w:rPr>
            </w:pPr>
            <w:r>
              <w:rPr>
                <w:rFonts w:hint="eastAsia" w:ascii="宋体" w:hAnsi="宋体" w:cs="宋体"/>
                <w:kern w:val="0"/>
                <w:szCs w:val="21"/>
                <w:lang w:bidi="ar"/>
              </w:rPr>
              <w:t>▲2.内存：≥32GB 4800MHZ DDR5，≥4个双通道内存插槽，本次配置32G之后额外预留2个插槽，方便后续扩展升级；</w:t>
            </w:r>
          </w:p>
          <w:p>
            <w:pPr>
              <w:spacing w:line="288" w:lineRule="auto"/>
              <w:rPr>
                <w:rFonts w:ascii="宋体" w:hAnsi="宋体" w:cs="宋体"/>
                <w:kern w:val="0"/>
                <w:szCs w:val="21"/>
                <w:lang w:bidi="ar"/>
              </w:rPr>
            </w:pPr>
            <w:r>
              <w:rPr>
                <w:rFonts w:hint="eastAsia" w:ascii="宋体" w:hAnsi="宋体" w:cs="宋体"/>
                <w:kern w:val="0"/>
                <w:szCs w:val="21"/>
                <w:lang w:bidi="ar"/>
              </w:rPr>
              <w:t>★3.内存插槽插满最大支持内存≥64GB；</w:t>
            </w:r>
          </w:p>
          <w:p>
            <w:pPr>
              <w:spacing w:line="288" w:lineRule="auto"/>
              <w:rPr>
                <w:rFonts w:ascii="宋体" w:hAnsi="宋体" w:cs="宋体"/>
                <w:kern w:val="0"/>
                <w:szCs w:val="21"/>
                <w:lang w:bidi="ar"/>
              </w:rPr>
            </w:pPr>
            <w:r>
              <w:rPr>
                <w:rFonts w:hint="eastAsia" w:ascii="宋体" w:hAnsi="宋体" w:cs="宋体"/>
                <w:kern w:val="0"/>
                <w:szCs w:val="21"/>
                <w:lang w:bidi="ar"/>
              </w:rPr>
              <w:t>▲4.硬盘：配置4个SATA3.0硬盘扩展接口，2个M.2固态硬盘扩展槽位，本次配置1块M.2 1TB PCIE 4.0 NVMe高性能固态硬盘（非早期SATA固态硬盘）；</w:t>
            </w:r>
          </w:p>
          <w:p>
            <w:pPr>
              <w:spacing w:line="288" w:lineRule="auto"/>
              <w:rPr>
                <w:rFonts w:ascii="宋体" w:hAnsi="宋体" w:cs="宋体"/>
                <w:kern w:val="0"/>
                <w:szCs w:val="21"/>
                <w:lang w:bidi="ar"/>
              </w:rPr>
            </w:pPr>
            <w:r>
              <w:rPr>
                <w:rFonts w:hint="eastAsia" w:ascii="宋体" w:hAnsi="宋体" w:cs="宋体"/>
                <w:kern w:val="0"/>
                <w:szCs w:val="21"/>
                <w:lang w:bidi="ar"/>
              </w:rPr>
              <w:t>▲5.显卡：≥8GB专业图形卡，显存位宽≥256位，支持 GPUDirect工作站高速数据互通，支持Quadro Sync II 同步卡或其他GPU同步功能，支持CAD / 三维建模 / 影视调色 / 渲染软件专属驱动优化，支持多 NVLink HB GPU 或其他GPU协同渲染功能，支持3屏独立显示，单精度浮点算力≥5.3TFLOPS；</w:t>
            </w:r>
          </w:p>
          <w:p>
            <w:pPr>
              <w:spacing w:line="288" w:lineRule="auto"/>
              <w:rPr>
                <w:rFonts w:ascii="宋体" w:hAnsi="宋体" w:cs="宋体"/>
                <w:kern w:val="0"/>
                <w:szCs w:val="21"/>
                <w:lang w:bidi="ar"/>
              </w:rPr>
            </w:pPr>
            <w:r>
              <w:rPr>
                <w:rFonts w:hint="eastAsia" w:ascii="宋体" w:hAnsi="宋体" w:cs="宋体"/>
                <w:kern w:val="0"/>
                <w:szCs w:val="21"/>
                <w:lang w:bidi="ar"/>
              </w:rPr>
              <w:t>★6.显卡性能：配置3个视频接口,满足使用部门多屏幕同时显示需求；</w:t>
            </w:r>
          </w:p>
          <w:p>
            <w:pPr>
              <w:spacing w:line="288" w:lineRule="auto"/>
              <w:rPr>
                <w:rFonts w:ascii="宋体" w:hAnsi="宋体" w:cs="宋体"/>
                <w:kern w:val="0"/>
                <w:szCs w:val="21"/>
                <w:lang w:bidi="ar"/>
              </w:rPr>
            </w:pPr>
            <w:r>
              <w:rPr>
                <w:rFonts w:hint="eastAsia" w:ascii="宋体" w:hAnsi="宋体" w:cs="宋体"/>
                <w:kern w:val="0"/>
                <w:szCs w:val="21"/>
                <w:lang w:bidi="ar"/>
              </w:rPr>
              <w:t>7.网卡：集成1000M自适应网卡；</w:t>
            </w:r>
          </w:p>
          <w:p>
            <w:pPr>
              <w:spacing w:line="288" w:lineRule="auto"/>
              <w:rPr>
                <w:rFonts w:ascii="宋体" w:hAnsi="宋体" w:cs="宋体"/>
                <w:kern w:val="0"/>
                <w:szCs w:val="21"/>
                <w:lang w:bidi="ar"/>
              </w:rPr>
            </w:pPr>
            <w:r>
              <w:rPr>
                <w:rFonts w:hint="eastAsia" w:ascii="宋体" w:hAnsi="宋体" w:cs="宋体"/>
                <w:kern w:val="0"/>
                <w:szCs w:val="21"/>
                <w:lang w:bidi="ar"/>
              </w:rPr>
              <w:t>▲8.接口：≥10个USB 3.2接口，其中前置≥6个USB 3.2接口；≥1个串口，≥5个音频接口；</w:t>
            </w:r>
          </w:p>
          <w:p>
            <w:pPr>
              <w:spacing w:line="288" w:lineRule="auto"/>
              <w:rPr>
                <w:rFonts w:ascii="宋体" w:hAnsi="宋体" w:cs="宋体"/>
                <w:kern w:val="0"/>
                <w:szCs w:val="21"/>
                <w:lang w:bidi="ar"/>
              </w:rPr>
            </w:pPr>
            <w:r>
              <w:rPr>
                <w:rFonts w:hint="eastAsia" w:ascii="宋体" w:hAnsi="宋体" w:cs="宋体"/>
                <w:kern w:val="0"/>
                <w:szCs w:val="21"/>
                <w:lang w:bidi="ar"/>
              </w:rPr>
              <w:t>★9.电源：≥700W；</w:t>
            </w:r>
          </w:p>
          <w:p>
            <w:pPr>
              <w:spacing w:line="288" w:lineRule="auto"/>
              <w:rPr>
                <w:rFonts w:ascii="宋体" w:hAnsi="宋体" w:cs="宋体"/>
                <w:kern w:val="0"/>
                <w:szCs w:val="21"/>
                <w:lang w:bidi="ar"/>
              </w:rPr>
            </w:pPr>
            <w:r>
              <w:rPr>
                <w:rFonts w:hint="eastAsia" w:ascii="宋体" w:hAnsi="宋体" w:cs="宋体"/>
                <w:kern w:val="0"/>
                <w:szCs w:val="21"/>
                <w:lang w:bidi="ar"/>
              </w:rPr>
              <w:t>10.键盘鼠标：与主机同品牌USB商务键鼠套装；</w:t>
            </w:r>
          </w:p>
          <w:p>
            <w:pPr>
              <w:spacing w:line="288" w:lineRule="auto"/>
              <w:rPr>
                <w:rFonts w:ascii="宋体" w:hAnsi="宋体" w:cs="宋体"/>
                <w:kern w:val="0"/>
                <w:szCs w:val="21"/>
                <w:lang w:bidi="ar"/>
              </w:rPr>
            </w:pPr>
            <w:r>
              <w:rPr>
                <w:rFonts w:hint="eastAsia" w:ascii="宋体" w:hAnsi="宋体" w:cs="宋体"/>
                <w:kern w:val="0"/>
                <w:szCs w:val="21"/>
                <w:lang w:bidi="ar"/>
              </w:rPr>
              <w:t>▲11.配置与主机同品牌显示器：≥23.8"宽屏WLED防眩光低蓝光液晶显示器，分辨率（1920*1080），配置主流HDMI、DP、VGA接口分别不低于1个，满足使用部门不同需求；</w:t>
            </w:r>
          </w:p>
          <w:p>
            <w:pPr>
              <w:spacing w:line="288" w:lineRule="auto"/>
              <w:rPr>
                <w:rFonts w:ascii="宋体" w:hAnsi="宋体" w:cs="宋体"/>
                <w:kern w:val="0"/>
                <w:szCs w:val="21"/>
                <w:lang w:bidi="ar"/>
              </w:rPr>
            </w:pPr>
            <w:r>
              <w:rPr>
                <w:rFonts w:hint="eastAsia" w:ascii="宋体" w:hAnsi="宋体" w:cs="宋体"/>
                <w:kern w:val="0"/>
                <w:szCs w:val="21"/>
                <w:lang w:bidi="ar"/>
              </w:rPr>
              <w:t>★12.显示器性能：刷新率≥100HZ，亮度≥300尼特，对比度≥3000：1,色域≥99%sRGB；</w:t>
            </w:r>
          </w:p>
          <w:p>
            <w:pPr>
              <w:spacing w:line="288" w:lineRule="auto"/>
              <w:rPr>
                <w:rFonts w:ascii="宋体" w:hAnsi="宋体" w:cs="宋体"/>
                <w:kern w:val="0"/>
                <w:szCs w:val="21"/>
                <w:lang w:bidi="ar"/>
              </w:rPr>
            </w:pPr>
            <w:r>
              <w:rPr>
                <w:rFonts w:hint="eastAsia" w:ascii="宋体" w:hAnsi="宋体" w:cs="宋体"/>
                <w:kern w:val="0"/>
                <w:szCs w:val="21"/>
                <w:lang w:bidi="ar"/>
              </w:rPr>
              <w:t>▲13.机箱：≥28L，机箱正面配置可拆卸防尘面板；</w:t>
            </w:r>
          </w:p>
          <w:p>
            <w:pPr>
              <w:spacing w:line="288" w:lineRule="auto"/>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4</w:t>
            </w:r>
            <w:r>
              <w:rPr>
                <w:rFonts w:hint="eastAsia" w:ascii="宋体" w:hAnsi="宋体" w:cs="宋体"/>
                <w:kern w:val="0"/>
                <w:szCs w:val="21"/>
                <w:lang w:bidi="ar"/>
              </w:rPr>
              <w:t>.操作系统：</w:t>
            </w:r>
          </w:p>
          <w:p>
            <w:pPr>
              <w:spacing w:line="288" w:lineRule="auto"/>
              <w:rPr>
                <w:rFonts w:ascii="宋体" w:hAnsi="宋体" w:cs="宋体"/>
                <w:kern w:val="0"/>
                <w:szCs w:val="21"/>
                <w:lang w:bidi="ar"/>
              </w:rPr>
            </w:pPr>
            <w:r>
              <w:rPr>
                <w:rFonts w:hint="eastAsia" w:ascii="宋体" w:hAnsi="宋体" w:cs="宋体"/>
                <w:kern w:val="0"/>
                <w:szCs w:val="21"/>
                <w:lang w:bidi="ar"/>
              </w:rPr>
              <w:t>▲（1）操作系统符合安全可靠测评要求（通过政府有关部门指定的中国信息安全测评中心或国家保密科技测评中心网站查看安全可靠测评结果）；</w:t>
            </w:r>
          </w:p>
          <w:p>
            <w:pPr>
              <w:spacing w:line="288" w:lineRule="auto"/>
              <w:rPr>
                <w:rFonts w:ascii="宋体" w:hAnsi="宋体" w:cs="宋体"/>
                <w:kern w:val="0"/>
                <w:szCs w:val="21"/>
                <w:lang w:bidi="ar"/>
              </w:rPr>
            </w:pPr>
            <w:r>
              <w:rPr>
                <w:rFonts w:hint="eastAsia" w:ascii="宋体" w:hAnsi="宋体" w:cs="宋体"/>
                <w:kern w:val="0"/>
                <w:szCs w:val="21"/>
                <w:lang w:bidi="ar"/>
              </w:rPr>
              <w:t>（2）配置WINDOWS原生软件运行平台，不接受虚拟机、应用虚拟化的方式直接安装运行原有WINDOWS教学软件（如学校OA、考试平台等）；</w:t>
            </w:r>
          </w:p>
          <w:p>
            <w:pPr>
              <w:spacing w:line="288" w:lineRule="auto"/>
              <w:rPr>
                <w:rFonts w:ascii="宋体" w:hAnsi="宋体" w:cs="宋体"/>
                <w:kern w:val="0"/>
                <w:szCs w:val="21"/>
                <w:lang w:bidi="ar"/>
              </w:rPr>
            </w:pPr>
            <w:r>
              <w:rPr>
                <w:rFonts w:hint="eastAsia" w:ascii="宋体" w:hAnsi="宋体" w:cs="宋体"/>
                <w:kern w:val="0"/>
                <w:szCs w:val="21"/>
                <w:lang w:bidi="ar"/>
              </w:rPr>
              <w:t>（3）要求浏览器兼容IE网页,配置双核浏览器，要求浏览器支持在线视频硬解码，生成网址二维码；</w:t>
            </w:r>
          </w:p>
          <w:p>
            <w:pPr>
              <w:spacing w:line="288" w:lineRule="auto"/>
              <w:rPr>
                <w:rFonts w:ascii="宋体" w:hAnsi="宋体" w:cs="宋体"/>
                <w:kern w:val="0"/>
                <w:szCs w:val="21"/>
                <w:lang w:bidi="ar"/>
              </w:rPr>
            </w:pPr>
            <w:r>
              <w:rPr>
                <w:rFonts w:hint="eastAsia" w:ascii="宋体" w:hAnsi="宋体" w:cs="宋体"/>
                <w:kern w:val="0"/>
                <w:szCs w:val="21"/>
                <w:lang w:bidi="ar"/>
              </w:rPr>
              <w:t>（4）配置安全中心和防火墙，提供系统体检、外设管控、程序管控、垃圾清理、数据粉碎、外联控制等功能；</w:t>
            </w:r>
          </w:p>
          <w:p>
            <w:pPr>
              <w:spacing w:line="288" w:lineRule="auto"/>
              <w:rPr>
                <w:rFonts w:ascii="宋体" w:hAnsi="宋体" w:cs="宋体"/>
                <w:kern w:val="0"/>
                <w:szCs w:val="21"/>
                <w:lang w:bidi="ar"/>
              </w:rPr>
            </w:pPr>
            <w:r>
              <w:rPr>
                <w:rFonts w:hint="eastAsia" w:ascii="宋体" w:hAnsi="宋体" w:cs="宋体"/>
                <w:kern w:val="0"/>
                <w:szCs w:val="21"/>
                <w:lang w:bidi="ar"/>
              </w:rPr>
              <w:t>（5）配置系统工具，提供磁盘管理、字体管理器、文件管理器、系统监视器、设备管理器、软件中心、生物特征管理、云账号、安全中心、虚拟终端、备份还原工具、添加/删除程序等模块功能；</w:t>
            </w:r>
          </w:p>
          <w:p>
            <w:pPr>
              <w:spacing w:line="288" w:lineRule="auto"/>
              <w:rPr>
                <w:rFonts w:ascii="宋体" w:hAnsi="宋体" w:cs="宋体"/>
                <w:kern w:val="0"/>
                <w:szCs w:val="21"/>
                <w:lang w:bidi="ar"/>
              </w:rPr>
            </w:pPr>
            <w:r>
              <w:rPr>
                <w:rFonts w:hint="eastAsia" w:ascii="宋体" w:hAnsi="宋体" w:cs="宋体"/>
                <w:kern w:val="0"/>
                <w:szCs w:val="21"/>
                <w:lang w:bidi="ar"/>
              </w:rPr>
              <w:t xml:space="preserve">（6）配置应用下载平台，要求覆盖办公、图形、影音、开发、网络等常用软件，具备应用搜索、一键安装、在线更新、一键卸载等功能；提供驱动专区，用户可通过搜索外设型号找到对应驱动进行下载安装；要求对常用设计软件兼容能力支撑（如：3ds Max、PhotoShop、AutoCAD等）； </w:t>
            </w:r>
          </w:p>
          <w:p>
            <w:pPr>
              <w:spacing w:line="288" w:lineRule="auto"/>
              <w:rPr>
                <w:rFonts w:ascii="宋体" w:hAnsi="宋体" w:cs="宋体"/>
                <w:kern w:val="0"/>
                <w:szCs w:val="21"/>
                <w:lang w:bidi="ar"/>
              </w:rPr>
            </w:pPr>
            <w:r>
              <w:rPr>
                <w:rFonts w:hint="eastAsia" w:ascii="宋体" w:hAnsi="宋体" w:cs="宋体"/>
                <w:kern w:val="0"/>
                <w:szCs w:val="21"/>
                <w:lang w:bidi="ar"/>
              </w:rPr>
              <w:t>（7）配置电子文档共享平台，提升师生协同效率；</w:t>
            </w:r>
          </w:p>
          <w:p>
            <w:pPr>
              <w:spacing w:line="288" w:lineRule="auto"/>
              <w:rPr>
                <w:rFonts w:ascii="宋体" w:hAnsi="宋体" w:cs="宋体"/>
                <w:kern w:val="0"/>
                <w:szCs w:val="21"/>
                <w:lang w:bidi="ar"/>
              </w:rPr>
            </w:pPr>
            <w:r>
              <w:rPr>
                <w:rFonts w:hint="eastAsia" w:ascii="宋体" w:hAnsi="宋体" w:cs="宋体"/>
                <w:kern w:val="0"/>
                <w:szCs w:val="21"/>
                <w:lang w:bidi="ar"/>
              </w:rPr>
              <w:t xml:space="preserve">（8）系统浏览器配置绿色上网插件，提供拦截模式开关，可对垃圾广告、不良内容、隐私内容等进行拦截，并提供拦截报告； </w:t>
            </w:r>
          </w:p>
          <w:p>
            <w:pPr>
              <w:spacing w:line="288" w:lineRule="auto"/>
              <w:rPr>
                <w:rFonts w:ascii="宋体" w:hAnsi="宋体" w:cs="宋体"/>
                <w:kern w:val="0"/>
                <w:szCs w:val="21"/>
                <w:lang w:bidi="ar"/>
              </w:rPr>
            </w:pPr>
            <w:r>
              <w:rPr>
                <w:rFonts w:hint="eastAsia" w:ascii="宋体" w:hAnsi="宋体" w:cs="宋体"/>
                <w:kern w:val="0"/>
                <w:szCs w:val="21"/>
                <w:lang w:bidi="ar"/>
              </w:rPr>
              <w:t>（9）系统浏览器配置护眼模式插件，可对护眼色温进行调节；</w:t>
            </w:r>
          </w:p>
          <w:p>
            <w:pPr>
              <w:spacing w:line="288" w:lineRule="auto"/>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5</w:t>
            </w:r>
            <w:r>
              <w:rPr>
                <w:rFonts w:hint="eastAsia" w:ascii="宋体" w:hAnsi="宋体" w:cs="宋体"/>
                <w:kern w:val="0"/>
                <w:szCs w:val="21"/>
                <w:lang w:bidi="ar"/>
              </w:rPr>
              <w:t>.配置教学管理功能：</w:t>
            </w:r>
          </w:p>
          <w:p>
            <w:pPr>
              <w:spacing w:line="288" w:lineRule="auto"/>
              <w:rPr>
                <w:rFonts w:ascii="宋体" w:hAnsi="宋体" w:cs="宋体"/>
                <w:kern w:val="0"/>
                <w:szCs w:val="21"/>
                <w:lang w:bidi="ar"/>
              </w:rPr>
            </w:pPr>
            <w:r>
              <w:rPr>
                <w:rFonts w:hint="eastAsia" w:ascii="宋体" w:hAnsi="宋体" w:cs="宋体"/>
                <w:kern w:val="0"/>
                <w:szCs w:val="21"/>
                <w:lang w:bidi="ar"/>
              </w:rPr>
              <w:t>(1)系统须同时兼容Legacy传统模式与UEFI模式两种硬件平台，同一引导盘无需针对不同机型单独制作不同格式，即可自动适配新老机型启动安装。</w:t>
            </w:r>
          </w:p>
          <w:p>
            <w:pPr>
              <w:spacing w:line="288" w:lineRule="auto"/>
              <w:rPr>
                <w:rFonts w:ascii="宋体" w:hAnsi="宋体" w:cs="宋体"/>
                <w:kern w:val="0"/>
                <w:szCs w:val="21"/>
                <w:lang w:bidi="ar"/>
              </w:rPr>
            </w:pPr>
            <w:r>
              <w:rPr>
                <w:rFonts w:hint="eastAsia" w:ascii="宋体" w:hAnsi="宋体" w:cs="宋体"/>
                <w:kern w:val="0"/>
                <w:szCs w:val="21"/>
                <w:lang w:bidi="ar"/>
              </w:rPr>
              <w:t>(2)系统须支持PXE网络启动方式批量安装终端底层系统，采用选座式配置模式，管理员预设学生座位号对应的配置文件后，终端按座号自动拉取配置完成全自动化安装，支持多台终端同时部署且不依赖于学生机的启动顺序，PXE服务端须以局域网内任意一台已安装系统的终端承担，无需额外配置专用服务器。</w:t>
            </w:r>
          </w:p>
          <w:p>
            <w:pPr>
              <w:spacing w:line="288" w:lineRule="auto"/>
              <w:rPr>
                <w:rFonts w:ascii="宋体" w:hAnsi="宋体" w:cs="宋体"/>
                <w:kern w:val="0"/>
                <w:szCs w:val="21"/>
                <w:lang w:bidi="ar"/>
              </w:rPr>
            </w:pPr>
            <w:r>
              <w:rPr>
                <w:rFonts w:hint="eastAsia" w:ascii="宋体" w:hAnsi="宋体" w:cs="宋体"/>
                <w:kern w:val="0"/>
                <w:szCs w:val="21"/>
                <w:lang w:bidi="ar"/>
              </w:rPr>
              <w:t>(3)为保障考试及重要教学活动的设备稳定性，系统须支持考试模式，开启后终端所有桌面自动新建增量更新点并临时变为持久不还原状态，确保考试数据完整保存；关闭考试模式后系统自动删除考试期间新建的更新点，清空所有考试留存数据，所有桌面自动恢复原有还原属性，无需重新同传即可完成考场环境重置。</w:t>
            </w:r>
          </w:p>
          <w:p>
            <w:pPr>
              <w:spacing w:line="288" w:lineRule="auto"/>
              <w:rPr>
                <w:rFonts w:ascii="宋体" w:hAnsi="宋体" w:cs="宋体"/>
                <w:kern w:val="0"/>
                <w:szCs w:val="21"/>
                <w:lang w:bidi="ar"/>
              </w:rPr>
            </w:pPr>
            <w:r>
              <w:rPr>
                <w:rFonts w:hint="eastAsia" w:ascii="宋体" w:hAnsi="宋体" w:cs="宋体"/>
                <w:kern w:val="0"/>
                <w:szCs w:val="21"/>
                <w:lang w:bidi="ar"/>
              </w:rPr>
              <w:t>●(4)系统须支持终端日志的导出与自动上传双模式：选中异常终端后可导出日志文件供本地分析，也可一键上传至公网日志服务器供技术支持人员远程获取，无需人工拷贝日志文件。（如有，提供功能截图）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(5)系统须支持管理员操作日志全程记录功能，所有管理端的操作行为（含终端管理、模板编辑、同传任务、终端配置变更等）均自动生成日志并本地保存，便于运维事后审计、故障回溯与合规审查。（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(6)系统须支持对主流操作系统的还原属性进行设置，可分别为系统盘与数据盘配置不同的还原策略，包括每次还原、每日还原、每周还原、每月还原及不还原。</w:t>
            </w:r>
          </w:p>
          <w:p>
            <w:pPr>
              <w:spacing w:line="288" w:lineRule="auto"/>
              <w:rPr>
                <w:rFonts w:ascii="宋体" w:hAnsi="宋体" w:cs="宋体"/>
                <w:kern w:val="0"/>
                <w:szCs w:val="21"/>
                <w:lang w:bidi="ar"/>
              </w:rPr>
            </w:pPr>
            <w:r>
              <w:rPr>
                <w:rFonts w:hint="eastAsia" w:ascii="宋体" w:hAnsi="宋体" w:cs="宋体"/>
                <w:kern w:val="0"/>
                <w:szCs w:val="21"/>
                <w:lang w:bidi="ar"/>
              </w:rPr>
              <w:t>(7)系统须支持模板增量更新机制，开启编辑时可选择“创建新的增量更新点”进行软件安装与配置修改，支持更新点的合并、删除及备注功能，当因新增软件导致系统损坏时可快速回退至上一正常状态。</w:t>
            </w:r>
          </w:p>
          <w:p>
            <w:pPr>
              <w:spacing w:line="288" w:lineRule="auto"/>
              <w:rPr>
                <w:rFonts w:ascii="宋体" w:hAnsi="宋体" w:cs="宋体"/>
                <w:kern w:val="0"/>
                <w:szCs w:val="21"/>
                <w:lang w:bidi="ar"/>
              </w:rPr>
            </w:pPr>
            <w:r>
              <w:rPr>
                <w:rFonts w:hint="eastAsia" w:ascii="宋体" w:hAnsi="宋体" w:cs="宋体"/>
                <w:kern w:val="0"/>
                <w:szCs w:val="21"/>
                <w:lang w:bidi="ar"/>
              </w:rPr>
              <w:t>(8)系统须支持模板编辑完成后一键关闭编辑状态，关闭后模板进入锁定保护模式禁止任何修改，防止运维人员误操作更改标准教学环境。</w:t>
            </w:r>
          </w:p>
          <w:p>
            <w:pPr>
              <w:spacing w:line="288" w:lineRule="auto"/>
              <w:rPr>
                <w:rFonts w:ascii="宋体" w:hAnsi="宋体" w:cs="宋体"/>
                <w:kern w:val="0"/>
                <w:szCs w:val="21"/>
                <w:lang w:bidi="ar"/>
              </w:rPr>
            </w:pPr>
            <w:r>
              <w:rPr>
                <w:rFonts w:hint="eastAsia" w:ascii="宋体" w:hAnsi="宋体" w:cs="宋体"/>
                <w:kern w:val="0"/>
                <w:szCs w:val="21"/>
                <w:lang w:bidi="ar"/>
              </w:rPr>
              <w:t>(9)系统须支持对已有镜像进行磁盘在线扩容，扩容过程中无需重做系统，扩容完成后操作系统盘容量即时生效，满足教学软件不断增长的空间需求。</w:t>
            </w:r>
          </w:p>
          <w:p>
            <w:pPr>
              <w:spacing w:line="288" w:lineRule="auto"/>
              <w:rPr>
                <w:rFonts w:ascii="宋体" w:hAnsi="宋体" w:cs="宋体"/>
                <w:kern w:val="0"/>
                <w:szCs w:val="21"/>
                <w:lang w:bidi="ar"/>
              </w:rPr>
            </w:pPr>
            <w:r>
              <w:rPr>
                <w:rFonts w:hint="eastAsia" w:ascii="宋体" w:hAnsi="宋体" w:cs="宋体"/>
                <w:kern w:val="0"/>
                <w:szCs w:val="21"/>
                <w:lang w:bidi="ar"/>
              </w:rPr>
              <w:t>(10)系统须支持模板克隆功能，可利用现有模板复制多个副本，克隆后的模板可独立配置、下发和管理，用于容灾备份或同一模板派生多套差异化系统。</w:t>
            </w:r>
          </w:p>
          <w:p>
            <w:pPr>
              <w:spacing w:line="288" w:lineRule="auto"/>
              <w:rPr>
                <w:rFonts w:ascii="宋体" w:hAnsi="宋体" w:cs="宋体"/>
                <w:kern w:val="0"/>
                <w:szCs w:val="21"/>
                <w:lang w:bidi="ar"/>
              </w:rPr>
            </w:pPr>
            <w:r>
              <w:rPr>
                <w:rFonts w:hint="eastAsia" w:ascii="宋体" w:hAnsi="宋体" w:cs="宋体"/>
                <w:kern w:val="0"/>
                <w:szCs w:val="21"/>
                <w:lang w:bidi="ar"/>
              </w:rPr>
              <w:t>(11)系统须支持数据盘同传功能，同传操作须同步传输数据盘的数据内容、还原属性及所属桌面属性，确保所有终端的数据盘配置与环境完全一致。</w:t>
            </w:r>
          </w:p>
          <w:p>
            <w:pPr>
              <w:spacing w:line="288" w:lineRule="auto"/>
              <w:rPr>
                <w:rFonts w:ascii="宋体" w:hAnsi="宋体" w:cs="宋体"/>
                <w:kern w:val="0"/>
                <w:szCs w:val="21"/>
                <w:lang w:bidi="ar"/>
              </w:rPr>
            </w:pPr>
            <w:r>
              <w:rPr>
                <w:rFonts w:hint="eastAsia" w:ascii="宋体" w:hAnsi="宋体" w:cs="宋体"/>
                <w:kern w:val="0"/>
                <w:szCs w:val="21"/>
                <w:lang w:bidi="ar"/>
              </w:rPr>
              <w:t>(12)系统须支持同传任务的中止与恢复功能，当镜像下发过程中发现错误或遗漏软件时，管理员可随时中止下发任务，修正后重新下发，避免无效等待和重复操作。</w:t>
            </w:r>
          </w:p>
          <w:p>
            <w:pPr>
              <w:spacing w:line="288" w:lineRule="auto"/>
              <w:rPr>
                <w:rFonts w:ascii="宋体" w:hAnsi="宋体" w:cs="宋体"/>
                <w:kern w:val="0"/>
                <w:szCs w:val="21"/>
                <w:lang w:bidi="ar"/>
              </w:rPr>
            </w:pPr>
            <w:r>
              <w:rPr>
                <w:rFonts w:hint="eastAsia" w:ascii="宋体" w:hAnsi="宋体" w:cs="宋体"/>
                <w:kern w:val="0"/>
                <w:szCs w:val="21"/>
                <w:lang w:bidi="ar"/>
              </w:rPr>
              <w:t>(13)系统须支持多硬盘自动识别与管理，管理员可直观查看终端所有物理硬盘的使用情况，无需手动配置即可识别并管理多块硬盘。</w:t>
            </w:r>
          </w:p>
          <w:p>
            <w:pPr>
              <w:spacing w:line="288" w:lineRule="auto"/>
              <w:rPr>
                <w:rFonts w:ascii="宋体" w:hAnsi="宋体" w:cs="宋体"/>
                <w:kern w:val="0"/>
                <w:szCs w:val="21"/>
                <w:lang w:bidi="ar"/>
              </w:rPr>
            </w:pPr>
            <w:r>
              <w:rPr>
                <w:rFonts w:hint="eastAsia" w:ascii="宋体" w:hAnsi="宋体" w:cs="宋体"/>
                <w:kern w:val="0"/>
                <w:szCs w:val="21"/>
                <w:lang w:bidi="ar"/>
              </w:rPr>
              <w:t>(14)系统须支持终端编号与计算机名的双向自动同步：底层设置的终端编号须自动同步显示在云桌面背景右上角，实现物理位置与系统显示的对应；底层设置的计算机名须自动同步修改操作系统的计算机名，保持底层与上层系统命名一致性，便于网络环境中的设备识别与管理。</w:t>
            </w:r>
          </w:p>
          <w:p>
            <w:pPr>
              <w:spacing w:line="288" w:lineRule="auto"/>
              <w:rPr>
                <w:rFonts w:ascii="宋体" w:hAnsi="宋体" w:cs="宋体"/>
                <w:kern w:val="0"/>
                <w:szCs w:val="21"/>
                <w:lang w:bidi="ar"/>
              </w:rPr>
            </w:pPr>
            <w:r>
              <w:rPr>
                <w:rFonts w:hint="eastAsia" w:ascii="宋体" w:hAnsi="宋体" w:cs="宋体"/>
                <w:kern w:val="0"/>
                <w:szCs w:val="21"/>
                <w:lang w:bidi="ar"/>
              </w:rPr>
              <w:t>●(15)系统须支持管理频道隔离机制，同一物理网段下多个室可通过设置不同管理频道号进行逻辑隔离，确保各教室终端仅接受本教室管理端的管控指令，避免跨教室干扰与误操作。（如有，提供功能截图）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(16)系统须支持对选中的云终端执行“进入维护模式”操作，可将终端自动切换至层维护系统界面，便于管理员进行底层配置修改与系统故障排查，无需现场逐台手动操作。</w:t>
            </w:r>
          </w:p>
          <w:p>
            <w:pPr>
              <w:spacing w:line="288" w:lineRule="auto"/>
              <w:rPr>
                <w:rFonts w:ascii="宋体" w:hAnsi="宋体" w:cs="宋体"/>
                <w:kern w:val="0"/>
                <w:szCs w:val="21"/>
                <w:lang w:bidi="ar"/>
              </w:rPr>
            </w:pPr>
            <w:r>
              <w:rPr>
                <w:rFonts w:hint="eastAsia" w:ascii="宋体" w:hAnsi="宋体" w:cs="宋体"/>
                <w:kern w:val="0"/>
                <w:szCs w:val="21"/>
                <w:lang w:bidi="ar"/>
              </w:rPr>
              <w:t>●(17)系统须支持在局域网主网络故障或管理端离线等异常状态下，教室内任意一台学生终端仍可开启本地运维权限，完成模板优化、单机巡检、系统还原等核心运维操作，确保基础运维工作不因网络故障而中断。（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(18)系统须支持终端底层界面中英文等多语言切换功能，可一键切换为简体中文或英文显示，适配不同语言背景的管理人员操作需求。</w:t>
            </w:r>
          </w:p>
          <w:p>
            <w:pPr>
              <w:spacing w:line="288" w:lineRule="auto"/>
              <w:rPr>
                <w:rFonts w:ascii="宋体" w:hAnsi="宋体" w:cs="宋体"/>
                <w:kern w:val="0"/>
                <w:szCs w:val="21"/>
                <w:lang w:bidi="ar"/>
              </w:rPr>
            </w:pPr>
            <w:r>
              <w:rPr>
                <w:rFonts w:hint="eastAsia" w:ascii="宋体" w:hAnsi="宋体" w:cs="宋体"/>
                <w:kern w:val="0"/>
                <w:szCs w:val="21"/>
                <w:lang w:bidi="ar"/>
              </w:rPr>
              <w:t>●(19)系统须支持启动项扫描分析功能，可列表展示系统所有开机自启动项，包含启动项名称、状态、类型、路径等完整信息，支持按类型筛选、按字段排序及导出为文件，便于管理员全面掌握终端开机加载状态，辅助定位系统启动慢等问题。（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(20)系统须支持硬件配置总览功能，可一键查看终端CPU型号及核心数、内存总容量及插槽分布、硬盘型号及容量、显卡型号、网卡MAC地址等完整硬件信息，无需进入设备管理器或系统属性逐级翻找，有效提升资产盘点与故障报修时的信息获取效率。（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(21)系统须支持已卸载软件残留扫描功能，可自动识别并展示已卸载软件残留的注册表项、目录及配置文件，按软件名称分组归集展示残留类型、路径、大小，支持导出为文件。本功能仅提供信息展示，不执行任何删除操作，确保系统安全。（如有，提供功能截图）</w:t>
            </w:r>
          </w:p>
          <w:p>
            <w:pPr>
              <w:spacing w:line="288" w:lineRule="auto"/>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6</w:t>
            </w:r>
            <w:r>
              <w:rPr>
                <w:rFonts w:hint="eastAsia" w:ascii="宋体" w:hAnsi="宋体" w:cs="宋体"/>
                <w:kern w:val="0"/>
                <w:szCs w:val="21"/>
                <w:lang w:bidi="ar"/>
              </w:rPr>
              <w:t>.学校现有教学软件适配服务，由此产生的费用已包含在投标总价中，采购人不再另行支付：</w:t>
            </w:r>
          </w:p>
          <w:p>
            <w:pPr>
              <w:spacing w:line="288" w:lineRule="auto"/>
              <w:rPr>
                <w:rFonts w:ascii="宋体" w:hAnsi="宋体" w:cs="宋体"/>
                <w:kern w:val="0"/>
                <w:szCs w:val="21"/>
                <w:lang w:bidi="ar"/>
              </w:rPr>
            </w:pPr>
            <w:r>
              <w:rPr>
                <w:rFonts w:hint="eastAsia" w:ascii="宋体" w:hAnsi="宋体" w:cs="宋体"/>
                <w:kern w:val="0"/>
                <w:szCs w:val="21"/>
                <w:lang w:bidi="ar"/>
              </w:rPr>
              <w:t>▲中标人提供学校现有基于Windows7、Windows10、Windows11操作系统平台的教学软件（学校OA、考试平台等）的适配和安装服务，不接受以虚拟机形式适配和安装服务。保障学校现有软件和能在主机上正常运行，由此产生的费用已包含在本次投标总价中，采购人不再另行支付。</w:t>
            </w:r>
          </w:p>
          <w:p>
            <w:pPr>
              <w:spacing w:line="288" w:lineRule="auto"/>
              <w:rPr>
                <w:rFonts w:ascii="宋体" w:hAnsi="宋体" w:cs="宋体"/>
                <w:kern w:val="0"/>
                <w:szCs w:val="21"/>
                <w:lang w:bidi="ar"/>
              </w:rPr>
            </w:pPr>
            <w:r>
              <w:rPr>
                <w:rFonts w:hint="eastAsia" w:ascii="宋体" w:hAnsi="宋体" w:cs="宋体"/>
                <w:kern w:val="0"/>
                <w:szCs w:val="21"/>
                <w:lang w:bidi="ar"/>
              </w:rPr>
              <w:t>(1)全面兼容Wintel生态软件应用、业务系统、Usb/串口/并口等外设；</w:t>
            </w:r>
          </w:p>
          <w:p>
            <w:pPr>
              <w:spacing w:line="288" w:lineRule="auto"/>
              <w:rPr>
                <w:rFonts w:ascii="宋体" w:hAnsi="宋体" w:cs="宋体"/>
                <w:kern w:val="0"/>
                <w:szCs w:val="21"/>
                <w:lang w:bidi="ar"/>
              </w:rPr>
            </w:pPr>
            <w:r>
              <w:rPr>
                <w:rFonts w:hint="eastAsia" w:ascii="宋体" w:hAnsi="宋体" w:cs="宋体"/>
                <w:kern w:val="0"/>
                <w:szCs w:val="21"/>
                <w:lang w:bidi="ar"/>
              </w:rPr>
              <w:t>(2)支持目前主流的国产CPU架构：ARM 架构 （飞腾、麒麟）、C86架构（兆芯、海光）；</w:t>
            </w:r>
          </w:p>
          <w:p>
            <w:pPr>
              <w:spacing w:line="288" w:lineRule="auto"/>
              <w:rPr>
                <w:rFonts w:ascii="宋体" w:hAnsi="宋体" w:cs="宋体"/>
                <w:kern w:val="0"/>
                <w:szCs w:val="21"/>
                <w:lang w:bidi="ar"/>
              </w:rPr>
            </w:pPr>
            <w:r>
              <w:rPr>
                <w:rFonts w:hint="eastAsia" w:ascii="宋体" w:hAnsi="宋体" w:cs="宋体"/>
                <w:kern w:val="0"/>
                <w:szCs w:val="21"/>
                <w:lang w:bidi="ar"/>
              </w:rPr>
              <w:t>(3)支持目前主流的国产操作系统：统信桌面操作系统、麒麟桌面操作系统、方德桌面操作系统；</w:t>
            </w:r>
          </w:p>
          <w:p>
            <w:pPr>
              <w:spacing w:line="288" w:lineRule="auto"/>
              <w:rPr>
                <w:rFonts w:ascii="宋体" w:hAnsi="宋体" w:cs="宋体"/>
                <w:kern w:val="0"/>
                <w:szCs w:val="21"/>
                <w:lang w:bidi="ar"/>
              </w:rPr>
            </w:pPr>
            <w:r>
              <w:rPr>
                <w:rFonts w:hint="eastAsia" w:ascii="宋体" w:hAnsi="宋体" w:cs="宋体"/>
                <w:kern w:val="0"/>
                <w:szCs w:val="21"/>
                <w:lang w:bidi="ar"/>
              </w:rPr>
              <w:t>(4)跟本次配置的操作系统无缝衔接，在桌面上打开的兼容适配应用外层无窗口，显示效果与在Windows上一样；</w:t>
            </w:r>
          </w:p>
          <w:p>
            <w:pPr>
              <w:spacing w:line="288" w:lineRule="auto"/>
              <w:rPr>
                <w:rFonts w:ascii="宋体" w:hAnsi="宋体" w:cs="宋体"/>
                <w:kern w:val="0"/>
                <w:szCs w:val="21"/>
                <w:lang w:bidi="ar"/>
              </w:rPr>
            </w:pPr>
            <w:r>
              <w:rPr>
                <w:rFonts w:hint="eastAsia" w:ascii="宋体" w:hAnsi="宋体" w:cs="宋体"/>
                <w:kern w:val="0"/>
                <w:szCs w:val="21"/>
                <w:lang w:bidi="ar"/>
              </w:rPr>
              <w:t>(5)支持在本次配置的操作系统桌面及其它目录双击Windows格式文件(包括.exe、.dwg、.psd、.msi等)自动调用兼容适配应用软件来打开；</w:t>
            </w:r>
          </w:p>
          <w:p>
            <w:pPr>
              <w:spacing w:line="288" w:lineRule="auto"/>
              <w:rPr>
                <w:rFonts w:ascii="宋体" w:hAnsi="宋体" w:cs="宋体"/>
                <w:kern w:val="0"/>
                <w:szCs w:val="21"/>
                <w:lang w:bidi="ar"/>
              </w:rPr>
            </w:pPr>
            <w:r>
              <w:rPr>
                <w:rFonts w:hint="eastAsia" w:ascii="宋体" w:hAnsi="宋体" w:cs="宋体"/>
                <w:kern w:val="0"/>
                <w:szCs w:val="21"/>
                <w:lang w:bidi="ar"/>
              </w:rPr>
              <w:t>(6)支持在桌面任务栏显示兼容适配应用的真实图标，并可通过点击操作在不同应用间切换；</w:t>
            </w:r>
          </w:p>
          <w:p>
            <w:pPr>
              <w:spacing w:line="288" w:lineRule="auto"/>
              <w:rPr>
                <w:rFonts w:ascii="宋体" w:hAnsi="宋体" w:cs="宋体"/>
                <w:kern w:val="0"/>
                <w:szCs w:val="21"/>
                <w:lang w:bidi="ar"/>
              </w:rPr>
            </w:pPr>
            <w:r>
              <w:rPr>
                <w:rFonts w:hint="eastAsia" w:ascii="宋体" w:hAnsi="宋体" w:cs="宋体"/>
                <w:kern w:val="0"/>
                <w:szCs w:val="21"/>
                <w:lang w:bidi="ar"/>
              </w:rPr>
              <w:t xml:space="preserve">(7)打开兼容适配应用可最小化到本次配置系统任务栏或托盘，支持托盘内应用鼠标右击图标打开菜单、左键双击唤起主界面； </w:t>
            </w:r>
          </w:p>
          <w:p>
            <w:pPr>
              <w:spacing w:line="288" w:lineRule="auto"/>
              <w:rPr>
                <w:rFonts w:ascii="宋体" w:hAnsi="宋体" w:cs="宋体"/>
                <w:kern w:val="0"/>
                <w:szCs w:val="21"/>
                <w:lang w:bidi="ar"/>
              </w:rPr>
            </w:pPr>
            <w:r>
              <w:rPr>
                <w:rFonts w:hint="eastAsia" w:ascii="宋体" w:hAnsi="宋体" w:cs="宋体"/>
                <w:kern w:val="0"/>
                <w:szCs w:val="21"/>
                <w:lang w:bidi="ar"/>
              </w:rPr>
              <w:t>(8)不创建虚拟网卡，整个终端PC上只能有一个出口IP（虚拟化环境的IP就是主机IP），可通过这个IP追溯终端行为;</w:t>
            </w:r>
          </w:p>
          <w:p>
            <w:pPr>
              <w:spacing w:line="288" w:lineRule="auto"/>
              <w:rPr>
                <w:rFonts w:ascii="宋体" w:hAnsi="宋体" w:cs="宋体"/>
                <w:kern w:val="0"/>
                <w:szCs w:val="21"/>
                <w:lang w:bidi="ar"/>
              </w:rPr>
            </w:pPr>
            <w:r>
              <w:rPr>
                <w:rFonts w:hint="eastAsia" w:ascii="宋体" w:hAnsi="宋体" w:cs="宋体"/>
                <w:kern w:val="0"/>
                <w:szCs w:val="21"/>
                <w:lang w:bidi="ar"/>
              </w:rPr>
              <w:t>(9)NAT模式下可自定义虚拟环境的IP或网段;</w:t>
            </w:r>
          </w:p>
          <w:p>
            <w:pPr>
              <w:spacing w:line="288" w:lineRule="auto"/>
              <w:rPr>
                <w:rFonts w:ascii="宋体" w:hAnsi="宋体" w:cs="宋体"/>
                <w:kern w:val="0"/>
                <w:szCs w:val="21"/>
                <w:lang w:bidi="ar"/>
              </w:rPr>
            </w:pPr>
            <w:r>
              <w:rPr>
                <w:rFonts w:hint="eastAsia" w:ascii="宋体" w:hAnsi="宋体" w:cs="宋体"/>
                <w:kern w:val="0"/>
                <w:szCs w:val="21"/>
                <w:lang w:bidi="ar"/>
              </w:rPr>
              <w:t>(10)支持终端用户自主安装、卸载原Windows应用;</w:t>
            </w:r>
          </w:p>
          <w:p>
            <w:pPr>
              <w:spacing w:line="288" w:lineRule="auto"/>
              <w:rPr>
                <w:rFonts w:ascii="宋体" w:hAnsi="宋体" w:cs="宋体"/>
                <w:kern w:val="0"/>
                <w:szCs w:val="21"/>
                <w:lang w:bidi="ar"/>
              </w:rPr>
            </w:pPr>
            <w:r>
              <w:rPr>
                <w:rFonts w:hint="eastAsia" w:ascii="宋体" w:hAnsi="宋体" w:cs="宋体"/>
                <w:kern w:val="0"/>
                <w:szCs w:val="21"/>
                <w:lang w:bidi="ar"/>
              </w:rPr>
              <w:t>(11)支持自定义计算运行资源，如CPU核心数、内存大小、磁盘容量等；支持在本地终端计算资源与服务器计算资源间切换；</w:t>
            </w:r>
          </w:p>
          <w:p>
            <w:pPr>
              <w:spacing w:line="288" w:lineRule="auto"/>
              <w:rPr>
                <w:rFonts w:ascii="宋体" w:hAnsi="宋体" w:cs="宋体"/>
                <w:kern w:val="0"/>
                <w:szCs w:val="21"/>
                <w:lang w:bidi="ar"/>
              </w:rPr>
            </w:pPr>
            <w:r>
              <w:rPr>
                <w:rFonts w:hint="eastAsia" w:ascii="宋体" w:hAnsi="宋体" w:cs="宋体"/>
                <w:kern w:val="0"/>
                <w:szCs w:val="21"/>
                <w:lang w:bidi="ar"/>
              </w:rPr>
              <w:t>(12)支持主流独立显卡加速，支持AutoCAD、MicroStation、3DMax等工程设计软件流畅使用；</w:t>
            </w:r>
          </w:p>
          <w:p>
            <w:pPr>
              <w:spacing w:line="288" w:lineRule="auto"/>
              <w:rPr>
                <w:rFonts w:ascii="宋体" w:hAnsi="宋体" w:cs="宋体"/>
                <w:kern w:val="0"/>
                <w:szCs w:val="21"/>
                <w:lang w:bidi="ar"/>
              </w:rPr>
            </w:pPr>
            <w:r>
              <w:rPr>
                <w:rFonts w:hint="eastAsia" w:ascii="宋体" w:hAnsi="宋体" w:cs="宋体"/>
                <w:kern w:val="0"/>
                <w:szCs w:val="21"/>
                <w:lang w:bidi="ar"/>
              </w:rPr>
              <w:t>(13)可以将一个大容量存储设备（U盘、移动硬盘）挂载到环境，让原生Linux应用与兼容适配应用都可以使用；</w:t>
            </w:r>
          </w:p>
          <w:p>
            <w:pPr>
              <w:spacing w:line="288" w:lineRule="auto"/>
              <w:rPr>
                <w:rFonts w:ascii="宋体" w:hAnsi="宋体" w:cs="宋体"/>
                <w:kern w:val="0"/>
                <w:szCs w:val="21"/>
                <w:lang w:bidi="ar"/>
              </w:rPr>
            </w:pPr>
            <w:r>
              <w:rPr>
                <w:rFonts w:hint="eastAsia" w:ascii="宋体" w:hAnsi="宋体" w:cs="宋体"/>
                <w:kern w:val="0"/>
                <w:szCs w:val="21"/>
                <w:lang w:bidi="ar"/>
              </w:rPr>
              <w:t>(14)支持快速发布、更新、启停，可分钟级还原系统及兼容适配应用；</w:t>
            </w:r>
          </w:p>
          <w:p>
            <w:pPr>
              <w:spacing w:line="288" w:lineRule="auto"/>
              <w:rPr>
                <w:rFonts w:ascii="宋体" w:hAnsi="宋体" w:cs="宋体"/>
                <w:kern w:val="0"/>
                <w:szCs w:val="21"/>
                <w:lang w:bidi="ar"/>
              </w:rPr>
            </w:pPr>
            <w:r>
              <w:rPr>
                <w:rFonts w:hint="eastAsia" w:ascii="宋体" w:hAnsi="宋体" w:cs="宋体"/>
                <w:kern w:val="0"/>
                <w:szCs w:val="21"/>
                <w:lang w:bidi="ar"/>
              </w:rPr>
              <w:t>(15)支持无缝视图、窗口视图等多种模式打开兼容适配应用，以满足用户个性化需求;</w:t>
            </w:r>
          </w:p>
          <w:p>
            <w:pPr>
              <w:spacing w:line="288" w:lineRule="auto"/>
              <w:rPr>
                <w:rFonts w:ascii="宋体" w:hAnsi="宋体" w:cs="宋体"/>
                <w:kern w:val="0"/>
                <w:szCs w:val="21"/>
                <w:lang w:bidi="ar"/>
              </w:rPr>
            </w:pPr>
            <w:r>
              <w:rPr>
                <w:rFonts w:hint="eastAsia" w:ascii="宋体" w:hAnsi="宋体" w:cs="宋体"/>
                <w:kern w:val="0"/>
                <w:szCs w:val="21"/>
                <w:lang w:bidi="ar"/>
              </w:rPr>
              <w:t>(16)软件与本次招标要求的操作系统兼容;</w:t>
            </w:r>
          </w:p>
          <w:p>
            <w:pPr>
              <w:spacing w:line="288" w:lineRule="auto"/>
              <w:rPr>
                <w:rFonts w:ascii="宋体" w:hAnsi="宋体" w:cs="宋体"/>
                <w:kern w:val="0"/>
                <w:szCs w:val="21"/>
                <w:lang w:bidi="ar"/>
              </w:rPr>
            </w:pPr>
            <w:r>
              <w:rPr>
                <w:rFonts w:hint="eastAsia" w:ascii="宋体" w:hAnsi="宋体" w:cs="宋体"/>
                <w:kern w:val="0"/>
                <w:szCs w:val="21"/>
                <w:lang w:bidi="ar"/>
              </w:rPr>
              <w:t>(17)软件与本次招标要求的处理器兼容；</w:t>
            </w:r>
          </w:p>
          <w:p>
            <w:pPr>
              <w:spacing w:line="288" w:lineRule="auto"/>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7</w:t>
            </w:r>
            <w:r>
              <w:rPr>
                <w:rFonts w:hint="eastAsia" w:ascii="宋体" w:hAnsi="宋体" w:cs="宋体"/>
                <w:kern w:val="0"/>
                <w:szCs w:val="21"/>
                <w:lang w:bidi="ar"/>
              </w:rPr>
              <w:t>.保修与售后服务要求：三年原厂免费保修（整机保修，包括键盘、鼠标、显示器等）；三年下一个工作日上门服务，三年硬盘不回收更换服务；三年原厂VIP专业技术支持服务，提供专属热线和VIP接听通道，无需排队。供货时提供原厂售后服务承诺函，保障货物为原厂正规产品。</w:t>
            </w:r>
          </w:p>
          <w:p>
            <w:pPr>
              <w:spacing w:line="288" w:lineRule="auto"/>
              <w:rPr>
                <w:rFonts w:ascii="宋体" w:hAnsi="宋体" w:cs="宋体"/>
                <w:kern w:val="0"/>
                <w:szCs w:val="21"/>
                <w:lang w:bidi="ar"/>
              </w:rPr>
            </w:pPr>
            <w:r>
              <w:rPr>
                <w:rFonts w:hint="eastAsia" w:ascii="宋体" w:hAnsi="宋体" w:cs="宋体"/>
                <w:kern w:val="0"/>
                <w:szCs w:val="21"/>
                <w:lang w:bidi="ar"/>
              </w:rPr>
              <w:t>▲1</w:t>
            </w:r>
            <w:r>
              <w:rPr>
                <w:rFonts w:ascii="宋体" w:hAnsi="宋体" w:cs="宋体"/>
                <w:kern w:val="0"/>
                <w:szCs w:val="21"/>
                <w:lang w:bidi="ar"/>
              </w:rPr>
              <w:t>8</w:t>
            </w:r>
            <w:r>
              <w:rPr>
                <w:rFonts w:hint="eastAsia" w:ascii="宋体" w:hAnsi="宋体" w:cs="宋体"/>
                <w:kern w:val="0"/>
                <w:szCs w:val="21"/>
                <w:lang w:bidi="ar"/>
              </w:rPr>
              <w:t>.品质保证：所供货物要求在原厂官网或微信公众号上能通过设备序列号查询到设备整机出厂配置，且必须与招标要求相吻合，设备出厂日期必须不早于合同签订日期2个月，保障货物为原厂全新整机出厂正规产品，不接受库存及拆改配机器。</w:t>
            </w:r>
          </w:p>
          <w:p>
            <w:pPr>
              <w:spacing w:line="288" w:lineRule="auto"/>
              <w:rPr>
                <w:rFonts w:ascii="宋体" w:hAnsi="宋体" w:cs="宋体"/>
                <w:kern w:val="0"/>
                <w:szCs w:val="21"/>
                <w:lang w:bidi="ar"/>
              </w:rPr>
            </w:pPr>
            <w:r>
              <w:rPr>
                <w:rFonts w:hint="eastAsia" w:ascii="宋体" w:hAnsi="宋体" w:cs="宋体"/>
                <w:kern w:val="0"/>
                <w:szCs w:val="21"/>
                <w:lang w:bidi="ar"/>
              </w:rPr>
              <w:t>▲</w:t>
            </w:r>
            <w:r>
              <w:rPr>
                <w:rFonts w:ascii="宋体" w:hAnsi="宋体" w:cs="宋体"/>
                <w:kern w:val="0"/>
                <w:szCs w:val="21"/>
                <w:lang w:bidi="ar"/>
              </w:rPr>
              <w:t>19</w:t>
            </w:r>
            <w:r>
              <w:rPr>
                <w:rFonts w:hint="eastAsia" w:ascii="宋体" w:hAnsi="宋体" w:cs="宋体"/>
                <w:kern w:val="0"/>
                <w:szCs w:val="21"/>
                <w:lang w:bidi="ar"/>
              </w:rPr>
              <w:t>.要求投标时对本次配套的操作系统、教学管理功能、适配软件进行一一响应，需包含生产厂商、软件名称等，不响应视为无效投标，且后续作为验收依据。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大模型一体机</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2台</w:t>
            </w:r>
          </w:p>
        </w:tc>
        <w:tc>
          <w:tcPr>
            <w:tcW w:w="6859" w:type="dxa"/>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kern w:val="0"/>
                <w:szCs w:val="21"/>
                <w:lang w:bidi="ar"/>
              </w:rPr>
            </w:pPr>
            <w:r>
              <w:rPr>
                <w:rFonts w:hint="eastAsia" w:ascii="宋体" w:hAnsi="宋体" w:cs="宋体"/>
                <w:kern w:val="0"/>
                <w:szCs w:val="21"/>
                <w:lang w:bidi="ar"/>
              </w:rPr>
              <w:t>1.整体要求：4U机架式;</w:t>
            </w:r>
          </w:p>
          <w:p>
            <w:pPr>
              <w:spacing w:line="288" w:lineRule="auto"/>
              <w:rPr>
                <w:rFonts w:ascii="宋体" w:hAnsi="宋体" w:cs="宋体"/>
                <w:kern w:val="0"/>
                <w:szCs w:val="21"/>
                <w:lang w:bidi="ar"/>
              </w:rPr>
            </w:pPr>
            <w:r>
              <w:rPr>
                <w:rFonts w:hint="eastAsia" w:ascii="宋体" w:hAnsi="宋体" w:cs="宋体"/>
                <w:kern w:val="0"/>
                <w:szCs w:val="21"/>
                <w:lang w:bidi="ar"/>
              </w:rPr>
              <w:t>▲2.CPU：本次配置≥2颗处理器，单颗处理器主频≥2.1GHz, 核数≥32,线程数≥64;</w:t>
            </w:r>
          </w:p>
          <w:p>
            <w:pPr>
              <w:spacing w:line="288" w:lineRule="auto"/>
              <w:rPr>
                <w:rFonts w:ascii="宋体" w:hAnsi="宋体" w:cs="宋体"/>
                <w:kern w:val="0"/>
                <w:szCs w:val="21"/>
                <w:lang w:bidi="ar"/>
              </w:rPr>
            </w:pPr>
            <w:r>
              <w:rPr>
                <w:rFonts w:hint="eastAsia" w:ascii="宋体" w:hAnsi="宋体" w:cs="宋体"/>
                <w:kern w:val="0"/>
                <w:szCs w:val="21"/>
                <w:lang w:bidi="ar"/>
              </w:rPr>
              <w:t>★3.CPU性能：缓存≥150M;</w:t>
            </w:r>
          </w:p>
          <w:p>
            <w:pPr>
              <w:spacing w:line="288" w:lineRule="auto"/>
              <w:rPr>
                <w:rFonts w:ascii="宋体" w:hAnsi="宋体" w:cs="宋体"/>
                <w:kern w:val="0"/>
                <w:szCs w:val="21"/>
                <w:lang w:bidi="ar"/>
              </w:rPr>
            </w:pPr>
            <w:r>
              <w:rPr>
                <w:rFonts w:hint="eastAsia" w:ascii="宋体" w:hAnsi="宋体" w:cs="宋体"/>
                <w:kern w:val="0"/>
                <w:szCs w:val="21"/>
                <w:lang w:bidi="ar"/>
              </w:rPr>
              <w:t>4.内存：本次配置≥8*64GB DDR5 5600MHZ;</w:t>
            </w:r>
          </w:p>
          <w:p>
            <w:pPr>
              <w:spacing w:line="288" w:lineRule="auto"/>
              <w:rPr>
                <w:rFonts w:ascii="宋体" w:hAnsi="宋体" w:cs="宋体"/>
                <w:kern w:val="0"/>
                <w:szCs w:val="21"/>
                <w:lang w:bidi="ar"/>
              </w:rPr>
            </w:pPr>
            <w:r>
              <w:rPr>
                <w:rFonts w:hint="eastAsia" w:ascii="宋体" w:hAnsi="宋体" w:cs="宋体"/>
                <w:kern w:val="0"/>
                <w:szCs w:val="21"/>
                <w:lang w:bidi="ar"/>
              </w:rPr>
              <w:t>★5.内存性能：配置≥30个内存插槽;</w:t>
            </w:r>
          </w:p>
          <w:p>
            <w:pPr>
              <w:spacing w:line="288" w:lineRule="auto"/>
              <w:rPr>
                <w:rFonts w:ascii="宋体" w:hAnsi="宋体" w:cs="宋体"/>
                <w:kern w:val="0"/>
                <w:szCs w:val="21"/>
                <w:lang w:bidi="ar"/>
              </w:rPr>
            </w:pPr>
            <w:r>
              <w:rPr>
                <w:rFonts w:hint="eastAsia" w:ascii="宋体" w:hAnsi="宋体" w:cs="宋体"/>
                <w:kern w:val="0"/>
                <w:szCs w:val="21"/>
                <w:lang w:bidi="ar"/>
              </w:rPr>
              <w:t>▲6.硬盘：本次配置系统盘：≥2*1.92TB PCIe4.0 U.2 NVMe；缓存盘：≥2*7.68TB U.2 NVME;</w:t>
            </w:r>
          </w:p>
          <w:p>
            <w:pPr>
              <w:spacing w:line="288" w:lineRule="auto"/>
              <w:rPr>
                <w:rFonts w:ascii="宋体" w:hAnsi="宋体" w:cs="宋体"/>
                <w:kern w:val="0"/>
                <w:szCs w:val="21"/>
                <w:lang w:bidi="ar"/>
              </w:rPr>
            </w:pPr>
            <w:r>
              <w:rPr>
                <w:rFonts w:hint="eastAsia" w:ascii="宋体" w:hAnsi="宋体" w:cs="宋体"/>
                <w:kern w:val="0"/>
                <w:szCs w:val="21"/>
                <w:lang w:bidi="ar"/>
              </w:rPr>
              <w:t>7.GPU: 支持≥8张双宽GPU扩展，预留后续扩展槽位，本次配置≥4张GPU卡，单张GPU</w:t>
            </w:r>
            <w:r>
              <w:rPr>
                <w:rFonts w:ascii="宋体" w:hAnsi="宋体" w:cs="宋体"/>
                <w:kern w:val="0"/>
                <w:szCs w:val="21"/>
                <w:lang w:bidi="ar"/>
              </w:rPr>
              <w:t>≥48GB，显存位宽≥384位，显存带宽≥768GB/s，GPU并行计算核心单元≥8192，INT8算力≥200 TOPS，硬件原生支持 AVS2、H.264、H.265、AV1、VP9 视频编解码；内置硬件可信安全引擎，支持 TEE 可信执行环境、国密加解密算法；支持 GPU 硬件弹性切分、SR-IOV 硬件虚拟化隔离；支持多GPU高速互联，单链路双向带宽≥240GB/s，支持多卡集群互联部署，用于大模型分布式训练</w:t>
            </w:r>
            <w:r>
              <w:rPr>
                <w:rFonts w:hint="eastAsia" w:ascii="宋体" w:hAnsi="宋体" w:cs="宋体"/>
                <w:kern w:val="0"/>
                <w:szCs w:val="21"/>
                <w:lang w:bidi="ar"/>
              </w:rPr>
              <w:t>，同时支持AI训练与推理、图形渲染、物理仿真、视频编解码功能，覆盖FP64/FP32/TF32/BF16/FP16/FP8/INT8全系列精度，支持Vector Core和Tensor Core计算模式，全面适应AI快速迭代创新；</w:t>
            </w:r>
          </w:p>
          <w:p>
            <w:pPr>
              <w:spacing w:line="288" w:lineRule="auto"/>
              <w:rPr>
                <w:rFonts w:ascii="宋体" w:hAnsi="宋体" w:cs="宋体"/>
                <w:kern w:val="0"/>
                <w:szCs w:val="21"/>
                <w:lang w:bidi="ar"/>
              </w:rPr>
            </w:pPr>
            <w:r>
              <w:rPr>
                <w:rFonts w:hint="eastAsia" w:ascii="宋体" w:hAnsi="宋体" w:cs="宋体"/>
                <w:kern w:val="0"/>
                <w:szCs w:val="21"/>
                <w:lang w:bidi="ar"/>
              </w:rPr>
              <w:t xml:space="preserve">8.阵列卡：≥4GB缓存，支持掉电保护，支RAID0/1/10/5/6/50/60/Tri-Mode; </w:t>
            </w:r>
          </w:p>
          <w:p>
            <w:pPr>
              <w:spacing w:line="288" w:lineRule="auto"/>
              <w:rPr>
                <w:rFonts w:ascii="宋体" w:hAnsi="宋体" w:cs="宋体"/>
                <w:kern w:val="0"/>
                <w:szCs w:val="21"/>
                <w:lang w:bidi="ar"/>
              </w:rPr>
            </w:pPr>
            <w:r>
              <w:rPr>
                <w:rFonts w:hint="eastAsia" w:ascii="宋体" w:hAnsi="宋体" w:cs="宋体"/>
                <w:kern w:val="0"/>
                <w:szCs w:val="21"/>
                <w:lang w:bidi="ar"/>
              </w:rPr>
              <w:t>9.网卡：四端口万兆光纤网卡，满配4个SFP模块；支持1/10/25/50/100/200/400GE网卡扩展;</w:t>
            </w:r>
          </w:p>
          <w:p>
            <w:pPr>
              <w:spacing w:line="288" w:lineRule="auto"/>
              <w:rPr>
                <w:rFonts w:ascii="宋体" w:hAnsi="宋体" w:cs="宋体"/>
                <w:kern w:val="0"/>
                <w:szCs w:val="21"/>
                <w:lang w:bidi="ar"/>
              </w:rPr>
            </w:pPr>
            <w:r>
              <w:rPr>
                <w:rFonts w:hint="eastAsia" w:ascii="宋体" w:hAnsi="宋体" w:cs="宋体"/>
                <w:kern w:val="0"/>
                <w:szCs w:val="21"/>
                <w:lang w:bidi="ar"/>
              </w:rPr>
              <w:t>▲10.电源：本次配置4个≥2700W冗余钛金级电源电源 (2+2),配置≥8个冗余风扇。</w:t>
            </w:r>
          </w:p>
          <w:p>
            <w:pPr>
              <w:spacing w:line="288" w:lineRule="auto"/>
              <w:rPr>
                <w:rFonts w:ascii="宋体" w:hAnsi="宋体" w:cs="宋体"/>
                <w:kern w:val="0"/>
                <w:szCs w:val="21"/>
                <w:lang w:bidi="ar"/>
              </w:rPr>
            </w:pPr>
            <w:r>
              <w:rPr>
                <w:rFonts w:hint="eastAsia" w:ascii="宋体" w:hAnsi="宋体" w:cs="宋体"/>
                <w:kern w:val="0"/>
                <w:szCs w:val="21"/>
                <w:lang w:bidi="ar"/>
              </w:rPr>
              <w:t>▲11.性能分析：要求在保修期内每个季度安排本地原厂工程师上门提供服务器性能分析服务，工程师上门时需佩戴原厂工牌，为服务器做连续7天的性能分析图文报告、包含CPU、内存、读写IOPS和硬盘延迟及队列等的时分峰值信息，而且在数据收集及性能分析过程中，不会在本地服务器产生临时文件和影响服务器性能，服务完成提供中文的PDF分析报告。</w:t>
            </w:r>
          </w:p>
          <w:p>
            <w:pPr>
              <w:spacing w:line="288" w:lineRule="auto"/>
              <w:rPr>
                <w:rFonts w:ascii="宋体" w:hAnsi="宋体" w:cs="宋体"/>
                <w:kern w:val="0"/>
                <w:szCs w:val="21"/>
                <w:lang w:bidi="ar"/>
              </w:rPr>
            </w:pPr>
            <w:r>
              <w:rPr>
                <w:rFonts w:hint="eastAsia" w:ascii="宋体" w:hAnsi="宋体" w:cs="宋体"/>
                <w:kern w:val="0"/>
                <w:szCs w:val="21"/>
                <w:lang w:bidi="ar"/>
              </w:rPr>
              <w:t>▲12.数据保护功能：</w:t>
            </w:r>
          </w:p>
          <w:p>
            <w:pPr>
              <w:spacing w:line="288" w:lineRule="auto"/>
              <w:rPr>
                <w:rFonts w:ascii="宋体" w:hAnsi="宋体" w:cs="宋体"/>
                <w:kern w:val="0"/>
                <w:szCs w:val="21"/>
                <w:lang w:bidi="ar"/>
              </w:rPr>
            </w:pPr>
            <w:r>
              <w:rPr>
                <w:rFonts w:hint="eastAsia" w:ascii="宋体" w:hAnsi="宋体" w:cs="宋体"/>
                <w:kern w:val="0"/>
                <w:szCs w:val="21"/>
                <w:lang w:bidi="ar"/>
              </w:rPr>
              <w:t>（1）采用I/O拆分方式进行容灾，在主备中心的虚拟机之间提供持续数据保护功能; 能够在本地或灾备数据中心保存过去一段时间内虚拟机的任意I/O恢复点，要求可回滚到7天内任意I/O状态；</w:t>
            </w:r>
          </w:p>
          <w:p>
            <w:pPr>
              <w:spacing w:line="288" w:lineRule="auto"/>
              <w:rPr>
                <w:rFonts w:ascii="宋体" w:hAnsi="宋体" w:cs="宋体"/>
                <w:kern w:val="0"/>
                <w:szCs w:val="21"/>
                <w:lang w:bidi="ar"/>
              </w:rPr>
            </w:pPr>
            <w:r>
              <w:rPr>
                <w:rFonts w:hint="eastAsia" w:ascii="宋体" w:hAnsi="宋体" w:cs="宋体"/>
                <w:kern w:val="0"/>
                <w:szCs w:val="21"/>
                <w:lang w:bidi="ar"/>
              </w:rPr>
              <w:t>（2）支持同步和异步两种方式，以满足不同性能和保护级别的需求；</w:t>
            </w:r>
          </w:p>
          <w:p>
            <w:pPr>
              <w:spacing w:line="288" w:lineRule="auto"/>
              <w:rPr>
                <w:rFonts w:ascii="宋体" w:hAnsi="宋体" w:cs="宋体"/>
                <w:kern w:val="0"/>
                <w:szCs w:val="21"/>
                <w:lang w:bidi="ar"/>
              </w:rPr>
            </w:pPr>
            <w:r>
              <w:rPr>
                <w:rFonts w:hint="eastAsia" w:ascii="宋体" w:hAnsi="宋体" w:cs="宋体"/>
                <w:kern w:val="0"/>
                <w:szCs w:val="21"/>
                <w:lang w:bidi="ar"/>
              </w:rPr>
              <w:t>（3）在虚拟机损坏以后，容灾虚拟机可以在15分钟以内接管业务，并支持任意时间点恢复数据：可以捕获并记录虚拟机的每一个写I/O操作，当数据需要恢复时，用户可从任意时间点中选择，使虚拟机能够基于以前的事务快速地从任一I/O时间点恢复；</w:t>
            </w:r>
          </w:p>
          <w:p>
            <w:pPr>
              <w:spacing w:line="288" w:lineRule="auto"/>
              <w:rPr>
                <w:rFonts w:ascii="宋体" w:hAnsi="宋体" w:cs="宋体"/>
                <w:kern w:val="0"/>
                <w:szCs w:val="21"/>
                <w:lang w:bidi="ar"/>
              </w:rPr>
            </w:pPr>
            <w:r>
              <w:rPr>
                <w:rFonts w:hint="eastAsia" w:ascii="宋体" w:hAnsi="宋体" w:cs="宋体"/>
                <w:kern w:val="0"/>
                <w:szCs w:val="21"/>
                <w:lang w:bidi="ar"/>
              </w:rPr>
              <w:t>（4）保证应用数据的一致性：提供虚拟机一致性功能，可以将某几个特定虚拟机绑定到一个一致性组中，以确保事务向以前时间点的回滚同时进行，从而确保虚拟机的一致恢复；</w:t>
            </w:r>
          </w:p>
          <w:p>
            <w:pPr>
              <w:spacing w:line="288" w:lineRule="auto"/>
              <w:rPr>
                <w:rFonts w:ascii="宋体" w:hAnsi="宋体" w:cs="宋体"/>
                <w:kern w:val="0"/>
                <w:szCs w:val="21"/>
                <w:lang w:bidi="ar"/>
              </w:rPr>
            </w:pPr>
            <w:r>
              <w:rPr>
                <w:rFonts w:hint="eastAsia" w:ascii="宋体" w:hAnsi="宋体" w:cs="宋体"/>
                <w:kern w:val="0"/>
                <w:szCs w:val="21"/>
                <w:lang w:bidi="ar"/>
              </w:rPr>
              <w:t>（5）事件书签集成：可以由系统自动生成事件书签，也可以由用户向系统输入自己的书签，通过书签，将系统范围的事件（虚拟机故障、系统错误等）与潜在的损坏事件关联起来，管理员可以通过选择书签来恢复数据，从而确保恢复的数据是正确的；</w:t>
            </w:r>
          </w:p>
          <w:p>
            <w:pPr>
              <w:spacing w:line="288" w:lineRule="auto"/>
              <w:rPr>
                <w:rFonts w:ascii="宋体" w:hAnsi="宋体" w:cs="宋体"/>
                <w:kern w:val="0"/>
                <w:szCs w:val="21"/>
                <w:lang w:bidi="ar"/>
              </w:rPr>
            </w:pPr>
            <w:r>
              <w:rPr>
                <w:rFonts w:hint="eastAsia" w:ascii="宋体" w:hAnsi="宋体" w:cs="宋体"/>
                <w:kern w:val="0"/>
                <w:szCs w:val="21"/>
                <w:lang w:bidi="ar"/>
              </w:rPr>
              <w:t>（6）对于捕获的虚拟机写I/O，既支持复制到本地站点，也支持复制到远程容灾站点。以上两种方式可以配合使用，提供对同一虚拟机的并行本地和远程保护；</w:t>
            </w:r>
          </w:p>
          <w:p>
            <w:pPr>
              <w:spacing w:line="288" w:lineRule="auto"/>
              <w:rPr>
                <w:rFonts w:ascii="宋体" w:hAnsi="宋体" w:cs="宋体"/>
                <w:kern w:val="0"/>
                <w:szCs w:val="21"/>
                <w:lang w:bidi="ar"/>
              </w:rPr>
            </w:pPr>
            <w:r>
              <w:rPr>
                <w:rFonts w:hint="eastAsia" w:ascii="宋体" w:hAnsi="宋体" w:cs="宋体"/>
                <w:kern w:val="0"/>
                <w:szCs w:val="21"/>
                <w:lang w:bidi="ar"/>
              </w:rPr>
              <w:t>（7）恢复点整合功能：提供恢复点整合功能，可以让用户能够决定将捕获的每一个写I/O操作保留多久，每日、每周或每月恢复点，从而让用户能够以一致性组为单位优化使用的日志空间，这样只使用其一部分就可以跟踪每一个写操作；余下的空间可用于保存每日、每周或每月恢复点。本次实施要求保留1周的回滚日志；</w:t>
            </w:r>
          </w:p>
          <w:p>
            <w:pPr>
              <w:spacing w:line="288" w:lineRule="auto"/>
              <w:rPr>
                <w:rFonts w:ascii="宋体" w:hAnsi="宋体" w:cs="宋体"/>
                <w:kern w:val="0"/>
                <w:szCs w:val="21"/>
                <w:lang w:bidi="ar"/>
              </w:rPr>
            </w:pPr>
            <w:r>
              <w:rPr>
                <w:rFonts w:hint="eastAsia" w:ascii="宋体" w:hAnsi="宋体" w:cs="宋体"/>
                <w:kern w:val="0"/>
                <w:szCs w:val="21"/>
                <w:lang w:bidi="ar"/>
              </w:rPr>
              <w:t>（8）采用基于“带外”方式的虚拟应用装置，不影响虚拟机性能；</w:t>
            </w:r>
          </w:p>
          <w:p>
            <w:pPr>
              <w:spacing w:line="288" w:lineRule="auto"/>
              <w:rPr>
                <w:rFonts w:ascii="宋体" w:hAnsi="宋体" w:cs="宋体"/>
                <w:kern w:val="0"/>
                <w:szCs w:val="21"/>
                <w:lang w:bidi="ar"/>
              </w:rPr>
            </w:pPr>
            <w:r>
              <w:rPr>
                <w:rFonts w:hint="eastAsia" w:ascii="宋体" w:hAnsi="宋体" w:cs="宋体"/>
                <w:kern w:val="0"/>
                <w:szCs w:val="21"/>
                <w:lang w:bidi="ar"/>
              </w:rPr>
              <w:t>（9）提供线性扩展能力，可以通过添加更多虚拟机应用装置，实现性能的线性扩展。每个虚拟数据中心的虚拟机应用装置数量可扩展至八个以上；增加虚拟应用装置无需额外授权和费用；</w:t>
            </w:r>
          </w:p>
          <w:p>
            <w:pPr>
              <w:spacing w:line="288" w:lineRule="auto"/>
              <w:rPr>
                <w:rFonts w:ascii="宋体" w:hAnsi="宋体" w:cs="宋体"/>
                <w:kern w:val="0"/>
                <w:szCs w:val="21"/>
                <w:lang w:bidi="ar"/>
              </w:rPr>
            </w:pPr>
            <w:r>
              <w:rPr>
                <w:rFonts w:hint="eastAsia" w:ascii="宋体" w:hAnsi="宋体" w:cs="宋体"/>
                <w:kern w:val="0"/>
                <w:szCs w:val="21"/>
                <w:lang w:bidi="ar"/>
              </w:rPr>
              <w:t>（10）容灾软件管理功能通过插件方式内嵌于VMware vCenter Web管理界面，使管理员能够在vCenter管理界面集中管理容灾软件所有的操作，包括设置复制关系和参数、查看复制状态、恢复到某一时间点，和启动生产故障切换等;</w:t>
            </w:r>
          </w:p>
          <w:p>
            <w:pPr>
              <w:spacing w:line="288" w:lineRule="auto"/>
              <w:rPr>
                <w:rFonts w:ascii="宋体" w:hAnsi="宋体" w:cs="宋体"/>
                <w:kern w:val="0"/>
                <w:szCs w:val="21"/>
                <w:lang w:bidi="ar"/>
              </w:rPr>
            </w:pPr>
            <w:r>
              <w:rPr>
                <w:rFonts w:hint="eastAsia" w:ascii="宋体" w:hAnsi="宋体" w:cs="宋体"/>
                <w:kern w:val="0"/>
                <w:szCs w:val="21"/>
                <w:lang w:bidi="ar"/>
              </w:rPr>
              <w:t>（11）单台服务器配置2个虚拟机容灾保护授权；</w:t>
            </w:r>
          </w:p>
          <w:p>
            <w:pPr>
              <w:spacing w:line="288" w:lineRule="auto"/>
              <w:rPr>
                <w:rFonts w:ascii="宋体" w:hAnsi="宋体" w:cs="宋体"/>
                <w:kern w:val="0"/>
                <w:szCs w:val="21"/>
                <w:lang w:bidi="ar"/>
              </w:rPr>
            </w:pPr>
            <w:r>
              <w:rPr>
                <w:rFonts w:hint="eastAsia" w:ascii="宋体" w:hAnsi="宋体" w:cs="宋体"/>
                <w:kern w:val="0"/>
                <w:szCs w:val="21"/>
                <w:lang w:bidi="ar"/>
              </w:rPr>
              <w:t xml:space="preserve">●（12）配置拷贝数据管理软件，使应用程序所有者可以自助管理拷贝数据需求，管理员只需执行初始设置和管理策略，即可实现敏捷和变革性的应用程序工作流；（如有，提供软件说明和官网截图） </w:t>
            </w:r>
          </w:p>
          <w:p>
            <w:pPr>
              <w:spacing w:line="288" w:lineRule="auto"/>
              <w:rPr>
                <w:rFonts w:ascii="宋体" w:hAnsi="宋体" w:cs="宋体"/>
                <w:kern w:val="0"/>
                <w:szCs w:val="21"/>
                <w:lang w:bidi="ar"/>
              </w:rPr>
            </w:pPr>
            <w:r>
              <w:rPr>
                <w:rFonts w:hint="eastAsia" w:ascii="宋体" w:hAnsi="宋体" w:cs="宋体"/>
                <w:kern w:val="0"/>
                <w:szCs w:val="21"/>
                <w:lang w:bidi="ar"/>
              </w:rPr>
              <w:t>（13）要求原厂工程师上门部署实施，上门时提供原厂工牌、原厂售后服务承诺函原件，实施完成将对上诉功能进行演示，如不满足招标要求，不予验收并追究相关责任。</w:t>
            </w:r>
          </w:p>
          <w:p>
            <w:pPr>
              <w:spacing w:line="288" w:lineRule="auto"/>
              <w:rPr>
                <w:rFonts w:ascii="宋体" w:hAnsi="宋体" w:cs="宋体"/>
                <w:kern w:val="0"/>
                <w:szCs w:val="21"/>
                <w:lang w:bidi="ar"/>
              </w:rPr>
            </w:pPr>
            <w:r>
              <w:rPr>
                <w:rFonts w:hint="eastAsia" w:ascii="宋体" w:hAnsi="宋体" w:cs="宋体"/>
                <w:kern w:val="0"/>
                <w:szCs w:val="21"/>
                <w:lang w:bidi="ar"/>
              </w:rPr>
              <w:t>▲13. 原有存储平台对接服务：</w:t>
            </w:r>
          </w:p>
          <w:p>
            <w:pPr>
              <w:spacing w:line="288" w:lineRule="auto"/>
              <w:rPr>
                <w:rFonts w:ascii="宋体" w:hAnsi="宋体" w:cs="宋体"/>
                <w:kern w:val="0"/>
                <w:szCs w:val="21"/>
                <w:lang w:bidi="ar"/>
              </w:rPr>
            </w:pPr>
            <w:r>
              <w:rPr>
                <w:rFonts w:hint="eastAsia" w:ascii="宋体" w:hAnsi="宋体" w:cs="宋体"/>
                <w:kern w:val="0"/>
                <w:szCs w:val="21"/>
                <w:lang w:bidi="ar"/>
              </w:rPr>
              <w:t>(1)本次项目购买的服务器须与学校原有PowerStore 1000T存储进行对接；</w:t>
            </w:r>
          </w:p>
          <w:p>
            <w:pPr>
              <w:spacing w:line="288" w:lineRule="auto"/>
              <w:rPr>
                <w:rFonts w:ascii="宋体" w:hAnsi="宋体" w:cs="宋体"/>
                <w:kern w:val="0"/>
                <w:szCs w:val="21"/>
                <w:lang w:bidi="ar"/>
              </w:rPr>
            </w:pPr>
            <w:r>
              <w:rPr>
                <w:rFonts w:hint="eastAsia" w:ascii="宋体" w:hAnsi="宋体" w:cs="宋体"/>
                <w:kern w:val="0"/>
                <w:szCs w:val="21"/>
                <w:lang w:bidi="ar"/>
              </w:rPr>
              <w:t>(2) 对现有存储已划分的LUN进行统一管理规划，现有业务数据进行迁移，符合规范管理要求；</w:t>
            </w:r>
          </w:p>
          <w:p>
            <w:pPr>
              <w:spacing w:line="288" w:lineRule="auto"/>
              <w:rPr>
                <w:rFonts w:ascii="宋体" w:hAnsi="宋体" w:cs="宋体"/>
                <w:kern w:val="0"/>
                <w:szCs w:val="21"/>
                <w:lang w:bidi="ar"/>
              </w:rPr>
            </w:pPr>
            <w:r>
              <w:rPr>
                <w:rFonts w:hint="eastAsia" w:ascii="宋体" w:hAnsi="宋体" w:cs="宋体"/>
                <w:kern w:val="0"/>
                <w:szCs w:val="21"/>
                <w:lang w:bidi="ar"/>
              </w:rPr>
              <w:t>(3)服务器与存储连接好后更新拓扑、同时交付实施-维护文档；</w:t>
            </w:r>
          </w:p>
          <w:p>
            <w:pPr>
              <w:spacing w:line="288" w:lineRule="auto"/>
              <w:rPr>
                <w:rFonts w:ascii="宋体" w:hAnsi="宋体" w:cs="宋体"/>
                <w:kern w:val="0"/>
                <w:szCs w:val="21"/>
                <w:lang w:bidi="ar"/>
              </w:rPr>
            </w:pPr>
            <w:r>
              <w:rPr>
                <w:rFonts w:hint="eastAsia" w:ascii="宋体" w:hAnsi="宋体" w:cs="宋体"/>
                <w:kern w:val="0"/>
                <w:szCs w:val="21"/>
                <w:lang w:bidi="ar"/>
              </w:rPr>
              <w:t>(4) 对原有数据中心设备、网线，光纤线梳理并按规范制作标签;</w:t>
            </w:r>
          </w:p>
          <w:p>
            <w:pPr>
              <w:spacing w:line="288" w:lineRule="auto"/>
              <w:rPr>
                <w:rFonts w:ascii="宋体" w:hAnsi="宋体" w:cs="宋体"/>
                <w:kern w:val="0"/>
                <w:szCs w:val="21"/>
                <w:lang w:bidi="ar"/>
              </w:rPr>
            </w:pPr>
            <w:r>
              <w:rPr>
                <w:rFonts w:hint="eastAsia" w:ascii="宋体" w:hAnsi="宋体" w:cs="宋体"/>
                <w:kern w:val="0"/>
                <w:szCs w:val="21"/>
                <w:lang w:bidi="ar"/>
              </w:rPr>
              <w:t>(5)为保障数据安全，本次项目实施须制定应用级容灾演练计划，容灾技术培训服务，所需软件和服务费用包含在报价里，采购人不另行支付；</w:t>
            </w:r>
          </w:p>
          <w:p>
            <w:pPr>
              <w:spacing w:line="288" w:lineRule="auto"/>
              <w:jc w:val="left"/>
              <w:rPr>
                <w:rFonts w:ascii="宋体" w:hAnsi="宋体" w:cs="宋体"/>
                <w:kern w:val="0"/>
                <w:szCs w:val="21"/>
                <w:lang w:bidi="ar"/>
              </w:rPr>
            </w:pPr>
            <w:r>
              <w:rPr>
                <w:rFonts w:hint="eastAsia" w:ascii="宋体" w:hAnsi="宋体" w:cs="宋体"/>
                <w:kern w:val="0"/>
                <w:szCs w:val="21"/>
                <w:lang w:bidi="ar"/>
              </w:rPr>
              <w:t>▲14.服务：原厂3年上门服务。</w:t>
            </w:r>
          </w:p>
          <w:p>
            <w:pPr>
              <w:spacing w:line="288" w:lineRule="auto"/>
              <w:jc w:val="left"/>
              <w:rPr>
                <w:rFonts w:ascii="宋体" w:hAnsi="宋体" w:cs="宋体"/>
                <w:kern w:val="0"/>
                <w:szCs w:val="21"/>
                <w:lang w:bidi="ar"/>
              </w:rPr>
            </w:pPr>
            <w:r>
              <w:rPr>
                <w:rFonts w:hint="eastAsia" w:ascii="宋体" w:hAnsi="宋体" w:cs="宋体"/>
                <w:kern w:val="0"/>
                <w:szCs w:val="21"/>
                <w:lang w:bidi="ar"/>
              </w:rPr>
              <w:t>▲15.大模型相关要求：</w:t>
            </w:r>
          </w:p>
          <w:p>
            <w:pPr>
              <w:spacing w:line="288" w:lineRule="auto"/>
              <w:jc w:val="left"/>
              <w:rPr>
                <w:rFonts w:ascii="宋体" w:hAnsi="宋体" w:cs="宋体"/>
                <w:kern w:val="0"/>
                <w:szCs w:val="21"/>
                <w:lang w:bidi="ar"/>
              </w:rPr>
            </w:pPr>
            <w:r>
              <w:rPr>
                <w:rFonts w:hint="eastAsia" w:ascii="宋体" w:hAnsi="宋体" w:cs="宋体"/>
                <w:kern w:val="0"/>
                <w:szCs w:val="21"/>
                <w:lang w:bidi="ar"/>
              </w:rPr>
              <w:t>（1）预装软件运行环境，包含模型权重、应用镜像等，实现DeepSeek</w:t>
            </w:r>
          </w:p>
          <w:p>
            <w:pPr>
              <w:spacing w:line="288" w:lineRule="auto"/>
              <w:jc w:val="left"/>
              <w:rPr>
                <w:rFonts w:ascii="宋体" w:hAnsi="宋体" w:cs="宋体"/>
                <w:kern w:val="0"/>
                <w:szCs w:val="21"/>
                <w:lang w:bidi="ar"/>
              </w:rPr>
            </w:pPr>
            <w:r>
              <w:rPr>
                <w:rFonts w:hint="eastAsia" w:ascii="宋体" w:hAnsi="宋体" w:cs="宋体"/>
                <w:kern w:val="0"/>
                <w:szCs w:val="21"/>
                <w:lang w:bidi="ar"/>
              </w:rPr>
              <w:t>全系模型分钟级离线部署；</w:t>
            </w:r>
          </w:p>
          <w:p>
            <w:pPr>
              <w:spacing w:line="288" w:lineRule="auto"/>
              <w:jc w:val="left"/>
              <w:rPr>
                <w:rFonts w:ascii="宋体" w:hAnsi="宋体" w:cs="宋体"/>
                <w:kern w:val="0"/>
                <w:szCs w:val="21"/>
                <w:lang w:bidi="ar"/>
              </w:rPr>
            </w:pPr>
            <w:r>
              <w:rPr>
                <w:rFonts w:hint="eastAsia" w:ascii="宋体" w:hAnsi="宋体" w:cs="宋体"/>
                <w:kern w:val="0"/>
                <w:szCs w:val="21"/>
                <w:lang w:bidi="ar"/>
              </w:rPr>
              <w:t>（2）支持行业标准API调用，支持一键开启网页对话，支持RAG知识库管理；</w:t>
            </w:r>
          </w:p>
          <w:p>
            <w:pPr>
              <w:spacing w:line="288" w:lineRule="auto"/>
              <w:jc w:val="left"/>
              <w:rPr>
                <w:rFonts w:ascii="宋体" w:hAnsi="宋体" w:cs="宋体"/>
                <w:kern w:val="0"/>
                <w:szCs w:val="21"/>
                <w:lang w:bidi="ar"/>
              </w:rPr>
            </w:pPr>
            <w:r>
              <w:rPr>
                <w:rFonts w:hint="eastAsia" w:ascii="宋体" w:hAnsi="宋体" w:cs="宋体"/>
                <w:kern w:val="0"/>
                <w:szCs w:val="21"/>
                <w:lang w:bidi="ar"/>
              </w:rPr>
              <w:t>（3）配置云原生AI网关实现并发过载自动排队，要求配置监控功能，保障推理服务稳定性达99.99%；</w:t>
            </w:r>
          </w:p>
          <w:p>
            <w:pPr>
              <w:spacing w:line="288" w:lineRule="auto"/>
              <w:jc w:val="left"/>
              <w:rPr>
                <w:rFonts w:ascii="宋体" w:hAnsi="宋体" w:cs="宋体"/>
                <w:kern w:val="0"/>
                <w:szCs w:val="21"/>
                <w:lang w:bidi="ar"/>
              </w:rPr>
            </w:pPr>
            <w:r>
              <w:rPr>
                <w:rFonts w:hint="eastAsia" w:ascii="宋体" w:hAnsi="宋体" w:cs="宋体"/>
                <w:kern w:val="0"/>
                <w:szCs w:val="21"/>
                <w:lang w:bidi="ar"/>
              </w:rPr>
              <w:t>●（4）单个模型的推理速度≥15 token/s，并发数≥256路。（如有，提供产品彩页或功能截图）；</w:t>
            </w:r>
          </w:p>
          <w:p>
            <w:pPr>
              <w:spacing w:line="288" w:lineRule="auto"/>
              <w:jc w:val="left"/>
              <w:rPr>
                <w:rFonts w:ascii="宋体" w:hAnsi="宋体" w:cs="宋体"/>
                <w:kern w:val="0"/>
                <w:szCs w:val="21"/>
                <w:lang w:bidi="ar"/>
              </w:rPr>
            </w:pPr>
            <w:r>
              <w:rPr>
                <w:rFonts w:hint="eastAsia" w:ascii="宋体" w:hAnsi="宋体" w:cs="宋体"/>
                <w:kern w:val="0"/>
                <w:szCs w:val="21"/>
                <w:lang w:bidi="ar"/>
              </w:rPr>
              <w:t>（5）模型推理、模型管理应可在校园内网环境部署、启动和使用，不得强制依赖公网推理接口；</w:t>
            </w:r>
          </w:p>
          <w:p>
            <w:pPr>
              <w:spacing w:line="288" w:lineRule="auto"/>
              <w:jc w:val="left"/>
              <w:rPr>
                <w:rFonts w:ascii="宋体" w:hAnsi="宋体" w:cs="宋体"/>
                <w:kern w:val="0"/>
                <w:szCs w:val="21"/>
                <w:lang w:bidi="ar"/>
              </w:rPr>
            </w:pPr>
            <w:r>
              <w:rPr>
                <w:rFonts w:hint="eastAsia" w:ascii="宋体" w:hAnsi="宋体" w:cs="宋体"/>
                <w:kern w:val="0"/>
                <w:szCs w:val="21"/>
                <w:lang w:bidi="ar"/>
              </w:rPr>
              <w:t>（6）提供与所配 GPU 兼容的驱动、运行时及容器或等效运行环境，支持多卡模型加载、量化模型加载和 GPU 状态查看；</w:t>
            </w:r>
          </w:p>
          <w:p>
            <w:pPr>
              <w:spacing w:line="288" w:lineRule="auto"/>
              <w:jc w:val="left"/>
              <w:rPr>
                <w:rFonts w:ascii="宋体" w:hAnsi="宋体" w:cs="宋体"/>
                <w:kern w:val="0"/>
                <w:szCs w:val="21"/>
                <w:lang w:bidi="ar"/>
              </w:rPr>
            </w:pPr>
            <w:r>
              <w:rPr>
                <w:rFonts w:hint="eastAsia" w:ascii="宋体" w:hAnsi="宋体" w:cs="宋体"/>
                <w:kern w:val="0"/>
                <w:szCs w:val="21"/>
                <w:lang w:bidi="ar"/>
              </w:rPr>
              <w:t>（7）提供本地模型服务启动、停止、配置及基础调用方式；</w:t>
            </w:r>
          </w:p>
          <w:p>
            <w:pPr>
              <w:spacing w:line="288" w:lineRule="auto"/>
              <w:jc w:val="left"/>
              <w:rPr>
                <w:rFonts w:ascii="宋体" w:hAnsi="宋体" w:cs="宋体"/>
                <w:kern w:val="0"/>
                <w:szCs w:val="21"/>
                <w:lang w:bidi="ar"/>
              </w:rPr>
            </w:pPr>
            <w:r>
              <w:rPr>
                <w:rFonts w:hint="eastAsia" w:ascii="宋体" w:hAnsi="宋体" w:cs="宋体"/>
                <w:kern w:val="0"/>
                <w:szCs w:val="21"/>
                <w:lang w:bidi="ar"/>
              </w:rPr>
              <w:t>（8）本地部署具有合法本地授权的文生视频模型，Qwen系列等开源文生文模型，Qwen-Image、FLUX 等开源文生图模型，具有合法本地授权的语音合成识别模型；</w:t>
            </w:r>
          </w:p>
          <w:p>
            <w:pPr>
              <w:spacing w:line="288" w:lineRule="auto"/>
              <w:jc w:val="left"/>
              <w:rPr>
                <w:lang w:bidi="ar"/>
              </w:rPr>
            </w:pPr>
            <w:r>
              <w:rPr>
                <w:rFonts w:hint="eastAsia" w:ascii="宋体" w:hAnsi="宋体" w:cs="宋体"/>
                <w:kern w:val="0"/>
                <w:szCs w:val="21"/>
                <w:lang w:bidi="ar"/>
              </w:rPr>
              <w:t>（9）本地部署ComfyUI，启动、模型加载与生成不得依赖公网调用，接入本地部署的模型，可根据模型合法授权情况接入文生视频工作流；至少包括文生图、图像处理或素材生成、视频生成或视频工作流三类；支持节点工作流的新建、导入、导出、保存和参数修改；交付工作流文件及操作说明；完成部署后提交 ComfyUI 部署手册、模型目录说明、工作流说明、管理员操作手册和常见故障处理说明。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4</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AIGC工作站</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1台</w:t>
            </w:r>
          </w:p>
        </w:tc>
        <w:tc>
          <w:tcPr>
            <w:tcW w:w="6859" w:type="dxa"/>
            <w:tcBorders>
              <w:top w:val="single" w:color="auto" w:sz="4" w:space="0"/>
              <w:left w:val="single" w:color="auto" w:sz="4" w:space="0"/>
              <w:bottom w:val="single" w:color="auto" w:sz="4" w:space="0"/>
              <w:right w:val="single" w:color="auto" w:sz="4" w:space="0"/>
            </w:tcBorders>
            <w:vAlign w:val="center"/>
          </w:tcPr>
          <w:p>
            <w:pPr>
              <w:spacing w:line="288" w:lineRule="auto"/>
              <w:jc w:val="left"/>
              <w:rPr>
                <w:rFonts w:ascii="宋体" w:hAnsi="宋体" w:cs="宋体"/>
                <w:kern w:val="0"/>
                <w:szCs w:val="21"/>
                <w:lang w:bidi="ar"/>
              </w:rPr>
            </w:pPr>
            <w:r>
              <w:rPr>
                <w:rFonts w:hint="eastAsia" w:ascii="宋体" w:hAnsi="宋体" w:cs="宋体"/>
                <w:kern w:val="0"/>
                <w:szCs w:val="21"/>
                <w:lang w:bidi="ar"/>
              </w:rPr>
              <w:t>▲1.处理器：≥十六核32线程，主频≥2.8G Hz，32M缓存，符合安全可靠测评要求；（通过政府有关部门指定的中国信息安全测评中心或国家保密科技测评中心网站查看安全可靠测评结果）；</w:t>
            </w:r>
          </w:p>
          <w:p>
            <w:pPr>
              <w:spacing w:line="288" w:lineRule="auto"/>
              <w:jc w:val="left"/>
              <w:rPr>
                <w:rFonts w:ascii="宋体" w:hAnsi="宋体" w:cs="宋体"/>
                <w:kern w:val="0"/>
                <w:szCs w:val="21"/>
                <w:lang w:bidi="ar"/>
              </w:rPr>
            </w:pPr>
            <w:r>
              <w:rPr>
                <w:rFonts w:hint="eastAsia" w:ascii="宋体" w:hAnsi="宋体" w:cs="宋体"/>
                <w:kern w:val="0"/>
                <w:szCs w:val="21"/>
                <w:lang w:bidi="ar"/>
              </w:rPr>
              <w:t>▲2.内存：≥64GB 5600MHZ DDR5，≥4个双通道内存插槽，本次配置64G之后额外预留2个插槽，方便后续扩展升级；</w:t>
            </w:r>
          </w:p>
          <w:p>
            <w:pPr>
              <w:spacing w:line="288" w:lineRule="auto"/>
              <w:jc w:val="left"/>
              <w:rPr>
                <w:rFonts w:ascii="宋体" w:hAnsi="宋体" w:cs="宋体"/>
                <w:kern w:val="0"/>
                <w:szCs w:val="21"/>
                <w:lang w:bidi="ar"/>
              </w:rPr>
            </w:pPr>
            <w:r>
              <w:rPr>
                <w:rFonts w:hint="eastAsia" w:ascii="宋体" w:hAnsi="宋体" w:cs="宋体"/>
                <w:kern w:val="0"/>
                <w:szCs w:val="21"/>
                <w:lang w:bidi="ar"/>
              </w:rPr>
              <w:t>3.内存插槽插满最大支持内存≥128GB；</w:t>
            </w:r>
          </w:p>
          <w:p>
            <w:pPr>
              <w:spacing w:line="288" w:lineRule="auto"/>
              <w:jc w:val="left"/>
              <w:rPr>
                <w:rFonts w:ascii="宋体" w:hAnsi="宋体" w:cs="宋体"/>
                <w:kern w:val="0"/>
                <w:szCs w:val="21"/>
                <w:lang w:bidi="ar"/>
              </w:rPr>
            </w:pPr>
            <w:r>
              <w:rPr>
                <w:rFonts w:hint="eastAsia" w:ascii="宋体" w:hAnsi="宋体" w:cs="宋体"/>
                <w:kern w:val="0"/>
                <w:szCs w:val="21"/>
                <w:lang w:bidi="ar"/>
              </w:rPr>
              <w:t>▲4.硬盘：配置4个SATA3.0硬盘扩展接口，2个M.2固态硬盘扩展槽位，本次配置1块M.2 1TB PCIE 4.0 NVMe高性能固态硬盘（非早期SATA固态硬盘），1块2TB SATA机械硬盘；</w:t>
            </w:r>
          </w:p>
          <w:p>
            <w:pPr>
              <w:spacing w:line="288" w:lineRule="auto"/>
              <w:jc w:val="left"/>
              <w:rPr>
                <w:rFonts w:ascii="宋体" w:hAnsi="宋体" w:cs="宋体"/>
                <w:kern w:val="0"/>
                <w:szCs w:val="21"/>
                <w:lang w:bidi="ar"/>
              </w:rPr>
            </w:pPr>
            <w:bookmarkStart w:id="2" w:name="OLE_LINK1"/>
            <w:r>
              <w:rPr>
                <w:rFonts w:hint="eastAsia" w:ascii="宋体" w:hAnsi="宋体" w:cs="宋体"/>
                <w:kern w:val="0"/>
                <w:szCs w:val="21"/>
                <w:lang w:bidi="ar"/>
              </w:rPr>
              <w:t>▲5.显卡：</w:t>
            </w:r>
            <w:bookmarkStart w:id="3" w:name="OLE_LINK2"/>
            <w:r>
              <w:rPr>
                <w:rFonts w:hint="eastAsia" w:ascii="宋体" w:hAnsi="宋体" w:cs="宋体"/>
                <w:kern w:val="0"/>
                <w:szCs w:val="21"/>
                <w:lang w:bidi="ar"/>
              </w:rPr>
              <w:t>≥48GB专业算力卡，显存位宽≥384位，显存带宽</w:t>
            </w:r>
            <w:r>
              <w:rPr>
                <w:rFonts w:ascii="宋体" w:hAnsi="宋体" w:cs="宋体"/>
                <w:kern w:val="0"/>
                <w:szCs w:val="21"/>
                <w:lang w:bidi="ar"/>
              </w:rPr>
              <w:t>≥768GB/s</w:t>
            </w:r>
            <w:r>
              <w:rPr>
                <w:rFonts w:hint="eastAsia" w:ascii="宋体" w:hAnsi="宋体" w:cs="宋体"/>
                <w:kern w:val="0"/>
                <w:szCs w:val="21"/>
                <w:lang w:bidi="ar"/>
              </w:rPr>
              <w:t>，GPU并行计算核心单元≥8192，INT8算力≥200 TOPS，</w:t>
            </w:r>
            <w:r>
              <w:rPr>
                <w:rFonts w:ascii="宋体" w:hAnsi="宋体" w:cs="宋体"/>
                <w:kern w:val="0"/>
                <w:szCs w:val="21"/>
                <w:lang w:bidi="ar"/>
              </w:rPr>
              <w:t>硬件原生支持 AVS2、H.264、H.265、AV1、VP9 视频编解码；内置硬件可信安全引擎，支持 TEE 可信执行环境、国密加解密算法；支持 GPU 硬件弹性切分、SR-IOV 硬件虚拟化隔离</w:t>
            </w:r>
            <w:r>
              <w:rPr>
                <w:rFonts w:hint="eastAsia" w:ascii="宋体" w:hAnsi="宋体" w:cs="宋体"/>
                <w:kern w:val="0"/>
                <w:szCs w:val="21"/>
                <w:lang w:bidi="ar"/>
              </w:rPr>
              <w:t>；支持</w:t>
            </w:r>
            <w:r>
              <w:rPr>
                <w:rFonts w:ascii="宋体" w:hAnsi="宋体" w:cs="宋体"/>
                <w:kern w:val="0"/>
                <w:szCs w:val="21"/>
                <w:lang w:bidi="ar"/>
              </w:rPr>
              <w:t>多</w:t>
            </w:r>
            <w:r>
              <w:rPr>
                <w:rFonts w:hint="eastAsia" w:ascii="宋体" w:hAnsi="宋体" w:cs="宋体"/>
                <w:kern w:val="0"/>
                <w:szCs w:val="21"/>
                <w:lang w:bidi="ar"/>
              </w:rPr>
              <w:t>GPU高速互联，</w:t>
            </w:r>
            <w:r>
              <w:rPr>
                <w:rFonts w:ascii="宋体" w:hAnsi="宋体" w:cs="宋体"/>
                <w:kern w:val="0"/>
                <w:szCs w:val="21"/>
                <w:lang w:bidi="ar"/>
              </w:rPr>
              <w:t>单链路双向带宽≥240GB/s，支持多卡集群互联部署，用于千亿大模型分布式训练</w:t>
            </w:r>
            <w:r>
              <w:rPr>
                <w:rFonts w:hint="eastAsia" w:ascii="宋体" w:hAnsi="宋体" w:cs="宋体"/>
                <w:kern w:val="0"/>
                <w:szCs w:val="21"/>
                <w:lang w:bidi="ar"/>
              </w:rPr>
              <w:t>；</w:t>
            </w:r>
          </w:p>
          <w:bookmarkEnd w:id="2"/>
          <w:bookmarkEnd w:id="3"/>
          <w:p>
            <w:pPr>
              <w:spacing w:line="288" w:lineRule="auto"/>
              <w:jc w:val="left"/>
              <w:rPr>
                <w:rFonts w:ascii="宋体" w:hAnsi="宋体" w:cs="宋体"/>
                <w:kern w:val="0"/>
                <w:szCs w:val="21"/>
                <w:lang w:bidi="ar"/>
              </w:rPr>
            </w:pPr>
            <w:r>
              <w:rPr>
                <w:rFonts w:hint="eastAsia" w:ascii="宋体" w:hAnsi="宋体" w:cs="宋体"/>
                <w:kern w:val="0"/>
                <w:szCs w:val="21"/>
                <w:lang w:bidi="ar"/>
              </w:rPr>
              <w:t>★6.显卡性能：配置3个视频接口,满足使用部门多屏幕同时显示需求；</w:t>
            </w:r>
          </w:p>
          <w:p>
            <w:pPr>
              <w:spacing w:line="288" w:lineRule="auto"/>
              <w:jc w:val="left"/>
              <w:rPr>
                <w:rFonts w:ascii="宋体" w:hAnsi="宋体" w:cs="宋体"/>
                <w:kern w:val="0"/>
                <w:szCs w:val="21"/>
                <w:lang w:bidi="ar"/>
              </w:rPr>
            </w:pPr>
            <w:r>
              <w:rPr>
                <w:rFonts w:hint="eastAsia" w:ascii="宋体" w:hAnsi="宋体" w:cs="宋体"/>
                <w:kern w:val="0"/>
                <w:szCs w:val="21"/>
                <w:lang w:bidi="ar"/>
              </w:rPr>
              <w:t>7.网卡：集成1000M自适应网卡；</w:t>
            </w:r>
          </w:p>
          <w:p>
            <w:pPr>
              <w:spacing w:line="288" w:lineRule="auto"/>
              <w:jc w:val="left"/>
              <w:rPr>
                <w:rFonts w:ascii="宋体" w:hAnsi="宋体" w:cs="宋体"/>
                <w:kern w:val="0"/>
                <w:szCs w:val="21"/>
                <w:lang w:bidi="ar"/>
              </w:rPr>
            </w:pPr>
            <w:r>
              <w:rPr>
                <w:rFonts w:hint="eastAsia" w:ascii="宋体" w:hAnsi="宋体" w:cs="宋体"/>
                <w:kern w:val="0"/>
                <w:szCs w:val="21"/>
                <w:lang w:bidi="ar"/>
              </w:rPr>
              <w:t>▲8.接口：≥10个USB 3.2接口，其中前置≥6个USB 3.2接口；≥1个串口，≥5个音频接口；</w:t>
            </w:r>
          </w:p>
          <w:p>
            <w:pPr>
              <w:spacing w:line="288" w:lineRule="auto"/>
              <w:jc w:val="left"/>
              <w:rPr>
                <w:rFonts w:ascii="宋体" w:hAnsi="宋体" w:cs="宋体"/>
                <w:kern w:val="0"/>
                <w:szCs w:val="21"/>
                <w:lang w:bidi="ar"/>
              </w:rPr>
            </w:pPr>
            <w:r>
              <w:rPr>
                <w:rFonts w:hint="eastAsia" w:ascii="宋体" w:hAnsi="宋体" w:cs="宋体"/>
                <w:kern w:val="0"/>
                <w:szCs w:val="21"/>
                <w:lang w:bidi="ar"/>
              </w:rPr>
              <w:t>▲9.电源：≥1100W，要求采用液冷一体化散热设计；</w:t>
            </w:r>
          </w:p>
          <w:p>
            <w:pPr>
              <w:spacing w:line="288" w:lineRule="auto"/>
              <w:jc w:val="left"/>
              <w:rPr>
                <w:rFonts w:ascii="宋体" w:hAnsi="宋体" w:cs="宋体"/>
                <w:kern w:val="0"/>
                <w:szCs w:val="21"/>
                <w:lang w:bidi="ar"/>
              </w:rPr>
            </w:pPr>
            <w:r>
              <w:rPr>
                <w:rFonts w:hint="eastAsia" w:ascii="宋体" w:hAnsi="宋体" w:cs="宋体"/>
                <w:kern w:val="0"/>
                <w:szCs w:val="21"/>
                <w:lang w:bidi="ar"/>
              </w:rPr>
              <w:t>10.键盘鼠标：与主机同品牌USB商务键鼠套装；</w:t>
            </w:r>
          </w:p>
          <w:p>
            <w:pPr>
              <w:spacing w:line="288" w:lineRule="auto"/>
              <w:jc w:val="left"/>
              <w:rPr>
                <w:rFonts w:ascii="宋体" w:hAnsi="宋体" w:cs="宋体"/>
                <w:kern w:val="0"/>
                <w:szCs w:val="21"/>
                <w:lang w:bidi="ar"/>
              </w:rPr>
            </w:pPr>
            <w:r>
              <w:rPr>
                <w:rFonts w:hint="eastAsia" w:ascii="宋体" w:hAnsi="宋体" w:cs="宋体"/>
                <w:kern w:val="0"/>
                <w:szCs w:val="21"/>
                <w:lang w:bidi="ar"/>
              </w:rPr>
              <w:t>▲11.配置与主机同品牌显示器：≥23.8"宽屏WLED防眩光低蓝光液晶显示器，分辨率（1920*1080），配置主流HDMI、DP、VGA接口分别不低于1个，满足使用部门不同需求；</w:t>
            </w:r>
          </w:p>
          <w:p>
            <w:pPr>
              <w:spacing w:line="288" w:lineRule="auto"/>
              <w:jc w:val="left"/>
              <w:rPr>
                <w:rFonts w:ascii="宋体" w:hAnsi="宋体" w:cs="宋体"/>
                <w:kern w:val="0"/>
                <w:szCs w:val="21"/>
                <w:lang w:bidi="ar"/>
              </w:rPr>
            </w:pPr>
            <w:r>
              <w:rPr>
                <w:rFonts w:hint="eastAsia" w:ascii="宋体" w:hAnsi="宋体" w:cs="宋体"/>
                <w:kern w:val="0"/>
                <w:szCs w:val="21"/>
                <w:lang w:bidi="ar"/>
              </w:rPr>
              <w:t>★12.显示器性能：刷新率≥100HZ，亮度≥300尼特，对比度≥3000：1,色域≥99%sRGB；</w:t>
            </w:r>
          </w:p>
          <w:p>
            <w:pPr>
              <w:spacing w:line="288" w:lineRule="auto"/>
              <w:jc w:val="left"/>
              <w:rPr>
                <w:rFonts w:hint="eastAsia" w:ascii="宋体" w:hAnsi="宋体" w:cs="宋体"/>
                <w:kern w:val="0"/>
                <w:szCs w:val="21"/>
                <w:lang w:bidi="ar"/>
              </w:rPr>
            </w:pPr>
            <w:r>
              <w:rPr>
                <w:rFonts w:hint="eastAsia" w:ascii="宋体" w:hAnsi="宋体" w:cs="宋体"/>
                <w:kern w:val="0"/>
                <w:szCs w:val="21"/>
                <w:lang w:bidi="ar"/>
              </w:rPr>
              <w:t>▲13.机箱：≥28L，机箱正面配置可拆卸防尘面板；</w:t>
            </w:r>
          </w:p>
          <w:p>
            <w:pPr>
              <w:spacing w:line="288" w:lineRule="auto"/>
              <w:jc w:val="left"/>
              <w:rPr>
                <w:rFonts w:ascii="宋体" w:hAnsi="宋体" w:cs="宋体"/>
                <w:kern w:val="0"/>
                <w:szCs w:val="21"/>
                <w:lang w:bidi="ar"/>
              </w:rPr>
            </w:pPr>
            <w:r>
              <w:rPr>
                <w:rFonts w:hint="eastAsia" w:ascii="宋体" w:hAnsi="宋体" w:cs="宋体"/>
                <w:kern w:val="0"/>
                <w:szCs w:val="21"/>
                <w:lang w:bidi="ar"/>
              </w:rPr>
              <w:t>▲14.保修与售后服务要求：三年原厂免费保修（整机保修，包括键盘、鼠标、显示器等）；三年下一个工作日上门服务，三年硬盘不回收更换服务；三年原厂VIP专业技术支持服务，提供专属热线和VIP接听通道，无需排队。供货时提供原厂售后服务承诺函，保障货物为原厂正规产品。</w:t>
            </w:r>
          </w:p>
          <w:p>
            <w:pPr>
              <w:spacing w:line="288" w:lineRule="auto"/>
              <w:jc w:val="left"/>
              <w:rPr>
                <w:rFonts w:ascii="宋体" w:hAnsi="宋体" w:cs="宋体"/>
                <w:kern w:val="0"/>
                <w:szCs w:val="21"/>
                <w:lang w:bidi="ar"/>
              </w:rPr>
            </w:pPr>
            <w:r>
              <w:rPr>
                <w:rFonts w:hint="eastAsia" w:ascii="宋体" w:hAnsi="宋体" w:cs="宋体"/>
                <w:kern w:val="0"/>
                <w:szCs w:val="21"/>
                <w:lang w:bidi="ar"/>
              </w:rPr>
              <w:t>▲15.品质保证：所供货物要求在原厂官网或微信公众号上能通过设备序列号查询到设备整机出厂配置，且必须与招标要求相吻合，设备出厂日期必须不早于合同签订日期2个月，保障货物为原厂全新整机出厂正规产品，不接受库存及拆改配机器。</w:t>
            </w:r>
          </w:p>
          <w:p>
            <w:pPr>
              <w:spacing w:line="288" w:lineRule="auto"/>
              <w:jc w:val="left"/>
              <w:rPr>
                <w:rFonts w:ascii="宋体" w:hAnsi="宋体" w:cs="宋体"/>
                <w:kern w:val="0"/>
                <w:szCs w:val="21"/>
                <w:lang w:bidi="ar"/>
              </w:rPr>
            </w:pPr>
            <w:r>
              <w:rPr>
                <w:rFonts w:hint="eastAsia" w:ascii="宋体" w:hAnsi="宋体" w:cs="宋体"/>
                <w:kern w:val="0"/>
                <w:szCs w:val="21"/>
                <w:lang w:bidi="ar"/>
              </w:rPr>
              <w:t>▲16.大模型适配要求：</w:t>
            </w:r>
          </w:p>
          <w:p>
            <w:pPr>
              <w:spacing w:line="288" w:lineRule="auto"/>
              <w:jc w:val="left"/>
              <w:rPr>
                <w:rFonts w:ascii="宋体" w:hAnsi="宋体" w:cs="宋体"/>
                <w:kern w:val="0"/>
                <w:szCs w:val="21"/>
                <w:lang w:bidi="ar"/>
              </w:rPr>
            </w:pPr>
            <w:r>
              <w:rPr>
                <w:rFonts w:hint="eastAsia" w:ascii="宋体" w:hAnsi="宋体" w:cs="宋体"/>
                <w:kern w:val="0"/>
                <w:szCs w:val="21"/>
                <w:lang w:bidi="ar"/>
              </w:rPr>
              <w:t>（1）适配主流LLM大模型，如DeepSeek R1、Qwen3等，支持本地部署LLM模型；</w:t>
            </w:r>
          </w:p>
          <w:p>
            <w:pPr>
              <w:spacing w:line="288" w:lineRule="auto"/>
              <w:jc w:val="left"/>
              <w:rPr>
                <w:rFonts w:ascii="宋体" w:hAnsi="宋体" w:cs="宋体"/>
                <w:kern w:val="0"/>
                <w:szCs w:val="21"/>
                <w:lang w:bidi="ar"/>
              </w:rPr>
            </w:pPr>
            <w:r>
              <w:rPr>
                <w:rFonts w:hint="eastAsia" w:ascii="宋体" w:hAnsi="宋体" w:cs="宋体"/>
                <w:kern w:val="0"/>
                <w:szCs w:val="21"/>
                <w:lang w:bidi="ar"/>
              </w:rPr>
              <w:t>（2）适配AIGC类大模型，如Wan2.1/Zimage等，支持文生图/文生视频/图生视频等场景，满足各类AI内容创作需求；</w:t>
            </w:r>
          </w:p>
          <w:p>
            <w:pPr>
              <w:spacing w:line="288" w:lineRule="auto"/>
              <w:jc w:val="left"/>
              <w:rPr>
                <w:rFonts w:ascii="宋体" w:hAnsi="宋体" w:cs="宋体"/>
                <w:kern w:val="0"/>
                <w:szCs w:val="21"/>
                <w:lang w:bidi="ar"/>
              </w:rPr>
            </w:pPr>
            <w:r>
              <w:rPr>
                <w:rFonts w:hint="eastAsia" w:ascii="宋体" w:hAnsi="宋体" w:cs="宋体"/>
                <w:kern w:val="0"/>
                <w:szCs w:val="21"/>
                <w:lang w:bidi="ar"/>
              </w:rPr>
              <w:t>●（3）要求提供可定制化的ComfyUI教学内容，支持各类线上平台无法支持的灵活ComfyUI参数配置以充分调用ComfyUI内建功能实现复杂效果，教学内容(工作流/场景等)可按需定制、部署，教学数据可长期保存、复盘；（如有，提供功能截图）</w:t>
            </w:r>
          </w:p>
          <w:p>
            <w:pPr>
              <w:spacing w:line="288" w:lineRule="auto"/>
              <w:jc w:val="left"/>
              <w:rPr>
                <w:rFonts w:ascii="宋体" w:hAnsi="宋体" w:cs="宋体"/>
                <w:kern w:val="0"/>
                <w:szCs w:val="21"/>
                <w:lang w:bidi="ar"/>
              </w:rPr>
            </w:pPr>
            <w:r>
              <w:rPr>
                <w:rFonts w:hint="eastAsia" w:ascii="宋体" w:hAnsi="宋体" w:cs="宋体"/>
                <w:kern w:val="0"/>
                <w:szCs w:val="21"/>
                <w:lang w:bidi="ar"/>
              </w:rPr>
              <w:t>（4）要求提供性能优化工具，提升LLM/AIGC应用负载的性能；</w:t>
            </w:r>
          </w:p>
          <w:p>
            <w:pPr>
              <w:spacing w:line="288" w:lineRule="auto"/>
              <w:jc w:val="left"/>
              <w:rPr>
                <w:rFonts w:ascii="宋体" w:hAnsi="宋体" w:cs="宋体"/>
                <w:kern w:val="0"/>
                <w:szCs w:val="21"/>
                <w:lang w:bidi="ar"/>
              </w:rPr>
            </w:pPr>
            <w:r>
              <w:rPr>
                <w:rFonts w:hint="eastAsia" w:ascii="宋体" w:hAnsi="宋体" w:cs="宋体"/>
                <w:kern w:val="0"/>
                <w:szCs w:val="21"/>
                <w:lang w:bidi="ar"/>
              </w:rPr>
              <w:t>（5）要求提供开源模型/软件预装服务，根据使用需求原厂预装Deepseek/Qwen/OpenwebUI/Wan系列AIGC模型/Z Image文生图模型/ComfyUI等。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5</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网络会议扩声系统</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2套</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ascii="宋体" w:hAnsi="宋体" w:cs="宋体"/>
                <w:b/>
                <w:bCs/>
                <w:kern w:val="0"/>
                <w:szCs w:val="21"/>
                <w:lang w:bidi="ar"/>
              </w:rPr>
            </w:pPr>
            <w:r>
              <w:rPr>
                <w:rFonts w:hint="eastAsia" w:ascii="宋体" w:hAnsi="宋体" w:cs="宋体"/>
                <w:b/>
                <w:bCs/>
                <w:kern w:val="0"/>
                <w:szCs w:val="21"/>
                <w:lang w:bidi="ar"/>
              </w:rPr>
              <w:t>一、主控制系统</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1．采用一体化设计，基于数字网络架构开发，可实现一根网线传输音频及各类信息，同时支持线上会议和线下会议。</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2.整机硬件配置控制器、核心芯片等网络通信模块；内置不少于450W电源模块，用于给POE音柱、有线手拉手麦克风等供电；前面板支持一个多功能旋钮，支持控制整体设备输出音量大小，支持对无线麦克风配对模式、有线麦克风配对模式、扬声器配对模式等功能模块进行选择与确认。（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3.内置不少于6路90W的POE++网口，不少于1路30W的POE网口，不少于1路RJ45网口。</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4.支持适配同品牌无线接收模块，单台支持带载 199个无线麦克风，无线麦克风支持 2.4G+U 段双频备份，连接稳定，可靠性强。</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5.单台设备支持带载 199 个有线麦克风，单台设备支持带载 199 个网络音柱/POE 天花喇叭。</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6.设备内置有线会讨主机、音频处理器、功放等功能，支持一台设备实现拾、调音、扩音三大功能。</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7.支持32进24出网络音频处理能力；</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8.内置自动混音台，包括混音和自动混音功能，还具备混音分量控制功能，同时具备反馈消除、回声消除、噪声消除模块；支持同时开24支麦克风发言，且无啸叫等异常现象。</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9.兼容 Dante 协议，支持兼容市面 BOSE、森海塞尔、舒尔等网络音频设备。</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10.支持同品牌会控屏控制，控制麦克风开关、扬声器音量大小、会后设备统一断电休眠等；支持远程控制设备休眠功能，一键管控；支持远程运维，监察设备运行状态，远程控制设备开关机、远程版本检测升级等功能。</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11.支持联动摄像机，实现摄像跟踪功能，声音画面同步；支持对接同品牌会议一体机，联动AI会议，实现智能撰写，实时翻译等功能。（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12.支持对接同品牌全向麦克风，实现全向麦克风拾音，给到视频会议远端场景，支持同时开24支麦克风发言，且无啸叫等异常现象。</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13.支持web上AI自动调音，无需音频处理器的上位机软件调试即可满足会议室使用；web支持专业模式，支持可视化配置音频矩阵等功能，支持自主选择降噪等级；web支持人声均衡模式、男声优化、女声优化、演奏模式、原生直出等EQ模式选择。（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14.web支持开启和结束麦克风、扬声器的配对功能。</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15.内置 NTP 时间校准服务器，可实时校准时间。</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16.支持OTA固件升级，连接web即可实现设备固件更新；支持日志导出功能，可快速排查异常。</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▲17.无需额外服务器，支持自定义订阅设备，可兼容不同电脑，支持windows电脑、MAC、国产化操作系统电脑；支持选择简体中文和英文。</w:t>
            </w:r>
          </w:p>
          <w:p>
            <w:pPr>
              <w:widowControl/>
              <w:spacing w:line="400" w:lineRule="exact"/>
              <w:jc w:val="left"/>
              <w:textAlignment w:val="center"/>
              <w:rPr>
                <w:rFonts w:ascii="宋体" w:hAnsi="宋体" w:cs="宋体"/>
                <w:b/>
                <w:bCs/>
                <w:kern w:val="0"/>
                <w:szCs w:val="21"/>
                <w:lang w:bidi="ar"/>
              </w:rPr>
            </w:pPr>
            <w:r>
              <w:rPr>
                <w:rFonts w:hint="eastAsia" w:ascii="宋体" w:hAnsi="宋体" w:cs="宋体"/>
                <w:b/>
                <w:bCs/>
                <w:kern w:val="0"/>
                <w:szCs w:val="21"/>
                <w:lang w:bidi="ar"/>
              </w:rPr>
              <w:t>二、配置2个麦克风</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1.心型指向性麦克风，支持精准补助正前方声音，有效屏蔽侧面与后方杂音。</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●2.支持U段和2.4G 双频段备份技术,兼顾抗千扰和远距离传输功能（如有，提供国家认证认可的检测机构出具的关于符合本项技术参数要求的检测报告复印件)。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3.高灵敏度收音，支持20cm理想拾音距离，声音清晰还原。</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●4.采用18650 蓄电池供电,长续航,内置标准 Type-C 充电接口,方便快捷，且支持 4000mAh 蓄电池（如有，提供国家认证认可的检测机构出具的关于符合本项技术参数要求的检测报告复印件)。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5.支持系统自动配对功能，设备开机后可自动连接配对，缩短调试时间</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6.支持按键复位功能。</w:t>
            </w:r>
          </w:p>
          <w:p>
            <w:pPr>
              <w:widowControl/>
              <w:spacing w:line="400" w:lineRule="exact"/>
              <w:jc w:val="left"/>
              <w:textAlignment w:val="center"/>
              <w:rPr>
                <w:rFonts w:ascii="宋体" w:hAnsi="宋体" w:cs="宋体"/>
                <w:b/>
                <w:bCs/>
                <w:kern w:val="0"/>
                <w:szCs w:val="21"/>
                <w:lang w:bidi="ar"/>
              </w:rPr>
            </w:pPr>
            <w:r>
              <w:rPr>
                <w:rFonts w:hint="eastAsia" w:ascii="宋体" w:hAnsi="宋体" w:cs="宋体"/>
                <w:b/>
                <w:bCs/>
                <w:kern w:val="0"/>
                <w:szCs w:val="21"/>
                <w:lang w:bidi="ar"/>
              </w:rPr>
              <w:t>三、配置1个信号控制器</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●1.采用AES67网络音频协议，低延时，高保真（如有，提供国家认证认可的检测机构出具的关于符合本项技术参数要求的检测报告复印件）。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2.支持U段和2.4G双频段备份技术，兼顾抗干扰和远距离传输功能。</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3.支持适配器和POE网线双模式供电。</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●4.支持199支麦克风同时连接，6人可同时发言（如有，提供国家认证认可的检测机构出具的关于符合本项技术参数要求的检测报告复印件）。</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5.支持系统自动配对功能，设备开机后可自动连接配对，缩短调试时间。</w:t>
            </w:r>
          </w:p>
          <w:p>
            <w:pPr>
              <w:widowControl/>
              <w:spacing w:line="400" w:lineRule="exact"/>
              <w:jc w:val="left"/>
              <w:textAlignment w:val="center"/>
              <w:rPr>
                <w:rFonts w:ascii="宋体" w:hAnsi="宋体" w:cs="宋体"/>
                <w:b/>
                <w:bCs/>
                <w:kern w:val="0"/>
                <w:szCs w:val="21"/>
                <w:lang w:bidi="ar"/>
              </w:rPr>
            </w:pPr>
            <w:r>
              <w:rPr>
                <w:rFonts w:hint="eastAsia" w:ascii="宋体" w:hAnsi="宋体" w:cs="宋体"/>
                <w:b/>
                <w:bCs/>
                <w:kern w:val="0"/>
                <w:szCs w:val="21"/>
                <w:lang w:bidi="ar"/>
              </w:rPr>
              <w:t>四、配置4个DSP音柱</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1.铝合金氧化工艺箱体设计，有效减少音箱失真，提高音频清晰度。</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2.支持POE++与AES67音频传输协议，毫秒级低延时简易搭建。</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3.声源类型：面声源。</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4.聚焦会议核心发言体验,采用双跑道型低音单元与20芯高音单元结合。</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5.</w:t>
            </w:r>
            <w:r>
              <w:rPr>
                <w:rFonts w:hint="eastAsia" w:ascii="宋体" w:hAnsi="宋体" w:cs="宋体"/>
              </w:rPr>
              <w:t xml:space="preserve"> </w:t>
            </w:r>
            <w:r>
              <w:rPr>
                <w:rFonts w:hint="eastAsia" w:ascii="宋体" w:hAnsi="宋体" w:cs="宋体"/>
                <w:kern w:val="0"/>
                <w:szCs w:val="21"/>
                <w:lang w:bidi="ar"/>
              </w:rPr>
              <w:t>配置原厂超薄壁挂安装支架，与墙面贴合安装，适合搭配LED、投影显示器使用。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6</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智慧讲台</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2台</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rFonts w:ascii="宋体" w:hAnsi="宋体" w:cs="宋体"/>
                <w:szCs w:val="21"/>
              </w:rPr>
            </w:pPr>
            <w:r>
              <w:rPr>
                <w:rFonts w:hint="eastAsia" w:ascii="宋体" w:hAnsi="宋体" w:cs="宋体"/>
                <w:szCs w:val="21"/>
              </w:rPr>
              <w:t>一、讲台底座</w:t>
            </w:r>
          </w:p>
          <w:p>
            <w:pPr>
              <w:widowControl/>
              <w:spacing w:line="300" w:lineRule="auto"/>
              <w:jc w:val="left"/>
              <w:textAlignment w:val="center"/>
              <w:rPr>
                <w:rFonts w:ascii="宋体" w:hAnsi="宋体" w:cs="宋体"/>
                <w:szCs w:val="21"/>
              </w:rPr>
            </w:pPr>
            <w:r>
              <w:rPr>
                <w:rFonts w:hint="eastAsia" w:ascii="宋体" w:hAnsi="宋体" w:cs="宋体"/>
                <w:szCs w:val="21"/>
              </w:rPr>
              <w:t>1.钢木结合设计，采用冷轧钢板桌体，桌体金属板厚度≥0.8~1.5mm，老师接触位置为木质桌面，桌面采用E0级环保高密度板。</w:t>
            </w:r>
          </w:p>
          <w:p>
            <w:pPr>
              <w:widowControl/>
              <w:spacing w:line="300" w:lineRule="auto"/>
              <w:jc w:val="left"/>
              <w:textAlignment w:val="center"/>
              <w:rPr>
                <w:rFonts w:ascii="宋体" w:hAnsi="宋体" w:cs="宋体"/>
                <w:szCs w:val="21"/>
              </w:rPr>
            </w:pPr>
            <w:r>
              <w:rPr>
                <w:rFonts w:hint="eastAsia" w:ascii="宋体" w:hAnsi="宋体" w:cs="宋体"/>
                <w:szCs w:val="21"/>
              </w:rPr>
              <w:t>2.讲台尺寸设计为长×宽×高：≥ 1100×550×1030 ±5mm，环抱老师式设计，根据人体力学设计，讲台桌面高度合适老师放置教学用品。</w:t>
            </w:r>
          </w:p>
          <w:p>
            <w:pPr>
              <w:widowControl/>
              <w:spacing w:line="300" w:lineRule="auto"/>
              <w:jc w:val="left"/>
              <w:textAlignment w:val="center"/>
              <w:rPr>
                <w:rFonts w:ascii="宋体" w:hAnsi="宋体" w:cs="宋体"/>
                <w:szCs w:val="21"/>
              </w:rPr>
            </w:pPr>
            <w:r>
              <w:rPr>
                <w:rFonts w:hint="eastAsia" w:ascii="宋体" w:hAnsi="宋体" w:cs="宋体"/>
                <w:szCs w:val="21"/>
              </w:rPr>
              <w:t>3.讲台桌面平整，全封闭设计，整体外观圆弧设计，无菱角处理，正面中部受到170N的冲击力时不会倾倒，保护师生安全。</w:t>
            </w:r>
          </w:p>
          <w:p>
            <w:pPr>
              <w:widowControl/>
              <w:spacing w:line="300" w:lineRule="auto"/>
              <w:jc w:val="left"/>
              <w:textAlignment w:val="center"/>
              <w:rPr>
                <w:rFonts w:ascii="宋体" w:hAnsi="宋体" w:cs="宋体"/>
                <w:szCs w:val="21"/>
              </w:rPr>
            </w:pPr>
            <w:r>
              <w:rPr>
                <w:rFonts w:hint="eastAsia" w:ascii="宋体" w:hAnsi="宋体" w:cs="宋体"/>
                <w:szCs w:val="21"/>
              </w:rPr>
              <w:t>4.讲台支持标准机柜收纳，支持≥12U的设备收纳放置，收纳空间（含机柜部分）≥965mm×505mm×600mm±5mm，前后门都可以打开，方便设备安装及维护，前门采用旋钮式螺丝设计，美观且易于操作，后门采用双开门式设计，只需要一把钥匙管理；</w:t>
            </w:r>
          </w:p>
          <w:p>
            <w:pPr>
              <w:widowControl/>
              <w:spacing w:line="300" w:lineRule="auto"/>
              <w:jc w:val="left"/>
              <w:textAlignment w:val="center"/>
              <w:rPr>
                <w:rFonts w:ascii="宋体" w:hAnsi="宋体" w:cs="宋体"/>
                <w:szCs w:val="21"/>
              </w:rPr>
            </w:pPr>
            <w:r>
              <w:rPr>
                <w:rFonts w:hint="eastAsia" w:ascii="宋体" w:hAnsi="宋体" w:cs="宋体"/>
                <w:szCs w:val="21"/>
              </w:rPr>
              <w:t>5.讲台机柜门采用大面积散热孔设计，易于柜内设备的通风散热，避免设备损坏。</w:t>
            </w:r>
          </w:p>
          <w:p>
            <w:pPr>
              <w:widowControl/>
              <w:spacing w:line="300" w:lineRule="auto"/>
              <w:jc w:val="left"/>
              <w:textAlignment w:val="center"/>
              <w:rPr>
                <w:rFonts w:ascii="宋体" w:hAnsi="宋体" w:cs="宋体"/>
                <w:szCs w:val="21"/>
              </w:rPr>
            </w:pPr>
            <w:r>
              <w:rPr>
                <w:rFonts w:hint="eastAsia" w:ascii="宋体" w:hAnsi="宋体" w:cs="宋体"/>
                <w:szCs w:val="21"/>
              </w:rPr>
              <w:t>6.讲台正面支持学校进行LOGO定制。</w:t>
            </w:r>
          </w:p>
          <w:p>
            <w:pPr>
              <w:widowControl/>
              <w:spacing w:line="300" w:lineRule="auto"/>
              <w:jc w:val="left"/>
              <w:textAlignment w:val="center"/>
              <w:rPr>
                <w:rFonts w:ascii="宋体" w:hAnsi="宋体" w:cs="宋体"/>
                <w:szCs w:val="21"/>
              </w:rPr>
            </w:pPr>
            <w:r>
              <w:rPr>
                <w:rFonts w:hint="eastAsia" w:ascii="宋体" w:hAnsi="宋体" w:cs="宋体"/>
                <w:szCs w:val="21"/>
              </w:rPr>
              <w:t>二、屏体</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1.屏体的屏幕采用≥23.8英寸电容触摸屏（简称：屏幕）且采用防眩光钢化玻璃面板，厚度≥2mm；支持≥10点触控；支持屏幕手动角度调节，可实现与桌面形成20°至80°角度调节；（如有，提供具有CMA或CNAS认证的第三方检测机构所出具的关于该功能的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2.屏体侧面具有物理实体快捷按键≥6个，按键功能包括对屏幕一键开/关屏幕、对匹配的大屏（如智慧黑板，简称：大屏）进行一键熄屏以及一键音量加、一键音量减。</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3.屏体侧边具有≥2路USB数据口，可接入U盘等设备，且可被匹配的大屏识别和通讯；≥1路Type-C和HDMI IN接口，均可单路将连接外界笔记本电脑画面显示在屏幕及匹配的大屏上，其中Type-C还可连接外接移动桌面系统终端（如PAD、笔记本、手机等）即可将移动桌面系统终端画面显示在主屏幕及匹配的大屏上并可用于充电；具有≥1个220V国标五插电源接口，支持对外供电。（如有，提供具有CMA或CNAS认证的第三方检测机构所出具的关于该功能的检测报告复印件）</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4.屏体底座内置接口：HDMI IN≥2个；HDMI OUT≥1个;USB≥4个；RJ45≥1个；AUDIO OUT≥1个；RS232≥1个。</w:t>
            </w:r>
          </w:p>
          <w:p>
            <w:pPr>
              <w:widowControl/>
              <w:spacing w:line="300" w:lineRule="auto"/>
              <w:jc w:val="left"/>
              <w:textAlignment w:val="center"/>
              <w:rPr>
                <w:rFonts w:ascii="宋体" w:hAnsi="宋体" w:cs="宋体"/>
                <w:szCs w:val="21"/>
              </w:rPr>
            </w:pPr>
            <w:r>
              <w:rPr>
                <w:rFonts w:hint="eastAsia" w:ascii="宋体" w:hAnsi="宋体" w:cs="宋体"/>
                <w:szCs w:val="21"/>
              </w:rPr>
              <w:t>5.屏体侧边内置NFC模块；讲台屏至少支持NFC刷卡、二维码2种方式实现设备使用前的用户身份认证。</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6.讲台屏自带定制化独立操作系统，基于Android 11及以上版本，可在任意通道下唤出多功能中控菜单并实现相关操作。</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7.屏幕可调出中控菜单界面，支持一键上课及下课两种场景控制，也可以对连接的设备单独控制开关机；支持对屏幕输入源显示画面切换，包括智能平板、电脑、HDMI、Type-C；</w:t>
            </w:r>
          </w:p>
          <w:p>
            <w:pPr>
              <w:widowControl/>
              <w:spacing w:line="300" w:lineRule="auto"/>
              <w:jc w:val="left"/>
              <w:textAlignment w:val="center"/>
              <w:rPr>
                <w:rFonts w:ascii="宋体" w:hAnsi="宋体" w:cs="宋体"/>
                <w:szCs w:val="21"/>
              </w:rPr>
            </w:pPr>
            <w:r>
              <w:rPr>
                <w:rFonts w:hint="eastAsia" w:ascii="宋体" w:hAnsi="宋体" w:cs="宋体"/>
                <w:szCs w:val="21"/>
              </w:rPr>
              <w:t>8.支持当接入匹配教室内的录播产品时，可显示录播导播流画面，选择开始录制、暂停录制和结束录制等功能；支持当接入匹配教室内的物联产品时，可视化显示物联设备且可进行应用场景化管理；</w:t>
            </w:r>
          </w:p>
          <w:p>
            <w:pPr>
              <w:widowControl/>
              <w:spacing w:line="400" w:lineRule="exact"/>
              <w:jc w:val="left"/>
              <w:textAlignment w:val="center"/>
              <w:rPr>
                <w:rFonts w:ascii="宋体" w:hAnsi="宋体" w:cs="宋体"/>
                <w:kern w:val="0"/>
                <w:szCs w:val="21"/>
                <w:lang w:bidi="ar"/>
              </w:rPr>
            </w:pPr>
            <w:r>
              <w:rPr>
                <w:rFonts w:hint="eastAsia" w:ascii="宋体" w:hAnsi="宋体" w:cs="宋体"/>
                <w:szCs w:val="21"/>
              </w:rPr>
              <w:t>9.支持控制讲桌升降，无需使用升降控制器物理按键操作，并可通过软件与老师账号绑定记录老师独有的升降高度数据。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7</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机柜</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2个</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szCs w:val="21"/>
              </w:rPr>
            </w:pPr>
            <w:r>
              <w:rPr>
                <w:rFonts w:hint="eastAsia"/>
                <w:szCs w:val="21"/>
              </w:rPr>
              <w:t>1.≥15U；</w:t>
            </w:r>
          </w:p>
          <w:p>
            <w:pPr>
              <w:widowControl/>
              <w:spacing w:line="300" w:lineRule="auto"/>
              <w:jc w:val="left"/>
              <w:textAlignment w:val="center"/>
              <w:rPr>
                <w:szCs w:val="21"/>
              </w:rPr>
            </w:pPr>
            <w:r>
              <w:rPr>
                <w:rFonts w:hint="eastAsia"/>
                <w:szCs w:val="21"/>
              </w:rPr>
              <w:t>2.标配风扇，层板电源各1个；</w:t>
            </w:r>
          </w:p>
          <w:p>
            <w:pPr>
              <w:widowControl/>
              <w:spacing w:line="300" w:lineRule="auto"/>
              <w:jc w:val="left"/>
              <w:textAlignment w:val="center"/>
              <w:rPr>
                <w:rFonts w:ascii="宋体" w:hAnsi="宋体" w:cs="宋体"/>
                <w:szCs w:val="21"/>
              </w:rPr>
            </w:pPr>
            <w:r>
              <w:rPr>
                <w:rFonts w:hint="eastAsia"/>
                <w:szCs w:val="21"/>
              </w:rPr>
              <w:t>3.优质冷轧钢板制作，酸洗磷化静电喷塑。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8</w:t>
            </w:r>
          </w:p>
        </w:tc>
        <w:tc>
          <w:tcPr>
            <w:tcW w:w="13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交换机</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6台</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rFonts w:ascii="宋体" w:hAnsi="宋体" w:cs="宋体"/>
                <w:szCs w:val="21"/>
              </w:rPr>
            </w:pPr>
            <w:r>
              <w:rPr>
                <w:rFonts w:hint="eastAsia" w:ascii="宋体" w:hAnsi="宋体" w:cs="宋体"/>
                <w:szCs w:val="21"/>
              </w:rPr>
              <w:t>一、单台配置要求</w:t>
            </w:r>
          </w:p>
          <w:p>
            <w:pPr>
              <w:widowControl/>
              <w:spacing w:line="300" w:lineRule="auto"/>
              <w:jc w:val="left"/>
              <w:textAlignment w:val="center"/>
              <w:rPr>
                <w:rFonts w:ascii="宋体" w:hAnsi="宋体" w:cs="宋体"/>
                <w:szCs w:val="21"/>
              </w:rPr>
            </w:pPr>
            <w:r>
              <w:rPr>
                <w:rFonts w:hint="eastAsia" w:ascii="宋体" w:hAnsi="宋体" w:cs="宋体"/>
                <w:szCs w:val="21"/>
              </w:rPr>
              <w:t>▲1.单机固化10/100/1000M以太网端口≥24，非复用千兆光接口≥4个，最大可用千兆口≥28；</w:t>
            </w:r>
          </w:p>
          <w:p>
            <w:pPr>
              <w:widowControl/>
              <w:spacing w:line="300" w:lineRule="auto"/>
              <w:jc w:val="left"/>
              <w:textAlignment w:val="center"/>
              <w:rPr>
                <w:rFonts w:ascii="宋体" w:hAnsi="宋体" w:cs="宋体"/>
                <w:szCs w:val="21"/>
              </w:rPr>
            </w:pPr>
            <w:r>
              <w:rPr>
                <w:rFonts w:hint="eastAsia" w:ascii="宋体" w:hAnsi="宋体" w:cs="宋体"/>
                <w:szCs w:val="21"/>
              </w:rPr>
              <w:t>2.为便于上架操作及设备使用，要求前置电源接口；</w:t>
            </w:r>
          </w:p>
          <w:p>
            <w:pPr>
              <w:widowControl/>
              <w:spacing w:line="300" w:lineRule="auto"/>
              <w:jc w:val="left"/>
              <w:textAlignment w:val="center"/>
              <w:rPr>
                <w:rFonts w:ascii="宋体" w:hAnsi="宋体" w:cs="宋体"/>
                <w:szCs w:val="21"/>
              </w:rPr>
            </w:pPr>
            <w:r>
              <w:rPr>
                <w:rFonts w:hint="eastAsia" w:ascii="宋体" w:hAnsi="宋体" w:cs="宋体"/>
                <w:szCs w:val="21"/>
              </w:rPr>
              <w:t>二、技术参数要求</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1.交换容量≥255Gbps，包转发率≥95Mpps，MAC 地址表≥16K；</w:t>
            </w:r>
          </w:p>
          <w:p>
            <w:pPr>
              <w:widowControl/>
              <w:spacing w:line="300" w:lineRule="auto"/>
              <w:jc w:val="left"/>
              <w:textAlignment w:val="center"/>
              <w:rPr>
                <w:rFonts w:ascii="宋体" w:hAnsi="宋体" w:cs="宋体"/>
                <w:szCs w:val="21"/>
              </w:rPr>
            </w:pPr>
            <w:r>
              <w:rPr>
                <w:rFonts w:hint="eastAsia" w:ascii="宋体" w:hAnsi="宋体" w:cs="宋体"/>
                <w:szCs w:val="21"/>
              </w:rPr>
              <w:t>2.所投产品采用静音设计，要求无风扇；</w:t>
            </w:r>
          </w:p>
          <w:p>
            <w:pPr>
              <w:widowControl/>
              <w:spacing w:line="300" w:lineRule="auto"/>
              <w:jc w:val="left"/>
              <w:textAlignment w:val="center"/>
              <w:rPr>
                <w:rFonts w:ascii="宋体" w:hAnsi="宋体" w:cs="宋体"/>
                <w:szCs w:val="21"/>
              </w:rPr>
            </w:pPr>
            <w:r>
              <w:rPr>
                <w:rFonts w:hint="eastAsia" w:ascii="宋体" w:hAnsi="宋体" w:cs="宋体"/>
                <w:szCs w:val="21"/>
              </w:rPr>
              <w:t>3.所投产品接口要求符合8KV防雷；</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4.要求支持标准的以太网OAM功能，要求设备提供断电告警功能，要求设备支持sflow，要求设备支持端口LED shutdown功能，要求设备支持能效以太网（ 802.3az ），要求设备支持生成树快速收敛，要求广播收敛时间小于30ms，（如有请提供国家认可第三方测试报告）；</w:t>
            </w:r>
          </w:p>
          <w:p>
            <w:pPr>
              <w:widowControl/>
              <w:spacing w:line="300" w:lineRule="auto"/>
              <w:jc w:val="left"/>
              <w:textAlignment w:val="center"/>
              <w:rPr>
                <w:rFonts w:ascii="宋体" w:hAnsi="宋体" w:cs="宋体"/>
                <w:szCs w:val="21"/>
              </w:rPr>
            </w:pPr>
            <w:r>
              <w:rPr>
                <w:rFonts w:hint="eastAsia" w:ascii="宋体" w:hAnsi="宋体" w:cs="宋体"/>
                <w:szCs w:val="21"/>
              </w:rPr>
              <w:t>5.要求支持增强型多VLAN子网流量工程,实现非环网条件下的快速收敛；</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6.要求支持ARP自动防御特性，要求支持动态ARP检测功能，要求支持防Dos攻击、CPU安全防护，要求支持DHCP Snooping per vlan等安全特性（如有请提供国家认可第三方测试报告）；</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7. 要求设备支持IPV6 SAVI、DHCP Server特性，要求支持专业级IPV4/IPV6 ACL功能：IPv4 Vlan ACL、IPv6 Vlan ACL、IPv6 Port-Range ACL（如有请提供国家认可第三方测试报告）；</w:t>
            </w:r>
          </w:p>
          <w:p>
            <w:pPr>
              <w:widowControl/>
              <w:spacing w:line="300" w:lineRule="auto"/>
              <w:jc w:val="left"/>
              <w:textAlignment w:val="center"/>
              <w:rPr>
                <w:rFonts w:ascii="宋体" w:hAnsi="宋体" w:cs="宋体"/>
                <w:szCs w:val="21"/>
              </w:rPr>
            </w:pPr>
            <w:r>
              <w:rPr>
                <w:rFonts w:hint="eastAsia" w:ascii="宋体" w:hAnsi="宋体" w:cs="宋体"/>
                <w:szCs w:val="21"/>
              </w:rPr>
              <w:t>8. 要求交换机支持多种认证方式：802.1X认证和WebPortal认证；</w:t>
            </w:r>
          </w:p>
          <w:p>
            <w:pPr>
              <w:widowControl/>
              <w:spacing w:line="300" w:lineRule="auto"/>
              <w:jc w:val="left"/>
              <w:textAlignment w:val="center"/>
              <w:rPr>
                <w:rFonts w:ascii="宋体" w:hAnsi="宋体" w:cs="宋体"/>
                <w:szCs w:val="21"/>
              </w:rPr>
            </w:pPr>
            <w:r>
              <w:rPr>
                <w:rFonts w:hint="eastAsia" w:ascii="宋体" w:hAnsi="宋体" w:cs="宋体"/>
                <w:szCs w:val="21"/>
              </w:rPr>
              <w:t>9. 要求支持信源受控组播、目的受控组播、策略组播等IPv4/IPv6受控组播功能；</w:t>
            </w:r>
          </w:p>
          <w:p>
            <w:pPr>
              <w:widowControl/>
              <w:spacing w:line="300" w:lineRule="auto"/>
              <w:jc w:val="left"/>
              <w:textAlignment w:val="center"/>
              <w:rPr>
                <w:szCs w:val="21"/>
              </w:rPr>
            </w:pPr>
            <w:r>
              <w:rPr>
                <w:rFonts w:hint="eastAsia" w:ascii="宋体" w:hAnsi="宋体" w:cs="宋体"/>
                <w:szCs w:val="21"/>
              </w:rPr>
              <w:t>10. 支持独立VLAN组播功能，非全局组播。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9</w:t>
            </w:r>
          </w:p>
        </w:tc>
        <w:tc>
          <w:tcPr>
            <w:tcW w:w="1345"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ascii="宋体" w:hAnsi="宋体" w:cs="宋体"/>
                <w:szCs w:val="21"/>
              </w:rPr>
              <w:t>综合布线（含网线和电线）</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2项</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szCs w:val="21"/>
              </w:rPr>
            </w:pPr>
            <w:r>
              <w:rPr>
                <w:rFonts w:hint="eastAsia"/>
                <w:szCs w:val="21"/>
              </w:rPr>
              <w:t>1.</w:t>
            </w:r>
            <w:r>
              <w:rPr>
                <w:szCs w:val="21"/>
              </w:rPr>
              <w:t>采用60+1布局，标准化全屋隐藏式线槽综合布线施工工艺，整体遵循强弱电物理隔离、分层分槽敷设、全程隐蔽防护的施工原则，根据60台学生终端及1台教师主控终端点位对墙面、踢脚线进行规范精准开槽处理，槽体清理找平后暗埋敷设全套线路，其中强电系统由教室专用空开箱与分级漏电保护开关提供过载、短路、漏电安全防护，采用教师机独立回路、学生机分组回路的供电模式，所有强电电源线重点位置加装金属屏蔽护管防护，搭配阻燃PVC线槽规整收纳，各终端点位统一安装标准化电源插座，保障设备供电安全稳定；弱电系统全程采用国标六类网线实施一机一线、点对点独立布线，实现千兆稳定网络传输，弱电线缆与强电管线保持规范间距并辅以屏蔽防护，有效杜绝电磁干扰，所有墙面预埋管线完工后全线加装不锈钢线槽封闭覆盖，实现隐蔽规整的布线效果，针对地面出线、线槽收口及桌椅走线区域铺设抗压耐磨地面保护槽，避免线缆碾压破损与通行安全隐患，整套布线系统融合开槽预埋、PVC规整、金属屏蔽、不锈钢封闭、地面防护与分级配电保护体系，具备安全系数高、抗干扰能力强、外观整洁规范、运维便捷、适配机房长期批量设备稳定运行的特点，完全满足日常教学、上机实训的使用需求</w:t>
            </w:r>
            <w:r>
              <w:rPr>
                <w:rFonts w:hint="eastAsia"/>
                <w:szCs w:val="21"/>
              </w:rPr>
              <w:t>；</w:t>
            </w:r>
          </w:p>
          <w:p>
            <w:pPr>
              <w:pStyle w:val="2"/>
              <w:ind w:firstLine="0" w:firstLineChars="0"/>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xml:space="preserve">▲2. </w:t>
            </w:r>
            <w:r>
              <w:rPr>
                <w:rFonts w:ascii="Times New Roman" w:hAnsi="Times New Roman" w:eastAsia="宋体" w:cs="Times New Roman"/>
                <w:kern w:val="2"/>
                <w:sz w:val="21"/>
                <w:szCs w:val="21"/>
                <w:lang w:val="en-US" w:eastAsia="zh-CN" w:bidi="ar-SA"/>
              </w:rPr>
              <w:t>集成实施之前需提供专业图纸给学校项目负责人确认，实施方案以学校确认为准</w:t>
            </w:r>
            <w:r>
              <w:rPr>
                <w:rFonts w:hint="eastAsia" w:ascii="Times New Roman" w:hAnsi="Times New Roman" w:eastAsia="宋体" w:cs="Times New Roman"/>
                <w:kern w:val="2"/>
                <w:sz w:val="21"/>
                <w:szCs w:val="21"/>
                <w:lang w:val="en-US" w:eastAsia="zh-CN" w:bidi="ar-SA"/>
              </w:rPr>
              <w:t>；</w:t>
            </w:r>
          </w:p>
          <w:p>
            <w:pPr>
              <w:pStyle w:val="2"/>
              <w:ind w:firstLine="0" w:firstLineChars="0"/>
            </w:pPr>
            <w:r>
              <w:rPr>
                <w:rFonts w:hint="eastAsia" w:ascii="Times New Roman" w:hAnsi="Times New Roman" w:eastAsia="宋体" w:cs="Times New Roman"/>
                <w:kern w:val="2"/>
                <w:sz w:val="21"/>
                <w:szCs w:val="21"/>
                <w:lang w:val="en-US" w:eastAsia="zh-CN" w:bidi="ar-SA"/>
              </w:rPr>
              <w:t>▲3.要求</w:t>
            </w:r>
            <w:r>
              <w:rPr>
                <w:rFonts w:ascii="Times New Roman" w:hAnsi="Times New Roman" w:eastAsia="宋体" w:cs="Times New Roman"/>
                <w:kern w:val="2"/>
                <w:sz w:val="21"/>
                <w:szCs w:val="21"/>
                <w:lang w:val="en-US" w:eastAsia="zh-CN" w:bidi="ar-SA"/>
              </w:rPr>
              <w:t>投标电线产品须符合现行国家标准 GB/T 5023；电力电缆符合 GB/T 12706；网络双绞线</w:t>
            </w:r>
            <w:r>
              <w:rPr>
                <w:rFonts w:hint="eastAsia" w:ascii="Times New Roman" w:hAnsi="Times New Roman" w:eastAsia="宋体" w:cs="Times New Roman"/>
                <w:kern w:val="2"/>
                <w:sz w:val="21"/>
                <w:szCs w:val="21"/>
                <w:lang w:val="en-US" w:eastAsia="zh-CN" w:bidi="ar-SA"/>
              </w:rPr>
              <w:t>使用六类线，</w:t>
            </w:r>
            <w:r>
              <w:rPr>
                <w:rFonts w:ascii="Times New Roman" w:hAnsi="Times New Roman" w:eastAsia="宋体" w:cs="Times New Roman"/>
                <w:kern w:val="2"/>
                <w:sz w:val="21"/>
                <w:szCs w:val="21"/>
                <w:lang w:val="en-US" w:eastAsia="zh-CN" w:bidi="ar-SA"/>
              </w:rPr>
              <w:t>符合 GB/T 18015；产品本体标识完整，包含制造厂名称、执行标准、生产批次，严禁三无产品</w:t>
            </w:r>
            <w:r>
              <w:rPr>
                <w:rFonts w:hint="eastAsia" w:ascii="Times New Roman" w:hAnsi="Times New Roman" w:eastAsia="宋体" w:cs="Times New Roman"/>
                <w:kern w:val="2"/>
                <w:sz w:val="21"/>
                <w:szCs w:val="21"/>
                <w:lang w:val="en-US" w:eastAsia="zh-CN" w:bidi="ar-SA"/>
              </w:rPr>
              <w:t>，投标时须响应使用的网线及电线品牌，并作为验收依据，否则投标无效。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10</w:t>
            </w:r>
          </w:p>
        </w:tc>
        <w:tc>
          <w:tcPr>
            <w:tcW w:w="1345"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ascii="宋体" w:hAnsi="宋体" w:cs="宋体"/>
                <w:szCs w:val="21"/>
              </w:rPr>
              <w:t>交互一体机</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2套</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rFonts w:ascii="宋体" w:hAnsi="宋体" w:cs="宋体"/>
                <w:szCs w:val="21"/>
              </w:rPr>
            </w:pPr>
            <w:r>
              <w:rPr>
                <w:rFonts w:hint="eastAsia" w:ascii="宋体" w:hAnsi="宋体" w:cs="宋体"/>
                <w:szCs w:val="21"/>
              </w:rPr>
              <w:t>一、视听与交互功能</w:t>
            </w:r>
          </w:p>
          <w:p>
            <w:pPr>
              <w:widowControl/>
              <w:spacing w:line="300" w:lineRule="auto"/>
              <w:jc w:val="left"/>
              <w:textAlignment w:val="center"/>
              <w:rPr>
                <w:rFonts w:ascii="宋体" w:hAnsi="宋体" w:cs="宋体"/>
                <w:b/>
                <w:bCs/>
                <w:szCs w:val="21"/>
              </w:rPr>
            </w:pPr>
            <w:r>
              <w:rPr>
                <w:rFonts w:hint="eastAsia" w:ascii="宋体" w:hAnsi="宋体" w:cs="宋体"/>
                <w:b/>
                <w:bCs/>
                <w:szCs w:val="21"/>
              </w:rPr>
              <w:t>显示系统：</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1. 整机屏幕边缘采用金属圆角包边防护，整机背板采用金属材质，有效屏蔽内部电路器件辐射；防潮耐盐雾蚀锈，适应多种教学环境。</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2. 外部无任何可见内部功能模块连接线，边角采用弧形设计，表面无尖锐边缘或凸起。</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3. 整机屏幕采用 ≥98 英寸液晶显示器。整机全通道支持 4K 显示，包括安卓通道、PC 通道、HDMI 通道。</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4. 整机采用 LED 液晶 A 规屏，显示比例 16:9，显示分辨率 3840x2160，可视角度≥178°。整机设备屏幕亮度：≥300cd/㎡。整机色域覆盖率（NTSC）≥90%。灰阶等级≥256 级。</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5. 整机内置全视角背光增光膜，通过增光膜对背光光源进行均光，整机屏幕中心亮度三分之一的亮度观看视角≥130°，满足 GB40070 关于亮度可视角≥120°要求。</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6. 整机内置全视角背光增光膜，通过增光膜对背光光源进行均光，在屏幕中心亮度≥350cd/㎡下，增加屏幕两侧亮度，使得整机水平方向法线 60 度视角下，实际屏幕的观看有效亮度≥110cd/㎡。（如有，提供具有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7. 整机内置全视角背光增光膜，通过增光膜对背光光源进行均光，整机白场画面下亮度均匀性≥85%。</w:t>
            </w:r>
          </w:p>
          <w:p>
            <w:pPr>
              <w:widowControl/>
              <w:spacing w:line="300" w:lineRule="auto"/>
              <w:jc w:val="left"/>
              <w:textAlignment w:val="center"/>
              <w:rPr>
                <w:rFonts w:ascii="宋体" w:hAnsi="宋体" w:cs="宋体"/>
                <w:szCs w:val="21"/>
              </w:rPr>
            </w:pPr>
            <w:r>
              <w:rPr>
                <w:rFonts w:hint="eastAsia" w:ascii="宋体" w:hAnsi="宋体" w:cs="宋体"/>
                <w:szCs w:val="21"/>
              </w:rPr>
              <w:t>8. 整机屏幕中心亮度三分之一的亮度观看视角≥130°。</w:t>
            </w:r>
          </w:p>
          <w:p>
            <w:pPr>
              <w:widowControl/>
              <w:spacing w:line="300" w:lineRule="auto"/>
              <w:jc w:val="left"/>
              <w:textAlignment w:val="center"/>
              <w:rPr>
                <w:rFonts w:ascii="宋体" w:hAnsi="宋体" w:cs="宋体"/>
                <w:szCs w:val="21"/>
              </w:rPr>
            </w:pPr>
            <w:r>
              <w:rPr>
                <w:rFonts w:hint="eastAsia" w:ascii="宋体" w:hAnsi="宋体" w:cs="宋体"/>
                <w:szCs w:val="21"/>
              </w:rPr>
              <w:t>9. 在屏幕中心亮度≥350cd/㎡、整机水平方向法线 60 度视角下，屏幕观看有效亮度≥110cd/㎡。</w:t>
            </w:r>
          </w:p>
          <w:p>
            <w:pPr>
              <w:widowControl/>
              <w:spacing w:line="300" w:lineRule="auto"/>
              <w:jc w:val="left"/>
              <w:textAlignment w:val="center"/>
              <w:rPr>
                <w:rFonts w:ascii="宋体" w:hAnsi="宋体" w:cs="宋体"/>
                <w:szCs w:val="21"/>
              </w:rPr>
            </w:pPr>
            <w:r>
              <w:rPr>
                <w:rFonts w:hint="eastAsia" w:ascii="宋体" w:hAnsi="宋体" w:cs="宋体"/>
                <w:szCs w:val="21"/>
              </w:rPr>
              <w:t>10. 屏幕采用≤4mm 防眩光钢化玻璃保护，表面硬度≥9H，莫氏硬度≥7 级。</w:t>
            </w:r>
          </w:p>
          <w:p>
            <w:pPr>
              <w:widowControl/>
              <w:spacing w:line="300" w:lineRule="auto"/>
              <w:jc w:val="left"/>
              <w:textAlignment w:val="center"/>
              <w:rPr>
                <w:rFonts w:ascii="宋体" w:hAnsi="宋体" w:cs="宋体"/>
                <w:szCs w:val="21"/>
              </w:rPr>
            </w:pPr>
            <w:r>
              <w:rPr>
                <w:rFonts w:hint="eastAsia" w:ascii="宋体" w:hAnsi="宋体" w:cs="宋体"/>
                <w:szCs w:val="21"/>
              </w:rPr>
              <w:t>11. 整机背光系统支持 DC 调光方式，多级亮度调节，支持白颜色背景下最暗亮度≤100nit，用于提升显示对比度。</w:t>
            </w:r>
          </w:p>
          <w:p>
            <w:pPr>
              <w:widowControl/>
              <w:spacing w:line="300" w:lineRule="auto"/>
              <w:jc w:val="left"/>
              <w:textAlignment w:val="center"/>
              <w:rPr>
                <w:rFonts w:ascii="宋体" w:hAnsi="宋体" w:cs="宋体"/>
                <w:szCs w:val="21"/>
              </w:rPr>
            </w:pPr>
            <w:r>
              <w:rPr>
                <w:rFonts w:hint="eastAsia" w:ascii="宋体" w:hAnsi="宋体" w:cs="宋体"/>
                <w:szCs w:val="21"/>
              </w:rPr>
              <w:t>12. 整机屏幕蓝光占比（有害蓝光 415～455nm 能量综合）/（整体蓝光 400～500nm 能量综合）＜50%。</w:t>
            </w:r>
          </w:p>
          <w:p>
            <w:pPr>
              <w:widowControl/>
              <w:spacing w:line="300" w:lineRule="auto"/>
              <w:jc w:val="left"/>
              <w:textAlignment w:val="center"/>
              <w:rPr>
                <w:rFonts w:ascii="宋体" w:hAnsi="宋体" w:cs="宋体"/>
                <w:szCs w:val="21"/>
              </w:rPr>
            </w:pPr>
            <w:r>
              <w:rPr>
                <w:rFonts w:hint="eastAsia" w:ascii="宋体" w:hAnsi="宋体" w:cs="宋体"/>
                <w:szCs w:val="21"/>
              </w:rPr>
              <w:t>13. 支持标准、多媒体和节能三种图像模式调节。支持自定义图像设置，可对对比度、屏幕色温、图像亮度、亮度范围、色彩空间调节设置。</w:t>
            </w:r>
          </w:p>
          <w:p>
            <w:pPr>
              <w:widowControl/>
              <w:spacing w:line="300" w:lineRule="auto"/>
              <w:jc w:val="left"/>
              <w:textAlignment w:val="center"/>
              <w:rPr>
                <w:rFonts w:ascii="宋体" w:hAnsi="宋体" w:cs="宋体"/>
                <w:szCs w:val="21"/>
              </w:rPr>
            </w:pPr>
            <w:r>
              <w:rPr>
                <w:rFonts w:hint="eastAsia" w:ascii="宋体" w:hAnsi="宋体" w:cs="宋体"/>
                <w:szCs w:val="21"/>
              </w:rPr>
              <w:t>14. 整机系统支持手势上滑调出智能画质调节，开启 AIPQ 功能后，播放视频即可根据屏幕内容自动调节画质参数，当屏幕出现人物、建筑、夜景元素时，自动调整对比度、饱和度、锐利度、色调色相值、高光 / 阴影，让整个画面显示效果更佳。</w:t>
            </w:r>
          </w:p>
          <w:p>
            <w:pPr>
              <w:widowControl/>
              <w:spacing w:line="300" w:lineRule="auto"/>
              <w:jc w:val="left"/>
              <w:textAlignment w:val="center"/>
              <w:rPr>
                <w:rFonts w:ascii="宋体" w:hAnsi="宋体" w:cs="宋体"/>
                <w:szCs w:val="21"/>
              </w:rPr>
            </w:pPr>
            <w:r>
              <w:rPr>
                <w:rFonts w:hint="eastAsia" w:ascii="宋体" w:hAnsi="宋体" w:cs="宋体"/>
                <w:szCs w:val="21"/>
              </w:rPr>
              <w:t>15. 整机视网膜蓝光危害（蓝光加权辐射亮度 LB）满足 GB/Z 39942-2021 蓝光危害 RG0 级别。</w:t>
            </w:r>
          </w:p>
          <w:p>
            <w:pPr>
              <w:widowControl/>
              <w:spacing w:line="300" w:lineRule="auto"/>
              <w:jc w:val="left"/>
              <w:textAlignment w:val="center"/>
              <w:rPr>
                <w:rFonts w:ascii="宋体" w:hAnsi="宋体" w:cs="宋体"/>
                <w:szCs w:val="21"/>
              </w:rPr>
            </w:pPr>
            <w:r>
              <w:rPr>
                <w:rFonts w:hint="eastAsia" w:ascii="宋体" w:hAnsi="宋体" w:cs="宋体"/>
                <w:szCs w:val="21"/>
              </w:rPr>
              <w:t>16. 整机全通道支持纸质护眼模式，可实现画面纹理的实时调整；支持纸质纹理：牛皮纸、素描纸、宣纸、水彩纸、水纹纸；支持透明度调节；支持色温调节。</w:t>
            </w:r>
          </w:p>
          <w:p>
            <w:pPr>
              <w:widowControl/>
              <w:spacing w:line="300" w:lineRule="auto"/>
              <w:jc w:val="left"/>
              <w:textAlignment w:val="center"/>
              <w:rPr>
                <w:rFonts w:ascii="宋体" w:hAnsi="宋体" w:cs="宋体"/>
                <w:szCs w:val="21"/>
              </w:rPr>
            </w:pPr>
            <w:r>
              <w:rPr>
                <w:rFonts w:hint="eastAsia" w:ascii="宋体" w:hAnsi="宋体" w:cs="宋体"/>
                <w:szCs w:val="21"/>
              </w:rPr>
              <w:t>17. 纸质护眼模式下，显示画面各像素点灰度不规则，减少背景干扰。</w:t>
            </w:r>
          </w:p>
          <w:p>
            <w:pPr>
              <w:widowControl/>
              <w:spacing w:line="300" w:lineRule="auto"/>
              <w:jc w:val="left"/>
              <w:textAlignment w:val="center"/>
              <w:rPr>
                <w:rFonts w:ascii="宋体" w:hAnsi="宋体" w:cs="宋体"/>
                <w:szCs w:val="21"/>
              </w:rPr>
            </w:pPr>
            <w:r>
              <w:rPr>
                <w:rFonts w:hint="eastAsia" w:ascii="宋体" w:hAnsi="宋体" w:cs="宋体"/>
                <w:szCs w:val="21"/>
              </w:rPr>
              <w:t>18. 整机能感应并自动调节屏幕亮度来达到在不同光照环境下的不同亮度显示效果。此功能可自行开启或关闭。</w:t>
            </w:r>
          </w:p>
          <w:p>
            <w:pPr>
              <w:widowControl/>
              <w:spacing w:line="300" w:lineRule="auto"/>
              <w:jc w:val="left"/>
              <w:textAlignment w:val="center"/>
              <w:rPr>
                <w:rFonts w:ascii="宋体" w:hAnsi="宋体" w:cs="宋体"/>
                <w:szCs w:val="21"/>
              </w:rPr>
            </w:pPr>
            <w:r>
              <w:rPr>
                <w:rFonts w:hint="eastAsia" w:ascii="宋体" w:hAnsi="宋体" w:cs="宋体"/>
                <w:szCs w:val="21"/>
              </w:rPr>
              <w:t>19. 长时间无人使用屏幕可自动息屏，用户可通过整机内置触摸中控菜单进行开启和关闭，可自定义无人操作息屏时间间隔为 1 小时、2 小时。</w:t>
            </w:r>
          </w:p>
          <w:p>
            <w:pPr>
              <w:widowControl/>
              <w:spacing w:line="300" w:lineRule="auto"/>
              <w:jc w:val="left"/>
              <w:textAlignment w:val="center"/>
              <w:rPr>
                <w:rFonts w:ascii="宋体" w:hAnsi="宋体" w:cs="宋体"/>
                <w:szCs w:val="21"/>
              </w:rPr>
            </w:pPr>
            <w:r>
              <w:rPr>
                <w:rFonts w:hint="eastAsia" w:ascii="宋体" w:hAnsi="宋体" w:cs="宋体"/>
                <w:szCs w:val="21"/>
              </w:rPr>
              <w:t>20. 整机在 HDMI、Android 以及 Windows 信号源模式下，整机屏幕支持手势下移实现半屏显示，半屏显示时可通过点击上方屏幕返回全屏。</w:t>
            </w:r>
          </w:p>
          <w:p>
            <w:pPr>
              <w:widowControl/>
              <w:spacing w:line="300" w:lineRule="auto"/>
              <w:jc w:val="left"/>
              <w:textAlignment w:val="center"/>
              <w:rPr>
                <w:rFonts w:ascii="宋体" w:hAnsi="宋体" w:cs="宋体"/>
                <w:szCs w:val="21"/>
              </w:rPr>
            </w:pPr>
            <w:r>
              <w:rPr>
                <w:rFonts w:hint="eastAsia" w:ascii="宋体" w:hAnsi="宋体" w:cs="宋体"/>
                <w:szCs w:val="21"/>
              </w:rPr>
              <w:t>21. 支持半屏模式，将 Windows 显示画面上半部分下拉到屏幕下半部分显示，此时依然可以正常触控操作 Windows 系统；点击非 Windows 显示画面区域（屏幕上半部分），即可退出该模式。</w:t>
            </w:r>
          </w:p>
          <w:p>
            <w:pPr>
              <w:widowControl/>
              <w:spacing w:line="300" w:lineRule="auto"/>
              <w:jc w:val="left"/>
              <w:textAlignment w:val="center"/>
              <w:rPr>
                <w:rFonts w:ascii="宋体" w:hAnsi="宋体" w:cs="宋体"/>
                <w:szCs w:val="21"/>
              </w:rPr>
            </w:pPr>
            <w:r>
              <w:rPr>
                <w:rFonts w:hint="eastAsia" w:ascii="宋体" w:hAnsi="宋体" w:cs="宋体"/>
                <w:szCs w:val="21"/>
              </w:rPr>
              <w:t>22. 整机处于黑暗环境中并无人操作，一分钟后整机将可以自动进入熄屏模式。整机在五分钟内处于无信号接收状态时，能够自动关机。</w:t>
            </w:r>
          </w:p>
          <w:p>
            <w:pPr>
              <w:widowControl/>
              <w:spacing w:line="300" w:lineRule="auto"/>
              <w:jc w:val="left"/>
              <w:textAlignment w:val="center"/>
              <w:rPr>
                <w:rFonts w:ascii="宋体" w:hAnsi="宋体" w:cs="宋体"/>
                <w:szCs w:val="21"/>
              </w:rPr>
            </w:pPr>
            <w:r>
              <w:rPr>
                <w:rFonts w:hint="eastAsia" w:ascii="宋体" w:hAnsi="宋体" w:cs="宋体"/>
                <w:szCs w:val="21"/>
              </w:rPr>
              <w:t>23. 整机支持通道自动跳转功能，如整机处于正常使用状态，HDMI 信号接入时，能自动识别并切换到对应的 HDMI 信号源通道，且断开后能回到上一通道。</w:t>
            </w:r>
          </w:p>
          <w:p>
            <w:pPr>
              <w:widowControl/>
              <w:spacing w:line="300" w:lineRule="auto"/>
              <w:jc w:val="left"/>
              <w:textAlignment w:val="center"/>
              <w:rPr>
                <w:rFonts w:ascii="宋体" w:hAnsi="宋体" w:cs="宋体"/>
                <w:szCs w:val="21"/>
              </w:rPr>
            </w:pPr>
            <w:r>
              <w:rPr>
                <w:rFonts w:hint="eastAsia" w:ascii="宋体" w:hAnsi="宋体" w:cs="宋体"/>
                <w:szCs w:val="21"/>
              </w:rPr>
              <w:t>24. 支持通道记忆功能，开机默认回到最近一次关机时的显示通道。</w:t>
            </w:r>
          </w:p>
          <w:p>
            <w:pPr>
              <w:widowControl/>
              <w:spacing w:line="300" w:lineRule="auto"/>
              <w:jc w:val="left"/>
              <w:textAlignment w:val="center"/>
              <w:rPr>
                <w:rFonts w:ascii="宋体" w:hAnsi="宋体" w:cs="宋体"/>
                <w:szCs w:val="21"/>
              </w:rPr>
            </w:pPr>
            <w:r>
              <w:rPr>
                <w:rFonts w:hint="eastAsia" w:ascii="宋体" w:hAnsi="宋体" w:cs="宋体"/>
                <w:szCs w:val="21"/>
              </w:rPr>
              <w:t>25. 整机处于关机通电状态，外接电脑显示信号通过 HDMI 传输线连接至整机时，整机可智能识别外接电脑设备信号输入并自动开机。</w:t>
            </w:r>
          </w:p>
          <w:p>
            <w:pPr>
              <w:widowControl/>
              <w:spacing w:line="300" w:lineRule="auto"/>
              <w:jc w:val="left"/>
              <w:textAlignment w:val="center"/>
              <w:rPr>
                <w:rFonts w:ascii="宋体" w:hAnsi="宋体" w:cs="宋体"/>
                <w:szCs w:val="21"/>
              </w:rPr>
            </w:pPr>
            <w:r>
              <w:rPr>
                <w:rFonts w:hint="eastAsia" w:ascii="宋体" w:hAnsi="宋体" w:cs="宋体"/>
                <w:szCs w:val="21"/>
              </w:rPr>
              <w:t>26. 整机支持将自定义图片、动画设置为开机画面。</w:t>
            </w:r>
          </w:p>
          <w:p>
            <w:pPr>
              <w:widowControl/>
              <w:spacing w:line="300" w:lineRule="auto"/>
              <w:jc w:val="left"/>
              <w:textAlignment w:val="center"/>
              <w:rPr>
                <w:rFonts w:ascii="宋体" w:hAnsi="宋体" w:cs="宋体"/>
                <w:szCs w:val="21"/>
              </w:rPr>
            </w:pPr>
            <w:r>
              <w:rPr>
                <w:rFonts w:hint="eastAsia" w:ascii="宋体" w:hAnsi="宋体" w:cs="宋体"/>
                <w:szCs w:val="21"/>
              </w:rPr>
              <w:t>27. 整机具备熄屏扩声功能，在关闭显示部分的情况下可播放音频及本地扩音，轻触显示部分可点亮屏幕。</w:t>
            </w:r>
          </w:p>
          <w:p>
            <w:pPr>
              <w:widowControl/>
              <w:spacing w:line="300" w:lineRule="auto"/>
              <w:jc w:val="left"/>
              <w:textAlignment w:val="center"/>
              <w:rPr>
                <w:rFonts w:ascii="宋体" w:hAnsi="宋体" w:cs="宋体"/>
                <w:szCs w:val="21"/>
              </w:rPr>
            </w:pPr>
            <w:r>
              <w:rPr>
                <w:rFonts w:hint="eastAsia" w:ascii="宋体" w:hAnsi="宋体" w:cs="宋体"/>
                <w:szCs w:val="21"/>
              </w:rPr>
              <w:t>28. 整机采用全物理钢化玻璃，有效保护屏幕显示画面。玻璃表面采用纳米材料镀膜环保工艺，书写更加顺滑，屏幕支持防眩光功能。</w:t>
            </w:r>
          </w:p>
          <w:p>
            <w:pPr>
              <w:widowControl/>
              <w:spacing w:line="300" w:lineRule="auto"/>
              <w:jc w:val="left"/>
              <w:textAlignment w:val="center"/>
              <w:rPr>
                <w:rFonts w:ascii="宋体" w:hAnsi="宋体" w:cs="宋体"/>
                <w:b/>
                <w:bCs/>
                <w:szCs w:val="21"/>
              </w:rPr>
            </w:pPr>
            <w:r>
              <w:rPr>
                <w:rFonts w:hint="eastAsia" w:ascii="宋体" w:hAnsi="宋体" w:cs="宋体"/>
                <w:b/>
                <w:bCs/>
                <w:szCs w:val="21"/>
              </w:rPr>
              <w:t>触控系统：</w:t>
            </w:r>
          </w:p>
          <w:p>
            <w:pPr>
              <w:widowControl/>
              <w:spacing w:line="300" w:lineRule="auto"/>
              <w:jc w:val="left"/>
              <w:textAlignment w:val="center"/>
              <w:rPr>
                <w:rFonts w:ascii="宋体" w:hAnsi="宋体" w:cs="宋体"/>
                <w:szCs w:val="21"/>
              </w:rPr>
            </w:pPr>
            <w:r>
              <w:rPr>
                <w:rFonts w:hint="eastAsia" w:ascii="宋体" w:hAnsi="宋体" w:cs="宋体"/>
                <w:szCs w:val="21"/>
              </w:rPr>
              <w:t>1. 从内部 Android 通道切换到内部 PC 通道后，触摸框在 1s 内达到可触控状态。</w:t>
            </w:r>
          </w:p>
          <w:p>
            <w:pPr>
              <w:widowControl/>
              <w:spacing w:line="300" w:lineRule="auto"/>
              <w:jc w:val="left"/>
              <w:textAlignment w:val="center"/>
              <w:rPr>
                <w:rFonts w:ascii="宋体" w:hAnsi="宋体" w:cs="宋体"/>
                <w:szCs w:val="21"/>
              </w:rPr>
            </w:pPr>
            <w:r>
              <w:rPr>
                <w:rFonts w:hint="eastAsia" w:ascii="宋体" w:hAnsi="宋体" w:cs="宋体"/>
                <w:szCs w:val="21"/>
              </w:rPr>
              <w:t>2. 从内部 PC 通道切换到外部通道后，触摸框在 3s 内达到可触控状态。</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3. 整机采用红外触控技术，Windows 系统和 Android 系统均支持≥50 点触控及书写划线。（如有，提供具有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4. 支持 Windows 7、Windows 8、Windows 10、Windows11、Linux、Mac Os、UOS 和麒麟系统外置电脑操作系统接入时，无需安装触摸驱动。</w:t>
            </w:r>
          </w:p>
          <w:p>
            <w:pPr>
              <w:widowControl/>
              <w:spacing w:line="300" w:lineRule="auto"/>
              <w:jc w:val="left"/>
              <w:textAlignment w:val="center"/>
              <w:rPr>
                <w:rFonts w:ascii="宋体" w:hAnsi="宋体" w:cs="宋体"/>
                <w:szCs w:val="21"/>
              </w:rPr>
            </w:pPr>
            <w:r>
              <w:rPr>
                <w:rFonts w:hint="eastAsia" w:ascii="宋体" w:hAnsi="宋体" w:cs="宋体"/>
                <w:szCs w:val="21"/>
              </w:rPr>
              <w:t>5. 触摸分辨率 32768×32768。整机书写触控延迟≤25ms。触摸响应≤4ms。触摸最小识别物≤3mm。</w:t>
            </w:r>
          </w:p>
          <w:p>
            <w:pPr>
              <w:widowControl/>
              <w:spacing w:line="300" w:lineRule="auto"/>
              <w:jc w:val="left"/>
              <w:textAlignment w:val="center"/>
              <w:rPr>
                <w:rFonts w:ascii="宋体" w:hAnsi="宋体" w:cs="宋体"/>
                <w:szCs w:val="21"/>
              </w:rPr>
            </w:pPr>
            <w:r>
              <w:rPr>
                <w:rFonts w:hint="eastAsia" w:ascii="宋体" w:hAnsi="宋体" w:cs="宋体"/>
                <w:szCs w:val="21"/>
              </w:rPr>
              <w:t>6. 整机触控书写功能集成预测算法，支持多档预测速度可调节，在书写速度≥50cm/s，支持笔迹距离笔的距离小于 20mm。</w:t>
            </w:r>
          </w:p>
          <w:p>
            <w:pPr>
              <w:widowControl/>
              <w:spacing w:line="300" w:lineRule="auto"/>
              <w:jc w:val="left"/>
              <w:textAlignment w:val="center"/>
              <w:rPr>
                <w:rFonts w:ascii="宋体" w:hAnsi="宋体" w:cs="宋体"/>
                <w:szCs w:val="21"/>
              </w:rPr>
            </w:pPr>
            <w:r>
              <w:rPr>
                <w:rFonts w:hint="eastAsia" w:ascii="宋体" w:hAnsi="宋体" w:cs="宋体"/>
                <w:szCs w:val="21"/>
              </w:rPr>
              <w:t>7. 整机屏幕触摸有效识别高度不超过 1.5mm，即触摸物体距离玻璃外表面高度不超过 1.5mm 时，触摸屏识别为点击操作。</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8. 整机支持提笔书写，在 Windows 系统下可实现无需点击任意功能入口，当检测到红外笔笔尖接触屏幕时，自动进入书写模式。（如有，提供具有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9.整机支持手笔分离，通过提笔即写唤醒批注功能后，可进行手笔分离功能，使用笔正常书写，使用手指可以操作应用，进行点击操作。</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10.整机支持单笔双色，支持同一支笔，笔头、笔尾书写不同的颜色，且颜色可自定义。（如有，提供具有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11.整机触摸支持动态压力感应，支持无任何电子功能的普通书写笔在整机上书写或点压时，整机能感应压力变化，书写或点压过程笔迹呈现不同粗细。</w:t>
            </w:r>
          </w:p>
          <w:p>
            <w:pPr>
              <w:widowControl/>
              <w:spacing w:line="300" w:lineRule="auto"/>
              <w:jc w:val="left"/>
              <w:textAlignment w:val="center"/>
              <w:rPr>
                <w:rFonts w:ascii="宋体" w:hAnsi="宋体" w:cs="宋体"/>
                <w:szCs w:val="21"/>
              </w:rPr>
            </w:pPr>
            <w:r>
              <w:rPr>
                <w:rFonts w:hint="eastAsia" w:ascii="宋体" w:hAnsi="宋体" w:cs="宋体"/>
                <w:szCs w:val="21"/>
              </w:rPr>
              <w:t>12.支持智能板擦功能，系统可根据触控物体的形状自动识别出实物板擦，可擦除电子白板中的内容，无需依赖外部电子设备。</w:t>
            </w:r>
          </w:p>
          <w:p>
            <w:pPr>
              <w:widowControl/>
              <w:spacing w:line="300" w:lineRule="auto"/>
              <w:jc w:val="left"/>
              <w:textAlignment w:val="center"/>
              <w:rPr>
                <w:rFonts w:ascii="宋体" w:hAnsi="宋体" w:cs="宋体"/>
                <w:szCs w:val="21"/>
              </w:rPr>
            </w:pPr>
            <w:r>
              <w:rPr>
                <w:rFonts w:hint="eastAsia" w:ascii="宋体" w:hAnsi="宋体" w:cs="宋体"/>
                <w:szCs w:val="21"/>
              </w:rPr>
              <w:t>13.触摸屏具有防遮挡功能，触摸接收器在单点或多点遮挡后仍能正常书写。</w:t>
            </w:r>
          </w:p>
          <w:p>
            <w:pPr>
              <w:widowControl/>
              <w:spacing w:line="300" w:lineRule="auto"/>
              <w:jc w:val="left"/>
              <w:textAlignment w:val="center"/>
              <w:rPr>
                <w:rFonts w:ascii="宋体" w:hAnsi="宋体" w:cs="宋体"/>
                <w:szCs w:val="21"/>
              </w:rPr>
            </w:pPr>
            <w:r>
              <w:rPr>
                <w:rFonts w:hint="eastAsia" w:ascii="宋体" w:hAnsi="宋体" w:cs="宋体"/>
                <w:szCs w:val="21"/>
              </w:rPr>
              <w:t>14.外接电脑设备连接整机且触摸信号连通时，外接电脑设备可直接读取整机前置 USB 接口的移动存储设备数据，连接整机前置 USB 接口的翻页笔和无线键鼠外接设备可直接使用于外接电脑。</w:t>
            </w:r>
          </w:p>
          <w:p>
            <w:pPr>
              <w:widowControl/>
              <w:spacing w:line="300" w:lineRule="auto"/>
              <w:jc w:val="left"/>
              <w:textAlignment w:val="center"/>
              <w:rPr>
                <w:rFonts w:ascii="宋体" w:hAnsi="宋体" w:cs="宋体"/>
                <w:szCs w:val="21"/>
              </w:rPr>
            </w:pPr>
            <w:r>
              <w:rPr>
                <w:rFonts w:hint="eastAsia" w:ascii="宋体" w:hAnsi="宋体" w:cs="宋体"/>
                <w:szCs w:val="21"/>
              </w:rPr>
              <w:t>15.整机具备前置 Type-C 接口，通过 Type-C 接口实现音视频输入，外接电脑设备经双头 Type-C 线连接至整机，即可把外接电脑设备画面投到整机上，同时在整机上操作画面，可实现触摸电脑的操作，无需再连接触控 USB 线。</w:t>
            </w:r>
          </w:p>
          <w:p>
            <w:pPr>
              <w:widowControl/>
              <w:spacing w:line="300" w:lineRule="auto"/>
              <w:jc w:val="left"/>
              <w:textAlignment w:val="center"/>
              <w:rPr>
                <w:rFonts w:ascii="宋体" w:hAnsi="宋体" w:cs="宋体"/>
                <w:szCs w:val="21"/>
              </w:rPr>
            </w:pPr>
            <w:r>
              <w:rPr>
                <w:rFonts w:hint="eastAsia" w:ascii="宋体" w:hAnsi="宋体" w:cs="宋体"/>
                <w:szCs w:val="21"/>
              </w:rPr>
              <w:t>16.整机具备智能 U 盘锁功能，U 盘锁开启后整机触摸及按键被锁定，锁定后无法随意自由操作，需要使用时插入 USB key 可解锁。</w:t>
            </w:r>
          </w:p>
          <w:p>
            <w:pPr>
              <w:widowControl/>
              <w:spacing w:line="300" w:lineRule="auto"/>
              <w:jc w:val="left"/>
              <w:textAlignment w:val="center"/>
              <w:rPr>
                <w:rFonts w:ascii="宋体" w:hAnsi="宋体" w:cs="宋体"/>
                <w:szCs w:val="21"/>
              </w:rPr>
            </w:pPr>
            <w:r>
              <w:rPr>
                <w:rFonts w:hint="eastAsia" w:ascii="宋体" w:hAnsi="宋体" w:cs="宋体"/>
                <w:szCs w:val="21"/>
              </w:rPr>
              <w:t>17.在整机全信号源通道下，支持十指长按屏幕 5 秒的方式实现触摸锁定及解锁，触摸锁定时整机无法被触控操作。</w:t>
            </w:r>
          </w:p>
          <w:p>
            <w:pPr>
              <w:widowControl/>
              <w:spacing w:line="300" w:lineRule="auto"/>
              <w:jc w:val="left"/>
              <w:textAlignment w:val="center"/>
              <w:rPr>
                <w:rFonts w:ascii="宋体" w:hAnsi="宋体" w:cs="宋体"/>
                <w:szCs w:val="21"/>
              </w:rPr>
            </w:pPr>
            <w:r>
              <w:rPr>
                <w:rFonts w:hint="eastAsia" w:ascii="宋体" w:hAnsi="宋体" w:cs="宋体"/>
                <w:szCs w:val="21"/>
              </w:rPr>
              <w:t>18.整机内置触摸中控菜单，在整机全信号源通道下通过手势在屏幕上调取该触摸菜单；支持信号源通道切换、护眼、声音调节功能；支持切换智能息屏、经典护眼模式、纸质护眼模式、自动亮度模式；并可支持调节音量、亮度，支持自动亮度模式，支持点击静音按钮静音。</w:t>
            </w:r>
          </w:p>
          <w:p>
            <w:pPr>
              <w:widowControl/>
              <w:spacing w:line="300" w:lineRule="auto"/>
              <w:jc w:val="left"/>
              <w:textAlignment w:val="center"/>
              <w:rPr>
                <w:rFonts w:ascii="宋体" w:hAnsi="宋体" w:cs="宋体"/>
                <w:szCs w:val="21"/>
              </w:rPr>
            </w:pPr>
            <w:r>
              <w:rPr>
                <w:rFonts w:hint="eastAsia" w:ascii="宋体" w:hAnsi="宋体" w:cs="宋体"/>
                <w:szCs w:val="21"/>
              </w:rPr>
              <w:t>19.整机具备智能手势识别功能，在整机全信号源通道下均可识别五指上、下、左、右方向手势，五指画 O、画～、左右晃动、缩 / 放方向手势滑动并调用相应功能。支持将各手势滑动方向自定义设置为无操作、熄屏、批注、桌面、半屏模式。</w:t>
            </w:r>
          </w:p>
          <w:p>
            <w:pPr>
              <w:widowControl/>
              <w:spacing w:line="300" w:lineRule="auto"/>
              <w:jc w:val="left"/>
              <w:textAlignment w:val="center"/>
              <w:rPr>
                <w:rFonts w:ascii="宋体" w:hAnsi="宋体" w:cs="宋体"/>
                <w:szCs w:val="21"/>
              </w:rPr>
            </w:pPr>
            <w:r>
              <w:rPr>
                <w:rFonts w:hint="eastAsia" w:ascii="宋体" w:hAnsi="宋体" w:cs="宋体"/>
                <w:szCs w:val="21"/>
              </w:rPr>
              <w:t>20.触摸屏在照度 100klx（勒克司）环境下仍能正常工作。</w:t>
            </w:r>
          </w:p>
          <w:p>
            <w:pPr>
              <w:widowControl/>
              <w:spacing w:line="300" w:lineRule="auto"/>
              <w:jc w:val="left"/>
              <w:textAlignment w:val="center"/>
              <w:rPr>
                <w:rFonts w:ascii="宋体" w:hAnsi="宋体" w:cs="宋体"/>
                <w:b/>
                <w:bCs/>
                <w:szCs w:val="21"/>
              </w:rPr>
            </w:pPr>
            <w:r>
              <w:rPr>
                <w:rFonts w:hint="eastAsia" w:ascii="宋体" w:hAnsi="宋体" w:cs="宋体"/>
                <w:b/>
                <w:bCs/>
                <w:szCs w:val="21"/>
              </w:rPr>
              <w:t>音频系统：</w:t>
            </w:r>
          </w:p>
          <w:p>
            <w:pPr>
              <w:widowControl/>
              <w:spacing w:line="300" w:lineRule="auto"/>
              <w:jc w:val="left"/>
              <w:textAlignment w:val="center"/>
              <w:rPr>
                <w:rFonts w:ascii="宋体" w:hAnsi="宋体" w:cs="宋体"/>
                <w:szCs w:val="21"/>
              </w:rPr>
            </w:pPr>
            <w:r>
              <w:rPr>
                <w:rFonts w:hint="eastAsia" w:ascii="宋体" w:hAnsi="宋体" w:cs="宋体"/>
                <w:szCs w:val="21"/>
              </w:rPr>
              <w:t>1.整机设备内置 2.2 声道扬声器，位于设备上边框，顶置朝前发声，12W 高音扬声器 2 个，上朝向 30W 中低音扬声器 2 个，最大功率≥84W。</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2.整机全部扬声器均采用模块化设计，无需打开背板即可单独拆卸，便于维护。（如有，提供具有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3.整机可选择高级音效设置，支持在左右声道平衡显示范围中进行更改。中低频段可选择调节范围 125Hz～1kHz，高频段可选择调节范围 2kHz～16kHz，分贝可选择调节范围 - 12dB～12dB。</w:t>
            </w:r>
          </w:p>
          <w:p>
            <w:pPr>
              <w:widowControl/>
              <w:spacing w:line="300" w:lineRule="auto"/>
              <w:jc w:val="left"/>
              <w:textAlignment w:val="center"/>
              <w:rPr>
                <w:rFonts w:ascii="宋体" w:hAnsi="宋体" w:cs="宋体"/>
                <w:szCs w:val="21"/>
              </w:rPr>
            </w:pPr>
            <w:r>
              <w:rPr>
                <w:rFonts w:hint="eastAsia" w:ascii="宋体" w:hAnsi="宋体" w:cs="宋体"/>
                <w:szCs w:val="21"/>
              </w:rPr>
              <w:t>4.整机内置扬声器采用缝隙发声技术，喇叭采用槽式开口设计。</w:t>
            </w:r>
          </w:p>
          <w:p>
            <w:pPr>
              <w:widowControl/>
              <w:spacing w:line="300" w:lineRule="auto"/>
              <w:jc w:val="left"/>
              <w:textAlignment w:val="center"/>
              <w:rPr>
                <w:rFonts w:ascii="宋体" w:hAnsi="宋体" w:cs="宋体"/>
                <w:szCs w:val="21"/>
              </w:rPr>
            </w:pPr>
            <w:r>
              <w:rPr>
                <w:rFonts w:hint="eastAsia" w:ascii="宋体" w:hAnsi="宋体" w:cs="宋体"/>
                <w:szCs w:val="21"/>
              </w:rPr>
              <w:t>5.整机扬声器在 100% 音量下，可做到 1 米处声压级≥92dB，10 米处声压级≥82dB。</w:t>
            </w:r>
          </w:p>
          <w:p>
            <w:pPr>
              <w:widowControl/>
              <w:spacing w:line="300" w:lineRule="auto"/>
              <w:jc w:val="left"/>
              <w:textAlignment w:val="center"/>
              <w:rPr>
                <w:rFonts w:ascii="宋体" w:hAnsi="宋体" w:cs="宋体"/>
                <w:szCs w:val="21"/>
              </w:rPr>
            </w:pPr>
            <w:r>
              <w:rPr>
                <w:rFonts w:hint="eastAsia" w:ascii="宋体" w:hAnsi="宋体" w:cs="宋体"/>
                <w:szCs w:val="21"/>
              </w:rPr>
              <w:t>6.支持标准、听力、观影和 AI 空间感知音效模式，AI 空间感知音效模式可通过内置麦克风采集教室物理环境声音，自动生成符合当前教室物理环境的频段、音量、音效。</w:t>
            </w:r>
          </w:p>
          <w:p>
            <w:pPr>
              <w:widowControl/>
              <w:spacing w:line="300" w:lineRule="auto"/>
              <w:jc w:val="left"/>
              <w:textAlignment w:val="center"/>
              <w:rPr>
                <w:rFonts w:ascii="宋体" w:hAnsi="宋体" w:cs="宋体"/>
                <w:szCs w:val="21"/>
              </w:rPr>
            </w:pPr>
            <w:r>
              <w:rPr>
                <w:rFonts w:hint="eastAsia" w:ascii="宋体" w:hAnsi="宋体" w:cs="宋体"/>
                <w:szCs w:val="21"/>
              </w:rPr>
              <w:t>7.整机听力模式下具备 AI 人声语言增强功能，支持三挡强弱调节。扩声系统语言传输指数（STIPA）≥0.75。</w:t>
            </w:r>
          </w:p>
          <w:p>
            <w:pPr>
              <w:widowControl/>
              <w:spacing w:line="300" w:lineRule="auto"/>
              <w:jc w:val="left"/>
              <w:textAlignment w:val="center"/>
              <w:rPr>
                <w:rFonts w:ascii="宋体" w:hAnsi="宋体" w:cs="宋体"/>
                <w:szCs w:val="21"/>
              </w:rPr>
            </w:pPr>
            <w:r>
              <w:rPr>
                <w:rFonts w:hint="eastAsia" w:ascii="宋体" w:hAnsi="宋体" w:cs="宋体"/>
                <w:szCs w:val="21"/>
              </w:rPr>
              <w:t>8.整机影院模式下具备 AI 环绕声功能，支持三挡强弱调节。</w:t>
            </w:r>
          </w:p>
          <w:p>
            <w:pPr>
              <w:widowControl/>
              <w:spacing w:line="300" w:lineRule="auto"/>
              <w:jc w:val="left"/>
              <w:textAlignment w:val="center"/>
              <w:rPr>
                <w:rFonts w:ascii="宋体" w:hAnsi="宋体" w:cs="宋体"/>
                <w:szCs w:val="21"/>
              </w:rPr>
            </w:pPr>
            <w:r>
              <w:rPr>
                <w:rFonts w:hint="eastAsia" w:ascii="宋体" w:hAnsi="宋体" w:cs="宋体"/>
                <w:szCs w:val="21"/>
              </w:rPr>
              <w:t>9.整机支持同一品牌通过 BT（蓝牙）、红外方式连接音箱、麦克风，支持实时显示 / 控制音箱音量、麦克风音量；在任意通道下均可实时查看音箱、麦克风连接状态，当设备连接 / 断开连接时，提供实时反馈提示，并在反馈提示中显示麦克风实时电量；支持读取音箱 / 麦克风型号，对应显示设备实物图片。</w:t>
            </w:r>
          </w:p>
          <w:p>
            <w:pPr>
              <w:widowControl/>
              <w:spacing w:line="300" w:lineRule="auto"/>
              <w:jc w:val="left"/>
              <w:textAlignment w:val="center"/>
              <w:rPr>
                <w:rFonts w:ascii="宋体" w:hAnsi="宋体" w:cs="宋体"/>
                <w:szCs w:val="21"/>
              </w:rPr>
            </w:pPr>
            <w:r>
              <w:rPr>
                <w:rFonts w:hint="eastAsia" w:ascii="宋体" w:hAnsi="宋体" w:cs="宋体"/>
                <w:szCs w:val="21"/>
              </w:rPr>
              <w:t>10.整机支持同一品牌音箱音量的智能调节，当麦克风接入时，自动调整合适的音箱音量且带有麦克风电量智能提醒，当麦克风电量过低时，提供低电量反馈提示，支持麦克风自动判断同一房间内的整机和音箱，自动匹配连接。</w:t>
            </w:r>
          </w:p>
          <w:p>
            <w:pPr>
              <w:widowControl/>
              <w:spacing w:line="300" w:lineRule="auto"/>
              <w:jc w:val="left"/>
              <w:textAlignment w:val="center"/>
              <w:rPr>
                <w:rFonts w:ascii="宋体" w:hAnsi="宋体" w:cs="宋体"/>
                <w:szCs w:val="21"/>
              </w:rPr>
            </w:pPr>
            <w:r>
              <w:rPr>
                <w:rFonts w:hint="eastAsia" w:ascii="宋体" w:hAnsi="宋体" w:cs="宋体"/>
                <w:szCs w:val="21"/>
              </w:rPr>
              <w:t>11.整机侧边栏快捷菜单支持快捷调节音量、亮度，支持自动亮度模式，支持点击静音按钮静音。</w:t>
            </w:r>
          </w:p>
          <w:p>
            <w:pPr>
              <w:widowControl/>
              <w:spacing w:line="300" w:lineRule="auto"/>
              <w:jc w:val="left"/>
              <w:textAlignment w:val="center"/>
              <w:rPr>
                <w:rFonts w:ascii="宋体" w:hAnsi="宋体" w:cs="宋体"/>
                <w:b/>
                <w:bCs/>
                <w:szCs w:val="21"/>
              </w:rPr>
            </w:pPr>
            <w:r>
              <w:rPr>
                <w:rFonts w:hint="eastAsia" w:ascii="宋体" w:hAnsi="宋体" w:cs="宋体"/>
                <w:b/>
                <w:bCs/>
                <w:szCs w:val="21"/>
              </w:rPr>
              <w:t>拾音与声学设计：</w:t>
            </w:r>
          </w:p>
          <w:p>
            <w:pPr>
              <w:widowControl/>
              <w:spacing w:line="300" w:lineRule="auto"/>
              <w:jc w:val="left"/>
              <w:textAlignment w:val="center"/>
              <w:rPr>
                <w:rFonts w:ascii="宋体" w:hAnsi="宋体" w:cs="宋体"/>
                <w:szCs w:val="21"/>
              </w:rPr>
            </w:pPr>
            <w:r>
              <w:rPr>
                <w:rFonts w:hint="eastAsia" w:ascii="宋体" w:hAnsi="宋体" w:cs="宋体"/>
                <w:szCs w:val="21"/>
              </w:rPr>
              <w:t>1.整机内置非独立外扩展的 8 阵列麦克风，拾音角度≥180°，可用于对教室环境音频进行采集，拾音距离≥12m。</w:t>
            </w:r>
          </w:p>
          <w:p>
            <w:pPr>
              <w:widowControl/>
              <w:spacing w:line="300" w:lineRule="auto"/>
              <w:jc w:val="left"/>
              <w:textAlignment w:val="center"/>
              <w:rPr>
                <w:rFonts w:ascii="宋体" w:hAnsi="宋体" w:cs="宋体"/>
                <w:szCs w:val="21"/>
              </w:rPr>
            </w:pPr>
            <w:r>
              <w:rPr>
                <w:rFonts w:hint="eastAsia" w:ascii="宋体" w:hAnsi="宋体" w:cs="宋体"/>
                <w:szCs w:val="21"/>
              </w:rPr>
              <w:t>2.整机内置麦克风声源定位算法，声源定位精度≤5 度，可以识别回答问题的学生方位。</w:t>
            </w:r>
          </w:p>
          <w:p>
            <w:pPr>
              <w:widowControl/>
              <w:spacing w:line="300" w:lineRule="auto"/>
              <w:jc w:val="left"/>
              <w:textAlignment w:val="center"/>
              <w:rPr>
                <w:rFonts w:ascii="宋体" w:hAnsi="宋体" w:cs="宋体"/>
                <w:szCs w:val="21"/>
              </w:rPr>
            </w:pPr>
            <w:r>
              <w:rPr>
                <w:rFonts w:hint="eastAsia" w:ascii="宋体" w:hAnsi="宋体" w:cs="宋体"/>
                <w:szCs w:val="21"/>
              </w:rPr>
              <w:t>3.内置摄像头、麦克风无需外接线材连接，无任何可见外接线材及模块化拼接痕迹，未占用整机设备端口。</w:t>
            </w:r>
          </w:p>
          <w:p>
            <w:pPr>
              <w:widowControl/>
              <w:spacing w:line="300" w:lineRule="auto"/>
              <w:jc w:val="left"/>
              <w:textAlignment w:val="center"/>
              <w:rPr>
                <w:rFonts w:ascii="宋体" w:hAnsi="宋体" w:cs="宋体"/>
                <w:szCs w:val="21"/>
              </w:rPr>
            </w:pPr>
            <w:r>
              <w:rPr>
                <w:rFonts w:hint="eastAsia" w:ascii="宋体" w:hAnsi="宋体" w:cs="宋体"/>
                <w:szCs w:val="21"/>
              </w:rPr>
              <w:t>4.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pPr>
              <w:widowControl/>
              <w:spacing w:line="300" w:lineRule="auto"/>
              <w:jc w:val="left"/>
              <w:textAlignment w:val="center"/>
              <w:rPr>
                <w:rFonts w:ascii="宋体" w:hAnsi="宋体" w:cs="宋体"/>
                <w:szCs w:val="21"/>
              </w:rPr>
            </w:pPr>
            <w:r>
              <w:rPr>
                <w:rFonts w:hint="eastAsia" w:ascii="宋体" w:hAnsi="宋体" w:cs="宋体"/>
                <w:szCs w:val="21"/>
              </w:rPr>
              <w:t>5.整机支持同一品牌智能笔，通过 BLE（蓝牙低能耗技术）、USB Dongle（通用串口总线接收器）方式连接，当整机和智能笔均支持 BLE 功能时，支持指定区域内智能笔自动发现、自动连接，并支持读取智能笔型号，对应显示设备实物图片。</w:t>
            </w:r>
          </w:p>
          <w:p>
            <w:pPr>
              <w:widowControl/>
              <w:spacing w:line="300" w:lineRule="auto"/>
              <w:jc w:val="left"/>
              <w:textAlignment w:val="center"/>
              <w:rPr>
                <w:rFonts w:ascii="宋体" w:hAnsi="宋体" w:cs="宋体"/>
                <w:szCs w:val="21"/>
              </w:rPr>
            </w:pPr>
            <w:r>
              <w:rPr>
                <w:rFonts w:hint="eastAsia" w:ascii="宋体" w:hAnsi="宋体" w:cs="宋体"/>
                <w:szCs w:val="21"/>
              </w:rPr>
              <w:t>6.整机支持同一品牌传屏器，通过 BLE（蓝牙低能耗技术）、Type-C、USB 方式连接，当整机和传屏器均支持 BLE 功能时，在指定区域内传屏器可自动发现、自动连接。</w:t>
            </w:r>
          </w:p>
          <w:p>
            <w:pPr>
              <w:widowControl/>
              <w:spacing w:line="300" w:lineRule="auto"/>
              <w:jc w:val="left"/>
              <w:textAlignment w:val="center"/>
              <w:rPr>
                <w:rFonts w:ascii="宋体" w:hAnsi="宋体" w:cs="宋体"/>
                <w:szCs w:val="21"/>
              </w:rPr>
            </w:pPr>
            <w:r>
              <w:rPr>
                <w:rFonts w:hint="eastAsia" w:ascii="宋体" w:hAnsi="宋体" w:cs="宋体"/>
                <w:szCs w:val="21"/>
              </w:rPr>
              <w:t>二、智能内核与连接能力</w:t>
            </w:r>
          </w:p>
          <w:p>
            <w:pPr>
              <w:widowControl/>
              <w:spacing w:line="300" w:lineRule="auto"/>
              <w:jc w:val="left"/>
              <w:textAlignment w:val="center"/>
              <w:rPr>
                <w:rFonts w:ascii="宋体" w:hAnsi="宋体" w:cs="宋体"/>
                <w:b/>
                <w:bCs/>
                <w:szCs w:val="21"/>
              </w:rPr>
            </w:pPr>
            <w:r>
              <w:rPr>
                <w:rFonts w:hint="eastAsia" w:ascii="宋体" w:hAnsi="宋体" w:cs="宋体"/>
                <w:b/>
                <w:bCs/>
                <w:szCs w:val="21"/>
              </w:rPr>
              <w:t>嵌入式系统：</w:t>
            </w:r>
          </w:p>
          <w:p>
            <w:pPr>
              <w:widowControl/>
              <w:spacing w:line="300" w:lineRule="auto"/>
              <w:jc w:val="left"/>
              <w:textAlignment w:val="center"/>
              <w:rPr>
                <w:rFonts w:ascii="宋体" w:hAnsi="宋体" w:cs="宋体"/>
                <w:szCs w:val="21"/>
              </w:rPr>
            </w:pPr>
            <w:r>
              <w:rPr>
                <w:rFonts w:hint="eastAsia" w:ascii="宋体" w:hAnsi="宋体" w:cs="宋体"/>
                <w:szCs w:val="21"/>
              </w:rPr>
              <w:t>1.整机嵌入式系统版本≥Android 16，CPU≥8 核，主频≥2.2GHz，内存≥4GB，存储空间≥64GB。</w:t>
            </w:r>
          </w:p>
          <w:p>
            <w:pPr>
              <w:widowControl/>
              <w:spacing w:line="300" w:lineRule="auto"/>
              <w:jc w:val="left"/>
              <w:textAlignment w:val="center"/>
              <w:rPr>
                <w:rFonts w:ascii="宋体" w:hAnsi="宋体" w:cs="宋体"/>
                <w:szCs w:val="21"/>
              </w:rPr>
            </w:pPr>
            <w:r>
              <w:rPr>
                <w:rFonts w:hint="eastAsia" w:ascii="宋体" w:hAnsi="宋体" w:cs="宋体"/>
                <w:szCs w:val="21"/>
              </w:rPr>
              <w:t>2.整机 CPU 芯片，WIFI 与蓝牙芯片、摄像头图像处理芯片、均采用国产自主芯片。</w:t>
            </w:r>
          </w:p>
          <w:p>
            <w:pPr>
              <w:widowControl/>
              <w:spacing w:line="300" w:lineRule="auto"/>
              <w:jc w:val="left"/>
              <w:textAlignment w:val="center"/>
              <w:rPr>
                <w:rFonts w:ascii="宋体" w:hAnsi="宋体" w:cs="宋体"/>
                <w:szCs w:val="21"/>
              </w:rPr>
            </w:pPr>
            <w:r>
              <w:rPr>
                <w:rFonts w:hint="eastAsia" w:ascii="宋体" w:hAnsi="宋体" w:cs="宋体"/>
                <w:szCs w:val="21"/>
              </w:rPr>
              <w:t>3.整机从待机状态下（待机功耗≤0.5W），可 12s 内开机进入到系统主页，并达到可触控状态。</w:t>
            </w:r>
          </w:p>
          <w:p>
            <w:pPr>
              <w:widowControl/>
              <w:spacing w:line="300" w:lineRule="auto"/>
              <w:jc w:val="left"/>
              <w:textAlignment w:val="center"/>
              <w:rPr>
                <w:rFonts w:ascii="宋体" w:hAnsi="宋体" w:cs="宋体"/>
                <w:szCs w:val="21"/>
              </w:rPr>
            </w:pPr>
            <w:r>
              <w:rPr>
                <w:rFonts w:hint="eastAsia" w:ascii="宋体" w:hAnsi="宋体" w:cs="宋体"/>
                <w:szCs w:val="21"/>
              </w:rPr>
              <w:t>4.整机设备支持非外部插拔式运行内存扩展技术，实时可用运行内存可达 6GB，提高运行速度。</w:t>
            </w:r>
          </w:p>
          <w:p>
            <w:pPr>
              <w:widowControl/>
              <w:spacing w:line="300" w:lineRule="auto"/>
              <w:jc w:val="left"/>
              <w:textAlignment w:val="center"/>
              <w:rPr>
                <w:rFonts w:ascii="宋体" w:hAnsi="宋体" w:cs="宋体"/>
                <w:szCs w:val="21"/>
              </w:rPr>
            </w:pPr>
            <w:r>
              <w:rPr>
                <w:rFonts w:hint="eastAsia" w:ascii="宋体" w:hAnsi="宋体" w:cs="宋体"/>
                <w:szCs w:val="21"/>
              </w:rPr>
              <w:t>5.嵌入式 Android 操作系统下，白板支持对已经书写的笔迹和形状和颜色进行更换。</w:t>
            </w:r>
          </w:p>
          <w:p>
            <w:pPr>
              <w:widowControl/>
              <w:spacing w:line="300" w:lineRule="auto"/>
              <w:jc w:val="left"/>
              <w:textAlignment w:val="center"/>
              <w:rPr>
                <w:rFonts w:ascii="宋体" w:hAnsi="宋体" w:cs="宋体"/>
                <w:szCs w:val="21"/>
              </w:rPr>
            </w:pPr>
            <w:r>
              <w:rPr>
                <w:rFonts w:hint="eastAsia" w:ascii="宋体" w:hAnsi="宋体" w:cs="宋体"/>
                <w:szCs w:val="21"/>
              </w:rPr>
              <w:t>6.在嵌入式系统下使用白板软件时，整机可自行调节屏幕亮度。</w:t>
            </w:r>
          </w:p>
          <w:p>
            <w:pPr>
              <w:widowControl/>
              <w:spacing w:line="300" w:lineRule="auto"/>
              <w:jc w:val="left"/>
              <w:textAlignment w:val="center"/>
              <w:rPr>
                <w:rFonts w:ascii="宋体" w:hAnsi="宋体" w:cs="宋体"/>
                <w:szCs w:val="21"/>
              </w:rPr>
            </w:pPr>
            <w:r>
              <w:rPr>
                <w:rFonts w:hint="eastAsia" w:ascii="宋体" w:hAnsi="宋体" w:cs="宋体"/>
                <w:szCs w:val="21"/>
              </w:rPr>
              <w:t>7.嵌入式 Android 操作系统下，互动白板支持不同背景颜色，同时提供学科背景，如：五线谱、信纸、田字格、英文格、篮球和足球场地平面图。</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8.无 PC 模块状态下，嵌入式 Android 系统内置白板软件支持十笔书写及手掌擦除（手掌擦除面积根据手掌与屏幕的接触面大小自动调整）， 白板书写内容可以 PDF 、IWB 和 SVG 格式导出。支持 10 种以上平面图形工具。支持 8 种以上立体图形工具。（如有，提供具有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9.无 PC 状态下，嵌入式系统内置互动白板支持全局漫游，并能在工具栏中对全局内容进行预览和移动。</w:t>
            </w:r>
          </w:p>
          <w:p>
            <w:pPr>
              <w:widowControl/>
              <w:spacing w:line="300" w:lineRule="auto"/>
              <w:jc w:val="left"/>
              <w:textAlignment w:val="center"/>
              <w:rPr>
                <w:rFonts w:ascii="宋体" w:hAnsi="宋体" w:cs="宋体"/>
                <w:szCs w:val="21"/>
              </w:rPr>
            </w:pPr>
            <w:r>
              <w:rPr>
                <w:rFonts w:hint="eastAsia" w:ascii="宋体" w:hAnsi="宋体" w:cs="宋体"/>
                <w:szCs w:val="21"/>
              </w:rPr>
              <w:t>10.无 PC 状态下，嵌入式 Android 操作系统下可使用白板书写、WPS 软件和网页浏览。</w:t>
            </w:r>
          </w:p>
          <w:p>
            <w:pPr>
              <w:widowControl/>
              <w:spacing w:line="300" w:lineRule="auto"/>
              <w:jc w:val="left"/>
              <w:textAlignment w:val="center"/>
              <w:rPr>
                <w:rFonts w:ascii="宋体" w:hAnsi="宋体" w:cs="宋体"/>
                <w:szCs w:val="21"/>
              </w:rPr>
            </w:pPr>
            <w:r>
              <w:rPr>
                <w:rFonts w:hint="eastAsia" w:ascii="宋体" w:hAnsi="宋体" w:cs="宋体"/>
                <w:szCs w:val="21"/>
              </w:rPr>
              <w:t>11.在嵌入式 Android 操作系统下，能对多媒体 USB 所读取到的文件进行自动归类，可分类查找文档、板书、图片、音视频，检索后可直接在界面中打开。</w:t>
            </w:r>
          </w:p>
          <w:p>
            <w:pPr>
              <w:widowControl/>
              <w:spacing w:line="300" w:lineRule="auto"/>
              <w:jc w:val="left"/>
              <w:textAlignment w:val="center"/>
              <w:rPr>
                <w:rFonts w:ascii="宋体" w:hAnsi="宋体" w:cs="宋体"/>
                <w:szCs w:val="21"/>
              </w:rPr>
            </w:pPr>
            <w:r>
              <w:rPr>
                <w:rFonts w:hint="eastAsia" w:ascii="宋体" w:hAnsi="宋体" w:cs="宋体"/>
                <w:szCs w:val="21"/>
              </w:rPr>
              <w:t>12.整机关机状态下，通过长按电源键进入设置界面后，可点击屏幕选择恢复 Android 系统及 Windows 操作系统到出厂默认状态，无需额外工具辅助。</w:t>
            </w:r>
          </w:p>
          <w:p>
            <w:pPr>
              <w:widowControl/>
              <w:spacing w:line="300" w:lineRule="auto"/>
              <w:jc w:val="left"/>
              <w:textAlignment w:val="center"/>
              <w:rPr>
                <w:rFonts w:ascii="宋体" w:hAnsi="宋体" w:cs="宋体"/>
                <w:szCs w:val="21"/>
              </w:rPr>
            </w:pPr>
            <w:r>
              <w:rPr>
                <w:rFonts w:hint="eastAsia" w:ascii="宋体" w:hAnsi="宋体" w:cs="宋体"/>
                <w:szCs w:val="21"/>
              </w:rPr>
              <w:t>13.整机关机状态下，通过长按电源键进入设置界面后，可点击屏幕选择故障检测、系统还原功能，系统还原可单独还原 PC 系统，单独还原整机系统。</w:t>
            </w:r>
          </w:p>
          <w:p>
            <w:pPr>
              <w:widowControl/>
              <w:spacing w:line="300" w:lineRule="auto"/>
              <w:jc w:val="left"/>
              <w:textAlignment w:val="center"/>
              <w:rPr>
                <w:rFonts w:ascii="宋体" w:hAnsi="宋体" w:cs="宋体"/>
                <w:szCs w:val="21"/>
              </w:rPr>
            </w:pPr>
            <w:r>
              <w:rPr>
                <w:rFonts w:hint="eastAsia" w:ascii="宋体" w:hAnsi="宋体" w:cs="宋体"/>
                <w:szCs w:val="21"/>
              </w:rPr>
              <w:t>14.整机支持通过机器序列号定向进行软件 OTA 升级。</w:t>
            </w:r>
          </w:p>
          <w:p>
            <w:pPr>
              <w:widowControl/>
              <w:spacing w:line="300" w:lineRule="auto"/>
              <w:jc w:val="left"/>
              <w:textAlignment w:val="center"/>
              <w:rPr>
                <w:rFonts w:ascii="宋体" w:hAnsi="宋体" w:cs="宋体"/>
                <w:szCs w:val="21"/>
              </w:rPr>
            </w:pPr>
            <w:r>
              <w:rPr>
                <w:rFonts w:hint="eastAsia" w:ascii="宋体" w:hAnsi="宋体" w:cs="宋体"/>
                <w:szCs w:val="21"/>
              </w:rPr>
              <w:t>15.整机内置专业硬件自检维护工具（非第三方工具），支持对整机内部的板卡及部件模块进行故障检测、系统还原功能。支持云端在线系统固件升级。</w:t>
            </w:r>
          </w:p>
          <w:p>
            <w:pPr>
              <w:widowControl/>
              <w:spacing w:line="300" w:lineRule="auto"/>
              <w:jc w:val="left"/>
              <w:textAlignment w:val="center"/>
              <w:rPr>
                <w:rFonts w:ascii="宋体" w:hAnsi="宋体" w:cs="宋体"/>
                <w:b/>
                <w:bCs/>
                <w:szCs w:val="21"/>
              </w:rPr>
            </w:pPr>
            <w:r>
              <w:rPr>
                <w:rFonts w:hint="eastAsia" w:ascii="宋体" w:hAnsi="宋体" w:cs="宋体"/>
                <w:b/>
                <w:bCs/>
                <w:szCs w:val="21"/>
              </w:rPr>
              <w:t>OPS 电脑系统：</w:t>
            </w:r>
          </w:p>
          <w:p>
            <w:pPr>
              <w:widowControl/>
              <w:spacing w:line="300" w:lineRule="auto"/>
              <w:jc w:val="left"/>
              <w:textAlignment w:val="center"/>
              <w:rPr>
                <w:rFonts w:ascii="宋体" w:hAnsi="宋体" w:cs="宋体"/>
                <w:szCs w:val="21"/>
              </w:rPr>
            </w:pPr>
            <w:r>
              <w:rPr>
                <w:rFonts w:hint="eastAsia" w:ascii="宋体" w:hAnsi="宋体" w:cs="宋体"/>
                <w:szCs w:val="21"/>
              </w:rPr>
              <w:t>▲1. 采用≥Intel 12 代 i5或相当性能的CPU，内存≥8GB，固态硬盘≥256GB。</w:t>
            </w:r>
          </w:p>
          <w:p>
            <w:pPr>
              <w:widowControl/>
              <w:spacing w:line="300" w:lineRule="auto"/>
              <w:jc w:val="left"/>
              <w:textAlignment w:val="center"/>
              <w:rPr>
                <w:rFonts w:ascii="宋体" w:hAnsi="宋体" w:cs="宋体"/>
                <w:szCs w:val="21"/>
              </w:rPr>
            </w:pPr>
            <w:r>
              <w:rPr>
                <w:rFonts w:hint="eastAsia" w:ascii="宋体" w:hAnsi="宋体" w:cs="宋体"/>
                <w:szCs w:val="21"/>
              </w:rPr>
              <w:t>2. 预装正版 Windows 操作系统。</w:t>
            </w:r>
          </w:p>
          <w:p>
            <w:pPr>
              <w:widowControl/>
              <w:spacing w:line="300" w:lineRule="auto"/>
              <w:jc w:val="left"/>
              <w:textAlignment w:val="center"/>
              <w:rPr>
                <w:rFonts w:ascii="宋体" w:hAnsi="宋体" w:cs="宋体"/>
                <w:szCs w:val="21"/>
              </w:rPr>
            </w:pPr>
            <w:r>
              <w:rPr>
                <w:rFonts w:hint="eastAsia" w:ascii="宋体" w:hAnsi="宋体" w:cs="宋体"/>
                <w:szCs w:val="21"/>
              </w:rPr>
              <w:t>3. 采用按压式卡扣，无需工具即可快速拆卸电脑模块。</w:t>
            </w:r>
          </w:p>
          <w:p>
            <w:pPr>
              <w:widowControl/>
              <w:spacing w:line="300" w:lineRule="auto"/>
              <w:jc w:val="left"/>
              <w:textAlignment w:val="center"/>
              <w:rPr>
                <w:rFonts w:ascii="宋体" w:hAnsi="宋体" w:cs="宋体"/>
                <w:szCs w:val="21"/>
              </w:rPr>
            </w:pPr>
            <w:r>
              <w:rPr>
                <w:rFonts w:hint="eastAsia" w:ascii="宋体" w:hAnsi="宋体" w:cs="宋体"/>
                <w:szCs w:val="21"/>
              </w:rPr>
              <w:t>4.PC 模块可抽拉式插入整机，可实现无单独接线的拔插。</w:t>
            </w:r>
          </w:p>
          <w:p>
            <w:pPr>
              <w:widowControl/>
              <w:spacing w:line="300" w:lineRule="auto"/>
              <w:jc w:val="left"/>
              <w:textAlignment w:val="center"/>
              <w:rPr>
                <w:rFonts w:ascii="宋体" w:hAnsi="宋体" w:cs="宋体"/>
                <w:szCs w:val="21"/>
              </w:rPr>
            </w:pPr>
            <w:r>
              <w:rPr>
                <w:rFonts w:hint="eastAsia" w:ascii="宋体" w:hAnsi="宋体" w:cs="宋体"/>
                <w:szCs w:val="21"/>
              </w:rPr>
              <w:t>5. 具有独立非外拓展的视频输出接口：≥1 路 HDMI。</w:t>
            </w:r>
          </w:p>
          <w:p>
            <w:pPr>
              <w:widowControl/>
              <w:spacing w:line="300" w:lineRule="auto"/>
              <w:jc w:val="left"/>
              <w:textAlignment w:val="center"/>
              <w:rPr>
                <w:rFonts w:ascii="宋体" w:hAnsi="宋体" w:cs="宋体"/>
                <w:szCs w:val="21"/>
              </w:rPr>
            </w:pPr>
            <w:r>
              <w:rPr>
                <w:rFonts w:hint="eastAsia" w:ascii="宋体" w:hAnsi="宋体" w:cs="宋体"/>
                <w:szCs w:val="21"/>
              </w:rPr>
              <w:t>▲6. 具有独立非外拓展的电脑 USB 接口：至少具备≥3 个 USB3.0 接口，≥3 个 USB2.0 接口。</w:t>
            </w:r>
          </w:p>
          <w:p>
            <w:pPr>
              <w:widowControl/>
              <w:spacing w:line="300" w:lineRule="auto"/>
              <w:jc w:val="left"/>
              <w:textAlignment w:val="center"/>
              <w:rPr>
                <w:rFonts w:ascii="宋体" w:hAnsi="宋体" w:cs="宋体"/>
                <w:szCs w:val="21"/>
              </w:rPr>
            </w:pPr>
            <w:r>
              <w:rPr>
                <w:rFonts w:hint="eastAsia" w:ascii="宋体" w:hAnsi="宋体" w:cs="宋体"/>
                <w:szCs w:val="21"/>
              </w:rPr>
              <w:t>7. 具有≥1 个 RJ45 接口。</w:t>
            </w:r>
          </w:p>
          <w:p>
            <w:pPr>
              <w:widowControl/>
              <w:spacing w:line="300" w:lineRule="auto"/>
              <w:jc w:val="left"/>
              <w:textAlignment w:val="center"/>
              <w:rPr>
                <w:rFonts w:ascii="宋体" w:hAnsi="宋体" w:cs="宋体"/>
                <w:szCs w:val="21"/>
              </w:rPr>
            </w:pPr>
            <w:r>
              <w:rPr>
                <w:rFonts w:hint="eastAsia" w:ascii="宋体" w:hAnsi="宋体" w:cs="宋体"/>
                <w:szCs w:val="21"/>
              </w:rPr>
              <w:t>8. 支持≥1 个 3.5mm MIC in 音频接口。</w:t>
            </w:r>
          </w:p>
          <w:p>
            <w:pPr>
              <w:widowControl/>
              <w:spacing w:line="300" w:lineRule="auto"/>
              <w:jc w:val="left"/>
              <w:textAlignment w:val="center"/>
              <w:rPr>
                <w:rFonts w:ascii="宋体" w:hAnsi="宋体" w:cs="宋体"/>
                <w:szCs w:val="21"/>
              </w:rPr>
            </w:pPr>
            <w:r>
              <w:rPr>
                <w:rFonts w:hint="eastAsia" w:ascii="宋体" w:hAnsi="宋体" w:cs="宋体"/>
                <w:szCs w:val="21"/>
              </w:rPr>
              <w:t>9. 具有标准 PC 防盗锁孔，确保电脑模块安全防盗。</w:t>
            </w:r>
          </w:p>
          <w:p>
            <w:pPr>
              <w:widowControl/>
              <w:spacing w:line="300" w:lineRule="auto"/>
              <w:jc w:val="left"/>
              <w:textAlignment w:val="center"/>
              <w:rPr>
                <w:rFonts w:ascii="宋体" w:hAnsi="宋体" w:cs="宋体"/>
                <w:szCs w:val="21"/>
              </w:rPr>
            </w:pPr>
            <w:r>
              <w:rPr>
                <w:rFonts w:hint="eastAsia" w:ascii="宋体" w:hAnsi="宋体" w:cs="宋体"/>
                <w:szCs w:val="21"/>
              </w:rPr>
              <w:t>10. 和整机的连接采用万兆级接口，传输速率≥10Gbps。</w:t>
            </w:r>
          </w:p>
          <w:p>
            <w:pPr>
              <w:widowControl/>
              <w:spacing w:line="300" w:lineRule="auto"/>
              <w:jc w:val="left"/>
              <w:textAlignment w:val="center"/>
              <w:rPr>
                <w:rFonts w:ascii="宋体" w:hAnsi="宋体" w:cs="宋体"/>
                <w:szCs w:val="21"/>
              </w:rPr>
            </w:pPr>
            <w:r>
              <w:rPr>
                <w:rFonts w:hint="eastAsia" w:ascii="宋体" w:hAnsi="宋体" w:cs="宋体"/>
                <w:szCs w:val="21"/>
              </w:rPr>
              <w:t>11. 整机具备供电保护模块，能够检测内置电脑是否插好在位，在内置电脑未在位的情况下，内置电脑无法上电工作。</w:t>
            </w:r>
          </w:p>
          <w:p>
            <w:pPr>
              <w:widowControl/>
              <w:spacing w:line="300" w:lineRule="auto"/>
              <w:jc w:val="left"/>
              <w:textAlignment w:val="center"/>
              <w:rPr>
                <w:rFonts w:ascii="宋体" w:hAnsi="宋体" w:cs="宋体"/>
                <w:b/>
                <w:bCs/>
                <w:szCs w:val="21"/>
              </w:rPr>
            </w:pPr>
            <w:r>
              <w:rPr>
                <w:rFonts w:hint="eastAsia" w:ascii="宋体" w:hAnsi="宋体" w:cs="宋体"/>
                <w:b/>
                <w:bCs/>
                <w:szCs w:val="21"/>
              </w:rPr>
              <w:t>无线连接能力：</w:t>
            </w:r>
          </w:p>
          <w:p>
            <w:pPr>
              <w:widowControl/>
              <w:spacing w:line="300" w:lineRule="auto"/>
              <w:jc w:val="left"/>
              <w:textAlignment w:val="center"/>
              <w:rPr>
                <w:rFonts w:ascii="宋体" w:hAnsi="宋体" w:cs="宋体"/>
                <w:szCs w:val="21"/>
              </w:rPr>
            </w:pPr>
            <w:r>
              <w:rPr>
                <w:rFonts w:hint="eastAsia" w:ascii="宋体" w:hAnsi="宋体" w:cs="宋体"/>
                <w:szCs w:val="21"/>
              </w:rPr>
              <w:t>1. 整机无需外接无线网卡，在 Windows 系统下可实现 Wi-Fi 无线上网连接、AP 无线热点发射和 BT 蓝牙连接功能。</w:t>
            </w:r>
          </w:p>
          <w:p>
            <w:pPr>
              <w:widowControl/>
              <w:spacing w:line="300" w:lineRule="auto"/>
              <w:jc w:val="left"/>
              <w:textAlignment w:val="center"/>
              <w:rPr>
                <w:rFonts w:ascii="宋体" w:hAnsi="宋体" w:cs="宋体"/>
                <w:szCs w:val="21"/>
              </w:rPr>
            </w:pPr>
            <w:r>
              <w:rPr>
                <w:rFonts w:hint="eastAsia" w:ascii="宋体" w:hAnsi="宋体" w:cs="宋体"/>
                <w:szCs w:val="21"/>
              </w:rPr>
              <w:t>2. 整机无线模块（Wi-Fi 和蓝牙）采用独立模块化设计，无需拆卸整机后壳即可独立拆装。</w:t>
            </w:r>
          </w:p>
          <w:p>
            <w:pPr>
              <w:widowControl/>
              <w:spacing w:line="300" w:lineRule="auto"/>
              <w:jc w:val="left"/>
              <w:textAlignment w:val="center"/>
              <w:rPr>
                <w:rFonts w:ascii="宋体" w:hAnsi="宋体" w:cs="宋体"/>
                <w:szCs w:val="21"/>
              </w:rPr>
            </w:pPr>
            <w:r>
              <w:rPr>
                <w:rFonts w:hint="eastAsia" w:ascii="宋体" w:hAnsi="宋体" w:cs="宋体"/>
                <w:szCs w:val="21"/>
              </w:rPr>
              <w:t>3.Wi-Fi 和 AP 热点工作距离≥12m。</w:t>
            </w:r>
          </w:p>
          <w:p>
            <w:pPr>
              <w:widowControl/>
              <w:spacing w:line="300" w:lineRule="auto"/>
              <w:jc w:val="left"/>
              <w:textAlignment w:val="center"/>
              <w:rPr>
                <w:rFonts w:ascii="宋体" w:hAnsi="宋体" w:cs="宋体"/>
                <w:szCs w:val="21"/>
              </w:rPr>
            </w:pPr>
            <w:r>
              <w:rPr>
                <w:rFonts w:hint="eastAsia" w:ascii="宋体" w:hAnsi="宋体" w:cs="宋体"/>
                <w:szCs w:val="21"/>
              </w:rPr>
              <w:t>4. 整机支持蓝牙 Bluetooth 5.4 标准，固件版本号 HCI13.0/LMP13.0。</w:t>
            </w:r>
          </w:p>
          <w:p>
            <w:pPr>
              <w:widowControl/>
              <w:spacing w:line="300" w:lineRule="auto"/>
              <w:jc w:val="left"/>
              <w:textAlignment w:val="center"/>
              <w:rPr>
                <w:rFonts w:ascii="宋体" w:hAnsi="宋体" w:cs="宋体"/>
                <w:szCs w:val="21"/>
              </w:rPr>
            </w:pPr>
            <w:r>
              <w:rPr>
                <w:rFonts w:hint="eastAsia" w:ascii="宋体" w:hAnsi="宋体" w:cs="宋体"/>
                <w:szCs w:val="21"/>
              </w:rPr>
              <w:t>5. 整机 PC 端支持主动发现蓝牙外设从而连接（无需整机进入发现模式），支持连接外部蓝牙音箱播放音频。</w:t>
            </w:r>
          </w:p>
          <w:p>
            <w:pPr>
              <w:widowControl/>
              <w:spacing w:line="300" w:lineRule="auto"/>
              <w:jc w:val="left"/>
              <w:textAlignment w:val="center"/>
              <w:rPr>
                <w:rFonts w:ascii="宋体" w:hAnsi="宋体" w:cs="宋体"/>
                <w:szCs w:val="21"/>
              </w:rPr>
            </w:pPr>
            <w:r>
              <w:rPr>
                <w:rFonts w:hint="eastAsia" w:ascii="宋体" w:hAnsi="宋体" w:cs="宋体"/>
                <w:szCs w:val="21"/>
              </w:rPr>
              <w:t>6. 整机支持发出频率为 18kHz-22kHz 超声波信号，智能手机和笔记本电脑接收超声波信号后可以自动识别附近投屏设备，点击对应设备即可完成投屏操作。</w:t>
            </w:r>
          </w:p>
          <w:p>
            <w:pPr>
              <w:widowControl/>
              <w:spacing w:line="300" w:lineRule="auto"/>
              <w:jc w:val="left"/>
              <w:textAlignment w:val="center"/>
              <w:rPr>
                <w:rFonts w:ascii="宋体" w:hAnsi="宋体" w:cs="宋体"/>
                <w:szCs w:val="21"/>
              </w:rPr>
            </w:pPr>
            <w:r>
              <w:rPr>
                <w:rFonts w:hint="eastAsia" w:ascii="宋体" w:hAnsi="宋体" w:cs="宋体"/>
                <w:szCs w:val="21"/>
              </w:rPr>
              <w:t>7. 整机配套教学应用 APP 可通过 wifi 直连技术，近场发现附近教学大屏设备，无需扫码、账号密码输入步骤，即可直接连接并登录教学大屏设备，基于统一身份认证机制可实现其他教学软件免登录操作。</w:t>
            </w:r>
          </w:p>
          <w:p>
            <w:pPr>
              <w:widowControl/>
              <w:spacing w:line="300" w:lineRule="auto"/>
              <w:jc w:val="left"/>
              <w:textAlignment w:val="center"/>
              <w:rPr>
                <w:rFonts w:ascii="宋体" w:hAnsi="宋体" w:cs="宋体"/>
                <w:szCs w:val="21"/>
              </w:rPr>
            </w:pPr>
            <w:r>
              <w:rPr>
                <w:rFonts w:hint="eastAsia" w:ascii="宋体" w:hAnsi="宋体" w:cs="宋体"/>
                <w:szCs w:val="21"/>
              </w:rPr>
              <w:t>8. 整机内置传屏接收模块，整机不需要连接任何附加设备，可实现外部电脑、手机设备的音视频信号实时传输到整机上；当使用外部电脑传屏时，支持触摸回传，屏幕上部显示传屏工具栏，可以进行触摸回传控制、勿扰模式、暂停投屏功能；开启勿扰模式时，不允许其他人再进行传屏；投屏时可以选择特定应用窗口，从而实现过滤其他应用窗口，如邮件应用窗口。</w:t>
            </w:r>
          </w:p>
          <w:p>
            <w:pPr>
              <w:widowControl/>
              <w:spacing w:line="300" w:lineRule="auto"/>
              <w:jc w:val="left"/>
              <w:textAlignment w:val="center"/>
              <w:rPr>
                <w:rFonts w:ascii="宋体" w:hAnsi="宋体" w:cs="宋体"/>
                <w:szCs w:val="21"/>
              </w:rPr>
            </w:pPr>
            <w:r>
              <w:rPr>
                <w:rFonts w:hint="eastAsia" w:ascii="宋体" w:hAnsi="宋体" w:cs="宋体"/>
                <w:szCs w:val="21"/>
              </w:rPr>
              <w:t>9. 整机内置双 WiFi6 无线网卡（不接受外接），在 Android 和 Windows 系统下，可实现 Wi-Fi 无线上网连接、AP 无线热点发射。</w:t>
            </w:r>
          </w:p>
          <w:p>
            <w:pPr>
              <w:widowControl/>
              <w:spacing w:line="300" w:lineRule="auto"/>
              <w:jc w:val="left"/>
              <w:textAlignment w:val="center"/>
              <w:rPr>
                <w:rFonts w:ascii="宋体" w:hAnsi="宋体" w:cs="宋体"/>
                <w:szCs w:val="21"/>
              </w:rPr>
            </w:pPr>
            <w:r>
              <w:rPr>
                <w:rFonts w:hint="eastAsia" w:ascii="宋体" w:hAnsi="宋体" w:cs="宋体"/>
                <w:szCs w:val="21"/>
              </w:rPr>
              <w:t>10. 整机内置双 WiFi6 无线网卡（不接受外接），在 Android 下支持无线设备同时连接数量≥32 个，在 Windows 系统下支持无线设备同时连接≥8 个。</w:t>
            </w:r>
          </w:p>
          <w:p>
            <w:pPr>
              <w:widowControl/>
              <w:spacing w:line="300" w:lineRule="auto"/>
              <w:jc w:val="left"/>
              <w:textAlignment w:val="center"/>
              <w:rPr>
                <w:rFonts w:ascii="宋体" w:hAnsi="宋体" w:cs="宋体"/>
                <w:szCs w:val="21"/>
              </w:rPr>
            </w:pPr>
            <w:r>
              <w:rPr>
                <w:rFonts w:hint="eastAsia" w:ascii="宋体" w:hAnsi="宋体" w:cs="宋体"/>
                <w:szCs w:val="21"/>
              </w:rPr>
              <w:t>11. 整机无需外接无线网卡，在 Windows 系统下接入无线网络，切换到嵌入式 Android 系统下可直接实现无线上网功能，不需手动重复设置。</w:t>
            </w:r>
          </w:p>
          <w:p>
            <w:pPr>
              <w:widowControl/>
              <w:spacing w:line="300" w:lineRule="auto"/>
              <w:jc w:val="left"/>
              <w:textAlignment w:val="center"/>
              <w:rPr>
                <w:rFonts w:ascii="宋体" w:hAnsi="宋体" w:cs="宋体"/>
                <w:szCs w:val="21"/>
              </w:rPr>
            </w:pPr>
            <w:r>
              <w:rPr>
                <w:rFonts w:hint="eastAsia" w:ascii="宋体" w:hAnsi="宋体" w:cs="宋体"/>
                <w:szCs w:val="21"/>
              </w:rPr>
              <w:t>12.Wi-Fi 及 AP 热点支持频段 2.4GHz/5GHz 。Wi-Fi 制式支持 IEEE 802.11 a/b/g/n/ac/ax；支持版本 Wi-Fi6。</w:t>
            </w:r>
          </w:p>
          <w:p>
            <w:pPr>
              <w:widowControl/>
              <w:spacing w:line="300" w:lineRule="auto"/>
              <w:jc w:val="left"/>
              <w:textAlignment w:val="center"/>
              <w:rPr>
                <w:rFonts w:ascii="宋体" w:hAnsi="宋体" w:cs="宋体"/>
                <w:szCs w:val="21"/>
              </w:rPr>
            </w:pPr>
            <w:r>
              <w:rPr>
                <w:rFonts w:hint="eastAsia" w:ascii="宋体" w:hAnsi="宋体" w:cs="宋体"/>
                <w:szCs w:val="21"/>
              </w:rPr>
              <w:t>13. 整机 PC 通道及安卓通道各具备一颗 WiFi6 无线芯片，PC 和安卓通道均可通过大屏发送 WiFi6 热点以及连接 WiFi6 的路由器。</w:t>
            </w:r>
          </w:p>
          <w:p>
            <w:pPr>
              <w:widowControl/>
              <w:spacing w:line="300" w:lineRule="auto"/>
              <w:jc w:val="left"/>
              <w:textAlignment w:val="center"/>
              <w:rPr>
                <w:rFonts w:ascii="宋体" w:hAnsi="宋体" w:cs="宋体"/>
                <w:szCs w:val="21"/>
              </w:rPr>
            </w:pPr>
            <w:r>
              <w:rPr>
                <w:rFonts w:hint="eastAsia" w:ascii="宋体" w:hAnsi="宋体" w:cs="宋体"/>
                <w:szCs w:val="21"/>
              </w:rPr>
              <w:t>14. 整机 Windows 通道支持文件传输应用，支持通过扫码、超声、wifi 直连三种方式与手机进行握手连接，实现文件传输功能。</w:t>
            </w:r>
          </w:p>
          <w:p>
            <w:pPr>
              <w:widowControl/>
              <w:spacing w:line="300" w:lineRule="auto"/>
              <w:jc w:val="left"/>
              <w:textAlignment w:val="center"/>
              <w:rPr>
                <w:rFonts w:ascii="宋体" w:hAnsi="宋体" w:cs="宋体"/>
                <w:szCs w:val="21"/>
              </w:rPr>
            </w:pPr>
            <w:r>
              <w:rPr>
                <w:rFonts w:hint="eastAsia" w:ascii="宋体" w:hAnsi="宋体" w:cs="宋体"/>
                <w:szCs w:val="21"/>
              </w:rPr>
              <w:t>15. 整机 Windows 通道支持文件传输应用，开启该应用后，可自动打开整机热点，并在文件传输应用中显示热点信息，无需手动在设置中查看热点。</w:t>
            </w:r>
          </w:p>
          <w:p>
            <w:pPr>
              <w:widowControl/>
              <w:spacing w:line="300" w:lineRule="auto"/>
              <w:jc w:val="left"/>
              <w:textAlignment w:val="center"/>
              <w:rPr>
                <w:rFonts w:ascii="宋体" w:hAnsi="宋体" w:cs="宋体"/>
                <w:szCs w:val="21"/>
              </w:rPr>
            </w:pPr>
            <w:r>
              <w:rPr>
                <w:rFonts w:hint="eastAsia" w:ascii="宋体" w:hAnsi="宋体" w:cs="宋体"/>
                <w:szCs w:val="21"/>
              </w:rPr>
              <w:t>16. 教师端工具栏支持无线传屏，点击开启无线传屏则打开传屏码，老师自带笔记本在互动教学软件输入传屏码即可进行无线传屏。</w:t>
            </w:r>
          </w:p>
          <w:p>
            <w:pPr>
              <w:widowControl/>
              <w:spacing w:line="300" w:lineRule="auto"/>
              <w:jc w:val="left"/>
              <w:textAlignment w:val="center"/>
              <w:rPr>
                <w:rFonts w:ascii="宋体" w:hAnsi="宋体" w:cs="宋体"/>
                <w:szCs w:val="21"/>
              </w:rPr>
            </w:pPr>
            <w:r>
              <w:rPr>
                <w:rFonts w:hint="eastAsia" w:ascii="宋体" w:hAnsi="宋体" w:cs="宋体"/>
                <w:szCs w:val="21"/>
              </w:rPr>
              <w:t>17. 多端投屏：可支持至少 6 个学生端投屏画面同时在大屏上显示，同时显示来自 Android、iOS、Windows、MacOS 等不同系统的投屏画面，并且根据连接数量自动排布。支持将六分屏画面内其中一个画面一键全屏显示，以及一键将全屏画面切换回六分屏，方便灵活讲解。</w:t>
            </w:r>
          </w:p>
          <w:p>
            <w:pPr>
              <w:widowControl/>
              <w:spacing w:line="300" w:lineRule="auto"/>
              <w:jc w:val="left"/>
              <w:textAlignment w:val="center"/>
              <w:rPr>
                <w:rFonts w:ascii="宋体" w:hAnsi="宋体" w:cs="宋体"/>
                <w:b/>
                <w:bCs/>
                <w:szCs w:val="21"/>
              </w:rPr>
            </w:pPr>
            <w:r>
              <w:rPr>
                <w:rFonts w:hint="eastAsia" w:ascii="宋体" w:hAnsi="宋体" w:cs="宋体"/>
                <w:b/>
                <w:bCs/>
                <w:szCs w:val="21"/>
              </w:rPr>
              <w:t>有线接口能力：</w:t>
            </w:r>
          </w:p>
          <w:p>
            <w:pPr>
              <w:widowControl/>
              <w:spacing w:line="300" w:lineRule="auto"/>
              <w:jc w:val="left"/>
              <w:textAlignment w:val="center"/>
              <w:rPr>
                <w:rFonts w:ascii="宋体" w:hAnsi="宋体" w:cs="宋体"/>
                <w:szCs w:val="21"/>
              </w:rPr>
            </w:pPr>
            <w:r>
              <w:rPr>
                <w:rFonts w:hint="eastAsia" w:ascii="宋体" w:hAnsi="宋体" w:cs="宋体"/>
                <w:szCs w:val="21"/>
              </w:rPr>
              <w:t>1. 前置输入接口 3 路 USB 接口（包含 1 路 Type-C、2 路 USB）。前置 USB 接口支持 Android 系统、Windows 系统读取外接移动存储设备。侧置输入接口具备 2 路 HDMI、1 路 RS232（RJ45 形态）、1 路 USB 接口。侧置输出接口具备 1 路音频输出、1 路触控 USB 输出，1 路 HDMI 输出接口，支持最大 4K@60Hz 分辨率输出。</w:t>
            </w:r>
          </w:p>
          <w:p>
            <w:pPr>
              <w:widowControl/>
              <w:spacing w:line="300" w:lineRule="auto"/>
              <w:jc w:val="left"/>
              <w:textAlignment w:val="center"/>
              <w:rPr>
                <w:rFonts w:ascii="宋体" w:hAnsi="宋体" w:cs="宋体"/>
                <w:szCs w:val="21"/>
              </w:rPr>
            </w:pPr>
            <w:r>
              <w:rPr>
                <w:rFonts w:hint="eastAsia" w:ascii="宋体" w:hAnsi="宋体" w:cs="宋体"/>
                <w:szCs w:val="21"/>
              </w:rPr>
              <w:t>2. 部署单根网线可实现 Android、Windows 双系统有线网络连通。</w:t>
            </w:r>
          </w:p>
          <w:p>
            <w:pPr>
              <w:widowControl/>
              <w:spacing w:line="300" w:lineRule="auto"/>
              <w:jc w:val="left"/>
              <w:textAlignment w:val="center"/>
              <w:rPr>
                <w:rFonts w:ascii="宋体" w:hAnsi="宋体" w:cs="宋体"/>
                <w:szCs w:val="21"/>
              </w:rPr>
            </w:pPr>
            <w:r>
              <w:rPr>
                <w:rFonts w:hint="eastAsia" w:ascii="宋体" w:hAnsi="宋体" w:cs="宋体"/>
                <w:szCs w:val="21"/>
              </w:rPr>
              <w:t>3. 整机前置 USB 接口具备防撞挡板设计，防撞挡板采用转轴式翻转，可拆卸更换不同宽度的挡板宽度对设备进行防撞防护。</w:t>
            </w:r>
          </w:p>
          <w:p>
            <w:pPr>
              <w:widowControl/>
              <w:spacing w:line="300" w:lineRule="auto"/>
              <w:jc w:val="left"/>
              <w:textAlignment w:val="center"/>
              <w:rPr>
                <w:rFonts w:ascii="宋体" w:hAnsi="宋体" w:cs="宋体"/>
                <w:szCs w:val="21"/>
              </w:rPr>
            </w:pPr>
            <w:r>
              <w:rPr>
                <w:rFonts w:hint="eastAsia" w:ascii="宋体" w:hAnsi="宋体" w:cs="宋体"/>
                <w:szCs w:val="21"/>
              </w:rPr>
              <w:t>4. 整机支持通过 Type-C 接口 U 盘进行文件传输，兼容 Type-C 接口手机充电。</w:t>
            </w:r>
          </w:p>
          <w:p>
            <w:pPr>
              <w:widowControl/>
              <w:spacing w:line="300" w:lineRule="auto"/>
              <w:jc w:val="left"/>
              <w:textAlignment w:val="center"/>
              <w:rPr>
                <w:rFonts w:ascii="宋体" w:hAnsi="宋体" w:cs="宋体"/>
                <w:szCs w:val="21"/>
              </w:rPr>
            </w:pPr>
            <w:r>
              <w:rPr>
                <w:rFonts w:hint="eastAsia" w:ascii="宋体" w:hAnsi="宋体" w:cs="宋体"/>
                <w:szCs w:val="21"/>
              </w:rPr>
              <w:t>5. 整机支持同一品牌的视频展台通过 USB 方式连接，支持一键打开 / 关闭展台软件；在任意通道下均可实时查看视频展台连接状态，当设备连接 / 断开连接时，提供实时反馈提示；同时支持读取视频展台设备型号，对应显示设备实物图片。</w:t>
            </w:r>
          </w:p>
          <w:p>
            <w:pPr>
              <w:widowControl/>
              <w:spacing w:line="300" w:lineRule="auto"/>
              <w:jc w:val="left"/>
              <w:textAlignment w:val="center"/>
              <w:rPr>
                <w:rFonts w:ascii="宋体" w:hAnsi="宋体" w:cs="宋体"/>
                <w:b/>
                <w:bCs/>
                <w:szCs w:val="21"/>
              </w:rPr>
            </w:pPr>
            <w:r>
              <w:rPr>
                <w:rFonts w:hint="eastAsia" w:ascii="宋体" w:hAnsi="宋体" w:cs="宋体"/>
                <w:b/>
                <w:bCs/>
                <w:szCs w:val="21"/>
              </w:rPr>
              <w:t>智能感知能力：</w:t>
            </w:r>
          </w:p>
          <w:p>
            <w:pPr>
              <w:widowControl/>
              <w:spacing w:line="300" w:lineRule="auto"/>
              <w:jc w:val="left"/>
              <w:textAlignment w:val="center"/>
              <w:rPr>
                <w:rFonts w:ascii="宋体" w:hAnsi="宋体" w:cs="宋体"/>
                <w:szCs w:val="21"/>
              </w:rPr>
            </w:pPr>
            <w:r>
              <w:rPr>
                <w:rFonts w:hint="eastAsia" w:ascii="宋体" w:hAnsi="宋体" w:cs="宋体"/>
                <w:szCs w:val="21"/>
              </w:rPr>
              <w:t>1. 整机内置摄像头（非外扩），PC 通道下支持通过视频展台软件调用摄像头进行二维码扫码识别。</w:t>
            </w:r>
          </w:p>
          <w:p>
            <w:pPr>
              <w:widowControl/>
              <w:spacing w:line="300" w:lineRule="auto"/>
              <w:jc w:val="left"/>
              <w:textAlignment w:val="center"/>
              <w:rPr>
                <w:rFonts w:ascii="宋体" w:hAnsi="宋体" w:cs="宋体"/>
                <w:szCs w:val="21"/>
              </w:rPr>
            </w:pPr>
            <w:r>
              <w:rPr>
                <w:rFonts w:hint="eastAsia" w:ascii="宋体" w:hAnsi="宋体" w:cs="宋体"/>
                <w:szCs w:val="21"/>
              </w:rPr>
              <w:t>2. 整机内置非独立摄像头，采用一体化集成设计，可拍摄≥5000 万像素数的照片。</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3. 整机内置非独立广角高清摄像头，视场角≥135 度且水平视场角≥120 度，支持输出 4:3、16:9 比例的图片和视频；支持清晰度为 3840x2160（4K）分辨率的视频输出，支持画面畸变矫正功能。（如有，提供具有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4. 整机支持距离摄像头位置≥10 米距离的 AI 识别人脸。</w:t>
            </w:r>
          </w:p>
          <w:p>
            <w:pPr>
              <w:widowControl/>
              <w:spacing w:line="300" w:lineRule="auto"/>
              <w:jc w:val="left"/>
              <w:textAlignment w:val="center"/>
              <w:rPr>
                <w:rFonts w:ascii="宋体" w:hAnsi="宋体" w:cs="宋体"/>
                <w:szCs w:val="21"/>
              </w:rPr>
            </w:pPr>
            <w:r>
              <w:rPr>
                <w:rFonts w:hint="eastAsia" w:ascii="宋体" w:hAnsi="宋体" w:cs="宋体"/>
                <w:szCs w:val="21"/>
              </w:rPr>
              <w:t>5. 整机上边框内置非独立广角高清摄像头，支持输出 MJPG、 H.264 视频格式。</w:t>
            </w:r>
          </w:p>
          <w:p>
            <w:pPr>
              <w:widowControl/>
              <w:spacing w:line="300" w:lineRule="auto"/>
              <w:jc w:val="left"/>
              <w:textAlignment w:val="center"/>
              <w:rPr>
                <w:rFonts w:ascii="宋体" w:hAnsi="宋体" w:cs="宋体"/>
                <w:szCs w:val="21"/>
              </w:rPr>
            </w:pPr>
            <w:r>
              <w:rPr>
                <w:rFonts w:hint="eastAsia" w:ascii="宋体" w:hAnsi="宋体" w:cs="宋体"/>
                <w:szCs w:val="21"/>
              </w:rPr>
              <w:t>6. 整机上边框内置非独立的广角高清摄像头，在距离整机 1.7 米情况下，且拍摄范围可以覆盖摄像头垂直法线左右距离大于等于 4 米，可以实现人脸识别。</w:t>
            </w:r>
          </w:p>
          <w:p>
            <w:pPr>
              <w:widowControl/>
              <w:spacing w:line="300" w:lineRule="auto"/>
              <w:jc w:val="left"/>
              <w:textAlignment w:val="center"/>
              <w:rPr>
                <w:rFonts w:ascii="宋体" w:hAnsi="宋体" w:cs="宋体"/>
                <w:szCs w:val="21"/>
              </w:rPr>
            </w:pPr>
            <w:r>
              <w:rPr>
                <w:rFonts w:hint="eastAsia" w:ascii="宋体" w:hAnsi="宋体" w:cs="宋体"/>
                <w:szCs w:val="21"/>
              </w:rPr>
              <w:t>7. 具备摄像头工作指示灯，摄像头运行时，有指示灯提示。</w:t>
            </w:r>
          </w:p>
          <w:p>
            <w:pPr>
              <w:widowControl/>
              <w:spacing w:line="300" w:lineRule="auto"/>
              <w:jc w:val="left"/>
              <w:textAlignment w:val="center"/>
              <w:rPr>
                <w:rFonts w:ascii="宋体" w:hAnsi="宋体" w:cs="宋体"/>
                <w:szCs w:val="21"/>
              </w:rPr>
            </w:pPr>
            <w:r>
              <w:rPr>
                <w:rFonts w:hint="eastAsia" w:ascii="宋体" w:hAnsi="宋体" w:cs="宋体"/>
                <w:szCs w:val="21"/>
              </w:rPr>
              <w:t>8. 整机内置非独立的高清摄像头，可用于远程巡课。</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9. 整机摄像头支持人脸识别、清点人数、随机抽人；识别所有学生，显示标记，然后随机抽选，同时显示标记不少于 60 人。（如有，提供具有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10. 整机支持通过人脸识别进行登录账号。</w:t>
            </w:r>
          </w:p>
          <w:p>
            <w:pPr>
              <w:widowControl/>
              <w:spacing w:line="300" w:lineRule="auto"/>
              <w:jc w:val="left"/>
              <w:textAlignment w:val="center"/>
              <w:rPr>
                <w:rFonts w:ascii="宋体" w:hAnsi="宋体" w:cs="宋体"/>
                <w:szCs w:val="21"/>
              </w:rPr>
            </w:pPr>
            <w:r>
              <w:rPr>
                <w:rFonts w:hint="eastAsia" w:ascii="宋体" w:hAnsi="宋体" w:cs="宋体"/>
                <w:szCs w:val="21"/>
              </w:rPr>
              <w:t>11. 整机摄像头支持环境色温判断，根据环境调节合适的显示图像效果。</w:t>
            </w:r>
          </w:p>
          <w:p>
            <w:pPr>
              <w:widowControl/>
              <w:spacing w:line="300" w:lineRule="auto"/>
              <w:jc w:val="left"/>
              <w:textAlignment w:val="center"/>
              <w:rPr>
                <w:rFonts w:ascii="宋体" w:hAnsi="宋体" w:cs="宋体"/>
                <w:szCs w:val="21"/>
              </w:rPr>
            </w:pPr>
            <w:r>
              <w:rPr>
                <w:rFonts w:hint="eastAsia" w:ascii="宋体" w:hAnsi="宋体" w:cs="宋体"/>
                <w:szCs w:val="21"/>
              </w:rPr>
              <w:t>12. 整机内置智能体 AI 图像生成功能 ，支持通过语音与大屏开展职业主题对话交互。大屏可同步生成对应职业形象，并将其转化为对话智能体实现双向对话交流。</w:t>
            </w:r>
          </w:p>
          <w:p>
            <w:pPr>
              <w:widowControl/>
              <w:spacing w:line="300" w:lineRule="auto"/>
              <w:jc w:val="left"/>
              <w:textAlignment w:val="center"/>
              <w:rPr>
                <w:rFonts w:ascii="宋体" w:hAnsi="宋体" w:cs="宋体"/>
                <w:szCs w:val="21"/>
              </w:rPr>
            </w:pPr>
            <w:r>
              <w:rPr>
                <w:rFonts w:hint="eastAsia" w:ascii="宋体" w:hAnsi="宋体" w:cs="宋体"/>
                <w:szCs w:val="21"/>
              </w:rPr>
              <w:t>13. 整机内置投票统计小工具，通过内置多摄像头捕捉每个同学的投票动作，如举手，双手交叉并进行 AI 识别，统计投票情况及占比，并以柱状图图表形式呈现。</w:t>
            </w:r>
          </w:p>
          <w:p>
            <w:pPr>
              <w:widowControl/>
              <w:spacing w:line="300" w:lineRule="auto"/>
              <w:jc w:val="left"/>
              <w:textAlignment w:val="center"/>
              <w:rPr>
                <w:rFonts w:ascii="宋体" w:hAnsi="宋体" w:cs="宋体"/>
                <w:szCs w:val="21"/>
              </w:rPr>
            </w:pPr>
            <w:r>
              <w:rPr>
                <w:rFonts w:hint="eastAsia" w:ascii="宋体" w:hAnsi="宋体" w:cs="宋体"/>
                <w:szCs w:val="21"/>
              </w:rPr>
              <w:t>14. 整机内置手势答题小工具，支持老师在课中发起互动选择题，学生通过手势给出对应答案，通过摄像头进行捕捉和 AI 识别，最终收集回作答情况，形成课中的互动学情。</w:t>
            </w:r>
          </w:p>
          <w:p>
            <w:pPr>
              <w:widowControl/>
              <w:spacing w:line="300" w:lineRule="auto"/>
              <w:jc w:val="left"/>
              <w:textAlignment w:val="center"/>
              <w:rPr>
                <w:rFonts w:ascii="宋体" w:hAnsi="宋体" w:cs="宋体"/>
                <w:szCs w:val="21"/>
              </w:rPr>
            </w:pPr>
            <w:r>
              <w:rPr>
                <w:rFonts w:hint="eastAsia" w:ascii="宋体" w:hAnsi="宋体" w:cs="宋体"/>
                <w:szCs w:val="21"/>
              </w:rPr>
              <w:t>15. 整机具备班级视力检测功能，学生站在距离屏幕前 5m 处，可通过手势识别方式来标识方向进行视力测试，测试完成后可直接生成视力检测结果，并建立学生视力档案，对学生视力情况进行管理。</w:t>
            </w:r>
          </w:p>
          <w:p>
            <w:pPr>
              <w:widowControl/>
              <w:spacing w:line="300" w:lineRule="auto"/>
              <w:jc w:val="left"/>
              <w:textAlignment w:val="center"/>
              <w:rPr>
                <w:rFonts w:ascii="宋体" w:hAnsi="宋体" w:cs="宋体"/>
                <w:szCs w:val="21"/>
              </w:rPr>
            </w:pPr>
            <w:r>
              <w:rPr>
                <w:rFonts w:hint="eastAsia" w:ascii="宋体" w:hAnsi="宋体" w:cs="宋体"/>
                <w:szCs w:val="21"/>
              </w:rPr>
              <w:t>16. 整机支持在设备上通过摄像头获取教室内图像并自动识别图像内所有人员，并随机抽选 1 人，支持在大屏幕上手动框选特定教室区域作为抽选范围进行抽选。</w:t>
            </w:r>
          </w:p>
          <w:p>
            <w:pPr>
              <w:widowControl/>
              <w:spacing w:line="300" w:lineRule="auto"/>
              <w:jc w:val="left"/>
              <w:textAlignment w:val="center"/>
              <w:rPr>
                <w:rFonts w:ascii="宋体" w:hAnsi="宋体" w:cs="宋体"/>
                <w:szCs w:val="21"/>
              </w:rPr>
            </w:pPr>
            <w:r>
              <w:rPr>
                <w:rFonts w:hint="eastAsia" w:ascii="宋体" w:hAnsi="宋体" w:cs="宋体"/>
                <w:szCs w:val="21"/>
              </w:rPr>
              <w:t>17. 整机支持在设备上通过摄像头获取教室内图像并自动识别图像内所有人员，并自动进行人数统计。</w:t>
            </w:r>
          </w:p>
          <w:p>
            <w:pPr>
              <w:widowControl/>
              <w:spacing w:line="300" w:lineRule="auto"/>
              <w:jc w:val="left"/>
              <w:textAlignment w:val="center"/>
              <w:rPr>
                <w:rFonts w:ascii="宋体" w:hAnsi="宋体" w:cs="宋体"/>
                <w:szCs w:val="21"/>
              </w:rPr>
            </w:pPr>
            <w:r>
              <w:rPr>
                <w:rFonts w:hint="eastAsia" w:ascii="宋体" w:hAnsi="宋体" w:cs="宋体"/>
                <w:szCs w:val="21"/>
              </w:rPr>
              <w:t>18. 整机内置触摸中控菜单，可查看当前正在运行的应用，支持应用切换，在全屏应用下无需退出全屏应用即可进行切换；支持应用关闭，以及关闭所有应用。</w:t>
            </w:r>
          </w:p>
          <w:p>
            <w:pPr>
              <w:widowControl/>
              <w:spacing w:line="300" w:lineRule="auto"/>
              <w:jc w:val="left"/>
              <w:textAlignment w:val="center"/>
              <w:rPr>
                <w:rFonts w:ascii="宋体" w:hAnsi="宋体" w:cs="宋体"/>
                <w:szCs w:val="21"/>
              </w:rPr>
            </w:pPr>
            <w:r>
              <w:rPr>
                <w:rFonts w:hint="eastAsia" w:ascii="宋体" w:hAnsi="宋体" w:cs="宋体"/>
                <w:szCs w:val="21"/>
              </w:rPr>
              <w:t>19. 整机用户菜单下即可进行触摸信号、显示信号、网络信号等进行状态监测和异常判断。系统异常崩溃弹窗提醒用户并自动上报异常日志。</w:t>
            </w:r>
          </w:p>
          <w:p>
            <w:pPr>
              <w:widowControl/>
              <w:spacing w:line="300" w:lineRule="auto"/>
              <w:jc w:val="left"/>
              <w:textAlignment w:val="center"/>
              <w:rPr>
                <w:rFonts w:ascii="宋体" w:hAnsi="宋体" w:cs="宋体"/>
                <w:szCs w:val="21"/>
              </w:rPr>
            </w:pPr>
            <w:r>
              <w:rPr>
                <w:rFonts w:hint="eastAsia" w:ascii="宋体" w:hAnsi="宋体" w:cs="宋体"/>
                <w:szCs w:val="21"/>
              </w:rPr>
              <w:t>20. 整机显示异常时屏幕会提示对应故障码，辅助问题诊断。</w:t>
            </w:r>
          </w:p>
          <w:p>
            <w:pPr>
              <w:widowControl/>
              <w:spacing w:line="300" w:lineRule="auto"/>
              <w:jc w:val="left"/>
              <w:textAlignment w:val="center"/>
              <w:rPr>
                <w:rFonts w:ascii="宋体" w:hAnsi="宋体" w:cs="宋体"/>
                <w:szCs w:val="21"/>
              </w:rPr>
            </w:pPr>
            <w:r>
              <w:rPr>
                <w:rFonts w:hint="eastAsia" w:ascii="宋体" w:hAnsi="宋体" w:cs="宋体"/>
                <w:szCs w:val="21"/>
              </w:rPr>
              <w:t>21. 整机具备屏体温度实时监控、高温预警及断电保护功能。</w:t>
            </w:r>
          </w:p>
          <w:p>
            <w:pPr>
              <w:widowControl/>
              <w:spacing w:line="300" w:lineRule="auto"/>
              <w:jc w:val="left"/>
              <w:textAlignment w:val="center"/>
              <w:rPr>
                <w:rFonts w:ascii="宋体" w:hAnsi="宋体" w:cs="宋体"/>
                <w:szCs w:val="21"/>
              </w:rPr>
            </w:pPr>
            <w:r>
              <w:rPr>
                <w:rFonts w:hint="eastAsia" w:ascii="宋体" w:hAnsi="宋体" w:cs="宋体"/>
                <w:szCs w:val="21"/>
              </w:rPr>
              <w:t>三、教学辅助工具生态</w:t>
            </w:r>
          </w:p>
          <w:p>
            <w:pPr>
              <w:widowControl/>
              <w:spacing w:line="300" w:lineRule="auto"/>
              <w:jc w:val="left"/>
              <w:textAlignment w:val="center"/>
              <w:rPr>
                <w:rFonts w:ascii="宋体" w:hAnsi="宋体" w:cs="宋体"/>
                <w:b/>
                <w:bCs/>
                <w:szCs w:val="21"/>
              </w:rPr>
            </w:pPr>
            <w:r>
              <w:rPr>
                <w:rFonts w:hint="eastAsia" w:ascii="宋体" w:hAnsi="宋体" w:cs="宋体"/>
                <w:b/>
                <w:bCs/>
                <w:szCs w:val="21"/>
              </w:rPr>
              <w:t>教学桌面：</w:t>
            </w:r>
          </w:p>
          <w:p>
            <w:pPr>
              <w:widowControl/>
              <w:spacing w:line="300" w:lineRule="auto"/>
              <w:jc w:val="left"/>
              <w:textAlignment w:val="center"/>
              <w:rPr>
                <w:rFonts w:ascii="宋体" w:hAnsi="宋体" w:cs="宋体"/>
                <w:szCs w:val="21"/>
              </w:rPr>
            </w:pPr>
            <w:r>
              <w:rPr>
                <w:rFonts w:hint="eastAsia" w:ascii="宋体" w:hAnsi="宋体" w:cs="宋体"/>
                <w:szCs w:val="21"/>
              </w:rPr>
              <w:t>1. 整机设备开机启动后，自动进入教学桌面，支持账号登录、退出，自动获取个人云端教学课件列表、并可进入全部课件列表。</w:t>
            </w:r>
          </w:p>
          <w:p>
            <w:pPr>
              <w:widowControl/>
              <w:spacing w:line="300" w:lineRule="auto"/>
              <w:jc w:val="left"/>
              <w:textAlignment w:val="center"/>
              <w:rPr>
                <w:rFonts w:ascii="宋体" w:hAnsi="宋体" w:cs="宋体"/>
                <w:szCs w:val="21"/>
              </w:rPr>
            </w:pPr>
            <w:r>
              <w:rPr>
                <w:rFonts w:hint="eastAsia" w:ascii="宋体" w:hAnsi="宋体" w:cs="宋体"/>
                <w:szCs w:val="21"/>
              </w:rPr>
              <w:t>2. 整机设备支持多种身份识别方式，支持通过账号登录、手机扫码登录、人脸识别登录、声纹识别登录、近场发现登录，并支持账号安全登录检测。</w:t>
            </w:r>
          </w:p>
          <w:p>
            <w:pPr>
              <w:widowControl/>
              <w:spacing w:line="300" w:lineRule="auto"/>
              <w:jc w:val="left"/>
              <w:textAlignment w:val="center"/>
              <w:rPr>
                <w:rFonts w:ascii="宋体" w:hAnsi="宋体" w:cs="宋体"/>
                <w:szCs w:val="21"/>
              </w:rPr>
            </w:pPr>
            <w:r>
              <w:rPr>
                <w:rFonts w:hint="eastAsia" w:ascii="宋体" w:hAnsi="宋体" w:cs="宋体"/>
                <w:szCs w:val="21"/>
              </w:rPr>
              <w:t>3. 整机支持统一互通的用户身份认证服务，账号登录后，打开教学白板软件教学应用工具时无需再次输入账号密码重复登录。</w:t>
            </w:r>
          </w:p>
          <w:p>
            <w:pPr>
              <w:widowControl/>
              <w:spacing w:line="300" w:lineRule="auto"/>
              <w:jc w:val="left"/>
              <w:textAlignment w:val="center"/>
              <w:rPr>
                <w:rFonts w:ascii="宋体" w:hAnsi="宋体" w:cs="宋体"/>
                <w:szCs w:val="21"/>
              </w:rPr>
            </w:pPr>
            <w:r>
              <w:rPr>
                <w:rFonts w:hint="eastAsia" w:ascii="宋体" w:hAnsi="宋体" w:cs="宋体"/>
                <w:szCs w:val="21"/>
              </w:rPr>
              <w:t>4. 整机教学桌面支持教学白板软件和文件管理软件；教学桌面首页支持自定义桌面应用，支持展示 8 个应用入口，并提供进入本机所有应用的入口。</w:t>
            </w:r>
          </w:p>
          <w:p>
            <w:pPr>
              <w:widowControl/>
              <w:spacing w:line="300" w:lineRule="auto"/>
              <w:jc w:val="left"/>
              <w:textAlignment w:val="center"/>
              <w:rPr>
                <w:rFonts w:ascii="宋体" w:hAnsi="宋体" w:cs="宋体"/>
                <w:szCs w:val="21"/>
              </w:rPr>
            </w:pPr>
            <w:r>
              <w:rPr>
                <w:rFonts w:hint="eastAsia" w:ascii="宋体" w:hAnsi="宋体" w:cs="宋体"/>
                <w:szCs w:val="21"/>
              </w:rPr>
              <w:t>5. 整机可将应用编辑到教学桌面首页，编辑方式支持从教学桌面首页进入编辑，支持在全部应用列表中进入编辑 2 种方式。教学桌面首页应用支持无需进入应用编辑页面，在首页指定应用上长按进行移除。</w:t>
            </w:r>
          </w:p>
          <w:p>
            <w:pPr>
              <w:widowControl/>
              <w:spacing w:line="300" w:lineRule="auto"/>
              <w:jc w:val="left"/>
              <w:textAlignment w:val="center"/>
              <w:rPr>
                <w:rFonts w:ascii="宋体" w:hAnsi="宋体" w:cs="宋体"/>
                <w:szCs w:val="21"/>
              </w:rPr>
            </w:pPr>
            <w:r>
              <w:rPr>
                <w:rFonts w:hint="eastAsia" w:ascii="宋体" w:hAnsi="宋体" w:cs="宋体"/>
                <w:szCs w:val="21"/>
              </w:rPr>
              <w:t>6. 整机教学桌面支持查看设备盘符，支持本地磁盘和外接 U 盘、移动硬盘，点击可打开该磁盘查看磁盘文件。教学桌面支持显示存储空间状态，当存储空间即将满载时候进行红色标记明显提示。</w:t>
            </w:r>
          </w:p>
          <w:p>
            <w:pPr>
              <w:widowControl/>
              <w:spacing w:line="300" w:lineRule="auto"/>
              <w:jc w:val="left"/>
              <w:textAlignment w:val="center"/>
              <w:rPr>
                <w:rFonts w:ascii="宋体" w:hAnsi="宋体" w:cs="宋体"/>
                <w:szCs w:val="21"/>
              </w:rPr>
            </w:pPr>
            <w:r>
              <w:rPr>
                <w:rFonts w:hint="eastAsia" w:ascii="宋体" w:hAnsi="宋体" w:cs="宋体"/>
                <w:szCs w:val="21"/>
              </w:rPr>
              <w:t>7. 整机设备教学桌面支持推荐应用，推荐应用支持移除。</w:t>
            </w:r>
          </w:p>
          <w:p>
            <w:pPr>
              <w:widowControl/>
              <w:spacing w:line="300" w:lineRule="auto"/>
              <w:jc w:val="left"/>
              <w:textAlignment w:val="center"/>
              <w:rPr>
                <w:rFonts w:ascii="宋体" w:hAnsi="宋体" w:cs="宋体"/>
                <w:szCs w:val="21"/>
              </w:rPr>
            </w:pPr>
            <w:r>
              <w:rPr>
                <w:rFonts w:hint="eastAsia" w:ascii="宋体" w:hAnsi="宋体" w:cs="宋体"/>
                <w:szCs w:val="21"/>
              </w:rPr>
              <w:t>8. 整机设备教学桌面支持进行应用卸载。</w:t>
            </w:r>
          </w:p>
          <w:p>
            <w:pPr>
              <w:widowControl/>
              <w:spacing w:line="300" w:lineRule="auto"/>
              <w:jc w:val="left"/>
              <w:textAlignment w:val="center"/>
              <w:rPr>
                <w:rFonts w:ascii="宋体" w:hAnsi="宋体" w:cs="宋体"/>
                <w:szCs w:val="21"/>
              </w:rPr>
            </w:pPr>
            <w:r>
              <w:rPr>
                <w:rFonts w:hint="eastAsia" w:ascii="宋体" w:hAnsi="宋体" w:cs="宋体"/>
                <w:szCs w:val="21"/>
              </w:rPr>
              <w:t>9. 整机教学桌面的教师登录账号后，可自动获取并在桌面显示最近使用的教学课件，点击课件可直接进入授课模式；并支持查看所有个人教学课件资源。</w:t>
            </w:r>
          </w:p>
          <w:p>
            <w:pPr>
              <w:widowControl/>
              <w:spacing w:line="300" w:lineRule="auto"/>
              <w:jc w:val="left"/>
              <w:textAlignment w:val="center"/>
              <w:rPr>
                <w:rFonts w:ascii="宋体" w:hAnsi="宋体" w:cs="宋体"/>
                <w:szCs w:val="21"/>
              </w:rPr>
            </w:pPr>
            <w:r>
              <w:rPr>
                <w:rFonts w:hint="eastAsia" w:ascii="宋体" w:hAnsi="宋体" w:cs="宋体"/>
                <w:szCs w:val="21"/>
              </w:rPr>
              <w:t>10. 整机教学桌面支持进行壁纸编辑，内置 10 张以上壁纸。支持自定义壁纸。</w:t>
            </w:r>
          </w:p>
          <w:p>
            <w:pPr>
              <w:widowControl/>
              <w:spacing w:line="300" w:lineRule="auto"/>
              <w:jc w:val="left"/>
              <w:textAlignment w:val="center"/>
              <w:rPr>
                <w:rFonts w:ascii="宋体" w:hAnsi="宋体" w:cs="宋体"/>
                <w:szCs w:val="21"/>
              </w:rPr>
            </w:pPr>
            <w:r>
              <w:rPr>
                <w:rFonts w:hint="eastAsia" w:ascii="宋体" w:hAnsi="宋体" w:cs="宋体"/>
                <w:szCs w:val="21"/>
              </w:rPr>
              <w:t>11. 整机教学桌面支持 U 盘、移动硬盘外接存储设备直接在桌面显示，无需打开文件浏览器即可查看文件列表，并且支持文件打开。支持查看全部文件列表以及按照文档、图片、音视频分类方式查看文件列表。</w:t>
            </w:r>
          </w:p>
          <w:p>
            <w:pPr>
              <w:widowControl/>
              <w:spacing w:line="300" w:lineRule="auto"/>
              <w:jc w:val="left"/>
              <w:textAlignment w:val="center"/>
              <w:rPr>
                <w:rFonts w:ascii="宋体" w:hAnsi="宋体" w:cs="宋体"/>
                <w:szCs w:val="21"/>
              </w:rPr>
            </w:pPr>
            <w:r>
              <w:rPr>
                <w:rFonts w:hint="eastAsia" w:ascii="宋体" w:hAnsi="宋体" w:cs="宋体"/>
                <w:szCs w:val="21"/>
              </w:rPr>
              <w:t>12. 整机教学桌面 U 盘文件查看窗口支持使用文件浏览器打开 U 盘。</w:t>
            </w:r>
          </w:p>
          <w:p>
            <w:pPr>
              <w:widowControl/>
              <w:spacing w:line="300" w:lineRule="auto"/>
              <w:jc w:val="left"/>
              <w:textAlignment w:val="center"/>
              <w:rPr>
                <w:rFonts w:ascii="宋体" w:hAnsi="宋体" w:cs="宋体"/>
                <w:szCs w:val="21"/>
              </w:rPr>
            </w:pPr>
            <w:r>
              <w:rPr>
                <w:rFonts w:hint="eastAsia" w:ascii="宋体" w:hAnsi="宋体" w:cs="宋体"/>
                <w:szCs w:val="21"/>
              </w:rPr>
              <w:t>13. 整机教学桌面支持进行通道切换，当整机有其他输入源时，可在桌面点击信号源进行输入源切换。</w:t>
            </w:r>
          </w:p>
          <w:p>
            <w:pPr>
              <w:widowControl/>
              <w:spacing w:line="300" w:lineRule="auto"/>
              <w:jc w:val="left"/>
              <w:textAlignment w:val="center"/>
              <w:rPr>
                <w:rFonts w:ascii="宋体" w:hAnsi="宋体" w:cs="宋体"/>
                <w:szCs w:val="21"/>
              </w:rPr>
            </w:pPr>
            <w:r>
              <w:rPr>
                <w:rFonts w:hint="eastAsia" w:ascii="宋体" w:hAnsi="宋体" w:cs="宋体"/>
                <w:szCs w:val="21"/>
              </w:rPr>
              <w:t>14. 整机教学桌面支持进行锁屏操作。</w:t>
            </w:r>
          </w:p>
          <w:p>
            <w:pPr>
              <w:widowControl/>
              <w:spacing w:line="300" w:lineRule="auto"/>
              <w:jc w:val="left"/>
              <w:textAlignment w:val="center"/>
              <w:rPr>
                <w:rFonts w:ascii="宋体" w:hAnsi="宋体" w:cs="宋体"/>
                <w:szCs w:val="21"/>
              </w:rPr>
            </w:pPr>
            <w:r>
              <w:rPr>
                <w:rFonts w:hint="eastAsia" w:ascii="宋体" w:hAnsi="宋体" w:cs="宋体"/>
                <w:szCs w:val="21"/>
              </w:rPr>
              <w:t>15. 整机教学桌面支持进行重启、关机操作。</w:t>
            </w:r>
          </w:p>
          <w:p>
            <w:pPr>
              <w:widowControl/>
              <w:spacing w:line="300" w:lineRule="auto"/>
              <w:jc w:val="left"/>
              <w:textAlignment w:val="center"/>
              <w:rPr>
                <w:rFonts w:ascii="宋体" w:hAnsi="宋体" w:cs="宋体"/>
                <w:szCs w:val="21"/>
              </w:rPr>
            </w:pPr>
            <w:r>
              <w:rPr>
                <w:rFonts w:hint="eastAsia" w:ascii="宋体" w:hAnsi="宋体" w:cs="宋体"/>
                <w:szCs w:val="21"/>
              </w:rPr>
              <w:t>16. 教学桌面支持增加网页快捷打开方式，数量≥8 个，并支持自定义网址命名。</w:t>
            </w:r>
          </w:p>
          <w:p>
            <w:pPr>
              <w:widowControl/>
              <w:spacing w:line="300" w:lineRule="auto"/>
              <w:jc w:val="left"/>
              <w:textAlignment w:val="center"/>
              <w:rPr>
                <w:rFonts w:ascii="宋体" w:hAnsi="宋体" w:cs="宋体"/>
                <w:b/>
                <w:bCs/>
                <w:szCs w:val="21"/>
              </w:rPr>
            </w:pPr>
            <w:r>
              <w:rPr>
                <w:rFonts w:hint="eastAsia" w:ascii="宋体" w:hAnsi="宋体" w:cs="宋体"/>
                <w:b/>
                <w:bCs/>
                <w:szCs w:val="21"/>
              </w:rPr>
              <w:t>侧边栏工具：</w:t>
            </w:r>
          </w:p>
          <w:p>
            <w:pPr>
              <w:widowControl/>
              <w:spacing w:line="300" w:lineRule="auto"/>
              <w:jc w:val="left"/>
              <w:textAlignment w:val="center"/>
              <w:rPr>
                <w:rFonts w:ascii="宋体" w:hAnsi="宋体" w:cs="宋体"/>
                <w:szCs w:val="21"/>
              </w:rPr>
            </w:pPr>
            <w:r>
              <w:rPr>
                <w:rFonts w:hint="eastAsia" w:ascii="宋体" w:hAnsi="宋体" w:cs="宋体"/>
                <w:szCs w:val="21"/>
              </w:rPr>
              <w:t>1. 整机内置全通道侧边栏快捷菜单，小工具、应用软件、快捷设置、亮度 / 音量调节、教室物联入口。</w:t>
            </w:r>
          </w:p>
          <w:p>
            <w:pPr>
              <w:widowControl/>
              <w:spacing w:line="300" w:lineRule="auto"/>
              <w:jc w:val="left"/>
              <w:textAlignment w:val="center"/>
              <w:rPr>
                <w:rFonts w:ascii="宋体" w:hAnsi="宋体" w:cs="宋体"/>
                <w:szCs w:val="21"/>
              </w:rPr>
            </w:pPr>
            <w:r>
              <w:rPr>
                <w:rFonts w:hint="eastAsia" w:ascii="宋体" w:hAnsi="宋体" w:cs="宋体"/>
                <w:szCs w:val="21"/>
              </w:rPr>
              <w:t>2. 整机全通道侧边栏支持展示学校名称、设备班级、场地信息。</w:t>
            </w:r>
          </w:p>
          <w:p>
            <w:pPr>
              <w:widowControl/>
              <w:spacing w:line="300" w:lineRule="auto"/>
              <w:jc w:val="left"/>
              <w:textAlignment w:val="center"/>
              <w:rPr>
                <w:rFonts w:ascii="宋体" w:hAnsi="宋体" w:cs="宋体"/>
                <w:szCs w:val="21"/>
              </w:rPr>
            </w:pPr>
            <w:r>
              <w:rPr>
                <w:rFonts w:hint="eastAsia" w:ascii="宋体" w:hAnsi="宋体" w:cs="宋体"/>
                <w:szCs w:val="21"/>
              </w:rPr>
              <w:t>3. 整机全通道侧边栏快捷菜单包含如下小工具：批注、降半屏、截屏、放大镜、倒计时、日历、聚光灯、秒表、冻屏、倒数日、答题、节拍器。</w:t>
            </w:r>
          </w:p>
          <w:p>
            <w:pPr>
              <w:widowControl/>
              <w:spacing w:line="300" w:lineRule="auto"/>
              <w:jc w:val="left"/>
              <w:textAlignment w:val="center"/>
              <w:rPr>
                <w:rFonts w:ascii="宋体" w:hAnsi="宋体" w:cs="宋体"/>
                <w:szCs w:val="21"/>
              </w:rPr>
            </w:pPr>
            <w:r>
              <w:rPr>
                <w:rFonts w:hint="eastAsia" w:ascii="宋体" w:hAnsi="宋体" w:cs="宋体"/>
                <w:szCs w:val="21"/>
              </w:rPr>
              <w:t>4. 整机全通道侧边栏快捷菜单小工具支持自定义，支持设置对应小工具的显示 / 隐藏。</w:t>
            </w:r>
          </w:p>
          <w:p>
            <w:pPr>
              <w:widowControl/>
              <w:spacing w:line="300" w:lineRule="auto"/>
              <w:jc w:val="left"/>
              <w:textAlignment w:val="center"/>
              <w:rPr>
                <w:rFonts w:ascii="宋体" w:hAnsi="宋体" w:cs="宋体"/>
                <w:szCs w:val="21"/>
              </w:rPr>
            </w:pPr>
            <w:r>
              <w:rPr>
                <w:rFonts w:hint="eastAsia" w:ascii="宋体" w:hAnsi="宋体" w:cs="宋体"/>
                <w:szCs w:val="21"/>
              </w:rPr>
              <w:t>5. 侧边栏内置文件管理，可便捷打开存放在桌面上的文件、文件夹；支持打开桌面文件夹目录，以便查看更多文件。</w:t>
            </w:r>
          </w:p>
          <w:p>
            <w:pPr>
              <w:widowControl/>
              <w:spacing w:line="300" w:lineRule="auto"/>
              <w:jc w:val="left"/>
              <w:textAlignment w:val="center"/>
              <w:rPr>
                <w:rFonts w:ascii="宋体" w:hAnsi="宋体" w:cs="宋体"/>
                <w:szCs w:val="21"/>
              </w:rPr>
            </w:pPr>
            <w:r>
              <w:rPr>
                <w:rFonts w:hint="eastAsia" w:ascii="宋体" w:hAnsi="宋体" w:cs="宋体"/>
                <w:szCs w:val="21"/>
              </w:rPr>
              <w:t>6. 侧边栏内置应用管理，可查看全部应用列表，并可点击其中应用进行快捷打开。</w:t>
            </w:r>
          </w:p>
          <w:p>
            <w:pPr>
              <w:widowControl/>
              <w:spacing w:line="300" w:lineRule="auto"/>
              <w:jc w:val="left"/>
              <w:textAlignment w:val="center"/>
              <w:rPr>
                <w:rFonts w:ascii="宋体" w:hAnsi="宋体" w:cs="宋体"/>
                <w:szCs w:val="21"/>
              </w:rPr>
            </w:pPr>
            <w:r>
              <w:rPr>
                <w:rFonts w:hint="eastAsia" w:ascii="宋体" w:hAnsi="宋体" w:cs="宋体"/>
                <w:szCs w:val="21"/>
              </w:rPr>
              <w:t>7. 整机侧边栏小工具支持自定义显示和隐藏，可通过拖拽进行顺序自定义；可自定义侧边栏物联模块、进程管理、桌面文件模块的显示和隐藏。</w:t>
            </w:r>
          </w:p>
          <w:p>
            <w:pPr>
              <w:widowControl/>
              <w:spacing w:line="300" w:lineRule="auto"/>
              <w:jc w:val="left"/>
              <w:textAlignment w:val="center"/>
              <w:rPr>
                <w:rFonts w:ascii="宋体" w:hAnsi="宋体" w:cs="宋体"/>
                <w:szCs w:val="21"/>
              </w:rPr>
            </w:pPr>
            <w:r>
              <w:rPr>
                <w:rFonts w:hint="eastAsia" w:ascii="宋体" w:hAnsi="宋体" w:cs="宋体"/>
                <w:szCs w:val="21"/>
              </w:rPr>
              <w:t>8. 整机全通道侧边栏支持使用批注小工具进行批注讲解，可切换书写笔颜色、截屏保存批注内容、清屏，可根据手与屏幕的接触面积自动调整板擦工具的大小。</w:t>
            </w:r>
          </w:p>
          <w:p>
            <w:pPr>
              <w:widowControl/>
              <w:spacing w:line="300" w:lineRule="auto"/>
              <w:jc w:val="left"/>
              <w:textAlignment w:val="center"/>
              <w:rPr>
                <w:rFonts w:ascii="宋体" w:hAnsi="宋体" w:cs="宋体"/>
                <w:szCs w:val="21"/>
              </w:rPr>
            </w:pPr>
            <w:r>
              <w:rPr>
                <w:rFonts w:hint="eastAsia" w:ascii="宋体" w:hAnsi="宋体" w:cs="宋体"/>
                <w:szCs w:val="21"/>
              </w:rPr>
              <w:t>9. 整机全通道侧边栏支持将设备屏幕降低为半屏幕状态，点击上半屏幕可以返回全屏状态。</w:t>
            </w:r>
          </w:p>
          <w:p>
            <w:pPr>
              <w:widowControl/>
              <w:spacing w:line="300" w:lineRule="auto"/>
              <w:jc w:val="left"/>
              <w:textAlignment w:val="center"/>
              <w:rPr>
                <w:rFonts w:ascii="宋体" w:hAnsi="宋体" w:cs="宋体"/>
                <w:szCs w:val="21"/>
              </w:rPr>
            </w:pPr>
            <w:r>
              <w:rPr>
                <w:rFonts w:hint="eastAsia" w:ascii="宋体" w:hAnsi="宋体" w:cs="宋体"/>
                <w:szCs w:val="21"/>
              </w:rPr>
              <w:t>10. 整机全通道侧边栏支持自行选择所需截取屏幕范围，点击截屏即可成功截取屏幕，并自动保存。</w:t>
            </w:r>
          </w:p>
          <w:p>
            <w:pPr>
              <w:widowControl/>
              <w:spacing w:line="300" w:lineRule="auto"/>
              <w:jc w:val="left"/>
              <w:textAlignment w:val="center"/>
              <w:rPr>
                <w:rFonts w:ascii="宋体" w:hAnsi="宋体" w:cs="宋体"/>
                <w:szCs w:val="21"/>
              </w:rPr>
            </w:pPr>
            <w:r>
              <w:rPr>
                <w:rFonts w:hint="eastAsia" w:ascii="宋体" w:hAnsi="宋体" w:cs="宋体"/>
                <w:szCs w:val="21"/>
              </w:rPr>
              <w:t>11. 整机全通道侧边栏支持放大选中区域内容，并可支持对未选中区域关灯处理，实现聚光灯效果。</w:t>
            </w:r>
          </w:p>
          <w:p>
            <w:pPr>
              <w:widowControl/>
              <w:spacing w:line="300" w:lineRule="auto"/>
              <w:jc w:val="left"/>
              <w:textAlignment w:val="center"/>
              <w:rPr>
                <w:rFonts w:ascii="宋体" w:hAnsi="宋体" w:cs="宋体"/>
                <w:szCs w:val="21"/>
              </w:rPr>
            </w:pPr>
            <w:r>
              <w:rPr>
                <w:rFonts w:hint="eastAsia" w:ascii="宋体" w:hAnsi="宋体" w:cs="宋体"/>
                <w:szCs w:val="21"/>
              </w:rPr>
              <w:t>12. 整机全通道侧边栏支持倒计时、正计时功能；倒计时，输入某特定时间值，可精确到秒，点击开始进入倒计时；正计时，点击开始计时便自动开始，并实时显示时间。</w:t>
            </w:r>
          </w:p>
          <w:p>
            <w:pPr>
              <w:widowControl/>
              <w:spacing w:line="300" w:lineRule="auto"/>
              <w:jc w:val="left"/>
              <w:textAlignment w:val="center"/>
              <w:rPr>
                <w:rFonts w:ascii="宋体" w:hAnsi="宋体" w:cs="宋体"/>
                <w:szCs w:val="21"/>
              </w:rPr>
            </w:pPr>
            <w:r>
              <w:rPr>
                <w:rFonts w:hint="eastAsia" w:ascii="宋体" w:hAnsi="宋体" w:cs="宋体"/>
                <w:szCs w:val="21"/>
              </w:rPr>
              <w:t>13. 整机全通道侧边栏支持打开日历，查看日期。</w:t>
            </w:r>
          </w:p>
          <w:p>
            <w:pPr>
              <w:widowControl/>
              <w:spacing w:line="300" w:lineRule="auto"/>
              <w:jc w:val="left"/>
              <w:textAlignment w:val="center"/>
              <w:rPr>
                <w:rFonts w:ascii="宋体" w:hAnsi="宋体" w:cs="宋体"/>
                <w:szCs w:val="21"/>
              </w:rPr>
            </w:pPr>
            <w:r>
              <w:rPr>
                <w:rFonts w:hint="eastAsia" w:ascii="宋体" w:hAnsi="宋体" w:cs="宋体"/>
                <w:szCs w:val="21"/>
              </w:rPr>
              <w:t>14. 整机全通道侧边栏支持聚光灯，支持聚光灯高亮区域大小调节、区域移动。</w:t>
            </w:r>
          </w:p>
          <w:p>
            <w:pPr>
              <w:widowControl/>
              <w:spacing w:line="300" w:lineRule="auto"/>
              <w:jc w:val="left"/>
              <w:textAlignment w:val="center"/>
              <w:rPr>
                <w:rFonts w:ascii="宋体" w:hAnsi="宋体" w:cs="宋体"/>
                <w:szCs w:val="21"/>
              </w:rPr>
            </w:pPr>
            <w:r>
              <w:rPr>
                <w:rFonts w:hint="eastAsia" w:ascii="宋体" w:hAnsi="宋体" w:cs="宋体"/>
                <w:szCs w:val="21"/>
              </w:rPr>
              <w:t>15. 整机全通道侧边栏支持冻屏，将屏幕画面进行缩放。</w:t>
            </w:r>
          </w:p>
          <w:p>
            <w:pPr>
              <w:widowControl/>
              <w:spacing w:line="300" w:lineRule="auto"/>
              <w:jc w:val="left"/>
              <w:textAlignment w:val="center"/>
              <w:rPr>
                <w:rFonts w:ascii="宋体" w:hAnsi="宋体" w:cs="宋体"/>
                <w:szCs w:val="21"/>
              </w:rPr>
            </w:pPr>
            <w:r>
              <w:rPr>
                <w:rFonts w:hint="eastAsia" w:ascii="宋体" w:hAnsi="宋体" w:cs="宋体"/>
                <w:szCs w:val="21"/>
              </w:rPr>
              <w:t>16. 整机安卓和外接通道 (2 路 HDMI) 下侧边栏支持设置倒数日。</w:t>
            </w:r>
          </w:p>
          <w:p>
            <w:pPr>
              <w:widowControl/>
              <w:spacing w:line="300" w:lineRule="auto"/>
              <w:jc w:val="left"/>
              <w:textAlignment w:val="center"/>
              <w:rPr>
                <w:rFonts w:ascii="宋体" w:hAnsi="宋体" w:cs="宋体"/>
                <w:szCs w:val="21"/>
              </w:rPr>
            </w:pPr>
            <w:r>
              <w:rPr>
                <w:rFonts w:hint="eastAsia" w:ascii="宋体" w:hAnsi="宋体" w:cs="宋体"/>
                <w:szCs w:val="21"/>
              </w:rPr>
              <w:t>17. 整机安卓和外接通道 (2 路 HDMI) 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pPr>
              <w:widowControl/>
              <w:spacing w:line="300" w:lineRule="auto"/>
              <w:jc w:val="left"/>
              <w:textAlignment w:val="center"/>
              <w:rPr>
                <w:rFonts w:ascii="宋体" w:hAnsi="宋体" w:cs="宋体"/>
                <w:szCs w:val="21"/>
              </w:rPr>
            </w:pPr>
            <w:r>
              <w:rPr>
                <w:rFonts w:hint="eastAsia" w:ascii="宋体" w:hAnsi="宋体" w:cs="宋体"/>
                <w:szCs w:val="21"/>
              </w:rPr>
              <w:t>18. 整机安卓和外接通道 (2 路 HDMI) 下侧边栏支持节拍器，支持设置节拍、轻重、节拍播放速度。全通道下可支持通过自定义按键调出该功能。</w:t>
            </w:r>
          </w:p>
          <w:p>
            <w:pPr>
              <w:widowControl/>
              <w:spacing w:line="300" w:lineRule="auto"/>
              <w:jc w:val="left"/>
              <w:textAlignment w:val="center"/>
              <w:rPr>
                <w:rFonts w:ascii="宋体" w:hAnsi="宋体" w:cs="宋体"/>
                <w:szCs w:val="21"/>
              </w:rPr>
            </w:pPr>
            <w:r>
              <w:rPr>
                <w:rFonts w:hint="eastAsia" w:ascii="宋体" w:hAnsi="宋体" w:cs="宋体"/>
                <w:szCs w:val="21"/>
              </w:rPr>
              <w:t>19. 整机支持在设备上通过侧边栏实现调用 Windows 系统运行、打开文件夹、打开任务管理、打开 U 盘、录屏功能。</w:t>
            </w:r>
          </w:p>
          <w:p>
            <w:pPr>
              <w:widowControl/>
              <w:spacing w:line="300" w:lineRule="auto"/>
              <w:jc w:val="left"/>
              <w:textAlignment w:val="center"/>
              <w:rPr>
                <w:rFonts w:ascii="宋体" w:hAnsi="宋体" w:cs="宋体"/>
                <w:szCs w:val="21"/>
              </w:rPr>
            </w:pPr>
            <w:r>
              <w:rPr>
                <w:rFonts w:hint="eastAsia" w:ascii="宋体" w:hAnsi="宋体" w:cs="宋体"/>
                <w:szCs w:val="21"/>
              </w:rPr>
              <w:t>20. 整机 Windows 通道支持通过侧边栏调取软键盘。</w:t>
            </w:r>
          </w:p>
          <w:p>
            <w:pPr>
              <w:widowControl/>
              <w:spacing w:line="300" w:lineRule="auto"/>
              <w:jc w:val="left"/>
              <w:textAlignment w:val="center"/>
              <w:rPr>
                <w:rFonts w:ascii="宋体" w:hAnsi="宋体" w:cs="宋体"/>
                <w:szCs w:val="21"/>
              </w:rPr>
            </w:pPr>
            <w:r>
              <w:rPr>
                <w:rFonts w:hint="eastAsia" w:ascii="宋体" w:hAnsi="宋体" w:cs="宋体"/>
                <w:szCs w:val="21"/>
              </w:rPr>
              <w:t>21. 整机 Windows 通道支持对当前运行中的应用进行窗口最大化、窗口最小化、应用强制关闭。</w:t>
            </w:r>
          </w:p>
          <w:p>
            <w:pPr>
              <w:widowControl/>
              <w:spacing w:line="300" w:lineRule="auto"/>
              <w:jc w:val="left"/>
              <w:textAlignment w:val="center"/>
              <w:rPr>
                <w:rFonts w:ascii="宋体" w:hAnsi="宋体" w:cs="宋体"/>
                <w:szCs w:val="21"/>
              </w:rPr>
            </w:pPr>
            <w:r>
              <w:rPr>
                <w:rFonts w:hint="eastAsia" w:ascii="宋体" w:hAnsi="宋体" w:cs="宋体"/>
                <w:szCs w:val="21"/>
              </w:rPr>
              <w:t>22. 整机处于非内置 PC 通道下，支持通过侧边栏进入 PC 通道。</w:t>
            </w:r>
          </w:p>
          <w:p>
            <w:pPr>
              <w:widowControl/>
              <w:spacing w:line="300" w:lineRule="auto"/>
              <w:jc w:val="left"/>
              <w:textAlignment w:val="center"/>
              <w:rPr>
                <w:rFonts w:ascii="宋体" w:hAnsi="宋体" w:cs="宋体"/>
                <w:szCs w:val="21"/>
              </w:rPr>
            </w:pPr>
            <w:r>
              <w:rPr>
                <w:rFonts w:hint="eastAsia" w:ascii="宋体" w:hAnsi="宋体" w:cs="宋体"/>
                <w:szCs w:val="21"/>
              </w:rPr>
              <w:t>23. 整机全通道侧边栏快捷菜单中应用软件可以进行切换，无需在已经开启的应用软件全屏模式下退出当前应用再选择更换。</w:t>
            </w:r>
          </w:p>
          <w:p>
            <w:pPr>
              <w:widowControl/>
              <w:spacing w:line="300" w:lineRule="auto"/>
              <w:jc w:val="left"/>
              <w:textAlignment w:val="center"/>
              <w:rPr>
                <w:rFonts w:ascii="宋体" w:hAnsi="宋体" w:cs="宋体"/>
                <w:szCs w:val="21"/>
              </w:rPr>
            </w:pPr>
            <w:r>
              <w:rPr>
                <w:rFonts w:hint="eastAsia" w:ascii="宋体" w:hAnsi="宋体" w:cs="宋体"/>
                <w:szCs w:val="21"/>
              </w:rPr>
              <w:t>24. 整机全通道侧边栏快捷菜单支持自定义快捷菜单，支持 Windows 应用固定，可将应用固定后，在侧边栏进行快捷打开。</w:t>
            </w:r>
          </w:p>
          <w:p>
            <w:pPr>
              <w:widowControl/>
              <w:spacing w:line="300" w:lineRule="auto"/>
              <w:jc w:val="left"/>
              <w:textAlignment w:val="center"/>
              <w:rPr>
                <w:rFonts w:ascii="宋体" w:hAnsi="宋体" w:cs="宋体"/>
                <w:szCs w:val="21"/>
              </w:rPr>
            </w:pPr>
            <w:r>
              <w:rPr>
                <w:rFonts w:hint="eastAsia" w:ascii="宋体" w:hAnsi="宋体" w:cs="宋体"/>
                <w:szCs w:val="21"/>
              </w:rPr>
              <w:t>25. 整机全通道侧边栏快捷菜单中可实时查看物联设备的连接情况，点击设备图标即可调出中控菜单进行管控。</w:t>
            </w:r>
          </w:p>
          <w:p>
            <w:pPr>
              <w:widowControl/>
              <w:spacing w:line="300" w:lineRule="auto"/>
              <w:jc w:val="left"/>
              <w:textAlignment w:val="center"/>
              <w:rPr>
                <w:rFonts w:ascii="宋体" w:hAnsi="宋体" w:cs="宋体"/>
                <w:szCs w:val="21"/>
              </w:rPr>
            </w:pPr>
            <w:r>
              <w:rPr>
                <w:rFonts w:hint="eastAsia" w:ascii="宋体" w:hAnsi="宋体" w:cs="宋体"/>
                <w:szCs w:val="21"/>
              </w:rPr>
              <w:t>26. 整机全通道侧边栏快捷菜单支持简洁模式和常规模式切换。</w:t>
            </w:r>
          </w:p>
          <w:p>
            <w:pPr>
              <w:widowControl/>
              <w:spacing w:line="300" w:lineRule="auto"/>
              <w:jc w:val="left"/>
              <w:textAlignment w:val="center"/>
              <w:rPr>
                <w:rFonts w:ascii="宋体" w:hAnsi="宋体" w:cs="宋体"/>
                <w:szCs w:val="21"/>
              </w:rPr>
            </w:pPr>
            <w:r>
              <w:rPr>
                <w:rFonts w:hint="eastAsia" w:ascii="宋体" w:hAnsi="宋体" w:cs="宋体"/>
                <w:szCs w:val="21"/>
              </w:rPr>
              <w:t>27. 整机全通道侧边栏快捷菜单简洁模式，可进行打开批注、降半屏、主页的基础操作。</w:t>
            </w:r>
          </w:p>
          <w:p>
            <w:pPr>
              <w:widowControl/>
              <w:spacing w:line="300" w:lineRule="auto"/>
              <w:jc w:val="left"/>
              <w:textAlignment w:val="center"/>
              <w:rPr>
                <w:rFonts w:ascii="宋体" w:hAnsi="宋体" w:cs="宋体"/>
                <w:b/>
                <w:bCs/>
                <w:szCs w:val="21"/>
              </w:rPr>
            </w:pPr>
            <w:r>
              <w:rPr>
                <w:rFonts w:hint="eastAsia" w:ascii="宋体" w:hAnsi="宋体" w:cs="宋体"/>
                <w:b/>
                <w:bCs/>
                <w:szCs w:val="21"/>
              </w:rPr>
              <w:t>辅助应用：</w:t>
            </w:r>
          </w:p>
          <w:p>
            <w:pPr>
              <w:widowControl/>
              <w:spacing w:line="300" w:lineRule="auto"/>
              <w:jc w:val="left"/>
              <w:textAlignment w:val="center"/>
              <w:rPr>
                <w:rFonts w:ascii="宋体" w:hAnsi="宋体" w:cs="宋体"/>
                <w:szCs w:val="21"/>
              </w:rPr>
            </w:pPr>
            <w:r>
              <w:rPr>
                <w:rFonts w:hint="eastAsia" w:ascii="宋体" w:hAnsi="宋体" w:cs="宋体"/>
                <w:szCs w:val="21"/>
              </w:rPr>
              <w:t>1. 三合一电源按键，同一电源物理按键完成 Android 系统和 Windows 系统的开机、节能熄屏、关机操作；关机状态下按按键开机；开机状态下按按键实现节能熄屏 / 唤醒，长按按键实现关机。</w:t>
            </w:r>
          </w:p>
          <w:p>
            <w:pPr>
              <w:widowControl/>
              <w:spacing w:line="300" w:lineRule="auto"/>
              <w:jc w:val="left"/>
              <w:textAlignment w:val="center"/>
              <w:rPr>
                <w:rFonts w:ascii="宋体" w:hAnsi="宋体" w:cs="宋体"/>
                <w:szCs w:val="21"/>
              </w:rPr>
            </w:pPr>
            <w:r>
              <w:rPr>
                <w:rFonts w:hint="eastAsia" w:ascii="宋体" w:hAnsi="宋体" w:cs="宋体"/>
                <w:szCs w:val="21"/>
              </w:rPr>
              <w:t>2. 整机具备≥6 前置按键，可实现开关机、音量＋－、护眼、录屏、设置功能。</w:t>
            </w:r>
          </w:p>
          <w:p>
            <w:pPr>
              <w:widowControl/>
              <w:spacing w:line="300" w:lineRule="auto"/>
              <w:jc w:val="left"/>
              <w:textAlignment w:val="center"/>
              <w:rPr>
                <w:rFonts w:ascii="宋体" w:hAnsi="宋体" w:cs="宋体"/>
                <w:szCs w:val="21"/>
              </w:rPr>
            </w:pPr>
            <w:r>
              <w:rPr>
                <w:rFonts w:hint="eastAsia" w:ascii="宋体" w:hAnsi="宋体" w:cs="宋体"/>
                <w:szCs w:val="21"/>
              </w:rPr>
              <w:t>3. 整机为适配教学场景的便捷使用，设备按键采用简洁化设计，前置接口与按键在设备同一侧。</w:t>
            </w:r>
          </w:p>
          <w:p>
            <w:pPr>
              <w:widowControl/>
              <w:spacing w:line="300" w:lineRule="auto"/>
              <w:jc w:val="left"/>
              <w:textAlignment w:val="center"/>
              <w:rPr>
                <w:rFonts w:ascii="宋体" w:hAnsi="宋体" w:cs="宋体"/>
                <w:szCs w:val="21"/>
              </w:rPr>
            </w:pPr>
            <w:r>
              <w:rPr>
                <w:rFonts w:hint="eastAsia" w:ascii="宋体" w:hAnsi="宋体" w:cs="宋体"/>
                <w:szCs w:val="21"/>
              </w:rPr>
              <w:t>4. 支持经典护眼模式，可通过前置面板物理功能按键一键启用经典护眼模式。</w:t>
            </w:r>
          </w:p>
          <w:p>
            <w:pPr>
              <w:widowControl/>
              <w:spacing w:line="300" w:lineRule="auto"/>
              <w:jc w:val="left"/>
              <w:textAlignment w:val="center"/>
              <w:rPr>
                <w:rFonts w:ascii="宋体" w:hAnsi="宋体" w:cs="宋体"/>
                <w:szCs w:val="21"/>
              </w:rPr>
            </w:pPr>
            <w:r>
              <w:rPr>
                <w:rFonts w:hint="eastAsia" w:ascii="宋体" w:hAnsi="宋体" w:cs="宋体"/>
                <w:szCs w:val="21"/>
              </w:rPr>
              <w:t>5. 设备支持通过前置面板物理按键一键启动录屏功能，可将屏幕中显示的课件、音频内容与人声同时录制。</w:t>
            </w:r>
          </w:p>
          <w:p>
            <w:pPr>
              <w:widowControl/>
              <w:spacing w:line="300" w:lineRule="auto"/>
              <w:jc w:val="left"/>
              <w:textAlignment w:val="center"/>
              <w:rPr>
                <w:rFonts w:ascii="宋体" w:hAnsi="宋体" w:cs="宋体"/>
                <w:szCs w:val="21"/>
              </w:rPr>
            </w:pPr>
            <w:r>
              <w:rPr>
                <w:rFonts w:hint="eastAsia" w:ascii="宋体" w:hAnsi="宋体" w:cs="宋体"/>
                <w:szCs w:val="21"/>
              </w:rPr>
              <w:t>6. 整机支持 5 个自定义前置按键，可通过自定义设置实现前置面板功能按键一键启用任一全局小工具（批注、截屏、计时、降半屏、放大镜、倒数日、日历）、快捷开关（节能模式、纸质护眼模式、经典护眼模式、自动亮度模式）。</w:t>
            </w:r>
          </w:p>
          <w:p>
            <w:pPr>
              <w:widowControl/>
              <w:spacing w:line="300" w:lineRule="auto"/>
              <w:jc w:val="left"/>
              <w:textAlignment w:val="center"/>
              <w:rPr>
                <w:rFonts w:ascii="宋体" w:hAnsi="宋体" w:cs="宋体"/>
                <w:szCs w:val="21"/>
              </w:rPr>
            </w:pPr>
            <w:r>
              <w:rPr>
                <w:rFonts w:hint="eastAsia" w:ascii="宋体" w:hAnsi="宋体" w:cs="宋体"/>
                <w:szCs w:val="21"/>
              </w:rPr>
              <w:t>7. 整机 Windows 通道支持文件传输应用，支持多人同时将手机文件传输到整机上；当手机端登录账号与整机一致时，接收文件不需要二次确认，当手机端登录账号与整机不一致时，且距离连接成功或上次传输超过 3 分钟，则接收文件需要二次确认。</w:t>
            </w:r>
          </w:p>
          <w:p>
            <w:pPr>
              <w:widowControl/>
              <w:spacing w:line="300" w:lineRule="auto"/>
              <w:jc w:val="left"/>
              <w:textAlignment w:val="center"/>
              <w:rPr>
                <w:rFonts w:ascii="宋体" w:hAnsi="宋体" w:cs="宋体"/>
                <w:szCs w:val="21"/>
              </w:rPr>
            </w:pPr>
            <w:r>
              <w:rPr>
                <w:rFonts w:hint="eastAsia" w:ascii="宋体" w:hAnsi="宋体" w:cs="宋体"/>
                <w:szCs w:val="21"/>
              </w:rPr>
              <w:t>8. 整机 Windows 通道支持文件传输应用，可将手机文件传输到整机上，无需借助第三方网页、第三方应用，传输文件格式支持：pptx、pdf、docx、txt、xlsx、enbx、jpg、png、gif、svg、mp4、rmvb、avi、3gp、wmv、flv、mkv、mp3、wav、wma、ogg、zip。</w:t>
            </w:r>
          </w:p>
          <w:p>
            <w:pPr>
              <w:widowControl/>
              <w:spacing w:line="300" w:lineRule="auto"/>
              <w:jc w:val="left"/>
              <w:textAlignment w:val="center"/>
              <w:rPr>
                <w:rFonts w:ascii="宋体" w:hAnsi="宋体" w:cs="宋体"/>
                <w:szCs w:val="21"/>
              </w:rPr>
            </w:pPr>
            <w:r>
              <w:rPr>
                <w:rFonts w:hint="eastAsia" w:ascii="宋体" w:hAnsi="宋体" w:cs="宋体"/>
                <w:szCs w:val="21"/>
              </w:rPr>
              <w:t>9. 整机 Windows 通道支持文件传输应用，传输方式支持公网传输、局域网传输。</w:t>
            </w:r>
          </w:p>
          <w:p>
            <w:pPr>
              <w:widowControl/>
              <w:spacing w:line="300" w:lineRule="auto"/>
              <w:jc w:val="left"/>
              <w:textAlignment w:val="center"/>
              <w:rPr>
                <w:rFonts w:ascii="宋体" w:hAnsi="宋体" w:cs="宋体"/>
                <w:szCs w:val="21"/>
              </w:rPr>
            </w:pPr>
            <w:r>
              <w:rPr>
                <w:rFonts w:hint="eastAsia" w:ascii="宋体" w:hAnsi="宋体" w:cs="宋体"/>
                <w:szCs w:val="21"/>
              </w:rPr>
              <w:t>10. 整机 Windows 通道支持文件传输应用，接收的文件支持单份删除；接收的文件支持手动全部清空，为防止误清空，全部清空需要经过二次确认。</w:t>
            </w:r>
          </w:p>
          <w:p>
            <w:pPr>
              <w:widowControl/>
              <w:spacing w:line="300" w:lineRule="auto"/>
              <w:jc w:val="left"/>
              <w:textAlignment w:val="center"/>
              <w:rPr>
                <w:rFonts w:ascii="宋体" w:hAnsi="宋体" w:cs="宋体"/>
                <w:szCs w:val="21"/>
              </w:rPr>
            </w:pPr>
            <w:r>
              <w:rPr>
                <w:rFonts w:hint="eastAsia" w:ascii="宋体" w:hAnsi="宋体" w:cs="宋体"/>
                <w:szCs w:val="21"/>
              </w:rPr>
              <w:t>11. 整机 Windows 通道支持文件传输应用，支持打开文件所在文件夹。</w:t>
            </w:r>
          </w:p>
          <w:p>
            <w:pPr>
              <w:widowControl/>
              <w:spacing w:line="300" w:lineRule="auto"/>
              <w:jc w:val="left"/>
              <w:textAlignment w:val="center"/>
              <w:rPr>
                <w:rFonts w:ascii="宋体" w:hAnsi="宋体" w:cs="宋体"/>
                <w:b/>
                <w:bCs/>
                <w:szCs w:val="21"/>
              </w:rPr>
            </w:pPr>
            <w:r>
              <w:rPr>
                <w:rFonts w:hint="eastAsia" w:ascii="宋体" w:hAnsi="宋体" w:cs="宋体"/>
                <w:b/>
                <w:bCs/>
                <w:szCs w:val="21"/>
              </w:rPr>
              <w:t>智慧教学软件：</w:t>
            </w:r>
          </w:p>
          <w:p>
            <w:pPr>
              <w:widowControl/>
              <w:spacing w:line="300" w:lineRule="auto"/>
              <w:jc w:val="left"/>
              <w:textAlignment w:val="center"/>
              <w:rPr>
                <w:rFonts w:ascii="宋体" w:hAnsi="宋体" w:cs="宋体"/>
                <w:szCs w:val="21"/>
              </w:rPr>
            </w:pPr>
            <w:r>
              <w:rPr>
                <w:rFonts w:hint="eastAsia" w:ascii="宋体" w:hAnsi="宋体" w:cs="宋体"/>
                <w:szCs w:val="21"/>
              </w:rPr>
              <w:t>1. 互动反馈系统：具备公网互动反馈功能，将所有学生端和教师端连接一起构建成互动反馈系统，在系统里面教师可以单选，多选，判断，观点，抢答，抽选，提问箱，文件下发，批注下发。</w:t>
            </w:r>
          </w:p>
          <w:p>
            <w:pPr>
              <w:widowControl/>
              <w:spacing w:line="300" w:lineRule="auto"/>
              <w:jc w:val="left"/>
              <w:textAlignment w:val="center"/>
              <w:rPr>
                <w:rFonts w:ascii="宋体" w:hAnsi="宋体" w:cs="宋体"/>
                <w:szCs w:val="21"/>
              </w:rPr>
            </w:pPr>
            <w:r>
              <w:rPr>
                <w:rFonts w:hint="eastAsia" w:ascii="宋体" w:hAnsi="宋体" w:cs="宋体"/>
                <w:szCs w:val="21"/>
              </w:rPr>
              <w:t>2. 资料下发：支持教师下载教师空间的文档格式的资料给全员和小组端，支持的文件包以下格式：音视频格式，文档格式，图片格式。</w:t>
            </w:r>
          </w:p>
          <w:p>
            <w:pPr>
              <w:widowControl/>
              <w:spacing w:line="300" w:lineRule="auto"/>
              <w:jc w:val="left"/>
              <w:textAlignment w:val="center"/>
              <w:rPr>
                <w:rFonts w:ascii="宋体" w:hAnsi="宋体" w:cs="宋体"/>
                <w:szCs w:val="21"/>
              </w:rPr>
            </w:pPr>
            <w:r>
              <w:rPr>
                <w:rFonts w:hint="eastAsia" w:ascii="宋体" w:hAnsi="宋体" w:cs="宋体"/>
                <w:kern w:val="0"/>
                <w:szCs w:val="21"/>
                <w:lang w:bidi="ar"/>
              </w:rPr>
              <w:t>●</w:t>
            </w:r>
            <w:r>
              <w:rPr>
                <w:rFonts w:hint="eastAsia" w:ascii="宋体" w:hAnsi="宋体" w:cs="宋体"/>
                <w:szCs w:val="21"/>
              </w:rPr>
              <w:t>3. 课堂报告：互动反馈系统支持一键生成课堂互动报告，包含签到人数，考勤情况，互动次数、学生参与度、题目详情、答题结果，提问记录，同时还可以课堂报告进行备注。（如有，提供具有 CMA 或 CNAS 认证资质的第三方检测机构出具的该功能检测报告复印件）</w:t>
            </w:r>
          </w:p>
          <w:p>
            <w:pPr>
              <w:widowControl/>
              <w:spacing w:line="300" w:lineRule="auto"/>
              <w:jc w:val="left"/>
              <w:textAlignment w:val="center"/>
              <w:rPr>
                <w:rFonts w:ascii="宋体" w:hAnsi="宋体" w:cs="宋体"/>
                <w:szCs w:val="21"/>
              </w:rPr>
            </w:pPr>
            <w:r>
              <w:rPr>
                <w:rFonts w:hint="eastAsia" w:ascii="宋体" w:hAnsi="宋体" w:cs="宋体"/>
                <w:szCs w:val="21"/>
              </w:rPr>
              <w:t>4. 统计考勤：互动反馈系统支持无感考勤功能，学生连接成功后名字可显示在签到列表上，签到列表实时统计已签到人数，并查看未到的人员。</w:t>
            </w:r>
          </w:p>
          <w:p>
            <w:pPr>
              <w:widowControl/>
              <w:spacing w:line="300" w:lineRule="auto"/>
              <w:jc w:val="left"/>
              <w:textAlignment w:val="center"/>
              <w:rPr>
                <w:rFonts w:ascii="宋体" w:hAnsi="宋体" w:cs="宋体"/>
                <w:szCs w:val="21"/>
              </w:rPr>
            </w:pPr>
            <w:r>
              <w:rPr>
                <w:rFonts w:hint="eastAsia" w:ascii="宋体" w:hAnsi="宋体" w:cs="宋体"/>
                <w:szCs w:val="21"/>
              </w:rPr>
              <w:t>5. 批注分发：教师端批注功能支持在课中任意时刻对教师端内容进行批注，并且支持批注内容一键保存，自动上传到教师空间，同时发送到全员学生端。</w:t>
            </w:r>
          </w:p>
          <w:p>
            <w:pPr>
              <w:widowControl/>
              <w:spacing w:line="300" w:lineRule="auto"/>
              <w:jc w:val="left"/>
              <w:textAlignment w:val="center"/>
              <w:rPr>
                <w:rFonts w:ascii="宋体" w:hAnsi="宋体" w:cs="宋体"/>
                <w:szCs w:val="21"/>
              </w:rPr>
            </w:pPr>
            <w:r>
              <w:rPr>
                <w:rFonts w:hint="eastAsia" w:ascii="宋体" w:hAnsi="宋体" w:cs="宋体"/>
                <w:szCs w:val="21"/>
              </w:rPr>
              <w:t>6. 授课小工具：教师播放课件时，提供授课小工具，包括画笔、橡皮擦、板中板、放大镜和批注分享功能等。</w:t>
            </w:r>
          </w:p>
          <w:p>
            <w:pPr>
              <w:widowControl/>
              <w:spacing w:line="300" w:lineRule="auto"/>
              <w:jc w:val="left"/>
              <w:textAlignment w:val="center"/>
              <w:rPr>
                <w:rFonts w:ascii="宋体" w:hAnsi="宋体" w:cs="宋体"/>
                <w:szCs w:val="21"/>
              </w:rPr>
            </w:pPr>
            <w:r>
              <w:rPr>
                <w:rFonts w:hint="eastAsia" w:ascii="宋体" w:hAnsi="宋体" w:cs="宋体"/>
                <w:szCs w:val="21"/>
              </w:rPr>
              <w:t>7. 教师云盘：支持教师上传文档格式的资料，支持的文件包含以下格式：音视频格式，文档格式，图片格式。</w:t>
            </w:r>
          </w:p>
          <w:p>
            <w:pPr>
              <w:widowControl/>
              <w:spacing w:line="300" w:lineRule="auto"/>
              <w:jc w:val="left"/>
              <w:textAlignment w:val="center"/>
              <w:rPr>
                <w:rFonts w:ascii="宋体" w:hAnsi="宋体" w:cs="宋体"/>
                <w:szCs w:val="21"/>
              </w:rPr>
            </w:pPr>
            <w:r>
              <w:rPr>
                <w:rFonts w:hint="eastAsia" w:ascii="宋体" w:hAnsi="宋体" w:cs="宋体"/>
                <w:szCs w:val="21"/>
              </w:rPr>
              <w:t>8. 课堂动态：支持在课堂中记录课堂动态，包括老师下发的文件，老师课堂中的板书，课堂互动结果记录，课堂提问多种类型的记录。</w:t>
            </w:r>
          </w:p>
          <w:p>
            <w:pPr>
              <w:widowControl/>
              <w:spacing w:line="300" w:lineRule="auto"/>
              <w:jc w:val="left"/>
              <w:textAlignment w:val="center"/>
              <w:rPr>
                <w:rFonts w:ascii="宋体" w:hAnsi="宋体" w:cs="宋体"/>
                <w:szCs w:val="21"/>
              </w:rPr>
            </w:pPr>
            <w:r>
              <w:rPr>
                <w:rFonts w:hint="eastAsia" w:ascii="宋体" w:hAnsi="宋体" w:cs="宋体"/>
                <w:szCs w:val="21"/>
              </w:rPr>
              <w:t>9. 同步课件：当教师在全屏播放课件的时候，学生端也会同时播放课件，老师翻页学生端也会一起翻页，保证课堂课件同步展示。</w:t>
            </w:r>
          </w:p>
          <w:p>
            <w:pPr>
              <w:widowControl/>
              <w:spacing w:line="300" w:lineRule="auto"/>
              <w:jc w:val="left"/>
              <w:textAlignment w:val="center"/>
              <w:rPr>
                <w:rFonts w:ascii="宋体" w:hAnsi="宋体" w:cs="宋体"/>
                <w:szCs w:val="21"/>
              </w:rPr>
            </w:pPr>
            <w:r>
              <w:rPr>
                <w:rFonts w:hint="eastAsia" w:ascii="宋体" w:hAnsi="宋体" w:cs="宋体"/>
                <w:szCs w:val="21"/>
              </w:rPr>
              <w:t>10. 加入课堂：学生端小程序支持微信扫码加入课堂，方便快捷开启课堂互动。</w:t>
            </w:r>
          </w:p>
          <w:p>
            <w:pPr>
              <w:widowControl/>
              <w:spacing w:line="300" w:lineRule="auto"/>
              <w:jc w:val="left"/>
              <w:textAlignment w:val="center"/>
              <w:rPr>
                <w:rFonts w:ascii="宋体" w:hAnsi="宋体" w:cs="宋体"/>
                <w:szCs w:val="21"/>
              </w:rPr>
            </w:pPr>
            <w:r>
              <w:rPr>
                <w:rFonts w:hint="eastAsia" w:ascii="宋体" w:hAnsi="宋体" w:cs="宋体"/>
                <w:szCs w:val="21"/>
              </w:rPr>
              <w:t>11. 课堂互动：支持在小程序接收课堂答题互动，支持单选，多选，判断，抢答，观点多种类型的答题互动。</w:t>
            </w:r>
          </w:p>
          <w:p>
            <w:pPr>
              <w:widowControl/>
              <w:spacing w:line="300" w:lineRule="auto"/>
              <w:jc w:val="left"/>
              <w:textAlignment w:val="center"/>
              <w:rPr>
                <w:rFonts w:ascii="宋体" w:hAnsi="宋体" w:cs="宋体"/>
                <w:szCs w:val="21"/>
              </w:rPr>
            </w:pPr>
            <w:r>
              <w:rPr>
                <w:rFonts w:hint="eastAsia" w:ascii="宋体" w:hAnsi="宋体" w:cs="宋体"/>
                <w:szCs w:val="21"/>
              </w:rPr>
              <w:t>四、安全与运维保障</w:t>
            </w:r>
          </w:p>
          <w:p>
            <w:pPr>
              <w:widowControl/>
              <w:spacing w:line="300" w:lineRule="auto"/>
              <w:jc w:val="left"/>
              <w:textAlignment w:val="center"/>
              <w:rPr>
                <w:rFonts w:ascii="宋体" w:hAnsi="宋体" w:cs="宋体"/>
                <w:b/>
                <w:bCs/>
                <w:szCs w:val="21"/>
              </w:rPr>
            </w:pPr>
            <w:r>
              <w:rPr>
                <w:rFonts w:hint="eastAsia" w:ascii="宋体" w:hAnsi="宋体" w:cs="宋体"/>
                <w:b/>
                <w:bCs/>
                <w:szCs w:val="21"/>
              </w:rPr>
              <w:t>外观及结构安全：</w:t>
            </w:r>
          </w:p>
          <w:p>
            <w:pPr>
              <w:widowControl/>
              <w:spacing w:line="300" w:lineRule="auto"/>
              <w:jc w:val="left"/>
              <w:textAlignment w:val="center"/>
              <w:rPr>
                <w:rFonts w:ascii="宋体" w:hAnsi="宋体" w:cs="宋体"/>
                <w:szCs w:val="21"/>
              </w:rPr>
            </w:pPr>
            <w:r>
              <w:rPr>
                <w:rFonts w:hint="eastAsia" w:ascii="宋体" w:hAnsi="宋体" w:cs="宋体"/>
                <w:szCs w:val="21"/>
              </w:rPr>
              <w:t>1. 整机屏幕边缘采用金属圆角包边防护，整机背板采用金属材质，有效屏蔽内部电路器件辐射；防潮耐盐雾蚀锈，适应多种教学环境。</w:t>
            </w:r>
          </w:p>
          <w:p>
            <w:pPr>
              <w:widowControl/>
              <w:spacing w:line="300" w:lineRule="auto"/>
              <w:jc w:val="left"/>
              <w:textAlignment w:val="center"/>
              <w:rPr>
                <w:rFonts w:ascii="宋体" w:hAnsi="宋体" w:cs="宋体"/>
                <w:szCs w:val="21"/>
              </w:rPr>
            </w:pPr>
            <w:r>
              <w:rPr>
                <w:rFonts w:hint="eastAsia" w:ascii="宋体" w:hAnsi="宋体" w:cs="宋体"/>
                <w:szCs w:val="21"/>
              </w:rPr>
              <w:t>2. 外部无任何可见内部功能模块连接线，边角采用弧形设计，表面无尖锐边缘或凸起。</w:t>
            </w:r>
          </w:p>
          <w:p>
            <w:pPr>
              <w:widowControl/>
              <w:spacing w:line="300" w:lineRule="auto"/>
              <w:jc w:val="left"/>
              <w:textAlignment w:val="center"/>
              <w:rPr>
                <w:rFonts w:ascii="宋体" w:hAnsi="宋体" w:cs="宋体"/>
                <w:szCs w:val="21"/>
              </w:rPr>
            </w:pPr>
            <w:r>
              <w:rPr>
                <w:rFonts w:hint="eastAsia" w:ascii="宋体" w:hAnsi="宋体" w:cs="宋体"/>
                <w:szCs w:val="21"/>
              </w:rPr>
              <w:t>3. 整机前置 USB 接口具备防撞挡板设计，防撞挡板采用转轴式翻转，可拆卸更换不同宽度的挡板宽度对设备进行防撞防护。</w:t>
            </w:r>
          </w:p>
          <w:p>
            <w:pPr>
              <w:widowControl/>
              <w:spacing w:line="300" w:lineRule="auto"/>
              <w:jc w:val="left"/>
              <w:textAlignment w:val="center"/>
              <w:rPr>
                <w:rFonts w:ascii="宋体" w:hAnsi="宋体" w:cs="宋体"/>
                <w:szCs w:val="21"/>
              </w:rPr>
            </w:pPr>
            <w:r>
              <w:rPr>
                <w:rFonts w:hint="eastAsia" w:ascii="宋体" w:hAnsi="宋体" w:cs="宋体"/>
                <w:szCs w:val="21"/>
              </w:rPr>
              <w:t>4. 整机全部扬声器均采用模块化设计，无需打开背板即可单独拆卸，便于维护。</w:t>
            </w:r>
          </w:p>
          <w:p>
            <w:pPr>
              <w:widowControl/>
              <w:spacing w:line="300" w:lineRule="auto"/>
              <w:jc w:val="left"/>
              <w:textAlignment w:val="center"/>
              <w:rPr>
                <w:rFonts w:ascii="宋体" w:hAnsi="宋体" w:cs="宋体"/>
                <w:szCs w:val="21"/>
              </w:rPr>
            </w:pPr>
            <w:r>
              <w:rPr>
                <w:rFonts w:hint="eastAsia" w:ascii="宋体" w:hAnsi="宋体" w:cs="宋体"/>
                <w:szCs w:val="21"/>
              </w:rPr>
              <w:t>5. 整机无线模块（Wi-Fi 和蓝牙）采用独立模块化设计，无需拆卸整机后壳即可独立拆装。</w:t>
            </w:r>
          </w:p>
          <w:p>
            <w:pPr>
              <w:widowControl/>
              <w:spacing w:line="300" w:lineRule="auto"/>
              <w:jc w:val="left"/>
              <w:textAlignment w:val="center"/>
              <w:rPr>
                <w:rFonts w:ascii="宋体" w:hAnsi="宋体" w:cs="宋体"/>
                <w:szCs w:val="21"/>
              </w:rPr>
            </w:pPr>
            <w:r>
              <w:rPr>
                <w:rFonts w:hint="eastAsia" w:ascii="宋体" w:hAnsi="宋体" w:cs="宋体"/>
                <w:szCs w:val="21"/>
              </w:rPr>
              <w:t>6. 屏幕采用≤4mm 防眩光钢化玻璃保护，表面硬度≥9H，莫氏硬度≥7 级。</w:t>
            </w:r>
          </w:p>
          <w:p>
            <w:pPr>
              <w:widowControl/>
              <w:spacing w:line="300" w:lineRule="auto"/>
              <w:jc w:val="left"/>
              <w:textAlignment w:val="center"/>
              <w:rPr>
                <w:rFonts w:ascii="宋体" w:hAnsi="宋体" w:cs="宋体"/>
                <w:szCs w:val="21"/>
              </w:rPr>
            </w:pPr>
            <w:r>
              <w:rPr>
                <w:rFonts w:hint="eastAsia" w:ascii="宋体" w:hAnsi="宋体" w:cs="宋体"/>
                <w:szCs w:val="21"/>
              </w:rPr>
              <w:t>7. 整机采用全物理钢化玻璃，有效保护屏幕显示画面。玻璃表面采用纳米材料镀膜环保工艺，书写更加顺滑，屏幕支持防眩光功能。</w:t>
            </w:r>
          </w:p>
          <w:p>
            <w:pPr>
              <w:widowControl/>
              <w:spacing w:line="300" w:lineRule="auto"/>
              <w:jc w:val="left"/>
              <w:textAlignment w:val="center"/>
              <w:rPr>
                <w:rFonts w:ascii="宋体" w:hAnsi="宋体" w:cs="宋体"/>
                <w:szCs w:val="21"/>
              </w:rPr>
            </w:pPr>
            <w:r>
              <w:rPr>
                <w:rFonts w:hint="eastAsia" w:ascii="宋体" w:hAnsi="宋体" w:cs="宋体"/>
                <w:szCs w:val="21"/>
              </w:rPr>
              <w:t>8.OPS 电脑模块具有标准 PC 防盗锁孔，确保电脑模块安全防盗。</w:t>
            </w:r>
          </w:p>
          <w:p>
            <w:pPr>
              <w:widowControl/>
              <w:spacing w:line="300" w:lineRule="auto"/>
              <w:jc w:val="left"/>
              <w:textAlignment w:val="center"/>
              <w:rPr>
                <w:rFonts w:ascii="宋体" w:hAnsi="宋体" w:cs="宋体"/>
                <w:b/>
                <w:bCs/>
                <w:szCs w:val="21"/>
              </w:rPr>
            </w:pPr>
            <w:r>
              <w:rPr>
                <w:rFonts w:hint="eastAsia" w:ascii="宋体" w:hAnsi="宋体" w:cs="宋体"/>
                <w:b/>
                <w:bCs/>
                <w:szCs w:val="21"/>
              </w:rPr>
              <w:t>使用安全：</w:t>
            </w:r>
          </w:p>
          <w:p>
            <w:pPr>
              <w:widowControl/>
              <w:spacing w:line="300" w:lineRule="auto"/>
              <w:jc w:val="left"/>
              <w:textAlignment w:val="center"/>
              <w:rPr>
                <w:rFonts w:ascii="宋体" w:hAnsi="宋体" w:cs="宋体"/>
                <w:szCs w:val="21"/>
              </w:rPr>
            </w:pPr>
            <w:r>
              <w:rPr>
                <w:rFonts w:hint="eastAsia" w:ascii="宋体" w:hAnsi="宋体" w:cs="宋体"/>
                <w:szCs w:val="21"/>
              </w:rPr>
              <w:t>1. 整机具备屏体温度实时监控、高温预警及断电保护功能。</w:t>
            </w:r>
          </w:p>
          <w:p>
            <w:pPr>
              <w:widowControl/>
              <w:spacing w:line="300" w:lineRule="auto"/>
              <w:jc w:val="left"/>
              <w:textAlignment w:val="center"/>
              <w:rPr>
                <w:rFonts w:ascii="宋体" w:hAnsi="宋体" w:cs="宋体"/>
                <w:szCs w:val="21"/>
              </w:rPr>
            </w:pPr>
            <w:r>
              <w:rPr>
                <w:rFonts w:hint="eastAsia" w:ascii="宋体" w:hAnsi="宋体" w:cs="宋体"/>
                <w:szCs w:val="21"/>
              </w:rPr>
              <w:t>2. 整机具备智能 U 盘锁功能，U 盘锁开启后整机触摸及按键被锁定，锁定后无法随意自由操作，需要使用时插入 USB key 可解锁。</w:t>
            </w:r>
          </w:p>
          <w:p>
            <w:pPr>
              <w:widowControl/>
              <w:spacing w:line="300" w:lineRule="auto"/>
              <w:jc w:val="left"/>
              <w:textAlignment w:val="center"/>
              <w:rPr>
                <w:rFonts w:ascii="宋体" w:hAnsi="宋体" w:cs="宋体"/>
                <w:szCs w:val="21"/>
              </w:rPr>
            </w:pPr>
            <w:r>
              <w:rPr>
                <w:rFonts w:hint="eastAsia" w:ascii="宋体" w:hAnsi="宋体" w:cs="宋体"/>
                <w:szCs w:val="21"/>
              </w:rPr>
              <w:t>3. 整机视网膜蓝光危害（蓝光加权辐射亮度 LB）满足 GB/Z 39942-2021 蓝光危害 RG0 级别。</w:t>
            </w:r>
          </w:p>
          <w:p>
            <w:pPr>
              <w:widowControl/>
              <w:spacing w:line="300" w:lineRule="auto"/>
              <w:jc w:val="left"/>
              <w:textAlignment w:val="center"/>
              <w:rPr>
                <w:rFonts w:ascii="宋体" w:hAnsi="宋体" w:cs="宋体"/>
                <w:szCs w:val="21"/>
              </w:rPr>
            </w:pPr>
            <w:r>
              <w:rPr>
                <w:rFonts w:hint="eastAsia" w:ascii="宋体" w:hAnsi="宋体" w:cs="宋体"/>
                <w:szCs w:val="21"/>
              </w:rPr>
              <w:t>4. 整机屏幕蓝光占比（有害蓝光 415～455nm 能量综合）/（整体蓝光 400～500nm 能量综合）＜50%。</w:t>
            </w:r>
          </w:p>
          <w:p>
            <w:pPr>
              <w:widowControl/>
              <w:spacing w:line="300" w:lineRule="auto"/>
              <w:jc w:val="left"/>
              <w:textAlignment w:val="center"/>
              <w:rPr>
                <w:rFonts w:ascii="宋体" w:hAnsi="宋体" w:cs="宋体"/>
                <w:szCs w:val="21"/>
              </w:rPr>
            </w:pPr>
            <w:r>
              <w:rPr>
                <w:rFonts w:hint="eastAsia" w:ascii="宋体" w:hAnsi="宋体" w:cs="宋体"/>
                <w:szCs w:val="21"/>
              </w:rPr>
              <w:t>5. 触摸屏在照度 100k lx（勒克司）环境下仍能正常工作。</w:t>
            </w:r>
          </w:p>
          <w:p>
            <w:pPr>
              <w:widowControl/>
              <w:spacing w:line="300" w:lineRule="auto"/>
              <w:jc w:val="left"/>
              <w:textAlignment w:val="center"/>
              <w:rPr>
                <w:rFonts w:ascii="宋体" w:hAnsi="宋体" w:cs="宋体"/>
                <w:b/>
                <w:bCs/>
                <w:szCs w:val="21"/>
              </w:rPr>
            </w:pPr>
            <w:r>
              <w:rPr>
                <w:rFonts w:hint="eastAsia" w:ascii="宋体" w:hAnsi="宋体" w:cs="宋体"/>
                <w:b/>
                <w:bCs/>
                <w:szCs w:val="21"/>
              </w:rPr>
              <w:t>数据与系统安全：</w:t>
            </w:r>
          </w:p>
          <w:p>
            <w:pPr>
              <w:widowControl/>
              <w:spacing w:line="300" w:lineRule="auto"/>
              <w:jc w:val="left"/>
              <w:textAlignment w:val="center"/>
              <w:rPr>
                <w:rFonts w:ascii="宋体" w:hAnsi="宋体" w:cs="宋体"/>
                <w:szCs w:val="21"/>
              </w:rPr>
            </w:pPr>
            <w:r>
              <w:rPr>
                <w:rFonts w:hint="eastAsia" w:ascii="宋体" w:hAnsi="宋体" w:cs="宋体"/>
                <w:szCs w:val="21"/>
              </w:rPr>
              <w:t>1. 整机用户菜单下即可进行触摸信号、显示信号、网络信号等进行状态监测和异常判断。系统异常崩溃弹窗提醒用户并自动上报异常日志。</w:t>
            </w:r>
          </w:p>
          <w:p>
            <w:pPr>
              <w:widowControl/>
              <w:spacing w:line="300" w:lineRule="auto"/>
              <w:jc w:val="left"/>
              <w:textAlignment w:val="center"/>
              <w:rPr>
                <w:rFonts w:ascii="宋体" w:hAnsi="宋体" w:cs="宋体"/>
                <w:szCs w:val="21"/>
              </w:rPr>
            </w:pPr>
            <w:r>
              <w:rPr>
                <w:rFonts w:hint="eastAsia" w:ascii="宋体" w:hAnsi="宋体" w:cs="宋体"/>
                <w:szCs w:val="21"/>
              </w:rPr>
              <w:t>2. 整机显示异常时屏幕会提示对应故障码，辅助问题诊断。</w:t>
            </w:r>
          </w:p>
          <w:p>
            <w:pPr>
              <w:widowControl/>
              <w:spacing w:line="300" w:lineRule="auto"/>
              <w:jc w:val="left"/>
              <w:textAlignment w:val="center"/>
              <w:rPr>
                <w:rFonts w:ascii="宋体" w:hAnsi="宋体" w:cs="宋体"/>
                <w:szCs w:val="21"/>
              </w:rPr>
            </w:pPr>
            <w:r>
              <w:rPr>
                <w:rFonts w:hint="eastAsia" w:ascii="宋体" w:hAnsi="宋体" w:cs="宋体"/>
                <w:szCs w:val="21"/>
              </w:rPr>
              <w:t>3. 整机支持通过机器序列号定向进行软件 OTA 升级。</w:t>
            </w:r>
          </w:p>
          <w:p>
            <w:pPr>
              <w:widowControl/>
              <w:spacing w:line="300" w:lineRule="auto"/>
              <w:jc w:val="left"/>
              <w:textAlignment w:val="center"/>
              <w:rPr>
                <w:rFonts w:ascii="宋体" w:hAnsi="宋体" w:cs="宋体"/>
                <w:szCs w:val="21"/>
              </w:rPr>
            </w:pPr>
            <w:r>
              <w:rPr>
                <w:rFonts w:hint="eastAsia" w:ascii="宋体" w:hAnsi="宋体" w:cs="宋体"/>
                <w:szCs w:val="21"/>
              </w:rPr>
              <w:t>4. 整机支持统一互通的用户身份认证服务，账号登录后，打开教学白板软件教学应用工具时无需再次输入账号密码重复登录。</w:t>
            </w:r>
          </w:p>
          <w:p>
            <w:pPr>
              <w:widowControl/>
              <w:spacing w:line="300" w:lineRule="auto"/>
              <w:jc w:val="left"/>
              <w:textAlignment w:val="center"/>
              <w:rPr>
                <w:rFonts w:ascii="宋体" w:hAnsi="宋体" w:cs="宋体"/>
                <w:szCs w:val="21"/>
              </w:rPr>
            </w:pPr>
            <w:r>
              <w:rPr>
                <w:rFonts w:hint="eastAsia" w:ascii="宋体" w:hAnsi="宋体" w:cs="宋体"/>
                <w:szCs w:val="21"/>
              </w:rPr>
              <w:t>5. 整机设备支持多种身份识别方式，支持通过账号登录、手机扫码登录、人脸识别登录、声纹识别登录、近场发现登录，并支持账号安全登录检测。</w:t>
            </w:r>
          </w:p>
          <w:p>
            <w:pPr>
              <w:widowControl/>
              <w:spacing w:line="300" w:lineRule="auto"/>
              <w:jc w:val="left"/>
              <w:textAlignment w:val="center"/>
              <w:rPr>
                <w:rFonts w:ascii="宋体" w:hAnsi="宋体" w:cs="宋体"/>
                <w:b/>
                <w:bCs/>
                <w:szCs w:val="21"/>
              </w:rPr>
            </w:pPr>
            <w:r>
              <w:rPr>
                <w:rFonts w:hint="eastAsia" w:ascii="宋体" w:hAnsi="宋体" w:cs="宋体"/>
                <w:b/>
                <w:bCs/>
                <w:szCs w:val="21"/>
              </w:rPr>
              <w:t>运维便捷性：</w:t>
            </w:r>
          </w:p>
          <w:p>
            <w:pPr>
              <w:widowControl/>
              <w:spacing w:line="300" w:lineRule="auto"/>
              <w:jc w:val="left"/>
              <w:textAlignment w:val="center"/>
              <w:rPr>
                <w:rFonts w:ascii="宋体" w:hAnsi="宋体" w:cs="宋体"/>
                <w:szCs w:val="21"/>
              </w:rPr>
            </w:pPr>
            <w:r>
              <w:rPr>
                <w:rFonts w:hint="eastAsia" w:ascii="宋体" w:hAnsi="宋体" w:cs="宋体"/>
                <w:szCs w:val="21"/>
              </w:rPr>
              <w:t>1. 三合一电源按键，同一电源物理按键完成 Android 系统和 Windows 系统的开机、节能熄屏、关机操作；关机状态下按按键开机；开机状态下按按键实现节能熄屏 / 唤醒，长按按键实现关机。</w:t>
            </w:r>
          </w:p>
          <w:p>
            <w:pPr>
              <w:widowControl/>
              <w:spacing w:line="300" w:lineRule="auto"/>
              <w:jc w:val="left"/>
              <w:textAlignment w:val="center"/>
              <w:rPr>
                <w:rFonts w:ascii="宋体" w:hAnsi="宋体" w:cs="宋体"/>
                <w:szCs w:val="21"/>
              </w:rPr>
            </w:pPr>
            <w:r>
              <w:rPr>
                <w:rFonts w:hint="eastAsia" w:ascii="宋体" w:hAnsi="宋体" w:cs="宋体"/>
                <w:szCs w:val="21"/>
              </w:rPr>
              <w:t>2. 整机具备≥6 前置按键，可实现开关机、音量＋－、护眼、录屏、设置功能。</w:t>
            </w:r>
          </w:p>
          <w:p>
            <w:pPr>
              <w:widowControl/>
              <w:spacing w:line="300" w:lineRule="auto"/>
              <w:jc w:val="left"/>
              <w:textAlignment w:val="center"/>
              <w:rPr>
                <w:rFonts w:ascii="宋体" w:hAnsi="宋体" w:cs="宋体"/>
                <w:szCs w:val="21"/>
              </w:rPr>
            </w:pPr>
            <w:r>
              <w:rPr>
                <w:rFonts w:hint="eastAsia" w:ascii="宋体" w:hAnsi="宋体" w:cs="宋体"/>
                <w:szCs w:val="21"/>
              </w:rPr>
              <w:t>3. 整机为适配教学场景的便捷使用，设备按键采用简洁化设计，前置接口与按键在设备同一侧。</w:t>
            </w:r>
          </w:p>
          <w:p>
            <w:pPr>
              <w:widowControl/>
              <w:spacing w:line="300" w:lineRule="auto"/>
              <w:jc w:val="left"/>
              <w:textAlignment w:val="center"/>
              <w:rPr>
                <w:rFonts w:ascii="宋体" w:hAnsi="宋体" w:cs="宋体"/>
                <w:szCs w:val="21"/>
              </w:rPr>
            </w:pPr>
            <w:r>
              <w:rPr>
                <w:rFonts w:hint="eastAsia" w:ascii="宋体" w:hAnsi="宋体" w:cs="宋体"/>
                <w:szCs w:val="21"/>
              </w:rPr>
              <w:t>4. 整机关机状态下，通过长按电源键进入设置界面后，可点击屏幕选择恢复 Android 系统及 Windows 操作系统到出厂默认状态，无需额外工具辅助。</w:t>
            </w:r>
          </w:p>
          <w:p>
            <w:pPr>
              <w:widowControl/>
              <w:spacing w:line="300" w:lineRule="auto"/>
              <w:jc w:val="left"/>
              <w:textAlignment w:val="center"/>
              <w:rPr>
                <w:rFonts w:ascii="宋体" w:hAnsi="宋体" w:cs="宋体"/>
                <w:szCs w:val="21"/>
              </w:rPr>
            </w:pPr>
            <w:r>
              <w:rPr>
                <w:rFonts w:hint="eastAsia" w:ascii="宋体" w:hAnsi="宋体" w:cs="宋体"/>
                <w:szCs w:val="21"/>
              </w:rPr>
              <w:t>5. 整机关机状态下，通过长按电源键进入设置界面后，可点击屏幕选择故障检测、系统还原功能，系统还原可单独还原 PC 系统，单独还原整机系统。</w:t>
            </w:r>
          </w:p>
          <w:p>
            <w:pPr>
              <w:widowControl/>
              <w:spacing w:line="300" w:lineRule="auto"/>
              <w:jc w:val="left"/>
              <w:textAlignment w:val="center"/>
              <w:rPr>
                <w:rFonts w:ascii="宋体" w:hAnsi="宋体" w:cs="宋体"/>
                <w:szCs w:val="21"/>
              </w:rPr>
            </w:pPr>
            <w:r>
              <w:rPr>
                <w:rFonts w:hint="eastAsia" w:ascii="宋体" w:hAnsi="宋体" w:cs="宋体"/>
                <w:szCs w:val="21"/>
              </w:rPr>
              <w:t>6. 整机内置专业硬件自检维护工具（非第三方工具），支持对整机内部的板卡及部件模块进行故障检测、系统还原功能。支持云端在线系统固件升级。</w:t>
            </w:r>
          </w:p>
          <w:p>
            <w:pPr>
              <w:widowControl/>
              <w:spacing w:line="300" w:lineRule="auto"/>
              <w:jc w:val="left"/>
              <w:textAlignment w:val="center"/>
              <w:rPr>
                <w:rFonts w:ascii="宋体" w:hAnsi="宋体" w:cs="宋体"/>
                <w:szCs w:val="21"/>
              </w:rPr>
            </w:pPr>
            <w:r>
              <w:rPr>
                <w:rFonts w:hint="eastAsia" w:ascii="宋体" w:hAnsi="宋体" w:cs="宋体"/>
                <w:szCs w:val="21"/>
              </w:rPr>
              <w:t>7.OPS 电脑采用按压式卡扣，无需工具即可快速拆卸电脑模块。</w:t>
            </w:r>
          </w:p>
          <w:p>
            <w:pPr>
              <w:widowControl/>
              <w:spacing w:line="300" w:lineRule="auto"/>
              <w:jc w:val="left"/>
              <w:textAlignment w:val="center"/>
              <w:rPr>
                <w:rFonts w:ascii="宋体" w:hAnsi="宋体" w:cs="宋体"/>
                <w:szCs w:val="21"/>
              </w:rPr>
            </w:pPr>
            <w:r>
              <w:rPr>
                <w:rFonts w:hint="eastAsia" w:ascii="宋体" w:hAnsi="宋体" w:cs="宋体"/>
                <w:szCs w:val="21"/>
              </w:rPr>
              <w:t>8.OPS 电脑模块可抽拉式插入整机，可实现无单独接线的拔插。</w:t>
            </w:r>
          </w:p>
          <w:p>
            <w:pPr>
              <w:widowControl/>
              <w:spacing w:line="300" w:lineRule="auto"/>
              <w:jc w:val="left"/>
              <w:textAlignment w:val="center"/>
              <w:rPr>
                <w:rFonts w:ascii="宋体" w:hAnsi="宋体" w:cs="宋体"/>
                <w:szCs w:val="21"/>
              </w:rPr>
            </w:pPr>
            <w:r>
              <w:rPr>
                <w:rFonts w:hint="eastAsia" w:ascii="宋体" w:hAnsi="宋体" w:cs="宋体"/>
                <w:szCs w:val="21"/>
              </w:rPr>
              <w:t>9. 整机全部扬声器均采用模块化设计，无需打开背板即可单独拆卸，便于维护。</w:t>
            </w:r>
          </w:p>
          <w:p>
            <w:pPr>
              <w:widowControl/>
              <w:spacing w:line="300" w:lineRule="auto"/>
              <w:jc w:val="left"/>
              <w:textAlignment w:val="center"/>
              <w:rPr>
                <w:rFonts w:ascii="宋体" w:hAnsi="宋体" w:cs="宋体"/>
                <w:szCs w:val="21"/>
              </w:rPr>
            </w:pPr>
            <w:r>
              <w:rPr>
                <w:rFonts w:hint="eastAsia" w:ascii="宋体" w:hAnsi="宋体" w:cs="宋体"/>
                <w:szCs w:val="21"/>
              </w:rPr>
              <w:t>10. 整机无线模块（Wi-Fi 和蓝牙）采用独立模块化设计，无需拆卸整机后壳即可独立拆装。</w:t>
            </w:r>
          </w:p>
          <w:p>
            <w:pPr>
              <w:widowControl/>
              <w:spacing w:line="300" w:lineRule="auto"/>
              <w:jc w:val="left"/>
              <w:textAlignment w:val="center"/>
              <w:rPr>
                <w:rFonts w:ascii="宋体" w:hAnsi="宋体" w:cs="宋体"/>
                <w:szCs w:val="21"/>
              </w:rPr>
            </w:pPr>
            <w:r>
              <w:rPr>
                <w:rFonts w:hint="eastAsia" w:ascii="宋体" w:hAnsi="宋体" w:cs="宋体"/>
                <w:szCs w:val="21"/>
              </w:rPr>
              <w:t>11. 整机从待机状态下（待机功耗≤0.5W），可 12s 内开机进入到系统主页，并达到可触控状态。</w:t>
            </w:r>
          </w:p>
          <w:p>
            <w:pPr>
              <w:widowControl/>
              <w:spacing w:line="300" w:lineRule="auto"/>
              <w:jc w:val="left"/>
              <w:textAlignment w:val="center"/>
              <w:rPr>
                <w:rFonts w:ascii="宋体" w:hAnsi="宋体" w:cs="宋体"/>
                <w:b/>
                <w:bCs/>
                <w:szCs w:val="21"/>
              </w:rPr>
            </w:pPr>
            <w:r>
              <w:rPr>
                <w:rFonts w:hint="eastAsia" w:ascii="宋体" w:hAnsi="宋体" w:cs="宋体"/>
                <w:b/>
                <w:bCs/>
                <w:szCs w:val="21"/>
              </w:rPr>
              <w:t>环境适应性：</w:t>
            </w:r>
          </w:p>
          <w:p>
            <w:pPr>
              <w:widowControl/>
              <w:spacing w:line="300" w:lineRule="auto"/>
              <w:jc w:val="left"/>
              <w:textAlignment w:val="center"/>
              <w:rPr>
                <w:rFonts w:ascii="宋体" w:hAnsi="宋体" w:cs="宋体"/>
                <w:szCs w:val="21"/>
              </w:rPr>
            </w:pPr>
            <w:r>
              <w:rPr>
                <w:rFonts w:hint="eastAsia" w:ascii="宋体" w:hAnsi="宋体" w:cs="宋体"/>
                <w:szCs w:val="21"/>
              </w:rPr>
              <w:t>1. 整机在 0℃- 40℃环境下可正常工作，在 - 20℃- 60℃的环境下可正常贮存且贮存后功能无损。</w:t>
            </w:r>
          </w:p>
          <w:p>
            <w:pPr>
              <w:widowControl/>
              <w:spacing w:line="300" w:lineRule="auto"/>
              <w:jc w:val="left"/>
              <w:textAlignment w:val="center"/>
              <w:rPr>
                <w:rFonts w:ascii="宋体" w:hAnsi="宋体" w:cs="宋体"/>
                <w:szCs w:val="21"/>
              </w:rPr>
            </w:pPr>
            <w:r>
              <w:rPr>
                <w:rFonts w:hint="eastAsia" w:ascii="宋体" w:hAnsi="宋体" w:cs="宋体"/>
                <w:szCs w:val="21"/>
              </w:rPr>
              <w:t>2. 触摸屏在照度 100k lx（勒克司）环境下仍能正常工作。</w:t>
            </w:r>
          </w:p>
          <w:p>
            <w:pPr>
              <w:widowControl/>
              <w:spacing w:line="300" w:lineRule="auto"/>
              <w:jc w:val="left"/>
              <w:textAlignment w:val="center"/>
              <w:rPr>
                <w:rFonts w:ascii="宋体" w:hAnsi="宋体" w:cs="宋体"/>
                <w:szCs w:val="21"/>
              </w:rPr>
            </w:pPr>
            <w:r>
              <w:rPr>
                <w:rFonts w:hint="eastAsia" w:ascii="宋体" w:hAnsi="宋体" w:cs="宋体"/>
                <w:szCs w:val="21"/>
              </w:rPr>
              <w:t>3. 整机屏幕边缘采用金属圆角包边防护，整机背板采用金属材质，有效屏蔽内部电路器件辐射；防潮耐盐雾蚀锈，适应多种教学环境。</w:t>
            </w:r>
          </w:p>
          <w:p>
            <w:pPr>
              <w:widowControl/>
              <w:spacing w:line="300" w:lineRule="auto"/>
              <w:jc w:val="left"/>
              <w:textAlignment w:val="center"/>
              <w:rPr>
                <w:rFonts w:ascii="宋体" w:hAnsi="宋体" w:cs="宋体"/>
                <w:szCs w:val="21"/>
              </w:rPr>
            </w:pPr>
            <w:r>
              <w:rPr>
                <w:rFonts w:hint="eastAsia" w:ascii="宋体" w:hAnsi="宋体" w:cs="宋体"/>
                <w:szCs w:val="21"/>
              </w:rPr>
              <w:t>4. 整机屏幕中心亮度三分之一的亮度观看视角≥130°，满足 GB40070 关于亮度可视角≥120° 要求。</w:t>
            </w:r>
          </w:p>
          <w:p>
            <w:pPr>
              <w:widowControl/>
              <w:spacing w:line="300" w:lineRule="auto"/>
              <w:jc w:val="left"/>
              <w:textAlignment w:val="center"/>
              <w:rPr>
                <w:rFonts w:ascii="宋体" w:hAnsi="宋体" w:cs="宋体"/>
                <w:szCs w:val="21"/>
              </w:rPr>
            </w:pPr>
            <w:r>
              <w:rPr>
                <w:rFonts w:hint="eastAsia" w:ascii="宋体" w:hAnsi="宋体" w:cs="宋体"/>
                <w:szCs w:val="21"/>
              </w:rPr>
              <w:t>5. 整机视网膜蓝光危害（蓝光加权辐射亮度 LB）满足 GB/Z 39942-2021 蓝光危害 RG0 级别。</w:t>
            </w:r>
          </w:p>
          <w:p>
            <w:pPr>
              <w:widowControl/>
              <w:spacing w:line="300" w:lineRule="auto"/>
              <w:jc w:val="left"/>
              <w:textAlignment w:val="center"/>
              <w:rPr>
                <w:szCs w:val="21"/>
              </w:rPr>
            </w:pPr>
            <w:r>
              <w:rPr>
                <w:rFonts w:hint="eastAsia" w:ascii="宋体" w:hAnsi="宋体" w:cs="宋体"/>
                <w:szCs w:val="21"/>
              </w:rPr>
              <w:t>6. 整机从待机状态下（待机功耗≤0.5W），可 12s 内开机进入到系统主页，并达到可触控状态。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11</w:t>
            </w:r>
          </w:p>
        </w:tc>
        <w:tc>
          <w:tcPr>
            <w:tcW w:w="1345"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ascii="宋体" w:hAnsi="宋体" w:cs="宋体"/>
                <w:szCs w:val="21"/>
              </w:rPr>
              <w:t>光能黑板</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2套</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szCs w:val="21"/>
              </w:rPr>
            </w:pPr>
            <w:r>
              <w:rPr>
                <w:rFonts w:hint="eastAsia"/>
                <w:szCs w:val="21"/>
              </w:rPr>
              <w:t>一、硬件要求</w:t>
            </w:r>
          </w:p>
          <w:p>
            <w:pPr>
              <w:widowControl/>
              <w:spacing w:line="300" w:lineRule="auto"/>
              <w:jc w:val="left"/>
              <w:textAlignment w:val="center"/>
              <w:rPr>
                <w:szCs w:val="21"/>
              </w:rPr>
            </w:pPr>
            <w:r>
              <w:rPr>
                <w:rFonts w:hint="eastAsia"/>
                <w:szCs w:val="21"/>
              </w:rPr>
              <w:t>1.每套完整的方案由两块光能黑板副板组成，分别在触控一体机两侧各放置一块，单块光能黑板≥1129（长）*1315（高）mm。</w:t>
            </w:r>
          </w:p>
          <w:p>
            <w:pPr>
              <w:widowControl/>
              <w:spacing w:line="300" w:lineRule="auto"/>
              <w:jc w:val="left"/>
              <w:textAlignment w:val="center"/>
              <w:rPr>
                <w:szCs w:val="21"/>
              </w:rPr>
            </w:pPr>
            <w:r>
              <w:rPr>
                <w:rFonts w:hint="eastAsia"/>
                <w:szCs w:val="21"/>
              </w:rPr>
              <w:t>●2.光能黑板四角应为圆角，且径向半径不小于4mm，法向半径不小于0.3mm。（如有，提供检测报告复印件）</w:t>
            </w:r>
          </w:p>
          <w:p>
            <w:pPr>
              <w:widowControl/>
              <w:spacing w:line="300" w:lineRule="auto"/>
              <w:jc w:val="left"/>
              <w:textAlignment w:val="center"/>
              <w:rPr>
                <w:szCs w:val="21"/>
              </w:rPr>
            </w:pPr>
            <w:r>
              <w:rPr>
                <w:rFonts w:hint="eastAsia"/>
                <w:szCs w:val="21"/>
              </w:rPr>
              <w:t>3.黑板侧面应采用侧封板。</w:t>
            </w:r>
          </w:p>
          <w:p>
            <w:pPr>
              <w:widowControl/>
              <w:spacing w:line="300" w:lineRule="auto"/>
              <w:jc w:val="left"/>
              <w:textAlignment w:val="center"/>
              <w:rPr>
                <w:szCs w:val="21"/>
              </w:rPr>
            </w:pPr>
            <w:r>
              <w:rPr>
                <w:rFonts w:hint="eastAsia"/>
                <w:szCs w:val="21"/>
              </w:rPr>
              <w:t>4.书写适配通用性强，支持多种通用笔具直接书写，无需专属耗材；无粉笔粉尘产生，规避粉尘带来的师生健康风险。</w:t>
            </w:r>
          </w:p>
          <w:p>
            <w:pPr>
              <w:widowControl/>
              <w:spacing w:line="300" w:lineRule="auto"/>
              <w:jc w:val="left"/>
              <w:textAlignment w:val="center"/>
              <w:rPr>
                <w:szCs w:val="21"/>
              </w:rPr>
            </w:pPr>
            <w:r>
              <w:rPr>
                <w:rFonts w:hint="eastAsia"/>
                <w:szCs w:val="21"/>
              </w:rPr>
              <w:t>5.板面粗糙度 Sa≤0.3μm，有效降低教师长时间板书操作疲劳度。</w:t>
            </w:r>
          </w:p>
          <w:p>
            <w:pPr>
              <w:widowControl/>
              <w:spacing w:line="300" w:lineRule="auto"/>
              <w:jc w:val="left"/>
              <w:textAlignment w:val="center"/>
              <w:rPr>
                <w:szCs w:val="21"/>
              </w:rPr>
            </w:pPr>
            <w:r>
              <w:rPr>
                <w:rFonts w:hint="eastAsia"/>
                <w:szCs w:val="21"/>
              </w:rPr>
              <w:t>6.一键擦除时间不大于1.5秒，擦除过程中有指示灯提醒，擦除完成后指示灯熄灭，擦除后应无明显残留痕迹。</w:t>
            </w:r>
          </w:p>
          <w:p>
            <w:pPr>
              <w:widowControl/>
              <w:spacing w:line="300" w:lineRule="auto"/>
              <w:jc w:val="left"/>
              <w:textAlignment w:val="center"/>
              <w:rPr>
                <w:szCs w:val="21"/>
              </w:rPr>
            </w:pPr>
            <w:r>
              <w:rPr>
                <w:rFonts w:hint="eastAsia"/>
                <w:szCs w:val="21"/>
              </w:rPr>
              <w:t>7.可使用配备的板擦对板书进行局部擦除，局部擦除时间不大于0.4秒，擦除应无断点、无死角，擦除后应无明显残留痕迹。</w:t>
            </w:r>
          </w:p>
          <w:p>
            <w:pPr>
              <w:widowControl/>
              <w:spacing w:line="300" w:lineRule="auto"/>
              <w:jc w:val="left"/>
              <w:textAlignment w:val="center"/>
              <w:rPr>
                <w:szCs w:val="21"/>
              </w:rPr>
            </w:pPr>
            <w:r>
              <w:rPr>
                <w:rFonts w:hint="eastAsia"/>
                <w:szCs w:val="21"/>
              </w:rPr>
              <w:t>8.黑板内设有局部擦除灵敏度调节功能，支持自动感应调整，也支持通过手势按压书写板板面的特定位置，适应不同用户的使用需求。</w:t>
            </w:r>
          </w:p>
          <w:p>
            <w:pPr>
              <w:widowControl/>
              <w:spacing w:line="300" w:lineRule="auto"/>
              <w:jc w:val="left"/>
              <w:textAlignment w:val="center"/>
              <w:rPr>
                <w:szCs w:val="21"/>
              </w:rPr>
            </w:pPr>
            <w:r>
              <w:rPr>
                <w:rFonts w:hint="eastAsia"/>
                <w:szCs w:val="21"/>
              </w:rPr>
              <w:t>9. 黑板表面具有暗格，避免板书歪斜、大小不一、布局混乱，提升板书可读性。</w:t>
            </w:r>
          </w:p>
          <w:p>
            <w:pPr>
              <w:widowControl/>
              <w:spacing w:line="300" w:lineRule="auto"/>
              <w:jc w:val="left"/>
              <w:textAlignment w:val="center"/>
              <w:rPr>
                <w:szCs w:val="21"/>
              </w:rPr>
            </w:pPr>
            <w:r>
              <w:rPr>
                <w:rFonts w:hint="eastAsia"/>
                <w:szCs w:val="21"/>
              </w:rPr>
              <w:t>10.支持磁吸附功能，可吸附磁贴、磁扣等教学工具，满足带有磁吸的板擦等教具吸附在黑板上。</w:t>
            </w:r>
          </w:p>
          <w:p>
            <w:pPr>
              <w:widowControl/>
              <w:spacing w:line="300" w:lineRule="auto"/>
              <w:jc w:val="left"/>
              <w:textAlignment w:val="center"/>
              <w:rPr>
                <w:szCs w:val="21"/>
              </w:rPr>
            </w:pPr>
            <w:r>
              <w:rPr>
                <w:rFonts w:hint="eastAsia"/>
                <w:szCs w:val="21"/>
              </w:rPr>
              <w:t>11.产品应通过GB4943安全要求中的恒定力试验、冲击试验，外壳无破裂，无任何危险迹象。</w:t>
            </w:r>
          </w:p>
          <w:p>
            <w:pPr>
              <w:widowControl/>
              <w:spacing w:line="300" w:lineRule="auto"/>
              <w:jc w:val="left"/>
              <w:textAlignment w:val="center"/>
              <w:rPr>
                <w:szCs w:val="21"/>
              </w:rPr>
            </w:pPr>
            <w:r>
              <w:rPr>
                <w:rFonts w:hint="eastAsia"/>
                <w:szCs w:val="21"/>
              </w:rPr>
              <w:t>12.为让老师能够快速调取交互软件，方便使用功能，黑板的左/右侧应具有触摸快捷键。</w:t>
            </w:r>
          </w:p>
          <w:p>
            <w:pPr>
              <w:widowControl/>
              <w:spacing w:line="300" w:lineRule="auto"/>
              <w:jc w:val="left"/>
              <w:textAlignment w:val="center"/>
              <w:rPr>
                <w:szCs w:val="21"/>
              </w:rPr>
            </w:pPr>
            <w:r>
              <w:rPr>
                <w:rFonts w:hint="eastAsia"/>
                <w:szCs w:val="21"/>
              </w:rPr>
              <w:t>二、软件要求</w:t>
            </w:r>
          </w:p>
          <w:p>
            <w:pPr>
              <w:widowControl/>
              <w:spacing w:line="300" w:lineRule="auto"/>
              <w:jc w:val="left"/>
              <w:textAlignment w:val="center"/>
              <w:rPr>
                <w:szCs w:val="21"/>
              </w:rPr>
            </w:pPr>
            <w:r>
              <w:rPr>
                <w:rFonts w:hint="eastAsia"/>
                <w:szCs w:val="21"/>
              </w:rPr>
              <w:t>1.开启软件后，可以将教师在黑板上的板书内容同步显示在触控一体机的界面当中，软件在后台运行依然可以实现板书笔迹的自动记录。</w:t>
            </w:r>
          </w:p>
          <w:p>
            <w:pPr>
              <w:widowControl/>
              <w:spacing w:line="300" w:lineRule="auto"/>
              <w:jc w:val="left"/>
              <w:textAlignment w:val="center"/>
              <w:rPr>
                <w:szCs w:val="21"/>
              </w:rPr>
            </w:pPr>
            <w:r>
              <w:rPr>
                <w:rFonts w:hint="eastAsia"/>
                <w:szCs w:val="21"/>
              </w:rPr>
              <w:t>2.支持暂停板书笔迹的同步传输功能，分屏后将触控一体机变为板书界面，以此扩充了教师需要的书写面积。</w:t>
            </w:r>
          </w:p>
          <w:p>
            <w:pPr>
              <w:widowControl/>
              <w:spacing w:line="300" w:lineRule="auto"/>
              <w:jc w:val="left"/>
              <w:textAlignment w:val="center"/>
              <w:rPr>
                <w:szCs w:val="21"/>
              </w:rPr>
            </w:pPr>
            <w:r>
              <w:rPr>
                <w:rFonts w:hint="eastAsia"/>
                <w:szCs w:val="21"/>
              </w:rPr>
              <w:t>●3.可以通过触摸快捷键切换单页和多页显示：单板书写时，可单页面显示（此时只有一块黑板界面）；多板同时书写时，可多页面同时显示。（如有，提供检测报告复印件）</w:t>
            </w:r>
          </w:p>
          <w:p>
            <w:pPr>
              <w:widowControl/>
              <w:spacing w:line="300" w:lineRule="auto"/>
              <w:jc w:val="left"/>
              <w:textAlignment w:val="center"/>
              <w:rPr>
                <w:szCs w:val="21"/>
              </w:rPr>
            </w:pPr>
            <w:r>
              <w:rPr>
                <w:rFonts w:hint="eastAsia"/>
                <w:szCs w:val="21"/>
              </w:rPr>
              <w:t>4.板书的电子记录文档可以存储在本地的电脑端，支持PDF格式的保存，也可以生成二维码，便于师生扫码分享。</w:t>
            </w:r>
          </w:p>
          <w:p>
            <w:pPr>
              <w:widowControl/>
              <w:spacing w:line="300" w:lineRule="auto"/>
              <w:jc w:val="left"/>
              <w:textAlignment w:val="center"/>
              <w:rPr>
                <w:szCs w:val="21"/>
              </w:rPr>
            </w:pPr>
            <w:r>
              <w:rPr>
                <w:rFonts w:hint="eastAsia"/>
                <w:szCs w:val="21"/>
              </w:rPr>
              <w:t>5.通过黑板的触摸键可以快速对教师的板书和课堂讲解内容进行录制，生成视频文档保存到电脑端，利于学生课后回看复习。</w:t>
            </w:r>
          </w:p>
          <w:p>
            <w:pPr>
              <w:widowControl/>
              <w:spacing w:line="300" w:lineRule="auto"/>
              <w:jc w:val="left"/>
              <w:textAlignment w:val="center"/>
              <w:rPr>
                <w:szCs w:val="21"/>
              </w:rPr>
            </w:pPr>
            <w:r>
              <w:rPr>
                <w:rFonts w:hint="eastAsia"/>
                <w:szCs w:val="21"/>
              </w:rPr>
              <w:t>6.支持导入PPT课件，可以在软件界面中同时显示出教师的PPT课件和板书的记录笔迹。</w:t>
            </w:r>
          </w:p>
          <w:p>
            <w:pPr>
              <w:widowControl/>
              <w:spacing w:line="300" w:lineRule="auto"/>
              <w:jc w:val="left"/>
              <w:textAlignment w:val="center"/>
              <w:rPr>
                <w:szCs w:val="21"/>
              </w:rPr>
            </w:pPr>
            <w:r>
              <w:rPr>
                <w:rFonts w:hint="eastAsia"/>
                <w:szCs w:val="21"/>
              </w:rPr>
              <w:t>7.具备打印功能，可连接打印机将保存的板书文档传输至打印机打印，方便灵活。</w:t>
            </w:r>
          </w:p>
          <w:p>
            <w:pPr>
              <w:widowControl/>
              <w:spacing w:line="300" w:lineRule="auto"/>
              <w:jc w:val="left"/>
              <w:textAlignment w:val="center"/>
              <w:rPr>
                <w:szCs w:val="21"/>
              </w:rPr>
            </w:pPr>
            <w:r>
              <w:rPr>
                <w:rFonts w:hint="eastAsia"/>
                <w:szCs w:val="21"/>
              </w:rPr>
              <w:t>8.支持恢复出厂设置，设备可以还原到刚出厂的干净初始状态。</w:t>
            </w:r>
          </w:p>
          <w:p>
            <w:pPr>
              <w:widowControl/>
              <w:spacing w:line="300" w:lineRule="auto"/>
              <w:jc w:val="left"/>
              <w:textAlignment w:val="center"/>
              <w:rPr>
                <w:szCs w:val="21"/>
              </w:rPr>
            </w:pPr>
            <w:r>
              <w:rPr>
                <w:rFonts w:hint="eastAsia"/>
                <w:szCs w:val="21"/>
              </w:rPr>
              <w:t>9.软件可自动检测版本，并完成在线更新，无需手动下载安装。</w:t>
            </w:r>
          </w:p>
          <w:p>
            <w:pPr>
              <w:widowControl/>
              <w:spacing w:line="300" w:lineRule="auto"/>
              <w:jc w:val="left"/>
              <w:textAlignment w:val="center"/>
              <w:rPr>
                <w:szCs w:val="21"/>
              </w:rPr>
            </w:pPr>
            <w:r>
              <w:rPr>
                <w:rFonts w:hint="eastAsia"/>
                <w:szCs w:val="21"/>
              </w:rPr>
              <w:t>10.黑板快捷键可调用AI工具，支持AI唤醒等功能，能够配合教室完成课堂中的问答、解题等学习内容。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12</w:t>
            </w:r>
          </w:p>
        </w:tc>
        <w:tc>
          <w:tcPr>
            <w:tcW w:w="1345"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ascii="宋体" w:hAnsi="宋体" w:cs="宋体"/>
                <w:szCs w:val="21"/>
              </w:rPr>
              <w:t>交互一体机（含支架）</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4套</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rPr>
                <w:szCs w:val="21"/>
              </w:rPr>
            </w:pPr>
            <w:r>
              <w:rPr>
                <w:szCs w:val="21"/>
              </w:rPr>
              <w:t>▲</w:t>
            </w:r>
            <w:r>
              <w:rPr>
                <w:rFonts w:hint="eastAsia"/>
                <w:szCs w:val="21"/>
              </w:rPr>
              <w:t>1.屏幕显示尺寸：≥86英寸，屏幕图像分辨率：≥3840*2160，响应时间：≤6.5ms，对比度≥5000:1，可视角度≥178度（H/V）；</w:t>
            </w:r>
          </w:p>
          <w:p>
            <w:pPr>
              <w:widowControl/>
              <w:spacing w:line="300" w:lineRule="auto"/>
              <w:jc w:val="left"/>
              <w:textAlignment w:val="center"/>
              <w:rPr>
                <w:szCs w:val="21"/>
              </w:rPr>
            </w:pPr>
            <w:r>
              <w:rPr>
                <w:rFonts w:hint="eastAsia"/>
                <w:szCs w:val="21"/>
              </w:rPr>
              <w:t>2.配置红外触控技术，触控点数≥40点，书写精度≤±2mm；</w:t>
            </w:r>
          </w:p>
          <w:p>
            <w:pPr>
              <w:widowControl/>
              <w:spacing w:line="300" w:lineRule="auto"/>
              <w:jc w:val="left"/>
              <w:textAlignment w:val="center"/>
              <w:rPr>
                <w:szCs w:val="21"/>
              </w:rPr>
            </w:pPr>
            <w:r>
              <w:rPr>
                <w:rFonts w:hint="eastAsia"/>
                <w:szCs w:val="21"/>
              </w:rPr>
              <w:t>3.屏幕色域：≥72%NTSC；</w:t>
            </w:r>
          </w:p>
          <w:p>
            <w:pPr>
              <w:widowControl/>
              <w:spacing w:line="300" w:lineRule="auto"/>
              <w:jc w:val="left"/>
              <w:textAlignment w:val="center"/>
              <w:rPr>
                <w:szCs w:val="21"/>
              </w:rPr>
            </w:pPr>
            <w:r>
              <w:rPr>
                <w:rFonts w:hint="eastAsia"/>
                <w:szCs w:val="21"/>
              </w:rPr>
              <w:t>4.内嵌安卓方案，内置系统安卓14.0或以上，CPU≥四核A55或同档次处理器,内存≥4G，存储≥64G；</w:t>
            </w:r>
          </w:p>
          <w:p>
            <w:pPr>
              <w:widowControl/>
              <w:spacing w:line="300" w:lineRule="auto"/>
              <w:jc w:val="left"/>
              <w:textAlignment w:val="center"/>
              <w:rPr>
                <w:szCs w:val="21"/>
              </w:rPr>
            </w:pPr>
            <w:r>
              <w:rPr>
                <w:rFonts w:hint="eastAsia"/>
                <w:szCs w:val="21"/>
              </w:rPr>
              <w:t>●5.配置≥5000万像素摄像头</w:t>
            </w:r>
            <w:r>
              <w:rPr>
                <w:szCs w:val="21"/>
              </w:rPr>
              <w:t>，可拍摄清晰度不低于3840×2160（4K），帧率不低于25fps的视频</w:t>
            </w:r>
            <w:r>
              <w:rPr>
                <w:rFonts w:hint="eastAsia"/>
                <w:szCs w:val="21"/>
              </w:rPr>
              <w:t>；（如有，</w:t>
            </w:r>
            <w:r>
              <w:rPr>
                <w:szCs w:val="21"/>
              </w:rPr>
              <w:t>提供国家认可的第三方检测（检验）机构出具的关于该功能检测（检验）报告复印件</w:t>
            </w:r>
            <w:r>
              <w:rPr>
                <w:rFonts w:hint="eastAsia"/>
                <w:szCs w:val="21"/>
              </w:rPr>
              <w:t>）；</w:t>
            </w:r>
          </w:p>
          <w:p>
            <w:pPr>
              <w:widowControl/>
              <w:spacing w:line="300" w:lineRule="auto"/>
              <w:jc w:val="left"/>
              <w:textAlignment w:val="center"/>
              <w:rPr>
                <w:szCs w:val="21"/>
              </w:rPr>
            </w:pPr>
            <w:r>
              <w:rPr>
                <w:rFonts w:hint="eastAsia"/>
                <w:szCs w:val="21"/>
              </w:rPr>
              <w:t>●6.</w:t>
            </w:r>
            <w:r>
              <w:rPr>
                <w:rFonts w:hint="eastAsia"/>
              </w:rPr>
              <w:t xml:space="preserve"> </w:t>
            </w:r>
            <w:r>
              <w:rPr>
                <w:szCs w:val="21"/>
              </w:rPr>
              <w:t>采用2.2声道</w:t>
            </w:r>
            <w:r>
              <w:rPr>
                <w:rFonts w:hint="eastAsia"/>
                <w:szCs w:val="21"/>
              </w:rPr>
              <w:t>或以上</w:t>
            </w:r>
            <w:r>
              <w:rPr>
                <w:szCs w:val="21"/>
              </w:rPr>
              <w:t>缝隙发声单元，内置2个4W</w:t>
            </w:r>
            <w:r>
              <w:rPr>
                <w:rFonts w:hint="eastAsia"/>
                <w:szCs w:val="21"/>
              </w:rPr>
              <w:t>或</w:t>
            </w:r>
            <w:r>
              <w:rPr>
                <w:szCs w:val="21"/>
              </w:rPr>
              <w:t>以上高音扬声器和2个16W</w:t>
            </w:r>
            <w:r>
              <w:rPr>
                <w:rFonts w:hint="eastAsia"/>
                <w:szCs w:val="21"/>
              </w:rPr>
              <w:t>或</w:t>
            </w:r>
            <w:r>
              <w:rPr>
                <w:szCs w:val="21"/>
              </w:rPr>
              <w:t>以上中低音扬声器，频响范围180Hz-20kHz</w:t>
            </w:r>
            <w:r>
              <w:rPr>
                <w:rFonts w:hint="eastAsia"/>
                <w:szCs w:val="21"/>
              </w:rPr>
              <w:t>；（如有，</w:t>
            </w:r>
            <w:r>
              <w:rPr>
                <w:szCs w:val="21"/>
              </w:rPr>
              <w:t>提供国家认可的第三方检测（检验）机构出具的关于该功能检测（检验）报告复印件</w:t>
            </w:r>
            <w:r>
              <w:rPr>
                <w:rFonts w:hint="eastAsia"/>
                <w:szCs w:val="21"/>
              </w:rPr>
              <w:t>）；</w:t>
            </w:r>
          </w:p>
          <w:p>
            <w:pPr>
              <w:widowControl/>
              <w:spacing w:line="300" w:lineRule="auto"/>
              <w:jc w:val="left"/>
              <w:textAlignment w:val="center"/>
              <w:rPr>
                <w:szCs w:val="21"/>
              </w:rPr>
            </w:pPr>
            <w:r>
              <w:rPr>
                <w:rFonts w:hint="eastAsia"/>
                <w:szCs w:val="21"/>
              </w:rPr>
              <w:t>7.无线传屏：内置无线传屏软件，能够支持PC、手机、PAD画面传输到大屏显示；</w:t>
            </w:r>
          </w:p>
          <w:p>
            <w:pPr>
              <w:widowControl/>
              <w:spacing w:line="300" w:lineRule="auto"/>
              <w:jc w:val="left"/>
              <w:textAlignment w:val="center"/>
              <w:rPr>
                <w:szCs w:val="21"/>
              </w:rPr>
            </w:pPr>
            <w:r>
              <w:rPr>
                <w:rFonts w:hint="eastAsia"/>
                <w:szCs w:val="21"/>
              </w:rPr>
              <w:t>8.无线模块：支持wifi6+蓝牙5.3或以上版本,WiFi802.11 a/b/g/n/ac/ax或以上；</w:t>
            </w:r>
          </w:p>
          <w:p>
            <w:pPr>
              <w:widowControl/>
              <w:spacing w:line="300" w:lineRule="auto"/>
              <w:jc w:val="left"/>
              <w:textAlignment w:val="center"/>
              <w:rPr>
                <w:szCs w:val="21"/>
              </w:rPr>
            </w:pPr>
            <w:r>
              <w:rPr>
                <w:rFonts w:hint="eastAsia"/>
                <w:szCs w:val="21"/>
              </w:rPr>
              <w:t>9.接口：≥2*HDMI IN，2*USB 2.0，1*USB 3.0，1*USB Type-C IN，1*TOUCH 2.0，1*AUDIO IN，1*AUDIO OUT，1*RS232，1*RJ45；</w:t>
            </w:r>
          </w:p>
          <w:p>
            <w:pPr>
              <w:widowControl/>
              <w:spacing w:line="300" w:lineRule="auto"/>
              <w:jc w:val="left"/>
              <w:textAlignment w:val="center"/>
              <w:rPr>
                <w:szCs w:val="21"/>
              </w:rPr>
            </w:pPr>
            <w:r>
              <w:rPr>
                <w:rFonts w:hint="eastAsia"/>
                <w:szCs w:val="21"/>
              </w:rPr>
              <w:t>10.三年原厂保修服务；</w:t>
            </w:r>
          </w:p>
          <w:p>
            <w:pPr>
              <w:widowControl/>
              <w:spacing w:line="300" w:lineRule="auto"/>
              <w:jc w:val="left"/>
              <w:textAlignment w:val="center"/>
              <w:rPr>
                <w:szCs w:val="21"/>
              </w:rPr>
            </w:pPr>
            <w:r>
              <w:rPr>
                <w:rFonts w:hint="eastAsia"/>
                <w:szCs w:val="21"/>
              </w:rPr>
              <w:t>●11. 配置模块化嵌入式电脑模块，整机可通过同一高速接口：配置I5或同档次处理器，≥8G内存，≥256SSD。（如有，</w:t>
            </w:r>
            <w:r>
              <w:rPr>
                <w:szCs w:val="21"/>
              </w:rPr>
              <w:t>提供国家认可的第三方检测（检验）机构出具的关于该功能检测（检验）报告复印件</w:t>
            </w:r>
            <w:r>
              <w:rPr>
                <w:rFonts w:hint="eastAsia"/>
                <w:szCs w:val="21"/>
              </w:rPr>
              <w:t>）；</w:t>
            </w:r>
          </w:p>
          <w:p>
            <w:pPr>
              <w:widowControl/>
              <w:spacing w:line="300" w:lineRule="auto"/>
              <w:jc w:val="left"/>
              <w:textAlignment w:val="center"/>
              <w:rPr>
                <w:szCs w:val="21"/>
              </w:rPr>
            </w:pPr>
            <w:r>
              <w:rPr>
                <w:rFonts w:hint="eastAsia"/>
                <w:szCs w:val="21"/>
              </w:rPr>
              <w:t>12.配置移动支架采用高品质冷轧钢制作而成，承重150kg以上；360度全向轮，可随时推动和静止；</w:t>
            </w:r>
          </w:p>
          <w:p>
            <w:pPr>
              <w:widowControl/>
              <w:spacing w:line="300" w:lineRule="auto"/>
              <w:jc w:val="left"/>
              <w:textAlignment w:val="center"/>
              <w:rPr>
                <w:szCs w:val="21"/>
              </w:rPr>
            </w:pPr>
            <w:r>
              <w:rPr>
                <w:rFonts w:hint="eastAsia"/>
                <w:szCs w:val="21"/>
              </w:rPr>
              <w:t>●13.配置同屏模块，</w:t>
            </w:r>
            <w:r>
              <w:rPr>
                <w:szCs w:val="21"/>
              </w:rPr>
              <w:t>手机和电脑支持混合传屏展示，要求支持4个画面同屏展示，可对每个电脑传屏内容进行独立反向操作，可同时连接至少32台设备</w:t>
            </w:r>
            <w:r>
              <w:rPr>
                <w:rFonts w:hint="eastAsia"/>
                <w:szCs w:val="21"/>
              </w:rPr>
              <w:t>。（如有，</w:t>
            </w:r>
            <w:r>
              <w:rPr>
                <w:szCs w:val="21"/>
              </w:rPr>
              <w:t>提供国家认可的第三方检测（检验）机构出具的关于该功能检测（检验）报告复印件</w:t>
            </w:r>
            <w:r>
              <w:rPr>
                <w:rFonts w:hint="eastAsia"/>
                <w:szCs w:val="21"/>
              </w:rPr>
              <w:t>）；</w:t>
            </w:r>
          </w:p>
          <w:p>
            <w:pPr>
              <w:widowControl/>
              <w:spacing w:line="300" w:lineRule="auto"/>
              <w:jc w:val="left"/>
              <w:textAlignment w:val="center"/>
              <w:rPr>
                <w:szCs w:val="21"/>
              </w:rPr>
            </w:pPr>
            <w:r>
              <w:rPr>
                <w:rFonts w:hint="eastAsia"/>
                <w:szCs w:val="21"/>
              </w:rPr>
              <w:t>14.配置智能笔，书写精度3mm，还原真实书写，支持无线翻页，激光笔，语音助手，蓝牙/无线技术，充电锂电池，适用于电容屏/红外屏；</w:t>
            </w:r>
          </w:p>
          <w:p>
            <w:pPr>
              <w:widowControl/>
              <w:spacing w:line="300" w:lineRule="auto"/>
              <w:jc w:val="left"/>
              <w:textAlignment w:val="center"/>
              <w:rPr>
                <w:szCs w:val="21"/>
              </w:rPr>
            </w:pPr>
            <w:r>
              <w:rPr>
                <w:rFonts w:hint="eastAsia"/>
                <w:szCs w:val="21"/>
              </w:rPr>
              <w:t>●15. 当大屏上开启腾讯会议Rooms视频会议软件时，通过电脑或手机传屏后，可以直接将传屏画面共享给远程参会人，无需手动点击视频会议软件中的共享按钮（如有，提供国家认可的第三方检测（检验）机构出具的关于该功能检测（检验）报告复印件）；</w:t>
            </w:r>
          </w:p>
          <w:p>
            <w:pPr>
              <w:widowControl/>
              <w:spacing w:line="300" w:lineRule="auto"/>
              <w:jc w:val="left"/>
              <w:textAlignment w:val="center"/>
              <w:rPr>
                <w:szCs w:val="21"/>
              </w:rPr>
            </w:pPr>
            <w:r>
              <w:rPr>
                <w:rFonts w:hint="eastAsia"/>
                <w:szCs w:val="21"/>
              </w:rPr>
              <w:t>●16. 支持任意添加应用快捷图标及更换桌面壁纸，最多支持添加7个应用快捷图标，内置的壁纸图片不少于9个，且支持个性化添加（如有，提供国家认可的第三方检测（检验）机构出具的关于该功能检测（检验）报告复印件）；</w:t>
            </w:r>
          </w:p>
          <w:p>
            <w:pPr>
              <w:widowControl/>
              <w:spacing w:line="300" w:lineRule="auto"/>
              <w:jc w:val="left"/>
              <w:textAlignment w:val="center"/>
              <w:rPr>
                <w:szCs w:val="21"/>
              </w:rPr>
            </w:pPr>
            <w:r>
              <w:rPr>
                <w:rFonts w:hint="eastAsia"/>
                <w:szCs w:val="21"/>
              </w:rPr>
              <w:t>●17. 设备内置软件应用商城，支持第三方应用软件安装及打开使用，内含不少于30个已适配的应用（如有，提供国家认可的第三方检测（检验）机构出具的关于该功能检测（检验）报告复印件）；</w:t>
            </w:r>
          </w:p>
          <w:p>
            <w:pPr>
              <w:widowControl/>
              <w:spacing w:line="300" w:lineRule="auto"/>
              <w:jc w:val="left"/>
              <w:textAlignment w:val="center"/>
            </w:pPr>
            <w:r>
              <w:rPr>
                <w:rFonts w:hint="eastAsia"/>
                <w:szCs w:val="21"/>
              </w:rPr>
              <w:t>●18. 设备具备多种声音播放模式，如会议模式、影院模式，且支持 AI 智能检测，实现空间自适应模式播放（如有，提供国家认可的第三方检测（检验）机构出具的关于该功能检测（检验）报告复印件）；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9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13</w:t>
            </w:r>
          </w:p>
        </w:tc>
        <w:tc>
          <w:tcPr>
            <w:tcW w:w="1345"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投影仪及配件</w:t>
            </w:r>
          </w:p>
        </w:tc>
        <w:tc>
          <w:tcPr>
            <w:tcW w:w="68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3台</w:t>
            </w:r>
          </w:p>
        </w:tc>
        <w:tc>
          <w:tcPr>
            <w:tcW w:w="68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textAlignment w:val="center"/>
            </w:pPr>
            <w:r>
              <w:rPr>
                <w:rFonts w:hint="eastAsia" w:ascii="宋体" w:hAnsi="宋体" w:cs="宋体"/>
                <w:kern w:val="0"/>
                <w:szCs w:val="21"/>
                <w:lang w:bidi="ar"/>
              </w:rPr>
              <w:t>▲</w:t>
            </w:r>
            <w:r>
              <w:rPr>
                <w:rFonts w:hint="eastAsia"/>
              </w:rPr>
              <w:t>1、显示技术：DLP 数字光处理技术，采用原生 RGB 三色独立激光器光源，不接受单色激光 + 荧光轮方案；DMD 芯片 0.47 英寸，物理原生分辨率 3840×2160（4K UHD），非抖动插值 4K。</w:t>
            </w:r>
          </w:p>
          <w:p>
            <w:pPr>
              <w:widowControl/>
              <w:spacing w:line="300" w:lineRule="auto"/>
              <w:jc w:val="left"/>
              <w:textAlignment w:val="center"/>
            </w:pPr>
            <w:r>
              <w:rPr>
                <w:rFonts w:ascii="宋体" w:hAnsi="宋体" w:cs="宋体"/>
                <w:kern w:val="0"/>
                <w:szCs w:val="21"/>
                <w:lang w:bidi="ar"/>
              </w:rPr>
              <w:t>●</w:t>
            </w:r>
            <w:r>
              <w:rPr>
                <w:rFonts w:hint="eastAsia"/>
              </w:rPr>
              <w:t>2、亮度：≥6000 ISO 流明（根据ISO21118）（如有，提供产品彩页或检测报告）。</w:t>
            </w:r>
          </w:p>
          <w:p>
            <w:pPr>
              <w:widowControl/>
              <w:spacing w:line="300" w:lineRule="auto"/>
              <w:jc w:val="left"/>
              <w:textAlignment w:val="center"/>
            </w:pPr>
            <w:r>
              <w:rPr>
                <w:rFonts w:hint="eastAsia"/>
              </w:rPr>
              <w:t>3、动态对比度≥8000000:1。</w:t>
            </w:r>
          </w:p>
          <w:p>
            <w:pPr>
              <w:widowControl/>
              <w:spacing w:line="300" w:lineRule="auto"/>
              <w:jc w:val="left"/>
              <w:textAlignment w:val="center"/>
            </w:pPr>
            <w:r>
              <w:rPr>
                <w:rFonts w:hint="eastAsia" w:ascii="宋体" w:hAnsi="宋体" w:cs="宋体"/>
                <w:kern w:val="0"/>
                <w:szCs w:val="21"/>
                <w:lang w:bidi="ar"/>
              </w:rPr>
              <w:t>▲</w:t>
            </w:r>
            <w:r>
              <w:rPr>
                <w:rFonts w:hint="eastAsia"/>
              </w:rPr>
              <w:t>4、色域：色域覆盖≥110% BT.2020，色彩准确度 ΔE≤1.0。</w:t>
            </w:r>
          </w:p>
          <w:p>
            <w:pPr>
              <w:widowControl/>
              <w:spacing w:line="300" w:lineRule="auto"/>
              <w:jc w:val="left"/>
              <w:textAlignment w:val="center"/>
            </w:pPr>
            <w:r>
              <w:rPr>
                <w:rFonts w:hint="eastAsia"/>
              </w:rPr>
              <w:t>5、光源寿命：标准模式下光源使用寿命≥30000 小时。</w:t>
            </w:r>
          </w:p>
          <w:p>
            <w:pPr>
              <w:widowControl/>
              <w:spacing w:line="300" w:lineRule="auto"/>
              <w:jc w:val="left"/>
              <w:textAlignment w:val="center"/>
            </w:pPr>
            <w:r>
              <w:rPr>
                <w:rFonts w:hint="eastAsia"/>
              </w:rPr>
              <w:t>6、镜头：光学变焦，投射比 1.0~1.3:1；支持电动镜头位移，垂直位移 ±60%，水平位移 ±20%。</w:t>
            </w:r>
          </w:p>
          <w:p>
            <w:pPr>
              <w:widowControl/>
              <w:spacing w:line="300" w:lineRule="auto"/>
              <w:jc w:val="left"/>
              <w:textAlignment w:val="center"/>
            </w:pPr>
            <w:r>
              <w:rPr>
                <w:rFonts w:hint="eastAsia"/>
              </w:rPr>
              <w:t>7、投影画面尺寸范围：60 英寸～300 英寸。</w:t>
            </w:r>
          </w:p>
          <w:p>
            <w:pPr>
              <w:widowControl/>
              <w:spacing w:line="300" w:lineRule="auto"/>
              <w:jc w:val="left"/>
              <w:textAlignment w:val="center"/>
            </w:pPr>
            <w:r>
              <w:rPr>
                <w:rFonts w:hint="eastAsia"/>
              </w:rPr>
              <w:t>8、支持 HDR10、HLG 高动态范围解码，内置 MEMC 运动补偿算法。</w:t>
            </w:r>
          </w:p>
          <w:p>
            <w:pPr>
              <w:widowControl/>
              <w:spacing w:line="300" w:lineRule="auto"/>
              <w:jc w:val="left"/>
              <w:textAlignment w:val="center"/>
            </w:pPr>
            <w:r>
              <w:rPr>
                <w:rFonts w:hint="eastAsia"/>
              </w:rPr>
              <w:t>9、支持主动式 3D 显示。</w:t>
            </w:r>
          </w:p>
          <w:p>
            <w:pPr>
              <w:widowControl/>
              <w:spacing w:line="300" w:lineRule="auto"/>
              <w:jc w:val="left"/>
              <w:textAlignment w:val="center"/>
            </w:pPr>
            <w:r>
              <w:rPr>
                <w:rFonts w:hint="eastAsia"/>
              </w:rPr>
              <w:t>10、支持电动多点几何校正，至少支持 8 点校正，支持弧形 / 曲面画面校正。</w:t>
            </w:r>
          </w:p>
          <w:p>
            <w:pPr>
              <w:widowControl/>
              <w:spacing w:line="300" w:lineRule="auto"/>
              <w:jc w:val="left"/>
              <w:textAlignment w:val="center"/>
            </w:pPr>
            <w:r>
              <w:rPr>
                <w:rFonts w:hint="eastAsia"/>
              </w:rPr>
              <w:t>11、内置色彩管理系统，可切换 BT.709、BT.2020、DCI-P3 色域模式。</w:t>
            </w:r>
          </w:p>
          <w:p>
            <w:pPr>
              <w:widowControl/>
              <w:spacing w:line="300" w:lineRule="auto"/>
              <w:jc w:val="left"/>
              <w:textAlignment w:val="center"/>
            </w:pPr>
            <w:r>
              <w:rPr>
                <w:rFonts w:hint="eastAsia" w:ascii="宋体" w:hAnsi="宋体" w:cs="宋体"/>
                <w:kern w:val="0"/>
                <w:szCs w:val="21"/>
                <w:lang w:bidi="ar"/>
              </w:rPr>
              <w:t>▲</w:t>
            </w:r>
            <w:r>
              <w:rPr>
                <w:rFonts w:hint="eastAsia"/>
              </w:rPr>
              <w:t>12、内置智能操作系统，处理器≥四核芯片，运行内存≥3GB，机身存储≥32GB。</w:t>
            </w:r>
          </w:p>
          <w:p>
            <w:pPr>
              <w:widowControl/>
              <w:spacing w:line="300" w:lineRule="auto"/>
              <w:jc w:val="left"/>
              <w:textAlignment w:val="center"/>
            </w:pPr>
            <w:r>
              <w:rPr>
                <w:rFonts w:hint="eastAsia"/>
              </w:rPr>
              <w:t>13、机身自带接口（不接受转接器扩展作为本机接口）：</w:t>
            </w:r>
          </w:p>
          <w:p>
            <w:pPr>
              <w:widowControl/>
              <w:spacing w:line="300" w:lineRule="auto"/>
              <w:jc w:val="left"/>
              <w:textAlignment w:val="center"/>
            </w:pPr>
            <w:r>
              <w:rPr>
                <w:rFonts w:hint="eastAsia"/>
              </w:rPr>
              <w:t>HDMI2.0 接口≥2 路（至少 1 路支持 HDCP2.2）；</w:t>
            </w:r>
          </w:p>
          <w:p>
            <w:pPr>
              <w:widowControl/>
              <w:spacing w:line="300" w:lineRule="auto"/>
              <w:jc w:val="left"/>
              <w:textAlignment w:val="center"/>
            </w:pPr>
            <w:r>
              <w:rPr>
                <w:rFonts w:hint="eastAsia"/>
              </w:rPr>
              <w:t>千兆 RJ45 网口≥1 路；</w:t>
            </w:r>
          </w:p>
          <w:p>
            <w:pPr>
              <w:widowControl/>
              <w:spacing w:line="300" w:lineRule="auto"/>
              <w:jc w:val="left"/>
              <w:textAlignment w:val="center"/>
            </w:pPr>
            <w:r>
              <w:rPr>
                <w:rFonts w:hint="eastAsia"/>
              </w:rPr>
              <w:t>RS232 串口≥1 路，支持中控设备通信；</w:t>
            </w:r>
          </w:p>
          <w:p>
            <w:pPr>
              <w:widowControl/>
              <w:spacing w:line="300" w:lineRule="auto"/>
              <w:jc w:val="left"/>
              <w:textAlignment w:val="center"/>
            </w:pPr>
            <w:r>
              <w:rPr>
                <w:rFonts w:hint="eastAsia"/>
              </w:rPr>
              <w:t>USB3.0≥1 路、USB2.0≥1 路；</w:t>
            </w:r>
          </w:p>
          <w:p>
            <w:pPr>
              <w:widowControl/>
              <w:spacing w:line="300" w:lineRule="auto"/>
              <w:jc w:val="left"/>
              <w:textAlignment w:val="center"/>
            </w:pPr>
            <w:r>
              <w:rPr>
                <w:rFonts w:hint="eastAsia"/>
              </w:rPr>
              <w:t>3.5mm 音频输入输出接口，SPDIF 光纤音频输出接口。</w:t>
            </w:r>
          </w:p>
          <w:p>
            <w:pPr>
              <w:widowControl/>
              <w:spacing w:line="300" w:lineRule="auto"/>
              <w:jc w:val="left"/>
              <w:textAlignment w:val="center"/>
            </w:pPr>
            <w:r>
              <w:rPr>
                <w:rFonts w:hint="eastAsia"/>
              </w:rPr>
              <w:t>14、无线网络：支持 2.4G+5G 双频 WiFi，蓝牙 5.0。</w:t>
            </w:r>
          </w:p>
          <w:p>
            <w:pPr>
              <w:widowControl/>
              <w:spacing w:line="300" w:lineRule="auto"/>
              <w:jc w:val="left"/>
              <w:textAlignment w:val="center"/>
            </w:pPr>
            <w:r>
              <w:rPr>
                <w:rFonts w:hint="eastAsia"/>
              </w:rPr>
              <w:t>15、内置立体声扬声器，单只功率≥15W，共 2 只；支持杜比、DTS 。</w:t>
            </w:r>
          </w:p>
          <w:p>
            <w:pPr>
              <w:widowControl/>
              <w:spacing w:line="300" w:lineRule="auto"/>
              <w:jc w:val="left"/>
              <w:textAlignment w:val="center"/>
            </w:pPr>
            <w:r>
              <w:rPr>
                <w:rFonts w:hint="eastAsia"/>
              </w:rPr>
              <w:t>16、噪音指标：标准模式工作噪音≤34dB (A)。</w:t>
            </w:r>
          </w:p>
          <w:p>
            <w:pPr>
              <w:widowControl/>
              <w:spacing w:line="300" w:lineRule="auto"/>
              <w:jc w:val="left"/>
              <w:textAlignment w:val="center"/>
            </w:pPr>
            <w:r>
              <w:rPr>
                <w:rFonts w:hint="eastAsia"/>
              </w:rPr>
              <w:t>17、供电：AC 100V-240V 宽电压；整机功耗≤320W，待机功耗＜0.5W。</w:t>
            </w:r>
          </w:p>
          <w:p>
            <w:pPr>
              <w:widowControl/>
              <w:spacing w:line="300" w:lineRule="auto"/>
              <w:jc w:val="left"/>
              <w:textAlignment w:val="center"/>
            </w:pPr>
            <w:r>
              <w:rPr>
                <w:rFonts w:hint="eastAsia"/>
              </w:rPr>
              <w:t>18、散热结构：独立风道设计，具备高海拔工作模式，自带防尘自清洁功能。</w:t>
            </w:r>
          </w:p>
          <w:p>
            <w:pPr>
              <w:widowControl/>
              <w:spacing w:line="300" w:lineRule="auto"/>
              <w:jc w:val="left"/>
              <w:textAlignment w:val="center"/>
            </w:pPr>
            <w:r>
              <w:rPr>
                <w:rFonts w:hint="eastAsia"/>
              </w:rPr>
              <w:t>19、安装方式：支持前投、背投，桌面放置、吊装安装。</w:t>
            </w:r>
          </w:p>
          <w:p>
            <w:pPr>
              <w:widowControl/>
              <w:spacing w:line="300" w:lineRule="auto"/>
              <w:jc w:val="left"/>
              <w:textAlignment w:val="center"/>
            </w:pPr>
            <w:r>
              <w:rPr>
                <w:rFonts w:hint="eastAsia" w:ascii="宋体" w:hAnsi="宋体" w:cs="宋体"/>
                <w:kern w:val="0"/>
                <w:szCs w:val="21"/>
                <w:lang w:bidi="ar"/>
              </w:rPr>
              <w:t>▲</w:t>
            </w:r>
            <w:r>
              <w:rPr>
                <w:rFonts w:hint="eastAsia"/>
              </w:rPr>
              <w:t>20、整机质保期≥3 年，光源质保期与整机同步≥3 年；质保期内非人为损坏故障，提供免费配件及上门维修服务。</w:t>
            </w:r>
          </w:p>
          <w:p>
            <w:pPr>
              <w:widowControl/>
              <w:spacing w:line="300" w:lineRule="auto"/>
              <w:jc w:val="left"/>
              <w:textAlignment w:val="center"/>
            </w:pPr>
            <w:r>
              <w:rPr>
                <w:rFonts w:hint="eastAsia"/>
              </w:rPr>
              <w:t>21、设备支持 RS232、TCP/IP 网络中控协议，可实现开关机、信号切换、设备状态读取、故障告警；支持定时开关机、信号轮巡、设备密码锁定、运行日志导出、远程固件升级。</w:t>
            </w:r>
          </w:p>
          <w:p>
            <w:pPr>
              <w:widowControl/>
              <w:spacing w:line="300" w:lineRule="auto"/>
              <w:jc w:val="left"/>
              <w:textAlignment w:val="center"/>
            </w:pPr>
            <w:r>
              <w:rPr>
                <w:rFonts w:hint="eastAsia"/>
              </w:rPr>
              <w:t>▲23、配置电动幕布，基础材质采用PET聚合材质，成像层采用超微纳米级光子涂层，尺寸150寸，比例16：9，必须与投影机标准画面比例一致；幕面厚度：≥0.28mm；管状电机，电机额定功率≥105W；开关机械寿命≥30000次；幕布主要参数必须符合或优于国标GB/T13982-2022《反射和透射放映银幕》的检测要求。配置联动器，投影幕布必须与投影机进行联动，投影机开机时，幕布自动降下，投影机关机时，幕布自动升起；幕布不低于原厂1年质保。</w:t>
            </w:r>
          </w:p>
          <w:p>
            <w:pPr>
              <w:widowControl/>
              <w:spacing w:line="300" w:lineRule="auto"/>
              <w:jc w:val="left"/>
              <w:textAlignment w:val="center"/>
            </w:pPr>
            <w:r>
              <w:rPr>
                <w:rFonts w:hint="eastAsia"/>
              </w:rPr>
              <w:t>▲24、配置工程投影支架，要求采用钢制圆管设计，白色烤漆；长度两节伸缩调节，长度不低于150cm；不低于30KG承重，投影爪臂不变形。</w:t>
            </w:r>
          </w:p>
          <w:p>
            <w:pPr>
              <w:widowControl/>
              <w:spacing w:line="300" w:lineRule="auto"/>
              <w:jc w:val="left"/>
              <w:textAlignment w:val="center"/>
            </w:pPr>
            <w:r>
              <w:rPr>
                <w:rFonts w:hint="eastAsia"/>
              </w:rPr>
              <w:t>▲25、配置HDMI2.0高清连接线，长度不低于20米，传输速率不低于18Gbps，支持4K/60Hz及以上分辨率传输，支持HDR动态显示，支持32个音频频道，1536KHz音频采样，支持音频回传。</w:t>
            </w:r>
          </w:p>
          <w:p>
            <w:pPr>
              <w:widowControl/>
              <w:spacing w:line="300" w:lineRule="auto"/>
              <w:jc w:val="left"/>
              <w:textAlignment w:val="center"/>
            </w:pPr>
            <w:r>
              <w:rPr>
                <w:rFonts w:hint="eastAsia"/>
              </w:rPr>
              <w:t>▲26、提供原厂安装调试服务。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9487" w:type="dxa"/>
            <w:gridSpan w:val="4"/>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b/>
                <w:bCs/>
                <w:szCs w:val="21"/>
              </w:rPr>
            </w:pPr>
            <w:r>
              <w:rPr>
                <w:rFonts w:hint="eastAsia"/>
              </w:rPr>
              <w:t>▲</w:t>
            </w:r>
            <w:bookmarkStart w:id="16" w:name="_GoBack"/>
            <w:bookmarkEnd w:id="16"/>
            <w:r>
              <w:rPr>
                <w:rFonts w:hint="eastAsia" w:ascii="宋体" w:hAnsi="宋体" w:cs="宋体"/>
                <w:b/>
                <w:bCs/>
                <w:szCs w:val="21"/>
              </w:rPr>
              <w:t>商务及其他要求表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b/>
                <w:bCs/>
                <w:szCs w:val="21"/>
              </w:rPr>
            </w:pPr>
            <w:r>
              <w:rPr>
                <w:rFonts w:hint="eastAsia" w:ascii="宋体" w:hAnsi="宋体" w:cs="宋体"/>
                <w:b/>
                <w:bCs/>
                <w:szCs w:val="21"/>
              </w:rPr>
              <w:t>核心产品</w:t>
            </w:r>
          </w:p>
        </w:tc>
        <w:tc>
          <w:tcPr>
            <w:tcW w:w="7543"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b/>
                <w:bCs/>
                <w:szCs w:val="21"/>
              </w:rPr>
            </w:pPr>
            <w:r>
              <w:rPr>
                <w:rFonts w:hint="eastAsia" w:ascii="宋体" w:hAnsi="宋体" w:cs="宋体"/>
                <w:b/>
                <w:bCs/>
                <w:kern w:val="0"/>
                <w:szCs w:val="21"/>
              </w:rPr>
              <w:t>第 1项“台式计算机”为核心产品。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szCs w:val="21"/>
              </w:rPr>
            </w:pPr>
            <w:r>
              <w:rPr>
                <w:rFonts w:hint="eastAsia" w:ascii="宋体" w:hAnsi="宋体" w:cs="宋体"/>
                <w:szCs w:val="21"/>
              </w:rPr>
              <w:t>报价要求</w:t>
            </w:r>
          </w:p>
        </w:tc>
        <w:tc>
          <w:tcPr>
            <w:tcW w:w="7543"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szCs w:val="21"/>
              </w:rPr>
            </w:pPr>
            <w:r>
              <w:rPr>
                <w:rFonts w:hint="eastAsia" w:ascii="宋体" w:hAnsi="宋体" w:cs="宋体"/>
                <w:szCs w:val="21"/>
              </w:rPr>
              <w:t>本项目实行总承包报价，报价为采购人指定服务范围内的全部价格，至少包括：</w:t>
            </w:r>
          </w:p>
          <w:p>
            <w:pPr>
              <w:spacing w:line="288" w:lineRule="auto"/>
              <w:rPr>
                <w:rFonts w:ascii="宋体" w:hAnsi="宋体" w:cs="宋体"/>
                <w:szCs w:val="21"/>
              </w:rPr>
            </w:pPr>
            <w:r>
              <w:rPr>
                <w:rFonts w:hint="eastAsia" w:ascii="宋体" w:hAnsi="宋体" w:cs="宋体"/>
                <w:szCs w:val="21"/>
              </w:rPr>
              <w:t>1.产品及服务的价格（包括人工、材料、运输等）；</w:t>
            </w:r>
          </w:p>
          <w:p>
            <w:pPr>
              <w:spacing w:line="288" w:lineRule="auto"/>
              <w:rPr>
                <w:rFonts w:ascii="宋体" w:hAnsi="宋体" w:cs="宋体"/>
                <w:szCs w:val="21"/>
              </w:rPr>
            </w:pPr>
            <w:r>
              <w:rPr>
                <w:rFonts w:hint="eastAsia" w:ascii="宋体" w:hAnsi="宋体" w:cs="宋体"/>
                <w:szCs w:val="21"/>
              </w:rPr>
              <w:t>2.必要的保险费用和各项税金；</w:t>
            </w:r>
          </w:p>
          <w:p>
            <w:pPr>
              <w:spacing w:line="288" w:lineRule="auto"/>
              <w:rPr>
                <w:rFonts w:ascii="宋体" w:hAnsi="宋体" w:cs="宋体"/>
                <w:szCs w:val="21"/>
              </w:rPr>
            </w:pPr>
            <w:r>
              <w:rPr>
                <w:rFonts w:hint="eastAsia" w:ascii="宋体" w:hAnsi="宋体" w:cs="宋体"/>
                <w:szCs w:val="21"/>
              </w:rPr>
              <w:t>3.与本项目有关的其他一切费用。采购人不再支付中标价格以外的任何费用。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szCs w:val="21"/>
              </w:rPr>
            </w:pPr>
            <w:r>
              <w:rPr>
                <w:rFonts w:hint="eastAsia" w:ascii="宋体" w:hAnsi="宋体" w:cs="宋体"/>
                <w:szCs w:val="21"/>
              </w:rPr>
              <w:t>交付使用时间及地点</w:t>
            </w:r>
          </w:p>
        </w:tc>
        <w:tc>
          <w:tcPr>
            <w:tcW w:w="7543" w:type="dxa"/>
            <w:gridSpan w:val="2"/>
            <w:tcBorders>
              <w:top w:val="single" w:color="auto" w:sz="4" w:space="0"/>
              <w:left w:val="single" w:color="auto" w:sz="4" w:space="0"/>
              <w:bottom w:val="single" w:color="auto" w:sz="4" w:space="0"/>
              <w:right w:val="single" w:color="auto" w:sz="4" w:space="0"/>
            </w:tcBorders>
          </w:tcPr>
          <w:p>
            <w:pPr>
              <w:spacing w:line="288" w:lineRule="auto"/>
              <w:rPr>
                <w:rFonts w:ascii="宋体" w:hAnsi="宋体" w:cs="宋体"/>
                <w:szCs w:val="21"/>
              </w:rPr>
            </w:pPr>
            <w:r>
              <w:rPr>
                <w:rFonts w:hint="eastAsia" w:ascii="宋体" w:hAnsi="宋体" w:cs="宋体"/>
                <w:szCs w:val="21"/>
              </w:rPr>
              <w:t>1.交付使用时间：</w:t>
            </w:r>
            <w:r>
              <w:rPr>
                <w:rFonts w:hint="eastAsia" w:ascii="宋体" w:hAnsi="宋体" w:cs="宋体"/>
                <w:kern w:val="0"/>
                <w:szCs w:val="21"/>
              </w:rPr>
              <w:t>签订合同之日起</w:t>
            </w:r>
            <w:r>
              <w:rPr>
                <w:rFonts w:hint="eastAsia" w:ascii="宋体" w:hAnsi="宋体" w:cs="宋体"/>
                <w:kern w:val="0"/>
                <w:szCs w:val="21"/>
                <w:u w:val="single"/>
              </w:rPr>
              <w:t xml:space="preserve"> 30 </w:t>
            </w:r>
            <w:r>
              <w:rPr>
                <w:rFonts w:hint="eastAsia" w:ascii="宋体" w:hAnsi="宋体" w:cs="宋体"/>
                <w:kern w:val="0"/>
                <w:szCs w:val="21"/>
              </w:rPr>
              <w:t>日内交货并安装调试完毕。</w:t>
            </w:r>
          </w:p>
          <w:p>
            <w:pPr>
              <w:spacing w:line="288" w:lineRule="auto"/>
              <w:rPr>
                <w:rFonts w:ascii="宋体" w:hAnsi="宋体" w:cs="宋体"/>
                <w:szCs w:val="21"/>
              </w:rPr>
            </w:pPr>
            <w:r>
              <w:rPr>
                <w:rFonts w:hint="eastAsia" w:ascii="宋体" w:hAnsi="宋体" w:cs="宋体"/>
                <w:szCs w:val="21"/>
              </w:rPr>
              <w:t>2.交付地点：</w:t>
            </w:r>
            <w:r>
              <w:rPr>
                <w:rFonts w:hint="eastAsia" w:ascii="宋体" w:hAnsi="宋体" w:cs="宋体"/>
                <w:szCs w:val="21"/>
                <w:u w:val="single"/>
              </w:rPr>
              <w:t xml:space="preserve">   广西南宁市   </w:t>
            </w:r>
            <w:r>
              <w:rPr>
                <w:rFonts w:hint="eastAsia" w:ascii="宋体" w:hAnsi="宋体" w:cs="宋体"/>
                <w:szCs w:val="21"/>
              </w:rPr>
              <w:t>（采购人指定地点）。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szCs w:val="21"/>
              </w:rPr>
            </w:pPr>
            <w:r>
              <w:rPr>
                <w:rFonts w:hint="eastAsia" w:ascii="宋体" w:hAnsi="宋体" w:cs="宋体"/>
                <w:szCs w:val="21"/>
              </w:rPr>
              <w:t>售后服务要求</w:t>
            </w:r>
          </w:p>
        </w:tc>
        <w:tc>
          <w:tcPr>
            <w:tcW w:w="7543"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rPr>
                <w:rFonts w:ascii="宋体" w:hAnsi="宋体" w:cs="宋体"/>
                <w:kern w:val="0"/>
                <w:szCs w:val="21"/>
                <w:lang w:bidi="ar"/>
              </w:rPr>
            </w:pPr>
            <w:r>
              <w:rPr>
                <w:rFonts w:hint="eastAsia" w:ascii="宋体" w:hAnsi="宋体" w:cs="宋体"/>
                <w:kern w:val="0"/>
                <w:szCs w:val="21"/>
                <w:lang w:bidi="ar"/>
              </w:rPr>
              <w:t>1.免费送货上门、安装、调试；</w:t>
            </w:r>
          </w:p>
          <w:p>
            <w:pPr>
              <w:spacing w:line="288" w:lineRule="auto"/>
              <w:rPr>
                <w:rFonts w:ascii="宋体" w:hAnsi="宋体" w:cs="宋体"/>
                <w:kern w:val="0"/>
                <w:szCs w:val="21"/>
                <w:lang w:bidi="ar"/>
              </w:rPr>
            </w:pPr>
            <w:r>
              <w:rPr>
                <w:rFonts w:hint="eastAsia" w:ascii="宋体" w:hAnsi="宋体" w:cs="宋体"/>
                <w:kern w:val="0"/>
                <w:szCs w:val="21"/>
                <w:lang w:bidi="ar"/>
              </w:rPr>
              <w:t>2.分项有质保要求的按分项质保要求，分项没有质保要求的质保不少于 1 年，其余按国家有关产品“三包”规定执行“三包”，质保期以通过项目最终验收的验收报告签字日开始计算。</w:t>
            </w:r>
          </w:p>
          <w:p>
            <w:pPr>
              <w:spacing w:line="288" w:lineRule="auto"/>
              <w:rPr>
                <w:rFonts w:ascii="宋体" w:hAnsi="宋体" w:cs="宋体"/>
                <w:kern w:val="0"/>
                <w:szCs w:val="21"/>
                <w:lang w:bidi="ar"/>
              </w:rPr>
            </w:pPr>
            <w:r>
              <w:rPr>
                <w:rFonts w:hint="eastAsia" w:ascii="宋体" w:hAnsi="宋体" w:cs="宋体"/>
                <w:kern w:val="0"/>
                <w:szCs w:val="21"/>
                <w:lang w:bidi="ar"/>
              </w:rPr>
              <w:t>3.质量保证及服务承诺：①中标供应商必须保证在产品经正确安装、正常操作和保养条件下，在寿命期内运行良好；②中标供应商在产品寿命保证期内，对因设计、工艺、材料的缺陷所发生的故障负责；③供货时须提供完整的使用手册、维修资料。</w:t>
            </w:r>
          </w:p>
          <w:p>
            <w:pPr>
              <w:spacing w:line="288" w:lineRule="auto"/>
              <w:rPr>
                <w:rFonts w:ascii="宋体" w:hAnsi="宋体" w:cs="宋体"/>
                <w:kern w:val="0"/>
                <w:szCs w:val="21"/>
                <w:lang w:bidi="ar"/>
              </w:rPr>
            </w:pPr>
            <w:r>
              <w:rPr>
                <w:rFonts w:hint="eastAsia" w:ascii="宋体" w:hAnsi="宋体" w:cs="宋体"/>
                <w:kern w:val="0"/>
                <w:szCs w:val="21"/>
                <w:lang w:bidi="ar"/>
              </w:rPr>
              <w:t>4.免费维护期内须提供免费上门服务 (含人工费、材料费、差旅费)，并提供终身维护。</w:t>
            </w:r>
          </w:p>
          <w:p>
            <w:pPr>
              <w:spacing w:line="288" w:lineRule="auto"/>
              <w:rPr>
                <w:rFonts w:ascii="宋体" w:hAnsi="宋体" w:cs="宋体"/>
                <w:szCs w:val="21"/>
              </w:rPr>
            </w:pPr>
            <w:r>
              <w:rPr>
                <w:rFonts w:hint="eastAsia" w:ascii="宋体" w:hAnsi="宋体" w:cs="宋体"/>
                <w:kern w:val="0"/>
                <w:szCs w:val="21"/>
                <w:lang w:bidi="ar"/>
              </w:rPr>
              <w:t>5.实施和安装要求：①中标供应商必须按采购人的要求进行安装；②安装过程中的所有安全保障由中标供应商自行负责；③严格按投标产品的安装规范要求进行安装，确保安全。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96"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tabs>
                <w:tab w:val="left" w:pos="215"/>
              </w:tabs>
              <w:spacing w:line="288" w:lineRule="auto"/>
              <w:jc w:val="center"/>
              <w:rPr>
                <w:rFonts w:ascii="宋体" w:hAnsi="宋体" w:cs="宋体"/>
                <w:szCs w:val="21"/>
              </w:rPr>
            </w:pPr>
            <w:r>
              <w:rPr>
                <w:rFonts w:hint="eastAsia" w:ascii="宋体" w:hAnsi="宋体" w:cs="宋体"/>
                <w:szCs w:val="21"/>
              </w:rPr>
              <w:t>付款方式</w:t>
            </w:r>
          </w:p>
        </w:tc>
        <w:tc>
          <w:tcPr>
            <w:tcW w:w="7543" w:type="dxa"/>
            <w:gridSpan w:val="2"/>
            <w:tcBorders>
              <w:top w:val="single" w:color="auto" w:sz="4" w:space="0"/>
              <w:left w:val="single" w:color="auto" w:sz="4" w:space="0"/>
              <w:bottom w:val="single" w:color="auto" w:sz="4" w:space="0"/>
              <w:right w:val="single" w:color="auto" w:sz="4" w:space="0"/>
            </w:tcBorders>
          </w:tcPr>
          <w:p>
            <w:pPr>
              <w:spacing w:line="288" w:lineRule="auto"/>
              <w:ind w:firstLine="420" w:firstLineChars="200"/>
              <w:rPr>
                <w:rFonts w:ascii="宋体" w:hAnsi="宋体" w:cs="宋体"/>
                <w:szCs w:val="21"/>
              </w:rPr>
            </w:pPr>
            <w:r>
              <w:rPr>
                <w:rFonts w:hint="eastAsia" w:ascii="宋体" w:hAnsi="宋体" w:cs="宋体"/>
              </w:rPr>
              <w:t>本项目分两期付款，全部货物到货经采购人清点确认后，支付合同金额的50%，项目完成安装并正式验收合格后再支付合同金额的50%，</w:t>
            </w:r>
            <w:r>
              <w:rPr>
                <w:rFonts w:hint="eastAsia" w:ascii="宋体" w:hAnsi="宋体" w:cs="宋体"/>
                <w:sz w:val="24"/>
              </w:rPr>
              <w:t>每次付款前，</w:t>
            </w:r>
            <w:r>
              <w:rPr>
                <w:rFonts w:hint="eastAsia" w:ascii="宋体" w:hAnsi="宋体" w:cs="宋体"/>
              </w:rPr>
              <w:t>中标供应商向采购人开具</w:t>
            </w:r>
            <w:r>
              <w:rPr>
                <w:rFonts w:hint="eastAsia" w:ascii="宋体" w:hAnsi="宋体" w:cs="宋体"/>
                <w:szCs w:val="21"/>
              </w:rPr>
              <w:t>合符采购人财务管理相关规定的</w:t>
            </w:r>
            <w:r>
              <w:rPr>
                <w:rFonts w:hint="eastAsia" w:ascii="宋体" w:hAnsi="宋体" w:cs="宋体"/>
              </w:rPr>
              <w:t>增值税专用发票，采购人收到发票后10个工作日内完成支付。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tabs>
                <w:tab w:val="left" w:pos="215"/>
              </w:tabs>
              <w:spacing w:line="288" w:lineRule="auto"/>
              <w:jc w:val="center"/>
              <w:rPr>
                <w:rFonts w:ascii="宋体" w:hAnsi="宋体" w:cs="宋体"/>
                <w:szCs w:val="21"/>
              </w:rPr>
            </w:pPr>
            <w:r>
              <w:rPr>
                <w:rFonts w:hint="eastAsia" w:ascii="宋体" w:hAnsi="宋体" w:cs="宋体"/>
                <w:szCs w:val="21"/>
              </w:rPr>
              <w:t>履约保证金</w:t>
            </w:r>
          </w:p>
        </w:tc>
        <w:tc>
          <w:tcPr>
            <w:tcW w:w="7543" w:type="dxa"/>
            <w:gridSpan w:val="2"/>
            <w:tcBorders>
              <w:top w:val="single" w:color="auto" w:sz="4" w:space="0"/>
              <w:left w:val="single" w:color="auto" w:sz="4" w:space="0"/>
              <w:bottom w:val="single" w:color="auto" w:sz="4" w:space="0"/>
              <w:right w:val="single" w:color="auto" w:sz="4" w:space="0"/>
            </w:tcBorders>
          </w:tcPr>
          <w:p>
            <w:pPr>
              <w:spacing w:line="288" w:lineRule="auto"/>
              <w:ind w:firstLine="317" w:firstLineChars="151"/>
              <w:rPr>
                <w:rFonts w:ascii="宋体" w:hAnsi="宋体" w:cs="宋体"/>
                <w:szCs w:val="21"/>
              </w:rPr>
            </w:pPr>
            <w:r>
              <w:rPr>
                <w:rFonts w:hint="eastAsia" w:ascii="宋体" w:hAnsi="宋体" w:cs="宋体"/>
                <w:kern w:val="0"/>
                <w:szCs w:val="21"/>
              </w:rPr>
              <w:t>合同签订之前，中标供应商按合同金额的5%</w:t>
            </w:r>
            <w:r>
              <w:rPr>
                <w:rFonts w:hint="eastAsia" w:ascii="宋体" w:hAnsi="宋体" w:cs="宋体"/>
                <w:szCs w:val="21"/>
              </w:rPr>
              <w:t>（其中对中标的中小企业收取的履约保证金数额不超过政府采购合同金额的2%）</w:t>
            </w:r>
            <w:r>
              <w:rPr>
                <w:rFonts w:hint="eastAsia" w:ascii="宋体" w:hAnsi="宋体" w:cs="宋体"/>
                <w:kern w:val="0"/>
                <w:szCs w:val="21"/>
              </w:rPr>
              <w:t>向采购人足额交纳履约保证金。</w:t>
            </w:r>
            <w:r>
              <w:rPr>
                <w:rFonts w:hint="eastAsia" w:ascii="宋体" w:hAnsi="宋体" w:cs="宋体"/>
                <w:szCs w:val="21"/>
              </w:rPr>
              <w:t>项目验收合格后，中标供应商向采购人提出办理退还履约保证金，采购人应在收到申请相关材料，在10个工作日内办理履约保证金退还手续（无息）。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tabs>
                <w:tab w:val="left" w:pos="215"/>
              </w:tabs>
              <w:spacing w:line="288" w:lineRule="auto"/>
              <w:jc w:val="center"/>
              <w:rPr>
                <w:rFonts w:ascii="宋体" w:hAnsi="宋体" w:cs="宋体"/>
                <w:szCs w:val="21"/>
              </w:rPr>
            </w:pPr>
            <w:r>
              <w:rPr>
                <w:rFonts w:hint="eastAsia" w:ascii="宋体" w:hAnsi="宋体" w:cs="宋体"/>
                <w:szCs w:val="21"/>
              </w:rPr>
              <w:t>验收标准</w:t>
            </w:r>
          </w:p>
        </w:tc>
        <w:tc>
          <w:tcPr>
            <w:tcW w:w="7543" w:type="dxa"/>
            <w:gridSpan w:val="2"/>
            <w:tcBorders>
              <w:top w:val="single" w:color="auto" w:sz="4" w:space="0"/>
              <w:left w:val="single" w:color="auto" w:sz="4" w:space="0"/>
              <w:bottom w:val="single" w:color="auto" w:sz="4" w:space="0"/>
              <w:right w:val="single" w:color="auto" w:sz="4" w:space="0"/>
            </w:tcBorders>
          </w:tcPr>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1.检查供货范围或服务范围</w:t>
            </w:r>
          </w:p>
          <w:p>
            <w:pPr>
              <w:widowControl/>
              <w:spacing w:line="400" w:lineRule="exact"/>
              <w:ind w:firstLine="317" w:firstLineChars="151"/>
              <w:jc w:val="left"/>
              <w:textAlignment w:val="center"/>
              <w:rPr>
                <w:rFonts w:ascii="宋体" w:hAnsi="宋体" w:cs="宋体"/>
                <w:szCs w:val="21"/>
              </w:rPr>
            </w:pPr>
            <w:r>
              <w:rPr>
                <w:rFonts w:hint="eastAsia" w:ascii="宋体" w:hAnsi="宋体" w:cs="宋体"/>
                <w:kern w:val="0"/>
                <w:szCs w:val="21"/>
                <w:lang w:bidi="ar"/>
              </w:rPr>
              <w:t>（1）货物类：产品到达现场后，中标供应商应在采购人单位人员在场情况下当面开箱，共同清点、检查外观，作出开箱记录，双方签字确认。中标供应商应保证货物到达采购人所在地完好无损，</w:t>
            </w:r>
            <w:r>
              <w:rPr>
                <w:rFonts w:hint="eastAsia" w:ascii="宋体" w:hAnsi="宋体" w:cs="宋体"/>
                <w:szCs w:val="21"/>
              </w:rPr>
              <w:t>清点过程中如果发现因包装或运输不当引起的货物外观或内部的损坏，中标供应商应负责更换；若发现</w:t>
            </w:r>
            <w:r>
              <w:rPr>
                <w:rFonts w:hint="eastAsia" w:ascii="宋体" w:hAnsi="宋体" w:cs="宋体"/>
                <w:kern w:val="0"/>
                <w:szCs w:val="21"/>
                <w:lang w:bidi="ar"/>
              </w:rPr>
              <w:t>有缺漏或损坏</w:t>
            </w:r>
            <w:r>
              <w:rPr>
                <w:rFonts w:hint="eastAsia" w:ascii="宋体" w:hAnsi="宋体" w:cs="宋体"/>
                <w:szCs w:val="21"/>
              </w:rPr>
              <w:t>情况，中标供应商应负责补</w:t>
            </w:r>
            <w:r>
              <w:rPr>
                <w:rFonts w:hint="eastAsia" w:ascii="宋体" w:hAnsi="宋体" w:cs="宋体"/>
                <w:kern w:val="0"/>
                <w:szCs w:val="21"/>
                <w:lang w:bidi="ar"/>
              </w:rPr>
              <w:t>齐</w:t>
            </w:r>
            <w:r>
              <w:rPr>
                <w:rFonts w:hint="eastAsia" w:ascii="宋体" w:hAnsi="宋体" w:cs="宋体"/>
                <w:szCs w:val="21"/>
              </w:rPr>
              <w:t>或更换</w:t>
            </w:r>
            <w:r>
              <w:rPr>
                <w:rFonts w:hint="eastAsia" w:ascii="宋体" w:hAnsi="宋体" w:cs="宋体"/>
                <w:kern w:val="0"/>
                <w:szCs w:val="21"/>
                <w:lang w:bidi="ar"/>
              </w:rPr>
              <w:t>或赔偿</w:t>
            </w:r>
            <w:r>
              <w:rPr>
                <w:rFonts w:hint="eastAsia" w:ascii="宋体" w:hAnsi="宋体" w:cs="宋体"/>
                <w:szCs w:val="21"/>
              </w:rPr>
              <w:t>。</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①中标供应商所提供的产品、资料等要满足中华人民共和国的相应国家、地方、行业标准。</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②本项目货物质量技术参数要求及中标供应商承诺的货物质量标准（如有不一致，以标准高者为准）。</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③中标供应商所提供的产品按厂家出厂标准配置提供的整套全新，具备正规合法经销渠道，符合国家各项有关质量标准的合格产品。所有设备除满足上表要求的技术参数和配置外，其余均按国家标准及生产厂家出厂标准配置，若损坏须无偿调换同样产品。</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（2）服务类：根据招标文件检查服务内容是否满足要求。</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2.向采购人提供所有设备的完整技术资料（包括技术说明书、操作说明书、配置资料等）、服务资料、装箱单和合格证等，并派遣专业人员进行现场安装调试。验收合格条件如下：</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（1）货物或服务技术参数与投标文件中响应表或证明材料一致，性能或指标达到规定的标准，否则，以实际货物或服务技术参数与投标文件响应表参数或证明材料比较，按如下情况处理：</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①中标供应商投标文件响应表或证明材料中满足或优于的技术参数，在验收时实际不满足技术参数要求的，视为中标供货商违约，采购人有权追究中标供应商违约责任，同时报财政部门备案。</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②中标供应商投标文件响应表或证明材料中优于的技术参数，在验收时实际仅满足并未优于技术参数要求的，视为中标供货商违约，采购人有权追究中标供应商违约责任，同时报财政部门备案。</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③中标供应商投标文件响应表或证明材料中满足的技术参数，在验收时实际优于技术参数的要求，以满足技术参数的要求验收。</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④实际货物与投标货物型号不一致的，验收时不论实际是优于还是满足技术参数的要求，采购人均有权终止合同拒收货物，同时报财政部门备案。</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（2）技术资料、装箱单、合格证等资料齐全。</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（3）在测试或试运行期间所出现的问题得到解决，并运行或工作正常。</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（4）在规定时间内完成交货及验收，并经采购人确认。</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3.产品或服务在安装调试并试运行符合要求后，才作为最终验收。</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4.中标供应商提供的货物或服务未达到招标文件规定要求，且对采购人造成损失的，由中标供应商承担一切责任，并赔偿所造成的损失。</w:t>
            </w:r>
          </w:p>
          <w:p>
            <w:pPr>
              <w:widowControl/>
              <w:spacing w:line="400" w:lineRule="exact"/>
              <w:ind w:firstLine="317" w:firstLineChars="151"/>
              <w:jc w:val="left"/>
              <w:textAlignment w:val="center"/>
              <w:rPr>
                <w:rFonts w:ascii="宋体" w:hAnsi="宋体" w:cs="宋体"/>
                <w:kern w:val="0"/>
                <w:szCs w:val="21"/>
                <w:lang w:bidi="ar"/>
              </w:rPr>
            </w:pPr>
            <w:r>
              <w:rPr>
                <w:rFonts w:hint="eastAsia" w:ascii="宋体" w:hAnsi="宋体" w:cs="宋体"/>
                <w:kern w:val="0"/>
                <w:szCs w:val="21"/>
                <w:lang w:bidi="ar"/>
              </w:rPr>
              <w:t>5.采购人需要制造商对中标供应商交付的产品或服务（包括质量、参数等）进行确认的，中标制造商应予以配合并出具书面意见，相关配合事项由中标供应商与制造商协调。</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 xml:space="preserve">   6.产品包装材料归采购人所有。</w:t>
            </w:r>
          </w:p>
          <w:p>
            <w:pPr>
              <w:widowControl/>
              <w:spacing w:line="400" w:lineRule="exact"/>
              <w:jc w:val="left"/>
              <w:textAlignment w:val="center"/>
              <w:rPr>
                <w:rFonts w:ascii="宋体" w:hAnsi="宋体" w:cs="宋体"/>
                <w:kern w:val="0"/>
                <w:szCs w:val="21"/>
                <w:lang w:bidi="ar"/>
              </w:rPr>
            </w:pPr>
            <w:r>
              <w:rPr>
                <w:rFonts w:hint="eastAsia" w:ascii="宋体" w:hAnsi="宋体" w:cs="宋体"/>
                <w:kern w:val="0"/>
                <w:szCs w:val="21"/>
                <w:lang w:bidi="ar"/>
              </w:rPr>
              <w:t xml:space="preserve">   7.为保证项目实施质量和上门服务效率，验收时需要提供厂家出具的原厂售后服务承诺函，并加盖厂家公章证明。</w:t>
            </w:r>
          </w:p>
          <w:p>
            <w:pPr>
              <w:spacing w:line="288" w:lineRule="auto"/>
              <w:rPr>
                <w:rFonts w:ascii="宋体" w:hAnsi="宋体" w:cs="宋体"/>
                <w:kern w:val="0"/>
                <w:szCs w:val="21"/>
              </w:rPr>
            </w:pPr>
            <w:r>
              <w:rPr>
                <w:rFonts w:hint="eastAsia" w:ascii="宋体" w:hAnsi="宋体" w:cs="宋体"/>
                <w:kern w:val="0"/>
                <w:szCs w:val="21"/>
                <w:lang w:bidi="ar"/>
              </w:rPr>
              <w:t xml:space="preserve">   8.其他验收要求按第五章《合同主要条款格式》执行，未尽事宜按照《关于印发广西壮族自治区政府采购项目履约验收管理办法的通知》[桂财采〔2015〕22 号]以及《财政部关于进一步加强政府采购需求和履约验收管理的指导意见》[财库〔2016〕205 号]规定执行。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944" w:type="dxa"/>
            <w:gridSpan w:val="2"/>
            <w:tcBorders>
              <w:top w:val="single" w:color="auto" w:sz="4" w:space="0"/>
              <w:left w:val="single" w:color="auto" w:sz="4" w:space="0"/>
              <w:bottom w:val="single" w:color="auto" w:sz="4" w:space="0"/>
              <w:right w:val="single" w:color="auto" w:sz="4" w:space="0"/>
            </w:tcBorders>
            <w:vAlign w:val="center"/>
          </w:tcPr>
          <w:p>
            <w:pPr>
              <w:spacing w:line="288" w:lineRule="auto"/>
              <w:jc w:val="center"/>
              <w:rPr>
                <w:rFonts w:ascii="宋体" w:hAnsi="宋体" w:cs="宋体"/>
                <w:szCs w:val="21"/>
              </w:rPr>
            </w:pPr>
            <w:r>
              <w:rPr>
                <w:rFonts w:hint="eastAsia" w:ascii="宋体" w:hAnsi="宋体" w:cs="宋体"/>
                <w:szCs w:val="21"/>
              </w:rPr>
              <w:t>其他要求</w:t>
            </w:r>
          </w:p>
        </w:tc>
        <w:tc>
          <w:tcPr>
            <w:tcW w:w="7543"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1.投标人所提供的任何材料应当真实有效，如在评审过程中发现投标人在投标文件中提供任何虚假材料的，按投标无效处理，采购人有权汇报监督管理部门处理；中标后，采购人发现投标人在投标文件中提供任何虚假材料的，采购人有权汇报监督管理部门处理，造成损失的中标供应商须依照《中华人民共和国消费者权益保护法》赔偿采购人，民事赔偿并不免除违法中标供应商的法律责任。</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2.本项目货物不接受进口产品投标，根据《政府采购进口产品管理办法》（财库〔2007〕119号），进口产品是指通过中国海关报关验放进入中国境内且产自关境外的产品，如供应商有采用进口产品参与投标，则投标无效。</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3.本项目采购的投标产品如有属于政府采购强制节能产品的，应根据《市场监管总局关于发布参与实施政府采购节能产品、环境标志产品认证机构名录的公告》2019年第16号、财库〔2019〕9号以及财库〔2019〕19号文规定，投标人的投标产品，投标时须提供国家确定的认证机构出具的、处于有效期之内的有效的节能产品认证证书复印件并加盖投标人公章。</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4.采购货物纳入强制性产品认证（3C认证）的，投标人所投产品必须从其规定。</w:t>
            </w:r>
          </w:p>
          <w:p>
            <w:pPr>
              <w:widowControl/>
              <w:spacing w:line="400" w:lineRule="exact"/>
              <w:ind w:firstLine="421" w:firstLineChars="200"/>
              <w:jc w:val="left"/>
              <w:textAlignment w:val="center"/>
              <w:rPr>
                <w:rFonts w:ascii="宋体" w:hAnsi="宋体" w:cs="宋体"/>
                <w:b/>
                <w:bCs/>
                <w:kern w:val="0"/>
                <w:szCs w:val="21"/>
                <w:lang w:bidi="ar"/>
              </w:rPr>
            </w:pPr>
            <w:r>
              <w:rPr>
                <w:rFonts w:hint="eastAsia" w:ascii="宋体" w:hAnsi="宋体" w:cs="宋体"/>
                <w:b/>
                <w:bCs/>
                <w:kern w:val="0"/>
                <w:szCs w:val="21"/>
                <w:lang w:bidi="ar"/>
              </w:rPr>
              <w:t>5.投标人必须承诺不得转让或转包本项目，投标时须在商务技术投标文件单独提供承诺函原件，承诺函须有法定代表人（负责人）或其委托代理人签字，并加盖投标单位公章，承诺函格式自拟。</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6.为保证《采购需求》中的技术指标和性能达到招标文件要求及与合同、投标文件相符，采购人如认为有需要的，可委托相关检验部门对产品进行抽检，自检或检验部门抽检不合格的不给予验收，影响采购人使用货物的采购人将追究中标供应商的相关责任，并按相关规定上报监管部门，所有损失由中标供应商承担，抽检所产生的费用全部由中标供应商负责。</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7.本项目所涉及的软件、系统，供应商须承诺无版权纠纷，若产生任何纠纷，所产生的一切责任由供应商负责。</w:t>
            </w:r>
          </w:p>
          <w:p>
            <w:pPr>
              <w:widowControl/>
              <w:spacing w:line="400" w:lineRule="exact"/>
              <w:ind w:firstLine="420" w:firstLineChars="200"/>
              <w:jc w:val="left"/>
              <w:textAlignment w:val="center"/>
              <w:rPr>
                <w:rFonts w:ascii="宋体" w:hAnsi="宋体" w:cs="宋体"/>
                <w:kern w:val="0"/>
                <w:szCs w:val="21"/>
                <w:lang w:bidi="ar"/>
              </w:rPr>
            </w:pPr>
            <w:r>
              <w:rPr>
                <w:rFonts w:hint="eastAsia" w:ascii="宋体" w:hAnsi="宋体" w:cs="宋体"/>
                <w:kern w:val="0"/>
                <w:szCs w:val="21"/>
                <w:lang w:bidi="ar"/>
              </w:rPr>
              <w:t>8.</w:t>
            </w:r>
            <w:r>
              <w:rPr>
                <w:rFonts w:hint="eastAsia" w:ascii="宋体" w:hAnsi="宋体" w:cs="宋体"/>
                <w:kern w:val="0"/>
                <w:szCs w:val="21"/>
                <w:lang w:val="en" w:bidi="ar"/>
              </w:rPr>
              <w:t>根据项目采购需求提供</w:t>
            </w:r>
            <w:r>
              <w:rPr>
                <w:rFonts w:hint="eastAsia" w:ascii="宋体" w:hAnsi="宋体" w:cs="宋体"/>
                <w:kern w:val="0"/>
                <w:szCs w:val="21"/>
                <w:lang w:bidi="ar"/>
              </w:rPr>
              <w:t>组织实施方案</w:t>
            </w:r>
            <w:r>
              <w:rPr>
                <w:rFonts w:hint="eastAsia" w:ascii="宋体" w:hAnsi="宋体" w:cs="宋体"/>
                <w:kern w:val="0"/>
                <w:szCs w:val="21"/>
                <w:lang w:val="en" w:bidi="ar"/>
              </w:rPr>
              <w:t>。</w:t>
            </w:r>
          </w:p>
        </w:tc>
      </w:tr>
    </w:tbl>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hAnsi="宋体" w:eastAsia="仿宋_GB2312"/>
          <w:b/>
          <w:sz w:val="32"/>
          <w:szCs w:val="32"/>
        </w:rPr>
      </w:pPr>
      <w:r>
        <w:rPr>
          <w:rFonts w:hint="eastAsia" w:ascii="仿宋_GB2312" w:hAnsi="宋体" w:eastAsia="仿宋_GB2312"/>
          <w:b/>
          <w:sz w:val="32"/>
          <w:szCs w:val="32"/>
        </w:rPr>
        <w:t xml:space="preserve"> </w:t>
      </w:r>
    </w:p>
    <w:p>
      <w:pPr>
        <w:pStyle w:val="29"/>
        <w:adjustRightInd w:val="0"/>
        <w:snapToGrid w:val="0"/>
        <w:spacing w:line="400" w:lineRule="exact"/>
        <w:rPr>
          <w:rFonts w:ascii="仿宋_GB2312" w:eastAsia="仿宋_GB2312"/>
          <w:b/>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pStyle w:val="100"/>
        <w:rPr>
          <w:rFonts w:ascii="仿宋_GB2312" w:eastAsia="仿宋_GB2312"/>
          <w:b/>
          <w:szCs w:val="21"/>
        </w:rPr>
      </w:pPr>
    </w:p>
    <w:p>
      <w:pPr>
        <w:pStyle w:val="3"/>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rPr>
          <w:rFonts w:ascii="仿宋_GB2312" w:eastAsia="仿宋_GB2312"/>
          <w:b/>
          <w:szCs w:val="21"/>
        </w:rPr>
      </w:pPr>
    </w:p>
    <w:p>
      <w:pPr>
        <w:snapToGrid w:val="0"/>
        <w:jc w:val="center"/>
        <w:rPr>
          <w:rFonts w:ascii="宋体" w:hAnsi="宋体" w:cs="Courier New"/>
          <w:b/>
          <w:sz w:val="44"/>
          <w:szCs w:val="44"/>
        </w:rPr>
      </w:pPr>
      <w:r>
        <w:rPr>
          <w:rFonts w:hint="eastAsia" w:ascii="宋体" w:hAnsi="宋体" w:cs="Courier New"/>
          <w:b/>
          <w:sz w:val="44"/>
          <w:szCs w:val="44"/>
        </w:rPr>
        <w:t>第三章  投标人须知</w:t>
      </w:r>
    </w:p>
    <w:p>
      <w:pPr>
        <w:spacing w:line="360" w:lineRule="exact"/>
        <w:jc w:val="center"/>
        <w:rPr>
          <w:rFonts w:ascii="仿宋_GB2312" w:eastAsia="仿宋_GB2312"/>
          <w:b/>
          <w:szCs w:val="21"/>
        </w:rPr>
      </w:pPr>
      <w:r>
        <w:rPr>
          <w:rFonts w:ascii="仿宋_GB2312" w:eastAsia="仿宋_GB2312"/>
          <w:b/>
          <w:szCs w:val="21"/>
        </w:rPr>
        <w:br w:type="page"/>
      </w:r>
    </w:p>
    <w:p>
      <w:pPr>
        <w:spacing w:line="360" w:lineRule="exact"/>
        <w:jc w:val="center"/>
        <w:rPr>
          <w:rFonts w:ascii="仿宋_GB2312" w:eastAsia="仿宋_GB2312"/>
          <w:b/>
          <w:sz w:val="32"/>
          <w:szCs w:val="32"/>
        </w:rPr>
      </w:pPr>
      <w:r>
        <w:rPr>
          <w:rFonts w:hint="eastAsia" w:ascii="仿宋_GB2312" w:eastAsia="仿宋_GB2312"/>
          <w:b/>
          <w:sz w:val="32"/>
          <w:szCs w:val="32"/>
        </w:rPr>
        <w:t>投标</w:t>
      </w:r>
      <w:bookmarkStart w:id="4" w:name="_Toc254970667"/>
      <w:bookmarkStart w:id="5" w:name="_Toc254970526"/>
      <w:r>
        <w:rPr>
          <w:rFonts w:hint="eastAsia" w:ascii="仿宋_GB2312" w:eastAsia="仿宋_GB2312"/>
          <w:b/>
          <w:sz w:val="32"/>
          <w:szCs w:val="32"/>
        </w:rPr>
        <w:t>人须知及前附表</w:t>
      </w:r>
      <w:bookmarkEnd w:id="4"/>
      <w:bookmarkEnd w:id="5"/>
    </w:p>
    <w:p>
      <w:pPr>
        <w:spacing w:line="360" w:lineRule="exact"/>
        <w:jc w:val="center"/>
        <w:rPr>
          <w:rFonts w:ascii="仿宋_GB2312" w:eastAsia="仿宋_GB2312"/>
          <w:b/>
          <w:szCs w:val="21"/>
        </w:rPr>
      </w:pPr>
    </w:p>
    <w:tbl>
      <w:tblPr>
        <w:tblStyle w:val="5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88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序号</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bCs/>
                <w:szCs w:val="21"/>
              </w:rPr>
            </w:pPr>
            <w:r>
              <w:rPr>
                <w:rFonts w:hint="eastAsia" w:ascii="宋体"/>
                <w:bCs/>
                <w:szCs w:val="21"/>
              </w:rPr>
              <w:t>1</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szCs w:val="21"/>
                <w:lang w:val="en"/>
              </w:rPr>
            </w:pPr>
            <w:r>
              <w:rPr>
                <w:rFonts w:hint="eastAsia" w:ascii="宋体"/>
                <w:szCs w:val="21"/>
              </w:rPr>
              <w:t>项目名称：</w:t>
            </w:r>
            <w:r>
              <w:rPr>
                <w:rFonts w:ascii="宋体"/>
                <w:szCs w:val="21"/>
                <w:lang w:val="en"/>
              </w:rPr>
              <w:t>广西职业师范学院实验室配套设备购置项目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bCs/>
                <w:szCs w:val="21"/>
              </w:rPr>
            </w:pPr>
            <w:r>
              <w:rPr>
                <w:rFonts w:hint="eastAsia" w:ascii="宋体"/>
                <w:bCs/>
                <w:szCs w:val="21"/>
              </w:rPr>
              <w:t>2</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szCs w:val="21"/>
              </w:rPr>
            </w:pPr>
            <w:r>
              <w:rPr>
                <w:rFonts w:hint="eastAsia" w:ascii="宋体"/>
                <w:szCs w:val="21"/>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bCs/>
              </w:rPr>
            </w:pPr>
            <w:r>
              <w:rPr>
                <w:rFonts w:hint="eastAsia"/>
                <w:bCs/>
              </w:rPr>
              <w:t>3</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bCs/>
              </w:rPr>
            </w:pPr>
            <w:r>
              <w:rPr>
                <w:rFonts w:hint="eastAsia"/>
                <w:bCs/>
              </w:rPr>
              <w:t>详见公开招标公告</w:t>
            </w:r>
          </w:p>
          <w:p>
            <w:pPr>
              <w:snapToGrid w:val="0"/>
              <w:spacing w:line="300" w:lineRule="exact"/>
              <w:rPr>
                <w:bCs/>
              </w:rPr>
            </w:pPr>
            <w:r>
              <w:rPr>
                <w:rFonts w:hint="eastAsia"/>
                <w:bCs/>
              </w:rPr>
              <w:t>实际交纳的保证金须按要求交纳，否则视为未交纳保证金。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bCs/>
              </w:rPr>
            </w:pPr>
            <w:r>
              <w:rPr>
                <w:rFonts w:hint="eastAsia"/>
                <w:bCs/>
              </w:rPr>
              <w:t>4</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b/>
                <w:bCs/>
              </w:rPr>
            </w:pPr>
            <w:r>
              <w:rPr>
                <w:rFonts w:hint="eastAsia" w:ascii="宋体"/>
                <w:b/>
                <w:szCs w:val="21"/>
              </w:rPr>
              <w:t>现场勘查：详见采购需求(如有)。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5</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ascii="宋体"/>
                <w:szCs w:val="21"/>
              </w:rPr>
            </w:pPr>
            <w:r>
              <w:rPr>
                <w:rFonts w:hint="eastAsia" w:ascii="宋体"/>
                <w:szCs w:val="21"/>
              </w:rPr>
              <w:t>演示时间及地点：无</w:t>
            </w:r>
            <w: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6</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szCs w:val="21"/>
              </w:rPr>
            </w:pPr>
            <w:r>
              <w:rPr>
                <w:rFonts w:hint="eastAsia"/>
                <w:szCs w:val="21"/>
              </w:rPr>
              <w:t>（1）答疑、澄清：</w:t>
            </w:r>
            <w:r>
              <w:rPr>
                <w:rFonts w:hint="eastAsia"/>
                <w:b/>
                <w:szCs w:val="21"/>
                <w:u w:val="single"/>
              </w:rPr>
              <w:t>投标人如认为招标文件表述不清晰、</w:t>
            </w:r>
            <w:r>
              <w:rPr>
                <w:rFonts w:hint="eastAsia"/>
                <w:b/>
                <w:bCs/>
                <w:u w:val="single"/>
              </w:rPr>
              <w:t>有误或有不合理要求的</w:t>
            </w:r>
            <w:r>
              <w:rPr>
                <w:rFonts w:hint="eastAsia"/>
                <w:szCs w:val="21"/>
              </w:rPr>
              <w:t>，</w:t>
            </w:r>
            <w:r>
              <w:rPr>
                <w:szCs w:val="21"/>
              </w:rPr>
              <w:t>应当以书面形式要求采购人或者本中心作出书面答疑、澄清</w:t>
            </w:r>
            <w:r>
              <w:rPr>
                <w:rFonts w:hint="eastAsia"/>
                <w:szCs w:val="21"/>
              </w:rPr>
              <w:t>；</w:t>
            </w:r>
          </w:p>
          <w:p>
            <w:pPr>
              <w:snapToGrid w:val="0"/>
              <w:spacing w:line="300" w:lineRule="exact"/>
              <w:rPr>
                <w:rFonts w:hAnsi="宋体"/>
                <w:szCs w:val="21"/>
              </w:rPr>
            </w:pPr>
            <w:r>
              <w:rPr>
                <w:rFonts w:hint="eastAsia" w:hAnsi="宋体"/>
                <w:szCs w:val="21"/>
              </w:rPr>
              <w:t>（2）询问、质疑：</w:t>
            </w:r>
            <w:r>
              <w:rPr>
                <w:rFonts w:hint="eastAsia" w:hAnsi="宋体"/>
                <w:b/>
                <w:szCs w:val="21"/>
                <w:u w:val="single"/>
              </w:rPr>
              <w:t>如投标人认为招标文件存在歧视性、排他性或者其他违法内容的</w:t>
            </w:r>
            <w:r>
              <w:rPr>
                <w:rFonts w:hint="eastAsia" w:hAnsi="宋体"/>
                <w:szCs w:val="21"/>
              </w:rPr>
              <w:t>，按投标人须知“一、总则（九）询问、质疑和投诉”中的要求向</w:t>
            </w:r>
            <w:r>
              <w:rPr>
                <w:rFonts w:ascii="宋体" w:hAnsi="宋体"/>
                <w:szCs w:val="21"/>
              </w:rPr>
              <w:t>采购人或者采购代理机构</w:t>
            </w:r>
            <w:r>
              <w:rPr>
                <w:rFonts w:hint="eastAsia" w:hAnsi="宋体"/>
                <w:szCs w:val="21"/>
              </w:rPr>
              <w:t>提出书面询问、质疑，并提供必要的证明材料。</w:t>
            </w:r>
          </w:p>
          <w:p>
            <w:pPr>
              <w:snapToGrid w:val="0"/>
              <w:spacing w:line="300" w:lineRule="exact"/>
              <w:ind w:firstLine="420" w:firstLineChars="200"/>
              <w:rPr>
                <w:rFonts w:ascii="宋体"/>
                <w:szCs w:val="21"/>
              </w:rPr>
            </w:pPr>
            <w:r>
              <w:rPr>
                <w:rFonts w:hint="eastAsia" w:hAnsi="宋体"/>
                <w:szCs w:val="21"/>
              </w:rPr>
              <w:t>答疑、澄清内容是招标文件的组成部份，本中心将以书面形式送达所有已报名的投标人。</w:t>
            </w:r>
            <w:r>
              <w:rPr>
                <w:rFonts w:hint="eastAsia" w:hAnsi="宋体"/>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7</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hAnsi="宋体"/>
                <w:szCs w:val="21"/>
              </w:rPr>
              <w:t>投标文件形式：</w:t>
            </w:r>
            <w:r>
              <w:rPr>
                <w:rFonts w:hint="eastAsia" w:ascii="宋体"/>
                <w:snapToGrid w:val="0"/>
                <w:sz w:val="22"/>
              </w:rPr>
              <w:t>投标供应商应准备电子投标文件。</w:t>
            </w:r>
          </w:p>
          <w:p>
            <w:pPr>
              <w:autoSpaceDE w:val="0"/>
              <w:autoSpaceDN w:val="0"/>
              <w:snapToGrid w:val="0"/>
              <w:spacing w:line="300" w:lineRule="exact"/>
              <w:textAlignment w:val="bottom"/>
              <w:rPr>
                <w:rFonts w:ascii="宋体"/>
                <w:szCs w:val="21"/>
              </w:rPr>
            </w:pPr>
            <w:r>
              <w:rPr>
                <w:rFonts w:hint="eastAsia" w:ascii="宋体"/>
                <w:snapToGrid w:val="0"/>
                <w:sz w:val="22"/>
              </w:rPr>
              <w:t>电子投标文件是指通过“</w:t>
            </w:r>
            <w:r>
              <w:rPr>
                <w:rFonts w:ascii="宋体"/>
                <w:snapToGrid w:val="0"/>
                <w:sz w:val="22"/>
                <w:lang w:val="en"/>
              </w:rPr>
              <w:t>广西政府采购云</w:t>
            </w:r>
            <w:r>
              <w:t>电子投标</w:t>
            </w:r>
            <w:r>
              <w:rPr>
                <w:rFonts w:hint="eastAsia" w:ascii="宋体"/>
                <w:snapToGrid w:val="0"/>
                <w:sz w:val="22"/>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8</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hAnsi="宋体"/>
                <w:szCs w:val="21"/>
              </w:rPr>
            </w:pPr>
            <w:r>
              <w:rPr>
                <w:rFonts w:hint="eastAsia" w:ascii="宋体"/>
                <w:snapToGrid w:val="0"/>
                <w:sz w:val="22"/>
              </w:rPr>
              <w:t>投标文件的编制：供应商应先安装“</w:t>
            </w:r>
            <w:r>
              <w:rPr>
                <w:rFonts w:ascii="宋体"/>
                <w:snapToGrid w:val="0"/>
                <w:sz w:val="22"/>
                <w:lang w:val="en"/>
              </w:rPr>
              <w:t>广西政府采购云</w:t>
            </w:r>
            <w:r>
              <w:t>电子投标</w:t>
            </w:r>
            <w:r>
              <w:rPr>
                <w:rFonts w:hint="eastAsia" w:ascii="宋体"/>
                <w:snapToGrid w:val="0"/>
                <w:sz w:val="22"/>
              </w:rPr>
              <w:t>客户端”，并按照本招标文件和“</w:t>
            </w:r>
            <w:r>
              <w:rPr>
                <w:rFonts w:ascii="宋体"/>
                <w:snapToGrid w:val="0"/>
                <w:sz w:val="22"/>
                <w:lang w:val="en"/>
              </w:rPr>
              <w:t>广西政府采购云平台</w:t>
            </w:r>
            <w:r>
              <w:rPr>
                <w:rFonts w:hint="eastAsia" w:ascii="宋体"/>
                <w:snapToGrid w:val="0"/>
                <w:sz w:val="22"/>
              </w:rPr>
              <w:t>”的要求，通过“</w:t>
            </w:r>
            <w:r>
              <w:rPr>
                <w:rFonts w:ascii="宋体"/>
                <w:snapToGrid w:val="0"/>
                <w:sz w:val="22"/>
                <w:lang w:val="en"/>
              </w:rPr>
              <w:t>广西政府采购云</w:t>
            </w:r>
            <w:r>
              <w:t>电子投标</w:t>
            </w:r>
            <w:r>
              <w:rPr>
                <w:rFonts w:hint="eastAsia" w:ascii="宋体"/>
                <w:snapToGrid w:val="0"/>
                <w:sz w:val="22"/>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9</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snapToGrid w:val="0"/>
                <w:sz w:val="22"/>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10</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snapToGrid w:val="0"/>
                <w:sz w:val="22"/>
              </w:rPr>
              <w:t>法定代表人或其授权代表签字或签章：本招标文件所涉及的法定代表人或其授权代表签字或签章的内容，如果投标单位没有法定代表人电子签章，涉及到法定代表人或其授权代表签字或签章的内容，投标单位可以线下签字或签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11</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snapToGrid w:val="0"/>
                <w:sz w:val="22"/>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12</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snapToGrid w:val="0"/>
                <w:sz w:val="22"/>
              </w:rPr>
              <w:t>投标文件的上传和提交：本项目通过“</w:t>
            </w:r>
            <w:r>
              <w:rPr>
                <w:rFonts w:ascii="宋体"/>
                <w:snapToGrid w:val="0"/>
                <w:sz w:val="22"/>
                <w:lang w:val="en"/>
              </w:rPr>
              <w:t>广西政府采购云平台（http://www.gcy.zfcg.gxzf.gov.cn）</w:t>
            </w:r>
            <w:r>
              <w:rPr>
                <w:rFonts w:ascii="宋体"/>
                <w:snapToGrid w:val="0"/>
                <w:sz w:val="22"/>
              </w:rPr>
              <w:t>”实行在线投标响应（电子投标），投标供应商应当在投标截止时间前，将生成的“电子加密投标文件”上传提交至“</w:t>
            </w:r>
            <w:r>
              <w:rPr>
                <w:rFonts w:hint="eastAsia" w:ascii="宋体"/>
                <w:snapToGrid w:val="0"/>
                <w:sz w:val="22"/>
              </w:rPr>
              <w:t>广西政府采购云平台</w:t>
            </w:r>
            <w:r>
              <w:rPr>
                <w:rFonts w:ascii="宋体"/>
                <w:snapToGrid w:val="0"/>
                <w:sz w:val="22"/>
              </w:rPr>
              <w:t>”。</w:t>
            </w:r>
          </w:p>
          <w:p>
            <w:pPr>
              <w:spacing w:line="300" w:lineRule="exact"/>
              <w:rPr>
                <w:rFonts w:ascii="宋体"/>
                <w:snapToGrid w:val="0"/>
                <w:sz w:val="22"/>
              </w:rPr>
            </w:pPr>
            <w:r>
              <w:rPr>
                <w:rFonts w:hint="eastAsia" w:ascii="宋体"/>
                <w:snapToGrid w:val="0"/>
                <w:sz w:val="22"/>
              </w:rPr>
              <w:t>“电子加密投标文件”的上传、提交：</w:t>
            </w:r>
          </w:p>
          <w:p>
            <w:pPr>
              <w:spacing w:line="300" w:lineRule="exact"/>
              <w:rPr>
                <w:rFonts w:ascii="宋体"/>
                <w:snapToGrid w:val="0"/>
                <w:sz w:val="22"/>
              </w:rPr>
            </w:pPr>
            <w:r>
              <w:rPr>
                <w:rFonts w:hint="eastAsia" w:ascii="宋体"/>
                <w:snapToGrid w:val="0"/>
                <w:sz w:val="22"/>
              </w:rPr>
              <w:t>a.投标供应商应在投标截止时间前将“电子加密投标文件”成功上传提交至“广西政府采购云平台”，否则投标无效。</w:t>
            </w:r>
          </w:p>
          <w:p>
            <w:pPr>
              <w:spacing w:line="300" w:lineRule="exact"/>
              <w:rPr>
                <w:rFonts w:ascii="宋体"/>
                <w:snapToGrid w:val="0"/>
                <w:sz w:val="22"/>
              </w:rPr>
            </w:pPr>
            <w:r>
              <w:rPr>
                <w:rFonts w:hint="eastAsia" w:ascii="宋体"/>
                <w:snapToGrid w:val="0"/>
                <w:sz w:val="22"/>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13</w:t>
            </w:r>
          </w:p>
        </w:tc>
        <w:tc>
          <w:tcPr>
            <w:tcW w:w="8820"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snapToGrid w:val="0"/>
                <w:sz w:val="22"/>
              </w:rPr>
            </w:pPr>
            <w:r>
              <w:rPr>
                <w:rFonts w:hint="eastAsia" w:ascii="宋体"/>
                <w:snapToGrid w:val="0"/>
                <w:sz w:val="22"/>
              </w:rPr>
              <w:t>电子加密投标文件的解密：</w:t>
            </w:r>
          </w:p>
          <w:p>
            <w:pPr>
              <w:spacing w:line="300" w:lineRule="exact"/>
              <w:rPr>
                <w:rFonts w:ascii="宋体"/>
                <w:snapToGrid w:val="0"/>
                <w:sz w:val="22"/>
              </w:rPr>
            </w:pPr>
            <w:r>
              <w:rPr>
                <w:rFonts w:hint="eastAsia" w:ascii="宋体"/>
                <w:snapToGrid w:val="0"/>
                <w:sz w:val="22"/>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14</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投标截止时间及地点：</w:t>
            </w:r>
            <w:r>
              <w:rPr>
                <w:rFonts w:hint="eastAsia"/>
              </w:rPr>
              <w:t xml:space="preserve"> </w:t>
            </w:r>
            <w:r>
              <w:rPr>
                <w:b/>
                <w:bCs/>
                <w:lang w:val="en"/>
              </w:rPr>
              <w:t>202</w:t>
            </w:r>
            <w:r>
              <w:rPr>
                <w:rFonts w:hint="eastAsia"/>
                <w:b/>
                <w:bCs/>
              </w:rPr>
              <w:t>6</w:t>
            </w:r>
            <w:r>
              <w:rPr>
                <w:b/>
                <w:bCs/>
                <w:lang w:val="en"/>
              </w:rPr>
              <w:t>年</w:t>
            </w:r>
            <w:r>
              <w:rPr>
                <w:rFonts w:hint="eastAsia"/>
                <w:b/>
                <w:bCs/>
                <w:lang w:val="en-US" w:eastAsia="zh-CN"/>
              </w:rPr>
              <w:t>11</w:t>
            </w:r>
            <w:r>
              <w:rPr>
                <w:b/>
                <w:bCs/>
                <w:lang w:val="en"/>
              </w:rPr>
              <w:t>月</w:t>
            </w:r>
            <w:r>
              <w:rPr>
                <w:rFonts w:hint="eastAsia"/>
                <w:b/>
                <w:bCs/>
                <w:lang w:val="en-US" w:eastAsia="zh-CN"/>
              </w:rPr>
              <w:t>25</w:t>
            </w:r>
            <w:r>
              <w:rPr>
                <w:b/>
                <w:bCs/>
                <w:lang w:val="en"/>
              </w:rPr>
              <w:t>日</w:t>
            </w:r>
            <w:r>
              <w:rPr>
                <w:rFonts w:hint="eastAsia"/>
                <w:b/>
              </w:rPr>
              <w:t>上午10时整，</w:t>
            </w:r>
            <w:r>
              <w:rPr>
                <w:rFonts w:ascii="宋体" w:hAnsi="宋体" w:cs="Arial"/>
                <w:b/>
                <w:szCs w:val="21"/>
                <w:u w:val="single"/>
                <w:lang w:val="en"/>
              </w:rPr>
              <w:t>南宁市星湖路22号</w:t>
            </w:r>
            <w:r>
              <w:rPr>
                <w:rFonts w:hint="eastAsia" w:ascii="宋体" w:hAnsi="宋体" w:cs="Arial"/>
                <w:b/>
                <w:szCs w:val="21"/>
                <w:u w:val="single"/>
              </w:rPr>
              <w:t>广西壮族自治区政府采购中心开标大厅</w:t>
            </w:r>
            <w:r>
              <w:rPr>
                <w:rFonts w:hint="eastAsia"/>
                <w:b/>
                <w:u w:val="single"/>
              </w:rPr>
              <w:t>。</w:t>
            </w:r>
            <w:r>
              <w:rPr>
                <w:rFonts w:hint="eastAsia"/>
                <w:b/>
              </w:rPr>
              <w:t>（</w:t>
            </w:r>
            <w:r>
              <w:rPr>
                <w:rFonts w:hint="eastAsia" w:ascii="宋体"/>
                <w:sz w:val="22"/>
              </w:rPr>
              <w:t>本项目采用在线开评标方式，投标供应商无须前往开标现场</w:t>
            </w:r>
            <w:r>
              <w:rPr>
                <w:rFonts w:hint="eastAsia"/>
                <w:b/>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15</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00" w:lineRule="exact"/>
              <w:rPr>
                <w:rFonts w:ascii="宋体" w:hAnsi="宋体"/>
                <w:szCs w:val="21"/>
              </w:rPr>
            </w:pPr>
            <w:r>
              <w:rPr>
                <w:rFonts w:hint="eastAsia" w:ascii="宋体" w:hAnsi="宋体"/>
                <w:szCs w:val="21"/>
              </w:rPr>
              <w:t>开标时间及地点：</w:t>
            </w:r>
            <w:r>
              <w:rPr>
                <w:rFonts w:hint="eastAsia"/>
                <w:b/>
                <w:bCs/>
              </w:rPr>
              <w:t xml:space="preserve"> </w:t>
            </w:r>
            <w:r>
              <w:rPr>
                <w:b/>
                <w:bCs/>
                <w:lang w:val="en"/>
              </w:rPr>
              <w:t>202</w:t>
            </w:r>
            <w:r>
              <w:rPr>
                <w:rFonts w:hint="eastAsia"/>
                <w:b/>
                <w:bCs/>
              </w:rPr>
              <w:t>6</w:t>
            </w:r>
            <w:r>
              <w:rPr>
                <w:b/>
                <w:bCs/>
                <w:lang w:val="en"/>
              </w:rPr>
              <w:t>年</w:t>
            </w:r>
            <w:r>
              <w:rPr>
                <w:rFonts w:hint="eastAsia"/>
                <w:b/>
                <w:bCs/>
                <w:lang w:val="en-US" w:eastAsia="zh-CN"/>
              </w:rPr>
              <w:t>11</w:t>
            </w:r>
            <w:r>
              <w:rPr>
                <w:rFonts w:hint="eastAsia"/>
                <w:b/>
                <w:bCs/>
              </w:rPr>
              <w:t>月</w:t>
            </w:r>
            <w:r>
              <w:rPr>
                <w:rFonts w:hint="eastAsia"/>
                <w:b/>
                <w:bCs/>
                <w:lang w:val="en-US" w:eastAsia="zh-CN"/>
              </w:rPr>
              <w:t>25</w:t>
            </w:r>
            <w:r>
              <w:rPr>
                <w:b/>
                <w:bCs/>
                <w:lang w:val="en"/>
              </w:rPr>
              <w:t>日</w:t>
            </w:r>
            <w:r>
              <w:rPr>
                <w:rFonts w:hint="eastAsia"/>
                <w:b/>
              </w:rPr>
              <w:t>上午10时整，</w:t>
            </w:r>
            <w:r>
              <w:rPr>
                <w:rFonts w:ascii="宋体" w:hAnsi="宋体" w:cs="Arial"/>
                <w:b/>
                <w:szCs w:val="21"/>
                <w:u w:val="single"/>
                <w:lang w:val="en"/>
              </w:rPr>
              <w:t>南宁市星湖路22号</w:t>
            </w:r>
            <w:r>
              <w:rPr>
                <w:rFonts w:hint="eastAsia" w:ascii="宋体" w:hAnsi="宋体" w:cs="Arial"/>
                <w:b/>
                <w:szCs w:val="21"/>
                <w:u w:val="single"/>
              </w:rPr>
              <w:t>广西壮族自治区政府采购中心开标大厅</w:t>
            </w:r>
            <w:r>
              <w:rPr>
                <w:rFonts w:hint="eastAsia"/>
                <w:b/>
                <w:u w:val="single"/>
              </w:rPr>
              <w:t>。</w:t>
            </w:r>
            <w:r>
              <w:rPr>
                <w:rFonts w:hint="eastAsia"/>
                <w:b/>
              </w:rPr>
              <w:t>（</w:t>
            </w:r>
            <w:r>
              <w:rPr>
                <w:rFonts w:hint="eastAsia" w:ascii="宋体"/>
                <w:sz w:val="22"/>
              </w:rPr>
              <w:t>本项目采用在线开评标方式，投标供应商无须前往开标现场</w:t>
            </w:r>
            <w:r>
              <w:rPr>
                <w:rFonts w:hint="eastAsia"/>
                <w:b/>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16</w:t>
            </w:r>
          </w:p>
        </w:tc>
        <w:tc>
          <w:tcPr>
            <w:tcW w:w="8820"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60" w:lineRule="exact"/>
              <w:textAlignment w:val="bottom"/>
              <w:rPr>
                <w:rFonts w:ascii="宋体" w:hAnsi="宋体"/>
                <w:szCs w:val="21"/>
              </w:rPr>
            </w:pPr>
            <w:r>
              <w:rPr>
                <w:rFonts w:ascii="宋体" w:hAnsi="宋体"/>
                <w:szCs w:val="21"/>
                <w:lang w:val="en"/>
              </w:rPr>
              <w:t>评标</w:t>
            </w:r>
            <w:r>
              <w:rPr>
                <w:rFonts w:hint="eastAsia" w:ascii="宋体" w:hAnsi="宋体"/>
                <w:szCs w:val="21"/>
                <w:lang w:val="en"/>
              </w:rPr>
              <w:t>方</w:t>
            </w:r>
            <w:r>
              <w:rPr>
                <w:rFonts w:ascii="宋体" w:hAnsi="宋体"/>
                <w:szCs w:val="21"/>
                <w:lang w:val="en"/>
              </w:rPr>
              <w:t>法</w:t>
            </w:r>
            <w:r>
              <w:rPr>
                <w:rFonts w:hint="eastAsia" w:ascii="宋体" w:hAnsi="宋体"/>
                <w:szCs w:val="21"/>
              </w:rPr>
              <w:t>：综合评分法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17</w:t>
            </w:r>
          </w:p>
        </w:tc>
        <w:tc>
          <w:tcPr>
            <w:tcW w:w="8820"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00" w:lineRule="exact"/>
              <w:textAlignment w:val="bottom"/>
              <w:rPr>
                <w:rFonts w:ascii="宋体" w:hAnsi="宋体"/>
                <w:szCs w:val="21"/>
              </w:rPr>
            </w:pPr>
            <w:r>
              <w:rPr>
                <w:rFonts w:hint="eastAsia" w:ascii="宋体" w:hAnsi="宋体"/>
                <w:szCs w:val="21"/>
              </w:rPr>
              <w:t>中标公告及中标通知书：本中心在采购人依法确认中标人后二个工作日内发布中标公告和中标通知书，中标公告发布于上述媒体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18</w:t>
            </w:r>
          </w:p>
        </w:tc>
        <w:tc>
          <w:tcPr>
            <w:tcW w:w="8820" w:type="dxa"/>
            <w:tcBorders>
              <w:top w:val="single" w:color="auto" w:sz="4" w:space="0"/>
              <w:left w:val="single" w:color="auto" w:sz="4" w:space="0"/>
              <w:bottom w:val="single" w:color="auto" w:sz="4" w:space="0"/>
              <w:right w:val="single" w:color="auto" w:sz="4" w:space="0"/>
            </w:tcBorders>
            <w:vAlign w:val="center"/>
          </w:tcPr>
          <w:p>
            <w:pPr>
              <w:autoSpaceDE w:val="0"/>
              <w:autoSpaceDN w:val="0"/>
              <w:snapToGrid w:val="0"/>
              <w:spacing w:line="320" w:lineRule="exact"/>
              <w:textAlignment w:val="bottom"/>
              <w:rPr>
                <w:rFonts w:ascii="宋体" w:hAnsi="宋体"/>
                <w:szCs w:val="21"/>
              </w:rPr>
            </w:pPr>
            <w:r>
              <w:rPr>
                <w:rFonts w:hint="eastAsia" w:ascii="宋体" w:hAnsi="宋体"/>
                <w:szCs w:val="21"/>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19</w:t>
            </w:r>
          </w:p>
        </w:tc>
        <w:tc>
          <w:tcPr>
            <w:tcW w:w="882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rPr>
                <w:rFonts w:ascii="宋体" w:hAnsi="宋体" w:cs="宋体"/>
                <w:kern w:val="0"/>
                <w:szCs w:val="21"/>
              </w:rPr>
            </w:pPr>
            <w:r>
              <w:rPr>
                <w:rFonts w:hint="eastAsia" w:ascii="宋体" w:hAnsi="宋体"/>
                <w:szCs w:val="21"/>
              </w:rPr>
              <w:t>付款方式：</w:t>
            </w:r>
            <w:r>
              <w:rPr>
                <w:rFonts w:hint="eastAsia" w:ascii="宋体" w:hAnsi="宋体" w:cs="宋体"/>
                <w:kern w:val="0"/>
                <w:szCs w:val="21"/>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rPr>
            </w:pPr>
            <w:r>
              <w:rPr>
                <w:rFonts w:hint="eastAsia" w:ascii="宋体" w:hAnsi="宋体"/>
                <w:szCs w:val="21"/>
              </w:rPr>
              <w:t>20</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lang w:val="en"/>
              </w:rPr>
            </w:pPr>
            <w:r>
              <w:rPr>
                <w:rFonts w:ascii="宋体" w:hAnsi="宋体"/>
                <w:szCs w:val="21"/>
                <w:lang w:val="en"/>
              </w:rPr>
              <w:t>21</w:t>
            </w:r>
          </w:p>
        </w:tc>
        <w:tc>
          <w:tcPr>
            <w:tcW w:w="8820" w:type="dxa"/>
            <w:tcBorders>
              <w:top w:val="single" w:color="auto" w:sz="4" w:space="0"/>
              <w:left w:val="single" w:color="auto" w:sz="4" w:space="0"/>
              <w:bottom w:val="single" w:color="auto" w:sz="4" w:space="0"/>
              <w:right w:val="single" w:color="auto" w:sz="4" w:space="0"/>
            </w:tcBorders>
            <w:vAlign w:val="center"/>
          </w:tcPr>
          <w:p>
            <w:pPr>
              <w:rPr>
                <w:rFonts w:ascii="宋体" w:hAnsi="宋体"/>
                <w:b/>
                <w:bCs/>
                <w:snapToGrid w:val="0"/>
                <w:szCs w:val="21"/>
              </w:rPr>
            </w:pPr>
            <w:r>
              <w:rPr>
                <w:rFonts w:hint="eastAsia" w:ascii="宋体" w:hAnsi="宋体"/>
                <w:b/>
                <w:bCs/>
                <w:snapToGrid w:val="0"/>
                <w:szCs w:val="21"/>
              </w:rPr>
              <w:t>对招标文件、采购过程或者中标结果的质疑由采购人接收或采购代理机构代为接收，由采购人负责答复。</w:t>
            </w:r>
          </w:p>
          <w:p>
            <w:pPr>
              <w:rPr>
                <w:rFonts w:ascii="宋体" w:hAnsi="宋体"/>
                <w:b/>
                <w:bCs/>
                <w:snapToGrid w:val="0"/>
                <w:szCs w:val="21"/>
              </w:rPr>
            </w:pPr>
            <w:r>
              <w:rPr>
                <w:rFonts w:hint="eastAsia" w:ascii="宋体" w:hAnsi="宋体"/>
                <w:b/>
                <w:bCs/>
                <w:snapToGrid w:val="0"/>
                <w:szCs w:val="21"/>
              </w:rPr>
              <w:t>接收质疑函方式：以书面形式。</w:t>
            </w:r>
          </w:p>
          <w:p>
            <w:pPr>
              <w:rPr>
                <w:rFonts w:ascii="宋体" w:hAnsi="宋体"/>
                <w:b/>
                <w:bCs/>
                <w:snapToGrid w:val="0"/>
                <w:szCs w:val="21"/>
              </w:rPr>
            </w:pPr>
            <w:r>
              <w:rPr>
                <w:rFonts w:hint="eastAsia" w:ascii="宋体" w:hAnsi="宋体"/>
                <w:b/>
                <w:bCs/>
                <w:snapToGrid w:val="0"/>
                <w:szCs w:val="21"/>
              </w:rPr>
              <w:t>质疑联系部门及联系方式：</w:t>
            </w:r>
          </w:p>
          <w:p>
            <w:pPr>
              <w:rPr>
                <w:rFonts w:ascii="宋体" w:hAnsi="宋体"/>
                <w:b/>
                <w:bCs/>
                <w:snapToGrid w:val="0"/>
                <w:szCs w:val="21"/>
              </w:rPr>
            </w:pPr>
            <w:r>
              <w:rPr>
                <w:rFonts w:hint="eastAsia" w:ascii="宋体" w:hAnsi="宋体"/>
                <w:b/>
                <w:bCs/>
                <w:snapToGrid w:val="0"/>
                <w:szCs w:val="21"/>
              </w:rPr>
              <w:t xml:space="preserve">（1）广西壮族自治区政府采购中心内审科     </w:t>
            </w:r>
          </w:p>
          <w:p>
            <w:pPr>
              <w:rPr>
                <w:rFonts w:ascii="宋体" w:hAnsi="宋体"/>
                <w:b/>
                <w:bCs/>
                <w:snapToGrid w:val="0"/>
                <w:szCs w:val="21"/>
              </w:rPr>
            </w:pPr>
            <w:r>
              <w:rPr>
                <w:rFonts w:hint="eastAsia" w:ascii="宋体" w:hAnsi="宋体"/>
                <w:b/>
                <w:bCs/>
                <w:snapToGrid w:val="0"/>
                <w:szCs w:val="21"/>
              </w:rPr>
              <w:t>电话：0771-8600453</w:t>
            </w:r>
          </w:p>
          <w:p>
            <w:pPr>
              <w:rPr>
                <w:rFonts w:ascii="宋体" w:hAnsi="宋体"/>
                <w:b/>
                <w:bCs/>
                <w:snapToGrid w:val="0"/>
                <w:szCs w:val="21"/>
              </w:rPr>
            </w:pPr>
            <w:r>
              <w:rPr>
                <w:rFonts w:hint="eastAsia" w:ascii="宋体" w:hAnsi="宋体"/>
                <w:b/>
                <w:bCs/>
                <w:snapToGrid w:val="0"/>
                <w:szCs w:val="21"/>
              </w:rPr>
              <w:t>地址：广西南宁市星湖路22号</w:t>
            </w:r>
          </w:p>
          <w:p>
            <w:pPr>
              <w:rPr>
                <w:rFonts w:ascii="宋体" w:hAnsi="宋体"/>
                <w:b/>
                <w:bCs/>
                <w:snapToGrid w:val="0"/>
                <w:szCs w:val="21"/>
                <w:lang w:val="en"/>
              </w:rPr>
            </w:pPr>
            <w:r>
              <w:rPr>
                <w:rFonts w:hint="eastAsia" w:ascii="宋体" w:hAnsi="宋体"/>
                <w:b/>
                <w:bCs/>
                <w:snapToGrid w:val="0"/>
                <w:szCs w:val="21"/>
              </w:rPr>
              <w:t>（2）</w:t>
            </w:r>
            <w:r>
              <w:rPr>
                <w:rFonts w:ascii="宋体" w:hAnsi="宋体"/>
                <w:b/>
                <w:bCs/>
                <w:snapToGrid w:val="0"/>
                <w:szCs w:val="21"/>
                <w:lang w:val="en"/>
              </w:rPr>
              <w:t>广西职业师范学院</w:t>
            </w:r>
          </w:p>
          <w:p>
            <w:pPr>
              <w:rPr>
                <w:rFonts w:ascii="宋体" w:hAnsi="宋体"/>
                <w:b/>
                <w:bCs/>
                <w:snapToGrid w:val="0"/>
                <w:szCs w:val="21"/>
              </w:rPr>
            </w:pPr>
            <w:r>
              <w:rPr>
                <w:rFonts w:hint="eastAsia" w:ascii="宋体" w:hAnsi="宋体"/>
                <w:b/>
                <w:bCs/>
                <w:snapToGrid w:val="0"/>
                <w:szCs w:val="21"/>
              </w:rPr>
              <w:t>电话：0771-</w:t>
            </w:r>
            <w:r>
              <w:rPr>
                <w:rFonts w:ascii="宋体" w:hAnsi="宋体"/>
                <w:b/>
                <w:bCs/>
                <w:snapToGrid w:val="0"/>
                <w:szCs w:val="21"/>
              </w:rPr>
              <w:t>3245617</w:t>
            </w:r>
          </w:p>
          <w:p>
            <w:pPr>
              <w:rPr>
                <w:rFonts w:ascii="宋体" w:hAnsi="宋体"/>
                <w:b/>
                <w:bCs/>
                <w:snapToGrid w:val="0"/>
                <w:szCs w:val="21"/>
              </w:rPr>
            </w:pPr>
            <w:r>
              <w:rPr>
                <w:rFonts w:hint="eastAsia" w:ascii="宋体" w:hAnsi="宋体"/>
                <w:b/>
                <w:bCs/>
                <w:snapToGrid w:val="0"/>
                <w:szCs w:val="21"/>
              </w:rPr>
              <w:t>地址：广西南宁市大学东路1</w:t>
            </w:r>
            <w:r>
              <w:rPr>
                <w:rFonts w:ascii="宋体" w:hAnsi="宋体"/>
                <w:b/>
                <w:bCs/>
                <w:snapToGrid w:val="0"/>
                <w:szCs w:val="21"/>
              </w:rPr>
              <w:t>05</w:t>
            </w:r>
            <w:r>
              <w:rPr>
                <w:rFonts w:hint="eastAsia" w:ascii="宋体" w:hAnsi="宋体"/>
                <w:b/>
                <w:bCs/>
                <w:snapToGrid w:val="0"/>
                <w:szCs w:val="21"/>
              </w:rPr>
              <w:t>号</w:t>
            </w:r>
          </w:p>
          <w:p>
            <w:pPr>
              <w:rPr>
                <w:rFonts w:ascii="宋体" w:hAnsi="宋体"/>
                <w:szCs w:val="21"/>
              </w:rPr>
            </w:pPr>
            <w:r>
              <w:rPr>
                <w:rFonts w:hint="eastAsia" w:ascii="宋体" w:hAnsi="宋体"/>
                <w:b/>
                <w:bCs/>
                <w:snapToGrid w:val="0"/>
                <w:szCs w:val="21"/>
              </w:rPr>
              <w:t>现场提交质疑办理业务时间：质疑期内每个工作日采购人或采购代理机构正常工作时间，其中采购代理机构为9：00到12：00，14：00到17：00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64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szCs w:val="21"/>
                <w:lang w:val="en"/>
              </w:rPr>
            </w:pPr>
            <w:r>
              <w:rPr>
                <w:rFonts w:hint="eastAsia" w:ascii="宋体" w:hAnsi="宋体"/>
                <w:szCs w:val="21"/>
              </w:rPr>
              <w:t>2</w:t>
            </w:r>
            <w:r>
              <w:rPr>
                <w:rFonts w:ascii="宋体" w:hAnsi="宋体"/>
                <w:szCs w:val="21"/>
                <w:lang w:val="en"/>
              </w:rPr>
              <w:t>2</w:t>
            </w:r>
          </w:p>
        </w:tc>
        <w:tc>
          <w:tcPr>
            <w:tcW w:w="882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hAnsi="宋体"/>
              </w:rPr>
              <w:t>本招标文件解释权属广西壮族自治区政府采购中心。</w:t>
            </w:r>
          </w:p>
        </w:tc>
      </w:tr>
    </w:tbl>
    <w:p>
      <w:pPr>
        <w:pStyle w:val="29"/>
        <w:snapToGrid w:val="0"/>
        <w:spacing w:before="120" w:after="120" w:line="360" w:lineRule="exact"/>
        <w:jc w:val="center"/>
        <w:rPr>
          <w:rFonts w:ascii="仿宋_GB2312" w:eastAsia="仿宋_GB2312"/>
          <w:b/>
          <w:sz w:val="32"/>
          <w:szCs w:val="32"/>
        </w:rPr>
      </w:pPr>
    </w:p>
    <w:p>
      <w:pPr>
        <w:pStyle w:val="29"/>
        <w:snapToGrid w:val="0"/>
        <w:spacing w:before="120" w:after="120" w:line="360" w:lineRule="exact"/>
        <w:jc w:val="center"/>
        <w:rPr>
          <w:b/>
        </w:rPr>
      </w:pPr>
      <w:r>
        <w:rPr>
          <w:rFonts w:ascii="仿宋_GB2312" w:eastAsia="仿宋_GB2312"/>
          <w:b/>
          <w:sz w:val="32"/>
          <w:szCs w:val="32"/>
        </w:rPr>
        <w:br w:type="page"/>
      </w:r>
      <w:r>
        <w:rPr>
          <w:rFonts w:hint="eastAsia" w:ascii="仿宋_GB2312" w:eastAsia="仿宋_GB2312"/>
          <w:b/>
          <w:sz w:val="32"/>
          <w:szCs w:val="32"/>
        </w:rPr>
        <w:t>投标人须知</w:t>
      </w:r>
    </w:p>
    <w:p>
      <w:pPr>
        <w:pStyle w:val="29"/>
        <w:snapToGrid w:val="0"/>
        <w:spacing w:before="120" w:after="120" w:line="360" w:lineRule="exact"/>
        <w:rPr>
          <w:b/>
        </w:rPr>
      </w:pPr>
      <w:r>
        <w:rPr>
          <w:rFonts w:hint="eastAsia"/>
          <w:b/>
        </w:rPr>
        <w:t>一、总  则</w:t>
      </w:r>
    </w:p>
    <w:p>
      <w:pPr>
        <w:snapToGrid w:val="0"/>
        <w:spacing w:line="360" w:lineRule="exact"/>
        <w:ind w:firstLine="411" w:firstLineChars="196"/>
        <w:jc w:val="left"/>
        <w:outlineLvl w:val="1"/>
        <w:rPr>
          <w:rFonts w:ascii="宋体"/>
          <w:szCs w:val="21"/>
        </w:rPr>
      </w:pPr>
      <w:r>
        <w:rPr>
          <w:rFonts w:hint="eastAsia" w:ascii="宋体"/>
          <w:szCs w:val="21"/>
        </w:rPr>
        <w:t>（一） 适用范围</w:t>
      </w:r>
    </w:p>
    <w:p>
      <w:pPr>
        <w:snapToGrid w:val="0"/>
        <w:spacing w:line="360" w:lineRule="exact"/>
        <w:ind w:firstLine="420" w:firstLineChars="200"/>
        <w:jc w:val="left"/>
        <w:rPr>
          <w:rFonts w:ascii="宋体"/>
          <w:szCs w:val="21"/>
        </w:rPr>
      </w:pPr>
      <w:r>
        <w:rPr>
          <w:rFonts w:hint="eastAsia" w:ascii="宋体"/>
          <w:szCs w:val="21"/>
        </w:rPr>
        <w:t>本招标文件适用本项目的招标、投标、评标、定标、验收、合同履约、付款等行为（法律、法规另有规定的，从其规定）。</w:t>
      </w:r>
    </w:p>
    <w:p>
      <w:pPr>
        <w:snapToGrid w:val="0"/>
        <w:spacing w:before="156" w:beforeLines="50" w:line="360" w:lineRule="exact"/>
        <w:ind w:firstLine="309" w:firstLineChars="147"/>
        <w:jc w:val="left"/>
        <w:outlineLvl w:val="0"/>
        <w:rPr>
          <w:b/>
        </w:rPr>
      </w:pPr>
      <w:r>
        <w:rPr>
          <w:rFonts w:hint="eastAsia"/>
          <w:b/>
        </w:rPr>
        <w:t>（二）定义</w:t>
      </w:r>
    </w:p>
    <w:p>
      <w:pPr>
        <w:snapToGrid w:val="0"/>
        <w:spacing w:line="360" w:lineRule="exact"/>
        <w:ind w:firstLine="420" w:firstLineChars="200"/>
        <w:jc w:val="left"/>
        <w:rPr>
          <w:rFonts w:hAnsi="宋体"/>
        </w:rPr>
      </w:pPr>
      <w:r>
        <w:rPr>
          <w:rFonts w:hint="eastAsia" w:ascii="宋体" w:hAnsi="宋体"/>
          <w:szCs w:val="21"/>
        </w:rPr>
        <w:t>1.</w:t>
      </w:r>
      <w:r>
        <w:rPr>
          <w:rFonts w:hint="eastAsia" w:hAnsi="宋体"/>
        </w:rPr>
        <w:t xml:space="preserve"> “采购人”系指组织本次招标的采购单位。</w:t>
      </w:r>
    </w:p>
    <w:p>
      <w:pPr>
        <w:snapToGrid w:val="0"/>
        <w:spacing w:line="360" w:lineRule="exact"/>
        <w:ind w:firstLine="420" w:firstLineChars="200"/>
        <w:jc w:val="left"/>
        <w:rPr>
          <w:rFonts w:ascii="宋体" w:hAnsi="宋体"/>
          <w:szCs w:val="21"/>
        </w:rPr>
      </w:pPr>
      <w:r>
        <w:rPr>
          <w:rFonts w:hint="eastAsia" w:ascii="宋体" w:hAnsi="宋体"/>
          <w:szCs w:val="21"/>
        </w:rPr>
        <w:t>2.</w:t>
      </w:r>
      <w:r>
        <w:rPr>
          <w:rFonts w:hint="eastAsia" w:hAnsi="宋体"/>
        </w:rPr>
        <w:t xml:space="preserve"> “采购代理机构”系指广西壮族自治区政府采购中心（以下简称“本中心</w:t>
      </w:r>
      <w:r>
        <w:rPr>
          <w:rFonts w:hAnsi="宋体"/>
        </w:rPr>
        <w:t>”</w:t>
      </w:r>
      <w:r>
        <w:rPr>
          <w:rFonts w:hint="eastAsia" w:hAnsi="宋体"/>
        </w:rPr>
        <w:t>）。</w:t>
      </w:r>
    </w:p>
    <w:p>
      <w:pPr>
        <w:snapToGrid w:val="0"/>
        <w:spacing w:line="360" w:lineRule="exact"/>
        <w:ind w:firstLine="420" w:firstLineChars="200"/>
        <w:jc w:val="left"/>
        <w:rPr>
          <w:rFonts w:ascii="宋体" w:hAnsi="宋体"/>
          <w:szCs w:val="21"/>
        </w:rPr>
      </w:pPr>
      <w:r>
        <w:rPr>
          <w:rFonts w:hint="eastAsia" w:ascii="宋体" w:hAnsi="宋体"/>
          <w:szCs w:val="21"/>
        </w:rPr>
        <w:t>3.</w:t>
      </w:r>
      <w:r>
        <w:rPr>
          <w:rFonts w:hint="eastAsia" w:hAnsi="宋体"/>
        </w:rPr>
        <w:t xml:space="preserve"> “投标人”系指响应招标、参加投标竞争的法人、其他组织或者自然人。</w:t>
      </w:r>
    </w:p>
    <w:p>
      <w:pPr>
        <w:snapToGrid w:val="0"/>
        <w:spacing w:line="360" w:lineRule="exact"/>
        <w:ind w:firstLine="420" w:firstLineChars="200"/>
        <w:jc w:val="left"/>
        <w:rPr>
          <w:rFonts w:ascii="宋体" w:hAnsi="宋体"/>
          <w:szCs w:val="21"/>
        </w:rPr>
      </w:pPr>
      <w:r>
        <w:rPr>
          <w:rFonts w:hint="eastAsia" w:ascii="宋体" w:hAnsi="宋体"/>
          <w:szCs w:val="21"/>
        </w:rPr>
        <w:t>4. “产品”系指供方按招标文件规定，须向采购人提供的一切设备、保险、税金、备品备件、工具、手册及其它有关技术资料和材料。</w:t>
      </w:r>
    </w:p>
    <w:p>
      <w:pPr>
        <w:snapToGrid w:val="0"/>
        <w:spacing w:line="360" w:lineRule="exact"/>
        <w:ind w:firstLine="420" w:firstLineChars="20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pPr>
        <w:snapToGrid w:val="0"/>
        <w:spacing w:line="360" w:lineRule="exact"/>
        <w:ind w:firstLine="420" w:firstLineChars="200"/>
        <w:jc w:val="left"/>
        <w:rPr>
          <w:rFonts w:ascii="宋体" w:hAnsi="宋体"/>
          <w:szCs w:val="21"/>
        </w:rPr>
      </w:pPr>
      <w:r>
        <w:rPr>
          <w:rFonts w:hint="eastAsia" w:ascii="宋体" w:hAnsi="宋体"/>
          <w:szCs w:val="21"/>
        </w:rPr>
        <w:t>6.“项目”系指投标人按招标文件规定向采购人提供的产品和服务。</w:t>
      </w:r>
    </w:p>
    <w:p>
      <w:pPr>
        <w:snapToGrid w:val="0"/>
        <w:spacing w:line="360" w:lineRule="exact"/>
        <w:ind w:firstLine="420" w:firstLineChars="200"/>
        <w:jc w:val="left"/>
        <w:rPr>
          <w:rFonts w:ascii="宋体" w:hAnsi="宋体"/>
          <w:szCs w:val="21"/>
        </w:rPr>
      </w:pPr>
      <w:r>
        <w:rPr>
          <w:rFonts w:hint="eastAsia" w:ascii="宋体" w:hAnsi="宋体"/>
          <w:szCs w:val="21"/>
        </w:rPr>
        <w:t>7.“书面形式”包括信函、传真、电报等。</w:t>
      </w:r>
    </w:p>
    <w:p>
      <w:pPr>
        <w:snapToGrid w:val="0"/>
        <w:spacing w:line="360" w:lineRule="exact"/>
        <w:ind w:firstLine="420" w:firstLineChars="200"/>
        <w:jc w:val="left"/>
        <w:rPr>
          <w:rFonts w:ascii="宋体" w:hAnsi="宋体"/>
          <w:szCs w:val="21"/>
        </w:rPr>
      </w:pPr>
      <w:r>
        <w:rPr>
          <w:rFonts w:hint="eastAsia" w:ascii="宋体" w:hAnsi="宋体"/>
          <w:szCs w:val="21"/>
        </w:rPr>
        <w:t>8.“▲”系指在投标人须知中的实质性要求条款。</w:t>
      </w:r>
    </w:p>
    <w:p>
      <w:pPr>
        <w:snapToGrid w:val="0"/>
        <w:spacing w:before="156" w:beforeLines="50" w:line="360" w:lineRule="exact"/>
        <w:ind w:firstLine="413" w:firstLineChars="196"/>
        <w:jc w:val="left"/>
        <w:outlineLvl w:val="1"/>
        <w:rPr>
          <w:rFonts w:ascii="宋体"/>
          <w:b/>
          <w:szCs w:val="21"/>
        </w:rPr>
      </w:pPr>
      <w:r>
        <w:rPr>
          <w:rFonts w:hint="eastAsia" w:ascii="宋体"/>
          <w:b/>
          <w:szCs w:val="21"/>
        </w:rPr>
        <w:t>（三）招标方式</w:t>
      </w:r>
    </w:p>
    <w:p>
      <w:pPr>
        <w:snapToGrid w:val="0"/>
        <w:spacing w:line="360" w:lineRule="exact"/>
        <w:ind w:firstLine="420" w:firstLineChars="200"/>
        <w:jc w:val="left"/>
        <w:rPr>
          <w:rFonts w:ascii="宋体"/>
          <w:szCs w:val="21"/>
        </w:rPr>
      </w:pPr>
      <w:r>
        <w:rPr>
          <w:rFonts w:hint="eastAsia" w:ascii="宋体"/>
          <w:szCs w:val="21"/>
        </w:rPr>
        <w:t>公开招标方式。</w:t>
      </w:r>
    </w:p>
    <w:p>
      <w:pPr>
        <w:snapToGrid w:val="0"/>
        <w:spacing w:before="156" w:beforeLines="50" w:line="360" w:lineRule="exact"/>
        <w:ind w:firstLine="413" w:firstLineChars="196"/>
        <w:jc w:val="left"/>
        <w:outlineLvl w:val="0"/>
        <w:rPr>
          <w:rFonts w:ascii="宋体"/>
          <w:b/>
          <w:szCs w:val="21"/>
        </w:rPr>
      </w:pPr>
      <w:r>
        <w:rPr>
          <w:rFonts w:hint="eastAsia" w:ascii="宋体"/>
          <w:b/>
          <w:szCs w:val="21"/>
        </w:rPr>
        <w:t>（四）投标委托</w:t>
      </w:r>
    </w:p>
    <w:p>
      <w:pPr>
        <w:pStyle w:val="22"/>
        <w:snapToGrid w:val="0"/>
        <w:spacing w:line="360" w:lineRule="exact"/>
        <w:ind w:firstLine="420" w:firstLineChars="200"/>
        <w:jc w:val="left"/>
        <w:rPr>
          <w:rFonts w:ascii="宋体" w:eastAsia="宋体"/>
          <w:sz w:val="21"/>
          <w:szCs w:val="21"/>
        </w:rPr>
      </w:pPr>
      <w:r>
        <w:rPr>
          <w:rFonts w:hint="eastAsia" w:ascii="宋体" w:hAnsi="宋体" w:eastAsia="宋体"/>
          <w:sz w:val="21"/>
          <w:szCs w:val="21"/>
        </w:rPr>
        <w:t>如投标人代表不是法定代表人(负责人)，须有法定代表人(负责人)出具的授权委托书，格式见第六章《投标文件格式》。</w:t>
      </w:r>
    </w:p>
    <w:p>
      <w:pPr>
        <w:snapToGrid w:val="0"/>
        <w:spacing w:before="156" w:beforeLines="50" w:line="360" w:lineRule="exact"/>
        <w:ind w:firstLine="413" w:firstLineChars="196"/>
        <w:jc w:val="left"/>
        <w:outlineLvl w:val="0"/>
        <w:rPr>
          <w:rFonts w:ascii="宋体"/>
          <w:b/>
          <w:szCs w:val="21"/>
        </w:rPr>
      </w:pPr>
      <w:r>
        <w:rPr>
          <w:rFonts w:hint="eastAsia" w:ascii="宋体"/>
          <w:b/>
          <w:szCs w:val="21"/>
        </w:rPr>
        <w:t>（五）投标费用</w:t>
      </w:r>
    </w:p>
    <w:p>
      <w:pPr>
        <w:snapToGrid w:val="0"/>
        <w:spacing w:line="360" w:lineRule="exact"/>
        <w:ind w:firstLine="420" w:firstLineChars="200"/>
        <w:jc w:val="left"/>
        <w:rPr>
          <w:rFonts w:ascii="宋体"/>
          <w:szCs w:val="21"/>
        </w:rPr>
      </w:pPr>
      <w:r>
        <w:rPr>
          <w:rFonts w:hint="eastAsia" w:ascii="宋体"/>
          <w:szCs w:val="21"/>
        </w:rPr>
        <w:t>投标人均应自行承担所有与投标有关的全部费用（招标文件有相关的规定除外）。</w:t>
      </w:r>
    </w:p>
    <w:p>
      <w:pPr>
        <w:snapToGrid w:val="0"/>
        <w:spacing w:line="360" w:lineRule="exact"/>
        <w:ind w:firstLine="421" w:firstLineChars="200"/>
        <w:jc w:val="left"/>
        <w:rPr>
          <w:rFonts w:ascii="宋体"/>
          <w:b/>
          <w:szCs w:val="21"/>
        </w:rPr>
      </w:pPr>
      <w:r>
        <w:rPr>
          <w:rFonts w:hint="eastAsia" w:ascii="宋体"/>
          <w:b/>
          <w:szCs w:val="21"/>
        </w:rPr>
        <w:t>（六）</w:t>
      </w:r>
      <w:r>
        <w:rPr>
          <w:rFonts w:hint="eastAsia"/>
          <w:b/>
        </w:rPr>
        <w:t>本项目不接受联合体投标</w:t>
      </w:r>
    </w:p>
    <w:p>
      <w:pPr>
        <w:snapToGrid w:val="0"/>
        <w:spacing w:before="156" w:beforeLines="50" w:line="360" w:lineRule="exact"/>
        <w:ind w:firstLine="413" w:firstLineChars="196"/>
        <w:outlineLvl w:val="0"/>
        <w:rPr>
          <w:rFonts w:ascii="宋体" w:cs="宋体"/>
          <w:b/>
          <w:kern w:val="0"/>
          <w:szCs w:val="21"/>
        </w:rPr>
      </w:pPr>
      <w:r>
        <w:rPr>
          <w:rFonts w:hint="eastAsia" w:ascii="宋体"/>
          <w:b/>
          <w:szCs w:val="21"/>
        </w:rPr>
        <w:t>（七）</w:t>
      </w:r>
      <w:r>
        <w:rPr>
          <w:rFonts w:hint="eastAsia" w:ascii="宋体" w:cs="宋体"/>
          <w:b/>
          <w:kern w:val="0"/>
          <w:szCs w:val="21"/>
        </w:rPr>
        <w:t>转包与分包</w:t>
      </w:r>
    </w:p>
    <w:p>
      <w:pPr>
        <w:snapToGrid w:val="0"/>
        <w:spacing w:line="360" w:lineRule="exact"/>
        <w:ind w:firstLine="420" w:firstLineChars="200"/>
        <w:rPr>
          <w:rFonts w:ascii="宋体" w:cs="宋体"/>
          <w:kern w:val="0"/>
          <w:szCs w:val="21"/>
        </w:rPr>
      </w:pPr>
      <w:r>
        <w:rPr>
          <w:rFonts w:hint="eastAsia" w:ascii="宋体" w:cs="宋体"/>
          <w:kern w:val="0"/>
          <w:szCs w:val="21"/>
        </w:rPr>
        <w:t>1.本项目不允许转包。</w:t>
      </w:r>
    </w:p>
    <w:p>
      <w:pPr>
        <w:snapToGrid w:val="0"/>
        <w:spacing w:line="360" w:lineRule="exact"/>
        <w:ind w:firstLine="420" w:firstLineChars="200"/>
        <w:rPr>
          <w:rFonts w:ascii="宋体"/>
          <w:szCs w:val="21"/>
        </w:rPr>
      </w:pPr>
      <w:r>
        <w:rPr>
          <w:rFonts w:hint="eastAsia" w:ascii="宋体" w:cs="宋体"/>
          <w:kern w:val="0"/>
          <w:szCs w:val="21"/>
        </w:rPr>
        <w:t>2.本项目不可以分包。</w:t>
      </w:r>
    </w:p>
    <w:p>
      <w:pPr>
        <w:snapToGrid w:val="0"/>
        <w:spacing w:before="156" w:beforeLines="50" w:line="360" w:lineRule="exact"/>
        <w:ind w:firstLine="413" w:firstLineChars="196"/>
        <w:jc w:val="left"/>
        <w:outlineLvl w:val="0"/>
        <w:rPr>
          <w:rFonts w:ascii="宋体" w:hAnsi="宋体"/>
          <w:b/>
          <w:szCs w:val="21"/>
        </w:rPr>
      </w:pPr>
      <w:r>
        <w:rPr>
          <w:rFonts w:hint="eastAsia" w:ascii="宋体" w:hAnsi="宋体"/>
          <w:b/>
          <w:szCs w:val="21"/>
        </w:rPr>
        <w:t>（八）特别说明：</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▲1.单位负责人为同一人或者存在直接控股、管理关系的不同供应商，不得参加同一合同项下的政府采购活动。</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szCs w:val="21"/>
        </w:rPr>
        <w:t>使用综合评分法的采购项目，</w:t>
      </w:r>
      <w:r>
        <w:rPr>
          <w:rFonts w:hint="eastAsia"/>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w:t>
      </w:r>
      <w:r>
        <w:rPr>
          <w:rFonts w:hint="eastAsia"/>
          <w:lang w:val="en"/>
        </w:rPr>
        <w:t>评标方法</w:t>
      </w:r>
      <w:r>
        <w:rPr>
          <w:lang w:val="en"/>
        </w:rPr>
        <w:t>及评分标准</w:t>
      </w:r>
      <w:r>
        <w:rPr>
          <w:rFonts w:hint="eastAsia"/>
        </w:rPr>
        <w:t>》中的推荐原则确定一个投标人获得中标人推荐资格，其他同品牌投标人不作为中标候选人。</w:t>
      </w:r>
    </w:p>
    <w:p>
      <w:pPr>
        <w:rPr>
          <w:rFonts w:ascii="宋体" w:hAnsi="宋体" w:cs="宋体"/>
          <w:kern w:val="0"/>
          <w:szCs w:val="21"/>
        </w:rPr>
      </w:pPr>
      <w:r>
        <w:rPr>
          <w:rFonts w:hint="eastAsia" w:ascii="宋体" w:hAnsi="宋体" w:cs="宋体"/>
          <w:kern w:val="0"/>
          <w:szCs w:val="21"/>
        </w:rPr>
        <w:t xml:space="preserve">    非单一产品采购项目中，多家投标人提供的招标文件中载明的核心产品品牌相同的，视为提供相同品牌产品。</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▲3.投标人应仔细阅读招标文件的所有内容，按照招标文件的要求提交投标文件，并对所提供的全部资料的真实性承担法律责任。</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▲4.投标人在投标活动中提供任何虚假材料、互相串通投标，其投标无效，并报监管部门查处。</w:t>
      </w:r>
    </w:p>
    <w:p>
      <w:pPr>
        <w:pStyle w:val="29"/>
        <w:snapToGrid w:val="0"/>
        <w:spacing w:line="360" w:lineRule="exact"/>
        <w:ind w:left="2" w:leftChars="1" w:firstLine="420" w:firstLineChars="200"/>
        <w:rPr>
          <w:rFonts w:hAnsi="宋体" w:cs="宋体"/>
          <w:kern w:val="0"/>
        </w:rPr>
      </w:pPr>
      <w:r>
        <w:rPr>
          <w:rFonts w:hint="eastAsia" w:hAnsi="宋体" w:cs="宋体"/>
          <w:kern w:val="0"/>
        </w:rPr>
        <w:t>▲5.投标截止时间前三天，报名登记的供应商不足三家的，本中心将延迟截标和开标时间不少于十日，并书面通知已报名登记的供应商，并在财政部门指定的政府采购信息发布媒体及本中心网站上发布变更公告。</w:t>
      </w:r>
    </w:p>
    <w:p>
      <w:pPr>
        <w:pStyle w:val="69"/>
        <w:ind w:firstLine="420" w:firstLineChars="200"/>
        <w:rPr>
          <w:rFonts w:hAnsi="宋体"/>
          <w:color w:val="auto"/>
          <w:sz w:val="21"/>
          <w:szCs w:val="21"/>
        </w:rPr>
      </w:pPr>
      <w:r>
        <w:rPr>
          <w:rFonts w:hint="eastAsia" w:hAnsi="宋体"/>
          <w:color w:val="auto"/>
          <w:sz w:val="21"/>
          <w:szCs w:val="21"/>
        </w:rPr>
        <w:t>▲6.中小企业价格评审优惠：根据《政府采购促进中小企业发展管理办法》（财库〔2020〕46号）的规定，本项目对符合条件的小型、微型企业（以下简称“中小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7.本国产品价格扣除：根据《国务院办公厅关于在政府采购中实施本国产品标准及相关政策的通知》（国办发〔2025〕34号），在政府采购活动中既有本国产品又有非本国产品参与竞争的情况下，依法对本国产品给予价格评审优惠。 本项目对本国产品给予价格扣除，扣除比例详见评标方法及评分标准。投标人如申请享受此项价格扣除，必须按本文件“投标文件格式”要求，填写并提交《关于符合本国产品标准的声明函》。未提交或提交不符合要求的，不享受扣除，按其原报价计算价格分。</w:t>
      </w:r>
    </w:p>
    <w:p>
      <w:pPr>
        <w:snapToGrid w:val="0"/>
        <w:spacing w:line="360" w:lineRule="exact"/>
        <w:ind w:firstLine="420" w:firstLineChars="200"/>
        <w:rPr>
          <w:rFonts w:ascii="宋体" w:hAnsi="宋体" w:cs="宋体"/>
          <w:kern w:val="0"/>
          <w:szCs w:val="21"/>
        </w:rPr>
      </w:pPr>
      <w:r>
        <w:rPr>
          <w:rFonts w:hint="eastAsia" w:ascii="宋体" w:hAnsi="宋体" w:cs="宋体"/>
          <w:kern w:val="0"/>
          <w:szCs w:val="21"/>
        </w:rPr>
        <w:t>▲8.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9"/>
        <w:snapToGrid w:val="0"/>
        <w:spacing w:line="360" w:lineRule="exact"/>
        <w:ind w:firstLine="309" w:firstLineChars="147"/>
        <w:outlineLvl w:val="0"/>
        <w:rPr>
          <w:b/>
          <w:bCs/>
        </w:rPr>
      </w:pPr>
      <w:r>
        <w:rPr>
          <w:rFonts w:hint="eastAsia"/>
          <w:b/>
          <w:bCs/>
        </w:rPr>
        <w:t>（九）</w:t>
      </w:r>
      <w:r>
        <w:rPr>
          <w:rFonts w:hint="eastAsia"/>
          <w:b/>
        </w:rPr>
        <w:t>询问、质疑和投诉</w:t>
      </w:r>
    </w:p>
    <w:p>
      <w:pPr>
        <w:pStyle w:val="29"/>
        <w:snapToGrid w:val="0"/>
        <w:spacing w:line="360" w:lineRule="exact"/>
        <w:ind w:firstLine="420" w:firstLineChars="200"/>
      </w:pPr>
      <w:r>
        <w:rPr>
          <w:rFonts w:hint="eastAsia"/>
        </w:rPr>
        <w:t>1．投标人对政府采购活动事项有疑问的，可以向采购人、采购代理机构提出询问。</w:t>
      </w:r>
    </w:p>
    <w:p>
      <w:pPr>
        <w:pStyle w:val="29"/>
        <w:snapToGrid w:val="0"/>
        <w:spacing w:line="360" w:lineRule="exact"/>
        <w:ind w:firstLine="420" w:firstLineChars="200"/>
      </w:pPr>
      <w:r>
        <w:rPr>
          <w:rFonts w:hint="eastAsia"/>
        </w:rPr>
        <w:t>2.投标人认为招标文件、招标过程或中标结果使自己的合法权益受到损害的，应当在知道或者应知其权益受到损害之日起七个工作日内，以书面形式向采购人提出质疑。具体计算时间如下：</w:t>
      </w:r>
    </w:p>
    <w:p>
      <w:pPr>
        <w:pStyle w:val="29"/>
        <w:snapToGrid w:val="0"/>
        <w:spacing w:line="360" w:lineRule="exact"/>
        <w:ind w:firstLine="309" w:firstLineChars="147"/>
        <w:rPr>
          <w:bCs/>
        </w:rPr>
      </w:pPr>
      <w:r>
        <w:rPr>
          <w:rFonts w:hint="eastAsia"/>
          <w:b/>
        </w:rPr>
        <w:t>（一）对可以质疑的招标采购文件提出质疑的，为收到采购文件之日；</w:t>
      </w:r>
    </w:p>
    <w:p>
      <w:pPr>
        <w:widowControl/>
        <w:spacing w:line="360" w:lineRule="exact"/>
        <w:jc w:val="left"/>
        <w:rPr>
          <w:rFonts w:ascii="宋体" w:cs="Courier New"/>
          <w:b/>
          <w:szCs w:val="21"/>
        </w:rPr>
      </w:pPr>
      <w:r>
        <w:rPr>
          <w:rFonts w:hint="eastAsia" w:ascii="宋体" w:cs="Courier New"/>
          <w:szCs w:val="21"/>
        </w:rPr>
        <w:t xml:space="preserve">　 </w:t>
      </w:r>
      <w:r>
        <w:rPr>
          <w:rFonts w:hint="eastAsia" w:ascii="宋体" w:cs="Courier New"/>
          <w:b/>
          <w:szCs w:val="21"/>
        </w:rPr>
        <w:t>（二）对招标采购过程提出质疑的，为各采购程序环节结束之日；</w:t>
      </w:r>
    </w:p>
    <w:p>
      <w:pPr>
        <w:widowControl/>
        <w:spacing w:line="360" w:lineRule="exact"/>
        <w:ind w:firstLine="309" w:firstLineChars="147"/>
        <w:jc w:val="left"/>
        <w:rPr>
          <w:rFonts w:ascii="宋体" w:cs="Courier New"/>
          <w:b/>
          <w:szCs w:val="21"/>
        </w:rPr>
      </w:pPr>
      <w:r>
        <w:rPr>
          <w:rFonts w:hint="eastAsia" w:cs="Courier New"/>
          <w:b/>
          <w:szCs w:val="21"/>
        </w:rPr>
        <w:t>（三）对中标结果提出质疑的，为中标结果公告期限届满之日。投标人对采购单位的质疑答复不满意或者</w:t>
      </w:r>
      <w:r>
        <w:rPr>
          <w:rFonts w:hint="eastAsia" w:ascii="宋体" w:hAnsi="宋体" w:cs="Courier New"/>
          <w:b/>
          <w:szCs w:val="21"/>
        </w:rPr>
        <w:t>采购人</w:t>
      </w:r>
      <w:r>
        <w:rPr>
          <w:rFonts w:hint="eastAsia" w:cs="Courier New"/>
          <w:b/>
          <w:szCs w:val="21"/>
        </w:rPr>
        <w:t>未在规定时间内作出答复的，可以在答复期满后十五个工作日内向同级采购监管部门投诉。</w:t>
      </w:r>
    </w:p>
    <w:p>
      <w:pPr>
        <w:pStyle w:val="29"/>
        <w:snapToGrid w:val="0"/>
        <w:spacing w:line="360" w:lineRule="exact"/>
        <w:ind w:firstLine="420" w:firstLineChars="200"/>
        <w:rPr>
          <w:bCs/>
        </w:rPr>
      </w:pPr>
      <w:r>
        <w:rPr>
          <w:rFonts w:hint="eastAsia"/>
          <w:bCs/>
        </w:rPr>
        <w:t>3.质疑、投诉应当采用书面形式，质疑书、投诉书均应明确阐述招标采购文件、招标采购过程、中标结果中使自己合法权益受到损害的实质性内容，提供相关事实、明确的请求、必要的证明材料，便于有关单位调查、答复和处理。</w:t>
      </w:r>
    </w:p>
    <w:p>
      <w:pPr>
        <w:pStyle w:val="29"/>
        <w:spacing w:line="360" w:lineRule="exact"/>
        <w:ind w:firstLine="421" w:firstLineChars="200"/>
        <w:rPr>
          <w:b/>
          <w:lang w:val="en"/>
        </w:rPr>
      </w:pPr>
      <w:r>
        <w:rPr>
          <w:b/>
          <w:lang w:val="en"/>
        </w:rPr>
        <w:t>4.采购人、采购代理机构接收质疑函的方式、联系部门、联系电话和地址等信息详见“投标人须知前附表”。</w:t>
      </w:r>
    </w:p>
    <w:p>
      <w:pPr>
        <w:pStyle w:val="29"/>
        <w:snapToGrid w:val="0"/>
        <w:spacing w:line="360" w:lineRule="auto"/>
        <w:ind w:firstLine="421" w:firstLineChars="200"/>
        <w:rPr>
          <w:rFonts w:hAnsi="宋体"/>
        </w:rPr>
      </w:pPr>
      <w:r>
        <w:rPr>
          <w:rFonts w:hint="eastAsia"/>
          <w:b/>
        </w:rPr>
        <w:t>5.</w:t>
      </w:r>
      <w:r>
        <w:rPr>
          <w:rFonts w:hint="eastAsia" w:hAnsi="宋体"/>
        </w:rPr>
        <w:t>质疑供应商提起质疑应当符合下列条件：</w:t>
      </w:r>
    </w:p>
    <w:p>
      <w:pPr>
        <w:pStyle w:val="29"/>
        <w:snapToGrid w:val="0"/>
        <w:spacing w:line="360" w:lineRule="auto"/>
        <w:ind w:firstLine="420" w:firstLineChars="200"/>
        <w:rPr>
          <w:rFonts w:hAnsi="宋体"/>
        </w:rPr>
      </w:pPr>
      <w:r>
        <w:rPr>
          <w:rFonts w:hint="eastAsia" w:hAnsi="宋体"/>
        </w:rPr>
        <w:t>（1）质疑供应商是参与所质疑项目采购活动的供应商（潜在供应商已依法获取可之一的采购文件的，可以对该采购文件质疑）；</w:t>
      </w:r>
    </w:p>
    <w:p>
      <w:pPr>
        <w:pStyle w:val="29"/>
        <w:snapToGrid w:val="0"/>
        <w:spacing w:line="360" w:lineRule="auto"/>
        <w:ind w:firstLine="420" w:firstLineChars="200"/>
        <w:rPr>
          <w:rFonts w:hAnsi="宋体"/>
        </w:rPr>
      </w:pPr>
      <w:r>
        <w:rPr>
          <w:rFonts w:hint="eastAsia" w:hAnsi="宋体"/>
        </w:rPr>
        <w:t>（2）质疑函内容符合本章第3项的规定；</w:t>
      </w:r>
    </w:p>
    <w:p>
      <w:pPr>
        <w:pStyle w:val="29"/>
        <w:snapToGrid w:val="0"/>
        <w:spacing w:line="360" w:lineRule="auto"/>
        <w:ind w:firstLine="420" w:firstLineChars="200"/>
        <w:rPr>
          <w:rFonts w:hAnsi="宋体"/>
        </w:rPr>
      </w:pPr>
      <w:r>
        <w:rPr>
          <w:rFonts w:hint="eastAsia" w:hAnsi="宋体"/>
        </w:rPr>
        <w:t>（3）在质疑有效期限内提起质疑；</w:t>
      </w:r>
    </w:p>
    <w:p>
      <w:pPr>
        <w:pStyle w:val="29"/>
        <w:snapToGrid w:val="0"/>
        <w:spacing w:line="360" w:lineRule="auto"/>
        <w:ind w:firstLine="420" w:firstLineChars="200"/>
        <w:rPr>
          <w:rFonts w:hAnsi="宋体"/>
        </w:rPr>
      </w:pPr>
      <w:r>
        <w:rPr>
          <w:rFonts w:hint="eastAsia" w:hAnsi="宋体"/>
        </w:rPr>
        <w:t>（4）属于所质疑的采购人或采购人委托的采购代理机构组织的采购活动；</w:t>
      </w:r>
    </w:p>
    <w:p>
      <w:pPr>
        <w:pStyle w:val="29"/>
        <w:snapToGrid w:val="0"/>
        <w:spacing w:line="360" w:lineRule="auto"/>
        <w:ind w:firstLine="420" w:firstLineChars="200"/>
        <w:rPr>
          <w:rFonts w:hAnsi="宋体"/>
        </w:rPr>
      </w:pPr>
      <w:r>
        <w:rPr>
          <w:rFonts w:hint="eastAsia" w:hAnsi="宋体"/>
        </w:rPr>
        <w:t xml:space="preserve">（5）同一质疑事项未经采购人或采购人委托的采购代理机构质疑处理； </w:t>
      </w:r>
    </w:p>
    <w:p>
      <w:pPr>
        <w:pStyle w:val="29"/>
        <w:snapToGrid w:val="0"/>
        <w:spacing w:line="360" w:lineRule="auto"/>
        <w:ind w:firstLine="420" w:firstLineChars="200"/>
        <w:rPr>
          <w:rFonts w:hAnsi="宋体"/>
        </w:rPr>
      </w:pPr>
      <w:r>
        <w:rPr>
          <w:rFonts w:hint="eastAsia" w:hAnsi="宋体"/>
        </w:rPr>
        <w:t>（6）供应商对同一采购程序环节的质疑应当在质疑有效期内一次性提出；</w:t>
      </w:r>
    </w:p>
    <w:p>
      <w:pPr>
        <w:pStyle w:val="29"/>
        <w:snapToGrid w:val="0"/>
        <w:spacing w:line="360" w:lineRule="auto"/>
        <w:ind w:firstLine="420" w:firstLineChars="200"/>
        <w:rPr>
          <w:rFonts w:hAnsi="宋体"/>
        </w:rPr>
      </w:pPr>
      <w:r>
        <w:rPr>
          <w:rFonts w:hint="eastAsia" w:hAnsi="宋体"/>
        </w:rPr>
        <w:t>（7）供应商提交质疑应当提交必要的证明材料，证明材料应以合法手段取得；</w:t>
      </w:r>
    </w:p>
    <w:p>
      <w:pPr>
        <w:pStyle w:val="29"/>
        <w:spacing w:line="360" w:lineRule="exact"/>
        <w:ind w:firstLine="420" w:firstLineChars="200"/>
        <w:rPr>
          <w:b/>
        </w:rPr>
      </w:pPr>
      <w:r>
        <w:rPr>
          <w:rFonts w:hint="eastAsia" w:hAnsi="宋体"/>
        </w:rPr>
        <w:t>（8）财政部门规定的其他条件。</w:t>
      </w:r>
    </w:p>
    <w:p>
      <w:pPr>
        <w:pStyle w:val="29"/>
        <w:snapToGrid w:val="0"/>
        <w:spacing w:line="360" w:lineRule="exact"/>
        <w:ind w:firstLine="413" w:firstLineChars="196"/>
        <w:outlineLvl w:val="0"/>
        <w:rPr>
          <w:b/>
        </w:rPr>
      </w:pPr>
      <w:r>
        <w:rPr>
          <w:rFonts w:hint="eastAsia"/>
          <w:b/>
        </w:rPr>
        <w:t>二、招标文件</w:t>
      </w:r>
    </w:p>
    <w:p>
      <w:pPr>
        <w:snapToGrid w:val="0"/>
        <w:spacing w:line="360" w:lineRule="exact"/>
        <w:ind w:firstLine="413" w:firstLineChars="196"/>
        <w:jc w:val="left"/>
        <w:outlineLvl w:val="0"/>
        <w:rPr>
          <w:rFonts w:ascii="宋体"/>
          <w:b/>
          <w:szCs w:val="21"/>
        </w:rPr>
      </w:pPr>
      <w:r>
        <w:rPr>
          <w:rFonts w:hint="eastAsia" w:ascii="宋体"/>
          <w:b/>
          <w:szCs w:val="21"/>
        </w:rPr>
        <w:t>（一）招标文件的构成。</w:t>
      </w:r>
    </w:p>
    <w:p>
      <w:pPr>
        <w:snapToGrid w:val="0"/>
        <w:spacing w:line="360" w:lineRule="exact"/>
        <w:ind w:firstLine="420" w:firstLineChars="200"/>
        <w:jc w:val="left"/>
        <w:rPr>
          <w:rFonts w:ascii="宋体"/>
          <w:szCs w:val="21"/>
        </w:rPr>
      </w:pPr>
      <w:r>
        <w:rPr>
          <w:rFonts w:hint="eastAsia" w:ascii="宋体"/>
          <w:szCs w:val="21"/>
        </w:rPr>
        <w:t>1.公开招标公告；</w:t>
      </w:r>
    </w:p>
    <w:p>
      <w:pPr>
        <w:snapToGrid w:val="0"/>
        <w:spacing w:line="360" w:lineRule="exact"/>
        <w:ind w:firstLine="420" w:firstLineChars="200"/>
        <w:jc w:val="left"/>
        <w:rPr>
          <w:rFonts w:ascii="宋体"/>
          <w:szCs w:val="21"/>
        </w:rPr>
      </w:pPr>
      <w:r>
        <w:rPr>
          <w:rFonts w:hint="eastAsia" w:ascii="宋体"/>
          <w:szCs w:val="21"/>
        </w:rPr>
        <w:t>2.招标项目采购需求</w:t>
      </w:r>
    </w:p>
    <w:p>
      <w:pPr>
        <w:snapToGrid w:val="0"/>
        <w:spacing w:line="360" w:lineRule="exact"/>
        <w:ind w:firstLine="420" w:firstLineChars="200"/>
        <w:jc w:val="left"/>
        <w:rPr>
          <w:rFonts w:ascii="宋体"/>
          <w:szCs w:val="21"/>
        </w:rPr>
      </w:pPr>
      <w:r>
        <w:rPr>
          <w:rFonts w:hint="eastAsia" w:ascii="宋体"/>
          <w:szCs w:val="21"/>
        </w:rPr>
        <w:t>3.投标人须知；</w:t>
      </w:r>
    </w:p>
    <w:p>
      <w:pPr>
        <w:snapToGrid w:val="0"/>
        <w:spacing w:line="360" w:lineRule="exact"/>
        <w:ind w:firstLine="420" w:firstLineChars="200"/>
        <w:jc w:val="left"/>
        <w:rPr>
          <w:rFonts w:ascii="宋体"/>
          <w:szCs w:val="21"/>
        </w:rPr>
      </w:pPr>
      <w:r>
        <w:rPr>
          <w:rFonts w:hint="eastAsia" w:ascii="宋体"/>
          <w:szCs w:val="21"/>
        </w:rPr>
        <w:t>4.</w:t>
      </w:r>
      <w:r>
        <w:rPr>
          <w:rFonts w:hint="eastAsia" w:ascii="宋体"/>
          <w:szCs w:val="21"/>
          <w:lang w:val="en"/>
        </w:rPr>
        <w:t>评标方法</w:t>
      </w:r>
      <w:r>
        <w:rPr>
          <w:rFonts w:ascii="宋体"/>
          <w:szCs w:val="21"/>
          <w:lang w:val="en"/>
        </w:rPr>
        <w:t>及评分标准</w:t>
      </w:r>
      <w:r>
        <w:rPr>
          <w:rFonts w:hint="eastAsia" w:ascii="宋体"/>
          <w:szCs w:val="21"/>
        </w:rPr>
        <w:t>；</w:t>
      </w:r>
    </w:p>
    <w:p>
      <w:pPr>
        <w:snapToGrid w:val="0"/>
        <w:spacing w:line="360" w:lineRule="exact"/>
        <w:ind w:firstLine="420" w:firstLineChars="200"/>
        <w:jc w:val="left"/>
        <w:rPr>
          <w:rFonts w:ascii="宋体"/>
          <w:szCs w:val="21"/>
        </w:rPr>
      </w:pPr>
      <w:r>
        <w:rPr>
          <w:rFonts w:hint="eastAsia" w:ascii="宋体"/>
          <w:szCs w:val="21"/>
        </w:rPr>
        <w:t>5.政府采购合同主要条款；</w:t>
      </w:r>
    </w:p>
    <w:p>
      <w:pPr>
        <w:snapToGrid w:val="0"/>
        <w:spacing w:line="360" w:lineRule="exact"/>
        <w:ind w:firstLine="420" w:firstLineChars="200"/>
        <w:jc w:val="left"/>
        <w:rPr>
          <w:rFonts w:ascii="宋体"/>
          <w:szCs w:val="21"/>
        </w:rPr>
      </w:pPr>
      <w:r>
        <w:rPr>
          <w:rFonts w:hint="eastAsia" w:ascii="宋体"/>
          <w:szCs w:val="21"/>
        </w:rPr>
        <w:t>6.投标文件格式。</w:t>
      </w:r>
    </w:p>
    <w:p>
      <w:pPr>
        <w:snapToGrid w:val="0"/>
        <w:spacing w:before="156" w:beforeLines="50" w:line="360" w:lineRule="exact"/>
        <w:ind w:firstLine="413" w:firstLineChars="196"/>
        <w:jc w:val="left"/>
        <w:outlineLvl w:val="0"/>
        <w:rPr>
          <w:rFonts w:ascii="宋体"/>
          <w:b/>
          <w:szCs w:val="21"/>
        </w:rPr>
      </w:pPr>
      <w:r>
        <w:rPr>
          <w:rFonts w:hint="eastAsia" w:ascii="宋体"/>
          <w:b/>
          <w:szCs w:val="21"/>
        </w:rPr>
        <w:t>（二）投标人的风险</w:t>
      </w:r>
    </w:p>
    <w:p>
      <w:pPr>
        <w:tabs>
          <w:tab w:val="left" w:pos="180"/>
          <w:tab w:val="left" w:pos="1620"/>
        </w:tabs>
        <w:spacing w:line="400" w:lineRule="exact"/>
        <w:ind w:firstLine="420" w:firstLineChars="200"/>
        <w:rPr>
          <w:rFonts w:asci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r>
        <w:rPr>
          <w:rFonts w:hint="eastAsia" w:ascii="宋体" w:hAnsi="宋体" w:cs="Courier New"/>
          <w:szCs w:val="21"/>
        </w:rPr>
        <w:cr/>
      </w:r>
      <w:r>
        <w:rPr>
          <w:rFonts w:hint="eastAsia" w:ascii="宋体" w:hAnsi="宋体" w:cs="Courier New"/>
          <w:szCs w:val="21"/>
        </w:rPr>
        <w:t xml:space="preserve">   2.对招标文件提出的实质性要求和条件作出明确响应是指投标人必须对招标文件中涉及招标项目的价格、采购货物的主要技术参数和性能配置、数量、交货（或竣工）时间、售后服务及其它要求、合同主要条款等内容作出明确响应。</w:t>
      </w:r>
      <w:r>
        <w:rPr>
          <w:rFonts w:hint="eastAsia" w:ascii="宋体" w:cs="Courier New"/>
          <w:szCs w:val="21"/>
        </w:rPr>
        <w:t xml:space="preserve"> </w:t>
      </w:r>
    </w:p>
    <w:p>
      <w:pPr>
        <w:pStyle w:val="15"/>
        <w:widowControl w:val="0"/>
        <w:tabs>
          <w:tab w:val="clear" w:pos="454"/>
        </w:tabs>
        <w:snapToGrid w:val="0"/>
        <w:spacing w:before="156" w:beforeLines="50" w:afterLines="0" w:line="400" w:lineRule="exact"/>
        <w:ind w:left="0" w:firstLine="411" w:firstLineChars="196"/>
        <w:rPr>
          <w:rFonts w:ascii="宋体" w:cs="Courier New"/>
          <w:kern w:val="2"/>
          <w:sz w:val="21"/>
          <w:szCs w:val="21"/>
        </w:rPr>
      </w:pPr>
      <w:r>
        <w:rPr>
          <w:rFonts w:hint="eastAsia" w:ascii="宋体" w:cs="Courier New"/>
          <w:kern w:val="2"/>
          <w:sz w:val="21"/>
          <w:szCs w:val="21"/>
        </w:rPr>
        <w:t xml:space="preserve"> 3.采购货物的主要技术参数和性能配置由评标委员会在评标前评定，但不能改变实质性内容。</w:t>
      </w:r>
    </w:p>
    <w:p>
      <w:pPr>
        <w:pStyle w:val="15"/>
        <w:widowControl w:val="0"/>
        <w:tabs>
          <w:tab w:val="clear" w:pos="454"/>
        </w:tabs>
        <w:snapToGrid w:val="0"/>
        <w:spacing w:before="156" w:beforeLines="50" w:afterLines="0" w:line="360" w:lineRule="exact"/>
        <w:ind w:left="0" w:firstLine="413" w:firstLineChars="196"/>
        <w:outlineLvl w:val="0"/>
        <w:rPr>
          <w:rFonts w:ascii="宋体"/>
          <w:b/>
          <w:sz w:val="21"/>
          <w:szCs w:val="21"/>
        </w:rPr>
      </w:pPr>
      <w:r>
        <w:rPr>
          <w:rFonts w:hint="eastAsia" w:ascii="宋体"/>
          <w:b/>
          <w:sz w:val="21"/>
          <w:szCs w:val="21"/>
        </w:rPr>
        <w:t xml:space="preserve">（三）招标文件的澄清与修改 </w:t>
      </w:r>
    </w:p>
    <w:p>
      <w:pPr>
        <w:pStyle w:val="29"/>
        <w:snapToGrid w:val="0"/>
        <w:spacing w:line="360" w:lineRule="exact"/>
        <w:ind w:firstLine="420" w:firstLineChars="200"/>
        <w:rPr>
          <w:rFonts w:hAnsi="宋体"/>
        </w:rPr>
      </w:pPr>
      <w:r>
        <w:rPr>
          <w:rFonts w:hint="eastAsia" w:hAnsi="宋体"/>
        </w:rPr>
        <w:t>1.</w:t>
      </w:r>
      <w:r>
        <w:rPr>
          <w:rFonts w:hint="eastAsia" w:hAnsi="宋体"/>
          <w:bCs/>
        </w:rPr>
        <w:t xml:space="preserve"> 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“采购文件：第三章 《投标人须知及前附表》序号6”规定的时间</w:t>
      </w:r>
      <w:r>
        <w:rPr>
          <w:rFonts w:hint="eastAsia" w:hAnsi="宋体"/>
          <w:bCs/>
        </w:rPr>
        <w:t>前以书面形式要求招标采购单位</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15日前，在财政部门指定的政府采购信息发布媒体及本中心网站上发布更正公告，并以书面形式通知所有招标文件收受人。该澄清或者修改的内容为招标文件的组成部分</w:t>
      </w:r>
      <w:r>
        <w:rPr>
          <w:rFonts w:hint="eastAsia" w:hAnsi="宋体"/>
        </w:rPr>
        <w:t>。</w:t>
      </w:r>
    </w:p>
    <w:p>
      <w:pPr>
        <w:pStyle w:val="29"/>
        <w:snapToGrid w:val="0"/>
        <w:spacing w:line="360" w:lineRule="exact"/>
        <w:ind w:firstLine="420" w:firstLineChars="200"/>
        <w:rPr>
          <w:rFonts w:hAnsi="宋体"/>
        </w:rPr>
      </w:pPr>
      <w:r>
        <w:rPr>
          <w:rFonts w:hint="eastAsia" w:hAnsi="宋体"/>
        </w:rPr>
        <w:t>2.本中心必须以书面形式答复投标人要求澄清的问题，并将不包含问题来源的答复书面通知所有报名登记的投标人；除书面答复以外的其他澄清方式及澄清内容均无效。</w:t>
      </w:r>
    </w:p>
    <w:p>
      <w:pPr>
        <w:pStyle w:val="29"/>
        <w:snapToGrid w:val="0"/>
        <w:spacing w:line="360" w:lineRule="exact"/>
        <w:ind w:firstLine="420" w:firstLineChars="20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pPr>
        <w:pStyle w:val="29"/>
        <w:snapToGrid w:val="0"/>
        <w:spacing w:line="360" w:lineRule="exact"/>
        <w:ind w:firstLine="420" w:firstLineChars="200"/>
        <w:rPr>
          <w:rFonts w:hAnsi="宋体"/>
        </w:rPr>
      </w:pPr>
      <w:r>
        <w:rPr>
          <w:rFonts w:hint="eastAsia" w:hAnsi="宋体"/>
        </w:rPr>
        <w:t>4.招标文件的答疑、澄清、修改、补充都应该通过本中心以法定形式发布，采购人非通过本机构，不得擅自答疑、澄清、修改、补充招标文件。</w:t>
      </w:r>
    </w:p>
    <w:p>
      <w:pPr>
        <w:pStyle w:val="29"/>
        <w:snapToGrid w:val="0"/>
        <w:spacing w:line="360" w:lineRule="exact"/>
        <w:ind w:firstLine="420" w:firstLineChars="200"/>
      </w:pPr>
      <w:r>
        <w:rPr>
          <w:rFonts w:hint="eastAsia" w:hAnsi="宋体"/>
        </w:rPr>
        <w:t>5.本中心可以视采购具体情况，延长招标文件或者资格预审文件提供期限，并在财政部门指定的政府采购信息发布媒体及本中心网站上发布公告。</w:t>
      </w:r>
    </w:p>
    <w:p>
      <w:pPr>
        <w:pStyle w:val="29"/>
        <w:snapToGrid w:val="0"/>
        <w:spacing w:line="360" w:lineRule="exact"/>
        <w:ind w:firstLine="413" w:firstLineChars="196"/>
        <w:outlineLvl w:val="1"/>
        <w:rPr>
          <w:b/>
        </w:rPr>
      </w:pPr>
      <w:r>
        <w:rPr>
          <w:rFonts w:hint="eastAsia"/>
          <w:b/>
        </w:rPr>
        <w:t>三、投标文件的编制</w:t>
      </w:r>
    </w:p>
    <w:p>
      <w:pPr>
        <w:snapToGrid w:val="0"/>
        <w:spacing w:line="360" w:lineRule="exact"/>
        <w:ind w:firstLine="413" w:firstLineChars="196"/>
        <w:jc w:val="left"/>
        <w:outlineLvl w:val="0"/>
        <w:rPr>
          <w:rFonts w:ascii="宋体" w:hAnsi="宋体"/>
          <w:b/>
          <w:szCs w:val="21"/>
        </w:rPr>
      </w:pPr>
      <w:r>
        <w:rPr>
          <w:rFonts w:hint="eastAsia" w:ascii="宋体" w:hAnsi="宋体"/>
          <w:b/>
          <w:szCs w:val="21"/>
        </w:rPr>
        <w:t>（一）投标文件的组成</w:t>
      </w:r>
    </w:p>
    <w:p>
      <w:pPr>
        <w:snapToGrid w:val="0"/>
        <w:spacing w:line="360" w:lineRule="exact"/>
        <w:ind w:firstLine="420" w:firstLineChars="200"/>
        <w:jc w:val="left"/>
        <w:rPr>
          <w:rFonts w:ascii="宋体" w:hAnsi="宋体"/>
          <w:szCs w:val="21"/>
        </w:rPr>
      </w:pPr>
      <w:r>
        <w:rPr>
          <w:rFonts w:hint="eastAsia" w:ascii="宋体"/>
          <w:szCs w:val="21"/>
        </w:rPr>
        <w:t>投标文件由资格文件、资信及商务文件、技术文件、投标报价文件</w:t>
      </w:r>
      <w:r>
        <w:rPr>
          <w:rFonts w:hint="eastAsia" w:ascii="宋体"/>
          <w:b/>
          <w:szCs w:val="21"/>
        </w:rPr>
        <w:t>四部份</w:t>
      </w:r>
      <w:r>
        <w:rPr>
          <w:rFonts w:hint="eastAsia" w:ascii="宋体"/>
          <w:szCs w:val="21"/>
        </w:rPr>
        <w:t>组成。</w:t>
      </w:r>
    </w:p>
    <w:p>
      <w:pPr>
        <w:snapToGrid w:val="0"/>
        <w:spacing w:line="360" w:lineRule="exact"/>
        <w:ind w:firstLine="413" w:firstLineChars="196"/>
        <w:jc w:val="left"/>
        <w:rPr>
          <w:rFonts w:ascii="宋体" w:hAnsi="宋体"/>
          <w:b/>
          <w:szCs w:val="21"/>
        </w:rPr>
      </w:pPr>
      <w:r>
        <w:rPr>
          <w:rFonts w:hint="eastAsia" w:ascii="宋体" w:hAnsi="宋体"/>
          <w:b/>
          <w:szCs w:val="21"/>
        </w:rPr>
        <w:t>1.资格文件：</w:t>
      </w:r>
    </w:p>
    <w:p>
      <w:pPr>
        <w:snapToGrid w:val="0"/>
        <w:spacing w:line="360" w:lineRule="exact"/>
        <w:ind w:firstLine="413"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有效的营业执照等证明文件复印件；</w:t>
      </w:r>
    </w:p>
    <w:p>
      <w:pPr>
        <w:pStyle w:val="29"/>
        <w:adjustRightInd w:val="0"/>
        <w:snapToGrid w:val="0"/>
        <w:spacing w:line="400" w:lineRule="exact"/>
        <w:ind w:firstLine="424" w:firstLineChars="202"/>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snapToGrid w:val="0"/>
        <w:spacing w:line="360" w:lineRule="exact"/>
        <w:ind w:firstLine="424" w:firstLineChars="202"/>
        <w:jc w:val="left"/>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3"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“中国政府采购网”的查询方法：点击“政府采购严重违法失信行为记录名单”进行查询。截止时间为本项目投标截止时间前10日至投标截止时间中任意一天。</w:t>
      </w:r>
    </w:p>
    <w:p>
      <w:pPr>
        <w:snapToGrid w:val="0"/>
        <w:spacing w:line="360" w:lineRule="exact"/>
        <w:ind w:firstLine="411" w:firstLineChars="196"/>
        <w:jc w:val="left"/>
        <w:rPr>
          <w:rFonts w:hAnsi="宋体"/>
          <w:b/>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2.资信及商务文件：</w:t>
      </w:r>
    </w:p>
    <w:p>
      <w:pPr>
        <w:snapToGrid w:val="0"/>
        <w:spacing w:line="360" w:lineRule="exact"/>
        <w:ind w:firstLine="413" w:firstLineChars="196"/>
        <w:jc w:val="left"/>
        <w:rPr>
          <w:rFonts w:ascii="宋体" w:hAnsi="宋体"/>
          <w:szCs w:val="21"/>
        </w:rPr>
      </w:pPr>
      <w:r>
        <w:rPr>
          <w:rFonts w:hint="eastAsia" w:ascii="宋体" w:hAnsi="宋体"/>
          <w:b/>
          <w:szCs w:val="21"/>
        </w:rPr>
        <w:t>（1）投标保证金的相关证明扫描件或其他电子文件（</w:t>
      </w:r>
      <w:r>
        <w:rPr>
          <w:rFonts w:hint="eastAsia" w:ascii="宋体" w:hAnsi="宋体"/>
          <w:b/>
          <w:szCs w:val="21"/>
          <w:u w:val="single"/>
        </w:rPr>
        <w:t>必须提供</w:t>
      </w:r>
      <w:r>
        <w:rPr>
          <w:rFonts w:hint="eastAsia" w:ascii="宋体" w:hAnsi="宋体"/>
          <w:b/>
          <w:szCs w:val="21"/>
        </w:rPr>
        <w:t>）</w:t>
      </w:r>
      <w:r>
        <w:rPr>
          <w:rFonts w:hint="eastAsia" w:ascii="宋体" w:hAnsi="宋体"/>
          <w:szCs w:val="21"/>
        </w:rPr>
        <w:t>；</w:t>
      </w:r>
    </w:p>
    <w:p>
      <w:pPr>
        <w:snapToGrid w:val="0"/>
        <w:spacing w:line="360" w:lineRule="exact"/>
        <w:ind w:firstLine="413" w:firstLineChars="196"/>
        <w:jc w:val="left"/>
        <w:rPr>
          <w:rFonts w:ascii="宋体" w:hAnsi="宋体"/>
          <w:szCs w:val="21"/>
        </w:rPr>
      </w:pPr>
      <w:r>
        <w:rPr>
          <w:rFonts w:hint="eastAsia" w:ascii="宋体" w:hAnsi="宋体"/>
          <w:b/>
          <w:szCs w:val="21"/>
        </w:rPr>
        <w:t>（2）投标声明书 (格式见第六章)（必须提供）</w:t>
      </w:r>
      <w:r>
        <w:rPr>
          <w:rFonts w:hint="eastAsia" w:ascii="宋体" w:hAnsi="宋体"/>
          <w:szCs w:val="21"/>
        </w:rPr>
        <w:t>；</w:t>
      </w:r>
    </w:p>
    <w:p>
      <w:pPr>
        <w:snapToGrid w:val="0"/>
        <w:spacing w:line="360" w:lineRule="exact"/>
        <w:ind w:firstLine="413" w:firstLineChars="196"/>
        <w:jc w:val="left"/>
        <w:rPr>
          <w:rFonts w:ascii="宋体" w:hAnsi="宋体"/>
          <w:szCs w:val="21"/>
        </w:rPr>
      </w:pPr>
      <w:r>
        <w:rPr>
          <w:rFonts w:hint="eastAsia" w:ascii="宋体" w:hAnsi="宋体"/>
          <w:b/>
          <w:szCs w:val="21"/>
        </w:rPr>
        <w:t>（3）法定代表人授权委托书和委托代理人身份证扫描件或其他电子文件（格式见第六章)（必须提供）</w:t>
      </w:r>
      <w:r>
        <w:rPr>
          <w:rFonts w:hint="eastAsia" w:ascii="宋体" w:hAnsi="宋体"/>
          <w:szCs w:val="21"/>
        </w:rPr>
        <w:t>；（格式见第六章)；</w:t>
      </w:r>
      <w:r>
        <w:rPr>
          <w:rFonts w:hint="eastAsia" w:ascii="宋体" w:hAnsi="宋体"/>
          <w:b/>
          <w:szCs w:val="21"/>
        </w:rPr>
        <w:t>当法定代表人参加投标时，必须提供法定代表人身份证扫描件或其他电子文件</w:t>
      </w:r>
      <w:r>
        <w:rPr>
          <w:rFonts w:hint="eastAsia" w:ascii="宋体" w:hAnsi="宋体"/>
          <w:szCs w:val="21"/>
        </w:rPr>
        <w:t>；</w:t>
      </w:r>
    </w:p>
    <w:p>
      <w:pPr>
        <w:snapToGrid w:val="0"/>
        <w:spacing w:line="360" w:lineRule="exact"/>
        <w:ind w:firstLine="413" w:firstLineChars="196"/>
        <w:jc w:val="left"/>
        <w:rPr>
          <w:rFonts w:ascii="宋体" w:hAnsi="宋体"/>
          <w:b/>
          <w:szCs w:val="21"/>
        </w:rPr>
      </w:pPr>
      <w:r>
        <w:rPr>
          <w:rFonts w:hint="eastAsia" w:ascii="宋体" w:hAnsi="宋体"/>
          <w:b/>
          <w:szCs w:val="21"/>
        </w:rPr>
        <w:t>（4）投标截止之日前半年内投标人</w:t>
      </w:r>
      <w:r>
        <w:rPr>
          <w:rFonts w:hint="eastAsia" w:ascii="宋体" w:hAnsi="宋体"/>
          <w:b/>
          <w:szCs w:val="21"/>
          <w:lang w:eastAsia="zh-CN"/>
        </w:rPr>
        <w:t>任意一</w:t>
      </w:r>
      <w:r>
        <w:rPr>
          <w:rFonts w:hint="eastAsia" w:ascii="宋体" w:hAnsi="宋体"/>
          <w:b/>
          <w:szCs w:val="21"/>
        </w:rPr>
        <w:t>个月的依法缴纳税费或依法免缴税费的证明（扫描件或其他电子文件，格式自拟）（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无纳税记录的，应提供由投标人所在地主管国税或地税部门出具的《依法纳税或依法免税证明》（格式自拟，</w:t>
      </w:r>
      <w:r>
        <w:rPr>
          <w:rFonts w:hint="eastAsia" w:ascii="宋体" w:hAnsi="宋体"/>
          <w:b/>
          <w:szCs w:val="21"/>
        </w:rPr>
        <w:t>扫描件或其他电子文件</w:t>
      </w:r>
      <w:r>
        <w:rPr>
          <w:rFonts w:hint="eastAsia" w:ascii="宋体" w:hAnsi="宋体"/>
          <w:szCs w:val="21"/>
        </w:rPr>
        <w:t>）。</w:t>
      </w:r>
    </w:p>
    <w:p>
      <w:pPr>
        <w:snapToGrid w:val="0"/>
        <w:spacing w:line="360" w:lineRule="exact"/>
        <w:ind w:firstLine="413" w:firstLineChars="196"/>
        <w:jc w:val="left"/>
        <w:rPr>
          <w:rFonts w:ascii="宋体" w:hAnsi="宋体"/>
          <w:b/>
          <w:szCs w:val="21"/>
        </w:rPr>
      </w:pPr>
      <w:r>
        <w:rPr>
          <w:rFonts w:hint="eastAsia" w:ascii="宋体" w:hAnsi="宋体"/>
          <w:b/>
          <w:szCs w:val="21"/>
        </w:rPr>
        <w:t>（5）投标截止之日前半年内投标人</w:t>
      </w:r>
      <w:r>
        <w:rPr>
          <w:rFonts w:hint="eastAsia" w:ascii="宋体" w:hAnsi="宋体"/>
          <w:b/>
          <w:szCs w:val="21"/>
          <w:lang w:eastAsia="zh-CN"/>
        </w:rPr>
        <w:t>任意一</w:t>
      </w:r>
      <w:r>
        <w:rPr>
          <w:rFonts w:hint="eastAsia" w:ascii="宋体" w:hAnsi="宋体"/>
          <w:b/>
          <w:szCs w:val="21"/>
        </w:rPr>
        <w:t>个月的依法缴纳社保费的缴费凭证</w:t>
      </w:r>
      <w:r>
        <w:rPr>
          <w:rFonts w:hint="eastAsia" w:ascii="宋体" w:hAnsi="宋体"/>
          <w:szCs w:val="21"/>
        </w:rPr>
        <w:t>（</w:t>
      </w:r>
      <w:r>
        <w:rPr>
          <w:rFonts w:hint="eastAsia" w:ascii="宋体" w:hAnsi="宋体"/>
          <w:b/>
          <w:szCs w:val="21"/>
        </w:rPr>
        <w:t>扫描件或其他电子文件，格式自拟）（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无缴费记录的，应提供由投标人所在地社保部门出具的《依法缴纳或依法免缴社保费证明》（格式自拟，</w:t>
      </w:r>
      <w:r>
        <w:rPr>
          <w:rFonts w:hint="eastAsia" w:ascii="宋体" w:hAnsi="宋体"/>
          <w:b/>
          <w:szCs w:val="21"/>
        </w:rPr>
        <w:t>扫描件或其他电子文件</w:t>
      </w:r>
      <w:r>
        <w:rPr>
          <w:rFonts w:hint="eastAsia" w:ascii="宋体" w:hAnsi="宋体"/>
          <w:szCs w:val="21"/>
        </w:rPr>
        <w:t>）。</w:t>
      </w:r>
    </w:p>
    <w:p>
      <w:pPr>
        <w:snapToGrid w:val="0"/>
        <w:spacing w:line="360" w:lineRule="exact"/>
        <w:ind w:firstLine="421" w:firstLineChars="200"/>
        <w:jc w:val="left"/>
        <w:rPr>
          <w:rFonts w:hAnsi="宋体"/>
          <w:b/>
          <w:szCs w:val="21"/>
        </w:rPr>
      </w:pPr>
      <w:r>
        <w:rPr>
          <w:rFonts w:hint="eastAsia" w:hAnsi="宋体"/>
          <w:b/>
          <w:szCs w:val="21"/>
        </w:rPr>
        <w:t>（6）财务状况报告（</w:t>
      </w:r>
      <w:r>
        <w:rPr>
          <w:rFonts w:hint="eastAsia" w:hAnsi="宋体"/>
          <w:b/>
          <w:szCs w:val="21"/>
          <w:u w:val="single"/>
        </w:rPr>
        <w:t>格式自拟，必须提供</w:t>
      </w:r>
      <w:r>
        <w:rPr>
          <w:rFonts w:hint="eastAsia" w:hAnsi="宋体"/>
          <w:b/>
          <w:szCs w:val="21"/>
        </w:rPr>
        <w:t>）；</w:t>
      </w:r>
    </w:p>
    <w:p>
      <w:pPr>
        <w:snapToGrid w:val="0"/>
        <w:spacing w:line="360" w:lineRule="exact"/>
        <w:ind w:firstLine="413" w:firstLineChars="196"/>
        <w:jc w:val="left"/>
        <w:rPr>
          <w:rFonts w:hAnsi="宋体"/>
          <w:szCs w:val="21"/>
        </w:rPr>
      </w:pPr>
      <w:r>
        <w:rPr>
          <w:rFonts w:hint="eastAsia" w:hAnsi="宋体" w:cs="宋体"/>
          <w:b/>
          <w:kern w:val="0"/>
          <w:szCs w:val="21"/>
        </w:rPr>
        <w:t>（7）</w:t>
      </w:r>
      <w:r>
        <w:rPr>
          <w:rFonts w:hint="eastAsia" w:hAnsi="宋体"/>
          <w:b/>
          <w:szCs w:val="21"/>
        </w:rPr>
        <w:t>具备履行合同所必需的设备和专业技术能力的证明材料（</w:t>
      </w:r>
      <w:r>
        <w:rPr>
          <w:rFonts w:hint="eastAsia" w:hAnsi="宋体"/>
          <w:b/>
          <w:szCs w:val="21"/>
          <w:u w:val="single"/>
        </w:rPr>
        <w:t>内容、格式自拟，必须提供</w:t>
      </w:r>
      <w:r>
        <w:rPr>
          <w:rFonts w:hint="eastAsia" w:hAnsi="宋体"/>
          <w:b/>
          <w:szCs w:val="21"/>
        </w:rPr>
        <w:t>）</w:t>
      </w:r>
      <w:r>
        <w:rPr>
          <w:rFonts w:hint="eastAsia" w:hAnsi="宋体" w:cs="宋体"/>
          <w:b/>
          <w:kern w:val="0"/>
          <w:szCs w:val="21"/>
        </w:rPr>
        <w:t>；</w:t>
      </w:r>
    </w:p>
    <w:p>
      <w:pPr>
        <w:snapToGrid w:val="0"/>
        <w:spacing w:line="360" w:lineRule="exact"/>
        <w:ind w:firstLine="413" w:firstLineChars="196"/>
        <w:jc w:val="left"/>
        <w:rPr>
          <w:rFonts w:hAnsi="宋体"/>
          <w:b/>
          <w:szCs w:val="21"/>
        </w:rPr>
      </w:pPr>
      <w:r>
        <w:rPr>
          <w:rFonts w:hint="eastAsia" w:hAnsi="宋体"/>
          <w:b/>
          <w:szCs w:val="21"/>
        </w:rPr>
        <w:t>（8）商务响应表</w:t>
      </w:r>
      <w:r>
        <w:rPr>
          <w:rFonts w:hint="eastAsia" w:hAnsi="宋体"/>
          <w:szCs w:val="21"/>
        </w:rPr>
        <w:t>（格式见第六章）</w:t>
      </w:r>
      <w:r>
        <w:rPr>
          <w:rFonts w:hint="eastAsia" w:hAnsi="宋体"/>
          <w:b/>
          <w:szCs w:val="21"/>
        </w:rPr>
        <w:t>（</w:t>
      </w:r>
      <w:r>
        <w:rPr>
          <w:rFonts w:hint="eastAsia" w:hAnsi="宋体"/>
          <w:b/>
          <w:szCs w:val="21"/>
          <w:u w:val="single"/>
        </w:rPr>
        <w:t>必须提供</w:t>
      </w:r>
      <w:r>
        <w:rPr>
          <w:rFonts w:hint="eastAsia" w:hAnsi="宋体"/>
          <w:b/>
          <w:szCs w:val="21"/>
        </w:rPr>
        <w:t>）；</w:t>
      </w:r>
    </w:p>
    <w:p>
      <w:pPr>
        <w:snapToGrid w:val="0"/>
        <w:spacing w:line="360" w:lineRule="exact"/>
        <w:jc w:val="left"/>
        <w:rPr>
          <w:rFonts w:hAnsi="宋体"/>
          <w:b/>
          <w:szCs w:val="21"/>
        </w:rPr>
      </w:pPr>
      <w:r>
        <w:rPr>
          <w:rFonts w:hint="eastAsia" w:hAnsi="宋体"/>
        </w:rPr>
        <w:t xml:space="preserve">  ▲</w:t>
      </w:r>
      <w:r>
        <w:rPr>
          <w:rFonts w:hint="eastAsia" w:hAnsi="宋体"/>
          <w:szCs w:val="21"/>
        </w:rPr>
        <w:t>（9）</w:t>
      </w:r>
      <w:r>
        <w:rPr>
          <w:rFonts w:hint="eastAsia" w:hAnsi="宋体"/>
          <w:b/>
          <w:szCs w:val="21"/>
        </w:rPr>
        <w:t>招标项目采购需求中要求必须提供的材料等；</w:t>
      </w:r>
    </w:p>
    <w:p>
      <w:pPr>
        <w:snapToGrid w:val="0"/>
        <w:spacing w:line="360" w:lineRule="exact"/>
        <w:ind w:firstLine="411" w:firstLineChars="196"/>
        <w:jc w:val="left"/>
        <w:rPr>
          <w:rFonts w:hAnsi="宋体"/>
          <w:b/>
          <w:szCs w:val="21"/>
        </w:rPr>
      </w:pPr>
      <w:r>
        <w:rPr>
          <w:rFonts w:hint="eastAsia" w:hAnsi="宋体"/>
          <w:szCs w:val="21"/>
        </w:rPr>
        <w:t>（10）具备法律、行政法规规定的其他条件的证明材料</w:t>
      </w:r>
      <w:r>
        <w:rPr>
          <w:rFonts w:hint="eastAsia" w:hAnsi="宋体"/>
          <w:b/>
          <w:szCs w:val="21"/>
        </w:rPr>
        <w:t>(如有规定,则必须提供)。</w:t>
      </w:r>
    </w:p>
    <w:p>
      <w:pPr>
        <w:snapToGrid w:val="0"/>
        <w:spacing w:line="360" w:lineRule="exact"/>
        <w:ind w:firstLine="413" w:firstLineChars="196"/>
        <w:jc w:val="left"/>
        <w:rPr>
          <w:rFonts w:hAnsi="宋体"/>
          <w:b/>
          <w:szCs w:val="21"/>
        </w:rPr>
      </w:pPr>
      <w:r>
        <w:rPr>
          <w:rFonts w:hint="eastAsia" w:hAnsi="宋体"/>
          <w:b/>
          <w:bCs/>
          <w:szCs w:val="21"/>
        </w:rPr>
        <w:t xml:space="preserve">可作为投标人资信评分的资质证明材料（可选）  </w:t>
      </w:r>
    </w:p>
    <w:p>
      <w:pPr>
        <w:snapToGrid w:val="0"/>
        <w:spacing w:line="360" w:lineRule="exact"/>
        <w:ind w:left="937" w:leftChars="196" w:hanging="525" w:hangingChars="250"/>
        <w:jc w:val="left"/>
        <w:rPr>
          <w:rFonts w:hAnsi="宋体"/>
          <w:szCs w:val="21"/>
        </w:rPr>
      </w:pPr>
      <w:r>
        <w:rPr>
          <w:rFonts w:hint="eastAsia" w:hAnsi="宋体"/>
          <w:szCs w:val="21"/>
        </w:rPr>
        <w:t>（11）类似案例成功的业绩（投标人同类项目实施情况一览表、合同扫描件）；</w:t>
      </w:r>
    </w:p>
    <w:p>
      <w:pPr>
        <w:snapToGrid w:val="0"/>
        <w:spacing w:line="360" w:lineRule="exact"/>
        <w:ind w:firstLine="421" w:firstLineChars="200"/>
        <w:jc w:val="left"/>
        <w:rPr>
          <w:rFonts w:hAnsi="宋体"/>
          <w:szCs w:val="21"/>
        </w:rPr>
      </w:pPr>
      <w:r>
        <w:rPr>
          <w:rFonts w:hint="eastAsia" w:hAnsi="宋体"/>
          <w:b/>
          <w:szCs w:val="21"/>
        </w:rPr>
        <w:t>（</w:t>
      </w:r>
      <w:r>
        <w:rPr>
          <w:rFonts w:hint="eastAsia" w:hAnsi="宋体"/>
          <w:szCs w:val="21"/>
        </w:rPr>
        <w:t>12</w:t>
      </w:r>
      <w:r>
        <w:rPr>
          <w:rFonts w:hint="eastAsia" w:hAnsi="宋体"/>
          <w:b/>
          <w:szCs w:val="21"/>
        </w:rPr>
        <w:t>）</w:t>
      </w:r>
      <w:r>
        <w:rPr>
          <w:rFonts w:hint="eastAsia" w:hAnsi="宋体"/>
          <w:szCs w:val="21"/>
        </w:rPr>
        <w:t>其他特殊资质证书（如本地化服务能力等）；</w:t>
      </w:r>
    </w:p>
    <w:p>
      <w:pPr>
        <w:snapToGrid w:val="0"/>
        <w:spacing w:line="360" w:lineRule="exact"/>
        <w:ind w:firstLine="411" w:firstLineChars="196"/>
        <w:jc w:val="left"/>
        <w:rPr>
          <w:rFonts w:hAnsi="宋体"/>
          <w:b/>
          <w:szCs w:val="21"/>
        </w:rPr>
      </w:pPr>
      <w:r>
        <w:rPr>
          <w:rFonts w:hint="eastAsia" w:hAnsi="宋体"/>
          <w:szCs w:val="21"/>
        </w:rPr>
        <w:t>（13）节能环保产品或政府强制采购节能产品清单证书</w:t>
      </w:r>
      <w:r>
        <w:rPr>
          <w:rFonts w:hint="eastAsia" w:hAnsi="宋体"/>
          <w:b/>
          <w:szCs w:val="21"/>
        </w:rPr>
        <w:t>；</w:t>
      </w:r>
    </w:p>
    <w:p>
      <w:pPr>
        <w:snapToGrid w:val="0"/>
        <w:spacing w:line="360" w:lineRule="exact"/>
        <w:ind w:firstLine="411" w:firstLineChars="196"/>
        <w:jc w:val="left"/>
        <w:rPr>
          <w:rFonts w:hAnsi="宋体"/>
          <w:szCs w:val="21"/>
        </w:rPr>
      </w:pPr>
      <w:r>
        <w:rPr>
          <w:rFonts w:hint="eastAsia" w:hAnsi="宋体"/>
          <w:szCs w:val="21"/>
        </w:rPr>
        <w:t>（14）投标人质量管理和质量保证体系等方面的认证证书；</w:t>
      </w:r>
    </w:p>
    <w:p>
      <w:pPr>
        <w:snapToGrid w:val="0"/>
        <w:spacing w:line="360" w:lineRule="exact"/>
        <w:ind w:firstLine="411" w:firstLineChars="196"/>
        <w:jc w:val="left"/>
        <w:rPr>
          <w:rFonts w:hAnsi="宋体"/>
          <w:szCs w:val="21"/>
        </w:rPr>
      </w:pPr>
      <w:r>
        <w:rPr>
          <w:rFonts w:hint="eastAsia" w:hAnsi="宋体"/>
          <w:szCs w:val="21"/>
        </w:rPr>
        <w:t>（15）投标人认为可以证明其能力或业绩的其他材料；</w:t>
      </w:r>
    </w:p>
    <w:p>
      <w:pPr>
        <w:snapToGrid w:val="0"/>
        <w:spacing w:line="360" w:lineRule="exact"/>
        <w:ind w:firstLine="411" w:firstLineChars="196"/>
        <w:jc w:val="left"/>
        <w:rPr>
          <w:rFonts w:hAnsi="宋体"/>
          <w:szCs w:val="21"/>
        </w:rPr>
      </w:pPr>
      <w:r>
        <w:rPr>
          <w:rFonts w:hint="eastAsia" w:hAnsi="宋体"/>
          <w:szCs w:val="21"/>
        </w:rPr>
        <w:t>（16）投标人关于产品生产时间、升级或者更新淘汰计划、配件供应以及本单位债务纠纷、违法违规记录等方面的情况（内容见投标声明书）；</w:t>
      </w:r>
    </w:p>
    <w:p>
      <w:pPr>
        <w:adjustRightInd w:val="0"/>
        <w:snapToGrid w:val="0"/>
        <w:spacing w:line="440" w:lineRule="exact"/>
        <w:ind w:left="3368" w:leftChars="200" w:hanging="2948" w:hangingChars="1404"/>
        <w:jc w:val="left"/>
        <w:rPr>
          <w:rFonts w:ascii="宋体" w:hAnsi="宋体" w:cs="宋体"/>
          <w:szCs w:val="21"/>
        </w:rPr>
      </w:pPr>
      <w:r>
        <w:rPr>
          <w:rFonts w:hint="eastAsia" w:ascii="宋体" w:hAnsi="宋体" w:cs="宋体"/>
          <w:szCs w:val="21"/>
        </w:rPr>
        <w:t>（17）中小企业声明函（格式见第六章，如有请提供）；</w:t>
      </w:r>
    </w:p>
    <w:p>
      <w:pPr>
        <w:adjustRightInd w:val="0"/>
        <w:snapToGrid w:val="0"/>
        <w:spacing w:line="440" w:lineRule="exact"/>
        <w:ind w:left="3368" w:leftChars="200" w:hanging="2948" w:hangingChars="1404"/>
        <w:jc w:val="left"/>
        <w:rPr>
          <w:rFonts w:ascii="宋体" w:hAnsi="宋体" w:cs="宋体"/>
          <w:szCs w:val="21"/>
        </w:rPr>
      </w:pPr>
      <w:r>
        <w:rPr>
          <w:rFonts w:hint="eastAsia" w:ascii="宋体" w:hAnsi="宋体" w:cs="宋体"/>
          <w:szCs w:val="21"/>
        </w:rPr>
        <w:t>（18）关于符合本国产品标准的声明函（格式见第六章，如有请提供）；</w:t>
      </w:r>
    </w:p>
    <w:p>
      <w:pPr>
        <w:snapToGrid w:val="0"/>
        <w:spacing w:line="360" w:lineRule="exact"/>
        <w:ind w:firstLine="411" w:firstLineChars="196"/>
        <w:jc w:val="left"/>
        <w:rPr>
          <w:rFonts w:hAnsi="宋体"/>
          <w:szCs w:val="21"/>
        </w:rPr>
      </w:pPr>
      <w:r>
        <w:rPr>
          <w:rFonts w:hint="eastAsia" w:ascii="宋体" w:hAnsi="宋体" w:cs="宋体"/>
          <w:szCs w:val="21"/>
        </w:rPr>
        <w:t>（19）</w:t>
      </w:r>
      <w:r>
        <w:rPr>
          <w:rFonts w:hint="eastAsia" w:hAnsi="宋体"/>
          <w:szCs w:val="21"/>
        </w:rPr>
        <w:t>投标人情况介绍。</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3.技术文件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w:t>
      </w:r>
      <w:r>
        <w:rPr>
          <w:rFonts w:hint="eastAsia" w:ascii="宋体" w:hAnsi="宋体"/>
          <w:b/>
          <w:szCs w:val="21"/>
        </w:rPr>
        <w:t>技术响应表（</w:t>
      </w:r>
      <w:r>
        <w:rPr>
          <w:rFonts w:hint="eastAsia" w:ascii="宋体" w:hAnsi="宋体"/>
          <w:b/>
          <w:szCs w:val="21"/>
          <w:u w:val="single"/>
        </w:rPr>
        <w:t>必须提供</w:t>
      </w:r>
      <w:r>
        <w:rPr>
          <w:rFonts w:hint="eastAsia" w:ascii="宋体" w:hAnsi="宋体"/>
          <w:b/>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（3）设备配置清单（均不含报价）；</w:t>
      </w:r>
    </w:p>
    <w:p>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w:t>
      </w:r>
      <w:r>
        <w:rPr>
          <w:rFonts w:hint="eastAsia" w:ascii="宋体" w:hAnsi="宋体"/>
          <w:b/>
          <w:szCs w:val="21"/>
          <w:u w:val="single"/>
        </w:rPr>
        <w:t>格式自拟,必须提供</w:t>
      </w:r>
      <w:r>
        <w:rPr>
          <w:rFonts w:hint="eastAsia" w:ascii="宋体" w:hAnsi="宋体"/>
          <w:b/>
          <w:szCs w:val="21"/>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 xml:space="preserve">（5）投标人拥有主要装备和检测设施的情况和现状（格式自拟）及项目实施人员一览表；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▲（9）招标项目采购需求中要求必须提供的材料。</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4.报价文件：</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（1）投标函（</w:t>
      </w:r>
      <w:r>
        <w:rPr>
          <w:rFonts w:hint="eastAsia" w:ascii="宋体" w:hAnsi="宋体"/>
          <w:b/>
          <w:szCs w:val="21"/>
        </w:rPr>
        <w:t>必须提供</w:t>
      </w:r>
      <w:r>
        <w:rPr>
          <w:rFonts w:hint="eastAsia" w:ascii="宋体" w:hAnsi="宋体"/>
          <w:szCs w:val="21"/>
        </w:rPr>
        <w:t xml:space="preserve">，格式见第六章）； </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（2）投标报价明细表（</w:t>
      </w:r>
      <w:r>
        <w:rPr>
          <w:rFonts w:hint="eastAsia" w:ascii="宋体" w:hAnsi="宋体"/>
          <w:b/>
          <w:szCs w:val="21"/>
        </w:rPr>
        <w:t>必须提供</w:t>
      </w:r>
      <w:r>
        <w:rPr>
          <w:rFonts w:hint="eastAsia" w:ascii="宋体" w:hAnsi="宋体"/>
          <w:szCs w:val="21"/>
        </w:rPr>
        <w:t>，格式见第六章）；</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snapToGrid w:val="0"/>
        <w:spacing w:line="360" w:lineRule="exact"/>
        <w:ind w:firstLine="420" w:firstLineChars="200"/>
        <w:jc w:val="left"/>
        <w:rPr>
          <w:rFonts w:ascii="宋体" w:hAnsi="宋体" w:eastAsia="等线"/>
          <w:szCs w:val="21"/>
        </w:rPr>
      </w:pPr>
      <w:r>
        <w:rPr>
          <w:rFonts w:hint="eastAsia" w:ascii="宋体" w:hAnsi="宋体"/>
          <w:szCs w:val="21"/>
        </w:rPr>
        <w:t>（4）开标一览表（</w:t>
      </w:r>
      <w:r>
        <w:rPr>
          <w:rFonts w:hint="eastAsia" w:ascii="宋体" w:hAnsi="宋体"/>
          <w:b/>
          <w:szCs w:val="21"/>
        </w:rPr>
        <w:t>必须提供</w:t>
      </w:r>
      <w:r>
        <w:rPr>
          <w:rFonts w:hint="eastAsia" w:ascii="宋体" w:hAnsi="宋体"/>
          <w:szCs w:val="21"/>
        </w:rPr>
        <w:t>,格式见第六章）。</w:t>
      </w:r>
    </w:p>
    <w:p>
      <w:pPr>
        <w:pStyle w:val="46"/>
        <w:spacing w:line="360" w:lineRule="exact"/>
        <w:ind w:firstLine="420" w:firstLineChars="200"/>
        <w:rPr>
          <w:rFonts w:ascii="宋体" w:hAnsi="宋体"/>
          <w:szCs w:val="21"/>
        </w:rPr>
      </w:pPr>
      <w:r>
        <w:rPr>
          <w:rFonts w:hint="eastAsia" w:ascii="宋体" w:hAnsi="宋体"/>
          <w:szCs w:val="21"/>
        </w:rPr>
        <w:t>▲</w:t>
      </w:r>
      <w:r>
        <w:rPr>
          <w:rFonts w:hint="eastAsia" w:ascii="宋体" w:hAnsi="宋体"/>
          <w:b/>
          <w:bCs/>
          <w:szCs w:val="21"/>
        </w:rPr>
        <w:t>注：法定代表人授权委托书、投标声明书、投标函、开标一览表必须按</w:t>
      </w:r>
      <w:r>
        <w:rPr>
          <w:rFonts w:hint="eastAsia" w:ascii="宋体" w:hAnsi="宋体"/>
          <w:b/>
          <w:szCs w:val="21"/>
        </w:rPr>
        <w:t>招标文件格式要求</w:t>
      </w:r>
      <w:r>
        <w:rPr>
          <w:rFonts w:ascii="宋体" w:hAnsi="宋体"/>
          <w:b/>
          <w:szCs w:val="21"/>
          <w:lang w:val="en"/>
        </w:rPr>
        <w:t>签字或签章</w:t>
      </w:r>
      <w:r>
        <w:rPr>
          <w:rFonts w:hint="eastAsia" w:ascii="宋体" w:hAnsi="宋体"/>
          <w:b/>
          <w:bCs/>
          <w:szCs w:val="21"/>
        </w:rPr>
        <w:t>并加盖单位公章。</w:t>
      </w:r>
    </w:p>
    <w:p>
      <w:pPr>
        <w:snapToGrid w:val="0"/>
        <w:spacing w:line="360" w:lineRule="exact"/>
        <w:ind w:firstLine="413" w:firstLineChars="196"/>
        <w:jc w:val="left"/>
        <w:outlineLvl w:val="0"/>
        <w:rPr>
          <w:rFonts w:ascii="宋体" w:hAnsi="宋体"/>
          <w:b/>
          <w:szCs w:val="21"/>
        </w:rPr>
      </w:pPr>
      <w:r>
        <w:rPr>
          <w:rFonts w:hint="eastAsia" w:ascii="宋体" w:hAnsi="宋体"/>
          <w:b/>
          <w:szCs w:val="21"/>
        </w:rPr>
        <w:t>（二）投标文件的语言及计量</w:t>
      </w:r>
    </w:p>
    <w:p>
      <w:pPr>
        <w:snapToGrid w:val="0"/>
        <w:spacing w:line="360" w:lineRule="exact"/>
        <w:ind w:firstLine="420" w:firstLineChars="20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pPr>
        <w:snapToGrid w:val="0"/>
        <w:spacing w:line="360" w:lineRule="exact"/>
        <w:ind w:firstLine="420" w:firstLineChars="200"/>
        <w:jc w:val="left"/>
        <w:rPr>
          <w:rFonts w:ascii="宋体" w:hAnsi="宋体"/>
          <w:szCs w:val="21"/>
        </w:rPr>
      </w:pPr>
      <w:r>
        <w:rPr>
          <w:rFonts w:hint="eastAsia" w:ascii="宋体" w:hAnsi="宋体"/>
          <w:szCs w:val="21"/>
        </w:rPr>
        <w:t>▲2投标计量单位，招标文件已有明确规定的，使用招标文件规定的计量单位；招标文件没有规定的，应采用中华人民共和国法定计量单位（货币单位：人民币元），否则视同未响应。</w:t>
      </w:r>
    </w:p>
    <w:p>
      <w:pPr>
        <w:snapToGrid w:val="0"/>
        <w:spacing w:before="156" w:beforeLines="50" w:line="360" w:lineRule="exact"/>
        <w:ind w:firstLine="413" w:firstLineChars="196"/>
        <w:jc w:val="left"/>
        <w:outlineLvl w:val="0"/>
        <w:rPr>
          <w:rFonts w:ascii="宋体" w:hAnsi="宋体"/>
          <w:b/>
          <w:szCs w:val="21"/>
        </w:rPr>
      </w:pPr>
      <w:r>
        <w:rPr>
          <w:rFonts w:hint="eastAsia" w:ascii="宋体" w:hAnsi="宋体"/>
          <w:b/>
          <w:szCs w:val="21"/>
        </w:rPr>
        <w:t>（三）投标报价</w:t>
      </w:r>
    </w:p>
    <w:p>
      <w:pPr>
        <w:pStyle w:val="29"/>
        <w:snapToGrid w:val="0"/>
        <w:spacing w:line="360" w:lineRule="exact"/>
        <w:ind w:firstLine="420" w:firstLineChars="200"/>
        <w:jc w:val="left"/>
        <w:rPr>
          <w:rFonts w:hAnsi="宋体"/>
        </w:rPr>
      </w:pPr>
      <w:r>
        <w:rPr>
          <w:rFonts w:hint="eastAsia" w:hAnsi="宋体"/>
        </w:rPr>
        <w:t>1.投标报价应按招标文件中相关附表格式填写。</w:t>
      </w:r>
      <w:r>
        <w:rPr>
          <w:rFonts w:hint="eastAsia" w:hAnsi="宋体"/>
          <w:b/>
          <w:bCs/>
        </w:rPr>
        <w:t>投标人可就《项目采购需求》中所有分标的货物和服务内容按分标分别作完整唯一报价，也可对某个分标或几个分标的货物和服务内容按分标分别作完整唯一报价。</w:t>
      </w:r>
    </w:p>
    <w:p>
      <w:pPr>
        <w:pStyle w:val="29"/>
        <w:snapToGrid w:val="0"/>
        <w:spacing w:line="360" w:lineRule="exact"/>
        <w:ind w:firstLine="420" w:firstLineChars="200"/>
        <w:jc w:val="left"/>
        <w:rPr>
          <w:rFonts w:hAnsi="宋体"/>
        </w:rPr>
      </w:pPr>
      <w:r>
        <w:rPr>
          <w:rFonts w:hint="eastAsia" w:hAnsi="宋体"/>
        </w:rPr>
        <w:t>2.投标报价是履行合同的最终价格，应包括货款、标准附件、备品备件、专用工具、包装、运输、装卸、保险、税金、货到就位以及安装、调试、培训、保修等一切税金和费用。</w:t>
      </w:r>
    </w:p>
    <w:p>
      <w:pPr>
        <w:tabs>
          <w:tab w:val="left" w:pos="525"/>
        </w:tabs>
        <w:snapToGrid w:val="0"/>
        <w:spacing w:line="360" w:lineRule="exact"/>
        <w:ind w:firstLine="420" w:firstLineChars="200"/>
        <w:jc w:val="left"/>
        <w:rPr>
          <w:rFonts w:ascii="宋体" w:hAnsi="宋体"/>
          <w:szCs w:val="21"/>
        </w:rPr>
      </w:pPr>
      <w:r>
        <w:rPr>
          <w:rFonts w:hint="eastAsia" w:ascii="宋体" w:hAnsi="宋体"/>
          <w:szCs w:val="21"/>
        </w:rPr>
        <w:t>3.投标文件只允许有一个报价，有选择的或有条件的报价将不予接受。</w:t>
      </w:r>
    </w:p>
    <w:p>
      <w:pPr>
        <w:pStyle w:val="15"/>
        <w:widowControl w:val="0"/>
        <w:tabs>
          <w:tab w:val="clear" w:pos="454"/>
        </w:tabs>
        <w:snapToGrid w:val="0"/>
        <w:spacing w:before="156" w:beforeLines="50" w:after="120" w:afterLines="0" w:line="360" w:lineRule="exact"/>
        <w:ind w:left="0" w:firstLine="413" w:firstLineChars="196"/>
        <w:outlineLvl w:val="0"/>
        <w:rPr>
          <w:rFonts w:ascii="宋体" w:hAnsi="宋体"/>
          <w:b/>
          <w:sz w:val="21"/>
          <w:szCs w:val="21"/>
        </w:rPr>
      </w:pPr>
      <w:r>
        <w:rPr>
          <w:rFonts w:hint="eastAsia" w:ascii="宋体" w:hAnsi="宋体"/>
          <w:b/>
          <w:sz w:val="21"/>
          <w:szCs w:val="21"/>
        </w:rPr>
        <w:t>（四）投标文件的有效期</w:t>
      </w:r>
    </w:p>
    <w:p>
      <w:pPr>
        <w:pStyle w:val="15"/>
        <w:widowControl w:val="0"/>
        <w:tabs>
          <w:tab w:val="clear" w:pos="454"/>
        </w:tabs>
        <w:snapToGrid w:val="0"/>
        <w:spacing w:after="120" w:afterLines="0" w:line="360" w:lineRule="exact"/>
        <w:ind w:left="0" w:firstLine="420" w:firstLineChars="200"/>
        <w:rPr>
          <w:rFonts w:ascii="宋体" w:hAnsi="宋体"/>
          <w:sz w:val="21"/>
          <w:szCs w:val="21"/>
        </w:rPr>
      </w:pPr>
      <w:r>
        <w:rPr>
          <w:rFonts w:hint="eastAsia" w:ascii="宋体" w:hAnsi="宋体"/>
          <w:sz w:val="21"/>
          <w:szCs w:val="21"/>
        </w:rPr>
        <w:t>1.自投标截止日起</w:t>
      </w:r>
      <w:r>
        <w:rPr>
          <w:rFonts w:hint="eastAsia" w:ascii="宋体" w:hAnsi="宋体"/>
          <w:b/>
          <w:sz w:val="21"/>
          <w:szCs w:val="21"/>
          <w:u w:val="single"/>
        </w:rPr>
        <w:t>六十日</w:t>
      </w:r>
      <w:r>
        <w:rPr>
          <w:rFonts w:hint="eastAsia" w:ascii="宋体" w:hAnsi="宋体"/>
          <w:sz w:val="21"/>
          <w:szCs w:val="21"/>
        </w:rPr>
        <w:t>投标文件应保持有效。有效期不足的投标文件将被拒绝。</w:t>
      </w:r>
    </w:p>
    <w:p>
      <w:pPr>
        <w:pStyle w:val="15"/>
        <w:widowControl w:val="0"/>
        <w:tabs>
          <w:tab w:val="clear" w:pos="454"/>
        </w:tabs>
        <w:snapToGrid w:val="0"/>
        <w:spacing w:after="120" w:afterLines="0" w:line="360" w:lineRule="exact"/>
        <w:ind w:left="0" w:firstLine="420" w:firstLineChars="200"/>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pPr>
        <w:snapToGrid w:val="0"/>
        <w:spacing w:line="360" w:lineRule="exact"/>
        <w:ind w:firstLine="420" w:firstLineChars="200"/>
        <w:jc w:val="left"/>
        <w:outlineLvl w:val="0"/>
        <w:rPr>
          <w:rFonts w:ascii="宋体" w:hAnsi="宋体"/>
          <w:b/>
          <w:szCs w:val="21"/>
        </w:rPr>
      </w:pPr>
      <w:r>
        <w:rPr>
          <w:rFonts w:hint="eastAsia" w:ascii="宋体" w:hAnsi="宋体"/>
          <w:szCs w:val="21"/>
        </w:rPr>
        <w:t>3.投标人可拒绝接受延期要求而不会导致投标保证金被没收。同意延长有效期的投标人需要相应延长投标保证金的有效期，但不能修改投标文件。</w:t>
      </w:r>
      <w:r>
        <w:rPr>
          <w:rFonts w:hint="eastAsia" w:ascii="宋体" w:hAnsi="宋体"/>
          <w:b/>
          <w:szCs w:val="21"/>
        </w:rPr>
        <w:t xml:space="preserve"> </w:t>
      </w:r>
    </w:p>
    <w:p>
      <w:pPr>
        <w:snapToGrid w:val="0"/>
        <w:spacing w:line="360" w:lineRule="exact"/>
        <w:ind w:firstLine="420" w:firstLineChars="200"/>
        <w:jc w:val="left"/>
        <w:outlineLvl w:val="0"/>
        <w:rPr>
          <w:rFonts w:ascii="宋体" w:hAnsi="宋体"/>
          <w:b/>
          <w:szCs w:val="21"/>
        </w:rPr>
      </w:pPr>
      <w:r>
        <w:rPr>
          <w:rFonts w:hint="eastAsia" w:ascii="宋体" w:hAnsi="宋体"/>
          <w:szCs w:val="21"/>
        </w:rPr>
        <w:t>4.中标人的投标文件自开标之日起至合同履行完毕止均应保持有效。</w:t>
      </w:r>
    </w:p>
    <w:p>
      <w:pPr>
        <w:snapToGrid w:val="0"/>
        <w:spacing w:before="156" w:beforeLines="50" w:line="360" w:lineRule="exact"/>
        <w:ind w:firstLine="413" w:firstLineChars="196"/>
        <w:jc w:val="left"/>
        <w:outlineLvl w:val="0"/>
        <w:rPr>
          <w:rFonts w:ascii="宋体" w:hAnsi="宋体"/>
          <w:b/>
          <w:szCs w:val="21"/>
        </w:rPr>
      </w:pPr>
      <w:r>
        <w:rPr>
          <w:rFonts w:hint="eastAsia" w:ascii="宋体" w:hAnsi="宋体"/>
          <w:b/>
          <w:szCs w:val="21"/>
        </w:rPr>
        <w:t>（五）投标保证金</w:t>
      </w:r>
    </w:p>
    <w:p>
      <w:pPr>
        <w:pStyle w:val="29"/>
        <w:spacing w:line="420" w:lineRule="exact"/>
        <w:ind w:left="840" w:leftChars="200" w:hanging="420" w:hangingChars="200"/>
        <w:rPr>
          <w:rFonts w:hAnsi="宋体"/>
        </w:rPr>
      </w:pPr>
      <w:r>
        <w:rPr>
          <w:rFonts w:hint="eastAsia" w:hAnsi="宋体"/>
        </w:rPr>
        <w:t>1. 投标保证金应用人民币，投标人须按规定提交投标保证金。否则，其投标将被拒绝。</w:t>
      </w:r>
    </w:p>
    <w:p>
      <w:pPr>
        <w:snapToGrid w:val="0"/>
        <w:spacing w:line="360" w:lineRule="exact"/>
        <w:ind w:firstLine="420" w:firstLineChars="200"/>
        <w:jc w:val="left"/>
        <w:rPr>
          <w:rFonts w:ascii="宋体" w:hAnsi="宋体"/>
          <w:szCs w:val="21"/>
        </w:rPr>
      </w:pPr>
      <w:r>
        <w:rPr>
          <w:rFonts w:hint="eastAsia" w:ascii="宋体" w:hAnsi="宋体"/>
          <w:szCs w:val="21"/>
        </w:rPr>
        <w:t>2.保证金交纳形式：</w:t>
      </w:r>
      <w:r>
        <w:rPr>
          <w:rFonts w:hint="eastAsia" w:ascii="宋体" w:hAnsi="宋体"/>
        </w:rPr>
        <w:t>支票、汇票、本票、金融机构、担保机构</w:t>
      </w:r>
      <w:r>
        <w:rPr>
          <w:rFonts w:ascii="宋体" w:hAnsi="宋体"/>
        </w:rPr>
        <w:t>出具的保函等非现金形式</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3.</w:t>
      </w:r>
      <w:r>
        <w:rPr>
          <w:rFonts w:ascii="宋体" w:hAnsi="宋体"/>
          <w:szCs w:val="21"/>
        </w:rPr>
        <w:t xml:space="preserve"> 投标人应按本须知</w:t>
      </w:r>
      <w:r>
        <w:rPr>
          <w:rFonts w:hint="eastAsia" w:ascii="宋体" w:hAnsi="宋体"/>
          <w:szCs w:val="21"/>
        </w:rPr>
        <w:t>及</w:t>
      </w:r>
      <w:r>
        <w:rPr>
          <w:rFonts w:ascii="宋体" w:hAnsi="宋体"/>
          <w:szCs w:val="21"/>
        </w:rPr>
        <w:t>招标公告中所明确的开户名称、开户银行、账号，于投标截止前交到本中心账户上（投标人交纳投标保证金时应充分考虑保证金到达本中心账户上的</w:t>
      </w:r>
      <w:r>
        <w:rPr>
          <w:rFonts w:hint="eastAsia" w:ascii="宋体" w:hAnsi="宋体"/>
          <w:szCs w:val="21"/>
        </w:rPr>
        <w:t>清算</w:t>
      </w:r>
      <w:r>
        <w:rPr>
          <w:rFonts w:ascii="宋体" w:hAnsi="宋体"/>
          <w:szCs w:val="21"/>
        </w:rPr>
        <w:t>时间）。</w:t>
      </w:r>
    </w:p>
    <w:p>
      <w:pPr>
        <w:snapToGrid w:val="0"/>
        <w:spacing w:line="360" w:lineRule="exact"/>
        <w:jc w:val="left"/>
        <w:rPr>
          <w:rFonts w:ascii="宋体" w:hAnsi="宋体"/>
          <w:szCs w:val="21"/>
        </w:rPr>
      </w:pPr>
      <w:r>
        <w:rPr>
          <w:rFonts w:hint="eastAsia"/>
          <w:b/>
          <w:u w:val="single"/>
        </w:rPr>
        <w:t>本中心财务（</w:t>
      </w:r>
      <w:r>
        <w:rPr>
          <w:b/>
          <w:u w:val="single"/>
          <w:lang w:val="en"/>
        </w:rPr>
        <w:t>地址：</w:t>
      </w:r>
      <w:r>
        <w:rPr>
          <w:rFonts w:hint="eastAsia"/>
          <w:b/>
          <w:u w:val="single"/>
          <w:lang w:val="en"/>
        </w:rPr>
        <w:t>广西南宁市星湖路22号广西壮族自治区政府采购中心综合楼3楼306室； 电话：0771-8600309。</w:t>
      </w:r>
      <w:r>
        <w:rPr>
          <w:rFonts w:hint="eastAsia"/>
          <w:b/>
          <w:u w:val="single"/>
        </w:rPr>
        <w:t>）</w:t>
      </w:r>
    </w:p>
    <w:p>
      <w:pPr>
        <w:pStyle w:val="29"/>
        <w:spacing w:line="420" w:lineRule="exact"/>
        <w:ind w:left="1" w:firstLine="630" w:firstLineChars="349"/>
        <w:rPr>
          <w:b/>
          <w:sz w:val="18"/>
          <w:szCs w:val="18"/>
        </w:rPr>
      </w:pPr>
      <w:r>
        <w:rPr>
          <w:rFonts w:hint="eastAsia" w:hAnsi="宋体"/>
          <w:b/>
          <w:sz w:val="18"/>
          <w:szCs w:val="18"/>
        </w:rPr>
        <w:t>注：①</w:t>
      </w:r>
      <w:r>
        <w:rPr>
          <w:rFonts w:hint="eastAsia"/>
          <w:b/>
          <w:sz w:val="18"/>
          <w:szCs w:val="18"/>
        </w:rPr>
        <w:t>办理投标保证金手续时，请务必在保证金凭据上注明或写明项目名称及项目编号，以免耽误投标。</w:t>
      </w:r>
    </w:p>
    <w:p>
      <w:pPr>
        <w:snapToGrid w:val="0"/>
        <w:spacing w:line="360" w:lineRule="exact"/>
        <w:ind w:firstLine="984" w:firstLineChars="545"/>
        <w:jc w:val="left"/>
        <w:rPr>
          <w:rFonts w:hAnsi="宋体"/>
          <w:b/>
          <w:sz w:val="18"/>
          <w:szCs w:val="18"/>
        </w:rPr>
      </w:pPr>
      <w:r>
        <w:rPr>
          <w:rFonts w:hint="eastAsia" w:hAnsi="宋体"/>
          <w:b/>
          <w:sz w:val="18"/>
          <w:szCs w:val="18"/>
        </w:rPr>
        <w:t>②</w:t>
      </w:r>
      <w:r>
        <w:rPr>
          <w:rFonts w:hint="eastAsia" w:ascii="宋体" w:hAnsi="宋体"/>
          <w:b/>
          <w:sz w:val="18"/>
          <w:szCs w:val="18"/>
        </w:rPr>
        <w:t>未中标人的投标保证金在中标通知书发出后4个工作日内退还，</w:t>
      </w:r>
      <w:r>
        <w:rPr>
          <w:rFonts w:hint="eastAsia" w:hAnsi="宋体"/>
          <w:b/>
          <w:sz w:val="18"/>
          <w:szCs w:val="18"/>
        </w:rPr>
        <w:t>不计利息。</w:t>
      </w:r>
    </w:p>
    <w:p>
      <w:pPr>
        <w:snapToGrid w:val="0"/>
        <w:spacing w:line="360" w:lineRule="exact"/>
        <w:ind w:firstLine="990" w:firstLineChars="548"/>
        <w:jc w:val="left"/>
        <w:rPr>
          <w:rFonts w:ascii="宋体" w:hAnsi="宋体"/>
          <w:b/>
          <w:sz w:val="18"/>
          <w:szCs w:val="18"/>
        </w:rPr>
      </w:pPr>
      <w:r>
        <w:rPr>
          <w:rFonts w:hint="eastAsia" w:hAnsi="宋体"/>
          <w:b/>
          <w:sz w:val="18"/>
          <w:szCs w:val="18"/>
        </w:rPr>
        <w:t>③</w:t>
      </w:r>
      <w:r>
        <w:rPr>
          <w:rFonts w:hint="eastAsia" w:ascii="宋体" w:hAnsi="宋体"/>
          <w:b/>
          <w:spacing w:val="-4"/>
          <w:sz w:val="18"/>
          <w:szCs w:val="18"/>
        </w:rPr>
        <w:t>中标人的</w:t>
      </w:r>
      <w:r>
        <w:rPr>
          <w:rFonts w:ascii="宋体" w:hAnsi="宋体"/>
          <w:b/>
          <w:spacing w:val="-4"/>
          <w:sz w:val="18"/>
          <w:szCs w:val="18"/>
        </w:rPr>
        <w:t>投标保证金自政府采购合同签订之日起</w:t>
      </w:r>
      <w:r>
        <w:rPr>
          <w:rFonts w:hint="eastAsia" w:ascii="宋体" w:hAnsi="宋体"/>
          <w:b/>
          <w:spacing w:val="-4"/>
          <w:sz w:val="18"/>
          <w:szCs w:val="18"/>
        </w:rPr>
        <w:t>4个工作日</w:t>
      </w:r>
      <w:r>
        <w:rPr>
          <w:rFonts w:ascii="宋体" w:hAnsi="宋体"/>
          <w:b/>
          <w:spacing w:val="-4"/>
          <w:sz w:val="18"/>
          <w:szCs w:val="18"/>
        </w:rPr>
        <w:t>内</w:t>
      </w:r>
      <w:r>
        <w:rPr>
          <w:rFonts w:hint="eastAsia" w:ascii="宋体" w:hAnsi="宋体"/>
          <w:b/>
          <w:spacing w:val="-4"/>
          <w:sz w:val="18"/>
          <w:szCs w:val="18"/>
        </w:rPr>
        <w:t>（合同签订后送达本中心)后</w:t>
      </w:r>
      <w:r>
        <w:rPr>
          <w:rFonts w:ascii="宋体" w:hAnsi="宋体"/>
          <w:b/>
          <w:spacing w:val="-4"/>
          <w:sz w:val="18"/>
          <w:szCs w:val="18"/>
        </w:rPr>
        <w:t>退还</w:t>
      </w:r>
      <w:r>
        <w:rPr>
          <w:rFonts w:hint="eastAsia" w:ascii="宋体" w:hAnsi="宋体"/>
          <w:b/>
          <w:spacing w:val="-4"/>
          <w:sz w:val="18"/>
          <w:szCs w:val="18"/>
        </w:rPr>
        <w:t>，不计利息。</w:t>
      </w:r>
    </w:p>
    <w:p>
      <w:pPr>
        <w:snapToGrid w:val="0"/>
        <w:spacing w:line="360" w:lineRule="exact"/>
        <w:ind w:firstLine="420" w:firstLineChars="200"/>
        <w:jc w:val="left"/>
        <w:rPr>
          <w:rFonts w:ascii="宋体" w:hAnsi="宋体"/>
          <w:szCs w:val="21"/>
        </w:rPr>
      </w:pPr>
      <w:r>
        <w:rPr>
          <w:rFonts w:hint="eastAsia" w:ascii="宋体" w:hAnsi="宋体"/>
          <w:szCs w:val="21"/>
        </w:rPr>
        <w:t xml:space="preserve">4. </w:t>
      </w:r>
      <w:r>
        <w:rPr>
          <w:rFonts w:ascii="宋体" w:hAnsi="宋体" w:cs="宋体"/>
          <w:kern w:val="0"/>
          <w:szCs w:val="21"/>
        </w:rPr>
        <w:t>中标人应在中标通知书发出</w:t>
      </w:r>
      <w:r>
        <w:rPr>
          <w:rFonts w:hint="eastAsia" w:ascii="宋体" w:hAnsi="宋体" w:cs="宋体"/>
          <w:kern w:val="0"/>
          <w:szCs w:val="21"/>
        </w:rPr>
        <w:t>之日起</w:t>
      </w:r>
      <w:r>
        <w:rPr>
          <w:rFonts w:hint="eastAsia" w:ascii="宋体" w:hAnsi="宋体"/>
          <w:szCs w:val="21"/>
          <w:u w:val="single"/>
        </w:rPr>
        <w:t>25</w:t>
      </w:r>
      <w:r>
        <w:rPr>
          <w:rFonts w:hint="eastAsia" w:ascii="宋体" w:hAnsi="宋体"/>
          <w:szCs w:val="21"/>
        </w:rPr>
        <w:t>日内与采购人签订合同。</w:t>
      </w:r>
      <w:r>
        <w:rPr>
          <w:rFonts w:hint="eastAsia" w:hAnsi="宋体"/>
          <w:bCs/>
        </w:rPr>
        <w:t>采购需求另有要求的，按照其要求执行。</w:t>
      </w:r>
    </w:p>
    <w:p>
      <w:pPr>
        <w:pStyle w:val="29"/>
        <w:spacing w:line="400" w:lineRule="exact"/>
        <w:ind w:firstLine="420" w:firstLineChars="200"/>
        <w:rPr>
          <w:rFonts w:hAnsi="宋体"/>
        </w:rPr>
      </w:pPr>
      <w:r>
        <w:rPr>
          <w:rFonts w:hint="eastAsia"/>
        </w:rPr>
        <w:t>5.投标保证金不计息。</w:t>
      </w:r>
    </w:p>
    <w:p>
      <w:pPr>
        <w:snapToGrid w:val="0"/>
        <w:spacing w:line="360" w:lineRule="exact"/>
        <w:ind w:firstLine="413" w:firstLineChars="196"/>
        <w:jc w:val="left"/>
        <w:rPr>
          <w:rFonts w:ascii="宋体" w:hAnsi="宋体"/>
          <w:b/>
          <w:bCs/>
          <w:szCs w:val="21"/>
        </w:rPr>
      </w:pPr>
      <w:r>
        <w:rPr>
          <w:rFonts w:hint="eastAsia" w:ascii="宋体" w:hAnsi="宋体"/>
          <w:b/>
          <w:bCs/>
          <w:szCs w:val="21"/>
        </w:rPr>
        <w:t>6.投标人有下列情形之一的，投标保证金将不予退还：</w:t>
      </w:r>
    </w:p>
    <w:p>
      <w:pPr>
        <w:snapToGrid w:val="0"/>
        <w:spacing w:line="360" w:lineRule="exact"/>
        <w:ind w:firstLine="411" w:firstLineChars="196"/>
        <w:jc w:val="left"/>
        <w:rPr>
          <w:rFonts w:ascii="宋体" w:hAnsi="宋体"/>
          <w:szCs w:val="21"/>
        </w:rPr>
      </w:pPr>
      <w:r>
        <w:rPr>
          <w:rFonts w:hint="eastAsia" w:ascii="宋体" w:hAnsi="宋体"/>
          <w:szCs w:val="21"/>
        </w:rPr>
        <w:t>（1）投标人在投标有效期内撤回投标文件的；</w:t>
      </w:r>
    </w:p>
    <w:p>
      <w:pPr>
        <w:snapToGrid w:val="0"/>
        <w:spacing w:line="360" w:lineRule="exact"/>
        <w:ind w:firstLine="411" w:firstLineChars="196"/>
        <w:jc w:val="left"/>
        <w:rPr>
          <w:rFonts w:ascii="宋体" w:hAnsi="宋体"/>
          <w:szCs w:val="21"/>
        </w:rPr>
      </w:pPr>
      <w:r>
        <w:rPr>
          <w:rFonts w:hint="eastAsia" w:ascii="宋体" w:hAnsi="宋体"/>
          <w:szCs w:val="21"/>
        </w:rPr>
        <w:t>（2）投标人在投标过程中弄虚作假，提供虚假材料的；</w:t>
      </w:r>
    </w:p>
    <w:p>
      <w:pPr>
        <w:snapToGrid w:val="0"/>
        <w:spacing w:line="360" w:lineRule="exact"/>
        <w:ind w:firstLine="411" w:firstLineChars="196"/>
        <w:jc w:val="left"/>
        <w:rPr>
          <w:rFonts w:ascii="宋体" w:hAnsi="宋体"/>
          <w:szCs w:val="21"/>
        </w:rPr>
      </w:pPr>
      <w:r>
        <w:rPr>
          <w:rFonts w:hint="eastAsia" w:ascii="宋体" w:hAnsi="宋体"/>
          <w:szCs w:val="21"/>
        </w:rPr>
        <w:t>（3）中标人无正当理由不与采购人签订合同的；</w:t>
      </w:r>
    </w:p>
    <w:p>
      <w:pPr>
        <w:snapToGrid w:val="0"/>
        <w:spacing w:line="360" w:lineRule="exact"/>
        <w:ind w:firstLine="420" w:firstLineChars="200"/>
        <w:rPr>
          <w:rFonts w:ascii="宋体" w:hAnsi="宋体"/>
          <w:szCs w:val="21"/>
        </w:rPr>
      </w:pPr>
      <w:r>
        <w:rPr>
          <w:rFonts w:hint="eastAsia" w:ascii="宋体" w:hAnsi="宋体"/>
          <w:szCs w:val="21"/>
        </w:rPr>
        <w:t>（4）</w:t>
      </w:r>
      <w:r>
        <w:rPr>
          <w:rFonts w:hint="eastAsia" w:ascii="宋体" w:hAnsi="宋体"/>
          <w:bCs/>
          <w:spacing w:val="-6"/>
          <w:szCs w:val="21"/>
        </w:rPr>
        <w:t>将中标项目转让给他人或者在投标文件中未说明且未经招标采购人同意，将中标项目分包给他人的；</w:t>
      </w:r>
    </w:p>
    <w:p>
      <w:pPr>
        <w:snapToGrid w:val="0"/>
        <w:spacing w:line="360" w:lineRule="exact"/>
        <w:ind w:firstLine="411" w:firstLineChars="196"/>
        <w:rPr>
          <w:rFonts w:ascii="宋体" w:hAnsi="宋体"/>
          <w:b/>
          <w:szCs w:val="21"/>
        </w:rPr>
      </w:pPr>
      <w:r>
        <w:rPr>
          <w:rFonts w:hint="eastAsia" w:ascii="宋体" w:hAnsi="宋体"/>
          <w:szCs w:val="21"/>
        </w:rPr>
        <w:t>（5）拒绝履行合同义务的；</w:t>
      </w:r>
    </w:p>
    <w:p>
      <w:pPr>
        <w:snapToGrid w:val="0"/>
        <w:spacing w:line="360" w:lineRule="exact"/>
        <w:ind w:firstLine="420" w:firstLineChars="200"/>
        <w:rPr>
          <w:rFonts w:ascii="宋体" w:hAnsi="宋体"/>
          <w:szCs w:val="21"/>
        </w:rPr>
      </w:pPr>
      <w:r>
        <w:rPr>
          <w:rFonts w:hint="eastAsia" w:ascii="宋体" w:hAnsi="宋体"/>
          <w:szCs w:val="21"/>
        </w:rPr>
        <w:t>（6）其他严重扰乱招投标程序的。</w:t>
      </w:r>
    </w:p>
    <w:p>
      <w:pPr>
        <w:snapToGrid w:val="0"/>
        <w:spacing w:line="360" w:lineRule="exact"/>
        <w:ind w:firstLine="421" w:firstLineChars="200"/>
        <w:rPr>
          <w:rFonts w:ascii="宋体" w:hAnsi="宋体"/>
          <w:b/>
          <w:szCs w:val="21"/>
        </w:rPr>
      </w:pPr>
      <w:r>
        <w:rPr>
          <w:rFonts w:hint="eastAsia" w:ascii="宋体" w:hAnsi="宋体"/>
          <w:b/>
          <w:szCs w:val="21"/>
        </w:rPr>
        <w:t>（六）投标文件的签署和份数</w:t>
      </w:r>
    </w:p>
    <w:p>
      <w:pPr>
        <w:snapToGrid w:val="0"/>
        <w:spacing w:line="360" w:lineRule="exact"/>
        <w:ind w:firstLine="420" w:firstLineChars="200"/>
        <w:jc w:val="left"/>
        <w:rPr>
          <w:rFonts w:ascii="宋体" w:hAnsi="宋体"/>
          <w:szCs w:val="21"/>
        </w:rPr>
      </w:pPr>
      <w:r>
        <w:rPr>
          <w:rFonts w:hint="eastAsia" w:ascii="宋体" w:hAnsi="宋体"/>
          <w:szCs w:val="21"/>
        </w:rPr>
        <w:t>1.投标人应按本招标文件规定的格式和顺序编制投标文件并标注页码，投标文件内容不完整、编排混乱导致投标文件被误读、漏读或者查找不到相关内容的，是投标人的责任。</w:t>
      </w:r>
    </w:p>
    <w:p>
      <w:pPr>
        <w:snapToGrid w:val="0"/>
        <w:spacing w:line="360" w:lineRule="exact"/>
        <w:ind w:firstLine="420" w:firstLineChars="200"/>
        <w:jc w:val="left"/>
        <w:rPr>
          <w:rFonts w:ascii="宋体" w:hAnsi="宋体"/>
          <w:szCs w:val="21"/>
        </w:rPr>
      </w:pPr>
      <w:r>
        <w:rPr>
          <w:rFonts w:hint="eastAsia" w:ascii="宋体" w:hAnsi="宋体"/>
          <w:szCs w:val="21"/>
        </w:rPr>
        <w:t>2. 投标文件份数：见投标人须知及前附表。</w:t>
      </w:r>
    </w:p>
    <w:p>
      <w:pPr>
        <w:snapToGrid w:val="0"/>
        <w:spacing w:line="360" w:lineRule="exact"/>
        <w:ind w:firstLine="420" w:firstLineChars="200"/>
        <w:jc w:val="left"/>
        <w:rPr>
          <w:rFonts w:ascii="宋体" w:hAnsi="宋体"/>
          <w:szCs w:val="21"/>
        </w:rPr>
      </w:pPr>
      <w:r>
        <w:rPr>
          <w:rFonts w:hint="eastAsia" w:ascii="宋体" w:hAnsi="宋体"/>
          <w:szCs w:val="21"/>
        </w:rPr>
        <w:t>3.投标文件须由投标人在规定位置盖章并由法定代表人或法定代表人的授权委托人签字或签章，投标人应写全称。</w:t>
      </w:r>
    </w:p>
    <w:p>
      <w:pPr>
        <w:snapToGrid w:val="0"/>
        <w:spacing w:line="360" w:lineRule="exact"/>
        <w:ind w:firstLine="420" w:firstLineChars="200"/>
        <w:jc w:val="left"/>
        <w:rPr>
          <w:rFonts w:ascii="宋体" w:hAnsi="宋体"/>
          <w:szCs w:val="21"/>
        </w:rPr>
      </w:pPr>
      <w:r>
        <w:rPr>
          <w:rFonts w:hint="eastAsia" w:ascii="宋体" w:hAnsi="宋体"/>
          <w:szCs w:val="21"/>
        </w:rPr>
        <w:t>4.投标文件不得涂改，若有修改错漏处，须加盖单位公章或者法定代表人或授权委托人签字或签章。投标文件扫描不清晰或乱码或表达不清所引起的后果由投标人负责。</w:t>
      </w:r>
    </w:p>
    <w:p>
      <w:pPr>
        <w:snapToGrid w:val="0"/>
        <w:spacing w:before="156" w:beforeLines="50" w:line="360" w:lineRule="exact"/>
        <w:ind w:firstLine="309" w:firstLineChars="147"/>
        <w:jc w:val="left"/>
        <w:outlineLvl w:val="0"/>
        <w:rPr>
          <w:rFonts w:ascii="宋体" w:hAnsi="宋体"/>
          <w:b/>
          <w:szCs w:val="21"/>
        </w:rPr>
      </w:pPr>
      <w:r>
        <w:rPr>
          <w:rFonts w:hint="eastAsia" w:ascii="宋体" w:hAnsi="宋体"/>
          <w:b/>
          <w:szCs w:val="21"/>
        </w:rPr>
        <w:t>（七）</w:t>
      </w:r>
      <w:r>
        <w:rPr>
          <w:rFonts w:hint="eastAsia"/>
          <w:b/>
        </w:rPr>
        <w:t>投标文件的上传、提交、修改、撤回和解密</w:t>
      </w:r>
    </w:p>
    <w:p>
      <w:pPr>
        <w:adjustRightInd w:val="0"/>
        <w:snapToGrid w:val="0"/>
        <w:spacing w:line="400" w:lineRule="exact"/>
        <w:ind w:firstLine="420"/>
        <w:jc w:val="left"/>
        <w:rPr>
          <w:b/>
        </w:rPr>
      </w:pPr>
      <w:r>
        <w:rPr>
          <w:rFonts w:hint="eastAsia" w:hAnsi="宋体"/>
        </w:rPr>
        <w:t>▲</w:t>
      </w:r>
      <w:r>
        <w:rPr>
          <w:rFonts w:hint="eastAsia" w:ascii="宋体" w:hAnsi="宋体"/>
          <w:szCs w:val="21"/>
        </w:rPr>
        <w:t xml:space="preserve">1. </w:t>
      </w:r>
      <w:r>
        <w:rPr>
          <w:rFonts w:hint="eastAsia"/>
          <w:b/>
        </w:rPr>
        <w:t>投标文件的上传、提交：见投标人须知及前附表。</w:t>
      </w:r>
    </w:p>
    <w:p>
      <w:pPr>
        <w:adjustRightInd w:val="0"/>
        <w:snapToGrid w:val="0"/>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kern w:val="0"/>
          <w:szCs w:val="21"/>
          <w:lang w:val="zh-CN"/>
        </w:rPr>
        <w:t xml:space="preserve"> 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ascii="宋体" w:hAnsi="宋体"/>
          <w:spacing w:val="-4"/>
          <w:szCs w:val="21"/>
        </w:rPr>
      </w:pPr>
      <w:r>
        <w:rPr>
          <w:rFonts w:hint="eastAsia" w:ascii="宋体" w:hAnsi="宋体"/>
          <w:spacing w:val="-4"/>
          <w:szCs w:val="21"/>
        </w:rPr>
        <w:t>3.</w:t>
      </w:r>
      <w:r>
        <w:rPr>
          <w:rFonts w:hint="eastAsia" w:ascii="宋体"/>
          <w:snapToGrid w:val="0"/>
          <w:szCs w:val="21"/>
        </w:rPr>
        <w:t xml:space="preserve"> 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snapToGrid w:val="0"/>
        <w:spacing w:line="36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4.投标人已经被推荐为第一中标候选供应商后撤回投标或放弃中标的，其投标保证金将不予退还，并上缴国库，给采购人造成损失的，还应当赔偿损失，并作为不良行为记录在案。</w:t>
      </w:r>
    </w:p>
    <w:p>
      <w:pPr>
        <w:snapToGrid w:val="0"/>
        <w:spacing w:line="360" w:lineRule="exact"/>
        <w:ind w:firstLine="420"/>
        <w:jc w:val="left"/>
        <w:outlineLvl w:val="0"/>
        <w:rPr>
          <w:rFonts w:ascii="宋体" w:hAnsi="宋体"/>
          <w:b/>
          <w:szCs w:val="21"/>
        </w:rPr>
      </w:pPr>
      <w:r>
        <w:rPr>
          <w:rFonts w:hint="eastAsia" w:ascii="宋体" w:hAnsi="宋体"/>
          <w:b/>
          <w:szCs w:val="21"/>
        </w:rPr>
        <w:t>（八）投标无效的情形</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1.在符合性审查和资格性审查时，如发现下列情形之一的，投标文件将被视为无效：</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（1）超越了按照法律法规规定必须获得行政许可或者行政审批的经营范围的；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（2）资格证明文件不全的，或者不符合招标文件标明的资格要求的；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（3）投标文件无法定代表人（负责人）或其授权委托代理人</w:t>
      </w:r>
      <w:r>
        <w:rPr>
          <w:rFonts w:ascii="宋体" w:hAnsi="宋体" w:eastAsia="宋体"/>
          <w:spacing w:val="-4"/>
          <w:sz w:val="21"/>
          <w:szCs w:val="21"/>
          <w:lang w:val="en"/>
        </w:rPr>
        <w:t>签字或签章</w:t>
      </w:r>
      <w:r>
        <w:rPr>
          <w:rFonts w:hint="eastAsia" w:ascii="宋体" w:hAnsi="宋体" w:eastAsia="宋体"/>
          <w:spacing w:val="-4"/>
          <w:sz w:val="21"/>
          <w:szCs w:val="21"/>
        </w:rPr>
        <w:t>，或未提供法定代表人（负责人）授权委托书、投标声明书或者填写项目不齐全的；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（4）投标代表人未能出具身份证明或与法定代表人（负责人）授权委托人身份不符的；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（5）项目不齐全或者内容虚假的；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（6）投标文件的实质性内容未使用中文表述、意思表述不明确、前后矛盾或者使用计量单位不符合投标文件要求的（经评标委员会认定并允许其当场更正的笔误除外）；</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（7）投标有效期、交付使用时间、质保期等商务条款不能满足招标文件要求的；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（8）未实质性响应招标文件要求或者投标文件有招标方不能接受的附加条件的；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（9）</w:t>
      </w:r>
      <w:r>
        <w:rPr>
          <w:rFonts w:ascii="宋体" w:hAnsi="宋体" w:eastAsia="宋体"/>
          <w:spacing w:val="-4"/>
          <w:sz w:val="21"/>
          <w:szCs w:val="21"/>
        </w:rPr>
        <w:t>未按照招标文件的规定提交投标保证金的</w:t>
      </w:r>
      <w:r>
        <w:rPr>
          <w:rFonts w:hint="eastAsia" w:ascii="宋体" w:hAnsi="宋体" w:eastAsia="宋体"/>
          <w:spacing w:val="-4"/>
          <w:sz w:val="21"/>
          <w:szCs w:val="21"/>
        </w:rPr>
        <w:t>（说明：评标时，评标委员会将以本中心财务室编制的《采购文件购买名单及保证金收缴情况表》作为评审依据）。</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2.在技术评审时，如发现下列情形之一的，投标文件将被视为无效：</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（1）未提供或未如实提供投标货物的技术参数，或者投标文件标明的响应或偏离与事实不符或虚假投标的；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（2）明显不符合招标文件要求的规格型号、质量标准，或者与招标文件中的技术指标、主要功能项目发生实质性偏离的；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（3）招标项目采购需求中标星号“▲”的技术、性能指标发生负偏离达</w:t>
      </w:r>
      <w:r>
        <w:rPr>
          <w:rFonts w:hint="eastAsia" w:ascii="宋体" w:hAnsi="宋体" w:eastAsia="宋体"/>
          <w:spacing w:val="-4"/>
          <w:sz w:val="21"/>
          <w:szCs w:val="21"/>
          <w:u w:val="single"/>
        </w:rPr>
        <w:t xml:space="preserve">  1  </w:t>
      </w:r>
      <w:r>
        <w:rPr>
          <w:rFonts w:hint="eastAsia" w:ascii="宋体" w:hAnsi="宋体" w:eastAsia="宋体"/>
          <w:spacing w:val="-4"/>
          <w:sz w:val="21"/>
          <w:szCs w:val="21"/>
        </w:rPr>
        <w:t>项（含）以上的；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（4）投标技术方案不明确，存在一个或一个以上备选（替换）投标方案的；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（5）与其他参加本次投标供应商的投标文件（技术文件）的文字表述内容差错相同二处以上的。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3.在报价评审时，如发现下列情形之一的，投标文件将被视为无效：</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（1）未采用人民币报价或者未按照招标文件标明的币种报价的；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（2）报价超出最高限价，或者超出采购预算金额，采购人不能支付的；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（3）投标报价具有选择性，或者开标价格与投标文件承诺的优惠（折扣）价格不一致的。</w:t>
      </w:r>
    </w:p>
    <w:p>
      <w:pPr>
        <w:adjustRightInd w:val="0"/>
        <w:snapToGrid w:val="0"/>
        <w:spacing w:line="400" w:lineRule="exact"/>
        <w:ind w:firstLine="420" w:firstLineChars="200"/>
        <w:jc w:val="left"/>
        <w:rPr>
          <w:rFonts w:ascii="宋体" w:hAnsi="宋体" w:cs="仿宋_GB2312"/>
          <w:kern w:val="0"/>
          <w:szCs w:val="21"/>
          <w:lang w:val="zh-CN"/>
        </w:rPr>
      </w:pPr>
      <w:bookmarkStart w:id="6" w:name="_Toc40864952"/>
      <w:bookmarkStart w:id="7" w:name="_Toc40865068"/>
      <w:bookmarkStart w:id="8" w:name="_Toc40864676"/>
      <w:r>
        <w:rPr>
          <w:rFonts w:hint="eastAsia" w:ascii="宋体" w:hAnsi="宋体" w:cs="仿宋_GB2312"/>
          <w:kern w:val="0"/>
          <w:szCs w:val="21"/>
          <w:lang w:val="zh-CN"/>
        </w:rPr>
        <w:t>（4）评标委员会在评审中，经启动异常低价审查程序后供应商未能</w:t>
      </w:r>
      <w:r>
        <w:rPr>
          <w:rFonts w:hint="eastAsia"/>
          <w:bCs/>
        </w:rPr>
        <w:t>证明其报价合理性的</w:t>
      </w:r>
      <w:r>
        <w:rPr>
          <w:rFonts w:hint="eastAsia" w:ascii="宋体" w:hAnsi="宋体" w:cs="仿宋_GB2312"/>
          <w:kern w:val="0"/>
          <w:szCs w:val="21"/>
          <w:lang w:val="zh-CN"/>
        </w:rPr>
        <w:t>。</w:t>
      </w:r>
      <w:bookmarkEnd w:id="6"/>
      <w:bookmarkEnd w:id="7"/>
      <w:bookmarkEnd w:id="8"/>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4.有下列情形之一的视为投标人相互串通投标，投标文件将被视为无效:</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（1）不同投标人的投标文件由同一单位或者个人编制；或不同投标人报名的IP地址一致的；</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（2）不同投标人委托同一单位或者个人办理投标事宜；</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（3）不同投标人的投标文件载明的项目管理成员或者联系人员为同一人；</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（4）不同投标人的投标文件异常一致或投标报价呈规律性差异；</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（5）不同投标人的投标文件相互混装；</w:t>
      </w:r>
    </w:p>
    <w:p>
      <w:pPr>
        <w:pStyle w:val="22"/>
        <w:snapToGrid w:val="0"/>
        <w:spacing w:line="360" w:lineRule="exact"/>
        <w:ind w:firstLine="395" w:firstLineChars="196"/>
        <w:outlineLvl w:val="0"/>
        <w:rPr>
          <w:rFonts w:ascii="宋体" w:hAnsi="宋体" w:eastAsia="宋体"/>
          <w:spacing w:val="-4"/>
          <w:sz w:val="21"/>
          <w:szCs w:val="21"/>
        </w:rPr>
      </w:pPr>
      <w:r>
        <w:rPr>
          <w:rFonts w:hint="eastAsia" w:ascii="宋体" w:hAnsi="宋体" w:eastAsia="宋体"/>
          <w:spacing w:val="-4"/>
          <w:sz w:val="21"/>
          <w:szCs w:val="21"/>
        </w:rPr>
        <w:t>（6）不同投标人的投标保证金从同一个单位或者个人账户转出。</w:t>
      </w:r>
    </w:p>
    <w:p>
      <w:pPr>
        <w:pStyle w:val="22"/>
        <w:adjustRightInd w:val="0"/>
        <w:snapToGrid w:val="0"/>
        <w:spacing w:line="400" w:lineRule="exact"/>
        <w:ind w:firstLine="395" w:firstLineChars="196"/>
        <w:rPr>
          <w:rFonts w:ascii="宋体" w:hAnsi="宋体" w:eastAsia="宋体"/>
          <w:bCs/>
          <w:sz w:val="21"/>
          <w:szCs w:val="21"/>
        </w:rPr>
      </w:pPr>
      <w:r>
        <w:rPr>
          <w:rFonts w:ascii="宋体" w:hAnsi="宋体" w:eastAsia="宋体"/>
          <w:spacing w:val="-4"/>
          <w:sz w:val="21"/>
          <w:szCs w:val="21"/>
          <w:lang w:val="en"/>
        </w:rPr>
        <w:t>5</w:t>
      </w:r>
      <w:r>
        <w:rPr>
          <w:rFonts w:hint="eastAsia" w:ascii="宋体" w:hAnsi="宋体" w:eastAsia="宋体"/>
          <w:spacing w:val="-4"/>
          <w:sz w:val="21"/>
          <w:szCs w:val="21"/>
        </w:rPr>
        <w:t>.</w:t>
      </w:r>
      <w:r>
        <w:rPr>
          <w:rFonts w:hint="eastAsia" w:ascii="宋体" w:hAnsi="宋体"/>
          <w:bCs/>
          <w:sz w:val="21"/>
          <w:szCs w:val="21"/>
        </w:rPr>
        <w:t xml:space="preserve"> </w:t>
      </w:r>
      <w:r>
        <w:rPr>
          <w:rFonts w:hint="eastAsia" w:ascii="宋体" w:hAnsi="宋体" w:eastAsia="宋体"/>
          <w:bCs/>
          <w:sz w:val="21"/>
          <w:szCs w:val="21"/>
        </w:rPr>
        <w:t>其他投标无效的情形：</w:t>
      </w:r>
    </w:p>
    <w:p>
      <w:pPr>
        <w:pStyle w:val="22"/>
        <w:adjustRightInd w:val="0"/>
        <w:snapToGrid w:val="0"/>
        <w:spacing w:line="400" w:lineRule="exact"/>
        <w:ind w:firstLine="413" w:firstLineChars="196"/>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pPr>
        <w:pStyle w:val="22"/>
        <w:adjustRightInd w:val="0"/>
        <w:snapToGrid w:val="0"/>
        <w:spacing w:line="400" w:lineRule="exact"/>
        <w:ind w:firstLine="413" w:firstLineChars="196"/>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pPr>
        <w:pStyle w:val="29"/>
        <w:adjustRightInd w:val="0"/>
        <w:snapToGrid w:val="0"/>
        <w:spacing w:line="400" w:lineRule="exact"/>
        <w:ind w:firstLine="421" w:firstLineChars="20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pPr>
        <w:pStyle w:val="22"/>
        <w:snapToGrid w:val="0"/>
        <w:spacing w:line="360" w:lineRule="exact"/>
        <w:ind w:firstLine="413" w:firstLineChars="196"/>
        <w:outlineLvl w:val="0"/>
        <w:rPr>
          <w:rFonts w:ascii="宋体" w:hAnsi="宋体" w:eastAsia="宋体"/>
          <w:spacing w:val="-4"/>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pPr>
        <w:pStyle w:val="22"/>
        <w:snapToGrid w:val="0"/>
        <w:spacing w:line="360" w:lineRule="exact"/>
        <w:ind w:firstLine="395" w:firstLineChars="196"/>
        <w:outlineLvl w:val="0"/>
        <w:rPr>
          <w:rFonts w:ascii="宋体" w:hAnsi="宋体" w:eastAsia="宋体"/>
          <w:spacing w:val="-4"/>
          <w:sz w:val="21"/>
          <w:szCs w:val="21"/>
        </w:rPr>
      </w:pPr>
      <w:r>
        <w:rPr>
          <w:rFonts w:ascii="宋体" w:hAnsi="宋体" w:eastAsia="宋体"/>
          <w:spacing w:val="-4"/>
          <w:sz w:val="21"/>
          <w:szCs w:val="21"/>
          <w:lang w:val="en"/>
        </w:rPr>
        <w:t>6</w:t>
      </w:r>
      <w:r>
        <w:rPr>
          <w:rFonts w:hint="eastAsia" w:ascii="宋体" w:hAnsi="宋体" w:eastAsia="宋体"/>
          <w:spacing w:val="-4"/>
          <w:sz w:val="21"/>
          <w:szCs w:val="21"/>
        </w:rPr>
        <w:t>.被拒绝的投标文件为无效。</w:t>
      </w:r>
    </w:p>
    <w:p>
      <w:pPr>
        <w:pStyle w:val="22"/>
        <w:snapToGrid w:val="0"/>
        <w:spacing w:line="360" w:lineRule="exact"/>
        <w:ind w:firstLine="413" w:firstLineChars="196"/>
        <w:outlineLvl w:val="0"/>
        <w:rPr>
          <w:rFonts w:ascii="宋体" w:hAnsi="宋体" w:eastAsia="宋体"/>
          <w:b/>
          <w:sz w:val="21"/>
          <w:szCs w:val="21"/>
        </w:rPr>
      </w:pPr>
    </w:p>
    <w:p>
      <w:pPr>
        <w:pStyle w:val="22"/>
        <w:snapToGrid w:val="0"/>
        <w:spacing w:line="360" w:lineRule="exact"/>
        <w:ind w:firstLine="413" w:firstLineChars="196"/>
        <w:outlineLvl w:val="0"/>
        <w:rPr>
          <w:rFonts w:ascii="宋体" w:hAnsi="宋体" w:eastAsia="宋体"/>
          <w:b/>
          <w:snapToGrid w:val="0"/>
          <w:sz w:val="21"/>
          <w:szCs w:val="21"/>
        </w:rPr>
      </w:pPr>
      <w:r>
        <w:rPr>
          <w:rFonts w:hint="eastAsia" w:ascii="宋体" w:hAnsi="宋体" w:eastAsia="宋体"/>
          <w:b/>
          <w:sz w:val="21"/>
          <w:szCs w:val="21"/>
        </w:rPr>
        <w:t>四、开标</w:t>
      </w:r>
    </w:p>
    <w:p>
      <w:pPr>
        <w:pStyle w:val="29"/>
        <w:snapToGrid w:val="0"/>
        <w:spacing w:line="360" w:lineRule="exact"/>
        <w:ind w:firstLine="413" w:firstLineChars="196"/>
        <w:outlineLvl w:val="0"/>
        <w:rPr>
          <w:rFonts w:hAnsi="宋体"/>
          <w:b/>
        </w:rPr>
      </w:pPr>
      <w:r>
        <w:rPr>
          <w:rFonts w:hint="eastAsia" w:hAnsi="宋体"/>
          <w:b/>
        </w:rPr>
        <w:t>（一）开标准备</w:t>
      </w:r>
    </w:p>
    <w:p>
      <w:pPr>
        <w:pStyle w:val="29"/>
        <w:snapToGrid w:val="0"/>
        <w:spacing w:line="360" w:lineRule="exact"/>
        <w:ind w:firstLine="420" w:firstLineChars="200"/>
        <w:rPr>
          <w:rFonts w:hAnsi="宋体"/>
          <w:bCs/>
        </w:rPr>
      </w:pPr>
      <w:r>
        <w:rPr>
          <w:rFonts w:hint="eastAsia" w:hAnsi="宋体"/>
          <w:bCs/>
        </w:rPr>
        <w:t>本中心将</w:t>
      </w:r>
      <w:r>
        <w:rPr>
          <w:rFonts w:hint="eastAsia"/>
          <w:sz w:val="22"/>
        </w:rPr>
        <w:t>按招标文件规定的时间、地点通过“广西政府采购云平台”组织开标、开启投标文件，所有供应商均应当准时在线参加。投</w:t>
      </w:r>
      <w:r>
        <w:rPr>
          <w:sz w:val="22"/>
        </w:rPr>
        <w:t>标供应商因未在线参加开标而导致投标文件无法按时解密等一切后果由供应商自</w:t>
      </w:r>
      <w:r>
        <w:rPr>
          <w:rFonts w:hint="eastAsia"/>
          <w:sz w:val="22"/>
        </w:rPr>
        <w:t>行</w:t>
      </w:r>
      <w:r>
        <w:rPr>
          <w:sz w:val="22"/>
        </w:rPr>
        <w:t>承担。</w:t>
      </w:r>
    </w:p>
    <w:p>
      <w:pPr>
        <w:pStyle w:val="29"/>
        <w:snapToGrid w:val="0"/>
        <w:spacing w:line="360" w:lineRule="exact"/>
        <w:ind w:firstLine="413" w:firstLineChars="196"/>
        <w:outlineLvl w:val="0"/>
        <w:rPr>
          <w:rFonts w:hAnsi="宋体"/>
          <w:b/>
        </w:rPr>
      </w:pPr>
      <w:r>
        <w:rPr>
          <w:rFonts w:hint="eastAsia" w:hAnsi="宋体"/>
          <w:b/>
        </w:rPr>
        <w:t>（二） 开标程序：</w:t>
      </w:r>
    </w:p>
    <w:p>
      <w:pPr>
        <w:pStyle w:val="29"/>
        <w:adjustRightInd w:val="0"/>
        <w:snapToGrid w:val="0"/>
        <w:spacing w:line="400" w:lineRule="exact"/>
        <w:ind w:firstLine="420" w:firstLineChars="200"/>
        <w:rPr>
          <w:rFonts w:hAnsi="宋体"/>
        </w:rPr>
      </w:pPr>
      <w:r>
        <w:rPr>
          <w:rFonts w:hint="eastAsia" w:hAnsi="宋体"/>
        </w:rPr>
        <w:t>1.电子开标会由本中心主持</w:t>
      </w:r>
    </w:p>
    <w:p>
      <w:pPr>
        <w:pStyle w:val="29"/>
        <w:adjustRightInd w:val="0"/>
        <w:snapToGrid w:val="0"/>
        <w:spacing w:line="400" w:lineRule="exact"/>
        <w:ind w:firstLine="420" w:firstLineChars="200"/>
      </w:pPr>
      <w:r>
        <w:rPr>
          <w:rFonts w:hint="eastAsia" w:hAnsi="宋体"/>
        </w:rPr>
        <w:t>2.本中心工作人员</w:t>
      </w:r>
      <w:r>
        <w:rPr>
          <w:rFonts w:hint="eastAsia"/>
        </w:rPr>
        <w:t>向各投标供应商发出电子加密投标文件【开始解密】通知，由供应商按招标文件规定的时间内自行进行投标文件解密。</w:t>
      </w:r>
      <w:r>
        <w:rPr>
          <w:rFonts w:hint="eastAsia"/>
          <w:snapToGrid w:val="0"/>
        </w:rPr>
        <w:t>投标供应商未在规定时间内完成解密的，系统默认自动放弃。</w:t>
      </w:r>
    </w:p>
    <w:p>
      <w:pPr>
        <w:pStyle w:val="29"/>
        <w:adjustRightInd w:val="0"/>
        <w:snapToGrid w:val="0"/>
        <w:spacing w:line="400" w:lineRule="exact"/>
        <w:ind w:firstLine="420" w:firstLineChars="20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pPr>
        <w:pStyle w:val="29"/>
        <w:adjustRightInd w:val="0"/>
        <w:snapToGrid w:val="0"/>
        <w:spacing w:line="400" w:lineRule="exact"/>
        <w:ind w:firstLine="420" w:firstLineChars="20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本中心或者招标采购单位</w:t>
      </w:r>
      <w:r>
        <w:rPr>
          <w:rFonts w:hAnsi="宋体"/>
        </w:rPr>
        <w:t>依法对投标供应商的资格进行审查。</w:t>
      </w:r>
    </w:p>
    <w:p>
      <w:pPr>
        <w:pStyle w:val="29"/>
        <w:adjustRightInd w:val="0"/>
        <w:snapToGrid w:val="0"/>
        <w:spacing w:line="400" w:lineRule="exact"/>
        <w:ind w:firstLine="420" w:firstLineChars="20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pPr>
        <w:pStyle w:val="29"/>
        <w:adjustRightInd w:val="0"/>
        <w:snapToGrid w:val="0"/>
        <w:spacing w:line="400" w:lineRule="exact"/>
        <w:ind w:firstLine="420"/>
        <w:rPr>
          <w:rFonts w:hAnsi="宋体"/>
        </w:rPr>
      </w:pPr>
      <w:r>
        <w:rPr>
          <w:rFonts w:hint="eastAsia" w:hAnsi="宋体"/>
        </w:rPr>
        <w:t>注：①当整个招标项目的投标人不足3家的不开标，本中心将按政府采购管理的有关规定处理。</w:t>
      </w:r>
    </w:p>
    <w:p>
      <w:pPr>
        <w:pStyle w:val="29"/>
        <w:adjustRightInd w:val="0"/>
        <w:snapToGrid w:val="0"/>
        <w:spacing w:line="400" w:lineRule="exact"/>
        <w:ind w:firstLine="840" w:firstLineChars="400"/>
        <w:rPr>
          <w:rFonts w:hAnsi="宋体"/>
        </w:rPr>
      </w:pPr>
      <w:r>
        <w:rPr>
          <w:rFonts w:hint="eastAsia" w:hAnsi="宋体"/>
        </w:rPr>
        <w:t>②开标后,某分标投标人不足3家的，本中心将按政府采购管理的有关规定处理。</w:t>
      </w:r>
    </w:p>
    <w:p>
      <w:pPr>
        <w:pStyle w:val="29"/>
        <w:snapToGrid w:val="0"/>
        <w:spacing w:line="360" w:lineRule="exact"/>
        <w:ind w:left="689" w:leftChars="228" w:hanging="210" w:hangingChars="100"/>
        <w:rPr>
          <w:rFonts w:hAnsi="宋体"/>
        </w:rPr>
      </w:pPr>
      <w:r>
        <w:rPr>
          <w:rFonts w:hAnsi="宋体"/>
          <w:b/>
          <w:bCs/>
        </w:rPr>
        <w:t>特别说明：如遇“</w:t>
      </w:r>
      <w:r>
        <w:rPr>
          <w:rFonts w:hAnsi="宋体"/>
          <w:b/>
          <w:bCs/>
          <w:lang w:val="en"/>
        </w:rPr>
        <w:t>广西政府采购云平台</w:t>
      </w:r>
      <w:r>
        <w:rPr>
          <w:rFonts w:hAnsi="宋体"/>
          <w:b/>
          <w:bCs/>
        </w:rPr>
        <w:t>”电子化开标或评审程序调整的，按调整后程序执行。</w:t>
      </w:r>
    </w:p>
    <w:p>
      <w:pPr>
        <w:pStyle w:val="29"/>
        <w:snapToGrid w:val="0"/>
        <w:spacing w:line="360" w:lineRule="exact"/>
        <w:ind w:left="771" w:leftChars="267" w:hanging="210" w:hangingChars="100"/>
        <w:outlineLvl w:val="1"/>
        <w:rPr>
          <w:rFonts w:hAnsi="宋体"/>
          <w:b/>
        </w:rPr>
      </w:pPr>
      <w:r>
        <w:rPr>
          <w:rFonts w:hint="eastAsia" w:hAnsi="宋体"/>
          <w:b/>
        </w:rPr>
        <w:t>五、</w:t>
      </w:r>
      <w:r>
        <w:rPr>
          <w:rFonts w:hint="eastAsia" w:hAnsi="宋体"/>
          <w:b/>
          <w:bCs/>
        </w:rPr>
        <w:t>资格审查</w:t>
      </w:r>
    </w:p>
    <w:p>
      <w:pPr>
        <w:pStyle w:val="29"/>
        <w:snapToGrid w:val="0"/>
        <w:spacing w:line="360" w:lineRule="exact"/>
        <w:ind w:left="771" w:leftChars="267" w:hanging="210" w:hangingChars="100"/>
        <w:outlineLvl w:val="1"/>
        <w:rPr>
          <w:rFonts w:hAnsi="宋体"/>
          <w:b/>
        </w:rPr>
      </w:pPr>
      <w:r>
        <w:rPr>
          <w:rFonts w:hint="eastAsia"/>
        </w:rPr>
        <w:t>采购人</w:t>
      </w:r>
      <w:r>
        <w:rPr>
          <w:rFonts w:hint="eastAsia"/>
          <w:spacing w:val="-4"/>
        </w:rPr>
        <w:t>或本中心工作人员</w:t>
      </w:r>
      <w:r>
        <w:rPr>
          <w:rFonts w:hint="eastAsia"/>
        </w:rPr>
        <w:t>依法对投标人的资格进行审查。合格投标人不足3家的，不得评标。</w:t>
      </w:r>
    </w:p>
    <w:p>
      <w:pPr>
        <w:pStyle w:val="29"/>
        <w:snapToGrid w:val="0"/>
        <w:spacing w:line="360" w:lineRule="exact"/>
        <w:ind w:left="771" w:leftChars="267" w:hanging="210" w:hangingChars="100"/>
        <w:outlineLvl w:val="1"/>
        <w:rPr>
          <w:rFonts w:hAnsi="宋体"/>
          <w:b/>
        </w:rPr>
      </w:pPr>
      <w:r>
        <w:rPr>
          <w:rFonts w:hint="eastAsia" w:hAnsi="宋体"/>
          <w:b/>
        </w:rPr>
        <w:t>六、评标</w:t>
      </w:r>
    </w:p>
    <w:p>
      <w:pPr>
        <w:pStyle w:val="29"/>
        <w:snapToGrid w:val="0"/>
        <w:spacing w:line="360" w:lineRule="exact"/>
        <w:ind w:left="689" w:leftChars="228" w:hanging="210" w:hangingChars="100"/>
        <w:rPr>
          <w:rFonts w:hAnsi="宋体"/>
          <w:b/>
        </w:rPr>
      </w:pPr>
      <w:r>
        <w:rPr>
          <w:rFonts w:hint="eastAsia" w:hAnsi="宋体"/>
          <w:b/>
        </w:rPr>
        <w:t>（一）组建评标委员会</w:t>
      </w:r>
    </w:p>
    <w:p>
      <w:pPr>
        <w:pStyle w:val="29"/>
        <w:snapToGrid w:val="0"/>
        <w:spacing w:line="360" w:lineRule="exact"/>
        <w:ind w:firstLine="420" w:firstLineChars="200"/>
        <w:rPr>
          <w:spacing w:val="-4"/>
        </w:rPr>
      </w:pPr>
      <w:r>
        <w:rPr>
          <w:rFonts w:hint="eastAsia" w:hAnsi="宋体"/>
          <w:bCs/>
        </w:rPr>
        <w:t>本招标采购项目的</w:t>
      </w:r>
      <w:r>
        <w:rPr>
          <w:spacing w:val="-4"/>
        </w:rPr>
        <w:t>评标委员会由采购人代表和评审专家组成，成员人数应当为5人以上单数，其中评审专家不得少于成员总数的三分之二。</w:t>
      </w:r>
    </w:p>
    <w:p>
      <w:pPr>
        <w:pStyle w:val="29"/>
        <w:snapToGrid w:val="0"/>
        <w:spacing w:line="360" w:lineRule="exact"/>
        <w:ind w:left="689" w:leftChars="228" w:hanging="210" w:hangingChars="100"/>
        <w:rPr>
          <w:rFonts w:hAnsi="宋体"/>
          <w:b/>
        </w:rPr>
      </w:pPr>
      <w:r>
        <w:rPr>
          <w:rFonts w:hint="eastAsia" w:hAnsi="宋体"/>
          <w:b/>
        </w:rPr>
        <w:t>（二）评标的方式</w:t>
      </w:r>
    </w:p>
    <w:p>
      <w:pPr>
        <w:pStyle w:val="29"/>
        <w:snapToGrid w:val="0"/>
        <w:spacing w:line="360" w:lineRule="exact"/>
        <w:ind w:left="689" w:leftChars="228" w:hanging="210" w:hangingChars="100"/>
        <w:rPr>
          <w:rFonts w:hAnsi="宋体"/>
        </w:rPr>
      </w:pPr>
      <w:r>
        <w:rPr>
          <w:rFonts w:hint="eastAsia" w:hAnsi="宋体"/>
        </w:rPr>
        <w:t>本项目采用不公开方式评标，评标的依据为招标文件和投标文件。</w:t>
      </w:r>
    </w:p>
    <w:p>
      <w:pPr>
        <w:pStyle w:val="29"/>
        <w:snapToGrid w:val="0"/>
        <w:spacing w:line="360" w:lineRule="exact"/>
        <w:ind w:left="689" w:leftChars="228" w:hanging="210" w:hangingChars="100"/>
        <w:rPr>
          <w:rFonts w:hAnsi="宋体"/>
          <w:b/>
        </w:rPr>
      </w:pPr>
      <w:r>
        <w:rPr>
          <w:rFonts w:hint="eastAsia" w:hAnsi="宋体"/>
          <w:b/>
        </w:rPr>
        <w:t>（三）</w:t>
      </w:r>
      <w:r>
        <w:rPr>
          <w:rFonts w:hint="eastAsia" w:hAnsi="宋体"/>
          <w:b/>
          <w:bCs/>
        </w:rPr>
        <w:t>评标程序</w:t>
      </w:r>
    </w:p>
    <w:p>
      <w:pPr>
        <w:snapToGrid w:val="0"/>
        <w:spacing w:line="360" w:lineRule="exact"/>
        <w:ind w:firstLine="420" w:firstLineChars="200"/>
        <w:rPr>
          <w:rFonts w:ascii="宋体" w:hAnsi="宋体"/>
          <w:szCs w:val="21"/>
        </w:rPr>
      </w:pPr>
      <w:r>
        <w:rPr>
          <w:rFonts w:hint="eastAsia" w:ascii="宋体" w:hAnsi="宋体"/>
          <w:szCs w:val="21"/>
        </w:rPr>
        <w:t>评标委员会仅对通过资格审查的投标文件进行后续评审，程序如下：</w:t>
      </w:r>
    </w:p>
    <w:p>
      <w:pPr>
        <w:snapToGrid w:val="0"/>
        <w:spacing w:line="360" w:lineRule="exact"/>
        <w:ind w:firstLine="420" w:firstLineChars="200"/>
        <w:rPr>
          <w:rFonts w:ascii="宋体" w:hAnsi="宋体"/>
          <w:szCs w:val="21"/>
        </w:rPr>
      </w:pPr>
      <w:r>
        <w:rPr>
          <w:rFonts w:hint="eastAsia" w:ascii="宋体" w:hAnsi="宋体"/>
          <w:szCs w:val="21"/>
        </w:rPr>
        <w:t>（1）符合性审查：评标委员会审查投标文件是否实质性响应招标文件要求。未通过审查的投标，不进入详细评审。</w:t>
      </w:r>
    </w:p>
    <w:p>
      <w:pPr>
        <w:snapToGrid w:val="0"/>
        <w:spacing w:line="360" w:lineRule="exact"/>
        <w:ind w:firstLine="420" w:firstLineChars="200"/>
        <w:rPr>
          <w:rFonts w:ascii="宋体" w:hAnsi="宋体"/>
          <w:szCs w:val="21"/>
        </w:rPr>
      </w:pPr>
      <w:r>
        <w:rPr>
          <w:rFonts w:hint="eastAsia" w:ascii="宋体" w:hAnsi="宋体"/>
          <w:szCs w:val="21"/>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ascii="宋体" w:hAnsi="宋体"/>
          <w:szCs w:val="21"/>
        </w:rPr>
      </w:pPr>
      <w:r>
        <w:rPr>
          <w:rFonts w:hint="eastAsia" w:ascii="宋体" w:hAnsi="宋体"/>
          <w:szCs w:val="21"/>
        </w:rPr>
        <w:t>（3）商务与技术评审：评标委员会依据评分标准，对通过符合性审查的投标进行详细评审。</w:t>
      </w:r>
    </w:p>
    <w:p>
      <w:pPr>
        <w:snapToGrid w:val="0"/>
        <w:spacing w:line="360" w:lineRule="exact"/>
        <w:ind w:firstLine="420" w:firstLineChars="200"/>
        <w:rPr>
          <w:rFonts w:ascii="宋体" w:hAnsi="宋体"/>
          <w:szCs w:val="21"/>
        </w:rPr>
      </w:pPr>
      <w:r>
        <w:rPr>
          <w:rFonts w:hint="eastAsia" w:ascii="宋体" w:hAnsi="宋体"/>
          <w:szCs w:val="21"/>
        </w:rPr>
        <w:t>（4）报价评审</w:t>
      </w:r>
    </w:p>
    <w:p>
      <w:pPr>
        <w:snapToGrid w:val="0"/>
        <w:spacing w:line="360" w:lineRule="exact"/>
        <w:ind w:left="420" w:leftChars="200" w:firstLine="210" w:firstLineChars="100"/>
        <w:rPr>
          <w:rFonts w:ascii="宋体" w:hAnsi="宋体"/>
          <w:szCs w:val="21"/>
        </w:rPr>
      </w:pPr>
      <w:r>
        <w:rPr>
          <w:rFonts w:ascii="宋体" w:hAnsi="宋体"/>
          <w:szCs w:val="21"/>
          <w:lang w:val="en"/>
        </w:rPr>
        <w:t>a)</w:t>
      </w:r>
      <w:r>
        <w:rPr>
          <w:rFonts w:hint="eastAsia" w:ascii="宋体" w:hAnsi="宋体"/>
          <w:szCs w:val="21"/>
        </w:rPr>
        <w:t xml:space="preserve"> 报价符合性审查：评标委员会审查投标报价是否符合招标文件关于报价的格式、币种、范围（如报价是否完全响应并覆盖招标文件“采购需求”及“货物</w:t>
      </w:r>
      <w:r>
        <w:rPr>
          <w:rFonts w:ascii="宋体" w:hAnsi="宋体"/>
          <w:szCs w:val="21"/>
          <w:lang w:val="en"/>
        </w:rPr>
        <w:t>/</w:t>
      </w:r>
      <w:r>
        <w:rPr>
          <w:rFonts w:hint="eastAsia" w:ascii="宋体" w:hAnsi="宋体"/>
          <w:szCs w:val="21"/>
        </w:rPr>
        <w:t>服务</w:t>
      </w:r>
      <w:r>
        <w:rPr>
          <w:rFonts w:ascii="宋体" w:hAnsi="宋体"/>
          <w:szCs w:val="21"/>
          <w:lang w:val="en"/>
        </w:rPr>
        <w:t>”</w:t>
      </w:r>
      <w:r>
        <w:rPr>
          <w:rFonts w:hint="eastAsia" w:ascii="宋体" w:hAnsi="宋体"/>
          <w:szCs w:val="21"/>
        </w:rPr>
        <w:t>清单中所列全部内容、是否超采购预算或最高限价）等基础要求。</w:t>
      </w:r>
    </w:p>
    <w:p>
      <w:pPr>
        <w:snapToGrid w:val="0"/>
        <w:spacing w:line="360" w:lineRule="exact"/>
        <w:ind w:firstLine="420" w:firstLineChars="200"/>
        <w:rPr>
          <w:rFonts w:ascii="宋体" w:hAnsi="宋体"/>
          <w:szCs w:val="21"/>
        </w:rPr>
      </w:pPr>
      <w:r>
        <w:rPr>
          <w:rFonts w:hint="eastAsia" w:ascii="宋体" w:hAnsi="宋体"/>
          <w:szCs w:val="21"/>
        </w:rPr>
        <w:t>　</w:t>
      </w:r>
      <w:r>
        <w:rPr>
          <w:rFonts w:ascii="宋体" w:hAnsi="宋体"/>
          <w:szCs w:val="21"/>
          <w:lang w:val="en"/>
        </w:rPr>
        <w:t>b)</w:t>
      </w:r>
      <w:r>
        <w:rPr>
          <w:rFonts w:hint="eastAsia" w:ascii="宋体" w:hAnsi="宋体"/>
          <w:szCs w:val="21"/>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ascii="宋体" w:hAnsi="宋体"/>
          <w:szCs w:val="21"/>
        </w:rPr>
      </w:pPr>
      <w:r>
        <w:rPr>
          <w:rFonts w:hint="eastAsia" w:ascii="宋体" w:hAnsi="宋体"/>
          <w:szCs w:val="21"/>
        </w:rPr>
        <w:t>　１）报价低于全部通过符合性审查投标人投标报价平均值50%的；</w:t>
      </w:r>
    </w:p>
    <w:p>
      <w:pPr>
        <w:snapToGrid w:val="0"/>
        <w:spacing w:line="360" w:lineRule="exact"/>
        <w:ind w:firstLine="420" w:firstLineChars="200"/>
        <w:rPr>
          <w:rFonts w:ascii="宋体" w:hAnsi="宋体"/>
          <w:szCs w:val="21"/>
        </w:rPr>
      </w:pPr>
      <w:r>
        <w:rPr>
          <w:rFonts w:hint="eastAsia" w:ascii="宋体" w:hAnsi="宋体"/>
          <w:szCs w:val="21"/>
        </w:rPr>
        <w:t>　２）报价低于通过符合性审查的次低报价投标人投标报价50%的；</w:t>
      </w:r>
    </w:p>
    <w:p>
      <w:pPr>
        <w:snapToGrid w:val="0"/>
        <w:spacing w:line="360" w:lineRule="exact"/>
        <w:ind w:firstLine="420" w:firstLineChars="200"/>
        <w:rPr>
          <w:rFonts w:ascii="宋体" w:hAnsi="宋体"/>
          <w:szCs w:val="21"/>
        </w:rPr>
      </w:pPr>
      <w:r>
        <w:rPr>
          <w:rFonts w:hint="eastAsia" w:ascii="宋体" w:hAnsi="宋体"/>
          <w:szCs w:val="21"/>
        </w:rPr>
        <w:t>　３）报价低于采购项目最高限价45%的；</w:t>
      </w:r>
    </w:p>
    <w:p>
      <w:pPr>
        <w:snapToGrid w:val="0"/>
        <w:spacing w:line="360" w:lineRule="exact"/>
        <w:ind w:firstLine="420" w:firstLineChars="200"/>
        <w:rPr>
          <w:rFonts w:ascii="宋体" w:hAnsi="宋体"/>
          <w:szCs w:val="21"/>
        </w:rPr>
      </w:pPr>
      <w:r>
        <w:rPr>
          <w:rFonts w:hint="eastAsia" w:ascii="宋体" w:hAnsi="宋体"/>
          <w:szCs w:val="21"/>
        </w:rPr>
        <w:t>　４）评标委员会基于专业判断，认为投标人报价过低，有可能影响产品质量或者不能诚信履约的其他情形。</w:t>
      </w:r>
    </w:p>
    <w:p>
      <w:pPr>
        <w:snapToGrid w:val="0"/>
        <w:spacing w:line="360" w:lineRule="exact"/>
        <w:ind w:firstLine="420" w:firstLineChars="200"/>
        <w:rPr>
          <w:rFonts w:ascii="宋体" w:hAnsi="宋体"/>
          <w:szCs w:val="21"/>
        </w:rPr>
      </w:pPr>
      <w:r>
        <w:rPr>
          <w:rFonts w:hint="eastAsia" w:ascii="宋体" w:hAnsi="宋体"/>
          <w:szCs w:val="21"/>
        </w:rPr>
        <w:t>评标委员会通过电子询标方式，要求相关投标人在规定时间内提供有关书面说明及必要的证明材料。投标人不能提供书面说明、证明材料，或者提供的提供书面说明、证明材料不能证明其报价合理性的，评标委员会应将其作为无效投标处理。</w:t>
      </w:r>
    </w:p>
    <w:p>
      <w:pPr>
        <w:snapToGrid w:val="0"/>
        <w:spacing w:line="360" w:lineRule="exact"/>
        <w:ind w:firstLine="420" w:firstLineChars="200"/>
        <w:rPr>
          <w:rFonts w:ascii="宋体" w:hAnsi="宋体"/>
          <w:szCs w:val="21"/>
        </w:rPr>
      </w:pPr>
      <w:r>
        <w:rPr>
          <w:rFonts w:hint="eastAsia" w:ascii="宋体" w:hAnsi="宋体"/>
          <w:szCs w:val="21"/>
        </w:rPr>
        <w:t>　</w:t>
      </w:r>
      <w:r>
        <w:rPr>
          <w:rFonts w:ascii="宋体" w:hAnsi="宋体"/>
          <w:szCs w:val="21"/>
          <w:lang w:val="en"/>
        </w:rPr>
        <w:t>c)</w:t>
      </w:r>
      <w:r>
        <w:rPr>
          <w:rFonts w:hint="eastAsia" w:ascii="宋体" w:hAnsi="宋体"/>
          <w:szCs w:val="21"/>
        </w:rPr>
        <w:t xml:space="preserve"> 价格评分：对通过上述全部审查的有效报价，由系统按招标文件规定计算价格分。</w:t>
      </w:r>
    </w:p>
    <w:p>
      <w:pPr>
        <w:snapToGrid w:val="0"/>
        <w:spacing w:line="360" w:lineRule="exact"/>
        <w:ind w:firstLine="420" w:firstLineChars="200"/>
        <w:outlineLvl w:val="0"/>
        <w:rPr>
          <w:rFonts w:ascii="宋体" w:hAnsi="宋体"/>
          <w:szCs w:val="21"/>
        </w:rPr>
      </w:pPr>
      <w:r>
        <w:rPr>
          <w:rFonts w:hint="eastAsia" w:ascii="宋体" w:hAnsi="宋体"/>
          <w:szCs w:val="21"/>
        </w:rPr>
        <w:t>（5）评分汇总与推荐：评标委员会在评审系统内完成评审后，系统将自动计算、汇总得分并生成排序结果。评标委员会据此集体审议推荐中标候选人，并对《评标报告》予以确认。</w:t>
      </w:r>
    </w:p>
    <w:p>
      <w:pPr>
        <w:pStyle w:val="29"/>
        <w:snapToGrid w:val="0"/>
        <w:spacing w:line="360" w:lineRule="exact"/>
        <w:ind w:left="689" w:leftChars="228" w:hanging="210" w:hangingChars="100"/>
        <w:outlineLvl w:val="0"/>
        <w:rPr>
          <w:rFonts w:hAnsi="宋体"/>
          <w:b/>
        </w:rPr>
      </w:pPr>
      <w:r>
        <w:rPr>
          <w:rFonts w:hint="eastAsia" w:hAnsi="宋体"/>
        </w:rPr>
        <w:t>（四）</w:t>
      </w:r>
      <w:r>
        <w:rPr>
          <w:rFonts w:hint="eastAsia" w:hAnsi="宋体"/>
          <w:b/>
        </w:rPr>
        <w:t>错误修正</w:t>
      </w:r>
    </w:p>
    <w:p>
      <w:pPr>
        <w:pStyle w:val="29"/>
        <w:snapToGrid w:val="0"/>
        <w:spacing w:line="360" w:lineRule="exact"/>
        <w:ind w:left="689" w:leftChars="228" w:hanging="210" w:hangingChars="100"/>
        <w:rPr>
          <w:rFonts w:hAnsi="宋体"/>
        </w:rPr>
      </w:pPr>
      <w:r>
        <w:rPr>
          <w:rFonts w:hint="eastAsia" w:hAnsi="宋体"/>
        </w:rPr>
        <w:t>投标文件如果出现计算或表达上的错误，修正错误的原则如下：</w:t>
      </w:r>
    </w:p>
    <w:p>
      <w:pPr>
        <w:pStyle w:val="29"/>
        <w:snapToGrid w:val="0"/>
        <w:spacing w:line="360" w:lineRule="exact"/>
        <w:ind w:firstLine="420" w:firstLineChars="200"/>
      </w:pPr>
      <w:r>
        <w:rPr>
          <w:rFonts w:hint="eastAsia"/>
        </w:rPr>
        <w:t>1.投标文件中开标一览表（报价表）内容与投标文件中相应内容不一致的，以开标一览表（报价表）为准；</w:t>
      </w:r>
    </w:p>
    <w:p>
      <w:pPr>
        <w:pStyle w:val="29"/>
        <w:snapToGrid w:val="0"/>
        <w:spacing w:line="360" w:lineRule="exact"/>
        <w:ind w:firstLine="420" w:firstLineChars="200"/>
      </w:pPr>
      <w:r>
        <w:rPr>
          <w:rFonts w:hint="eastAsia"/>
        </w:rPr>
        <w:t>2.大写金额和小写金额不一致的，以大写金额为准；</w:t>
      </w:r>
    </w:p>
    <w:p>
      <w:pPr>
        <w:pStyle w:val="29"/>
        <w:snapToGrid w:val="0"/>
        <w:spacing w:line="360" w:lineRule="exact"/>
        <w:ind w:firstLine="420" w:firstLineChars="200"/>
      </w:pPr>
      <w:r>
        <w:rPr>
          <w:rFonts w:hint="eastAsia"/>
        </w:rPr>
        <w:t>3.单价金额小数点或者百分比有明显错位的，以开标一览表的总价为准，并修改单价；</w:t>
      </w:r>
    </w:p>
    <w:p>
      <w:pPr>
        <w:pStyle w:val="29"/>
        <w:snapToGrid w:val="0"/>
        <w:spacing w:line="360" w:lineRule="exact"/>
        <w:ind w:firstLine="420" w:firstLineChars="200"/>
      </w:pPr>
      <w:r>
        <w:rPr>
          <w:rFonts w:hint="eastAsia"/>
        </w:rPr>
        <w:t>4.总价金额与按单价汇总金额不一致的，以单价金额计算结果为准。</w:t>
      </w:r>
    </w:p>
    <w:p>
      <w:pPr>
        <w:pStyle w:val="29"/>
        <w:snapToGrid w:val="0"/>
        <w:spacing w:line="360" w:lineRule="exact"/>
        <w:ind w:firstLine="420" w:firstLineChars="200"/>
      </w:pPr>
      <w:r>
        <w:rPr>
          <w:rFonts w:hint="eastAsia"/>
        </w:rPr>
        <w:t>5.对不同文字文本投标文件的解释发生异议的，以中文文本为准。</w:t>
      </w:r>
    </w:p>
    <w:p>
      <w:pPr>
        <w:pStyle w:val="29"/>
        <w:snapToGrid w:val="0"/>
        <w:spacing w:line="360" w:lineRule="exact"/>
        <w:ind w:firstLine="420" w:firstLineChars="200"/>
        <w:rPr>
          <w:rFonts w:hAnsi="宋体"/>
        </w:rPr>
      </w:pPr>
      <w:r>
        <w:rPr>
          <w:rFonts w:hint="eastAsia"/>
        </w:rPr>
        <w:t>同时出现两种以上不一致的，按照前款规定的顺序修正。</w:t>
      </w:r>
    </w:p>
    <w:p>
      <w:pPr>
        <w:pStyle w:val="29"/>
        <w:snapToGrid w:val="0"/>
        <w:spacing w:line="360" w:lineRule="exact"/>
        <w:ind w:firstLine="421" w:firstLineChars="200"/>
        <w:rPr>
          <w:rFonts w:hAnsi="宋体"/>
          <w:b/>
          <w:bCs/>
        </w:rPr>
      </w:pPr>
      <w:r>
        <w:rPr>
          <w:rFonts w:hint="eastAsia" w:hAnsi="宋体"/>
          <w:b/>
          <w:bCs/>
        </w:rPr>
        <w:t>按上述修正错误的原则及方法调整或修正投标文件的投标报价，投标人同意并</w:t>
      </w:r>
      <w:r>
        <w:rPr>
          <w:rFonts w:hAnsi="宋体"/>
          <w:b/>
          <w:bCs/>
          <w:lang w:val="en"/>
        </w:rPr>
        <w:t>签字或签章</w:t>
      </w:r>
      <w:r>
        <w:rPr>
          <w:rFonts w:hint="eastAsia" w:hAnsi="宋体"/>
          <w:b/>
          <w:bCs/>
        </w:rPr>
        <w:t>确认后，调整后的投标报价对投标人具有约束作用。如果投标人不接受修正后的报价，则其投标将作为无效投标处理。</w:t>
      </w:r>
    </w:p>
    <w:p>
      <w:pPr>
        <w:pStyle w:val="29"/>
        <w:tabs>
          <w:tab w:val="left" w:pos="630"/>
        </w:tabs>
        <w:snapToGrid w:val="0"/>
        <w:spacing w:line="360" w:lineRule="exact"/>
        <w:ind w:firstLine="413" w:firstLineChars="196"/>
        <w:outlineLvl w:val="0"/>
        <w:rPr>
          <w:rFonts w:hAnsi="宋体"/>
          <w:b/>
        </w:rPr>
      </w:pPr>
      <w:r>
        <w:rPr>
          <w:rFonts w:hint="eastAsia" w:hAnsi="宋体"/>
          <w:b/>
        </w:rPr>
        <w:t>（五）评标原则和评标方法</w:t>
      </w:r>
    </w:p>
    <w:p>
      <w:pPr>
        <w:pStyle w:val="29"/>
        <w:snapToGrid w:val="0"/>
        <w:spacing w:line="440" w:lineRule="exact"/>
        <w:ind w:firstLine="420" w:firstLineChars="20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9"/>
        <w:snapToGrid w:val="0"/>
        <w:spacing w:line="440" w:lineRule="exact"/>
        <w:ind w:firstLine="420" w:firstLineChars="200"/>
        <w:rPr>
          <w:rFonts w:hAnsi="宋体"/>
        </w:rPr>
      </w:pPr>
      <w:r>
        <w:rPr>
          <w:rFonts w:hint="eastAsia" w:hAnsi="宋体"/>
        </w:rPr>
        <w:t>2.评标方法。本项目评标方法是</w:t>
      </w:r>
      <w:r>
        <w:rPr>
          <w:rFonts w:hint="eastAsia" w:hAnsi="宋体"/>
          <w:b/>
          <w:u w:val="single"/>
        </w:rPr>
        <w:t>综合评分法</w:t>
      </w:r>
      <w:r>
        <w:rPr>
          <w:rFonts w:hint="eastAsia" w:hAnsi="宋体"/>
        </w:rPr>
        <w:t>，具体评标内容及评分标准等详见第四章：</w:t>
      </w:r>
      <w:r>
        <w:rPr>
          <w:rFonts w:hint="eastAsia" w:hAnsi="宋体"/>
          <w:lang w:val="en"/>
        </w:rPr>
        <w:t>评标方法</w:t>
      </w:r>
      <w:r>
        <w:rPr>
          <w:rFonts w:hAnsi="宋体"/>
          <w:lang w:val="en"/>
        </w:rPr>
        <w:t>及评分标准</w:t>
      </w:r>
      <w:r>
        <w:rPr>
          <w:rFonts w:hint="eastAsia" w:hAnsi="宋体"/>
        </w:rPr>
        <w:t>。</w:t>
      </w:r>
    </w:p>
    <w:p>
      <w:pPr>
        <w:pStyle w:val="29"/>
        <w:snapToGrid w:val="0"/>
        <w:spacing w:line="440" w:lineRule="exact"/>
        <w:ind w:firstLine="413" w:firstLineChars="196"/>
        <w:outlineLvl w:val="0"/>
        <w:rPr>
          <w:rFonts w:hAnsi="宋体"/>
          <w:b/>
        </w:rPr>
      </w:pPr>
      <w:r>
        <w:rPr>
          <w:rFonts w:hint="eastAsia" w:hAnsi="宋体"/>
          <w:b/>
        </w:rPr>
        <w:t>（六）评标过程的监控</w:t>
      </w:r>
    </w:p>
    <w:p>
      <w:pPr>
        <w:pStyle w:val="29"/>
        <w:snapToGrid w:val="0"/>
        <w:spacing w:line="440" w:lineRule="exact"/>
        <w:ind w:firstLine="420" w:firstLineChars="200"/>
        <w:rPr>
          <w:rFonts w:hAnsi="宋体"/>
        </w:rPr>
      </w:pPr>
      <w:r>
        <w:rPr>
          <w:rFonts w:hint="eastAsia" w:hAnsi="宋体"/>
        </w:rPr>
        <w:t>本项目评标过程实行全程录音、录像监控，投标人在评标过程中所进行的试图影响评标结果的不公正活动，可能导致其投标被拒绝。</w:t>
      </w:r>
    </w:p>
    <w:p>
      <w:pPr>
        <w:pStyle w:val="29"/>
        <w:snapToGrid w:val="0"/>
        <w:spacing w:line="440" w:lineRule="exact"/>
        <w:ind w:firstLine="413" w:firstLineChars="196"/>
        <w:outlineLvl w:val="1"/>
        <w:rPr>
          <w:rFonts w:hAnsi="宋体"/>
          <w:b/>
        </w:rPr>
      </w:pPr>
      <w:r>
        <w:rPr>
          <w:rFonts w:hint="eastAsia" w:hAnsi="宋体"/>
          <w:b/>
        </w:rPr>
        <w:t>七、评标结果</w:t>
      </w:r>
    </w:p>
    <w:p>
      <w:pPr>
        <w:pStyle w:val="29"/>
        <w:spacing w:line="440" w:lineRule="exact"/>
        <w:ind w:firstLine="420"/>
        <w:rPr>
          <w:rFonts w:hAnsi="宋体"/>
        </w:rPr>
      </w:pPr>
      <w:r>
        <w:rPr>
          <w:rFonts w:hint="eastAsia" w:hAnsi="宋体"/>
          <w:b/>
          <w:bCs/>
        </w:rPr>
        <w:t>（一）</w:t>
      </w:r>
      <w:r>
        <w:rPr>
          <w:rFonts w:hint="eastAsia" w:hAnsi="宋体"/>
        </w:rPr>
        <w:t>本中心将在评标结束后2个工作日内将评标报告送采购人，采购人在5个工作日内按照评标报告中推荐的中标候选供应商顺序确定中标供应商。</w:t>
      </w:r>
    </w:p>
    <w:p>
      <w:pPr>
        <w:pStyle w:val="29"/>
        <w:spacing w:line="440" w:lineRule="exact"/>
        <w:ind w:firstLine="420"/>
        <w:rPr>
          <w:rFonts w:hAnsi="宋体"/>
        </w:rPr>
      </w:pPr>
      <w:r>
        <w:rPr>
          <w:rFonts w:hint="eastAsia" w:hAnsi="宋体"/>
        </w:rPr>
        <w:t>（二）中标供应商确定后，本中心在中国政府采购网、广西财政网、</w:t>
      </w:r>
      <w:r>
        <w:rPr>
          <w:rFonts w:hint="eastAsia"/>
        </w:rPr>
        <w:t>广西壮族自治区政府采购中心网站</w:t>
      </w:r>
      <w:r>
        <w:rPr>
          <w:rFonts w:hint="eastAsia" w:hAnsi="宋体"/>
        </w:rPr>
        <w:t>发布中标结果公告。</w:t>
      </w:r>
    </w:p>
    <w:p>
      <w:pPr>
        <w:pStyle w:val="29"/>
        <w:spacing w:line="440" w:lineRule="exact"/>
        <w:ind w:firstLine="420"/>
        <w:rPr>
          <w:rFonts w:hAnsi="宋体"/>
        </w:rPr>
      </w:pPr>
      <w:r>
        <w:rPr>
          <w:rFonts w:hint="eastAsia" w:hAnsi="宋体"/>
        </w:rPr>
        <w:t>（三）</w:t>
      </w:r>
      <w:r>
        <w:rPr>
          <w:rFonts w:hint="eastAsia"/>
        </w:rPr>
        <w:t>在发布中标结果公告的同时，本中心向中标供应商发出中标通知书。</w:t>
      </w:r>
    </w:p>
    <w:p>
      <w:pPr>
        <w:pStyle w:val="29"/>
        <w:spacing w:line="440" w:lineRule="exact"/>
        <w:ind w:firstLine="420" w:firstLineChars="200"/>
        <w:rPr>
          <w:rFonts w:hAnsi="宋体"/>
          <w:bCs/>
        </w:rPr>
      </w:pPr>
      <w:r>
        <w:rPr>
          <w:rFonts w:hint="eastAsia" w:hAnsi="宋体"/>
        </w:rPr>
        <w:t>（四）</w:t>
      </w:r>
      <w:r>
        <w:rPr>
          <w:rFonts w:hint="eastAsia" w:hAnsi="宋体"/>
          <w:bCs/>
        </w:rPr>
        <w:t>投标人认为招标文件、招标过程和中标结果使自己的权益受到损害的，可以在知道或者应知其权益受到损害之日起七个工作日内，以书面形式向本中心提出质疑，并及时索要书面回执。</w:t>
      </w:r>
    </w:p>
    <w:p>
      <w:pPr>
        <w:pStyle w:val="29"/>
        <w:spacing w:line="440" w:lineRule="exact"/>
        <w:ind w:firstLine="420"/>
        <w:rPr>
          <w:rFonts w:hAnsi="宋体"/>
        </w:rPr>
      </w:pPr>
      <w:r>
        <w:rPr>
          <w:rFonts w:hint="eastAsia" w:hAnsi="宋体"/>
        </w:rPr>
        <w:t>（五）</w:t>
      </w:r>
      <w:r>
        <w:rPr>
          <w:rFonts w:hint="eastAsia" w:hAnsi="宋体"/>
          <w:bCs/>
        </w:rPr>
        <w:t>本中心应当按照有关规定就采购人委托授权范围内的事项在收到投标人的书面质疑后七个工作日内做出答复，但答复的内容不得涉及商业秘密。</w:t>
      </w:r>
    </w:p>
    <w:p>
      <w:pPr>
        <w:pStyle w:val="29"/>
        <w:snapToGrid w:val="0"/>
        <w:spacing w:line="440" w:lineRule="exact"/>
        <w:ind w:firstLine="413" w:firstLineChars="196"/>
        <w:outlineLvl w:val="1"/>
        <w:rPr>
          <w:rFonts w:hAnsi="宋体"/>
          <w:b/>
        </w:rPr>
      </w:pPr>
      <w:r>
        <w:rPr>
          <w:rFonts w:hint="eastAsia" w:hAnsi="宋体"/>
          <w:b/>
        </w:rPr>
        <w:t>八、签订合同</w:t>
      </w:r>
    </w:p>
    <w:p>
      <w:pPr>
        <w:pStyle w:val="29"/>
        <w:snapToGrid w:val="0"/>
        <w:spacing w:line="440" w:lineRule="exact"/>
        <w:ind w:firstLine="413" w:firstLineChars="196"/>
        <w:outlineLvl w:val="1"/>
        <w:rPr>
          <w:rFonts w:hAnsi="宋体"/>
          <w:b/>
        </w:rPr>
      </w:pPr>
      <w:r>
        <w:rPr>
          <w:rFonts w:hint="eastAsia" w:hAnsi="宋体"/>
          <w:b/>
        </w:rPr>
        <w:t>（一）合同授予标准</w:t>
      </w:r>
    </w:p>
    <w:p>
      <w:pPr>
        <w:pStyle w:val="29"/>
        <w:spacing w:line="440" w:lineRule="exact"/>
        <w:ind w:firstLine="420"/>
        <w:rPr>
          <w:rFonts w:hAnsi="宋体"/>
        </w:rPr>
      </w:pPr>
      <w:r>
        <w:rPr>
          <w:rFonts w:hint="eastAsia" w:hAnsi="宋体"/>
        </w:rPr>
        <w:t>合同将授予被确定投标文件满足招标文件全部实质性要求，具备履行合同能力，评审得分最高，综合评分排名第一的供应商。</w:t>
      </w:r>
    </w:p>
    <w:p>
      <w:pPr>
        <w:pStyle w:val="29"/>
        <w:snapToGrid w:val="0"/>
        <w:spacing w:line="440" w:lineRule="exact"/>
        <w:ind w:firstLine="413" w:firstLineChars="196"/>
        <w:outlineLvl w:val="1"/>
        <w:rPr>
          <w:rFonts w:hAnsi="宋体"/>
        </w:rPr>
      </w:pPr>
      <w:r>
        <w:rPr>
          <w:rFonts w:hint="eastAsia" w:hAnsi="宋体"/>
          <w:b/>
        </w:rPr>
        <w:t>（二）签订合同</w:t>
      </w:r>
    </w:p>
    <w:p>
      <w:pPr>
        <w:pStyle w:val="29"/>
        <w:spacing w:line="440" w:lineRule="exact"/>
        <w:ind w:firstLine="420"/>
        <w:rPr>
          <w:rFonts w:hAnsi="宋体"/>
        </w:rPr>
      </w:pPr>
      <w:r>
        <w:rPr>
          <w:rFonts w:hint="eastAsia" w:hAnsi="宋体"/>
        </w:rPr>
        <w:t>（1）</w:t>
      </w:r>
      <w:r>
        <w:rPr>
          <w:rFonts w:hint="eastAsia"/>
        </w:rPr>
        <w:t>投标人接到中标通知书后，应按中标通知书规定的时间、地点与采购人签订合同。中标人无正当理由不得放弃中标。</w:t>
      </w:r>
    </w:p>
    <w:p>
      <w:pPr>
        <w:pStyle w:val="29"/>
        <w:spacing w:line="440" w:lineRule="exact"/>
        <w:ind w:firstLine="420"/>
        <w:rPr>
          <w:rFonts w:hAnsi="宋体"/>
        </w:rPr>
      </w:pPr>
      <w:r>
        <w:rPr>
          <w:rFonts w:hint="eastAsia" w:hAnsi="宋体"/>
        </w:rPr>
        <w:t>（2）如中标供应商不按中标通知书的规定签订合同，则按中标供应商违约处理，本中心将没收中标供应商投标的全部投标保证金。</w:t>
      </w:r>
    </w:p>
    <w:p>
      <w:pPr>
        <w:pStyle w:val="29"/>
        <w:spacing w:line="440" w:lineRule="exact"/>
        <w:ind w:firstLine="420" w:firstLineChars="200"/>
        <w:rPr>
          <w:b/>
        </w:rPr>
      </w:pPr>
      <w:r>
        <w:rPr>
          <w:rFonts w:hint="eastAsia" w:hAnsi="宋体"/>
        </w:rPr>
        <w:t>（3）中标供应商拒绝与采购人签订合同或因不可抗力或者自身原因不能履行采购合同的，采购人可以与中标供应商之后排名第一的中标候选供应商签订采购合同，以此类推,也可以重新招标。</w:t>
      </w:r>
      <w:r>
        <w:t>中标供应商放弃中标项目，拒绝与采购人签订合同的，其投标保证金</w:t>
      </w:r>
      <w:r>
        <w:rPr>
          <w:rFonts w:hint="eastAsia"/>
        </w:rPr>
        <w:t>将不予退还，</w:t>
      </w:r>
      <w:r>
        <w:t>并上缴国库，</w:t>
      </w:r>
      <w:r>
        <w:rPr>
          <w:rFonts w:hint="eastAsia"/>
        </w:rPr>
        <w:t>给</w:t>
      </w:r>
      <w:r>
        <w:t>采购人造成损失的，还应当赔偿损失，并作为不良行为记录在案</w:t>
      </w:r>
      <w:r>
        <w:rPr>
          <w:rFonts w:hint="eastAsia" w:hAnsi="宋体"/>
        </w:rPr>
        <w:t>。</w:t>
      </w:r>
    </w:p>
    <w:p>
      <w:pPr>
        <w:pStyle w:val="29"/>
        <w:spacing w:line="440" w:lineRule="exact"/>
        <w:ind w:firstLine="413" w:firstLineChars="196"/>
        <w:rPr>
          <w:b/>
        </w:rPr>
      </w:pPr>
      <w:r>
        <w:rPr>
          <w:rFonts w:hint="eastAsia" w:hAnsi="宋体"/>
          <w:b/>
        </w:rPr>
        <w:t>九、其他事项</w:t>
      </w:r>
    </w:p>
    <w:p>
      <w:pPr>
        <w:pStyle w:val="29"/>
        <w:spacing w:line="440" w:lineRule="exact"/>
        <w:ind w:firstLine="206" w:firstLineChars="98"/>
        <w:rPr>
          <w:b/>
        </w:rPr>
      </w:pPr>
      <w:r>
        <w:rPr>
          <w:rFonts w:hint="eastAsia"/>
          <w:b/>
        </w:rPr>
        <w:t>（1）解释权：</w:t>
      </w:r>
      <w:r>
        <w:rPr>
          <w:rFonts w:hint="eastAsia"/>
          <w:spacing w:val="-4"/>
        </w:rPr>
        <w:t>本招标文件解释权属本中心。</w:t>
      </w:r>
    </w:p>
    <w:p>
      <w:pPr>
        <w:pStyle w:val="29"/>
        <w:spacing w:line="440" w:lineRule="exact"/>
        <w:ind w:firstLine="206" w:firstLineChars="98"/>
      </w:pPr>
      <w:r>
        <w:rPr>
          <w:rFonts w:hint="eastAsia"/>
          <w:b/>
        </w:rPr>
        <w:t>（2）有关事宜</w:t>
      </w:r>
    </w:p>
    <w:p>
      <w:pPr>
        <w:pStyle w:val="29"/>
        <w:spacing w:line="440" w:lineRule="exact"/>
        <w:ind w:firstLine="728" w:firstLineChars="347"/>
      </w:pPr>
      <w:bookmarkStart w:id="9" w:name="_Toc254970689"/>
      <w:bookmarkStart w:id="10" w:name="_Toc254970548"/>
      <w:r>
        <w:rPr>
          <w:rFonts w:hint="eastAsia"/>
        </w:rPr>
        <w:t>所有与本招标文件有关的函件请按下列通讯地址联系：</w:t>
      </w:r>
    </w:p>
    <w:p>
      <w:pPr>
        <w:pStyle w:val="29"/>
        <w:tabs>
          <w:tab w:val="left" w:pos="1990"/>
        </w:tabs>
        <w:spacing w:line="440" w:lineRule="exact"/>
        <w:ind w:firstLine="709"/>
        <w:rPr>
          <w:u w:val="single"/>
        </w:rPr>
      </w:pPr>
      <w:r>
        <w:rPr>
          <w:rFonts w:hint="eastAsia"/>
        </w:rPr>
        <w:t>邮政编码：530022</w:t>
      </w:r>
    </w:p>
    <w:p>
      <w:pPr>
        <w:pStyle w:val="29"/>
        <w:tabs>
          <w:tab w:val="left" w:pos="1990"/>
        </w:tabs>
        <w:spacing w:line="440" w:lineRule="exact"/>
        <w:ind w:firstLine="709"/>
        <w:rPr>
          <w:spacing w:val="-4"/>
          <w:lang w:val="en"/>
        </w:rPr>
      </w:pPr>
      <w:r>
        <w:rPr>
          <w:rFonts w:hint="eastAsia"/>
        </w:rPr>
        <w:t xml:space="preserve">通讯地址：广西南宁市星湖路22号 </w:t>
      </w:r>
    </w:p>
    <w:p>
      <w:pPr>
        <w:pStyle w:val="29"/>
        <w:spacing w:line="440" w:lineRule="exact"/>
        <w:ind w:firstLine="707" w:firstLineChars="337"/>
      </w:pPr>
      <w:r>
        <w:rPr>
          <w:rFonts w:hint="eastAsia"/>
        </w:rPr>
        <w:t>电    话：</w:t>
      </w:r>
      <w:r>
        <w:rPr>
          <w:lang w:val="en"/>
        </w:rPr>
        <w:t>0771-8600431</w:t>
      </w:r>
      <w:r>
        <w:rPr>
          <w:rFonts w:hint="eastAsia"/>
        </w:rPr>
        <w:t xml:space="preserve"> </w:t>
      </w:r>
    </w:p>
    <w:p>
      <w:pPr>
        <w:pStyle w:val="29"/>
        <w:spacing w:line="360" w:lineRule="exact"/>
        <w:ind w:firstLine="824"/>
      </w:pPr>
    </w:p>
    <w:p>
      <w:pPr>
        <w:pStyle w:val="29"/>
        <w:snapToGrid w:val="0"/>
        <w:spacing w:before="120" w:after="120"/>
        <w:jc w:val="center"/>
        <w:outlineLvl w:val="0"/>
        <w:rPr>
          <w:rFonts w:ascii="黑体" w:eastAsia="黑体"/>
          <w:b/>
          <w:sz w:val="44"/>
          <w:szCs w:val="44"/>
        </w:rPr>
      </w:pPr>
      <w:r>
        <w:rPr>
          <w:rFonts w:hint="eastAsia" w:ascii="黑体" w:eastAsia="黑体"/>
          <w:b/>
          <w:sz w:val="44"/>
          <w:szCs w:val="44"/>
        </w:rPr>
        <w:br w:type="page"/>
      </w:r>
    </w:p>
    <w:p>
      <w:pPr>
        <w:pStyle w:val="29"/>
        <w:snapToGrid w:val="0"/>
        <w:spacing w:before="120" w:after="120"/>
        <w:jc w:val="center"/>
        <w:outlineLvl w:val="0"/>
        <w:rPr>
          <w:rFonts w:ascii="黑体" w:eastAsia="黑体"/>
          <w:b/>
          <w:sz w:val="32"/>
          <w:szCs w:val="32"/>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7"/>
      </w:pPr>
    </w:p>
    <w:bookmarkEnd w:id="9"/>
    <w:bookmarkEnd w:id="10"/>
    <w:p>
      <w:pPr>
        <w:pStyle w:val="29"/>
        <w:snapToGrid w:val="0"/>
        <w:spacing w:before="120" w:after="120"/>
        <w:jc w:val="center"/>
        <w:outlineLvl w:val="0"/>
        <w:rPr>
          <w:rFonts w:ascii="黑体" w:eastAsia="黑体"/>
          <w:b/>
          <w:sz w:val="44"/>
          <w:szCs w:val="44"/>
        </w:rPr>
      </w:pPr>
      <w:r>
        <w:rPr>
          <w:rFonts w:hint="eastAsia" w:ascii="仿宋_GB2312" w:eastAsia="仿宋_GB2312"/>
          <w:b/>
          <w:sz w:val="44"/>
          <w:szCs w:val="44"/>
        </w:rPr>
        <w:t>第四章  评标方法及评分标准</w:t>
      </w:r>
    </w:p>
    <w:p>
      <w:pPr>
        <w:spacing w:line="340" w:lineRule="exact"/>
        <w:ind w:firstLine="420" w:firstLineChars="200"/>
        <w:jc w:val="center"/>
        <w:rPr>
          <w:bCs/>
        </w:rPr>
      </w:pPr>
      <w:r>
        <w:rPr>
          <w:bCs/>
        </w:rPr>
        <w:br w:type="page"/>
      </w:r>
    </w:p>
    <w:p>
      <w:pPr>
        <w:spacing w:line="340" w:lineRule="exact"/>
        <w:ind w:firstLine="642" w:firstLineChars="200"/>
        <w:rPr>
          <w:rFonts w:ascii="仿宋_GB2312" w:hAnsi="宋体" w:eastAsia="仿宋_GB2312"/>
          <w:b/>
          <w:sz w:val="32"/>
          <w:szCs w:val="32"/>
          <w:lang w:val="en"/>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
        </w:rPr>
        <w:t>评标方法</w:t>
      </w:r>
      <w:r>
        <w:rPr>
          <w:rFonts w:ascii="仿宋_GB2312" w:hAnsi="宋体" w:eastAsia="仿宋_GB2312"/>
          <w:b/>
          <w:sz w:val="32"/>
          <w:szCs w:val="32"/>
          <w:lang w:val="en"/>
        </w:rPr>
        <w:t>及评分标准</w:t>
      </w:r>
    </w:p>
    <w:p>
      <w:pPr>
        <w:pStyle w:val="29"/>
        <w:spacing w:line="420" w:lineRule="exact"/>
        <w:ind w:firstLine="516" w:firstLineChars="245"/>
        <w:rPr>
          <w:rFonts w:hAnsi="宋体"/>
          <w:b/>
        </w:rPr>
      </w:pPr>
      <w:r>
        <w:rPr>
          <w:rFonts w:hint="eastAsia" w:hAnsi="宋体"/>
          <w:b/>
        </w:rPr>
        <w:t>一、评标原则</w:t>
      </w:r>
    </w:p>
    <w:p>
      <w:pPr>
        <w:pStyle w:val="29"/>
        <w:spacing w:line="420" w:lineRule="exact"/>
        <w:ind w:firstLine="483" w:firstLineChars="230"/>
        <w:rPr>
          <w:rFonts w:hAnsi="宋体"/>
          <w:bCs/>
          <w:szCs w:val="20"/>
        </w:rPr>
      </w:pPr>
      <w:r>
        <w:rPr>
          <w:rFonts w:hint="eastAsia" w:hAnsi="宋体"/>
          <w:bCs/>
        </w:rPr>
        <w:t>(一)评委组成：本招标采购项目的</w:t>
      </w:r>
      <w:r>
        <w:rPr>
          <w:rFonts w:hint="eastAsia"/>
          <w:spacing w:val="-4"/>
        </w:rPr>
        <w:t>评标委员会由采购人代表和评审专家组成，成员人数应当为5人以上单数，其中评审专家不得少于成员总数的三分之二。</w:t>
      </w:r>
    </w:p>
    <w:p>
      <w:pPr>
        <w:pStyle w:val="29"/>
        <w:spacing w:line="420" w:lineRule="exact"/>
        <w:ind w:firstLine="499" w:firstLineChars="238"/>
        <w:rPr>
          <w:rFonts w:hAnsi="宋体"/>
          <w:bCs/>
        </w:rPr>
      </w:pPr>
      <w:r>
        <w:rPr>
          <w:rFonts w:hint="eastAsia" w:hAnsi="宋体"/>
          <w:bCs/>
        </w:rPr>
        <w:t>(二)评标依据：</w:t>
      </w:r>
      <w:r>
        <w:rPr>
          <w:rFonts w:hAnsi="宋体"/>
          <w:bCs/>
        </w:rPr>
        <w:t>评委将以招投标文件为评标依据，对投标人的投标内容按百分制打分。</w:t>
      </w:r>
    </w:p>
    <w:p>
      <w:pPr>
        <w:pStyle w:val="29"/>
        <w:spacing w:line="420" w:lineRule="exact"/>
        <w:ind w:firstLine="483" w:firstLineChars="230"/>
        <w:rPr>
          <w:rFonts w:hAnsi="宋体"/>
          <w:bCs/>
        </w:rPr>
      </w:pPr>
      <w:r>
        <w:rPr>
          <w:rFonts w:hint="eastAsia" w:hAnsi="宋体"/>
          <w:bCs/>
        </w:rPr>
        <w:t>(三)评标方式：以封闭方式进行。</w:t>
      </w:r>
    </w:p>
    <w:p>
      <w:pPr>
        <w:pStyle w:val="29"/>
        <w:spacing w:line="420" w:lineRule="exact"/>
        <w:ind w:firstLine="420" w:firstLineChars="200"/>
        <w:rPr>
          <w:rFonts w:hAnsi="宋体"/>
          <w:bCs/>
        </w:rPr>
      </w:pPr>
      <w:r>
        <w:rPr>
          <w:rFonts w:hint="eastAsia" w:hAnsi="宋体"/>
          <w:bCs/>
        </w:rPr>
        <w:t>（四）无效投标处理原则：在评标过程中，包括在异常低价认定程序中被认定为无效的投标，其投标文件不再进入后续评审阶段，也不参与得分计算与汇总排名。</w:t>
      </w:r>
    </w:p>
    <w:p>
      <w:pPr>
        <w:pStyle w:val="29"/>
        <w:spacing w:line="420" w:lineRule="exact"/>
        <w:ind w:firstLine="510" w:firstLineChars="243"/>
        <w:rPr>
          <w:rFonts w:hAnsi="宋体"/>
          <w:b/>
        </w:rPr>
      </w:pPr>
      <w:r>
        <w:rPr>
          <w:rFonts w:hint="eastAsia" w:hAnsi="宋体"/>
          <w:bCs/>
        </w:rPr>
        <w:t>二</w:t>
      </w:r>
      <w:r>
        <w:rPr>
          <w:rFonts w:hint="eastAsia" w:hAnsi="宋体"/>
          <w:b/>
        </w:rPr>
        <w:t>、评标方法</w:t>
      </w:r>
    </w:p>
    <w:p>
      <w:pPr>
        <w:pStyle w:val="29"/>
        <w:spacing w:line="420" w:lineRule="exact"/>
        <w:ind w:firstLine="420" w:firstLineChars="200"/>
        <w:outlineLvl w:val="0"/>
        <w:rPr>
          <w:rFonts w:hAnsi="宋体"/>
        </w:rPr>
      </w:pPr>
      <w:r>
        <w:rPr>
          <w:rFonts w:hint="eastAsia" w:hAnsi="宋体"/>
        </w:rPr>
        <w:t>（一）对进入详评的，采用百分制综合评分法。</w:t>
      </w:r>
    </w:p>
    <w:p>
      <w:pPr>
        <w:pStyle w:val="29"/>
        <w:spacing w:line="420" w:lineRule="exact"/>
        <w:ind w:firstLine="420" w:firstLineChars="200"/>
        <w:outlineLvl w:val="0"/>
        <w:rPr>
          <w:rFonts w:hAnsi="宋体"/>
        </w:rPr>
      </w:pPr>
      <w:r>
        <w:rPr>
          <w:rFonts w:hint="eastAsia" w:hAnsi="宋体"/>
        </w:rPr>
        <w:t>（二）计分办法（按四舍五入取至百分位）：</w:t>
      </w:r>
    </w:p>
    <w:p>
      <w:pPr>
        <w:pStyle w:val="29"/>
        <w:spacing w:line="420" w:lineRule="exact"/>
        <w:ind w:firstLine="501" w:firstLineChars="238"/>
        <w:rPr>
          <w:b/>
        </w:rPr>
      </w:pPr>
      <w:r>
        <w:rPr>
          <w:rFonts w:hint="eastAsia"/>
          <w:b/>
        </w:rPr>
        <w:t>1、价格分</w:t>
      </w:r>
      <w:r>
        <w:rPr>
          <w:rFonts w:hint="eastAsia" w:hAnsi="宋体"/>
          <w:b/>
          <w:bCs/>
          <w:spacing w:val="-8"/>
        </w:rPr>
        <w:t>………………………………………………………………………………………</w:t>
      </w:r>
      <w:r>
        <w:rPr>
          <w:b/>
          <w:lang w:val="en"/>
        </w:rPr>
        <w:t>3</w:t>
      </w:r>
      <w:r>
        <w:rPr>
          <w:rFonts w:hint="eastAsia"/>
          <w:b/>
        </w:rPr>
        <w:t>0分</w:t>
      </w:r>
    </w:p>
    <w:p>
      <w:pPr>
        <w:pStyle w:val="226"/>
        <w:adjustRightInd w:val="0"/>
        <w:snapToGrid w:val="0"/>
        <w:spacing w:line="400" w:lineRule="exact"/>
        <w:ind w:firstLine="378" w:firstLineChars="180"/>
      </w:pPr>
      <w:r>
        <w:rPr>
          <w:rFonts w:hint="eastAsia"/>
        </w:rPr>
        <w:t>（1）</w:t>
      </w:r>
      <w:r>
        <w:rPr>
          <w:rFonts w:hint="eastAsia" w:ascii="Times New Roman" w:hAnsi="Times New Roman"/>
          <w:bCs/>
        </w:rPr>
        <w:t>符合《政府采购促进中小企业发展管理办法》（财库〔2020〕46号）规定条件且按该办法中规定的格式提供了《中小企业声明函》的小型和微型企业参与投标，对其投标报价给予10</w:t>
      </w:r>
      <w:r>
        <w:rPr>
          <w:rFonts w:ascii="Times New Roman" w:hAnsi="Times New Roman"/>
          <w:bCs/>
        </w:rPr>
        <w:t>%</w:t>
      </w:r>
      <w:r>
        <w:rPr>
          <w:rFonts w:hint="eastAsia" w:ascii="Times New Roman" w:hAnsi="Times New Roman"/>
          <w:bCs/>
        </w:rPr>
        <w:t>的扣除，</w:t>
      </w:r>
      <w:r>
        <w:rPr>
          <w:rFonts w:hint="eastAsia"/>
        </w:rPr>
        <w:t>扣除后的价格为评标价，即评标价=投标价×（1-10%）；符合《国务院办公厅关于在政府采购中实施本国产品标准及相关政策的通知》（国办发〔2025〕34号）规定</w:t>
      </w:r>
      <w:r>
        <w:rPr>
          <w:rFonts w:hint="eastAsia" w:ascii="Times New Roman" w:hAnsi="Times New Roman"/>
          <w:bCs/>
        </w:rPr>
        <w:t>条件且按该通知中规定的格式提供了《关于符合本国产品标准的声明函》的供应商参与投标，对其投标报价给予20</w:t>
      </w:r>
      <w:r>
        <w:rPr>
          <w:rFonts w:ascii="Times New Roman" w:hAnsi="Times New Roman"/>
          <w:bCs/>
        </w:rPr>
        <w:t>%</w:t>
      </w:r>
      <w:r>
        <w:rPr>
          <w:rFonts w:hint="eastAsia" w:ascii="Times New Roman" w:hAnsi="Times New Roman"/>
          <w:bCs/>
        </w:rPr>
        <w:t>的扣除，</w:t>
      </w:r>
      <w:r>
        <w:rPr>
          <w:rFonts w:hint="eastAsia"/>
        </w:rPr>
        <w:t>扣除后的价格为评标价，即评标价=投标价×（1-20%）；除上述情况外，评标价=投标价。</w:t>
      </w:r>
    </w:p>
    <w:p>
      <w:pPr>
        <w:pStyle w:val="29"/>
        <w:spacing w:line="420" w:lineRule="exact"/>
        <w:ind w:firstLine="420" w:firstLineChars="200"/>
        <w:outlineLvl w:val="0"/>
      </w:pPr>
      <w:r>
        <w:rPr>
          <w:rFonts w:hint="eastAsia" w:hAnsi="宋体" w:cs="宋体"/>
          <w:kern w:val="0"/>
        </w:rPr>
        <w:t>投标产品生产企业</w:t>
      </w:r>
      <w:r>
        <w:rPr>
          <w:rFonts w:hint="eastAsia"/>
        </w:rPr>
        <w:t>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29"/>
        <w:spacing w:line="420" w:lineRule="exact"/>
        <w:ind w:firstLine="420" w:firstLineChars="200"/>
        <w:outlineLvl w:val="0"/>
      </w:pPr>
      <w:r>
        <w:rPr>
          <w:rFonts w:hint="eastAsia"/>
        </w:rPr>
        <w:t>投标</w:t>
      </w:r>
      <w:r>
        <w:rPr>
          <w:rFonts w:hint="eastAsia"/>
          <w:bCs/>
        </w:rPr>
        <w:t>产品</w:t>
      </w:r>
      <w:r>
        <w:rPr>
          <w:rFonts w:hint="eastAsia"/>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29"/>
        <w:spacing w:line="420" w:lineRule="exact"/>
        <w:ind w:firstLine="210" w:firstLineChars="100"/>
        <w:outlineLvl w:val="0"/>
        <w:rPr>
          <w:rFonts w:hAnsi="宋体"/>
        </w:rPr>
      </w:pPr>
      <w:r>
        <w:rPr>
          <w:rFonts w:hint="eastAsia" w:hAnsi="宋体"/>
        </w:rPr>
        <w:t xml:space="preserve"> （2）以</w:t>
      </w:r>
      <w:r>
        <w:rPr>
          <w:rFonts w:hint="eastAsia"/>
        </w:rPr>
        <w:t>满足招标文件要求且评标价最低的投标人的评标价为评标基准价，其价格分为</w:t>
      </w:r>
      <w:r>
        <w:rPr>
          <w:rFonts w:hAnsi="宋体" w:cs="宋体"/>
          <w:b/>
          <w:lang w:val="en"/>
        </w:rPr>
        <w:t>3</w:t>
      </w:r>
      <w:r>
        <w:rPr>
          <w:rFonts w:hint="eastAsia" w:hAnsi="宋体" w:cs="宋体"/>
          <w:b/>
        </w:rPr>
        <w:t>0</w:t>
      </w:r>
      <w:r>
        <w:rPr>
          <w:rFonts w:hint="eastAsia" w:hAnsi="宋体" w:cs="宋体"/>
          <w:szCs w:val="24"/>
        </w:rPr>
        <w:t>分</w:t>
      </w:r>
      <w:r>
        <w:rPr>
          <w:rFonts w:hint="eastAsia" w:ascii="Times New Roman" w:hAnsi="Times New Roman"/>
          <w:szCs w:val="24"/>
        </w:rPr>
        <w:t>。</w:t>
      </w:r>
    </w:p>
    <w:p>
      <w:pPr>
        <w:pStyle w:val="29"/>
        <w:spacing w:line="420" w:lineRule="exact"/>
        <w:outlineLvl w:val="0"/>
        <w:rPr>
          <w:b/>
        </w:rPr>
      </w:pPr>
      <w:r>
        <w:rPr>
          <w:rFonts w:hint="eastAsia"/>
          <w:b/>
          <w:bCs/>
        </w:rPr>
        <w:t xml:space="preserve">   （3）某投标人价格分</w:t>
      </w:r>
      <w:r>
        <w:rPr>
          <w:rFonts w:hint="eastAsia"/>
          <w:b/>
        </w:rPr>
        <w:t xml:space="preserve"> =评标基准价（金额）/某投标人评标价（金额）×</w:t>
      </w:r>
      <w:r>
        <w:rPr>
          <w:b/>
          <w:lang w:val="en"/>
        </w:rPr>
        <w:t>3</w:t>
      </w:r>
      <w:r>
        <w:rPr>
          <w:rFonts w:hint="eastAsia"/>
          <w:b/>
        </w:rPr>
        <w:t>0分</w:t>
      </w:r>
    </w:p>
    <w:p>
      <w:pPr>
        <w:adjustRightInd w:val="0"/>
        <w:spacing w:line="400" w:lineRule="exact"/>
        <w:ind w:firstLine="413" w:firstLineChars="196"/>
        <w:textAlignment w:val="baseline"/>
        <w:outlineLvl w:val="0"/>
        <w:rPr>
          <w:rFonts w:ascii="宋体" w:hAnsi="宋体" w:cs="宋体"/>
          <w:b/>
          <w:kern w:val="0"/>
          <w:szCs w:val="21"/>
        </w:rPr>
      </w:pPr>
      <w:r>
        <w:rPr>
          <w:rFonts w:hint="eastAsia" w:ascii="宋体" w:hAnsi="宋体" w:cs="宋体"/>
          <w:b/>
          <w:kern w:val="0"/>
          <w:szCs w:val="21"/>
        </w:rPr>
        <w:t>2.技术分…………………………………………………………………………</w:t>
      </w:r>
      <w:r>
        <w:rPr>
          <w:rFonts w:ascii="宋体" w:hAnsi="宋体" w:cs="宋体"/>
          <w:b/>
          <w:kern w:val="0"/>
          <w:szCs w:val="21"/>
        </w:rPr>
        <w:t>64</w:t>
      </w:r>
      <w:r>
        <w:rPr>
          <w:rFonts w:hint="eastAsia" w:ascii="宋体" w:hAnsi="宋体" w:cs="宋体"/>
          <w:b/>
          <w:kern w:val="0"/>
          <w:szCs w:val="21"/>
        </w:rPr>
        <w:t>分</w:t>
      </w:r>
    </w:p>
    <w:p>
      <w:pPr>
        <w:spacing w:line="400" w:lineRule="exact"/>
        <w:ind w:left="105" w:leftChars="50" w:firstLine="316" w:firstLineChars="150"/>
        <w:rPr>
          <w:rFonts w:ascii="宋体" w:hAnsi="宋体" w:cs="宋体"/>
          <w:b/>
          <w:bCs/>
          <w:szCs w:val="21"/>
        </w:rPr>
      </w:pPr>
      <w:r>
        <w:rPr>
          <w:rFonts w:hint="eastAsia" w:ascii="宋体" w:hAnsi="宋体" w:cs="宋体"/>
          <w:b/>
          <w:bCs/>
          <w:szCs w:val="21"/>
        </w:rPr>
        <w:t>（1）技术参数及性能配置分（满分38分）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w:t>
      </w:r>
      <w:r>
        <w:rPr>
          <w:rFonts w:hint="eastAsia" w:ascii="宋体" w:hAnsi="宋体" w:cs="宋体"/>
          <w:szCs w:val="21"/>
        </w:rPr>
        <w:fldChar w:fldCharType="begin"/>
      </w:r>
      <w:r>
        <w:rPr>
          <w:rFonts w:hint="eastAsia" w:ascii="宋体" w:hAnsi="宋体" w:cs="宋体"/>
          <w:szCs w:val="21"/>
        </w:rPr>
        <w:instrText xml:space="preserve"> = 1 \* GB3 \* MERGEFORMAT </w:instrText>
      </w:r>
      <w:r>
        <w:rPr>
          <w:rFonts w:hint="eastAsia" w:ascii="宋体" w:hAnsi="宋体" w:cs="宋体"/>
          <w:szCs w:val="21"/>
        </w:rPr>
        <w:fldChar w:fldCharType="separate"/>
      </w:r>
      <w:r>
        <w:rPr>
          <w:rFonts w:hint="eastAsia" w:ascii="宋体" w:hAnsi="宋体" w:cs="宋体"/>
          <w:szCs w:val="21"/>
        </w:rPr>
        <w:t>①</w:t>
      </w:r>
      <w:r>
        <w:rPr>
          <w:rFonts w:hint="eastAsia" w:ascii="宋体" w:hAnsi="宋体" w:cs="宋体"/>
          <w:szCs w:val="21"/>
        </w:rPr>
        <w:fldChar w:fldCharType="end"/>
      </w:r>
      <w:r>
        <w:rPr>
          <w:rFonts w:hint="eastAsia" w:ascii="宋体" w:hAnsi="宋体" w:cs="宋体"/>
          <w:szCs w:val="21"/>
        </w:rPr>
        <w:t>所投产品标注“★”号的技术参数及配置优于招标文件且评标时提供相关证明材料被评标委员会接受的，每优于一项加1分，满分12分。</w:t>
      </w:r>
    </w:p>
    <w:p>
      <w:pPr>
        <w:spacing w:line="400" w:lineRule="exact"/>
        <w:ind w:left="105" w:leftChars="50" w:firstLine="315" w:firstLineChars="150"/>
      </w:pPr>
      <w:r>
        <w:rPr>
          <w:rFonts w:hint="eastAsia" w:ascii="宋体" w:hAnsi="宋体" w:cs="宋体"/>
          <w:szCs w:val="21"/>
        </w:rPr>
        <w:t xml:space="preserve"> </w:t>
      </w:r>
      <w:r>
        <w:rPr>
          <w:rFonts w:hint="eastAsia" w:ascii="宋体" w:hAnsi="宋体" w:cs="宋体"/>
          <w:szCs w:val="21"/>
        </w:rPr>
        <w:fldChar w:fldCharType="begin"/>
      </w:r>
      <w:r>
        <w:rPr>
          <w:rFonts w:hint="eastAsia" w:ascii="宋体" w:hAnsi="宋体" w:cs="宋体"/>
          <w:szCs w:val="21"/>
        </w:rPr>
        <w:instrText xml:space="preserve"> = 2 \* GB3 \* MERGEFORMAT </w:instrText>
      </w:r>
      <w:r>
        <w:rPr>
          <w:rFonts w:hint="eastAsia" w:ascii="宋体" w:hAnsi="宋体" w:cs="宋体"/>
          <w:szCs w:val="21"/>
        </w:rPr>
        <w:fldChar w:fldCharType="separate"/>
      </w:r>
      <w:r>
        <w:rPr>
          <w:rFonts w:hint="eastAsia" w:ascii="宋体" w:hAnsi="宋体" w:cs="宋体"/>
          <w:szCs w:val="21"/>
        </w:rPr>
        <w:t>②</w:t>
      </w:r>
      <w:r>
        <w:rPr>
          <w:rFonts w:hint="eastAsia" w:ascii="宋体" w:hAnsi="宋体" w:cs="宋体"/>
          <w:szCs w:val="21"/>
        </w:rPr>
        <w:fldChar w:fldCharType="end"/>
      </w:r>
      <w:r>
        <w:rPr>
          <w:rFonts w:hint="eastAsia" w:ascii="宋体" w:hAnsi="宋体" w:cs="宋体"/>
          <w:szCs w:val="21"/>
        </w:rPr>
        <w:t>所投产品标注“●”号的技术参数及配置满足招标文件且评标时提供相关证明材料被评标委员会接受的，每满足一项加0.5分，满分26分。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注：以上评审因素投标人在投标文件中，提供投标产品的官方彩页或功能截图或第三方检测报告复印件等证明材料，否则评标委员会有权不接受。</w:t>
      </w:r>
    </w:p>
    <w:p>
      <w:pPr>
        <w:spacing w:line="400" w:lineRule="exact"/>
        <w:ind w:firstLine="413" w:firstLineChars="196"/>
        <w:outlineLvl w:val="0"/>
        <w:rPr>
          <w:rFonts w:ascii="宋体" w:hAnsi="宋体" w:cs="宋体"/>
          <w:b/>
          <w:szCs w:val="21"/>
        </w:rPr>
      </w:pPr>
      <w:r>
        <w:rPr>
          <w:rFonts w:hint="eastAsia" w:ascii="宋体" w:hAnsi="宋体" w:cs="宋体"/>
          <w:b/>
          <w:szCs w:val="21"/>
        </w:rPr>
        <w:t xml:space="preserve"> （2）组织实施方案分（满分7分）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未提供和达不到一档要求的不得分。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一档（1分）：实施方案中对进度计划、人员投入、质量保证措施、安全保证措施和技术保证措施等有描述，实施方案完整，实施计划可行，项目管理组织机构及人员职能清晰，投入实施人员少于5名，能按时完成设备到货并安装完成。</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二档（4分）：实施方案包括有进度计划、人员投入、质量保证措施、安全保证措施和技术保证措施内容可行、详细。实施方案完整清晰，实施计划完整可行，项目管理组织机构及人员职能清晰，投入实施人员5～10名，设备到货并完成项目实施天数比要求提前5～10天的。</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三档（7分）：实施方案包括有进度计划、人员投入、质量保证措施、安全保证措施和技术保证措施及验收方案内容可行、详细，具有合理性、科学性，有进度计划和工期保证措施及赶工措施、实施安全保障措施、质量保证措施、风险管理体系，实施方案清晰、有针对性，实施计划完整明晰、可操作性，项目管理组织机构及人员职能清晰可控，投入实施人员10名以上，设备到货并完成项目实施天数比要求提前10天以上的。</w:t>
      </w:r>
    </w:p>
    <w:p>
      <w:pPr>
        <w:spacing w:line="400" w:lineRule="exact"/>
        <w:ind w:left="105" w:leftChars="50" w:firstLine="316" w:firstLineChars="150"/>
        <w:rPr>
          <w:rFonts w:ascii="宋体" w:hAnsi="宋体" w:cs="宋体"/>
          <w:b/>
          <w:bCs/>
          <w:szCs w:val="21"/>
        </w:rPr>
      </w:pPr>
      <w:r>
        <w:rPr>
          <w:rFonts w:hint="eastAsia" w:ascii="宋体" w:hAnsi="宋体" w:cs="宋体"/>
          <w:b/>
          <w:bCs/>
          <w:szCs w:val="21"/>
        </w:rPr>
        <w:t>（3）售后服务分（满分7分）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未提供和达不到一档要求的不得分。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一档（1分）：按招标文件质保期和技术服务要求进行保修，售后服务方案简单，基本能操作。</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二档（4分）：按招标文件质保期和技术服务要求进行保修，售后服务方案可行、详细，且服务质量承诺保障措施完善、可行，保修维修养护具体措施、安全保障措施承诺等的售后服务内容完备，保修期满后维修零配件优惠；售后服务人员配置5人以内的，发生故障1小时内响应，到达现场处理故障时间为4小时以内，一般故障处理时限不超过12小时修复，重大故障处理时限不超过24小时修复。</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三档（7分）：在满足二档的基础上，售后服务人员配置5人及以上的，发生故障1小时内响应，到达现场处理故障时间为1小时以内，一般故障处理时限不超过8小时修复，重大故障处理时限不超过12小时修复，无法排除故障时2日内提供替换产品，有定期回访制度。</w:t>
      </w:r>
    </w:p>
    <w:p>
      <w:pPr>
        <w:pStyle w:val="3"/>
        <w:ind w:firstLine="421" w:firstLineChars="200"/>
        <w:rPr>
          <w:rFonts w:ascii="宋体" w:hAnsi="宋体"/>
          <w:sz w:val="21"/>
          <w:szCs w:val="21"/>
        </w:rPr>
      </w:pPr>
      <w:r>
        <w:rPr>
          <w:rFonts w:hint="eastAsia" w:ascii="宋体" w:hAnsi="宋体"/>
          <w:b/>
          <w:bCs/>
          <w:sz w:val="21"/>
          <w:szCs w:val="21"/>
        </w:rPr>
        <w:t>（4）</w:t>
      </w:r>
      <w:r>
        <w:rPr>
          <w:rFonts w:hint="eastAsia" w:ascii="宋体" w:hAnsi="宋体" w:cs="宋体"/>
          <w:b/>
          <w:bCs/>
          <w:sz w:val="21"/>
          <w:szCs w:val="21"/>
        </w:rPr>
        <w:t>技术方案分（满分12分）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未提供和达不到一档要求的不得分。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一档（6分）：技术方案针对建设原则、技术措施、人员安排、关键节点时间安排满足采购需求。</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二档（9分）：技术方案针对建设原则、技术措施、人员安排合理，人员及分工职责明确，有关键节点时间安排及有相关保障措施；</w:t>
      </w:r>
    </w:p>
    <w:p>
      <w:pPr>
        <w:spacing w:line="400" w:lineRule="exact"/>
        <w:ind w:left="105" w:leftChars="50" w:firstLine="315" w:firstLineChars="150"/>
      </w:pPr>
      <w:r>
        <w:rPr>
          <w:rFonts w:hint="eastAsia" w:ascii="宋体" w:hAnsi="宋体" w:cs="宋体"/>
          <w:szCs w:val="21"/>
        </w:rPr>
        <w:t xml:space="preserve"> 三档（12分）： 在满足二档的基础上，结合学校实际情况制定详细的适配技术方案，能保障工作站完全适配，切实可行的，并提供大模型一体机数据保护功能实施方案，能保障大模型一体机数据安全且符合项目实际需求的。</w:t>
      </w:r>
    </w:p>
    <w:p>
      <w:pPr>
        <w:adjustRightInd w:val="0"/>
        <w:spacing w:line="400" w:lineRule="exact"/>
        <w:ind w:firstLine="413" w:firstLineChars="196"/>
        <w:textAlignment w:val="baseline"/>
        <w:outlineLvl w:val="0"/>
        <w:rPr>
          <w:rFonts w:ascii="宋体" w:hAnsi="宋体" w:cs="宋体"/>
          <w:b/>
          <w:kern w:val="0"/>
          <w:szCs w:val="21"/>
        </w:rPr>
      </w:pPr>
      <w:r>
        <w:rPr>
          <w:rFonts w:hint="eastAsia" w:ascii="宋体" w:hAnsi="宋体" w:cs="宋体"/>
          <w:b/>
          <w:kern w:val="0"/>
          <w:szCs w:val="21"/>
        </w:rPr>
        <w:t>3.商务分………………………………………………………………………6分</w:t>
      </w:r>
    </w:p>
    <w:p>
      <w:pPr>
        <w:spacing w:line="400" w:lineRule="exact"/>
        <w:ind w:left="105" w:leftChars="50" w:firstLine="316" w:firstLineChars="150"/>
        <w:rPr>
          <w:rFonts w:ascii="宋体" w:hAnsi="宋体" w:cs="宋体"/>
          <w:b/>
          <w:bCs/>
          <w:szCs w:val="21"/>
        </w:rPr>
      </w:pPr>
      <w:r>
        <w:rPr>
          <w:rFonts w:hint="eastAsia" w:ascii="宋体" w:hAnsi="宋体" w:cs="宋体"/>
          <w:b/>
          <w:bCs/>
          <w:szCs w:val="21"/>
        </w:rPr>
        <w:t>（1）信誉分（满分3分）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①投标人或投标产品生产厂商具备</w:t>
      </w:r>
      <w:r>
        <w:rPr>
          <w:rFonts w:ascii="宋体" w:hAnsi="宋体" w:cs="宋体"/>
          <w:szCs w:val="21"/>
        </w:rPr>
        <w:t>具有信息安全工程类服务能力相关认证（如中国信息安全测评中心安全工程类资质、CCRC 安全集成等同类能力证书），</w:t>
      </w:r>
      <w:r>
        <w:rPr>
          <w:rFonts w:hint="eastAsia" w:ascii="宋体" w:hAnsi="宋体" w:cs="宋体"/>
          <w:szCs w:val="21"/>
        </w:rPr>
        <w:t>投标时提供证书复印件并加盖投标人公章的，</w:t>
      </w:r>
      <w:r>
        <w:rPr>
          <w:rFonts w:hint="eastAsia" w:ascii="宋体" w:hAnsi="宋体" w:cs="宋体"/>
          <w:szCs w:val="21"/>
          <w:lang w:eastAsia="zh-CN"/>
        </w:rPr>
        <w:t>每有</w:t>
      </w:r>
      <w:r>
        <w:rPr>
          <w:rFonts w:hint="eastAsia" w:ascii="宋体" w:hAnsi="宋体" w:cs="宋体"/>
          <w:szCs w:val="21"/>
          <w:lang w:val="en-US" w:eastAsia="zh-CN"/>
        </w:rPr>
        <w:t>1</w:t>
      </w:r>
      <w:r>
        <w:rPr>
          <w:rFonts w:hint="eastAsia" w:ascii="宋体" w:hAnsi="宋体" w:cs="宋体"/>
          <w:szCs w:val="21"/>
        </w:rPr>
        <w:t>得1分</w:t>
      </w:r>
      <w:r>
        <w:rPr>
          <w:rFonts w:hint="eastAsia" w:ascii="宋体" w:hAnsi="宋体" w:cs="宋体"/>
          <w:szCs w:val="21"/>
          <w:lang w:eastAsia="zh-CN"/>
        </w:rPr>
        <w:t>，满分</w:t>
      </w:r>
      <w:r>
        <w:rPr>
          <w:rFonts w:hint="eastAsia" w:ascii="宋体" w:hAnsi="宋体" w:cs="宋体"/>
          <w:szCs w:val="21"/>
          <w:lang w:val="en-US" w:eastAsia="zh-CN"/>
        </w:rPr>
        <w:t>1分</w:t>
      </w:r>
      <w:r>
        <w:rPr>
          <w:rFonts w:hint="eastAsia" w:ascii="宋体" w:hAnsi="宋体" w:cs="宋体"/>
          <w:szCs w:val="21"/>
        </w:rPr>
        <w:t>。</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②投标人或投标产品生产厂商具备</w:t>
      </w:r>
      <w:r>
        <w:rPr>
          <w:rFonts w:ascii="宋体" w:hAnsi="宋体" w:cs="宋体"/>
          <w:szCs w:val="21"/>
        </w:rPr>
        <w:t>信息安全服务能力证书（如中国信息安全测评中心信息安全服务（安全工程类）资质、CCRC 信息系统安全集成等效信息安全工程类</w:t>
      </w:r>
      <w:r>
        <w:rPr>
          <w:rFonts w:hint="eastAsia" w:ascii="宋体" w:hAnsi="宋体" w:cs="宋体"/>
          <w:szCs w:val="21"/>
        </w:rPr>
        <w:t>等同类</w:t>
      </w:r>
      <w:r>
        <w:rPr>
          <w:rFonts w:ascii="宋体" w:hAnsi="宋体" w:cs="宋体"/>
          <w:szCs w:val="21"/>
        </w:rPr>
        <w:t>能力证书）</w:t>
      </w:r>
      <w:r>
        <w:rPr>
          <w:rFonts w:hint="eastAsia" w:ascii="宋体" w:hAnsi="宋体" w:cs="宋体"/>
          <w:szCs w:val="21"/>
        </w:rPr>
        <w:t>的，投标时提供证书复印件并加盖投标人公章的，</w:t>
      </w:r>
      <w:r>
        <w:rPr>
          <w:rFonts w:hint="eastAsia" w:ascii="宋体" w:hAnsi="宋体" w:cs="宋体"/>
          <w:szCs w:val="21"/>
          <w:lang w:eastAsia="zh-CN"/>
        </w:rPr>
        <w:t>每有</w:t>
      </w:r>
      <w:r>
        <w:rPr>
          <w:rFonts w:hint="eastAsia" w:ascii="宋体" w:hAnsi="宋体" w:cs="宋体"/>
          <w:szCs w:val="21"/>
          <w:lang w:val="en-US" w:eastAsia="zh-CN"/>
        </w:rPr>
        <w:t>1</w:t>
      </w:r>
      <w:r>
        <w:rPr>
          <w:rFonts w:hint="eastAsia" w:ascii="宋体" w:hAnsi="宋体" w:cs="宋体"/>
          <w:szCs w:val="21"/>
        </w:rPr>
        <w:t>得1分</w:t>
      </w:r>
      <w:r>
        <w:rPr>
          <w:rFonts w:hint="eastAsia" w:ascii="宋体" w:hAnsi="宋体" w:cs="宋体"/>
          <w:szCs w:val="21"/>
          <w:lang w:eastAsia="zh-CN"/>
        </w:rPr>
        <w:t>，满分</w:t>
      </w:r>
      <w:r>
        <w:rPr>
          <w:rFonts w:hint="eastAsia" w:ascii="宋体" w:hAnsi="宋体" w:cs="宋体"/>
          <w:szCs w:val="21"/>
          <w:lang w:val="en-US" w:eastAsia="zh-CN"/>
        </w:rPr>
        <w:t>1分</w:t>
      </w:r>
      <w:r>
        <w:rPr>
          <w:rFonts w:hint="eastAsia" w:ascii="宋体" w:hAnsi="宋体" w:cs="宋体"/>
          <w:szCs w:val="21"/>
        </w:rPr>
        <w:t>。</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③</w:t>
      </w:r>
      <w:r>
        <w:rPr>
          <w:rFonts w:ascii="宋体" w:hAnsi="宋体" w:cs="宋体"/>
          <w:szCs w:val="21"/>
        </w:rPr>
        <w:t>投标产品已依据 GB/T 22239-2019《信息安全技术 网络安全等级保护基本要求》完成网络安全等级保护测评，</w:t>
      </w:r>
      <w:r>
        <w:rPr>
          <w:rFonts w:hint="eastAsia" w:ascii="宋体" w:hAnsi="宋体" w:cs="宋体"/>
          <w:szCs w:val="21"/>
        </w:rPr>
        <w:t>获得</w:t>
      </w:r>
      <w:r>
        <w:rPr>
          <w:rFonts w:ascii="宋体" w:hAnsi="宋体" w:cs="宋体"/>
          <w:szCs w:val="21"/>
        </w:rPr>
        <w:t>具备资质的等级保护测评机构出具的有效信息安全等级保护测评证书 / 测评合格报告</w:t>
      </w:r>
      <w:r>
        <w:rPr>
          <w:rFonts w:hint="eastAsia" w:ascii="宋体" w:hAnsi="宋体" w:cs="宋体"/>
          <w:szCs w:val="21"/>
        </w:rPr>
        <w:t>，投标时提供证书或者报告复印件并加盖投标人公章的，</w:t>
      </w:r>
      <w:r>
        <w:rPr>
          <w:rFonts w:hint="eastAsia" w:ascii="宋体" w:hAnsi="宋体" w:cs="宋体"/>
          <w:szCs w:val="21"/>
          <w:lang w:eastAsia="zh-CN"/>
        </w:rPr>
        <w:t>每有</w:t>
      </w:r>
      <w:r>
        <w:rPr>
          <w:rFonts w:hint="eastAsia" w:ascii="宋体" w:hAnsi="宋体" w:cs="宋体"/>
          <w:szCs w:val="21"/>
          <w:lang w:val="en-US" w:eastAsia="zh-CN"/>
        </w:rPr>
        <w:t>1</w:t>
      </w:r>
      <w:r>
        <w:rPr>
          <w:rFonts w:hint="eastAsia" w:ascii="宋体" w:hAnsi="宋体" w:cs="宋体"/>
          <w:szCs w:val="21"/>
        </w:rPr>
        <w:t>得1分</w:t>
      </w:r>
      <w:r>
        <w:rPr>
          <w:rFonts w:hint="eastAsia" w:ascii="宋体" w:hAnsi="宋体" w:cs="宋体"/>
          <w:szCs w:val="21"/>
          <w:lang w:eastAsia="zh-CN"/>
        </w:rPr>
        <w:t>，满分</w:t>
      </w:r>
      <w:r>
        <w:rPr>
          <w:rFonts w:hint="eastAsia" w:ascii="宋体" w:hAnsi="宋体" w:cs="宋体"/>
          <w:szCs w:val="21"/>
          <w:lang w:val="en-US" w:eastAsia="zh-CN"/>
        </w:rPr>
        <w:t>1分</w:t>
      </w:r>
      <w:r>
        <w:rPr>
          <w:rFonts w:hint="eastAsia" w:ascii="宋体" w:hAnsi="宋体" w:cs="宋体"/>
          <w:szCs w:val="21"/>
        </w:rPr>
        <w:t>。</w:t>
      </w:r>
    </w:p>
    <w:p>
      <w:pPr>
        <w:spacing w:line="400" w:lineRule="exact"/>
        <w:ind w:left="105" w:leftChars="50" w:firstLine="316" w:firstLineChars="150"/>
        <w:rPr>
          <w:rFonts w:ascii="宋体" w:hAnsi="宋体" w:cs="宋体"/>
          <w:b/>
          <w:bCs/>
          <w:szCs w:val="21"/>
        </w:rPr>
      </w:pPr>
      <w:r>
        <w:rPr>
          <w:rFonts w:hint="eastAsia" w:ascii="宋体" w:hAnsi="宋体" w:cs="宋体"/>
          <w:b/>
          <w:bCs/>
          <w:szCs w:val="21"/>
        </w:rPr>
        <w:t>（2）政策及业绩分（满分3分）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①投标人自2023年以来（含2023年）有类似项目成功案例的每有一份得0.5分，满分1分，提供有效的合同或中标通知书复印件并加盖投标人公章，否则不得分。</w:t>
      </w:r>
    </w:p>
    <w:p>
      <w:pPr>
        <w:pStyle w:val="29"/>
        <w:spacing w:line="420" w:lineRule="exact"/>
        <w:ind w:firstLine="420" w:firstLineChars="200"/>
        <w:rPr>
          <w:rFonts w:hAnsi="宋体"/>
          <w:bCs/>
        </w:rPr>
      </w:pPr>
      <w:r>
        <w:rPr>
          <w:rFonts w:hint="eastAsia" w:hAnsi="宋体" w:cs="宋体"/>
        </w:rPr>
        <w:t xml:space="preserve"> ②</w:t>
      </w:r>
      <w:r>
        <w:rPr>
          <w:rFonts w:hint="eastAsia" w:hAnsi="宋体"/>
        </w:rPr>
        <w:t>投标产品属于政府采购</w:t>
      </w:r>
      <w:r>
        <w:rPr>
          <w:rFonts w:hint="eastAsia" w:hAnsi="宋体"/>
          <w:bCs/>
        </w:rPr>
        <w:t>非强制</w:t>
      </w:r>
      <w:r>
        <w:rPr>
          <w:rFonts w:hint="eastAsia" w:hAnsi="宋体"/>
        </w:rPr>
        <w:t>节能产品的，应根据《市场监管总局关于发布参与实施政府采购节能产品、环境标志产品认证机构名录的公告》2019年第16号、财库〔2019〕9号以及财库〔2019〕19号文规定，投标人的投标产品，投标时须提供国家确定的认证机构出具的、处于有效期之内的有效的节能产品认证证书复印件并加盖投标人公章，原件备查</w:t>
      </w:r>
      <w:r>
        <w:rPr>
          <w:rFonts w:hint="eastAsia" w:hAnsi="宋体"/>
          <w:bCs/>
        </w:rPr>
        <w:t>（适用于非强制采购节能产品，单一分标报价或项号数占三分之一及以上，提供投标产品所属清单页），每提供1份</w:t>
      </w:r>
      <w:r>
        <w:rPr>
          <w:rFonts w:hint="eastAsia" w:hAnsi="宋体"/>
        </w:rPr>
        <w:t>得</w:t>
      </w:r>
      <w:r>
        <w:rPr>
          <w:rFonts w:hAnsi="宋体"/>
        </w:rPr>
        <w:t>0.5</w:t>
      </w:r>
      <w:r>
        <w:rPr>
          <w:rFonts w:hint="eastAsia" w:hAnsi="宋体"/>
        </w:rPr>
        <w:t>分，满分</w:t>
      </w:r>
      <w:r>
        <w:rPr>
          <w:rFonts w:hAnsi="宋体"/>
          <w:bCs/>
        </w:rPr>
        <w:t>1</w:t>
      </w:r>
      <w:r>
        <w:rPr>
          <w:rFonts w:hint="eastAsia" w:hAnsi="宋体"/>
          <w:bCs/>
        </w:rPr>
        <w:t>分。</w:t>
      </w:r>
    </w:p>
    <w:p>
      <w:pPr>
        <w:spacing w:line="400" w:lineRule="exact"/>
        <w:ind w:left="105" w:leftChars="50" w:firstLine="315" w:firstLineChars="150"/>
        <w:rPr>
          <w:rFonts w:ascii="宋体" w:hAnsi="宋体" w:cs="宋体"/>
          <w:szCs w:val="21"/>
        </w:rPr>
      </w:pPr>
      <w:r>
        <w:rPr>
          <w:rFonts w:hint="eastAsia" w:ascii="宋体" w:hAnsi="宋体" w:cs="宋体"/>
          <w:szCs w:val="21"/>
        </w:rPr>
        <w:t xml:space="preserve"> ③投标产品属于环境标志产品的，应根据《市场监管总局关于发布参与实施政府采购节能产品、环境标志产品认证机构名录的公告》2019年第16号、财库〔2019〕9号以及财库〔2019〕18号文规定，投标人的投标产品，投标时提供国家确定的认证机构出具的、处于有效期之内的有效的环境产品认证证书复印件并加盖投标人公章（原件备查），每提供1份得0.5分，满分1分。</w:t>
      </w:r>
    </w:p>
    <w:p>
      <w:pPr>
        <w:spacing w:line="420" w:lineRule="exact"/>
        <w:ind w:firstLine="405"/>
        <w:rPr>
          <w:rFonts w:hAnsi="Courier New" w:cs="Courier New"/>
          <w:b/>
          <w:bCs/>
          <w:szCs w:val="21"/>
        </w:rPr>
      </w:pPr>
      <w:r>
        <w:rPr>
          <w:rFonts w:hint="eastAsia" w:hAnsi="宋体"/>
          <w:b/>
        </w:rPr>
        <w:t>（三）总得分＝1+2+3。</w:t>
      </w:r>
      <w:r>
        <w:rPr>
          <w:rFonts w:hint="eastAsia" w:cs="Courier New"/>
          <w:b/>
          <w:bCs/>
          <w:szCs w:val="21"/>
        </w:rPr>
        <w:t xml:space="preserve"> </w:t>
      </w:r>
    </w:p>
    <w:p>
      <w:pPr>
        <w:spacing w:line="420" w:lineRule="exact"/>
        <w:ind w:firstLine="421" w:firstLineChars="200"/>
        <w:rPr>
          <w:b/>
          <w:bCs/>
        </w:rPr>
      </w:pPr>
      <w:r>
        <w:rPr>
          <w:rFonts w:hint="eastAsia"/>
          <w:b/>
          <w:bCs/>
        </w:rPr>
        <w:t>三、中标候选人推荐原则</w:t>
      </w:r>
    </w:p>
    <w:p>
      <w:pPr>
        <w:spacing w:line="420" w:lineRule="exact"/>
        <w:ind w:firstLine="420" w:firstLineChars="200"/>
        <w:jc w:val="left"/>
        <w:rPr>
          <w:bCs/>
        </w:rPr>
      </w:pPr>
      <w:r>
        <w:rPr>
          <w:rFonts w:hint="eastAsia"/>
          <w:bCs/>
        </w:rPr>
        <w:t>（一）评标委员会将根据得分由高到低排列次序（得分相同时，以评标价由低到高顺序排列；得分相同且评标价相同的，按技术指标优劣顺序排列）并推荐中标候选供应商。采购人应当确定评审委员会推荐排名第一的中标候选人为中标人。</w:t>
      </w:r>
    </w:p>
    <w:p>
      <w:pPr>
        <w:spacing w:line="420" w:lineRule="exact"/>
        <w:ind w:firstLine="420" w:firstLineChars="200"/>
        <w:jc w:val="left"/>
        <w:rPr>
          <w:bCs/>
        </w:rPr>
      </w:pPr>
      <w:r>
        <w:rPr>
          <w:rFonts w:hint="eastAsia"/>
          <w:bCs/>
        </w:rPr>
        <w:t>（二）排名第一的中标候选人放弃中标、拒绝签订政府采购合同的，采购人可以确定排名第二的中标候选人为中标人。排名第二的中标候选人因前款规定的同样原因不能签订合同的，采购人可以确定排名第三的中标候选人为中标人，其余以此类推。</w:t>
      </w:r>
    </w:p>
    <w:p>
      <w:pPr>
        <w:spacing w:before="120" w:after="120" w:line="420" w:lineRule="exact"/>
        <w:ind w:firstLine="883" w:firstLineChars="200"/>
        <w:jc w:val="left"/>
        <w:outlineLvl w:val="0"/>
        <w:rPr>
          <w:rFonts w:ascii="黑体" w:eastAsia="黑体"/>
          <w:b/>
          <w:sz w:val="44"/>
          <w:szCs w:val="44"/>
        </w:rPr>
      </w:pPr>
      <w:r>
        <w:rPr>
          <w:rFonts w:ascii="黑体" w:eastAsia="黑体"/>
          <w:b/>
          <w:sz w:val="44"/>
          <w:szCs w:val="44"/>
        </w:rPr>
        <w:br w:type="page"/>
      </w:r>
    </w:p>
    <w:p>
      <w:pPr>
        <w:rPr>
          <w:rFonts w:ascii="黑体" w:eastAsia="黑体"/>
          <w:b/>
          <w:sz w:val="44"/>
          <w:szCs w:val="44"/>
        </w:rPr>
      </w:pPr>
    </w:p>
    <w:p>
      <w:pPr>
        <w:pStyle w:val="6"/>
        <w:rPr>
          <w:rFonts w:ascii="黑体" w:eastAsia="黑体"/>
          <w:sz w:val="44"/>
          <w:szCs w:val="44"/>
        </w:rPr>
      </w:pPr>
    </w:p>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jc w:val="center"/>
        <w:rPr>
          <w:rFonts w:ascii="宋体" w:hAnsi="宋体"/>
          <w:b/>
          <w:dstrike/>
          <w:sz w:val="36"/>
          <w:szCs w:val="36"/>
        </w:rPr>
      </w:pPr>
      <w:r>
        <w:rPr>
          <w:rFonts w:hint="eastAsia" w:ascii="仿宋_GB2312" w:eastAsia="仿宋_GB2312"/>
          <w:b/>
          <w:sz w:val="36"/>
          <w:szCs w:val="36"/>
        </w:rPr>
        <w:t>第五章    政府采购合同主要条款</w:t>
      </w:r>
    </w:p>
    <w:p>
      <w:pPr>
        <w:pStyle w:val="29"/>
        <w:snapToGrid w:val="0"/>
        <w:spacing w:before="120" w:after="120"/>
        <w:jc w:val="center"/>
        <w:outlineLvl w:val="0"/>
        <w:rPr>
          <w:rFonts w:ascii="黑体" w:eastAsia="黑体"/>
          <w:b/>
          <w:sz w:val="44"/>
          <w:szCs w:val="44"/>
        </w:rPr>
      </w:pPr>
    </w:p>
    <w:p>
      <w:pPr>
        <w:pStyle w:val="29"/>
        <w:jc w:val="center"/>
      </w:pPr>
      <w:r>
        <w:br w:type="page"/>
      </w:r>
    </w:p>
    <w:p>
      <w:pPr>
        <w:pStyle w:val="29"/>
        <w:jc w:val="center"/>
      </w:pPr>
    </w:p>
    <w:p>
      <w:pPr>
        <w:pStyle w:val="29"/>
        <w:jc w:val="center"/>
      </w:pPr>
    </w:p>
    <w:p>
      <w:pPr>
        <w:pStyle w:val="29"/>
        <w:jc w:val="center"/>
        <w:rPr>
          <w:rFonts w:hAnsi="宋体"/>
          <w:b/>
          <w:sz w:val="52"/>
          <w:szCs w:val="52"/>
        </w:rPr>
      </w:pPr>
      <w:r>
        <w:rPr>
          <w:rFonts w:hint="eastAsia" w:hAnsi="宋体"/>
          <w:b/>
          <w:sz w:val="52"/>
          <w:szCs w:val="52"/>
        </w:rPr>
        <w:t>广西壮族自治区政府采购合同</w:t>
      </w:r>
    </w:p>
    <w:p>
      <w:pPr>
        <w:pStyle w:val="29"/>
        <w:rPr>
          <w:rFonts w:hAnsi="宋体"/>
        </w:rPr>
      </w:pPr>
    </w:p>
    <w:p>
      <w:pPr>
        <w:pStyle w:val="29"/>
        <w:rPr>
          <w:rFonts w:hAnsi="宋体"/>
        </w:rPr>
      </w:pPr>
    </w:p>
    <w:p>
      <w:pPr>
        <w:pStyle w:val="29"/>
        <w:rPr>
          <w:rFonts w:hAnsi="宋体"/>
        </w:rPr>
      </w:pPr>
    </w:p>
    <w:p>
      <w:pPr>
        <w:pStyle w:val="29"/>
        <w:rPr>
          <w:rFonts w:hAnsi="宋体"/>
        </w:rPr>
      </w:pPr>
    </w:p>
    <w:p>
      <w:pPr>
        <w:pStyle w:val="29"/>
        <w:ind w:firstLine="1590" w:firstLineChars="495"/>
        <w:rPr>
          <w:rFonts w:hAnsi="宋体"/>
          <w:b/>
          <w:sz w:val="32"/>
          <w:szCs w:val="32"/>
          <w:u w:val="single"/>
        </w:rPr>
      </w:pPr>
      <w:r>
        <w:rPr>
          <w:rFonts w:hint="eastAsia" w:hAnsi="宋体"/>
          <w:b/>
          <w:sz w:val="32"/>
          <w:szCs w:val="32"/>
        </w:rPr>
        <w:t>合同名称：</w:t>
      </w:r>
      <w:r>
        <w:rPr>
          <w:rFonts w:hint="eastAsia" w:hAnsi="宋体"/>
          <w:b/>
          <w:sz w:val="32"/>
          <w:szCs w:val="32"/>
          <w:u w:val="single"/>
        </w:rPr>
        <w:t xml:space="preserve">                            </w:t>
      </w:r>
    </w:p>
    <w:p>
      <w:pPr>
        <w:pStyle w:val="29"/>
        <w:ind w:firstLine="1590" w:firstLineChars="495"/>
        <w:rPr>
          <w:rFonts w:hAnsi="宋体"/>
          <w:b/>
          <w:sz w:val="32"/>
          <w:szCs w:val="32"/>
        </w:rPr>
      </w:pPr>
    </w:p>
    <w:p>
      <w:pPr>
        <w:pStyle w:val="29"/>
        <w:ind w:firstLine="1590" w:firstLineChars="495"/>
        <w:rPr>
          <w:rFonts w:hAnsi="宋体"/>
          <w:b/>
          <w:sz w:val="32"/>
          <w:szCs w:val="32"/>
          <w:u w:val="single"/>
        </w:rPr>
      </w:pPr>
      <w:r>
        <w:rPr>
          <w:rFonts w:hint="eastAsia" w:hAnsi="宋体"/>
          <w:b/>
          <w:sz w:val="32"/>
          <w:szCs w:val="32"/>
        </w:rPr>
        <w:t>合同编号：</w:t>
      </w:r>
      <w:r>
        <w:rPr>
          <w:rFonts w:hint="eastAsia" w:hAnsi="宋体"/>
          <w:b/>
          <w:sz w:val="32"/>
          <w:szCs w:val="32"/>
          <w:u w:val="single"/>
        </w:rPr>
        <w:t xml:space="preserve">                            </w:t>
      </w:r>
    </w:p>
    <w:p>
      <w:pPr>
        <w:pStyle w:val="29"/>
        <w:jc w:val="center"/>
        <w:rPr>
          <w:rFonts w:hAnsi="宋体"/>
        </w:rPr>
      </w:pPr>
    </w:p>
    <w:p>
      <w:pPr>
        <w:pStyle w:val="29"/>
        <w:jc w:val="center"/>
        <w:rPr>
          <w:rFonts w:hAnsi="宋体"/>
        </w:rPr>
      </w:pPr>
    </w:p>
    <w:p>
      <w:pPr>
        <w:pStyle w:val="29"/>
        <w:jc w:val="center"/>
        <w:rPr>
          <w:rFonts w:hAnsi="宋体"/>
        </w:rPr>
      </w:pPr>
    </w:p>
    <w:p>
      <w:pPr>
        <w:pStyle w:val="29"/>
        <w:spacing w:after="156" w:afterLines="50" w:line="340" w:lineRule="exact"/>
        <w:ind w:firstLine="1590" w:firstLineChars="495"/>
        <w:rPr>
          <w:rFonts w:hAnsi="宋体"/>
          <w:b/>
          <w:sz w:val="32"/>
          <w:szCs w:val="32"/>
          <w:u w:val="single"/>
        </w:rPr>
      </w:pPr>
      <w:r>
        <w:rPr>
          <w:rFonts w:hint="eastAsia" w:hAnsi="宋体"/>
          <w:b/>
          <w:sz w:val="32"/>
          <w:szCs w:val="32"/>
        </w:rPr>
        <w:t>采购单位（甲方）</w:t>
      </w:r>
      <w:r>
        <w:rPr>
          <w:rFonts w:hint="eastAsia" w:hAnsi="宋体"/>
          <w:b/>
          <w:sz w:val="32"/>
          <w:szCs w:val="32"/>
          <w:u w:val="single"/>
        </w:rPr>
        <w:t xml:space="preserve">                      </w:t>
      </w:r>
    </w:p>
    <w:p>
      <w:pPr>
        <w:pStyle w:val="29"/>
        <w:spacing w:line="340" w:lineRule="exact"/>
        <w:ind w:firstLine="1590" w:firstLineChars="495"/>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p>
    <w:p>
      <w:pPr>
        <w:pStyle w:val="29"/>
        <w:spacing w:line="340" w:lineRule="exact"/>
        <w:ind w:firstLine="1590" w:firstLineChars="495"/>
        <w:rPr>
          <w:rFonts w:hAnsi="宋体"/>
          <w:b/>
          <w:sz w:val="32"/>
          <w:szCs w:val="32"/>
        </w:rPr>
      </w:pPr>
    </w:p>
    <w:p>
      <w:pPr>
        <w:pStyle w:val="29"/>
        <w:spacing w:line="340" w:lineRule="exact"/>
        <w:ind w:firstLine="1590" w:firstLineChars="495"/>
        <w:rPr>
          <w:rFonts w:hAnsi="宋体"/>
          <w:b/>
          <w:sz w:val="32"/>
          <w:szCs w:val="32"/>
        </w:rPr>
      </w:pPr>
    </w:p>
    <w:p>
      <w:pPr>
        <w:pStyle w:val="29"/>
        <w:spacing w:after="156" w:afterLines="50" w:line="340" w:lineRule="exact"/>
        <w:ind w:firstLine="1590" w:firstLineChars="495"/>
        <w:rPr>
          <w:rFonts w:hAnsi="宋体"/>
          <w:b/>
          <w:sz w:val="32"/>
          <w:szCs w:val="32"/>
          <w:u w:val="single"/>
        </w:rPr>
      </w:pPr>
      <w:r>
        <w:rPr>
          <w:rFonts w:hint="eastAsia" w:hAnsi="宋体"/>
          <w:b/>
          <w:sz w:val="32"/>
          <w:szCs w:val="32"/>
        </w:rPr>
        <w:t>供 应 商（乙方）</w:t>
      </w:r>
      <w:r>
        <w:rPr>
          <w:rFonts w:hint="eastAsia" w:hAnsi="宋体"/>
          <w:b/>
          <w:sz w:val="32"/>
          <w:szCs w:val="32"/>
          <w:u w:val="single"/>
        </w:rPr>
        <w:t xml:space="preserve">                      </w:t>
      </w:r>
    </w:p>
    <w:p>
      <w:pPr>
        <w:pStyle w:val="29"/>
        <w:spacing w:line="340" w:lineRule="exact"/>
        <w:ind w:firstLine="1590" w:firstLineChars="495"/>
        <w:rPr>
          <w:rFonts w:hAnsi="宋体"/>
          <w:b/>
          <w:sz w:val="32"/>
          <w:szCs w:val="32"/>
          <w:u w:val="single"/>
        </w:rPr>
      </w:pPr>
      <w:r>
        <w:rPr>
          <w:rFonts w:hint="eastAsia" w:hAnsi="宋体"/>
          <w:b/>
          <w:sz w:val="32"/>
          <w:szCs w:val="32"/>
        </w:rPr>
        <w:t>住   所：</w:t>
      </w:r>
      <w:r>
        <w:rPr>
          <w:rFonts w:hint="eastAsia" w:hAnsi="宋体"/>
          <w:b/>
          <w:sz w:val="32"/>
          <w:szCs w:val="32"/>
          <w:u w:val="single"/>
        </w:rPr>
        <w:t xml:space="preserve">                            </w:t>
      </w:r>
    </w:p>
    <w:p>
      <w:pPr>
        <w:pStyle w:val="29"/>
        <w:spacing w:line="340" w:lineRule="exact"/>
        <w:ind w:firstLine="1590" w:firstLineChars="495"/>
        <w:rPr>
          <w:rFonts w:hAnsi="宋体"/>
          <w:b/>
          <w:sz w:val="32"/>
          <w:szCs w:val="32"/>
        </w:rPr>
      </w:pPr>
    </w:p>
    <w:p>
      <w:pPr>
        <w:pStyle w:val="29"/>
        <w:jc w:val="center"/>
        <w:rPr>
          <w:rFonts w:hAnsi="宋体"/>
        </w:rPr>
      </w:pPr>
      <w:r>
        <w:rPr>
          <w:rFonts w:hint="eastAsia" w:hAnsi="宋体"/>
        </w:rPr>
        <w:t xml:space="preserve"> </w:t>
      </w:r>
    </w:p>
    <w:p>
      <w:pPr>
        <w:pStyle w:val="29"/>
        <w:jc w:val="center"/>
        <w:rPr>
          <w:rFonts w:hAnsi="宋体"/>
        </w:rPr>
      </w:pPr>
    </w:p>
    <w:p>
      <w:pPr>
        <w:pStyle w:val="29"/>
        <w:jc w:val="center"/>
        <w:rPr>
          <w:rFonts w:hAnsi="宋体"/>
        </w:rPr>
      </w:pPr>
    </w:p>
    <w:p>
      <w:pPr>
        <w:pStyle w:val="29"/>
        <w:ind w:firstLine="1590" w:firstLineChars="495"/>
        <w:rPr>
          <w:rFonts w:hAnsi="宋体"/>
          <w:b/>
          <w:sz w:val="32"/>
          <w:szCs w:val="32"/>
          <w:u w:val="single"/>
        </w:rPr>
      </w:pPr>
      <w:r>
        <w:rPr>
          <w:rFonts w:hint="eastAsia" w:hAnsi="宋体"/>
          <w:b/>
          <w:sz w:val="32"/>
          <w:szCs w:val="32"/>
        </w:rPr>
        <w:t>签订合同地点：</w:t>
      </w:r>
      <w:r>
        <w:rPr>
          <w:rFonts w:hint="eastAsia" w:hAnsi="宋体"/>
          <w:b/>
          <w:sz w:val="32"/>
          <w:szCs w:val="32"/>
          <w:u w:val="single"/>
        </w:rPr>
        <w:t xml:space="preserve">                       </w:t>
      </w:r>
    </w:p>
    <w:p>
      <w:pPr>
        <w:pStyle w:val="29"/>
        <w:ind w:firstLine="1590" w:firstLineChars="495"/>
        <w:rPr>
          <w:rFonts w:hAnsi="宋体"/>
          <w:b/>
          <w:sz w:val="32"/>
          <w:szCs w:val="32"/>
        </w:rPr>
      </w:pPr>
    </w:p>
    <w:p>
      <w:pPr>
        <w:pStyle w:val="29"/>
        <w:ind w:firstLine="1590" w:firstLineChars="495"/>
        <w:rPr>
          <w:rFonts w:hAnsi="宋体"/>
          <w:b/>
          <w:sz w:val="32"/>
          <w:szCs w:val="32"/>
        </w:rPr>
      </w:pPr>
      <w:r>
        <w:rPr>
          <w:rFonts w:hint="eastAsia" w:hAnsi="宋体"/>
          <w:b/>
          <w:sz w:val="32"/>
          <w:szCs w:val="32"/>
        </w:rPr>
        <w:t>签订合同时间：</w:t>
      </w:r>
      <w:r>
        <w:rPr>
          <w:rFonts w:hint="eastAsia" w:hAnsi="宋体"/>
          <w:b/>
          <w:sz w:val="32"/>
          <w:szCs w:val="32"/>
          <w:u w:val="single"/>
        </w:rPr>
        <w:t xml:space="preserve">                       </w:t>
      </w:r>
    </w:p>
    <w:p>
      <w:pPr>
        <w:pStyle w:val="29"/>
        <w:jc w:val="center"/>
        <w:rPr>
          <w:rFonts w:hAnsi="宋体"/>
        </w:rPr>
      </w:pPr>
    </w:p>
    <w:p>
      <w:pPr>
        <w:pStyle w:val="29"/>
        <w:jc w:val="center"/>
        <w:rPr>
          <w:rFonts w:hAnsi="宋体"/>
        </w:rPr>
      </w:pPr>
    </w:p>
    <w:p>
      <w:pPr>
        <w:pStyle w:val="29"/>
        <w:jc w:val="center"/>
      </w:pPr>
    </w:p>
    <w:p>
      <w:pPr>
        <w:pStyle w:val="29"/>
        <w:jc w:val="center"/>
        <w:rPr>
          <w:rFonts w:hAnsi="宋体"/>
        </w:rPr>
      </w:pPr>
    </w:p>
    <w:p>
      <w:pPr>
        <w:pStyle w:val="29"/>
        <w:spacing w:line="420" w:lineRule="exact"/>
        <w:jc w:val="center"/>
        <w:rPr>
          <w:rFonts w:hAnsi="宋体"/>
        </w:rPr>
      </w:pPr>
      <w:r>
        <w:rPr>
          <w:rFonts w:hint="eastAsia" w:hAnsi="宋体"/>
        </w:rPr>
        <w:t>合同使用说明：根据《中华人民共和国政府采购法》、《中华人民共和国民法典》等法律、法规规定，</w:t>
      </w:r>
    </w:p>
    <w:p>
      <w:pPr>
        <w:pStyle w:val="29"/>
        <w:snapToGrid w:val="0"/>
        <w:spacing w:before="120" w:after="120"/>
        <w:jc w:val="center"/>
        <w:outlineLvl w:val="0"/>
        <w:rPr>
          <w:rFonts w:hAnsi="宋体"/>
        </w:rPr>
      </w:pPr>
      <w:r>
        <w:rPr>
          <w:rFonts w:hint="eastAsia" w:hAnsi="宋体"/>
        </w:rPr>
        <w:t xml:space="preserve">        按照招标文件规定条款和中标供应商投标文件及其承诺，甲乙双方签订本合同。</w:t>
      </w:r>
    </w:p>
    <w:p>
      <w:pPr>
        <w:pStyle w:val="29"/>
        <w:snapToGrid w:val="0"/>
        <w:spacing w:before="120" w:after="120"/>
        <w:jc w:val="center"/>
        <w:outlineLvl w:val="0"/>
        <w:rPr>
          <w:rFonts w:hAnsi="宋体"/>
        </w:rPr>
      </w:pPr>
    </w:p>
    <w:p>
      <w:pPr>
        <w:pStyle w:val="29"/>
        <w:snapToGrid w:val="0"/>
        <w:spacing w:before="120" w:after="120"/>
        <w:jc w:val="center"/>
        <w:outlineLvl w:val="0"/>
        <w:rPr>
          <w:rFonts w:hAnsi="宋体"/>
        </w:rPr>
      </w:pPr>
    </w:p>
    <w:p>
      <w:pPr>
        <w:spacing w:line="300" w:lineRule="auto"/>
        <w:ind w:left="420" w:hanging="420"/>
        <w:jc w:val="center"/>
        <w:rPr>
          <w:rFonts w:ascii="黑体" w:eastAsia="黑体"/>
          <w:b/>
          <w:bCs/>
          <w:sz w:val="44"/>
          <w:szCs w:val="44"/>
        </w:rPr>
      </w:pPr>
      <w:r>
        <w:rPr>
          <w:rFonts w:hint="eastAsia" w:ascii="黑体" w:eastAsia="黑体"/>
          <w:b/>
          <w:sz w:val="44"/>
          <w:szCs w:val="44"/>
        </w:rPr>
        <w:t>采购</w:t>
      </w:r>
      <w:r>
        <w:rPr>
          <w:rFonts w:hint="eastAsia" w:ascii="黑体" w:eastAsia="黑体"/>
          <w:b/>
          <w:bCs/>
          <w:sz w:val="44"/>
          <w:szCs w:val="44"/>
        </w:rPr>
        <w:t>合同文本（格式）</w:t>
      </w:r>
    </w:p>
    <w:p>
      <w:pPr>
        <w:snapToGrid w:val="0"/>
        <w:spacing w:line="300" w:lineRule="exact"/>
        <w:jc w:val="center"/>
        <w:rPr>
          <w:rFonts w:ascii="宋体"/>
          <w:b/>
          <w:bCs/>
          <w:szCs w:val="21"/>
        </w:rPr>
      </w:pPr>
      <w:r>
        <w:rPr>
          <w:rFonts w:hint="eastAsia" w:ascii="宋体"/>
          <w:b/>
          <w:bCs/>
          <w:szCs w:val="21"/>
        </w:rPr>
        <w:t>广西壮族自治区政府采购合同</w:t>
      </w:r>
    </w:p>
    <w:p>
      <w:pPr>
        <w:snapToGrid w:val="0"/>
        <w:spacing w:line="300" w:lineRule="exact"/>
        <w:ind w:right="480" w:firstLine="5985" w:firstLineChars="2850"/>
        <w:rPr>
          <w:rFonts w:ascii="宋体"/>
          <w:bCs/>
          <w:szCs w:val="21"/>
          <w:u w:val="single"/>
        </w:rPr>
      </w:pPr>
      <w:r>
        <w:rPr>
          <w:rFonts w:hint="eastAsia" w:ascii="宋体"/>
          <w:bCs/>
          <w:szCs w:val="21"/>
        </w:rPr>
        <w:t>合同编号：</w:t>
      </w:r>
    </w:p>
    <w:p>
      <w:pPr>
        <w:snapToGrid w:val="0"/>
        <w:spacing w:line="360" w:lineRule="exact"/>
        <w:rPr>
          <w:rFonts w:ascii="宋体"/>
          <w:szCs w:val="21"/>
        </w:rPr>
      </w:pPr>
    </w:p>
    <w:p>
      <w:pPr>
        <w:snapToGrid w:val="0"/>
        <w:spacing w:line="360" w:lineRule="exact"/>
        <w:rPr>
          <w:rFonts w:ascii="宋体"/>
          <w:szCs w:val="21"/>
          <w:u w:val="single"/>
        </w:rPr>
      </w:pPr>
      <w:r>
        <w:rPr>
          <w:rFonts w:hint="eastAsia" w:ascii="宋体"/>
          <w:szCs w:val="21"/>
        </w:rPr>
        <w:t>采购单位（甲方）</w:t>
      </w:r>
      <w:r>
        <w:rPr>
          <w:rFonts w:hint="eastAsia" w:ascii="宋体"/>
          <w:szCs w:val="21"/>
          <w:u w:val="single"/>
        </w:rPr>
        <w:t xml:space="preserve">                          </w:t>
      </w:r>
      <w:r>
        <w:rPr>
          <w:rFonts w:hint="eastAsia" w:ascii="宋体"/>
          <w:szCs w:val="21"/>
        </w:rPr>
        <w:t xml:space="preserve">  </w:t>
      </w:r>
      <w:r>
        <w:rPr>
          <w:rFonts w:hint="eastAsia" w:ascii="宋体"/>
          <w:spacing w:val="-20"/>
          <w:szCs w:val="21"/>
        </w:rPr>
        <w:t>采 购 计 划 号</w:t>
      </w:r>
      <w:r>
        <w:rPr>
          <w:rFonts w:hint="eastAsia" w:ascii="宋体"/>
          <w:szCs w:val="21"/>
          <w:u w:val="single"/>
        </w:rPr>
        <w:t xml:space="preserve">                              </w:t>
      </w:r>
    </w:p>
    <w:p>
      <w:pPr>
        <w:snapToGrid w:val="0"/>
        <w:spacing w:line="360" w:lineRule="exact"/>
        <w:rPr>
          <w:rFonts w:ascii="宋体"/>
          <w:szCs w:val="21"/>
        </w:rPr>
      </w:pPr>
    </w:p>
    <w:p>
      <w:pPr>
        <w:snapToGrid w:val="0"/>
        <w:spacing w:line="360" w:lineRule="exact"/>
        <w:rPr>
          <w:rFonts w:ascii="宋体"/>
          <w:szCs w:val="21"/>
          <w:u w:val="single"/>
        </w:rPr>
      </w:pPr>
      <w:r>
        <w:rPr>
          <w:rFonts w:hint="eastAsia" w:ascii="宋体"/>
          <w:szCs w:val="21"/>
        </w:rPr>
        <w:t>供 应 商（乙方）</w:t>
      </w:r>
      <w:r>
        <w:rPr>
          <w:rFonts w:hint="eastAsia" w:ascii="宋体"/>
          <w:szCs w:val="21"/>
          <w:u w:val="single"/>
        </w:rPr>
        <w:t xml:space="preserve">                          </w:t>
      </w:r>
      <w:r>
        <w:rPr>
          <w:rFonts w:hint="eastAsia" w:ascii="宋体"/>
          <w:szCs w:val="21"/>
        </w:rPr>
        <w:t xml:space="preserve">  项目名称</w:t>
      </w:r>
      <w:r>
        <w:rPr>
          <w:rFonts w:hint="eastAsia" w:ascii="宋体"/>
          <w:spacing w:val="-20"/>
          <w:szCs w:val="21"/>
        </w:rPr>
        <w:t>编号</w:t>
      </w:r>
      <w:r>
        <w:rPr>
          <w:rFonts w:hint="eastAsia" w:ascii="宋体"/>
          <w:szCs w:val="21"/>
          <w:u w:val="single"/>
        </w:rPr>
        <w:t xml:space="preserve">                             </w:t>
      </w:r>
    </w:p>
    <w:p>
      <w:pPr>
        <w:snapToGrid w:val="0"/>
        <w:spacing w:line="360" w:lineRule="exact"/>
        <w:rPr>
          <w:rFonts w:ascii="宋体"/>
          <w:szCs w:val="21"/>
          <w:u w:val="single"/>
        </w:rPr>
      </w:pPr>
      <w:r>
        <w:rPr>
          <w:rFonts w:hint="eastAsia" w:ascii="宋体"/>
          <w:szCs w:val="21"/>
        </w:rPr>
        <w:t xml:space="preserve">签  订  地  点  </w:t>
      </w:r>
      <w:r>
        <w:rPr>
          <w:rFonts w:hint="eastAsia" w:ascii="宋体"/>
          <w:szCs w:val="21"/>
          <w:u w:val="single"/>
        </w:rPr>
        <w:t xml:space="preserve">                          </w:t>
      </w:r>
      <w:r>
        <w:rPr>
          <w:rFonts w:hint="eastAsia" w:ascii="宋体"/>
          <w:szCs w:val="21"/>
        </w:rPr>
        <w:t xml:space="preserve">  签 订 时 间</w:t>
      </w:r>
      <w:r>
        <w:rPr>
          <w:rFonts w:hint="eastAsia" w:ascii="宋体"/>
          <w:szCs w:val="21"/>
          <w:u w:val="single"/>
        </w:rPr>
        <w:t xml:space="preserve">                              </w:t>
      </w:r>
    </w:p>
    <w:p>
      <w:pPr>
        <w:snapToGrid w:val="0"/>
        <w:spacing w:line="360" w:lineRule="exact"/>
        <w:ind w:firstLine="420" w:firstLineChars="200"/>
        <w:rPr>
          <w:rFonts w:ascii="宋体"/>
          <w:szCs w:val="21"/>
        </w:rPr>
      </w:pPr>
    </w:p>
    <w:p>
      <w:pPr>
        <w:pStyle w:val="29"/>
        <w:spacing w:line="360" w:lineRule="exact"/>
        <w:ind w:firstLine="420" w:firstLineChars="200"/>
      </w:pPr>
      <w:r>
        <w:rPr>
          <w:rFonts w:hint="eastAsia"/>
        </w:rPr>
        <w:t>根据《中华人民共和国政府采购法》、《中华人民共和国民法典》等法律、法规规定，按照招标文件规定条款和中标供应商投标文件及其承诺，甲乙双方签订本合同。</w:t>
      </w:r>
    </w:p>
    <w:p>
      <w:pPr>
        <w:snapToGrid w:val="0"/>
        <w:spacing w:line="360" w:lineRule="exact"/>
        <w:ind w:firstLine="421" w:firstLineChars="200"/>
        <w:rPr>
          <w:rFonts w:ascii="宋体"/>
          <w:b/>
          <w:szCs w:val="21"/>
        </w:rPr>
      </w:pPr>
      <w:r>
        <w:rPr>
          <w:rFonts w:hint="eastAsia" w:ascii="宋体"/>
          <w:b/>
          <w:szCs w:val="21"/>
        </w:rPr>
        <w:t>第一条　合同标的</w:t>
      </w:r>
    </w:p>
    <w:p>
      <w:pPr>
        <w:snapToGrid w:val="0"/>
        <w:spacing w:line="360" w:lineRule="exact"/>
        <w:ind w:firstLine="420" w:firstLineChars="200"/>
        <w:rPr>
          <w:rFonts w:ascii="宋体"/>
          <w:szCs w:val="21"/>
        </w:rPr>
      </w:pPr>
      <w:r>
        <w:rPr>
          <w:rFonts w:hint="eastAsia" w:ascii="宋体"/>
          <w:szCs w:val="21"/>
        </w:rPr>
        <w:t>1、供货一览表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304"/>
        <w:gridCol w:w="1081"/>
        <w:gridCol w:w="1194"/>
        <w:gridCol w:w="1193"/>
        <w:gridCol w:w="672"/>
        <w:gridCol w:w="1080"/>
        <w:gridCol w:w="108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96"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序号</w:t>
            </w:r>
          </w:p>
        </w:tc>
        <w:tc>
          <w:tcPr>
            <w:tcW w:w="130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产品</w:t>
            </w:r>
          </w:p>
          <w:p>
            <w:pPr>
              <w:snapToGrid w:val="0"/>
              <w:jc w:val="center"/>
              <w:rPr>
                <w:rFonts w:ascii="宋体"/>
                <w:szCs w:val="21"/>
              </w:rPr>
            </w:pPr>
            <w:r>
              <w:rPr>
                <w:rFonts w:hint="eastAsia" w:ascii="宋体"/>
                <w:szCs w:val="21"/>
              </w:rPr>
              <w:t>名称</w:t>
            </w:r>
          </w:p>
        </w:tc>
        <w:tc>
          <w:tcPr>
            <w:tcW w:w="108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商标</w:t>
            </w:r>
          </w:p>
          <w:p>
            <w:pPr>
              <w:snapToGrid w:val="0"/>
              <w:jc w:val="center"/>
              <w:rPr>
                <w:rFonts w:ascii="宋体"/>
                <w:szCs w:val="21"/>
              </w:rPr>
            </w:pPr>
            <w:r>
              <w:rPr>
                <w:rFonts w:hint="eastAsia" w:ascii="宋体"/>
                <w:szCs w:val="21"/>
              </w:rPr>
              <w:t>品牌</w:t>
            </w:r>
          </w:p>
        </w:tc>
        <w:tc>
          <w:tcPr>
            <w:tcW w:w="1194"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规格</w:t>
            </w:r>
          </w:p>
          <w:p>
            <w:pPr>
              <w:snapToGrid w:val="0"/>
              <w:jc w:val="center"/>
              <w:rPr>
                <w:rFonts w:ascii="宋体"/>
                <w:szCs w:val="21"/>
              </w:rPr>
            </w:pPr>
            <w:r>
              <w:rPr>
                <w:rFonts w:hint="eastAsia" w:ascii="宋体"/>
                <w:szCs w:val="21"/>
              </w:rPr>
              <w:t>型号</w:t>
            </w:r>
          </w:p>
        </w:tc>
        <w:tc>
          <w:tcPr>
            <w:tcW w:w="119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生产</w:t>
            </w:r>
          </w:p>
          <w:p>
            <w:pPr>
              <w:snapToGrid w:val="0"/>
              <w:jc w:val="center"/>
              <w:rPr>
                <w:rFonts w:ascii="宋体"/>
                <w:szCs w:val="21"/>
              </w:rPr>
            </w:pPr>
            <w:r>
              <w:rPr>
                <w:rFonts w:hint="eastAsia" w:ascii="宋体"/>
                <w:szCs w:val="21"/>
              </w:rPr>
              <w:t>厂家</w:t>
            </w:r>
          </w:p>
        </w:tc>
        <w:tc>
          <w:tcPr>
            <w:tcW w:w="672"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数  量</w:t>
            </w:r>
          </w:p>
        </w:tc>
        <w:tc>
          <w:tcPr>
            <w:tcW w:w="10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单位</w:t>
            </w:r>
          </w:p>
        </w:tc>
        <w:tc>
          <w:tcPr>
            <w:tcW w:w="10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单  价</w:t>
            </w:r>
          </w:p>
          <w:p>
            <w:pPr>
              <w:snapToGrid w:val="0"/>
              <w:jc w:val="center"/>
              <w:rPr>
                <w:rFonts w:ascii="宋体"/>
                <w:szCs w:val="21"/>
              </w:rPr>
            </w:pPr>
            <w:r>
              <w:rPr>
                <w:rFonts w:hint="eastAsia" w:ascii="宋体"/>
                <w:szCs w:val="21"/>
              </w:rPr>
              <w:t>（元）</w:t>
            </w:r>
          </w:p>
        </w:tc>
        <w:tc>
          <w:tcPr>
            <w:tcW w:w="144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szCs w:val="21"/>
              </w:rPr>
            </w:pPr>
            <w:r>
              <w:rPr>
                <w:rFonts w:hint="eastAsia" w:ascii="宋体"/>
                <w:szCs w:val="21"/>
              </w:rPr>
              <w:t>金  额</w:t>
            </w:r>
          </w:p>
          <w:p>
            <w:pPr>
              <w:snapToGrid w:val="0"/>
              <w:jc w:val="center"/>
              <w:rPr>
                <w:rFonts w:ascii="宋体"/>
                <w:szCs w:val="21"/>
              </w:rPr>
            </w:pPr>
            <w:r>
              <w:rPr>
                <w:rFonts w:hint="eastAsia" w:ascii="宋体"/>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9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p>
        </w:tc>
        <w:tc>
          <w:tcPr>
            <w:tcW w:w="9044" w:type="dxa"/>
            <w:gridSpan w:val="8"/>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szCs w:val="21"/>
              </w:rPr>
            </w:pPr>
            <w:r>
              <w:rPr>
                <w:rFonts w:hint="eastAsia" w:ascii="宋体"/>
                <w:szCs w:val="21"/>
              </w:rPr>
              <w:t>详见投标报价明细表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540" w:type="dxa"/>
            <w:gridSpan w:val="9"/>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人民币合计金额（大写）                          （小写）                 </w:t>
            </w:r>
          </w:p>
        </w:tc>
      </w:tr>
    </w:tbl>
    <w:p>
      <w:pPr>
        <w:snapToGrid w:val="0"/>
        <w:spacing w:line="390" w:lineRule="exact"/>
        <w:ind w:firstLine="420" w:firstLineChars="200"/>
        <w:rPr>
          <w:rFonts w:ascii="宋体"/>
          <w:szCs w:val="21"/>
        </w:rPr>
      </w:pPr>
      <w:r>
        <w:rPr>
          <w:rFonts w:hint="eastAsia" w:ascii="宋体"/>
          <w:szCs w:val="21"/>
        </w:rPr>
        <w:t>2.合同合计金额包括货物价款，标准附件、备品配件、专用工具、包装、运输、装卸、保险、税金、货物到就位以及安装、调试、检验、技术培训及技术资料、软件费、保修等全部费用。如招投标文件对其另有规定的，从其规定。</w:t>
      </w:r>
    </w:p>
    <w:p>
      <w:pPr>
        <w:snapToGrid w:val="0"/>
        <w:spacing w:line="390" w:lineRule="exact"/>
        <w:ind w:firstLine="421" w:firstLineChars="200"/>
        <w:rPr>
          <w:rFonts w:ascii="宋体"/>
          <w:szCs w:val="21"/>
        </w:rPr>
      </w:pPr>
      <w:r>
        <w:rPr>
          <w:rFonts w:hint="eastAsia" w:ascii="宋体"/>
          <w:b/>
          <w:szCs w:val="21"/>
        </w:rPr>
        <w:t>第二条　质量保证</w:t>
      </w:r>
    </w:p>
    <w:p>
      <w:pPr>
        <w:snapToGrid w:val="0"/>
        <w:spacing w:line="390" w:lineRule="exact"/>
        <w:ind w:firstLine="420" w:firstLineChars="200"/>
        <w:rPr>
          <w:rFonts w:ascii="宋体"/>
          <w:szCs w:val="21"/>
        </w:rPr>
      </w:pPr>
      <w:r>
        <w:rPr>
          <w:rFonts w:hint="eastAsia" w:ascii="宋体"/>
          <w:szCs w:val="21"/>
        </w:rPr>
        <w:t>1.乙方所提供的货物型号、技术规格、技术参数等质量必须与招投标文件和承诺相一致。乙方提供的节能和环保产品必须是列入政府采购清单的产品。</w:t>
      </w:r>
    </w:p>
    <w:p>
      <w:pPr>
        <w:snapToGrid w:val="0"/>
        <w:spacing w:line="390" w:lineRule="exact"/>
        <w:ind w:firstLine="420" w:firstLineChars="200"/>
        <w:rPr>
          <w:rFonts w:ascii="宋体"/>
          <w:szCs w:val="21"/>
          <w:u w:val="single"/>
        </w:rPr>
      </w:pPr>
      <w:r>
        <w:rPr>
          <w:rFonts w:hint="eastAsia" w:ascii="宋体"/>
          <w:szCs w:val="21"/>
        </w:rPr>
        <w:t>2.乙方所提供的货物必须是全新、未使用的原装产品，且在正常安装、使用和保养条件下，其使用寿命期内各项指标均达到质量要求。</w:t>
      </w:r>
    </w:p>
    <w:p>
      <w:pPr>
        <w:snapToGrid w:val="0"/>
        <w:spacing w:line="390" w:lineRule="exact"/>
        <w:ind w:firstLine="421" w:firstLineChars="200"/>
        <w:rPr>
          <w:rFonts w:ascii="宋体"/>
          <w:szCs w:val="21"/>
        </w:rPr>
      </w:pPr>
      <w:r>
        <w:rPr>
          <w:rFonts w:hint="eastAsia" w:ascii="宋体"/>
          <w:b/>
          <w:szCs w:val="21"/>
        </w:rPr>
        <w:t>第三条　权利保证</w:t>
      </w:r>
    </w:p>
    <w:p>
      <w:pPr>
        <w:snapToGrid w:val="0"/>
        <w:spacing w:line="390" w:lineRule="exact"/>
        <w:ind w:firstLine="420" w:firstLineChars="200"/>
        <w:rPr>
          <w:rFonts w:ascii="宋体"/>
          <w:szCs w:val="21"/>
        </w:rPr>
      </w:pPr>
      <w:r>
        <w:rPr>
          <w:rFonts w:hint="eastAsia" w:ascii="宋体"/>
          <w:szCs w:val="21"/>
        </w:rPr>
        <w:t>乙方应保证所提供货物在使用时不会侵犯任何第三方的专利权、商标权、工业设计权或其他权利。</w:t>
      </w:r>
    </w:p>
    <w:p>
      <w:pPr>
        <w:snapToGrid w:val="0"/>
        <w:spacing w:line="390" w:lineRule="exact"/>
        <w:ind w:firstLine="420" w:firstLineChars="200"/>
        <w:rPr>
          <w:rFonts w:ascii="宋体"/>
          <w:szCs w:val="21"/>
        </w:rPr>
      </w:pPr>
      <w:r>
        <w:rPr>
          <w:rFonts w:hint="eastAsia" w:ascii="宋体"/>
          <w:szCs w:val="21"/>
        </w:rPr>
        <w:t>乙方应按招标文件规定的时间向甲方提供使用货物的有关技术资料。</w:t>
      </w:r>
    </w:p>
    <w:p>
      <w:pPr>
        <w:snapToGrid w:val="0"/>
        <w:spacing w:line="390" w:lineRule="exact"/>
        <w:ind w:firstLine="420" w:firstLineChars="200"/>
        <w:rPr>
          <w:rFonts w:ascii="宋体"/>
          <w:szCs w:val="21"/>
        </w:rPr>
      </w:pPr>
      <w:r>
        <w:rPr>
          <w:rFonts w:hint="eastAsia" w:ascii="宋体"/>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390" w:lineRule="exact"/>
        <w:ind w:firstLine="420" w:firstLineChars="200"/>
        <w:rPr>
          <w:rFonts w:ascii="宋体"/>
          <w:szCs w:val="21"/>
        </w:rPr>
      </w:pPr>
      <w:r>
        <w:rPr>
          <w:rFonts w:hint="eastAsia" w:ascii="宋体"/>
          <w:szCs w:val="21"/>
        </w:rPr>
        <w:t>乙方保证所交付的货物的所有权完全属于乙方且无任何抵押、质押、查封等产权瑕疵。</w:t>
      </w:r>
    </w:p>
    <w:p>
      <w:pPr>
        <w:snapToGrid w:val="0"/>
        <w:spacing w:line="390" w:lineRule="exact"/>
        <w:ind w:firstLine="421" w:firstLineChars="200"/>
        <w:rPr>
          <w:rFonts w:ascii="宋体"/>
          <w:b/>
          <w:szCs w:val="21"/>
        </w:rPr>
      </w:pPr>
      <w:r>
        <w:rPr>
          <w:rFonts w:hint="eastAsia" w:ascii="宋体"/>
          <w:b/>
          <w:szCs w:val="21"/>
        </w:rPr>
        <w:t>第四条　包装和运输</w:t>
      </w:r>
    </w:p>
    <w:p>
      <w:pPr>
        <w:snapToGrid w:val="0"/>
        <w:spacing w:line="390" w:lineRule="exact"/>
        <w:ind w:firstLine="420" w:firstLineChars="200"/>
        <w:rPr>
          <w:rFonts w:ascii="宋体"/>
          <w:szCs w:val="21"/>
        </w:rPr>
      </w:pPr>
      <w:r>
        <w:rPr>
          <w:rFonts w:hint="eastAsia" w:ascii="宋体"/>
          <w:szCs w:val="21"/>
        </w:rPr>
        <w:t>1.乙方提供的货物均应按招投标文件要求的包装材料、包装标准、包装方式进行包装，每一包装单元内应附详细的装箱单和质量合格证。</w:t>
      </w:r>
    </w:p>
    <w:p>
      <w:pPr>
        <w:snapToGrid w:val="0"/>
        <w:spacing w:line="390" w:lineRule="exact"/>
        <w:ind w:firstLine="420" w:firstLineChars="200"/>
        <w:rPr>
          <w:rFonts w:ascii="宋体"/>
          <w:szCs w:val="21"/>
        </w:rPr>
      </w:pPr>
      <w:r>
        <w:rPr>
          <w:rFonts w:hint="eastAsia" w:ascii="宋体"/>
          <w:szCs w:val="21"/>
        </w:rPr>
        <w:t>2.货物的运输方式：</w:t>
      </w:r>
      <w:r>
        <w:rPr>
          <w:rStyle w:val="653"/>
          <w:rFonts w:hint="eastAsia" w:ascii="宋体" w:hAnsi="宋体"/>
          <w:color w:val="auto"/>
          <w:u w:val="none"/>
        </w:rPr>
        <w:t>乙方自定</w:t>
      </w:r>
      <w:r>
        <w:rPr>
          <w:rFonts w:hint="eastAsia" w:ascii="宋体"/>
          <w:szCs w:val="21"/>
        </w:rPr>
        <w:t>。</w:t>
      </w:r>
    </w:p>
    <w:p>
      <w:pPr>
        <w:snapToGrid w:val="0"/>
        <w:spacing w:line="360" w:lineRule="exact"/>
        <w:ind w:firstLine="420" w:firstLineChars="200"/>
        <w:rPr>
          <w:rFonts w:ascii="宋体"/>
          <w:szCs w:val="21"/>
          <w:u w:val="single"/>
        </w:rPr>
      </w:pPr>
      <w:r>
        <w:rPr>
          <w:rFonts w:hint="eastAsia" w:ascii="宋体"/>
          <w:szCs w:val="21"/>
        </w:rPr>
        <w:t>3.乙方负责货物运输，货物运输合理损耗及计算方法：</w:t>
      </w:r>
      <w:r>
        <w:rPr>
          <w:rStyle w:val="653"/>
          <w:rFonts w:hint="eastAsia" w:ascii="宋体" w:hAnsi="宋体"/>
          <w:color w:val="auto"/>
          <w:u w:val="none"/>
        </w:rPr>
        <w:t>甲方不接受损耗，</w:t>
      </w:r>
      <w:r>
        <w:rPr>
          <w:rStyle w:val="653"/>
          <w:rFonts w:ascii="宋体" w:hAnsi="宋体"/>
          <w:color w:val="auto"/>
          <w:u w:val="none"/>
        </w:rPr>
        <w:t>产生的货物损耗应由乙方负责替换。</w:t>
      </w:r>
    </w:p>
    <w:p>
      <w:pPr>
        <w:snapToGrid w:val="0"/>
        <w:spacing w:line="390" w:lineRule="exact"/>
        <w:ind w:firstLine="421" w:firstLineChars="200"/>
        <w:rPr>
          <w:rFonts w:ascii="宋体"/>
          <w:szCs w:val="21"/>
        </w:rPr>
      </w:pPr>
      <w:r>
        <w:rPr>
          <w:rFonts w:hint="eastAsia" w:ascii="宋体"/>
          <w:b/>
          <w:szCs w:val="21"/>
        </w:rPr>
        <w:t>第五条　交付和验收</w:t>
      </w:r>
    </w:p>
    <w:p>
      <w:pPr>
        <w:snapToGrid w:val="0"/>
        <w:spacing w:line="390" w:lineRule="exact"/>
        <w:ind w:firstLine="420" w:firstLineChars="200"/>
        <w:rPr>
          <w:rFonts w:ascii="宋体"/>
          <w:szCs w:val="21"/>
        </w:rPr>
      </w:pPr>
      <w:r>
        <w:rPr>
          <w:rFonts w:hint="eastAsia" w:ascii="宋体"/>
          <w:szCs w:val="21"/>
        </w:rPr>
        <w:t>1.交付使用时间、地点。</w:t>
      </w:r>
    </w:p>
    <w:p>
      <w:pPr>
        <w:spacing w:line="390" w:lineRule="exact"/>
        <w:ind w:firstLine="524" w:firstLineChars="249"/>
        <w:rPr>
          <w:rFonts w:ascii="宋体"/>
          <w:b/>
          <w:szCs w:val="21"/>
        </w:rPr>
      </w:pPr>
      <w:r>
        <w:rPr>
          <w:rFonts w:hint="eastAsia" w:ascii="宋体"/>
          <w:b/>
          <w:szCs w:val="21"/>
        </w:rPr>
        <w:t>交付使用时间：</w:t>
      </w:r>
      <w:r>
        <w:rPr>
          <w:rFonts w:hint="eastAsia" w:ascii="宋体" w:hAnsi="宋体" w:cs="宋体"/>
          <w:kern w:val="0"/>
          <w:szCs w:val="21"/>
        </w:rPr>
        <w:t>签订合同之日起</w:t>
      </w:r>
      <w:r>
        <w:rPr>
          <w:rFonts w:hint="eastAsia" w:ascii="宋体" w:hAnsi="宋体" w:cs="宋体"/>
          <w:kern w:val="0"/>
          <w:szCs w:val="21"/>
          <w:u w:val="single"/>
        </w:rPr>
        <w:t xml:space="preserve"> </w:t>
      </w:r>
      <w:r>
        <w:rPr>
          <w:rFonts w:ascii="宋体" w:hAnsi="宋体" w:cs="宋体"/>
          <w:kern w:val="0"/>
          <w:szCs w:val="21"/>
          <w:u w:val="single"/>
        </w:rPr>
        <w:t>30</w:t>
      </w:r>
      <w:r>
        <w:rPr>
          <w:rFonts w:hint="eastAsia" w:ascii="宋体" w:hAnsi="宋体" w:cs="宋体"/>
          <w:kern w:val="0"/>
          <w:szCs w:val="21"/>
          <w:u w:val="single"/>
        </w:rPr>
        <w:t xml:space="preserve"> </w:t>
      </w:r>
      <w:r>
        <w:rPr>
          <w:rFonts w:hint="eastAsia" w:ascii="宋体" w:hAnsi="宋体" w:cs="宋体"/>
          <w:kern w:val="0"/>
          <w:szCs w:val="21"/>
        </w:rPr>
        <w:t>日内交货并安装调试完毕</w:t>
      </w:r>
      <w:r>
        <w:rPr>
          <w:rFonts w:hint="eastAsia" w:ascii="宋体"/>
          <w:b/>
          <w:szCs w:val="21"/>
        </w:rPr>
        <w:t>；</w:t>
      </w:r>
    </w:p>
    <w:p>
      <w:pPr>
        <w:spacing w:line="390" w:lineRule="exact"/>
        <w:ind w:firstLine="524" w:firstLineChars="249"/>
        <w:rPr>
          <w:rFonts w:ascii="宋体"/>
          <w:b/>
          <w:szCs w:val="21"/>
        </w:rPr>
      </w:pPr>
      <w:r>
        <w:rPr>
          <w:rFonts w:hint="eastAsia" w:ascii="宋体"/>
          <w:b/>
          <w:szCs w:val="21"/>
        </w:rPr>
        <w:t>交付使用地点：</w:t>
      </w:r>
      <w:r>
        <w:rPr>
          <w:rFonts w:hint="eastAsia" w:ascii="宋体"/>
          <w:szCs w:val="21"/>
        </w:rPr>
        <w:t>广西职业师范学院（甲方指定地点）</w:t>
      </w:r>
      <w:r>
        <w:rPr>
          <w:rFonts w:hint="eastAsia" w:ascii="宋体"/>
          <w:b/>
          <w:szCs w:val="21"/>
        </w:rPr>
        <w:t>。</w:t>
      </w:r>
    </w:p>
    <w:p>
      <w:pPr>
        <w:snapToGrid w:val="0"/>
        <w:spacing w:line="390" w:lineRule="exact"/>
        <w:ind w:firstLine="420" w:firstLineChars="200"/>
        <w:rPr>
          <w:rFonts w:ascii="宋体"/>
          <w:szCs w:val="21"/>
        </w:rPr>
      </w:pPr>
      <w:r>
        <w:rPr>
          <w:rFonts w:hint="eastAsia" w:ascii="宋体"/>
          <w:szCs w:val="21"/>
        </w:rPr>
        <w:t>2.乙方提供不符合招投标文件和本合同规定的货物，甲方有权拒绝接受。</w:t>
      </w:r>
    </w:p>
    <w:p>
      <w:pPr>
        <w:snapToGrid w:val="0"/>
        <w:spacing w:line="390" w:lineRule="exact"/>
        <w:ind w:firstLine="420" w:firstLineChars="200"/>
        <w:rPr>
          <w:rFonts w:ascii="宋体"/>
          <w:szCs w:val="21"/>
        </w:rPr>
      </w:pPr>
      <w:r>
        <w:rPr>
          <w:rFonts w:hint="eastAsia" w:ascii="宋体"/>
          <w:szCs w:val="21"/>
        </w:rPr>
        <w:t>3.</w:t>
      </w:r>
      <w:r>
        <w:rPr>
          <w:rStyle w:val="653"/>
          <w:rFonts w:hint="eastAsia" w:ascii="宋体" w:hAnsi="宋体" w:cs="宋体"/>
          <w:bCs/>
          <w:color w:val="auto"/>
          <w:szCs w:val="21"/>
          <w:u w:val="none"/>
        </w:rPr>
        <w:t>乙方必须将整套技术资料包括设备说明书、操作使用手册、零件手册、提供设备随机易损件清单及其它相关技术资料（应有中文解释）、手册电子文档（光盘）等交给甲方，</w:t>
      </w:r>
      <w:r>
        <w:rPr>
          <w:rFonts w:hint="eastAsia" w:ascii="宋体"/>
          <w:szCs w:val="21"/>
        </w:rPr>
        <w:t>如有缺失应及时补齐，否则视为逾期交货。</w:t>
      </w:r>
    </w:p>
    <w:p>
      <w:pPr>
        <w:snapToGrid w:val="0"/>
        <w:spacing w:line="390" w:lineRule="exact"/>
        <w:ind w:firstLine="420" w:firstLineChars="200"/>
        <w:rPr>
          <w:rFonts w:ascii="宋体"/>
          <w:szCs w:val="21"/>
        </w:rPr>
      </w:pPr>
      <w:r>
        <w:rPr>
          <w:rFonts w:hint="eastAsia" w:ascii="宋体"/>
          <w:szCs w:val="21"/>
        </w:rPr>
        <w:t>4.甲方应当在到货（安装、调试完）后十个工作日内进行验收，验收合格后由甲乙双方签署货物验收单并加盖采购单位公章，甲乙双方各执一份。</w:t>
      </w:r>
    </w:p>
    <w:p>
      <w:pPr>
        <w:snapToGrid w:val="0"/>
        <w:spacing w:line="390" w:lineRule="exact"/>
        <w:ind w:firstLine="420" w:firstLineChars="200"/>
        <w:rPr>
          <w:rFonts w:ascii="宋体"/>
          <w:szCs w:val="21"/>
        </w:rPr>
      </w:pPr>
      <w:r>
        <w:rPr>
          <w:rFonts w:hint="eastAsia" w:ascii="宋体"/>
          <w:szCs w:val="21"/>
        </w:rPr>
        <w:t xml:space="preserve">5.甲方对验收有异议的，在验收后五个工作日内以书面形式向乙方提出，乙方应自收到甲方书面异议后 </w:t>
      </w:r>
      <w:r>
        <w:rPr>
          <w:rFonts w:hint="eastAsia" w:ascii="宋体"/>
          <w:szCs w:val="21"/>
          <w:u w:val="single"/>
        </w:rPr>
        <w:t xml:space="preserve">五 </w:t>
      </w:r>
      <w:r>
        <w:rPr>
          <w:rFonts w:hint="eastAsia" w:ascii="宋体"/>
          <w:szCs w:val="21"/>
        </w:rPr>
        <w:t>日内及时予以解决。</w:t>
      </w:r>
    </w:p>
    <w:p>
      <w:pPr>
        <w:snapToGrid w:val="0"/>
        <w:spacing w:line="390" w:lineRule="exact"/>
        <w:ind w:firstLine="421" w:firstLineChars="200"/>
        <w:rPr>
          <w:rFonts w:ascii="宋体"/>
          <w:b/>
          <w:szCs w:val="21"/>
        </w:rPr>
      </w:pPr>
      <w:r>
        <w:rPr>
          <w:rFonts w:hint="eastAsia" w:ascii="宋体"/>
          <w:b/>
          <w:szCs w:val="21"/>
        </w:rPr>
        <w:t>第六条　安装和培训</w:t>
      </w:r>
    </w:p>
    <w:p>
      <w:pPr>
        <w:snapToGrid w:val="0"/>
        <w:spacing w:line="390" w:lineRule="exact"/>
        <w:ind w:firstLine="420" w:firstLineChars="200"/>
        <w:rPr>
          <w:rFonts w:ascii="宋体"/>
          <w:szCs w:val="21"/>
        </w:rPr>
      </w:pPr>
      <w:r>
        <w:rPr>
          <w:rFonts w:hint="eastAsia" w:ascii="宋体"/>
          <w:szCs w:val="21"/>
        </w:rPr>
        <w:t>1.乙方</w:t>
      </w:r>
      <w:r>
        <w:rPr>
          <w:rFonts w:hint="eastAsia" w:ascii="宋体" w:hAnsi="宋体" w:cs="宋体"/>
          <w:kern w:val="0"/>
          <w:szCs w:val="21"/>
          <w:lang w:bidi="ar"/>
        </w:rPr>
        <w:t>免费送货上门、安装、调试，</w:t>
      </w:r>
      <w:r>
        <w:rPr>
          <w:rFonts w:hint="eastAsia" w:ascii="宋体"/>
          <w:szCs w:val="21"/>
        </w:rPr>
        <w:t>甲方应提供必要安装条件（如场地、电源、水源等）。</w:t>
      </w:r>
    </w:p>
    <w:p>
      <w:pPr>
        <w:snapToGrid w:val="0"/>
        <w:spacing w:line="390" w:lineRule="exact"/>
        <w:ind w:firstLine="420" w:firstLineChars="200"/>
        <w:rPr>
          <w:rFonts w:ascii="宋体"/>
          <w:szCs w:val="21"/>
          <w:u w:val="single"/>
        </w:rPr>
      </w:pPr>
      <w:r>
        <w:rPr>
          <w:rFonts w:hint="eastAsia" w:ascii="宋体"/>
          <w:szCs w:val="21"/>
        </w:rPr>
        <w:t>2.乙方负责甲方有关人员的培训。培训时间、地点：</w:t>
      </w:r>
      <w:r>
        <w:rPr>
          <w:rFonts w:hint="eastAsia"/>
          <w:b/>
          <w:szCs w:val="21"/>
          <w:u w:val="single"/>
        </w:rPr>
        <w:t>按交付使用时间、地点培训</w:t>
      </w:r>
      <w:r>
        <w:rPr>
          <w:rFonts w:hint="eastAsia" w:ascii="宋体"/>
          <w:szCs w:val="21"/>
        </w:rPr>
        <w:t>。</w:t>
      </w:r>
    </w:p>
    <w:p>
      <w:pPr>
        <w:snapToGrid w:val="0"/>
        <w:spacing w:line="390" w:lineRule="exact"/>
        <w:ind w:firstLine="421" w:firstLineChars="200"/>
        <w:rPr>
          <w:rFonts w:ascii="宋体"/>
          <w:b/>
          <w:szCs w:val="21"/>
        </w:rPr>
      </w:pPr>
      <w:r>
        <w:rPr>
          <w:rFonts w:hint="eastAsia" w:ascii="宋体"/>
          <w:b/>
          <w:szCs w:val="21"/>
        </w:rPr>
        <w:t>第七条  售后服务、保修期</w:t>
      </w:r>
    </w:p>
    <w:p>
      <w:pPr>
        <w:snapToGrid w:val="0"/>
        <w:spacing w:line="390" w:lineRule="exact"/>
        <w:ind w:firstLine="420" w:firstLineChars="200"/>
        <w:rPr>
          <w:rFonts w:ascii="宋体"/>
          <w:szCs w:val="21"/>
        </w:rPr>
      </w:pPr>
      <w:r>
        <w:rPr>
          <w:rFonts w:hint="eastAsia" w:ascii="宋体"/>
          <w:szCs w:val="21"/>
        </w:rPr>
        <w:t>1.乙方应按照国家有关法律法规和“三包”规定以及招投标文件和本合同所附的《服务承诺》，为甲方提供售后服务</w:t>
      </w:r>
      <w:r>
        <w:rPr>
          <w:rFonts w:hint="eastAsia" w:ascii="宋体" w:hAnsi="宋体" w:cs="宋体"/>
          <w:kern w:val="0"/>
          <w:szCs w:val="21"/>
          <w:lang w:bidi="ar"/>
        </w:rPr>
        <w:t>。</w:t>
      </w:r>
    </w:p>
    <w:p>
      <w:pPr>
        <w:snapToGrid w:val="0"/>
        <w:spacing w:line="390" w:lineRule="exact"/>
        <w:ind w:firstLine="420" w:firstLineChars="200"/>
        <w:rPr>
          <w:rFonts w:ascii="宋体"/>
          <w:szCs w:val="21"/>
          <w:u w:val="single"/>
        </w:rPr>
      </w:pPr>
      <w:r>
        <w:rPr>
          <w:rFonts w:hint="eastAsia" w:ascii="宋体"/>
          <w:szCs w:val="21"/>
        </w:rPr>
        <w:t>2.货物保修期：</w:t>
      </w:r>
      <w:r>
        <w:rPr>
          <w:rFonts w:hint="eastAsia"/>
          <w:szCs w:val="21"/>
          <w:u w:val="single"/>
        </w:rPr>
        <w:t>分项有要求的按分项要求，分项无要求的按国家标准实行</w:t>
      </w:r>
      <w:r>
        <w:rPr>
          <w:szCs w:val="21"/>
          <w:u w:val="single"/>
        </w:rPr>
        <w:t>“</w:t>
      </w:r>
      <w:r>
        <w:rPr>
          <w:rFonts w:hint="eastAsia"/>
          <w:szCs w:val="21"/>
          <w:u w:val="single"/>
        </w:rPr>
        <w:t>三包</w:t>
      </w:r>
      <w:r>
        <w:rPr>
          <w:szCs w:val="21"/>
          <w:u w:val="single"/>
        </w:rPr>
        <w:t>”</w:t>
      </w:r>
      <w:r>
        <w:rPr>
          <w:rFonts w:hint="eastAsia"/>
          <w:szCs w:val="21"/>
          <w:u w:val="single"/>
        </w:rPr>
        <w:t>，</w:t>
      </w:r>
      <w:r>
        <w:rPr>
          <w:rFonts w:hint="eastAsia" w:ascii="宋体" w:hAnsi="宋体" w:cs="宋体"/>
          <w:kern w:val="0"/>
          <w:szCs w:val="21"/>
          <w:lang w:bidi="ar"/>
        </w:rPr>
        <w:t xml:space="preserve"> </w:t>
      </w:r>
      <w:r>
        <w:rPr>
          <w:rFonts w:hint="eastAsia"/>
          <w:szCs w:val="21"/>
          <w:u w:val="single"/>
        </w:rPr>
        <w:t>保修期以通过项目最终验收的验收报告签字日开始计算</w:t>
      </w:r>
      <w:r>
        <w:rPr>
          <w:rFonts w:hint="eastAsia" w:ascii="宋体"/>
          <w:szCs w:val="21"/>
        </w:rPr>
        <w:t>。</w:t>
      </w:r>
    </w:p>
    <w:p>
      <w:pPr>
        <w:snapToGrid w:val="0"/>
        <w:spacing w:line="390" w:lineRule="exact"/>
        <w:ind w:firstLine="420" w:firstLineChars="200"/>
        <w:rPr>
          <w:rFonts w:ascii="宋体"/>
          <w:szCs w:val="21"/>
          <w:u w:val="single"/>
        </w:rPr>
      </w:pPr>
      <w:r>
        <w:rPr>
          <w:rFonts w:hint="eastAsia" w:ascii="宋体"/>
          <w:szCs w:val="21"/>
        </w:rPr>
        <w:t>3.乙方提供的服务承诺和售后服务及保修期责任等其它具体约定事项。（见合同附件）</w:t>
      </w:r>
    </w:p>
    <w:p>
      <w:pPr>
        <w:snapToGrid w:val="0"/>
        <w:spacing w:line="390" w:lineRule="exact"/>
        <w:ind w:firstLine="421" w:firstLineChars="200"/>
        <w:rPr>
          <w:rFonts w:ascii="宋体"/>
          <w:szCs w:val="21"/>
        </w:rPr>
      </w:pPr>
      <w:r>
        <w:rPr>
          <w:rFonts w:hint="eastAsia" w:ascii="宋体"/>
          <w:b/>
          <w:szCs w:val="21"/>
        </w:rPr>
        <w:t>第八条　付款方式和保证金</w:t>
      </w:r>
    </w:p>
    <w:p>
      <w:pPr>
        <w:pStyle w:val="29"/>
        <w:snapToGrid w:val="0"/>
        <w:spacing w:line="390" w:lineRule="exact"/>
        <w:ind w:firstLine="420" w:firstLineChars="200"/>
      </w:pPr>
      <w:r>
        <w:rPr>
          <w:rFonts w:hint="eastAsia"/>
          <w:bCs/>
        </w:rPr>
        <w:t>1.</w:t>
      </w:r>
      <w:r>
        <w:rPr>
          <w:rFonts w:hint="eastAsia"/>
        </w:rPr>
        <w:t>当采购数量与实际使用数量不一致时，乙方应根据实际使用量供货，合同的最终结算金额按实际使用量乘以</w:t>
      </w:r>
      <w:r>
        <w:rPr>
          <w:rFonts w:hint="eastAsia"/>
          <w:lang w:val="en"/>
        </w:rPr>
        <w:t>中标</w:t>
      </w:r>
      <w:r>
        <w:rPr>
          <w:rFonts w:hint="eastAsia"/>
        </w:rPr>
        <w:t>单价进行计算。</w:t>
      </w:r>
    </w:p>
    <w:p>
      <w:pPr>
        <w:snapToGrid w:val="0"/>
        <w:spacing w:line="390" w:lineRule="exact"/>
        <w:ind w:firstLine="420" w:firstLineChars="200"/>
        <w:rPr>
          <w:rFonts w:ascii="宋体"/>
          <w:szCs w:val="21"/>
          <w:u w:val="single"/>
        </w:rPr>
      </w:pPr>
      <w:r>
        <w:rPr>
          <w:rFonts w:hint="eastAsia" w:ascii="宋体"/>
          <w:szCs w:val="21"/>
        </w:rPr>
        <w:t>2.资金性质：</w:t>
      </w:r>
      <w:r>
        <w:rPr>
          <w:rFonts w:hint="eastAsia" w:ascii="宋体"/>
          <w:b/>
          <w:szCs w:val="21"/>
          <w:u w:val="single"/>
        </w:rPr>
        <w:t>财政性资金</w:t>
      </w:r>
      <w:r>
        <w:rPr>
          <w:rFonts w:hint="eastAsia" w:ascii="宋体"/>
          <w:b/>
          <w:szCs w:val="21"/>
        </w:rPr>
        <w:t>。</w:t>
      </w:r>
    </w:p>
    <w:p>
      <w:pPr>
        <w:snapToGrid w:val="0"/>
        <w:spacing w:line="390" w:lineRule="exact"/>
        <w:rPr>
          <w:rFonts w:ascii="宋体" w:hAnsi="宋体"/>
          <w:strike/>
          <w:szCs w:val="21"/>
        </w:rPr>
      </w:pPr>
      <w:r>
        <w:rPr>
          <w:rFonts w:hint="eastAsia" w:ascii="宋体"/>
        </w:rPr>
        <w:t xml:space="preserve">    3.付款方式：</w:t>
      </w:r>
      <w:r>
        <w:rPr>
          <w:rFonts w:hint="eastAsia" w:ascii="宋体" w:hAnsi="宋体"/>
        </w:rPr>
        <w:t>本项目分两期付款，全部货物到货经甲方清点确认后，支付合同金额的5</w:t>
      </w:r>
      <w:r>
        <w:rPr>
          <w:rFonts w:ascii="宋体" w:hAnsi="宋体"/>
        </w:rPr>
        <w:t>0</w:t>
      </w:r>
      <w:r>
        <w:rPr>
          <w:rFonts w:hint="eastAsia" w:ascii="宋体" w:hAnsi="宋体"/>
        </w:rPr>
        <w:t>%，项目完成安装并正式验收合格后再支付合同金额的50%，</w:t>
      </w:r>
      <w:r>
        <w:rPr>
          <w:rFonts w:hint="eastAsia" w:ascii="宋体" w:hAnsi="宋体" w:cs="宋体"/>
          <w:sz w:val="24"/>
        </w:rPr>
        <w:t>每次付款前，乙方</w:t>
      </w:r>
      <w:r>
        <w:rPr>
          <w:rFonts w:hint="eastAsia" w:ascii="宋体" w:hAnsi="宋体"/>
        </w:rPr>
        <w:t>向采购人开具</w:t>
      </w:r>
      <w:r>
        <w:rPr>
          <w:rFonts w:hint="eastAsia" w:ascii="宋体" w:hAnsi="宋体" w:cs="宋体"/>
          <w:szCs w:val="21"/>
        </w:rPr>
        <w:t>合符甲方财务管理相关规定的</w:t>
      </w:r>
      <w:r>
        <w:rPr>
          <w:rFonts w:hint="eastAsia" w:ascii="宋体" w:hAnsi="宋体"/>
        </w:rPr>
        <w:t>增值税专用发票，甲方收到发票后</w:t>
      </w:r>
      <w:r>
        <w:rPr>
          <w:rFonts w:ascii="宋体" w:hAnsi="宋体"/>
        </w:rPr>
        <w:t>10</w:t>
      </w:r>
      <w:r>
        <w:rPr>
          <w:rFonts w:hint="eastAsia" w:ascii="宋体" w:hAnsi="宋体"/>
        </w:rPr>
        <w:t>个工作日内完成支付。</w:t>
      </w:r>
    </w:p>
    <w:p>
      <w:pPr>
        <w:snapToGrid w:val="0"/>
        <w:spacing w:line="390" w:lineRule="exact"/>
        <w:ind w:firstLine="516" w:firstLineChars="245"/>
        <w:rPr>
          <w:rFonts w:ascii="宋体"/>
          <w:b/>
          <w:szCs w:val="21"/>
        </w:rPr>
      </w:pPr>
      <w:r>
        <w:rPr>
          <w:rFonts w:hint="eastAsia" w:ascii="宋体"/>
          <w:b/>
          <w:szCs w:val="21"/>
        </w:rPr>
        <w:t>第九条　履约保证金</w:t>
      </w:r>
    </w:p>
    <w:p>
      <w:pPr>
        <w:autoSpaceDE w:val="0"/>
        <w:autoSpaceDN w:val="0"/>
        <w:snapToGrid w:val="0"/>
        <w:spacing w:line="360" w:lineRule="auto"/>
        <w:ind w:firstLine="424" w:firstLineChars="202"/>
        <w:textAlignment w:val="bottom"/>
        <w:rPr>
          <w:rFonts w:ascii="宋体" w:hAnsi="宋体" w:cs="宋体"/>
          <w:szCs w:val="21"/>
        </w:rPr>
      </w:pPr>
      <w:r>
        <w:rPr>
          <w:rFonts w:hint="eastAsia" w:ascii="宋体" w:hAnsi="宋体" w:cs="宋体"/>
          <w:kern w:val="0"/>
          <w:szCs w:val="21"/>
        </w:rPr>
        <w:t>合同签订之前，乙方按合同金额的</w:t>
      </w:r>
      <w:r>
        <w:rPr>
          <w:rFonts w:ascii="宋体" w:hAnsi="宋体" w:cs="宋体"/>
          <w:kern w:val="0"/>
          <w:szCs w:val="21"/>
        </w:rPr>
        <w:t>5</w:t>
      </w:r>
      <w:r>
        <w:rPr>
          <w:rFonts w:hint="eastAsia" w:ascii="宋体" w:hAnsi="宋体" w:cs="宋体"/>
          <w:kern w:val="0"/>
          <w:szCs w:val="21"/>
        </w:rPr>
        <w:t>%</w:t>
      </w:r>
      <w:r>
        <w:rPr>
          <w:rFonts w:hint="eastAsia" w:ascii="宋体" w:hAnsi="宋体" w:cs="宋体"/>
          <w:szCs w:val="21"/>
        </w:rPr>
        <w:t>（其中对中标的中小企业收取的履约保证金数额不超过政府采购合同金额的2%）</w:t>
      </w:r>
      <w:r>
        <w:rPr>
          <w:rFonts w:hint="eastAsia" w:ascii="宋体" w:hAnsi="宋体" w:cs="宋体"/>
          <w:kern w:val="0"/>
          <w:szCs w:val="21"/>
        </w:rPr>
        <w:t>向甲方足额交纳履约保证金。</w:t>
      </w:r>
      <w:r>
        <w:rPr>
          <w:rFonts w:hint="eastAsia" w:ascii="宋体" w:hAnsi="宋体"/>
          <w:szCs w:val="21"/>
        </w:rPr>
        <w:t>项目验收合格后，乙方</w:t>
      </w:r>
      <w:r>
        <w:rPr>
          <w:rFonts w:hint="eastAsia" w:ascii="宋体" w:hAnsi="宋体" w:cs="宋体"/>
          <w:szCs w:val="21"/>
        </w:rPr>
        <w:t>向采购人提出办理退还履约保证金，甲方应在收到申请相关材料</w:t>
      </w:r>
      <w:r>
        <w:rPr>
          <w:rFonts w:hint="eastAsia" w:ascii="宋体" w:hAnsi="宋体"/>
          <w:szCs w:val="21"/>
        </w:rPr>
        <w:t>，在</w:t>
      </w:r>
      <w:r>
        <w:rPr>
          <w:rFonts w:ascii="宋体" w:hAnsi="宋体"/>
          <w:szCs w:val="21"/>
        </w:rPr>
        <w:t>10</w:t>
      </w:r>
      <w:r>
        <w:rPr>
          <w:rFonts w:hint="eastAsia" w:ascii="宋体" w:hAnsi="宋体"/>
          <w:szCs w:val="21"/>
        </w:rPr>
        <w:t>个工作日内办理履约保证金退还手续</w:t>
      </w:r>
      <w:r>
        <w:rPr>
          <w:rFonts w:hint="eastAsia" w:ascii="宋体" w:hAnsi="宋体" w:cs="宋体"/>
          <w:szCs w:val="21"/>
        </w:rPr>
        <w:t>（无息）</w:t>
      </w:r>
      <w:r>
        <w:rPr>
          <w:rFonts w:hint="eastAsia" w:ascii="宋体" w:hAnsi="宋体"/>
          <w:szCs w:val="21"/>
        </w:rPr>
        <w:t>。</w:t>
      </w:r>
    </w:p>
    <w:p>
      <w:pPr>
        <w:snapToGrid w:val="0"/>
        <w:spacing w:line="390" w:lineRule="exact"/>
        <w:ind w:firstLine="421" w:firstLineChars="200"/>
        <w:rPr>
          <w:rFonts w:ascii="宋体" w:hAnsi="Courier New" w:cs="Courier New"/>
          <w:szCs w:val="21"/>
        </w:rPr>
      </w:pPr>
      <w:r>
        <w:rPr>
          <w:rFonts w:hint="eastAsia" w:ascii="宋体" w:hAnsi="Courier New" w:cs="Courier New"/>
          <w:b/>
          <w:szCs w:val="21"/>
        </w:rPr>
        <w:t>第十条 税费</w:t>
      </w:r>
    </w:p>
    <w:p>
      <w:pPr>
        <w:snapToGrid w:val="0"/>
        <w:spacing w:line="390" w:lineRule="exact"/>
        <w:ind w:firstLine="420" w:firstLineChars="200"/>
        <w:rPr>
          <w:rFonts w:ascii="宋体" w:hAnsi="Courier New" w:cs="Courier New"/>
          <w:szCs w:val="21"/>
        </w:rPr>
      </w:pPr>
      <w:r>
        <w:rPr>
          <w:rFonts w:hint="eastAsia" w:ascii="宋体" w:hAnsi="Courier New" w:cs="Courier New"/>
          <w:szCs w:val="21"/>
        </w:rPr>
        <w:t>本合同执行中相关的一切税费均由乙方负担。</w:t>
      </w:r>
    </w:p>
    <w:p>
      <w:pPr>
        <w:snapToGrid w:val="0"/>
        <w:spacing w:line="390" w:lineRule="exact"/>
        <w:ind w:firstLine="421" w:firstLineChars="200"/>
        <w:rPr>
          <w:rFonts w:ascii="宋体"/>
          <w:b/>
          <w:szCs w:val="21"/>
        </w:rPr>
      </w:pPr>
      <w:r>
        <w:rPr>
          <w:rFonts w:hint="eastAsia" w:ascii="宋体"/>
          <w:b/>
          <w:szCs w:val="21"/>
        </w:rPr>
        <w:t>第十一条  质量保证及售后服务</w:t>
      </w:r>
    </w:p>
    <w:p>
      <w:pPr>
        <w:snapToGrid w:val="0"/>
        <w:spacing w:line="390" w:lineRule="exact"/>
        <w:ind w:firstLine="420" w:firstLineChars="200"/>
        <w:rPr>
          <w:rFonts w:ascii="宋体"/>
          <w:szCs w:val="21"/>
        </w:rPr>
      </w:pPr>
      <w:r>
        <w:rPr>
          <w:rFonts w:hint="eastAsia" w:ascii="宋体"/>
          <w:szCs w:val="21"/>
        </w:rPr>
        <w:t>1. 乙方应按招标文件规定的货物性能、技术要求、质量标准向甲方提供未经使用的全新产品。</w:t>
      </w:r>
      <w:r>
        <w:rPr>
          <w:rFonts w:hint="eastAsia" w:ascii="宋体"/>
        </w:rPr>
        <w:t>乙方提供货物的质量保证期按交货验收合格之日起计（期限见《招标项目采购需求》中各分标的要求）。在保证期内因货物本身的质量问题发生故障，乙方应负责免费修理和更换零部件。对达不到技术要求者，根据实际情况，甲方有权按以下办法处理</w:t>
      </w:r>
      <w:r>
        <w:rPr>
          <w:rFonts w:hint="eastAsia" w:ascii="宋体"/>
          <w:szCs w:val="21"/>
        </w:rPr>
        <w:t>：</w:t>
      </w:r>
    </w:p>
    <w:p>
      <w:pPr>
        <w:pStyle w:val="29"/>
        <w:snapToGrid w:val="0"/>
        <w:spacing w:line="390" w:lineRule="exact"/>
        <w:ind w:firstLine="315" w:firstLineChars="150"/>
      </w:pPr>
      <w:r>
        <w:rPr>
          <w:rFonts w:hint="eastAsia"/>
        </w:rPr>
        <w:t xml:space="preserve"> ⑴更换：由乙方承担所发生的全部费用。</w:t>
      </w:r>
    </w:p>
    <w:p>
      <w:pPr>
        <w:pStyle w:val="29"/>
        <w:snapToGrid w:val="0"/>
        <w:spacing w:line="390" w:lineRule="exact"/>
        <w:ind w:firstLine="420"/>
      </w:pPr>
      <w:r>
        <w:rPr>
          <w:rFonts w:hint="eastAsia"/>
        </w:rPr>
        <w:t>⑵贬值处理：由甲乙双方合议定价。</w:t>
      </w:r>
    </w:p>
    <w:p>
      <w:pPr>
        <w:pStyle w:val="29"/>
        <w:snapToGrid w:val="0"/>
        <w:spacing w:line="390" w:lineRule="exact"/>
      </w:pPr>
      <w:r>
        <w:rPr>
          <w:rFonts w:hint="eastAsia"/>
        </w:rPr>
        <w:t>⑶退货处理：乙方应退还甲方支付的合同款，同时应承担该货物的直接费用（运输、保险、检验、货款利息及银行手续费等）。</w:t>
      </w:r>
    </w:p>
    <w:p>
      <w:pPr>
        <w:pStyle w:val="29"/>
        <w:snapToGrid w:val="0"/>
        <w:spacing w:line="390" w:lineRule="exact"/>
        <w:ind w:firstLine="420" w:firstLineChars="200"/>
      </w:pPr>
      <w:r>
        <w:rPr>
          <w:rFonts w:hint="eastAsia"/>
        </w:rPr>
        <w:t>2. 如在使用过程中发生质量问题，乙方在接到甲方通知后在</w:t>
      </w:r>
      <w:r>
        <w:rPr>
          <w:rFonts w:hint="eastAsia"/>
          <w:u w:val="single"/>
        </w:rPr>
        <w:t xml:space="preserve"> </w:t>
      </w:r>
      <w:r>
        <w:rPr>
          <w:u w:val="single"/>
        </w:rPr>
        <w:t>1</w:t>
      </w:r>
      <w:r>
        <w:rPr>
          <w:rFonts w:hint="eastAsia"/>
          <w:u w:val="single"/>
        </w:rPr>
        <w:t xml:space="preserve">  </w:t>
      </w:r>
      <w:r>
        <w:rPr>
          <w:rFonts w:hint="eastAsia"/>
        </w:rPr>
        <w:t>小时内到达甲方现场。</w:t>
      </w:r>
    </w:p>
    <w:p>
      <w:pPr>
        <w:pStyle w:val="29"/>
        <w:snapToGrid w:val="0"/>
        <w:spacing w:line="390" w:lineRule="exact"/>
        <w:ind w:firstLine="420" w:firstLineChars="200"/>
      </w:pPr>
      <w:r>
        <w:rPr>
          <w:rFonts w:hint="eastAsia"/>
        </w:rPr>
        <w:t>3. 在质保期内，乙方应对货物出现的质量及安全问题负责处理解决并承担一切费用。</w:t>
      </w:r>
    </w:p>
    <w:p>
      <w:pPr>
        <w:pStyle w:val="29"/>
        <w:snapToGrid w:val="0"/>
        <w:spacing w:line="390" w:lineRule="exact"/>
        <w:ind w:firstLine="420" w:firstLineChars="200"/>
      </w:pPr>
      <w:r>
        <w:rPr>
          <w:rFonts w:hint="eastAsia"/>
        </w:rPr>
        <w:t>4.上述的货物免费保修期为</w:t>
      </w:r>
      <w:r>
        <w:rPr>
          <w:rFonts w:hint="eastAsia"/>
          <w:u w:val="single"/>
        </w:rPr>
        <w:t xml:space="preserve">   </w:t>
      </w:r>
      <w:r>
        <w:rPr>
          <w:u w:val="single"/>
        </w:rPr>
        <w:t>3</w:t>
      </w:r>
      <w:r>
        <w:rPr>
          <w:rFonts w:hint="eastAsia"/>
          <w:u w:val="single"/>
        </w:rPr>
        <w:t xml:space="preserve">  </w:t>
      </w:r>
      <w:r>
        <w:rPr>
          <w:rFonts w:hint="eastAsia"/>
        </w:rPr>
        <w:t>年，因人为因素出现的故障不在免费保修范围内。超过保修期的机器设备，终生维修，维修时只收部件成本费。</w:t>
      </w:r>
    </w:p>
    <w:p>
      <w:pPr>
        <w:pStyle w:val="29"/>
        <w:snapToGrid w:val="0"/>
        <w:spacing w:line="390" w:lineRule="exact"/>
        <w:ind w:firstLine="413" w:firstLineChars="196"/>
        <w:rPr>
          <w:b/>
        </w:rPr>
      </w:pPr>
      <w:r>
        <w:rPr>
          <w:rFonts w:hint="eastAsia"/>
          <w:b/>
        </w:rPr>
        <w:t>第十二条  调试和验收</w:t>
      </w:r>
    </w:p>
    <w:p>
      <w:pPr>
        <w:pStyle w:val="29"/>
        <w:snapToGrid w:val="0"/>
        <w:spacing w:line="390" w:lineRule="exact"/>
        <w:ind w:firstLine="420" w:firstLineChars="200"/>
      </w:pPr>
      <w:r>
        <w:rPr>
          <w:rFonts w:hint="eastAsia"/>
        </w:rPr>
        <w:t>1. 甲方对乙方提交的货物依据招标文件上的技术规格要求和国家有关质量标准进行现场初步验收，外观、说明书符合招标文件技术要求的，给予签收，初步验收不合格的不予签收。货到后，</w:t>
      </w:r>
      <w:r>
        <w:rPr>
          <w:rFonts w:hint="eastAsia"/>
          <w:bCs/>
        </w:rPr>
        <w:t>甲方应当在到货（安装、调试完）后十个工作日内进行初步验收</w:t>
      </w:r>
      <w:r>
        <w:rPr>
          <w:rFonts w:hint="eastAsia"/>
        </w:rPr>
        <w:t>。</w:t>
      </w:r>
    </w:p>
    <w:p>
      <w:pPr>
        <w:pStyle w:val="29"/>
        <w:snapToGrid w:val="0"/>
        <w:spacing w:line="390" w:lineRule="exact"/>
        <w:ind w:firstLine="420" w:firstLineChars="200"/>
      </w:pPr>
      <w:r>
        <w:rPr>
          <w:rFonts w:hint="eastAsia"/>
        </w:rPr>
        <w:t>2. 乙方交货前应对产品作出全面检查和对验收文件进行整理，并列出清单，作为甲方收货验收和使用的技术条件依据，检验的结果应随货物交甲方。</w:t>
      </w:r>
    </w:p>
    <w:p>
      <w:pPr>
        <w:pStyle w:val="29"/>
        <w:snapToGrid w:val="0"/>
        <w:spacing w:line="390" w:lineRule="exact"/>
        <w:ind w:firstLine="420" w:firstLineChars="200"/>
      </w:pPr>
      <w:r>
        <w:rPr>
          <w:rFonts w:hint="eastAsia"/>
        </w:rPr>
        <w:t>3. 甲方对乙方提供的货物在使用前进行调试时，乙方需负责安装并培训甲方的使用操作人员，并协助甲方一起调试，直到符合技术要求，甲方才做最终验收。</w:t>
      </w:r>
    </w:p>
    <w:p>
      <w:pPr>
        <w:pStyle w:val="29"/>
        <w:snapToGrid w:val="0"/>
        <w:spacing w:line="390" w:lineRule="exact"/>
        <w:ind w:firstLine="420" w:firstLineChars="200"/>
      </w:pPr>
      <w:r>
        <w:rPr>
          <w:rFonts w:hint="eastAsia" w:hAnsi="宋体"/>
        </w:rPr>
        <w:t>4. 对技术复杂的货物，甲方应请国家认可的专业检测机构参与初步验收及最终验收，并由其出具质量检测报告，检测相关费用由</w:t>
      </w:r>
      <w:r>
        <w:rPr>
          <w:rFonts w:hint="eastAsia" w:hAnsi="宋体"/>
          <w:u w:val="single"/>
        </w:rPr>
        <w:t xml:space="preserve">乙 </w:t>
      </w:r>
      <w:r>
        <w:rPr>
          <w:rFonts w:hint="eastAsia" w:hAnsi="宋体"/>
        </w:rPr>
        <w:t>方承担。</w:t>
      </w:r>
    </w:p>
    <w:p>
      <w:pPr>
        <w:pStyle w:val="29"/>
        <w:snapToGrid w:val="0"/>
        <w:spacing w:line="390" w:lineRule="exact"/>
        <w:ind w:firstLine="420" w:firstLineChars="200"/>
      </w:pPr>
      <w:r>
        <w:rPr>
          <w:rFonts w:hint="eastAsia"/>
        </w:rPr>
        <w:t xml:space="preserve">5. </w:t>
      </w:r>
      <w:r>
        <w:rPr>
          <w:rFonts w:hint="eastAsia" w:hAnsi="宋体" w:cs="宋体"/>
        </w:rPr>
        <w:t>签订保密协议。如有需要对设备进行的保密检测，乙方必须积极配合甲方完成对设备进行的保密检测工作，确认采购设备无违规外联发射装置，确保采购设备在使用过程中不会造成信息泄露。如设备未通过保密检测，应无条件退货，并由乙方承担由此产生的所有费用。</w:t>
      </w:r>
    </w:p>
    <w:p>
      <w:pPr>
        <w:pStyle w:val="29"/>
        <w:snapToGrid w:val="0"/>
        <w:spacing w:line="390" w:lineRule="exact"/>
        <w:ind w:firstLine="420" w:firstLineChars="200"/>
      </w:pPr>
      <w:r>
        <w:rPr>
          <w:rFonts w:hint="eastAsia"/>
        </w:rPr>
        <w:t>6. 验收时乙方必须在现场，验收完毕后作出验收结果报告；验收费用由乙方负责。</w:t>
      </w:r>
    </w:p>
    <w:p>
      <w:pPr>
        <w:pStyle w:val="29"/>
        <w:snapToGrid w:val="0"/>
        <w:spacing w:line="390" w:lineRule="exact"/>
        <w:ind w:firstLine="413" w:firstLineChars="196"/>
        <w:rPr>
          <w:b/>
        </w:rPr>
      </w:pPr>
      <w:r>
        <w:rPr>
          <w:rFonts w:hint="eastAsia"/>
          <w:b/>
        </w:rPr>
        <w:t>第十三条 货物包装、发运及运输</w:t>
      </w:r>
    </w:p>
    <w:p>
      <w:pPr>
        <w:pStyle w:val="29"/>
        <w:snapToGrid w:val="0"/>
        <w:spacing w:line="390" w:lineRule="exact"/>
      </w:pPr>
      <w:r>
        <w:rPr>
          <w:rFonts w:hint="eastAsia"/>
        </w:rPr>
        <w:t xml:space="preserve">    1. 乙方应在货物发运前对其进行满足运输距离、防潮、防震、防锈和防破损装卸等要求包装，以保证货物安全运达甲方指定地点。</w:t>
      </w:r>
    </w:p>
    <w:p>
      <w:pPr>
        <w:pStyle w:val="29"/>
        <w:snapToGrid w:val="0"/>
        <w:spacing w:line="390" w:lineRule="exact"/>
      </w:pPr>
      <w:r>
        <w:rPr>
          <w:rFonts w:hint="eastAsia"/>
        </w:rPr>
        <w:t xml:space="preserve">    2. 使用说明书、质量检验证明书、随配附件和工具以及清单一并附于货物内。</w:t>
      </w:r>
    </w:p>
    <w:p>
      <w:pPr>
        <w:pStyle w:val="29"/>
        <w:snapToGrid w:val="0"/>
        <w:spacing w:line="390" w:lineRule="exact"/>
      </w:pPr>
      <w:r>
        <w:rPr>
          <w:rFonts w:hint="eastAsia"/>
        </w:rPr>
        <w:t xml:space="preserve">    3. 乙方在货物发运手续办理完毕后二十四小时内或货到甲方四十八小时前通知甲方，以准备接货。</w:t>
      </w:r>
    </w:p>
    <w:p>
      <w:pPr>
        <w:pStyle w:val="29"/>
        <w:snapToGrid w:val="0"/>
        <w:spacing w:line="390" w:lineRule="exact"/>
      </w:pPr>
      <w:r>
        <w:rPr>
          <w:rFonts w:hint="eastAsia"/>
        </w:rPr>
        <w:t xml:space="preserve">    4. 货物在交付甲方前发生的风险均由乙方负责。</w:t>
      </w:r>
    </w:p>
    <w:p>
      <w:pPr>
        <w:pStyle w:val="29"/>
        <w:snapToGrid w:val="0"/>
        <w:spacing w:line="390" w:lineRule="exact"/>
        <w:rPr>
          <w:spacing w:val="-8"/>
        </w:rPr>
      </w:pPr>
      <w:r>
        <w:rPr>
          <w:rFonts w:hint="eastAsia"/>
        </w:rPr>
        <w:t xml:space="preserve">    5. 货</w:t>
      </w:r>
      <w:r>
        <w:rPr>
          <w:rFonts w:hint="eastAsia"/>
          <w:spacing w:val="-8"/>
        </w:rPr>
        <w:t>物在规定的交付期限内由乙方送达甲方指定的地点视为交付，乙方同时需通知甲方货物已送达。</w:t>
      </w:r>
    </w:p>
    <w:p>
      <w:pPr>
        <w:snapToGrid w:val="0"/>
        <w:spacing w:line="390" w:lineRule="exact"/>
        <w:ind w:firstLine="421" w:firstLineChars="200"/>
        <w:rPr>
          <w:rFonts w:ascii="宋体"/>
          <w:b/>
          <w:szCs w:val="21"/>
        </w:rPr>
      </w:pPr>
      <w:r>
        <w:rPr>
          <w:rFonts w:hint="eastAsia" w:ascii="宋体"/>
          <w:b/>
          <w:szCs w:val="21"/>
        </w:rPr>
        <w:t>第十四条　违约责任</w:t>
      </w:r>
    </w:p>
    <w:p>
      <w:pPr>
        <w:snapToGrid w:val="0"/>
        <w:spacing w:line="390" w:lineRule="exact"/>
        <w:ind w:firstLine="525" w:firstLineChars="250"/>
        <w:rPr>
          <w:rFonts w:ascii="宋体"/>
          <w:szCs w:val="21"/>
        </w:rPr>
      </w:pPr>
      <w:r>
        <w:rPr>
          <w:rFonts w:hint="eastAsia" w:ascii="宋体"/>
          <w:szCs w:val="21"/>
        </w:rPr>
        <w:t xml:space="preserve">1．乙方所提供的货物规格、技术标准、材料等质量不合格的，应及时更换，更换不及时的按逾期交货处罚；因质量问题甲方不同意接收的或特殊情况甲方同意接收的，乙方应向甲方支付违约货款额 %违约金并赔偿甲方经济损失。                                       </w:t>
      </w:r>
    </w:p>
    <w:p>
      <w:pPr>
        <w:snapToGrid w:val="0"/>
        <w:spacing w:line="390" w:lineRule="exact"/>
        <w:ind w:firstLine="472" w:firstLineChars="225"/>
        <w:rPr>
          <w:rFonts w:ascii="宋体"/>
          <w:szCs w:val="21"/>
        </w:rPr>
      </w:pPr>
      <w:r>
        <w:rPr>
          <w:rFonts w:hint="eastAsia" w:ascii="宋体"/>
          <w:szCs w:val="21"/>
        </w:rPr>
        <w:t>2．乙方提供的货物如侵犯了第三方合法权益而引发的任何纠纷或诉讼，均由乙方负责交涉并承担全部责任。</w:t>
      </w:r>
    </w:p>
    <w:p>
      <w:pPr>
        <w:snapToGrid w:val="0"/>
        <w:spacing w:line="390" w:lineRule="exact"/>
        <w:ind w:firstLine="420" w:firstLineChars="200"/>
        <w:rPr>
          <w:rFonts w:ascii="宋体"/>
          <w:szCs w:val="21"/>
        </w:rPr>
      </w:pPr>
      <w:r>
        <w:rPr>
          <w:rFonts w:hint="eastAsia" w:ascii="宋体"/>
          <w:szCs w:val="21"/>
        </w:rPr>
        <w:t>3．因包装、运输引起的货物损坏，按质量不合格处罚。</w:t>
      </w:r>
    </w:p>
    <w:p>
      <w:pPr>
        <w:snapToGrid w:val="0"/>
        <w:spacing w:line="390" w:lineRule="exact"/>
        <w:ind w:firstLine="420" w:firstLineChars="200"/>
        <w:rPr>
          <w:rFonts w:ascii="宋体"/>
          <w:szCs w:val="21"/>
        </w:rPr>
      </w:pPr>
      <w:r>
        <w:rPr>
          <w:rFonts w:hint="eastAsia" w:ascii="宋体"/>
          <w:szCs w:val="21"/>
        </w:rPr>
        <w:t xml:space="preserve">4．乙方逾期完成安装交货的，每天向对方偿付违约货款额  ‰违约金，但违约金累计不得超过违约货款额  </w:t>
      </w:r>
      <w:r>
        <w:rPr>
          <w:rFonts w:hint="eastAsia" w:ascii="宋体"/>
          <w:szCs w:val="21"/>
          <w:u w:val="single"/>
        </w:rPr>
        <w:t>%</w:t>
      </w:r>
      <w:r>
        <w:rPr>
          <w:rFonts w:hint="eastAsia" w:ascii="宋体"/>
          <w:szCs w:val="21"/>
        </w:rPr>
        <w:t>，超过</w:t>
      </w:r>
      <w:r>
        <w:rPr>
          <w:rFonts w:hint="eastAsia" w:ascii="宋体"/>
          <w:szCs w:val="21"/>
          <w:u w:val="single"/>
        </w:rPr>
        <w:t xml:space="preserve">   </w:t>
      </w:r>
      <w:r>
        <w:rPr>
          <w:rFonts w:hint="eastAsia" w:ascii="宋体"/>
          <w:szCs w:val="21"/>
        </w:rPr>
        <w:t>天对方有权解除合同，违约方承担因此给对方造成经济损失；甲方延期付货款的，每天向乙方偿付延期货款额</w:t>
      </w:r>
      <w:r>
        <w:rPr>
          <w:rFonts w:hint="eastAsia" w:ascii="宋体"/>
          <w:szCs w:val="21"/>
          <w:u w:val="single"/>
        </w:rPr>
        <w:t xml:space="preserve">  ‰ </w:t>
      </w:r>
      <w:r>
        <w:rPr>
          <w:rFonts w:hint="eastAsia" w:ascii="宋体"/>
          <w:szCs w:val="21"/>
        </w:rPr>
        <w:t>滞纳金，但滞纳金累计不得超过延期货款额</w:t>
      </w:r>
      <w:r>
        <w:rPr>
          <w:rFonts w:hint="eastAsia" w:ascii="宋体"/>
          <w:szCs w:val="21"/>
          <w:u w:val="single"/>
        </w:rPr>
        <w:t xml:space="preserve">  %</w:t>
      </w:r>
      <w:r>
        <w:rPr>
          <w:rFonts w:hint="eastAsia" w:ascii="宋体"/>
          <w:szCs w:val="21"/>
        </w:rPr>
        <w:t>。</w:t>
      </w:r>
    </w:p>
    <w:p>
      <w:pPr>
        <w:snapToGrid w:val="0"/>
        <w:spacing w:line="390" w:lineRule="exact"/>
        <w:ind w:firstLine="420" w:firstLineChars="200"/>
        <w:rPr>
          <w:rFonts w:ascii="宋体"/>
          <w:szCs w:val="21"/>
        </w:rPr>
      </w:pPr>
      <w:r>
        <w:rPr>
          <w:rFonts w:hint="eastAsia" w:ascii="宋体"/>
          <w:szCs w:val="21"/>
        </w:rPr>
        <w:t>5．乙方未按本合同和投标文件中规定的服务承诺提供售后服务的，乙方应按本合同合计金额</w:t>
      </w:r>
      <w:r>
        <w:rPr>
          <w:rFonts w:hint="eastAsia" w:ascii="宋体"/>
          <w:szCs w:val="21"/>
          <w:u w:val="single"/>
        </w:rPr>
        <w:t xml:space="preserve">  %</w:t>
      </w:r>
      <w:r>
        <w:rPr>
          <w:rFonts w:hint="eastAsia" w:ascii="宋体"/>
          <w:szCs w:val="21"/>
        </w:rPr>
        <w:t>向甲方支付违约金。</w:t>
      </w:r>
    </w:p>
    <w:p>
      <w:pPr>
        <w:snapToGrid w:val="0"/>
        <w:spacing w:line="390" w:lineRule="exact"/>
        <w:ind w:firstLine="420" w:firstLineChars="200"/>
        <w:rPr>
          <w:rFonts w:ascii="宋体"/>
          <w:szCs w:val="21"/>
        </w:rPr>
      </w:pPr>
      <w:r>
        <w:rPr>
          <w:rFonts w:hint="eastAsia" w:ascii="宋体"/>
          <w:szCs w:val="21"/>
        </w:rPr>
        <w:t>6．乙方提供的货物在质量保证期内，因设计、工艺或材料的缺陷和其它质量原因造成的问题，由乙方负责，费用从</w:t>
      </w:r>
      <w:r>
        <w:rPr>
          <w:rFonts w:hint="eastAsia"/>
        </w:rPr>
        <w:t>履</w:t>
      </w:r>
      <w:r>
        <w:rPr>
          <w:rFonts w:hint="eastAsia" w:ascii="宋体"/>
          <w:szCs w:val="21"/>
        </w:rPr>
        <w:t>约保证金中扣除，履约保证金不足以支付的，由乙方另行支付。</w:t>
      </w:r>
    </w:p>
    <w:p>
      <w:pPr>
        <w:snapToGrid w:val="0"/>
        <w:spacing w:line="390" w:lineRule="exact"/>
        <w:ind w:firstLine="420" w:firstLineChars="200"/>
        <w:rPr>
          <w:rFonts w:ascii="宋体"/>
          <w:szCs w:val="21"/>
        </w:rPr>
      </w:pPr>
      <w:r>
        <w:rPr>
          <w:rFonts w:hint="eastAsia" w:ascii="宋体"/>
          <w:szCs w:val="21"/>
        </w:rPr>
        <w:t>7．其它违约行为按违约货款额  %收取违约金并赔偿经济损失。</w:t>
      </w:r>
    </w:p>
    <w:p>
      <w:pPr>
        <w:pStyle w:val="29"/>
        <w:snapToGrid w:val="0"/>
        <w:spacing w:line="390" w:lineRule="exact"/>
        <w:ind w:firstLine="413" w:firstLineChars="196"/>
        <w:rPr>
          <w:b/>
        </w:rPr>
      </w:pPr>
      <w:r>
        <w:rPr>
          <w:rFonts w:hint="eastAsia"/>
          <w:b/>
        </w:rPr>
        <w:t>第十五条  不可抗力事件处理</w:t>
      </w:r>
    </w:p>
    <w:p>
      <w:pPr>
        <w:pStyle w:val="29"/>
        <w:snapToGrid w:val="0"/>
        <w:spacing w:line="390" w:lineRule="exact"/>
        <w:ind w:firstLine="420" w:firstLineChars="200"/>
      </w:pPr>
      <w:r>
        <w:rPr>
          <w:rFonts w:hint="eastAsia"/>
        </w:rPr>
        <w:t>1. 在合同有效期内，任何一方因不可抗力事件导致不能履行合同，则合同履行期可延长，其延长期与不可抗力影响期相同。</w:t>
      </w:r>
    </w:p>
    <w:p>
      <w:pPr>
        <w:pStyle w:val="29"/>
        <w:snapToGrid w:val="0"/>
        <w:spacing w:line="390" w:lineRule="exact"/>
        <w:ind w:firstLine="420" w:firstLineChars="200"/>
      </w:pPr>
      <w:r>
        <w:rPr>
          <w:rFonts w:hint="eastAsia"/>
        </w:rPr>
        <w:t>2. 不可抗力事件发生后，应立即通知对方，并寄送有关权威机构出具的证明。</w:t>
      </w:r>
    </w:p>
    <w:p>
      <w:pPr>
        <w:pStyle w:val="29"/>
        <w:snapToGrid w:val="0"/>
        <w:spacing w:line="390" w:lineRule="exact"/>
        <w:ind w:firstLine="420" w:firstLineChars="200"/>
      </w:pPr>
      <w:r>
        <w:rPr>
          <w:rFonts w:hint="eastAsia"/>
        </w:rPr>
        <w:t>3. 不可抗力事件延续一百二十天以上，双方应通过友好协商，确定是否继续履行合同。</w:t>
      </w:r>
    </w:p>
    <w:p>
      <w:pPr>
        <w:snapToGrid w:val="0"/>
        <w:spacing w:line="390" w:lineRule="exact"/>
        <w:ind w:firstLine="421" w:firstLineChars="200"/>
        <w:rPr>
          <w:rFonts w:ascii="宋体"/>
          <w:szCs w:val="21"/>
        </w:rPr>
      </w:pPr>
      <w:r>
        <w:rPr>
          <w:rFonts w:hint="eastAsia" w:ascii="宋体"/>
          <w:b/>
          <w:szCs w:val="21"/>
        </w:rPr>
        <w:t>第十六条  合同争议解决</w:t>
      </w:r>
    </w:p>
    <w:p>
      <w:pPr>
        <w:snapToGrid w:val="0"/>
        <w:spacing w:line="390" w:lineRule="exact"/>
        <w:ind w:firstLine="420" w:firstLineChars="200"/>
        <w:rPr>
          <w:rFonts w:ascii="宋体"/>
          <w:szCs w:val="21"/>
        </w:rPr>
      </w:pPr>
      <w:r>
        <w:rPr>
          <w:rFonts w:hint="eastAsia" w:ascii="宋体"/>
          <w:szCs w:val="21"/>
        </w:rPr>
        <w:t>1．因货物质量问题发生争议的，应邀请国家认可的质量检测机构对货物质量进行鉴定。货物符合标准的，鉴定费由甲方承担；货物不符合标准的，鉴定费由乙方承担。</w:t>
      </w:r>
    </w:p>
    <w:p>
      <w:pPr>
        <w:snapToGrid w:val="0"/>
        <w:spacing w:line="390" w:lineRule="exact"/>
        <w:ind w:firstLine="420" w:firstLineChars="200"/>
        <w:rPr>
          <w:rFonts w:ascii="宋体"/>
          <w:szCs w:val="21"/>
        </w:rPr>
      </w:pPr>
      <w:r>
        <w:rPr>
          <w:rFonts w:hint="eastAsia" w:ascii="宋体"/>
          <w:szCs w:val="21"/>
        </w:rPr>
        <w:t>2．因履行本合同引起的或与本合同有关的争议，甲乙双方应首先通过友好协商解决，如果协商不能解决，可向甲方所在地的有管辖权人民法院提起诉讼。</w:t>
      </w:r>
    </w:p>
    <w:p>
      <w:pPr>
        <w:snapToGrid w:val="0"/>
        <w:spacing w:line="390" w:lineRule="exact"/>
        <w:ind w:firstLine="420" w:firstLineChars="200"/>
        <w:rPr>
          <w:rFonts w:ascii="宋体"/>
          <w:szCs w:val="21"/>
        </w:rPr>
      </w:pPr>
      <w:r>
        <w:rPr>
          <w:rFonts w:hint="eastAsia" w:ascii="宋体"/>
          <w:szCs w:val="21"/>
        </w:rPr>
        <w:t>3．诉讼期间，本合同继续履行。</w:t>
      </w:r>
    </w:p>
    <w:p>
      <w:pPr>
        <w:pStyle w:val="29"/>
        <w:snapToGrid w:val="0"/>
        <w:spacing w:line="390" w:lineRule="exact"/>
        <w:ind w:firstLine="413" w:firstLineChars="196"/>
        <w:rPr>
          <w:b/>
        </w:rPr>
      </w:pPr>
      <w:r>
        <w:rPr>
          <w:rFonts w:hint="eastAsia"/>
          <w:b/>
        </w:rPr>
        <w:t>第十七条  诉讼</w:t>
      </w:r>
    </w:p>
    <w:p>
      <w:pPr>
        <w:pStyle w:val="29"/>
        <w:snapToGrid w:val="0"/>
        <w:spacing w:line="390" w:lineRule="exact"/>
      </w:pPr>
      <w:r>
        <w:rPr>
          <w:rFonts w:hint="eastAsia"/>
        </w:rPr>
        <w:t xml:space="preserve">    双方在执行合同中所发生的一切争议，应通过协商解决。如果协商不能解决，可向仲裁委员会申请仲裁或向人民法院提起诉讼。</w:t>
      </w:r>
    </w:p>
    <w:p>
      <w:pPr>
        <w:pStyle w:val="29"/>
        <w:snapToGrid w:val="0"/>
        <w:spacing w:line="390" w:lineRule="exact"/>
        <w:rPr>
          <w:b/>
        </w:rPr>
      </w:pPr>
      <w:r>
        <w:rPr>
          <w:rFonts w:hint="eastAsia"/>
          <w:b/>
        </w:rPr>
        <w:t xml:space="preserve">    第十八条  合同生效及其它</w:t>
      </w:r>
    </w:p>
    <w:p>
      <w:pPr>
        <w:pStyle w:val="29"/>
        <w:snapToGrid w:val="0"/>
        <w:spacing w:line="390" w:lineRule="exact"/>
      </w:pPr>
      <w:r>
        <w:rPr>
          <w:rFonts w:hint="eastAsia"/>
          <w:b/>
        </w:rPr>
        <w:t xml:space="preserve">   </w:t>
      </w:r>
      <w:r>
        <w:rPr>
          <w:rFonts w:hint="eastAsia"/>
        </w:rPr>
        <w:t xml:space="preserve"> 1．合同经双方法定代表人或授权代表签字并加盖单位公章后生效。</w:t>
      </w:r>
    </w:p>
    <w:p>
      <w:pPr>
        <w:pStyle w:val="29"/>
        <w:snapToGrid w:val="0"/>
        <w:spacing w:line="390" w:lineRule="exact"/>
      </w:pPr>
      <w:r>
        <w:rPr>
          <w:rFonts w:hint="eastAsia"/>
        </w:rPr>
        <w:t xml:space="preserve">    2．合同执行中涉及采购资金和采购内容修改或补充的，须经财政部门审批，并签书面补充协议报财政部门备案，方可作为主合同不可分割的一部分。</w:t>
      </w:r>
    </w:p>
    <w:p>
      <w:pPr>
        <w:pStyle w:val="29"/>
        <w:snapToGrid w:val="0"/>
        <w:spacing w:line="390" w:lineRule="exact"/>
      </w:pPr>
      <w:r>
        <w:rPr>
          <w:rFonts w:hint="eastAsia"/>
        </w:rPr>
        <w:t xml:space="preserve">    3．</w:t>
      </w:r>
      <w:r>
        <w:rPr>
          <w:rFonts w:hint="eastAsia" w:hAnsi="宋体" w:cs="宋体"/>
        </w:rPr>
        <w:t>本合同未尽事宜</w:t>
      </w:r>
      <w:r>
        <w:rPr>
          <w:rFonts w:hint="eastAsia" w:hAnsi="宋体" w:cs="宋体"/>
          <w:kern w:val="1"/>
        </w:rPr>
        <w:t>（包括采购文件及投标文件）</w:t>
      </w:r>
      <w:r>
        <w:rPr>
          <w:rFonts w:hint="eastAsia"/>
        </w:rPr>
        <w:t>，遵照《中华人民共和国民法典》有关条文执行。</w:t>
      </w:r>
    </w:p>
    <w:p>
      <w:pPr>
        <w:pStyle w:val="29"/>
        <w:snapToGrid w:val="0"/>
        <w:spacing w:line="390" w:lineRule="exact"/>
        <w:rPr>
          <w:b/>
        </w:rPr>
      </w:pPr>
      <w:r>
        <w:rPr>
          <w:rFonts w:hint="eastAsia" w:hAnsi="宋体"/>
        </w:rPr>
        <w:t xml:space="preserve">    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snapToGrid w:val="0"/>
        <w:spacing w:line="390" w:lineRule="exact"/>
        <w:ind w:firstLine="421" w:firstLineChars="200"/>
        <w:rPr>
          <w:rFonts w:ascii="宋体"/>
          <w:b/>
          <w:szCs w:val="21"/>
        </w:rPr>
      </w:pPr>
      <w:r>
        <w:rPr>
          <w:rFonts w:hint="eastAsia" w:ascii="宋体"/>
          <w:b/>
          <w:szCs w:val="21"/>
        </w:rPr>
        <w:t>第十九条　合同的变更、终止与转让</w:t>
      </w:r>
    </w:p>
    <w:p>
      <w:pPr>
        <w:snapToGrid w:val="0"/>
        <w:spacing w:line="390" w:lineRule="exact"/>
        <w:ind w:firstLine="420" w:firstLineChars="200"/>
        <w:rPr>
          <w:rFonts w:ascii="宋体"/>
          <w:szCs w:val="21"/>
        </w:rPr>
      </w:pPr>
      <w:r>
        <w:rPr>
          <w:rFonts w:hint="eastAsia" w:ascii="宋体"/>
          <w:szCs w:val="21"/>
        </w:rPr>
        <w:t>1．除《中华人民共和国政府采购法》第五十条规定的情形外，本合同一经签订，甲乙双方不得擅自变更、中止或终止。</w:t>
      </w:r>
    </w:p>
    <w:p>
      <w:pPr>
        <w:pStyle w:val="29"/>
        <w:snapToGrid w:val="0"/>
        <w:spacing w:line="390" w:lineRule="exact"/>
        <w:ind w:firstLine="411" w:firstLineChars="196"/>
        <w:rPr>
          <w:b/>
        </w:rPr>
      </w:pPr>
      <w:r>
        <w:rPr>
          <w:rFonts w:hint="eastAsia"/>
        </w:rPr>
        <w:t>2．乙方不得擅自转让其应履行的合同义务。</w:t>
      </w:r>
    </w:p>
    <w:p>
      <w:pPr>
        <w:snapToGrid w:val="0"/>
        <w:spacing w:line="390" w:lineRule="exact"/>
        <w:ind w:firstLine="421" w:firstLineChars="200"/>
        <w:rPr>
          <w:rFonts w:ascii="宋体"/>
          <w:b/>
          <w:szCs w:val="21"/>
        </w:rPr>
      </w:pPr>
      <w:r>
        <w:rPr>
          <w:rFonts w:hint="eastAsia" w:ascii="宋体"/>
          <w:b/>
          <w:szCs w:val="21"/>
        </w:rPr>
        <w:t>第二十条　签订本合同依据</w:t>
      </w:r>
    </w:p>
    <w:p>
      <w:pPr>
        <w:snapToGrid w:val="0"/>
        <w:spacing w:line="390" w:lineRule="exact"/>
        <w:ind w:firstLine="420" w:firstLineChars="200"/>
        <w:rPr>
          <w:rFonts w:ascii="宋体"/>
          <w:szCs w:val="21"/>
        </w:rPr>
      </w:pPr>
      <w:r>
        <w:rPr>
          <w:rFonts w:hint="eastAsia" w:ascii="宋体"/>
          <w:szCs w:val="21"/>
        </w:rPr>
        <w:t>1．政府采购招标文件；</w:t>
      </w:r>
    </w:p>
    <w:p>
      <w:pPr>
        <w:snapToGrid w:val="0"/>
        <w:spacing w:line="390" w:lineRule="exact"/>
        <w:ind w:firstLine="420" w:firstLineChars="200"/>
        <w:rPr>
          <w:rFonts w:ascii="宋体"/>
          <w:szCs w:val="21"/>
        </w:rPr>
      </w:pPr>
      <w:r>
        <w:rPr>
          <w:rFonts w:hint="eastAsia" w:ascii="宋体"/>
          <w:szCs w:val="21"/>
        </w:rPr>
        <w:t>2．乙方提供的投标文件；</w:t>
      </w:r>
    </w:p>
    <w:p>
      <w:pPr>
        <w:snapToGrid w:val="0"/>
        <w:spacing w:line="390" w:lineRule="exact"/>
        <w:ind w:firstLine="420" w:firstLineChars="200"/>
        <w:rPr>
          <w:rFonts w:ascii="宋体"/>
          <w:szCs w:val="21"/>
        </w:rPr>
      </w:pPr>
      <w:r>
        <w:rPr>
          <w:rFonts w:hint="eastAsia" w:ascii="宋体"/>
          <w:szCs w:val="21"/>
        </w:rPr>
        <w:t>3．投标承诺书；</w:t>
      </w:r>
    </w:p>
    <w:p>
      <w:pPr>
        <w:snapToGrid w:val="0"/>
        <w:spacing w:line="390" w:lineRule="exact"/>
        <w:ind w:firstLine="420" w:firstLineChars="200"/>
        <w:rPr>
          <w:rFonts w:ascii="宋体"/>
          <w:szCs w:val="21"/>
          <w:u w:val="single"/>
        </w:rPr>
      </w:pPr>
      <w:r>
        <w:rPr>
          <w:rFonts w:hint="eastAsia" w:ascii="宋体"/>
          <w:szCs w:val="21"/>
        </w:rPr>
        <w:t>4．中标通知书。</w:t>
      </w:r>
    </w:p>
    <w:p>
      <w:pPr>
        <w:snapToGrid w:val="0"/>
        <w:spacing w:line="390" w:lineRule="exact"/>
        <w:ind w:firstLine="421" w:firstLineChars="200"/>
        <w:rPr>
          <w:rFonts w:ascii="宋体"/>
          <w:szCs w:val="21"/>
        </w:rPr>
      </w:pPr>
      <w:r>
        <w:rPr>
          <w:rFonts w:hint="eastAsia" w:ascii="宋体"/>
          <w:b/>
          <w:szCs w:val="21"/>
        </w:rPr>
        <w:t>第二十一条　</w:t>
      </w:r>
      <w:r>
        <w:rPr>
          <w:rFonts w:hint="eastAsia" w:ascii="宋体"/>
          <w:bCs/>
          <w:szCs w:val="21"/>
          <w:lang w:val="en"/>
        </w:rPr>
        <w:t>本合同一式十份，具有同等法律效力。广西壮族自治区财政厅政府采购监督管理处、代理机构各一份，甲方六份，乙方二份。自签订之日起两个工作日内，甲方应当将合同通过广西政府采购云平台上传完成合同网上公示。</w:t>
      </w:r>
    </w:p>
    <w:p>
      <w:pPr>
        <w:snapToGrid w:val="0"/>
        <w:spacing w:line="390" w:lineRule="exact"/>
        <w:ind w:firstLine="420" w:firstLineChars="200"/>
        <w:rPr>
          <w:rFonts w:ascii="宋体"/>
          <w:szCs w:val="21"/>
        </w:rPr>
      </w:pP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甲方（章）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945" w:firstLineChars="450"/>
              <w:jc w:val="right"/>
              <w:rPr>
                <w:rFonts w:ascii="宋体"/>
                <w:szCs w:val="21"/>
              </w:rPr>
            </w:pPr>
            <w:r>
              <w:rPr>
                <w:rFonts w:hint="eastAsia" w:ascii="宋体"/>
                <w:szCs w:val="21"/>
              </w:rPr>
              <w:t>年   月   日</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 xml:space="preserve">乙方（章）             </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jc w:val="right"/>
              <w:rPr>
                <w:rFonts w:ascii="宋体"/>
                <w:szCs w:val="21"/>
              </w:rPr>
            </w:pPr>
            <w:r>
              <w:rPr>
                <w:rFonts w:hint="eastAsia" w:ascii="宋体"/>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hAnsi="宋体"/>
                <w:szCs w:val="21"/>
              </w:rPr>
            </w:pPr>
            <w:r>
              <w:rPr>
                <w:rFonts w:hint="eastAsia" w:ascii="宋体" w:hAnsi="宋体"/>
                <w:szCs w:val="21"/>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开户银行：</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rPr>
                <w:rFonts w:ascii="宋体"/>
                <w:szCs w:val="21"/>
              </w:rPr>
            </w:pPr>
            <w:r>
              <w:rPr>
                <w:rFonts w:hint="eastAsia" w:ascii="宋体"/>
                <w:szCs w:val="21"/>
              </w:rPr>
              <w:t>账号：</w:t>
            </w: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rPr>
        <w:tc>
          <w:tcPr>
            <w:tcW w:w="4516"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邮政编码：</w:t>
            </w:r>
          </w:p>
          <w:p>
            <w:pPr>
              <w:pStyle w:val="6"/>
            </w:pPr>
          </w:p>
        </w:tc>
        <w:tc>
          <w:tcPr>
            <w:tcW w:w="4772"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pPr>
            <w:r>
              <w:rPr>
                <w:rFonts w:hint="eastAsia"/>
              </w:rPr>
              <w:t>邮政编码：</w:t>
            </w:r>
          </w:p>
          <w:p>
            <w:pPr>
              <w:pStyle w:val="6"/>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trPr>
        <w:tc>
          <w:tcPr>
            <w:tcW w:w="9288" w:type="dxa"/>
            <w:gridSpan w:val="2"/>
            <w:tcBorders>
              <w:top w:val="single" w:color="auto" w:sz="4" w:space="0"/>
              <w:left w:val="single" w:color="auto" w:sz="4" w:space="0"/>
              <w:bottom w:val="single" w:color="auto" w:sz="4" w:space="0"/>
              <w:right w:val="single" w:color="auto" w:sz="4" w:space="0"/>
            </w:tcBorders>
          </w:tcPr>
          <w:p>
            <w:pPr>
              <w:snapToGrid w:val="0"/>
              <w:spacing w:line="360" w:lineRule="exact"/>
              <w:rPr>
                <w:rFonts w:ascii="宋体"/>
                <w:szCs w:val="21"/>
              </w:rPr>
            </w:pPr>
            <w:r>
              <w:rPr>
                <w:rFonts w:hint="eastAsia" w:ascii="宋体"/>
                <w:szCs w:val="21"/>
              </w:rPr>
              <w:t>经办人：</w:t>
            </w: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rPr>
                <w:rFonts w:ascii="宋体"/>
                <w:szCs w:val="21"/>
              </w:rPr>
            </w:pPr>
          </w:p>
          <w:p>
            <w:pPr>
              <w:snapToGrid w:val="0"/>
              <w:spacing w:line="360" w:lineRule="exact"/>
              <w:ind w:firstLine="630" w:firstLineChars="300"/>
              <w:jc w:val="right"/>
              <w:rPr>
                <w:rFonts w:ascii="宋体"/>
                <w:szCs w:val="21"/>
              </w:rPr>
            </w:pPr>
          </w:p>
          <w:p>
            <w:pPr>
              <w:snapToGrid w:val="0"/>
              <w:spacing w:line="360" w:lineRule="exact"/>
              <w:ind w:firstLine="630" w:firstLineChars="300"/>
              <w:jc w:val="right"/>
              <w:rPr>
                <w:rFonts w:ascii="宋体"/>
                <w:szCs w:val="21"/>
              </w:rPr>
            </w:pPr>
          </w:p>
          <w:p>
            <w:pPr>
              <w:snapToGrid w:val="0"/>
              <w:spacing w:line="360" w:lineRule="exact"/>
              <w:ind w:firstLine="630" w:firstLineChars="300"/>
              <w:jc w:val="right"/>
              <w:rPr>
                <w:rFonts w:ascii="宋体"/>
                <w:szCs w:val="21"/>
              </w:rPr>
            </w:pPr>
          </w:p>
          <w:p>
            <w:pPr>
              <w:snapToGrid w:val="0"/>
              <w:spacing w:line="360" w:lineRule="exact"/>
              <w:ind w:firstLine="630" w:firstLineChars="300"/>
              <w:jc w:val="right"/>
              <w:rPr>
                <w:rFonts w:ascii="宋体"/>
                <w:szCs w:val="21"/>
              </w:rPr>
            </w:pPr>
            <w:r>
              <w:rPr>
                <w:rFonts w:hint="eastAsia" w:ascii="宋体"/>
                <w:szCs w:val="21"/>
              </w:rPr>
              <w:t>年    月    日</w:t>
            </w:r>
          </w:p>
        </w:tc>
      </w:tr>
    </w:tbl>
    <w:p>
      <w:pPr>
        <w:snapToGrid w:val="0"/>
        <w:spacing w:line="360" w:lineRule="exact"/>
        <w:jc w:val="center"/>
        <w:rPr>
          <w:rFonts w:ascii="宋体"/>
          <w:b/>
          <w:sz w:val="28"/>
          <w:szCs w:val="28"/>
        </w:rPr>
      </w:pPr>
    </w:p>
    <w:p>
      <w:pPr>
        <w:snapToGrid w:val="0"/>
        <w:spacing w:line="360" w:lineRule="exact"/>
        <w:jc w:val="center"/>
        <w:rPr>
          <w:rFonts w:ascii="宋体"/>
          <w:b/>
          <w:sz w:val="28"/>
          <w:szCs w:val="28"/>
        </w:rPr>
      </w:pPr>
      <w:r>
        <w:rPr>
          <w:rFonts w:hint="eastAsia" w:ascii="宋体"/>
          <w:b/>
          <w:sz w:val="28"/>
          <w:szCs w:val="28"/>
        </w:rPr>
        <w:t>合 同 附 件</w:t>
      </w:r>
    </w:p>
    <w:p>
      <w:pPr>
        <w:snapToGrid w:val="0"/>
        <w:spacing w:line="360" w:lineRule="exact"/>
        <w:jc w:val="center"/>
        <w:rPr>
          <w:rFonts w:ascii="宋体"/>
          <w:b/>
          <w:szCs w:val="21"/>
        </w:rPr>
      </w:pPr>
    </w:p>
    <w:tbl>
      <w:tblPr>
        <w:tblStyle w:val="52"/>
        <w:tblW w:w="0" w:type="auto"/>
        <w:tblInd w:w="0" w:type="dxa"/>
        <w:tblLayout w:type="fixed"/>
        <w:tblCellMar>
          <w:top w:w="0" w:type="dxa"/>
          <w:left w:w="108" w:type="dxa"/>
          <w:bottom w:w="0" w:type="dxa"/>
          <w:right w:w="108" w:type="dxa"/>
        </w:tblCellMar>
      </w:tblPr>
      <w:tblGrid>
        <w:gridCol w:w="4788"/>
        <w:gridCol w:w="4680"/>
      </w:tblGrid>
      <w:tr>
        <w:tblPrEx>
          <w:tblCellMar>
            <w:top w:w="0" w:type="dxa"/>
            <w:left w:w="108" w:type="dxa"/>
            <w:bottom w:w="0" w:type="dxa"/>
            <w:right w:w="108" w:type="dxa"/>
          </w:tblCellMar>
        </w:tblPrEx>
        <w:trPr>
          <w:trHeight w:val="2260"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1、供应商承诺具体事项：</w:t>
            </w:r>
          </w:p>
        </w:tc>
      </w:tr>
      <w:tr>
        <w:tblPrEx>
          <w:tblCellMar>
            <w:top w:w="0" w:type="dxa"/>
            <w:left w:w="108" w:type="dxa"/>
            <w:bottom w:w="0" w:type="dxa"/>
            <w:right w:w="108" w:type="dxa"/>
          </w:tblCellMar>
        </w:tblPrEx>
        <w:trPr>
          <w:trHeight w:val="2145"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2、售后服务具体事项：</w:t>
            </w:r>
          </w:p>
        </w:tc>
      </w:tr>
      <w:tr>
        <w:tblPrEx>
          <w:tblCellMar>
            <w:top w:w="0" w:type="dxa"/>
            <w:left w:w="108" w:type="dxa"/>
            <w:bottom w:w="0" w:type="dxa"/>
            <w:right w:w="108" w:type="dxa"/>
          </w:tblCellMar>
        </w:tblPrEx>
        <w:trPr>
          <w:trHeight w:val="2267"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3、保修期责任：</w:t>
            </w:r>
          </w:p>
        </w:tc>
      </w:tr>
      <w:tr>
        <w:tblPrEx>
          <w:tblCellMar>
            <w:top w:w="0" w:type="dxa"/>
            <w:left w:w="108" w:type="dxa"/>
            <w:bottom w:w="0" w:type="dxa"/>
            <w:right w:w="108" w:type="dxa"/>
          </w:tblCellMar>
        </w:tblPrEx>
        <w:trPr>
          <w:trHeight w:val="2062" w:hRule="atLeast"/>
        </w:trPr>
        <w:tc>
          <w:tcPr>
            <w:tcW w:w="9468" w:type="dxa"/>
            <w:gridSpan w:val="2"/>
            <w:tcBorders>
              <w:top w:val="single" w:color="auto" w:sz="4" w:space="0"/>
              <w:left w:val="single" w:color="auto" w:sz="4" w:space="0"/>
              <w:bottom w:val="nil"/>
              <w:right w:val="single" w:color="auto" w:sz="4" w:space="0"/>
            </w:tcBorders>
          </w:tcPr>
          <w:p>
            <w:pPr>
              <w:snapToGrid w:val="0"/>
              <w:spacing w:line="360" w:lineRule="exact"/>
              <w:rPr>
                <w:rFonts w:ascii="宋体"/>
                <w:b/>
                <w:szCs w:val="21"/>
              </w:rPr>
            </w:pPr>
            <w:r>
              <w:rPr>
                <w:rFonts w:hint="eastAsia" w:ascii="宋体"/>
                <w:b/>
                <w:szCs w:val="21"/>
              </w:rPr>
              <w:t>4、其他具体事项：</w:t>
            </w:r>
          </w:p>
        </w:tc>
      </w:tr>
      <w:tr>
        <w:tblPrEx>
          <w:tblCellMar>
            <w:top w:w="0" w:type="dxa"/>
            <w:left w:w="108" w:type="dxa"/>
            <w:bottom w:w="0" w:type="dxa"/>
            <w:right w:w="108" w:type="dxa"/>
          </w:tblCellMar>
        </w:tblPrEx>
        <w:trPr>
          <w:trHeight w:val="3267" w:hRule="atLeast"/>
        </w:trPr>
        <w:tc>
          <w:tcPr>
            <w:tcW w:w="478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1" w:firstLineChars="200"/>
              <w:rPr>
                <w:rFonts w:ascii="宋体"/>
                <w:b/>
                <w:szCs w:val="21"/>
              </w:rPr>
            </w:pPr>
            <w:r>
              <w:rPr>
                <w:rFonts w:hint="eastAsia" w:ascii="宋体"/>
                <w:b/>
                <w:szCs w:val="21"/>
              </w:rPr>
              <w:t>甲方（章）</w:t>
            </w: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r>
              <w:rPr>
                <w:rFonts w:hint="eastAsia" w:ascii="宋体"/>
                <w:b/>
                <w:szCs w:val="21"/>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1" w:firstLineChars="200"/>
              <w:rPr>
                <w:rFonts w:ascii="宋体"/>
                <w:b/>
                <w:szCs w:val="21"/>
              </w:rPr>
            </w:pPr>
            <w:r>
              <w:rPr>
                <w:rFonts w:hint="eastAsia" w:ascii="宋体"/>
                <w:b/>
                <w:szCs w:val="21"/>
              </w:rPr>
              <w:t>乙方（章）</w:t>
            </w: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p>
          <w:p>
            <w:pPr>
              <w:snapToGrid w:val="0"/>
              <w:spacing w:line="360" w:lineRule="exact"/>
              <w:ind w:firstLine="421" w:firstLineChars="200"/>
              <w:rPr>
                <w:rFonts w:ascii="宋体"/>
                <w:b/>
                <w:szCs w:val="21"/>
              </w:rPr>
            </w:pPr>
            <w:r>
              <w:rPr>
                <w:rFonts w:hint="eastAsia" w:ascii="宋体"/>
                <w:b/>
                <w:szCs w:val="21"/>
              </w:rPr>
              <w:t xml:space="preserve">                       年   月   日</w:t>
            </w:r>
          </w:p>
        </w:tc>
      </w:tr>
    </w:tbl>
    <w:p>
      <w:pPr>
        <w:snapToGrid w:val="0"/>
        <w:spacing w:line="360" w:lineRule="exact"/>
        <w:rPr>
          <w:rFonts w:ascii="宋体"/>
          <w:szCs w:val="21"/>
        </w:rPr>
      </w:pPr>
      <w:r>
        <w:rPr>
          <w:rFonts w:hint="eastAsia" w:ascii="宋体"/>
          <w:szCs w:val="21"/>
        </w:rPr>
        <w:t xml:space="preserve">  注：售后服务事项填不下时可另加附页</w:t>
      </w:r>
    </w:p>
    <w:p>
      <w:pPr>
        <w:pStyle w:val="29"/>
        <w:snapToGrid w:val="0"/>
        <w:spacing w:before="120" w:after="120"/>
        <w:jc w:val="center"/>
        <w:outlineLvl w:val="0"/>
        <w:rPr>
          <w:rFonts w:ascii="黑体" w:eastAsia="黑体"/>
          <w:b/>
          <w:sz w:val="44"/>
          <w:szCs w:val="44"/>
        </w:rPr>
      </w:pPr>
      <w:r>
        <w:rPr>
          <w:rFonts w:ascii="黑体" w:eastAsia="黑体"/>
          <w:b/>
          <w:sz w:val="44"/>
          <w:szCs w:val="44"/>
        </w:rPr>
        <w:br w:type="page"/>
      </w: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p>
    <w:p>
      <w:pPr>
        <w:pStyle w:val="29"/>
        <w:snapToGrid w:val="0"/>
        <w:spacing w:before="120" w:after="120"/>
        <w:jc w:val="center"/>
        <w:outlineLvl w:val="0"/>
        <w:rPr>
          <w:rFonts w:ascii="黑体" w:eastAsia="黑体"/>
          <w:b/>
          <w:sz w:val="44"/>
          <w:szCs w:val="44"/>
        </w:rPr>
      </w:pPr>
      <w:r>
        <w:rPr>
          <w:rFonts w:hint="eastAsia" w:ascii="仿宋_GB2312" w:eastAsia="仿宋_GB2312"/>
          <w:b/>
          <w:sz w:val="44"/>
          <w:szCs w:val="44"/>
        </w:rPr>
        <w:t>第六章　投标文件格式</w:t>
      </w:r>
    </w:p>
    <w:p>
      <w:pPr>
        <w:snapToGrid w:val="0"/>
        <w:spacing w:before="50" w:after="50"/>
        <w:outlineLvl w:val="1"/>
        <w:rPr>
          <w:rFonts w:ascii="仿宋_GB2312" w:eastAsia="仿宋_GB2312"/>
          <w:sz w:val="32"/>
          <w:szCs w:val="20"/>
        </w:rPr>
      </w:pPr>
      <w:r>
        <w:rPr>
          <w:rFonts w:ascii="仿宋_GB2312" w:eastAsia="仿宋_GB2312"/>
          <w:sz w:val="32"/>
          <w:szCs w:val="20"/>
        </w:rPr>
        <w:br w:type="page"/>
      </w:r>
      <w:bookmarkStart w:id="11" w:name="_Toc254970697"/>
      <w:bookmarkStart w:id="12" w:name="_Toc254970556"/>
    </w:p>
    <w:p>
      <w:pPr>
        <w:snapToGrid w:val="0"/>
        <w:spacing w:before="50" w:after="50"/>
        <w:outlineLvl w:val="1"/>
        <w:rPr>
          <w:rFonts w:ascii="仿宋_GB2312" w:eastAsia="仿宋_GB2312"/>
          <w:sz w:val="32"/>
          <w:szCs w:val="20"/>
        </w:rPr>
      </w:pPr>
    </w:p>
    <w:p>
      <w:pPr>
        <w:snapToGrid w:val="0"/>
        <w:spacing w:before="50" w:after="50"/>
        <w:outlineLvl w:val="1"/>
        <w:rPr>
          <w:rFonts w:ascii="宋体"/>
          <w:b/>
          <w:bCs/>
          <w:szCs w:val="21"/>
        </w:rPr>
      </w:pPr>
    </w:p>
    <w:bookmarkEnd w:id="11"/>
    <w:bookmarkEnd w:id="12"/>
    <w:p>
      <w:pPr>
        <w:snapToGrid w:val="0"/>
        <w:spacing w:before="156" w:beforeLines="50" w:after="50" w:line="360" w:lineRule="exact"/>
        <w:jc w:val="center"/>
        <w:outlineLvl w:val="1"/>
        <w:rPr>
          <w:rFonts w:ascii="仿宋_GB2312" w:hAnsi="宋体" w:eastAsia="仿宋_GB2312"/>
          <w:b/>
          <w:bCs/>
          <w:sz w:val="32"/>
          <w:szCs w:val="32"/>
        </w:rPr>
      </w:pPr>
      <w:r>
        <w:rPr>
          <w:rFonts w:hint="eastAsia" w:ascii="仿宋_GB2312" w:hAnsi="宋体" w:eastAsia="仿宋_GB2312"/>
          <w:b/>
          <w:sz w:val="32"/>
          <w:szCs w:val="32"/>
        </w:rPr>
        <w:t>投标文件格式</w:t>
      </w:r>
    </w:p>
    <w:p>
      <w:pPr>
        <w:snapToGrid w:val="0"/>
        <w:spacing w:before="156" w:beforeLines="50" w:after="50" w:line="360" w:lineRule="exact"/>
        <w:jc w:val="center"/>
        <w:outlineLvl w:val="0"/>
        <w:rPr>
          <w:rFonts w:ascii="宋体" w:hAnsi="宋体"/>
          <w:b/>
          <w:bCs/>
          <w:szCs w:val="21"/>
        </w:rPr>
      </w:pPr>
      <w:r>
        <w:rPr>
          <w:rFonts w:hint="eastAsia" w:ascii="宋体" w:hAnsi="宋体"/>
          <w:b/>
          <w:bCs/>
          <w:szCs w:val="21"/>
        </w:rPr>
        <w:t>一、</w:t>
      </w:r>
      <w:r>
        <w:rPr>
          <w:rFonts w:hint="eastAsia" w:ascii="宋体" w:hAnsi="宋体"/>
          <w:b/>
          <w:szCs w:val="21"/>
        </w:rPr>
        <w:t>投标文件封面</w:t>
      </w:r>
      <w:r>
        <w:rPr>
          <w:rFonts w:hint="eastAsia" w:ascii="宋体" w:hAnsi="宋体"/>
          <w:b/>
          <w:bCs/>
          <w:szCs w:val="21"/>
        </w:rPr>
        <w:t>格式</w:t>
      </w: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仿宋_GB2312" w:hAnsi="宋体" w:eastAsia="仿宋_GB2312"/>
          <w:sz w:val="24"/>
        </w:rPr>
      </w:pPr>
    </w:p>
    <w:p>
      <w:pPr>
        <w:snapToGrid w:val="0"/>
        <w:spacing w:before="156" w:beforeLines="50" w:after="50" w:line="360" w:lineRule="exact"/>
        <w:rPr>
          <w:rFonts w:ascii="仿宋_GB2312" w:hAnsi="宋体" w:eastAsia="仿宋_GB2312"/>
          <w:bCs/>
          <w:sz w:val="24"/>
        </w:rPr>
      </w:pPr>
      <w:r>
        <w:rPr>
          <w:rFonts w:hint="eastAsia" w:ascii="仿宋_GB2312" w:hAnsi="宋体" w:eastAsia="仿宋_GB2312"/>
          <w:sz w:val="24"/>
        </w:rPr>
        <w:t xml:space="preserve">                                                   </w:t>
      </w:r>
    </w:p>
    <w:p>
      <w:pPr>
        <w:snapToGrid w:val="0"/>
        <w:spacing w:before="156" w:beforeLines="50" w:after="50" w:line="360" w:lineRule="exact"/>
        <w:jc w:val="center"/>
        <w:rPr>
          <w:rFonts w:ascii="宋体" w:hAnsi="宋体"/>
          <w:b/>
          <w:bCs/>
          <w:sz w:val="32"/>
          <w:szCs w:val="32"/>
        </w:rPr>
      </w:pPr>
      <w:r>
        <w:rPr>
          <w:rFonts w:hint="eastAsia" w:ascii="宋体" w:hAnsi="宋体"/>
          <w:b/>
          <w:bCs/>
          <w:sz w:val="32"/>
          <w:szCs w:val="32"/>
        </w:rPr>
        <w:t>投标文件</w:t>
      </w:r>
    </w:p>
    <w:p>
      <w:pPr>
        <w:snapToGrid w:val="0"/>
        <w:spacing w:before="156" w:beforeLines="50" w:after="50" w:line="360" w:lineRule="exact"/>
        <w:rPr>
          <w:rFonts w:ascii="仿宋_GB2312" w:hAnsi="宋体" w:eastAsia="仿宋_GB2312"/>
          <w:bCs/>
          <w:sz w:val="24"/>
        </w:rPr>
      </w:pP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项目名称：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 xml:space="preserve">项目编号：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所投分标：分标</w:t>
      </w:r>
      <w:r>
        <w:rPr>
          <w:rFonts w:hint="eastAsia" w:ascii="宋体" w:hAnsi="宋体"/>
          <w:bCs/>
          <w:szCs w:val="21"/>
          <w:u w:val="single"/>
        </w:rPr>
        <w:t xml:space="preserve">       </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投标人名称：（盖章）</w:t>
      </w:r>
    </w:p>
    <w:p>
      <w:pPr>
        <w:snapToGrid w:val="0"/>
        <w:spacing w:before="156" w:beforeLines="50" w:after="50" w:line="360" w:lineRule="exact"/>
        <w:ind w:firstLine="630" w:firstLineChars="300"/>
        <w:rPr>
          <w:rFonts w:ascii="宋体" w:hAnsi="宋体"/>
          <w:bCs/>
          <w:szCs w:val="21"/>
        </w:rPr>
      </w:pPr>
      <w:r>
        <w:rPr>
          <w:rFonts w:hint="eastAsia" w:ascii="宋体" w:hAnsi="宋体"/>
          <w:bCs/>
          <w:szCs w:val="21"/>
        </w:rPr>
        <w:t>投标人地址：</w:t>
      </w:r>
    </w:p>
    <w:p>
      <w:pPr>
        <w:snapToGrid w:val="0"/>
        <w:spacing w:before="156" w:beforeLines="50" w:after="50" w:line="360" w:lineRule="exact"/>
        <w:jc w:val="center"/>
        <w:outlineLvl w:val="1"/>
        <w:rPr>
          <w:rFonts w:ascii="宋体" w:hAnsi="宋体"/>
          <w:szCs w:val="21"/>
        </w:rPr>
      </w:pPr>
      <w:r>
        <w:rPr>
          <w:rFonts w:hint="eastAsia" w:ascii="仿宋_GB2312" w:hAnsi="宋体" w:eastAsia="仿宋_GB2312"/>
          <w:sz w:val="24"/>
        </w:rPr>
        <w:t xml:space="preserve">                        年  月  日</w:t>
      </w:r>
    </w:p>
    <w:p>
      <w:pPr>
        <w:snapToGrid w:val="0"/>
        <w:spacing w:before="156" w:beforeLines="50" w:after="50" w:line="360" w:lineRule="exact"/>
        <w:jc w:val="center"/>
        <w:outlineLvl w:val="1"/>
        <w:rPr>
          <w:rFonts w:ascii="宋体" w:hAnsi="宋体"/>
          <w:bCs/>
          <w:szCs w:val="21"/>
        </w:rPr>
      </w:pPr>
      <w:bookmarkStart w:id="13" w:name="_Toc254970698"/>
      <w:bookmarkStart w:id="14" w:name="_Toc254970557"/>
    </w:p>
    <w:p>
      <w:pPr>
        <w:snapToGrid w:val="0"/>
        <w:spacing w:before="156" w:beforeLines="50" w:after="50" w:line="360" w:lineRule="exact"/>
        <w:outlineLvl w:val="1"/>
        <w:rPr>
          <w:rFonts w:ascii="黑体" w:hAnsi="宋体" w:eastAsia="黑体"/>
          <w:bCs/>
          <w:sz w:val="24"/>
        </w:rPr>
      </w:pPr>
      <w:r>
        <w:rPr>
          <w:rFonts w:hint="eastAsia" w:ascii="宋体" w:hAnsi="宋体"/>
          <w:bCs/>
          <w:szCs w:val="21"/>
        </w:rPr>
        <w:t xml:space="preserve">     [注：</w:t>
      </w:r>
      <w:r>
        <w:rPr>
          <w:rFonts w:hint="eastAsia" w:ascii="宋体"/>
          <w:szCs w:val="21"/>
        </w:rPr>
        <w:t>投标文件由</w:t>
      </w:r>
      <w:r>
        <w:rPr>
          <w:rFonts w:hint="eastAsia" w:ascii="宋体"/>
          <w:b/>
          <w:bCs/>
          <w:szCs w:val="21"/>
        </w:rPr>
        <w:t>资格文件、资信及商务文件、技术文件、投标报价文件</w:t>
      </w:r>
      <w:r>
        <w:rPr>
          <w:rFonts w:hint="eastAsia" w:ascii="宋体"/>
          <w:b/>
          <w:szCs w:val="21"/>
        </w:rPr>
        <w:t>四部份</w:t>
      </w:r>
      <w:r>
        <w:rPr>
          <w:rFonts w:hint="eastAsia" w:ascii="宋体"/>
          <w:szCs w:val="21"/>
        </w:rPr>
        <w:t>组成</w:t>
      </w:r>
      <w:r>
        <w:rPr>
          <w:rFonts w:hint="eastAsia" w:ascii="宋体" w:hAnsi="宋体"/>
          <w:bCs/>
          <w:szCs w:val="21"/>
        </w:rPr>
        <w:t>]</w:t>
      </w: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p>
    <w:p>
      <w:pPr>
        <w:pStyle w:val="2"/>
        <w:ind w:firstLine="320"/>
        <w:rPr>
          <w:rFonts w:ascii="黑体" w:hAnsi="宋体" w:eastAsia="黑体"/>
          <w:bCs/>
          <w:sz w:val="32"/>
          <w:szCs w:val="32"/>
        </w:rPr>
      </w:pPr>
    </w:p>
    <w:p>
      <w:pPr>
        <w:pStyle w:val="2"/>
        <w:ind w:firstLine="320"/>
        <w:rPr>
          <w:rFonts w:ascii="黑体" w:hAnsi="宋体" w:eastAsia="黑体"/>
          <w:bCs/>
          <w:sz w:val="32"/>
          <w:szCs w:val="32"/>
        </w:rPr>
      </w:pPr>
    </w:p>
    <w:p>
      <w:pPr>
        <w:snapToGrid w:val="0"/>
        <w:spacing w:before="156" w:beforeLines="50" w:after="50" w:line="360" w:lineRule="exact"/>
        <w:jc w:val="center"/>
        <w:outlineLvl w:val="0"/>
        <w:rPr>
          <w:rFonts w:ascii="黑体" w:hAnsi="宋体" w:eastAsia="黑体"/>
          <w:bCs/>
          <w:sz w:val="32"/>
          <w:szCs w:val="32"/>
        </w:rPr>
      </w:pPr>
      <w:r>
        <w:rPr>
          <w:rFonts w:hint="eastAsia" w:ascii="黑体" w:hAnsi="宋体" w:eastAsia="黑体"/>
          <w:bCs/>
          <w:sz w:val="32"/>
          <w:szCs w:val="32"/>
        </w:rPr>
        <w:t>二、投标文件目录</w:t>
      </w:r>
    </w:p>
    <w:p>
      <w:pPr>
        <w:snapToGrid w:val="0"/>
        <w:spacing w:before="156" w:beforeLines="50" w:after="50" w:line="360" w:lineRule="exact"/>
        <w:jc w:val="center"/>
        <w:outlineLvl w:val="1"/>
        <w:rPr>
          <w:rFonts w:ascii="宋体" w:hAnsi="宋体"/>
          <w:bCs/>
          <w:szCs w:val="21"/>
        </w:rPr>
      </w:pP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1.资格文件：</w:t>
      </w:r>
    </w:p>
    <w:p>
      <w:pPr>
        <w:snapToGrid w:val="0"/>
        <w:spacing w:line="360" w:lineRule="exact"/>
        <w:ind w:firstLine="413"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有效的营业执照等证明文件复印件；</w:t>
      </w:r>
    </w:p>
    <w:p>
      <w:pPr>
        <w:pStyle w:val="29"/>
        <w:adjustRightInd w:val="0"/>
        <w:snapToGrid w:val="0"/>
        <w:spacing w:line="400" w:lineRule="exact"/>
        <w:ind w:firstLine="424" w:firstLineChars="202"/>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snapToGrid w:val="0"/>
        <w:spacing w:line="360" w:lineRule="exact"/>
        <w:ind w:firstLine="424" w:firstLineChars="202"/>
        <w:jc w:val="left"/>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3"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“中国政府采购网”的查询方法：点击“政府采购严重违法失信行为记录名单”进行查询。截止时间为本项目投标截止时间前10日至投标截止时间中任意一天。</w:t>
      </w:r>
    </w:p>
    <w:p>
      <w:pPr>
        <w:snapToGrid w:val="0"/>
        <w:spacing w:line="360" w:lineRule="exact"/>
        <w:ind w:firstLine="411" w:firstLineChars="196"/>
        <w:jc w:val="left"/>
        <w:rPr>
          <w:rFonts w:hAnsi="宋体"/>
          <w:b/>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2.资信及商务文件：</w:t>
      </w:r>
    </w:p>
    <w:p>
      <w:pPr>
        <w:snapToGrid w:val="0"/>
        <w:spacing w:line="360" w:lineRule="exact"/>
        <w:ind w:firstLine="413" w:firstLineChars="196"/>
        <w:jc w:val="left"/>
        <w:rPr>
          <w:rFonts w:ascii="宋体" w:hAnsi="宋体"/>
          <w:szCs w:val="21"/>
        </w:rPr>
      </w:pPr>
      <w:r>
        <w:rPr>
          <w:rFonts w:hint="eastAsia" w:ascii="宋体" w:hAnsi="宋体"/>
          <w:b/>
          <w:szCs w:val="21"/>
        </w:rPr>
        <w:t>（1）投标保证金的相关证明扫描件或其他电子文件（</w:t>
      </w:r>
      <w:r>
        <w:rPr>
          <w:rFonts w:hint="eastAsia" w:ascii="宋体" w:hAnsi="宋体"/>
          <w:b/>
          <w:szCs w:val="21"/>
          <w:u w:val="single"/>
        </w:rPr>
        <w:t>必须提供</w:t>
      </w:r>
      <w:r>
        <w:rPr>
          <w:rFonts w:hint="eastAsia" w:ascii="宋体" w:hAnsi="宋体"/>
          <w:b/>
          <w:szCs w:val="21"/>
        </w:rPr>
        <w:t>）</w:t>
      </w:r>
      <w:r>
        <w:rPr>
          <w:rFonts w:hint="eastAsia" w:ascii="宋体" w:hAnsi="宋体"/>
          <w:szCs w:val="21"/>
        </w:rPr>
        <w:t>；</w:t>
      </w:r>
    </w:p>
    <w:p>
      <w:pPr>
        <w:snapToGrid w:val="0"/>
        <w:spacing w:line="360" w:lineRule="exact"/>
        <w:ind w:firstLine="413" w:firstLineChars="196"/>
        <w:jc w:val="left"/>
        <w:rPr>
          <w:rFonts w:ascii="宋体" w:hAnsi="宋体"/>
          <w:szCs w:val="21"/>
        </w:rPr>
      </w:pPr>
      <w:r>
        <w:rPr>
          <w:rFonts w:hint="eastAsia" w:ascii="宋体" w:hAnsi="宋体"/>
          <w:b/>
          <w:szCs w:val="21"/>
        </w:rPr>
        <w:t>（2）投标声明书 (格式见第六章)（必须提供）</w:t>
      </w:r>
      <w:r>
        <w:rPr>
          <w:rFonts w:hint="eastAsia" w:ascii="宋体" w:hAnsi="宋体"/>
          <w:szCs w:val="21"/>
        </w:rPr>
        <w:t>；</w:t>
      </w:r>
    </w:p>
    <w:p>
      <w:pPr>
        <w:snapToGrid w:val="0"/>
        <w:spacing w:line="360" w:lineRule="exact"/>
        <w:ind w:firstLine="413" w:firstLineChars="196"/>
        <w:jc w:val="left"/>
        <w:rPr>
          <w:rFonts w:ascii="宋体" w:hAnsi="宋体"/>
          <w:szCs w:val="21"/>
        </w:rPr>
      </w:pPr>
      <w:r>
        <w:rPr>
          <w:rFonts w:hint="eastAsia" w:ascii="宋体" w:hAnsi="宋体"/>
          <w:b/>
          <w:szCs w:val="21"/>
        </w:rPr>
        <w:t>（3）法定代表人授权委托书和委托代理人身份证扫描件或其他电子文件（格式见第六章)（必须提供）</w:t>
      </w:r>
      <w:r>
        <w:rPr>
          <w:rFonts w:hint="eastAsia" w:ascii="宋体" w:hAnsi="宋体"/>
          <w:szCs w:val="21"/>
        </w:rPr>
        <w:t>；（格式见第六章)；</w:t>
      </w:r>
      <w:r>
        <w:rPr>
          <w:rFonts w:hint="eastAsia" w:ascii="宋体" w:hAnsi="宋体"/>
          <w:b/>
          <w:szCs w:val="21"/>
        </w:rPr>
        <w:t>当法定代表人参加投标时，必须提供法定代表人身份证扫描件或其他电子文件</w:t>
      </w:r>
      <w:r>
        <w:rPr>
          <w:rFonts w:hint="eastAsia" w:ascii="宋体" w:hAnsi="宋体"/>
          <w:szCs w:val="21"/>
        </w:rPr>
        <w:t>；</w:t>
      </w:r>
    </w:p>
    <w:p>
      <w:pPr>
        <w:snapToGrid w:val="0"/>
        <w:spacing w:line="360" w:lineRule="exact"/>
        <w:ind w:firstLine="413" w:firstLineChars="196"/>
        <w:jc w:val="left"/>
        <w:rPr>
          <w:rFonts w:ascii="宋体" w:hAnsi="宋体"/>
          <w:b/>
          <w:szCs w:val="21"/>
        </w:rPr>
      </w:pPr>
      <w:r>
        <w:rPr>
          <w:rFonts w:hint="eastAsia" w:ascii="宋体" w:hAnsi="宋体"/>
          <w:b/>
          <w:szCs w:val="21"/>
        </w:rPr>
        <w:t>（4）投标截止之日前半年内投标人连续三个月的依法缴纳税费或依法免缴税费的证明（复印件，格式自拟）（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无纳税记录的，应提供由投标人所在地主管国税或地税部门出具的《依法纳税或依法免税证明》（格式自拟，复印件，原件备查）。</w:t>
      </w:r>
    </w:p>
    <w:p>
      <w:pPr>
        <w:snapToGrid w:val="0"/>
        <w:spacing w:line="360" w:lineRule="exact"/>
        <w:ind w:firstLine="413" w:firstLineChars="196"/>
        <w:jc w:val="left"/>
        <w:rPr>
          <w:rFonts w:ascii="宋体" w:hAnsi="宋体"/>
          <w:b/>
          <w:szCs w:val="21"/>
        </w:rPr>
      </w:pPr>
      <w:r>
        <w:rPr>
          <w:rFonts w:hint="eastAsia" w:ascii="宋体" w:hAnsi="宋体"/>
          <w:b/>
          <w:szCs w:val="21"/>
        </w:rPr>
        <w:t>（5）投标截止之日前半年内投标人连续三个月的依法缴纳社保费的缴费凭证</w:t>
      </w:r>
      <w:r>
        <w:rPr>
          <w:rFonts w:hint="eastAsia" w:ascii="宋体" w:hAnsi="宋体"/>
          <w:szCs w:val="21"/>
        </w:rPr>
        <w:t>（</w:t>
      </w:r>
      <w:r>
        <w:rPr>
          <w:rFonts w:hint="eastAsia" w:ascii="宋体" w:hAnsi="宋体"/>
          <w:b/>
          <w:szCs w:val="21"/>
        </w:rPr>
        <w:t>扫描件或其他电子文件，格式自拟）（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无缴费记录的，应提供由投标人所在地社保部门出具的《依法缴纳或依法免缴社保费证明》（格式自拟，</w:t>
      </w:r>
      <w:r>
        <w:rPr>
          <w:rFonts w:hint="eastAsia" w:ascii="宋体" w:hAnsi="宋体"/>
          <w:b/>
          <w:szCs w:val="21"/>
        </w:rPr>
        <w:t>扫描件或其他电子文件</w:t>
      </w:r>
      <w:r>
        <w:rPr>
          <w:rFonts w:hint="eastAsia" w:ascii="宋体" w:hAnsi="宋体"/>
          <w:szCs w:val="21"/>
        </w:rPr>
        <w:t>）。</w:t>
      </w:r>
    </w:p>
    <w:p>
      <w:pPr>
        <w:snapToGrid w:val="0"/>
        <w:spacing w:line="360" w:lineRule="exact"/>
        <w:ind w:firstLine="421" w:firstLineChars="200"/>
        <w:jc w:val="left"/>
        <w:rPr>
          <w:rFonts w:hAnsi="宋体"/>
          <w:b/>
          <w:szCs w:val="21"/>
        </w:rPr>
      </w:pPr>
      <w:r>
        <w:rPr>
          <w:rFonts w:hint="eastAsia" w:hAnsi="宋体"/>
          <w:b/>
          <w:szCs w:val="21"/>
        </w:rPr>
        <w:t>（6）财务状况报告（</w:t>
      </w:r>
      <w:r>
        <w:rPr>
          <w:rFonts w:hint="eastAsia" w:hAnsi="宋体"/>
          <w:b/>
          <w:szCs w:val="21"/>
          <w:u w:val="single"/>
        </w:rPr>
        <w:t>格式自拟，必须提供</w:t>
      </w:r>
      <w:r>
        <w:rPr>
          <w:rFonts w:hint="eastAsia" w:hAnsi="宋体"/>
          <w:b/>
          <w:szCs w:val="21"/>
        </w:rPr>
        <w:t>）；</w:t>
      </w:r>
    </w:p>
    <w:p>
      <w:pPr>
        <w:snapToGrid w:val="0"/>
        <w:spacing w:line="360" w:lineRule="exact"/>
        <w:ind w:firstLine="413" w:firstLineChars="196"/>
        <w:jc w:val="left"/>
        <w:rPr>
          <w:rFonts w:hAnsi="宋体"/>
          <w:szCs w:val="21"/>
        </w:rPr>
      </w:pPr>
      <w:r>
        <w:rPr>
          <w:rFonts w:hint="eastAsia" w:hAnsi="宋体" w:cs="宋体"/>
          <w:b/>
          <w:kern w:val="0"/>
          <w:szCs w:val="21"/>
        </w:rPr>
        <w:t>（7）</w:t>
      </w:r>
      <w:r>
        <w:rPr>
          <w:rFonts w:hint="eastAsia" w:hAnsi="宋体"/>
          <w:b/>
          <w:szCs w:val="21"/>
        </w:rPr>
        <w:t>具备履行合同所必需的设备和专业技术能力的证明材料（</w:t>
      </w:r>
      <w:r>
        <w:rPr>
          <w:rFonts w:hint="eastAsia" w:hAnsi="宋体"/>
          <w:b/>
          <w:szCs w:val="21"/>
          <w:u w:val="single"/>
        </w:rPr>
        <w:t>内容、格式自拟，必须提供</w:t>
      </w:r>
      <w:r>
        <w:rPr>
          <w:rFonts w:hint="eastAsia" w:hAnsi="宋体"/>
          <w:b/>
          <w:szCs w:val="21"/>
        </w:rPr>
        <w:t>）</w:t>
      </w:r>
      <w:r>
        <w:rPr>
          <w:rFonts w:hint="eastAsia" w:hAnsi="宋体" w:cs="宋体"/>
          <w:b/>
          <w:kern w:val="0"/>
          <w:szCs w:val="21"/>
        </w:rPr>
        <w:t>；</w:t>
      </w:r>
    </w:p>
    <w:p>
      <w:pPr>
        <w:snapToGrid w:val="0"/>
        <w:spacing w:line="360" w:lineRule="exact"/>
        <w:ind w:firstLine="413" w:firstLineChars="196"/>
        <w:jc w:val="left"/>
        <w:rPr>
          <w:rFonts w:hAnsi="宋体"/>
          <w:b/>
          <w:szCs w:val="21"/>
        </w:rPr>
      </w:pPr>
      <w:r>
        <w:rPr>
          <w:rFonts w:hint="eastAsia" w:hAnsi="宋体"/>
          <w:b/>
          <w:szCs w:val="21"/>
        </w:rPr>
        <w:t>（8）商务响应表</w:t>
      </w:r>
      <w:r>
        <w:rPr>
          <w:rFonts w:hint="eastAsia" w:hAnsi="宋体"/>
          <w:szCs w:val="21"/>
        </w:rPr>
        <w:t>（格式见第六章）</w:t>
      </w:r>
      <w:r>
        <w:rPr>
          <w:rFonts w:hint="eastAsia" w:hAnsi="宋体"/>
          <w:b/>
          <w:szCs w:val="21"/>
        </w:rPr>
        <w:t>（</w:t>
      </w:r>
      <w:r>
        <w:rPr>
          <w:rFonts w:hint="eastAsia" w:hAnsi="宋体"/>
          <w:b/>
          <w:szCs w:val="21"/>
          <w:u w:val="single"/>
        </w:rPr>
        <w:t>必须提供</w:t>
      </w:r>
      <w:r>
        <w:rPr>
          <w:rFonts w:hint="eastAsia" w:hAnsi="宋体"/>
          <w:b/>
          <w:szCs w:val="21"/>
        </w:rPr>
        <w:t>）；</w:t>
      </w:r>
    </w:p>
    <w:p>
      <w:pPr>
        <w:snapToGrid w:val="0"/>
        <w:spacing w:line="360" w:lineRule="exact"/>
        <w:ind w:firstLine="411" w:firstLineChars="196"/>
        <w:jc w:val="left"/>
        <w:rPr>
          <w:rFonts w:hAnsi="宋体"/>
          <w:b/>
          <w:szCs w:val="21"/>
        </w:rPr>
      </w:pPr>
      <w:r>
        <w:rPr>
          <w:rFonts w:hint="eastAsia" w:hAnsi="宋体"/>
        </w:rPr>
        <w:t>▲</w:t>
      </w:r>
      <w:r>
        <w:rPr>
          <w:rFonts w:hint="eastAsia" w:hAnsi="宋体"/>
          <w:szCs w:val="21"/>
        </w:rPr>
        <w:t>（9）</w:t>
      </w:r>
      <w:r>
        <w:rPr>
          <w:rFonts w:hint="eastAsia" w:hAnsi="宋体"/>
          <w:b/>
          <w:szCs w:val="21"/>
        </w:rPr>
        <w:t>招标项目采购需求中要求必须提供的材料等；</w:t>
      </w:r>
    </w:p>
    <w:p>
      <w:pPr>
        <w:snapToGrid w:val="0"/>
        <w:spacing w:line="360" w:lineRule="exact"/>
        <w:ind w:firstLine="411" w:firstLineChars="196"/>
        <w:jc w:val="left"/>
        <w:rPr>
          <w:rFonts w:hAnsi="宋体"/>
          <w:b/>
          <w:szCs w:val="21"/>
        </w:rPr>
      </w:pPr>
      <w:r>
        <w:rPr>
          <w:rFonts w:hint="eastAsia" w:hAnsi="宋体"/>
          <w:szCs w:val="21"/>
        </w:rPr>
        <w:t>（10）具备法律、行政法规规定的其他条件的证明材料</w:t>
      </w:r>
      <w:r>
        <w:rPr>
          <w:rFonts w:hint="eastAsia" w:hAnsi="宋体"/>
          <w:b/>
          <w:szCs w:val="21"/>
        </w:rPr>
        <w:t>(如有规定,则必须提供)。</w:t>
      </w:r>
    </w:p>
    <w:p>
      <w:pPr>
        <w:snapToGrid w:val="0"/>
        <w:spacing w:line="360" w:lineRule="exact"/>
        <w:ind w:firstLine="413" w:firstLineChars="196"/>
        <w:jc w:val="left"/>
        <w:rPr>
          <w:rFonts w:hAnsi="宋体"/>
          <w:b/>
          <w:szCs w:val="21"/>
        </w:rPr>
      </w:pPr>
      <w:r>
        <w:rPr>
          <w:rFonts w:hint="eastAsia" w:hAnsi="宋体"/>
          <w:b/>
          <w:bCs/>
          <w:szCs w:val="21"/>
        </w:rPr>
        <w:t xml:space="preserve">可作为投标人资信评分的资质证明材料（可选）  </w:t>
      </w:r>
    </w:p>
    <w:p>
      <w:pPr>
        <w:snapToGrid w:val="0"/>
        <w:spacing w:line="360" w:lineRule="exact"/>
        <w:ind w:left="937" w:leftChars="196" w:hanging="525" w:hangingChars="250"/>
        <w:jc w:val="left"/>
        <w:rPr>
          <w:rFonts w:hAnsi="宋体"/>
          <w:szCs w:val="21"/>
        </w:rPr>
      </w:pPr>
      <w:r>
        <w:rPr>
          <w:rFonts w:hint="eastAsia" w:hAnsi="宋体"/>
          <w:szCs w:val="21"/>
        </w:rPr>
        <w:t>（11）类似案例成功的业绩（投标人同类项目实施情况一览表、合同扫描件）；</w:t>
      </w:r>
    </w:p>
    <w:p>
      <w:pPr>
        <w:snapToGrid w:val="0"/>
        <w:spacing w:line="360" w:lineRule="exact"/>
        <w:ind w:firstLine="421" w:firstLineChars="200"/>
        <w:jc w:val="left"/>
        <w:rPr>
          <w:rFonts w:hAnsi="宋体"/>
          <w:szCs w:val="21"/>
        </w:rPr>
      </w:pPr>
      <w:r>
        <w:rPr>
          <w:rFonts w:hint="eastAsia" w:hAnsi="宋体"/>
          <w:b/>
          <w:szCs w:val="21"/>
        </w:rPr>
        <w:t>（</w:t>
      </w:r>
      <w:r>
        <w:rPr>
          <w:rFonts w:hint="eastAsia" w:hAnsi="宋体"/>
          <w:szCs w:val="21"/>
        </w:rPr>
        <w:t>12</w:t>
      </w:r>
      <w:r>
        <w:rPr>
          <w:rFonts w:hint="eastAsia" w:hAnsi="宋体"/>
          <w:b/>
          <w:szCs w:val="21"/>
        </w:rPr>
        <w:t>）</w:t>
      </w:r>
      <w:r>
        <w:rPr>
          <w:rFonts w:hint="eastAsia" w:hAnsi="宋体"/>
          <w:szCs w:val="21"/>
        </w:rPr>
        <w:t>其他特殊资质证书（如本地化服务能力等）；</w:t>
      </w:r>
    </w:p>
    <w:p>
      <w:pPr>
        <w:snapToGrid w:val="0"/>
        <w:spacing w:line="360" w:lineRule="exact"/>
        <w:ind w:firstLine="411" w:firstLineChars="196"/>
        <w:jc w:val="left"/>
        <w:rPr>
          <w:rFonts w:hAnsi="宋体"/>
          <w:b/>
          <w:szCs w:val="21"/>
        </w:rPr>
      </w:pPr>
      <w:r>
        <w:rPr>
          <w:rFonts w:hint="eastAsia" w:hAnsi="宋体"/>
          <w:szCs w:val="21"/>
        </w:rPr>
        <w:t>（13）节能环保产品或政府强制采购节能产品清单证书</w:t>
      </w:r>
      <w:r>
        <w:rPr>
          <w:rFonts w:hint="eastAsia" w:hAnsi="宋体"/>
          <w:b/>
          <w:szCs w:val="21"/>
        </w:rPr>
        <w:t>；</w:t>
      </w:r>
    </w:p>
    <w:p>
      <w:pPr>
        <w:snapToGrid w:val="0"/>
        <w:spacing w:line="360" w:lineRule="exact"/>
        <w:ind w:firstLine="411" w:firstLineChars="196"/>
        <w:jc w:val="left"/>
        <w:rPr>
          <w:rFonts w:hAnsi="宋体"/>
          <w:szCs w:val="21"/>
        </w:rPr>
      </w:pPr>
      <w:r>
        <w:rPr>
          <w:rFonts w:hint="eastAsia" w:hAnsi="宋体"/>
          <w:szCs w:val="21"/>
        </w:rPr>
        <w:t>（14）投标人质量管理和质量保证体系等方面的认证证书；</w:t>
      </w:r>
    </w:p>
    <w:p>
      <w:pPr>
        <w:snapToGrid w:val="0"/>
        <w:spacing w:line="360" w:lineRule="exact"/>
        <w:ind w:firstLine="411" w:firstLineChars="196"/>
        <w:jc w:val="left"/>
        <w:rPr>
          <w:rFonts w:hAnsi="宋体"/>
          <w:szCs w:val="21"/>
        </w:rPr>
      </w:pPr>
      <w:r>
        <w:rPr>
          <w:rFonts w:hint="eastAsia" w:hAnsi="宋体"/>
          <w:szCs w:val="21"/>
        </w:rPr>
        <w:t>（15）投标人认为可以证明其能力或业绩的其他材料；</w:t>
      </w:r>
    </w:p>
    <w:p>
      <w:pPr>
        <w:snapToGrid w:val="0"/>
        <w:spacing w:line="360" w:lineRule="exact"/>
        <w:ind w:firstLine="411" w:firstLineChars="196"/>
        <w:jc w:val="left"/>
        <w:rPr>
          <w:rFonts w:hAnsi="宋体"/>
          <w:szCs w:val="21"/>
        </w:rPr>
      </w:pPr>
      <w:r>
        <w:rPr>
          <w:rFonts w:hint="eastAsia" w:hAnsi="宋体"/>
          <w:szCs w:val="21"/>
        </w:rPr>
        <w:t>（16）投标人关于产品生产时间、升级或者更新淘汰计划、配件供应以及本单位债务纠纷、违法违规记录等方面的情况（内容见投标声明书）；</w:t>
      </w:r>
    </w:p>
    <w:p>
      <w:pPr>
        <w:adjustRightInd w:val="0"/>
        <w:snapToGrid w:val="0"/>
        <w:spacing w:line="440" w:lineRule="exact"/>
        <w:ind w:left="3368" w:leftChars="200" w:hanging="2948" w:hangingChars="1404"/>
        <w:jc w:val="left"/>
        <w:rPr>
          <w:rFonts w:ascii="宋体" w:hAnsi="宋体"/>
          <w:szCs w:val="21"/>
        </w:rPr>
      </w:pPr>
      <w:r>
        <w:rPr>
          <w:rFonts w:hint="eastAsia" w:hAnsi="宋体"/>
          <w:szCs w:val="21"/>
        </w:rPr>
        <w:t>（17）</w:t>
      </w:r>
      <w:r>
        <w:rPr>
          <w:rFonts w:hint="eastAsia" w:ascii="宋体" w:hAnsi="宋体"/>
          <w:szCs w:val="21"/>
        </w:rPr>
        <w:t>中小企业声明函（格式见第六章，如有请提供）；</w:t>
      </w:r>
    </w:p>
    <w:p>
      <w:pPr>
        <w:adjustRightInd w:val="0"/>
        <w:snapToGrid w:val="0"/>
        <w:spacing w:line="440" w:lineRule="exact"/>
        <w:ind w:left="3368" w:leftChars="200" w:hanging="2948" w:hangingChars="1404"/>
        <w:jc w:val="left"/>
        <w:rPr>
          <w:rFonts w:ascii="宋体" w:hAnsi="宋体"/>
          <w:szCs w:val="21"/>
        </w:rPr>
      </w:pPr>
      <w:r>
        <w:rPr>
          <w:rFonts w:hint="eastAsia" w:ascii="宋体" w:hAnsi="宋体"/>
          <w:szCs w:val="21"/>
        </w:rPr>
        <w:t>（18）</w:t>
      </w:r>
      <w:r>
        <w:rPr>
          <w:rFonts w:hint="eastAsia" w:hAnsi="宋体"/>
          <w:szCs w:val="21"/>
        </w:rPr>
        <w:t>关于符合本国产品标准的声明函（格式见第六章，如有请提供）；</w:t>
      </w:r>
    </w:p>
    <w:p>
      <w:pPr>
        <w:snapToGrid w:val="0"/>
        <w:spacing w:line="360" w:lineRule="exact"/>
        <w:ind w:firstLine="411" w:firstLineChars="196"/>
        <w:jc w:val="left"/>
        <w:rPr>
          <w:rFonts w:hAnsi="宋体"/>
          <w:szCs w:val="21"/>
        </w:rPr>
      </w:pPr>
      <w:r>
        <w:rPr>
          <w:rFonts w:hint="eastAsia" w:hAnsi="宋体"/>
          <w:szCs w:val="21"/>
        </w:rPr>
        <w:t>（19）投标人情况介绍。</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3.技术文件</w:t>
      </w:r>
    </w:p>
    <w:p>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pPr>
        <w:snapToGrid w:val="0"/>
        <w:spacing w:line="360" w:lineRule="exact"/>
        <w:ind w:firstLine="420" w:firstLineChars="200"/>
        <w:jc w:val="left"/>
        <w:rPr>
          <w:rFonts w:ascii="宋体" w:hAnsi="宋体"/>
          <w:szCs w:val="21"/>
        </w:rPr>
      </w:pPr>
      <w:r>
        <w:rPr>
          <w:rFonts w:hint="eastAsia" w:ascii="宋体" w:hAnsi="宋体"/>
          <w:szCs w:val="21"/>
        </w:rPr>
        <w:t>（2）</w:t>
      </w:r>
      <w:r>
        <w:rPr>
          <w:rFonts w:hint="eastAsia" w:ascii="宋体" w:hAnsi="宋体"/>
          <w:b/>
          <w:szCs w:val="21"/>
        </w:rPr>
        <w:t>技术响应表（</w:t>
      </w:r>
      <w:r>
        <w:rPr>
          <w:rFonts w:hint="eastAsia" w:ascii="宋体" w:hAnsi="宋体"/>
          <w:b/>
          <w:szCs w:val="21"/>
          <w:u w:val="single"/>
        </w:rPr>
        <w:t>必须提供</w:t>
      </w:r>
      <w:r>
        <w:rPr>
          <w:rFonts w:hint="eastAsia" w:ascii="宋体" w:hAnsi="宋体"/>
          <w:b/>
          <w:szCs w:val="21"/>
        </w:rPr>
        <w:t>）；</w:t>
      </w:r>
    </w:p>
    <w:p>
      <w:pPr>
        <w:snapToGrid w:val="0"/>
        <w:spacing w:line="360" w:lineRule="exact"/>
        <w:ind w:firstLine="420" w:firstLineChars="200"/>
        <w:jc w:val="left"/>
        <w:rPr>
          <w:rFonts w:ascii="宋体" w:hAnsi="宋体"/>
          <w:szCs w:val="21"/>
        </w:rPr>
      </w:pPr>
      <w:r>
        <w:rPr>
          <w:rFonts w:hint="eastAsia" w:ascii="宋体" w:hAnsi="宋体"/>
          <w:szCs w:val="21"/>
        </w:rPr>
        <w:t>（3）设备配置清单（均不含报价）；</w:t>
      </w:r>
    </w:p>
    <w:p>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w:t>
      </w:r>
      <w:r>
        <w:rPr>
          <w:rFonts w:hint="eastAsia" w:ascii="宋体" w:hAnsi="宋体"/>
          <w:b/>
          <w:szCs w:val="21"/>
          <w:u w:val="single"/>
        </w:rPr>
        <w:t>格式自拟,必须提供</w:t>
      </w:r>
      <w:r>
        <w:rPr>
          <w:rFonts w:hint="eastAsia" w:ascii="宋体" w:hAnsi="宋体"/>
          <w:b/>
          <w:szCs w:val="21"/>
        </w:rPr>
        <w:t>)</w:t>
      </w:r>
      <w:r>
        <w:rPr>
          <w:rFonts w:hint="eastAsia" w:ascii="宋体" w:hAnsi="宋体"/>
          <w:szCs w:val="21"/>
        </w:rPr>
        <w:t>；</w:t>
      </w:r>
    </w:p>
    <w:p>
      <w:pPr>
        <w:snapToGrid w:val="0"/>
        <w:spacing w:line="360" w:lineRule="exact"/>
        <w:ind w:firstLine="420" w:firstLineChars="200"/>
        <w:jc w:val="left"/>
        <w:rPr>
          <w:rFonts w:ascii="宋体" w:hAnsi="宋体"/>
          <w:szCs w:val="21"/>
        </w:rPr>
      </w:pPr>
      <w:r>
        <w:rPr>
          <w:rFonts w:hint="eastAsia" w:ascii="宋体" w:hAnsi="宋体"/>
          <w:szCs w:val="21"/>
        </w:rPr>
        <w:t xml:space="preserve">（5）投标人拥有主要装备和检测设施的情况和现状（格式自拟）及项目实施人员一览表； </w:t>
      </w:r>
    </w:p>
    <w:p>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pPr>
        <w:snapToGrid w:val="0"/>
        <w:spacing w:line="360" w:lineRule="exact"/>
        <w:ind w:firstLine="420" w:firstLineChars="200"/>
        <w:jc w:val="left"/>
        <w:rPr>
          <w:rFonts w:ascii="宋体" w:hAnsi="宋体"/>
          <w:szCs w:val="21"/>
        </w:rPr>
      </w:pPr>
      <w:r>
        <w:rPr>
          <w:rFonts w:hint="eastAsia" w:ascii="宋体" w:hAnsi="宋体"/>
          <w:szCs w:val="21"/>
        </w:rPr>
        <w:t>▲（9）招标项目采购需求中要求必须提供的材料。</w:t>
      </w:r>
    </w:p>
    <w:p>
      <w:pPr>
        <w:snapToGrid w:val="0"/>
        <w:spacing w:before="156" w:beforeLines="50" w:line="360" w:lineRule="exact"/>
        <w:ind w:firstLine="413" w:firstLineChars="196"/>
        <w:jc w:val="left"/>
        <w:rPr>
          <w:rFonts w:ascii="宋体" w:hAnsi="宋体"/>
          <w:b/>
          <w:szCs w:val="21"/>
        </w:rPr>
      </w:pPr>
      <w:r>
        <w:rPr>
          <w:rFonts w:hint="eastAsia" w:ascii="宋体" w:hAnsi="宋体"/>
          <w:b/>
          <w:szCs w:val="21"/>
        </w:rPr>
        <w:t>4.报价文件：</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b/>
          <w:szCs w:val="21"/>
          <w:u w:val="single"/>
        </w:rPr>
        <w:t>,必须提供</w:t>
      </w:r>
      <w:r>
        <w:rPr>
          <w:rFonts w:hint="eastAsia" w:ascii="宋体" w:hAnsi="宋体"/>
          <w:szCs w:val="21"/>
        </w:rPr>
        <w:t xml:space="preserve">）； </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szCs w:val="21"/>
          <w:u w:val="single"/>
        </w:rPr>
        <w:t>,必须提供</w:t>
      </w:r>
      <w:r>
        <w:rPr>
          <w:rFonts w:hint="eastAsia" w:ascii="宋体" w:hAnsi="宋体"/>
          <w:szCs w:val="21"/>
        </w:rPr>
        <w:t>）；</w:t>
      </w:r>
    </w:p>
    <w:p>
      <w:pPr>
        <w:tabs>
          <w:tab w:val="left" w:pos="3870"/>
          <w:tab w:val="left" w:pos="4085"/>
        </w:tabs>
        <w:snapToGrid w:val="0"/>
        <w:spacing w:line="36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pPr>
        <w:tabs>
          <w:tab w:val="left" w:pos="3870"/>
          <w:tab w:val="left" w:pos="4085"/>
        </w:tabs>
        <w:snapToGrid w:val="0"/>
        <w:spacing w:line="360" w:lineRule="exact"/>
        <w:ind w:firstLine="420" w:firstLineChars="200"/>
        <w:jc w:val="left"/>
        <w:rPr>
          <w:rFonts w:ascii="宋体" w:hAnsi="宋体" w:eastAsia="等线"/>
          <w:szCs w:val="21"/>
        </w:rPr>
      </w:pPr>
      <w:r>
        <w:rPr>
          <w:rFonts w:hint="eastAsia" w:ascii="宋体" w:hAnsi="宋体"/>
          <w:szCs w:val="21"/>
        </w:rPr>
        <w:t>（4）开标一览表（格式见第六章</w:t>
      </w:r>
      <w:r>
        <w:rPr>
          <w:rFonts w:hint="eastAsia" w:ascii="宋体" w:hAnsi="宋体"/>
          <w:b/>
          <w:szCs w:val="21"/>
          <w:u w:val="single"/>
        </w:rPr>
        <w:t>,必须提供</w:t>
      </w:r>
      <w:r>
        <w:rPr>
          <w:rFonts w:hint="eastAsia" w:ascii="宋体" w:hAnsi="宋体"/>
          <w:szCs w:val="21"/>
        </w:rPr>
        <w:t>）。</w:t>
      </w:r>
    </w:p>
    <w:p>
      <w:pPr>
        <w:pStyle w:val="46"/>
        <w:spacing w:line="360" w:lineRule="exact"/>
        <w:ind w:firstLine="420" w:firstLineChars="200"/>
        <w:rPr>
          <w:rFonts w:ascii="宋体" w:hAnsi="宋体"/>
          <w:szCs w:val="21"/>
        </w:rPr>
      </w:pPr>
      <w:r>
        <w:rPr>
          <w:rFonts w:hint="eastAsia" w:ascii="宋体" w:hAnsi="宋体"/>
          <w:szCs w:val="21"/>
        </w:rPr>
        <w:t>▲</w:t>
      </w:r>
      <w:r>
        <w:rPr>
          <w:rFonts w:hint="eastAsia" w:ascii="宋体" w:hAnsi="宋体"/>
          <w:b/>
          <w:bCs/>
          <w:szCs w:val="21"/>
        </w:rPr>
        <w:t>注：法定代表人授权委托书、投标声明书、投标函、开标一览表必须按</w:t>
      </w:r>
      <w:r>
        <w:rPr>
          <w:rFonts w:hint="eastAsia" w:ascii="宋体" w:hAnsi="宋体"/>
          <w:b/>
          <w:szCs w:val="21"/>
        </w:rPr>
        <w:t>招标文件格式要求签字或签章</w:t>
      </w:r>
      <w:r>
        <w:rPr>
          <w:rFonts w:hint="eastAsia" w:ascii="宋体" w:hAnsi="宋体"/>
          <w:b/>
          <w:bCs/>
          <w:szCs w:val="21"/>
        </w:rPr>
        <w:t>并加盖单位公章。</w:t>
      </w:r>
    </w:p>
    <w:p>
      <w:pPr>
        <w:pStyle w:val="46"/>
        <w:spacing w:line="360" w:lineRule="exact"/>
        <w:ind w:firstLine="420" w:firstLineChars="200"/>
        <w:rPr>
          <w:rFonts w:ascii="宋体" w:hAnsi="宋体"/>
          <w:szCs w:val="21"/>
        </w:rPr>
      </w:pPr>
    </w:p>
    <w:p>
      <w:pPr>
        <w:snapToGrid w:val="0"/>
        <w:spacing w:before="50" w:after="156" w:afterLines="50" w:line="360" w:lineRule="exact"/>
        <w:ind w:firstLine="3895" w:firstLineChars="1617"/>
        <w:jc w:val="left"/>
        <w:rPr>
          <w:rFonts w:ascii="宋体" w:hAnsi="宋体"/>
          <w:b/>
          <w:sz w:val="24"/>
        </w:rPr>
      </w:pPr>
    </w:p>
    <w:p>
      <w:pPr>
        <w:snapToGrid w:val="0"/>
        <w:spacing w:before="50" w:after="156" w:afterLines="50" w:line="360" w:lineRule="exact"/>
        <w:ind w:firstLine="3895" w:firstLineChars="1617"/>
        <w:jc w:val="left"/>
        <w:rPr>
          <w:rFonts w:ascii="宋体" w:hAnsi="宋体"/>
          <w:b/>
          <w:sz w:val="24"/>
        </w:rPr>
      </w:pPr>
    </w:p>
    <w:p>
      <w:pPr>
        <w:snapToGrid w:val="0"/>
        <w:spacing w:before="50" w:after="156" w:afterLines="50" w:line="360" w:lineRule="exact"/>
        <w:ind w:firstLine="3895" w:firstLineChars="1617"/>
        <w:jc w:val="left"/>
        <w:rPr>
          <w:rFonts w:ascii="宋体" w:hAnsi="宋体"/>
          <w:b/>
          <w:sz w:val="24"/>
        </w:rPr>
      </w:pPr>
    </w:p>
    <w:p>
      <w:pPr>
        <w:snapToGrid w:val="0"/>
        <w:spacing w:before="50" w:after="156" w:afterLines="50" w:line="360" w:lineRule="exact"/>
        <w:ind w:firstLine="3895" w:firstLineChars="1617"/>
        <w:jc w:val="left"/>
        <w:rPr>
          <w:rFonts w:ascii="宋体" w:hAnsi="宋体"/>
          <w:b/>
          <w:sz w:val="24"/>
        </w:rPr>
      </w:pPr>
    </w:p>
    <w:p>
      <w:pPr>
        <w:snapToGrid w:val="0"/>
        <w:spacing w:before="50" w:after="156" w:afterLines="50" w:line="360" w:lineRule="exact"/>
        <w:ind w:firstLine="3895" w:firstLineChars="1617"/>
        <w:jc w:val="left"/>
        <w:rPr>
          <w:rFonts w:ascii="宋体" w:hAnsi="宋体"/>
          <w:b/>
          <w:sz w:val="24"/>
        </w:rPr>
      </w:pPr>
    </w:p>
    <w:p>
      <w:pPr>
        <w:pStyle w:val="3"/>
      </w:pPr>
    </w:p>
    <w:p>
      <w:pPr>
        <w:snapToGrid w:val="0"/>
        <w:spacing w:before="50" w:after="156" w:afterLines="50" w:line="360" w:lineRule="exact"/>
        <w:ind w:firstLine="3895" w:firstLineChars="1617"/>
        <w:jc w:val="left"/>
        <w:outlineLvl w:val="0"/>
        <w:rPr>
          <w:rFonts w:ascii="宋体" w:hAnsi="宋体"/>
          <w:b/>
          <w:sz w:val="24"/>
        </w:rPr>
      </w:pPr>
    </w:p>
    <w:p>
      <w:pPr>
        <w:snapToGrid w:val="0"/>
        <w:spacing w:before="50" w:after="156" w:afterLines="50" w:line="360" w:lineRule="exact"/>
        <w:ind w:firstLine="3895" w:firstLineChars="1617"/>
        <w:jc w:val="left"/>
        <w:outlineLvl w:val="0"/>
        <w:rPr>
          <w:rFonts w:ascii="宋体" w:hAnsi="宋体"/>
          <w:b/>
          <w:sz w:val="24"/>
        </w:rPr>
      </w:pPr>
      <w:r>
        <w:rPr>
          <w:rFonts w:hint="eastAsia" w:ascii="宋体" w:hAnsi="宋体"/>
          <w:b/>
          <w:sz w:val="24"/>
        </w:rPr>
        <w:t>三、投标文件格式</w:t>
      </w: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bCs/>
          <w:szCs w:val="21"/>
        </w:rPr>
      </w:pPr>
      <w:r>
        <w:rPr>
          <w:rFonts w:hint="eastAsia" w:ascii="宋体" w:hAnsi="宋体"/>
          <w:b/>
          <w:szCs w:val="21"/>
        </w:rPr>
        <w:t xml:space="preserve"> （一）</w:t>
      </w:r>
      <w:r>
        <w:rPr>
          <w:rFonts w:hint="eastAsia" w:ascii="宋体" w:hAnsi="宋体"/>
          <w:b/>
          <w:bCs/>
          <w:szCs w:val="21"/>
        </w:rPr>
        <w:t>资格文件部分（格式）</w:t>
      </w:r>
    </w:p>
    <w:p>
      <w:pPr>
        <w:snapToGrid w:val="0"/>
        <w:spacing w:line="360" w:lineRule="exact"/>
        <w:ind w:firstLine="413"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有效的营业执照等证明文件复印件；</w:t>
      </w:r>
    </w:p>
    <w:p>
      <w:pPr>
        <w:pStyle w:val="29"/>
        <w:adjustRightInd w:val="0"/>
        <w:snapToGrid w:val="0"/>
        <w:spacing w:line="400" w:lineRule="exact"/>
        <w:ind w:firstLine="424" w:firstLineChars="202"/>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pPr>
        <w:snapToGrid w:val="0"/>
        <w:spacing w:line="360" w:lineRule="exact"/>
        <w:ind w:firstLine="424" w:firstLineChars="202"/>
        <w:jc w:val="left"/>
        <w:rPr>
          <w:rFonts w:hAnsi="宋体"/>
          <w:b/>
        </w:rPr>
      </w:pPr>
      <w:r>
        <w:rPr>
          <w:rFonts w:hint="eastAsia" w:hAnsi="宋体"/>
        </w:rPr>
        <w:t>②对于有经营资质要求的，投标人必须提供有效的经营资质证书副本内页扫描件或其他电子文件，同时要加盖单位公章。</w:t>
      </w:r>
    </w:p>
    <w:p>
      <w:pPr>
        <w:snapToGrid w:val="0"/>
        <w:spacing w:line="360" w:lineRule="exact"/>
        <w:ind w:firstLine="413"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pPr>
        <w:snapToGrid w:val="0"/>
        <w:spacing w:line="36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pPr>
        <w:snapToGrid w:val="0"/>
        <w:spacing w:line="36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pPr>
        <w:snapToGrid w:val="0"/>
        <w:spacing w:line="36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“中国政府采购网”的查询方法：点击“政府采购严重违法失信行为记录名单”进行查询。截止时间为本项目投标截止时间前10日至投标截止时间中任意一天。</w:t>
      </w:r>
    </w:p>
    <w:p>
      <w:pPr>
        <w:snapToGrid w:val="0"/>
        <w:spacing w:line="360" w:lineRule="exact"/>
        <w:ind w:firstLine="411" w:firstLineChars="196"/>
        <w:jc w:val="left"/>
        <w:rPr>
          <w:rFonts w:ascii="宋体" w:hAnsi="宋体"/>
          <w:b/>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line="360" w:lineRule="exact"/>
        <w:jc w:val="center"/>
        <w:rPr>
          <w:rFonts w:ascii="宋体" w:hAnsi="宋体" w:cs="宋体"/>
          <w:b/>
          <w:kern w:val="0"/>
          <w:sz w:val="28"/>
          <w:szCs w:val="28"/>
        </w:rPr>
      </w:pPr>
      <w:r>
        <w:rPr>
          <w:rFonts w:hint="eastAsia" w:ascii="宋体" w:hAnsi="宋体"/>
          <w:b/>
          <w:szCs w:val="21"/>
        </w:rPr>
        <w:t xml:space="preserve"> </w:t>
      </w:r>
    </w:p>
    <w:p>
      <w:pPr>
        <w:snapToGrid w:val="0"/>
        <w:spacing w:line="360" w:lineRule="exact"/>
        <w:jc w:val="center"/>
        <w:rPr>
          <w:rFonts w:ascii="宋体" w:hAnsi="宋体" w:cs="宋体"/>
          <w:b/>
          <w:kern w:val="0"/>
          <w:sz w:val="28"/>
          <w:szCs w:val="28"/>
        </w:rPr>
      </w:pPr>
    </w:p>
    <w:p>
      <w:pPr>
        <w:snapToGrid w:val="0"/>
        <w:spacing w:line="360" w:lineRule="exact"/>
        <w:jc w:val="center"/>
        <w:rPr>
          <w:rFonts w:ascii="宋体" w:hAnsi="宋体" w:cs="宋体"/>
          <w:b/>
          <w:kern w:val="0"/>
          <w:sz w:val="28"/>
          <w:szCs w:val="28"/>
        </w:rPr>
      </w:pPr>
      <w:r>
        <w:rPr>
          <w:rFonts w:hint="eastAsia" w:ascii="宋体" w:hAnsi="宋体" w:cs="宋体"/>
          <w:b/>
          <w:kern w:val="0"/>
          <w:sz w:val="28"/>
          <w:szCs w:val="28"/>
        </w:rPr>
        <w:t>参加政府采购活动前三年内在经营活动中没有重大违法记录的书面声明</w:t>
      </w:r>
    </w:p>
    <w:p>
      <w:pPr>
        <w:snapToGrid w:val="0"/>
        <w:spacing w:line="360" w:lineRule="exact"/>
        <w:jc w:val="center"/>
        <w:rPr>
          <w:rFonts w:ascii="宋体" w:hAnsi="宋体"/>
          <w:b/>
          <w:szCs w:val="21"/>
        </w:rPr>
      </w:pPr>
      <w:r>
        <w:rPr>
          <w:rFonts w:hint="eastAsia" w:ascii="宋体" w:hAnsi="宋体"/>
          <w:b/>
          <w:szCs w:val="21"/>
        </w:rPr>
        <w:t>（格式自拟，必须提供）</w:t>
      </w:r>
    </w:p>
    <w:p>
      <w:pPr>
        <w:snapToGrid w:val="0"/>
        <w:spacing w:line="360" w:lineRule="exact"/>
        <w:ind w:firstLine="413" w:firstLineChars="196"/>
        <w:jc w:val="center"/>
        <w:rPr>
          <w:rFonts w:ascii="宋体" w:hAnsi="宋体"/>
          <w:b/>
          <w:szCs w:val="21"/>
        </w:rPr>
      </w:pPr>
    </w:p>
    <w:p>
      <w:pPr>
        <w:snapToGrid w:val="0"/>
        <w:spacing w:line="360" w:lineRule="exact"/>
        <w:ind w:firstLine="413" w:firstLineChars="196"/>
        <w:jc w:val="center"/>
        <w:rPr>
          <w:rFonts w:ascii="宋体" w:hAnsi="宋体"/>
          <w:b/>
          <w:szCs w:val="21"/>
        </w:rPr>
      </w:pPr>
    </w:p>
    <w:p>
      <w:pPr>
        <w:snapToGrid w:val="0"/>
        <w:spacing w:line="360" w:lineRule="exact"/>
        <w:ind w:firstLine="413" w:firstLineChars="196"/>
        <w:jc w:val="center"/>
        <w:rPr>
          <w:rFonts w:ascii="宋体" w:hAnsi="宋体"/>
          <w:b/>
          <w:szCs w:val="21"/>
        </w:rPr>
      </w:pPr>
    </w:p>
    <w:p>
      <w:pPr>
        <w:snapToGrid w:val="0"/>
        <w:spacing w:line="360" w:lineRule="exact"/>
        <w:ind w:firstLine="413" w:firstLineChars="196"/>
        <w:jc w:val="center"/>
        <w:rPr>
          <w:rFonts w:ascii="宋体" w:hAnsi="宋体"/>
          <w:b/>
          <w:szCs w:val="21"/>
        </w:rPr>
      </w:pPr>
    </w:p>
    <w:p>
      <w:pPr>
        <w:snapToGrid w:val="0"/>
        <w:spacing w:before="156" w:beforeLines="50" w:line="340" w:lineRule="exact"/>
        <w:ind w:firstLine="3509" w:firstLineChars="1671"/>
        <w:rPr>
          <w:rFonts w:ascii="宋体" w:hAnsi="宋体"/>
          <w:szCs w:val="21"/>
        </w:rPr>
      </w:pPr>
      <w:r>
        <w:rPr>
          <w:rFonts w:hint="eastAsia" w:ascii="宋体" w:hAnsi="宋体"/>
          <w:szCs w:val="21"/>
        </w:rPr>
        <w:t xml:space="preserve">             </w:t>
      </w:r>
    </w:p>
    <w:p>
      <w:pPr>
        <w:snapToGrid w:val="0"/>
        <w:spacing w:before="156" w:beforeLines="50" w:after="50" w:line="340" w:lineRule="exact"/>
        <w:ind w:firstLine="3570" w:firstLineChars="1700"/>
        <w:rPr>
          <w:rFonts w:ascii="宋体" w:hAnsi="宋体"/>
          <w:szCs w:val="21"/>
        </w:rPr>
      </w:pPr>
      <w:r>
        <w:rPr>
          <w:rFonts w:hint="eastAsia" w:ascii="宋体" w:hAnsi="宋体"/>
          <w:szCs w:val="21"/>
        </w:rPr>
        <w:t xml:space="preserve">投标人公章：                                    </w:t>
      </w:r>
    </w:p>
    <w:p>
      <w:pPr>
        <w:pStyle w:val="29"/>
        <w:tabs>
          <w:tab w:val="left" w:pos="5580"/>
        </w:tabs>
        <w:spacing w:line="360" w:lineRule="auto"/>
        <w:ind w:left="1080" w:leftChars="257" w:hanging="540"/>
        <w:rPr>
          <w:rFonts w:ascii="仿宋_GB2312" w:hAnsi="宋体" w:eastAsia="仿宋_GB2312"/>
          <w:b/>
          <w:sz w:val="24"/>
        </w:rPr>
      </w:pPr>
      <w:r>
        <w:rPr>
          <w:rFonts w:hint="eastAsia" w:hAnsi="宋体"/>
        </w:rPr>
        <w:t xml:space="preserve">                                          年    月    日</w:t>
      </w:r>
    </w:p>
    <w:p>
      <w:pPr>
        <w:snapToGrid w:val="0"/>
        <w:spacing w:line="360" w:lineRule="exact"/>
        <w:ind w:firstLine="664" w:firstLineChars="368"/>
        <w:jc w:val="left"/>
        <w:rPr>
          <w:rFonts w:ascii="宋体" w:hAnsi="宋体" w:cs="宋体"/>
          <w:b/>
          <w:kern w:val="0"/>
          <w:sz w:val="18"/>
          <w:szCs w:val="18"/>
        </w:rPr>
      </w:pPr>
      <w:r>
        <w:rPr>
          <w:rFonts w:hint="eastAsia" w:ascii="宋体" w:hAnsi="宋体" w:cs="宋体"/>
          <w:b/>
          <w:kern w:val="0"/>
          <w:sz w:val="18"/>
          <w:szCs w:val="18"/>
        </w:rPr>
        <w:t>说明:1.投标人应按照相关法规规定如实做出书面声明。</w:t>
      </w:r>
    </w:p>
    <w:p>
      <w:pPr>
        <w:snapToGrid w:val="0"/>
        <w:spacing w:line="360" w:lineRule="exact"/>
        <w:ind w:firstLine="1152" w:firstLineChars="638"/>
        <w:jc w:val="left"/>
        <w:rPr>
          <w:rFonts w:ascii="宋体" w:hAnsi="宋体" w:cs="宋体"/>
          <w:b/>
          <w:kern w:val="0"/>
          <w:sz w:val="18"/>
          <w:szCs w:val="18"/>
        </w:rPr>
      </w:pPr>
      <w:r>
        <w:rPr>
          <w:rFonts w:hint="eastAsia" w:ascii="宋体" w:hAnsi="宋体" w:cs="宋体"/>
          <w:b/>
          <w:kern w:val="0"/>
          <w:sz w:val="18"/>
          <w:szCs w:val="18"/>
        </w:rPr>
        <w:t>2．按照采购文件的规定盖章（自然人投标的无需盖章，需要签字或签章）。</w:t>
      </w:r>
    </w:p>
    <w:bookmarkEnd w:id="13"/>
    <w:bookmarkEnd w:id="14"/>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p>
    <w:p>
      <w:pPr>
        <w:snapToGrid w:val="0"/>
        <w:spacing w:before="50" w:after="156" w:afterLines="50" w:line="360" w:lineRule="exact"/>
        <w:jc w:val="left"/>
        <w:outlineLvl w:val="0"/>
        <w:rPr>
          <w:rFonts w:ascii="宋体" w:hAnsi="宋体"/>
          <w:b/>
          <w:szCs w:val="21"/>
        </w:rPr>
      </w:pPr>
      <w:r>
        <w:rPr>
          <w:rFonts w:hint="eastAsia" w:ascii="宋体" w:hAnsi="宋体"/>
          <w:b/>
          <w:szCs w:val="21"/>
        </w:rPr>
        <w:t>（二）</w:t>
      </w:r>
      <w:r>
        <w:rPr>
          <w:rFonts w:hint="eastAsia" w:ascii="宋体" w:hAnsi="宋体"/>
          <w:b/>
          <w:bCs/>
          <w:szCs w:val="21"/>
        </w:rPr>
        <w:t>资信及商务文件部分（格式）</w:t>
      </w:r>
    </w:p>
    <w:p>
      <w:pPr>
        <w:snapToGrid w:val="0"/>
        <w:spacing w:before="50" w:after="156" w:afterLines="50" w:line="360" w:lineRule="exact"/>
        <w:ind w:firstLine="204" w:firstLineChars="97"/>
        <w:jc w:val="left"/>
        <w:rPr>
          <w:rFonts w:ascii="宋体" w:hAnsi="宋体"/>
          <w:b/>
          <w:szCs w:val="21"/>
        </w:rPr>
      </w:pPr>
      <w:r>
        <w:rPr>
          <w:rFonts w:hint="eastAsia" w:ascii="宋体" w:hAnsi="宋体"/>
          <w:b/>
          <w:bCs/>
          <w:szCs w:val="21"/>
        </w:rPr>
        <w:t>（1）</w:t>
      </w:r>
      <w:r>
        <w:rPr>
          <w:rFonts w:hint="eastAsia" w:ascii="宋体" w:hAnsi="宋体"/>
          <w:szCs w:val="21"/>
        </w:rPr>
        <w:t>投标保证金的相关证明扫描件或其他电子文件</w:t>
      </w:r>
    </w:p>
    <w:p>
      <w:pPr>
        <w:snapToGrid w:val="0"/>
        <w:spacing w:before="50" w:after="156" w:afterLines="50" w:line="360" w:lineRule="exact"/>
        <w:ind w:firstLine="204" w:firstLineChars="97"/>
        <w:jc w:val="left"/>
        <w:rPr>
          <w:rFonts w:ascii="宋体" w:hAnsi="宋体"/>
          <w:b/>
          <w:szCs w:val="21"/>
        </w:rPr>
      </w:pPr>
    </w:p>
    <w:p>
      <w:pPr>
        <w:snapToGrid w:val="0"/>
        <w:spacing w:before="50" w:after="156" w:afterLines="50" w:line="360" w:lineRule="exact"/>
        <w:ind w:firstLine="204" w:firstLineChars="97"/>
        <w:jc w:val="left"/>
        <w:rPr>
          <w:rFonts w:ascii="宋体" w:hAnsi="宋体"/>
          <w:b/>
          <w:szCs w:val="21"/>
        </w:rPr>
      </w:pPr>
      <w:r>
        <w:rPr>
          <w:rFonts w:hint="eastAsia" w:ascii="宋体" w:hAnsi="宋体"/>
          <w:b/>
          <w:szCs w:val="21"/>
        </w:rPr>
        <w:t>（2）投标声明书格式：</w:t>
      </w:r>
    </w:p>
    <w:p>
      <w:pPr>
        <w:snapToGrid w:val="0"/>
        <w:spacing w:before="156" w:beforeLines="50" w:after="50" w:line="360" w:lineRule="exact"/>
        <w:jc w:val="center"/>
        <w:rPr>
          <w:rFonts w:ascii="仿宋_GB2312" w:hAnsi="宋体" w:eastAsia="仿宋_GB2312"/>
          <w:b/>
          <w:sz w:val="30"/>
          <w:szCs w:val="30"/>
        </w:rPr>
      </w:pPr>
      <w:r>
        <w:rPr>
          <w:rFonts w:hint="eastAsia" w:ascii="仿宋_GB2312" w:hAnsi="宋体" w:eastAsia="仿宋_GB2312"/>
          <w:b/>
          <w:sz w:val="30"/>
          <w:szCs w:val="30"/>
        </w:rPr>
        <w:t>投标声明书</w:t>
      </w:r>
    </w:p>
    <w:p>
      <w:pPr>
        <w:snapToGrid w:val="0"/>
        <w:spacing w:before="156" w:beforeLines="50" w:after="50" w:line="340" w:lineRule="exact"/>
        <w:rPr>
          <w:rFonts w:ascii="宋体" w:hAnsi="宋体"/>
          <w:szCs w:val="21"/>
        </w:rPr>
      </w:pPr>
      <w:r>
        <w:rPr>
          <w:rFonts w:hint="eastAsia" w:ascii="宋体" w:hAnsi="宋体"/>
          <w:szCs w:val="21"/>
        </w:rPr>
        <w:t>致：_</w:t>
      </w:r>
      <w:r>
        <w:rPr>
          <w:rFonts w:hint="eastAsia"/>
          <w:u w:val="single"/>
        </w:rPr>
        <w:t>广西壮族自治区政府采购中心</w:t>
      </w:r>
      <w:r>
        <w:rPr>
          <w:rFonts w:hint="eastAsia" w:ascii="宋体" w:hAnsi="宋体"/>
          <w:szCs w:val="21"/>
        </w:rPr>
        <w:t>：</w:t>
      </w:r>
    </w:p>
    <w:p>
      <w:pPr>
        <w:snapToGrid w:val="0"/>
        <w:spacing w:before="156" w:beforeLines="50" w:after="50" w:line="340" w:lineRule="exact"/>
        <w:ind w:firstLine="630" w:firstLineChars="300"/>
        <w:rPr>
          <w:rFonts w:ascii="宋体" w:hAnsi="宋体"/>
          <w:szCs w:val="21"/>
        </w:rPr>
      </w:pPr>
      <w:r>
        <w:rPr>
          <w:rFonts w:hint="eastAsia" w:ascii="宋体" w:hAnsi="宋体"/>
          <w:szCs w:val="21"/>
        </w:rPr>
        <w:t>______</w:t>
      </w:r>
      <w:r>
        <w:rPr>
          <w:rFonts w:hint="eastAsia" w:ascii="宋体" w:hAnsi="宋体"/>
          <w:szCs w:val="21"/>
          <w:u w:val="single"/>
        </w:rPr>
        <w:t>_     _</w:t>
      </w:r>
      <w:r>
        <w:rPr>
          <w:rFonts w:hint="eastAsia" w:ascii="宋体" w:hAnsi="宋体"/>
          <w:szCs w:val="21"/>
        </w:rPr>
        <w:t>_（投标人名称）系中华人民共和国合法企业，经营地址</w:t>
      </w:r>
      <w:r>
        <w:rPr>
          <w:rFonts w:hint="eastAsia" w:ascii="宋体" w:hAnsi="宋体"/>
          <w:szCs w:val="21"/>
          <w:u w:val="single"/>
        </w:rPr>
        <w:t xml:space="preserve">                               </w:t>
      </w:r>
      <w:r>
        <w:rPr>
          <w:rFonts w:hint="eastAsia" w:ascii="宋体" w:hAnsi="宋体"/>
          <w:szCs w:val="21"/>
        </w:rPr>
        <w:t>。</w:t>
      </w:r>
    </w:p>
    <w:p>
      <w:pPr>
        <w:snapToGrid w:val="0"/>
        <w:spacing w:before="156" w:beforeLines="50" w:after="50" w:line="340" w:lineRule="exact"/>
        <w:ind w:firstLine="645"/>
        <w:rPr>
          <w:rFonts w:ascii="宋体" w:hAnsi="宋体"/>
          <w:szCs w:val="21"/>
        </w:rPr>
      </w:pPr>
      <w:r>
        <w:rPr>
          <w:rFonts w:hint="eastAsia" w:ascii="宋体" w:hAnsi="宋体"/>
          <w:szCs w:val="21"/>
        </w:rPr>
        <w:t>我___</w:t>
      </w:r>
      <w:r>
        <w:rPr>
          <w:rFonts w:hint="eastAsia" w:ascii="宋体" w:hAnsi="宋体"/>
          <w:szCs w:val="21"/>
          <w:u w:val="single"/>
        </w:rPr>
        <w:t xml:space="preserve">    _</w:t>
      </w:r>
      <w:r>
        <w:rPr>
          <w:rFonts w:hint="eastAsia" w:ascii="宋体" w:hAnsi="宋体"/>
          <w:szCs w:val="21"/>
        </w:rPr>
        <w:t>_（姓名）系______</w:t>
      </w:r>
      <w:r>
        <w:rPr>
          <w:rFonts w:hint="eastAsia" w:ascii="宋体" w:hAnsi="宋体"/>
          <w:szCs w:val="21"/>
          <w:u w:val="single"/>
        </w:rPr>
        <w:t>_     _</w:t>
      </w:r>
      <w:r>
        <w:rPr>
          <w:rFonts w:hint="eastAsia" w:ascii="宋体" w:hAnsi="宋体"/>
          <w:szCs w:val="21"/>
        </w:rPr>
        <w:t>_（投标人名称）的法定代表人，我方愿意参加贵方组织的_____</w:t>
      </w:r>
      <w:r>
        <w:rPr>
          <w:rFonts w:hint="eastAsia" w:ascii="宋体" w:hAnsi="宋体"/>
          <w:szCs w:val="21"/>
          <w:u w:val="single"/>
        </w:rPr>
        <w:t>_              _     _</w:t>
      </w:r>
      <w:r>
        <w:rPr>
          <w:rFonts w:hint="eastAsia" w:ascii="宋体" w:hAnsi="宋体"/>
          <w:szCs w:val="21"/>
        </w:rPr>
        <w:t>_项目的投标，为便于贵方公正、择优地确定中标人及其投标产品和服务，我方就本次投标有关事项郑重声明如下：</w:t>
      </w:r>
    </w:p>
    <w:p>
      <w:pPr>
        <w:snapToGrid w:val="0"/>
        <w:spacing w:line="340" w:lineRule="exact"/>
        <w:ind w:firstLine="420" w:firstLineChars="200"/>
        <w:rPr>
          <w:rFonts w:ascii="宋体" w:hAnsi="宋体"/>
          <w:szCs w:val="21"/>
        </w:rPr>
      </w:pPr>
      <w:r>
        <w:rPr>
          <w:rFonts w:hint="eastAsia" w:ascii="宋体" w:hAnsi="宋体"/>
          <w:szCs w:val="21"/>
        </w:rPr>
        <w:t>1.我方向贵方提交的所有投标文件、资料都是准确的和真实的。</w:t>
      </w:r>
    </w:p>
    <w:p>
      <w:pPr>
        <w:snapToGrid w:val="0"/>
        <w:spacing w:before="156" w:beforeLines="50" w:line="340" w:lineRule="exact"/>
        <w:ind w:firstLine="420" w:firstLineChars="200"/>
        <w:rPr>
          <w:rFonts w:ascii="宋体" w:hAnsi="宋体"/>
          <w:szCs w:val="21"/>
        </w:rPr>
      </w:pPr>
      <w:r>
        <w:rPr>
          <w:rFonts w:hint="eastAsia" w:ascii="宋体" w:hAnsi="宋体"/>
          <w:szCs w:val="21"/>
        </w:rPr>
        <w:t>2.我方不是采购人的附属机构；在获知本项目采购信息后，与采购人聘请的为此项目提供咨询服务的公司及其附属机构没有任何联系。</w:t>
      </w:r>
    </w:p>
    <w:p>
      <w:pPr>
        <w:snapToGrid w:val="0"/>
        <w:spacing w:before="156" w:beforeLines="50" w:line="340" w:lineRule="exact"/>
        <w:ind w:firstLine="420" w:firstLineChars="200"/>
        <w:rPr>
          <w:rFonts w:ascii="宋体" w:hAnsi="宋体"/>
          <w:szCs w:val="21"/>
        </w:rPr>
      </w:pPr>
      <w:r>
        <w:rPr>
          <w:rFonts w:hint="eastAsia" w:ascii="宋体" w:hAnsi="宋体"/>
          <w:szCs w:val="21"/>
        </w:rPr>
        <w:t>3.我方此次向贵方提供的产品名称为：</w:t>
      </w:r>
      <w:r>
        <w:rPr>
          <w:rFonts w:hint="eastAsia" w:ascii="宋体" w:hAnsi="宋体"/>
          <w:szCs w:val="21"/>
          <w:u w:val="single"/>
        </w:rPr>
        <w:t xml:space="preserve">                 </w:t>
      </w:r>
      <w:r>
        <w:rPr>
          <w:rFonts w:hint="eastAsia" w:ascii="宋体" w:hAnsi="宋体"/>
          <w:szCs w:val="21"/>
        </w:rPr>
        <w:t>；规格型号：</w:t>
      </w:r>
      <w:r>
        <w:rPr>
          <w:rFonts w:hint="eastAsia" w:ascii="宋体" w:hAnsi="宋体"/>
          <w:szCs w:val="21"/>
          <w:u w:val="single"/>
        </w:rPr>
        <w:t xml:space="preserve">                     </w:t>
      </w:r>
      <w:r>
        <w:rPr>
          <w:rFonts w:hint="eastAsia" w:ascii="宋体" w:hAnsi="宋体"/>
          <w:szCs w:val="21"/>
        </w:rPr>
        <w:t>；该型号产品我方有现货可供，并已于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月生产完工或向　</w:t>
      </w:r>
      <w:r>
        <w:rPr>
          <w:rFonts w:hint="eastAsia" w:ascii="宋体" w:hAnsi="宋体"/>
          <w:szCs w:val="21"/>
          <w:u w:val="single"/>
        </w:rPr>
        <w:t xml:space="preserve">　              </w:t>
      </w:r>
      <w:r>
        <w:rPr>
          <w:rFonts w:hint="eastAsia" w:ascii="宋体" w:hAnsi="宋体"/>
          <w:szCs w:val="21"/>
        </w:rPr>
        <w:t>（原厂商名称）购进［</w:t>
      </w:r>
      <w:r>
        <w:rPr>
          <w:rFonts w:hint="eastAsia" w:ascii="宋体" w:hAnsi="宋体"/>
          <w:b/>
          <w:bCs/>
          <w:szCs w:val="21"/>
        </w:rPr>
        <w:t>或</w:t>
      </w:r>
      <w:r>
        <w:rPr>
          <w:rFonts w:hint="eastAsia" w:ascii="宋体" w:hAnsi="宋体"/>
          <w:szCs w:val="21"/>
        </w:rPr>
        <w:t>需在中标后向</w:t>
      </w:r>
      <w:r>
        <w:rPr>
          <w:rFonts w:hint="eastAsia" w:ascii="宋体" w:hAnsi="宋体"/>
          <w:szCs w:val="21"/>
          <w:u w:val="single"/>
        </w:rPr>
        <w:t xml:space="preserve">               </w:t>
      </w:r>
      <w:r>
        <w:rPr>
          <w:rFonts w:hint="eastAsia" w:ascii="宋体" w:hAnsi="宋体"/>
          <w:szCs w:val="21"/>
        </w:rPr>
        <w:t>订购］。</w:t>
      </w:r>
    </w:p>
    <w:p>
      <w:pPr>
        <w:snapToGrid w:val="0"/>
        <w:spacing w:before="156" w:beforeLines="50" w:line="340" w:lineRule="exact"/>
        <w:ind w:firstLine="420" w:firstLineChars="200"/>
        <w:rPr>
          <w:rFonts w:ascii="宋体" w:hAnsi="宋体"/>
          <w:szCs w:val="21"/>
        </w:rPr>
      </w:pPr>
      <w:r>
        <w:rPr>
          <w:rFonts w:hint="eastAsia" w:ascii="宋体" w:hAnsi="宋体"/>
          <w:szCs w:val="21"/>
        </w:rPr>
        <w:t>4.我方诚意提请贵方关注：近期有关该型号产品的生产、供货、售后服务以及性能等方面的重大决策和事项有：</w:t>
      </w:r>
    </w:p>
    <w:p>
      <w:pPr>
        <w:snapToGrid w:val="0"/>
        <w:spacing w:before="156" w:beforeLines="50" w:line="340" w:lineRule="exact"/>
        <w:ind w:firstLine="420" w:firstLineChars="200"/>
        <w:rPr>
          <w:rFonts w:ascii="宋体" w:hAnsi="宋体"/>
          <w:szCs w:val="21"/>
          <w:u w:val="single"/>
        </w:rPr>
      </w:pP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u w:val="single"/>
        </w:rPr>
        <w:t>　　　　　　　　　　　　　　　　　　　　　　　　　　　</w:t>
      </w:r>
    </w:p>
    <w:p>
      <w:pPr>
        <w:rPr>
          <w:rFonts w:ascii="宋体" w:hAnsi="宋体"/>
          <w:szCs w:val="21"/>
        </w:rPr>
      </w:pPr>
      <w:r>
        <w:rPr>
          <w:rFonts w:hint="eastAsia" w:ascii="宋体" w:hAnsi="宋体"/>
          <w:szCs w:val="21"/>
        </w:rPr>
        <w:t>5. 我方参加政府采购活动前三年内在经营活动中重大违法记录和不良信用记录情况：</w:t>
      </w:r>
    </w:p>
    <w:p>
      <w:pPr>
        <w:snapToGrid w:val="0"/>
        <w:spacing w:before="156" w:beforeLines="50" w:line="340" w:lineRule="exact"/>
        <w:ind w:firstLine="421" w:firstLineChars="200"/>
        <w:rPr>
          <w:rFonts w:ascii="宋体" w:hAnsi="宋体"/>
          <w:szCs w:val="21"/>
          <w:u w:val="single"/>
        </w:rPr>
      </w:pPr>
      <w:r>
        <w:rPr>
          <w:rFonts w:hint="eastAsia" w:ascii="宋体" w:hAnsi="宋体"/>
          <w:b/>
          <w:szCs w:val="21"/>
          <w:u w:val="single"/>
        </w:rPr>
        <w:t>　　　　　　</w:t>
      </w:r>
      <w:r>
        <w:rPr>
          <w:rFonts w:hint="eastAsia" w:ascii="宋体" w:hAnsi="宋体"/>
          <w:szCs w:val="21"/>
          <w:u w:val="single"/>
        </w:rPr>
        <w:t>　　　　　　　　　　　　　　　　　　　　　</w:t>
      </w:r>
    </w:p>
    <w:p>
      <w:pPr>
        <w:snapToGrid w:val="0"/>
        <w:spacing w:before="156" w:beforeLines="50" w:line="340" w:lineRule="exact"/>
        <w:ind w:firstLine="420" w:firstLineChars="200"/>
        <w:rPr>
          <w:rFonts w:ascii="宋体" w:hAnsi="宋体"/>
          <w:szCs w:val="21"/>
        </w:rPr>
      </w:pPr>
      <w:r>
        <w:rPr>
          <w:rFonts w:hint="eastAsia" w:ascii="宋体" w:hAnsi="宋体"/>
          <w:szCs w:val="21"/>
        </w:rPr>
        <w:t>6.以上事项如有虚假或隐瞒，我方愿意承担一切后果。</w:t>
      </w:r>
    </w:p>
    <w:p>
      <w:pPr>
        <w:snapToGrid w:val="0"/>
        <w:spacing w:before="156" w:beforeLines="50" w:line="340" w:lineRule="exact"/>
        <w:ind w:firstLine="3509" w:firstLineChars="1671"/>
        <w:rPr>
          <w:rFonts w:ascii="宋体" w:hAnsi="宋体"/>
          <w:szCs w:val="21"/>
          <w:u w:val="single"/>
        </w:rPr>
      </w:pPr>
      <w:r>
        <w:rPr>
          <w:rFonts w:hint="eastAsia" w:ascii="宋体" w:hAnsi="宋体"/>
          <w:szCs w:val="21"/>
        </w:rPr>
        <w:t>法定代表人或委托代理人签字或签章：</w:t>
      </w:r>
      <w:r>
        <w:rPr>
          <w:rFonts w:hint="eastAsia" w:ascii="宋体" w:hAnsi="宋体"/>
          <w:szCs w:val="21"/>
          <w:u w:val="single"/>
        </w:rPr>
        <w:t xml:space="preserve">             </w:t>
      </w:r>
    </w:p>
    <w:p>
      <w:pPr>
        <w:snapToGrid w:val="0"/>
        <w:spacing w:before="156" w:beforeLines="50" w:after="50" w:line="340" w:lineRule="exact"/>
        <w:ind w:firstLine="3570" w:firstLineChars="1700"/>
        <w:rPr>
          <w:rFonts w:ascii="宋体" w:hAnsi="宋体"/>
          <w:szCs w:val="21"/>
        </w:rPr>
      </w:pPr>
      <w:r>
        <w:rPr>
          <w:rFonts w:hint="eastAsia" w:ascii="宋体" w:hAnsi="宋体"/>
          <w:szCs w:val="21"/>
        </w:rPr>
        <w:t>投标人公章：</w:t>
      </w:r>
      <w:r>
        <w:rPr>
          <w:rFonts w:hint="eastAsia" w:ascii="宋体" w:hAnsi="宋体"/>
          <w:szCs w:val="21"/>
          <w:u w:val="single"/>
        </w:rPr>
        <w:t xml:space="preserve">               </w:t>
      </w:r>
      <w:r>
        <w:rPr>
          <w:rFonts w:hint="eastAsia" w:ascii="宋体" w:hAnsi="宋体"/>
          <w:szCs w:val="21"/>
        </w:rPr>
        <w:t xml:space="preserve">                     </w:t>
      </w:r>
    </w:p>
    <w:p>
      <w:pPr>
        <w:snapToGrid w:val="0"/>
        <w:spacing w:before="156" w:beforeLines="50" w:after="50" w:line="340" w:lineRule="exact"/>
        <w:ind w:firstLine="210" w:firstLineChars="100"/>
        <w:rPr>
          <w:rFonts w:ascii="宋体" w:hAnsi="宋体"/>
          <w:szCs w:val="21"/>
        </w:rPr>
      </w:pPr>
      <w:r>
        <w:rPr>
          <w:rFonts w:hint="eastAsia" w:ascii="宋体" w:hAnsi="宋体"/>
          <w:szCs w:val="21"/>
        </w:rPr>
        <w:t xml:space="preserve">                                          年    月    日</w:t>
      </w:r>
    </w:p>
    <w:p>
      <w:pPr>
        <w:widowControl/>
        <w:spacing w:before="100" w:beforeAutospacing="1" w:after="100" w:afterAutospacing="1" w:line="432" w:lineRule="auto"/>
        <w:ind w:firstLine="413" w:firstLineChars="196"/>
        <w:jc w:val="left"/>
        <w:rPr>
          <w:rFonts w:ascii="宋体" w:hAnsi="宋体"/>
          <w:b/>
          <w:szCs w:val="21"/>
          <w:u w:val="single"/>
        </w:rPr>
      </w:pPr>
      <w:r>
        <w:rPr>
          <w:rFonts w:hint="eastAsia" w:ascii="宋体" w:hAnsi="宋体"/>
          <w:b/>
          <w:szCs w:val="21"/>
          <w:u w:val="single"/>
        </w:rPr>
        <w:t>（重大违法记录，是指供应商因违法经营受到刑事处罚或者责令停产停业、吊销许可证或者执照、较大数额罚款等行政处罚。）</w:t>
      </w:r>
    </w:p>
    <w:p>
      <w:pPr>
        <w:snapToGrid w:val="0"/>
        <w:spacing w:before="50" w:after="156" w:afterLines="50" w:line="340" w:lineRule="exact"/>
        <w:jc w:val="left"/>
        <w:rPr>
          <w:rFonts w:ascii="宋体" w:hAnsi="宋体"/>
          <w:b/>
          <w:szCs w:val="21"/>
        </w:rPr>
      </w:pPr>
    </w:p>
    <w:p>
      <w:pPr>
        <w:snapToGrid w:val="0"/>
        <w:spacing w:before="50" w:after="156" w:afterLines="50" w:line="340" w:lineRule="exact"/>
        <w:jc w:val="left"/>
        <w:rPr>
          <w:rFonts w:ascii="宋体" w:hAnsi="宋体"/>
          <w:b/>
          <w:szCs w:val="21"/>
        </w:rPr>
      </w:pPr>
      <w:r>
        <w:rPr>
          <w:rFonts w:hint="eastAsia" w:ascii="宋体" w:hAnsi="宋体"/>
          <w:b/>
          <w:szCs w:val="21"/>
        </w:rPr>
        <w:t>（3）法定代表人授权委托书格式：</w:t>
      </w:r>
    </w:p>
    <w:p>
      <w:pPr>
        <w:snapToGrid w:val="0"/>
        <w:spacing w:before="156" w:beforeLines="50" w:after="50" w:line="340" w:lineRule="exact"/>
        <w:jc w:val="center"/>
        <w:rPr>
          <w:rFonts w:ascii="仿宋_GB2312" w:hAnsi="宋体" w:eastAsia="仿宋_GB2312"/>
          <w:b/>
          <w:sz w:val="30"/>
          <w:szCs w:val="30"/>
        </w:rPr>
      </w:pPr>
    </w:p>
    <w:p>
      <w:pPr>
        <w:snapToGrid w:val="0"/>
        <w:spacing w:before="156" w:beforeLines="50" w:after="50" w:line="340" w:lineRule="exact"/>
        <w:jc w:val="center"/>
        <w:rPr>
          <w:rFonts w:ascii="仿宋_GB2312" w:hAnsi="宋体" w:eastAsia="仿宋_GB2312"/>
          <w:b/>
          <w:sz w:val="30"/>
          <w:szCs w:val="30"/>
        </w:rPr>
      </w:pPr>
    </w:p>
    <w:p>
      <w:pPr>
        <w:snapToGrid w:val="0"/>
        <w:spacing w:before="156" w:beforeLines="50" w:after="50" w:line="340" w:lineRule="exact"/>
        <w:jc w:val="center"/>
        <w:rPr>
          <w:rFonts w:ascii="仿宋_GB2312" w:hAnsi="宋体" w:eastAsia="仿宋_GB2312"/>
          <w:b/>
          <w:sz w:val="30"/>
          <w:szCs w:val="30"/>
        </w:rPr>
      </w:pPr>
      <w:r>
        <w:rPr>
          <w:rFonts w:hint="eastAsia" w:ascii="仿宋_GB2312" w:hAnsi="宋体" w:eastAsia="仿宋_GB2312"/>
          <w:b/>
          <w:sz w:val="30"/>
          <w:szCs w:val="30"/>
        </w:rPr>
        <w:t>法定代表人授权委托书</w:t>
      </w:r>
    </w:p>
    <w:p>
      <w:pPr>
        <w:snapToGrid w:val="0"/>
        <w:spacing w:before="156" w:beforeLines="50" w:after="50" w:line="480" w:lineRule="auto"/>
        <w:rPr>
          <w:rFonts w:ascii="宋体" w:hAnsi="宋体"/>
          <w:b/>
          <w:bCs/>
          <w:szCs w:val="21"/>
        </w:rPr>
      </w:pPr>
      <w:r>
        <w:rPr>
          <w:rFonts w:hint="eastAsia" w:ascii="宋体" w:hAnsi="宋体"/>
          <w:bCs/>
          <w:szCs w:val="21"/>
        </w:rPr>
        <w:t>致：</w:t>
      </w:r>
      <w:r>
        <w:rPr>
          <w:rFonts w:hint="eastAsia" w:ascii="宋体" w:hAnsi="宋体"/>
          <w:szCs w:val="21"/>
        </w:rPr>
        <w:t>_</w:t>
      </w:r>
      <w:r>
        <w:rPr>
          <w:rFonts w:hint="eastAsia"/>
          <w:u w:val="single"/>
        </w:rPr>
        <w:t>广西壮族自治区政府采购中心</w:t>
      </w:r>
      <w:r>
        <w:rPr>
          <w:rFonts w:hint="eastAsia" w:ascii="宋体" w:hAnsi="宋体"/>
          <w:szCs w:val="21"/>
        </w:rPr>
        <w:t>：</w:t>
      </w:r>
    </w:p>
    <w:p>
      <w:pPr>
        <w:snapToGrid w:val="0"/>
        <w:spacing w:before="156" w:beforeLines="50" w:after="50" w:line="480" w:lineRule="auto"/>
        <w:ind w:firstLine="630" w:firstLineChars="300"/>
        <w:rPr>
          <w:rFonts w:ascii="宋体" w:hAnsi="宋体"/>
          <w:szCs w:val="21"/>
        </w:rPr>
      </w:pPr>
      <w:r>
        <w:rPr>
          <w:rFonts w:hint="eastAsia" w:ascii="宋体" w:hAnsi="宋体"/>
          <w:szCs w:val="21"/>
        </w:rPr>
        <w:t>我______</w:t>
      </w:r>
      <w:r>
        <w:rPr>
          <w:rFonts w:hint="eastAsia" w:ascii="宋体" w:hAnsi="宋体"/>
          <w:szCs w:val="21"/>
          <w:u w:val="single"/>
        </w:rPr>
        <w:t>_     _</w:t>
      </w:r>
      <w:r>
        <w:rPr>
          <w:rFonts w:hint="eastAsia" w:ascii="宋体" w:hAnsi="宋体"/>
          <w:szCs w:val="21"/>
        </w:rPr>
        <w:t>_（姓名）系______</w:t>
      </w:r>
      <w:r>
        <w:rPr>
          <w:rFonts w:hint="eastAsia" w:ascii="宋体" w:hAnsi="宋体"/>
          <w:szCs w:val="21"/>
          <w:u w:val="single"/>
        </w:rPr>
        <w:t>_     _</w:t>
      </w:r>
      <w:r>
        <w:rPr>
          <w:rFonts w:hint="eastAsia" w:ascii="宋体" w:hAnsi="宋体"/>
          <w:szCs w:val="21"/>
        </w:rPr>
        <w:t xml:space="preserve">_（投标人名称）的法定代表人，现授权委托本单位在职职工 </w:t>
      </w:r>
      <w:r>
        <w:rPr>
          <w:rFonts w:hint="eastAsia" w:ascii="宋体" w:hAnsi="宋体"/>
          <w:szCs w:val="21"/>
          <w:u w:val="single"/>
        </w:rPr>
        <w:t xml:space="preserve">              </w:t>
      </w:r>
      <w:r>
        <w:rPr>
          <w:rFonts w:hint="eastAsia" w:ascii="宋体" w:hAnsi="宋体"/>
          <w:szCs w:val="21"/>
        </w:rPr>
        <w:t>（姓名）以我方的名义参加</w:t>
      </w:r>
      <w:r>
        <w:rPr>
          <w:rFonts w:hint="eastAsia" w:ascii="宋体" w:hAnsi="宋体"/>
          <w:szCs w:val="21"/>
          <w:u w:val="single"/>
        </w:rPr>
        <w:t xml:space="preserve">             </w:t>
      </w:r>
      <w:r>
        <w:rPr>
          <w:rFonts w:hint="eastAsia" w:ascii="宋体" w:hAnsi="宋体"/>
          <w:szCs w:val="21"/>
        </w:rPr>
        <w:t>项目的投标活动，并代表我方全权办理针对上述项目的投标、开标、评标、签约等具体事务和签署相关文件。</w:t>
      </w:r>
    </w:p>
    <w:p>
      <w:pPr>
        <w:snapToGrid w:val="0"/>
        <w:spacing w:before="156" w:beforeLines="50" w:after="50" w:line="480" w:lineRule="auto"/>
        <w:rPr>
          <w:rFonts w:ascii="宋体" w:hAnsi="宋体"/>
          <w:szCs w:val="21"/>
        </w:rPr>
      </w:pPr>
      <w:r>
        <w:rPr>
          <w:rFonts w:hint="eastAsia" w:ascii="宋体" w:hAnsi="宋体"/>
          <w:szCs w:val="21"/>
        </w:rPr>
        <w:t xml:space="preserve">    我方对被授权人的签名事项负全部责任。</w:t>
      </w:r>
    </w:p>
    <w:p>
      <w:pPr>
        <w:snapToGrid w:val="0"/>
        <w:spacing w:before="156" w:beforeLines="50" w:after="50" w:line="480" w:lineRule="auto"/>
        <w:ind w:firstLine="480"/>
        <w:rPr>
          <w:rFonts w:ascii="宋体" w:hAnsi="宋体"/>
          <w:szCs w:val="21"/>
        </w:rPr>
      </w:pPr>
      <w:r>
        <w:rPr>
          <w:rFonts w:hint="eastAsia" w:ascii="宋体" w:hAnsi="宋体"/>
          <w:szCs w:val="21"/>
          <w:u w:val="single"/>
        </w:rPr>
        <w:t>在撤销授权的书面通知以前，本授权书一直有效。</w:t>
      </w:r>
      <w:r>
        <w:rPr>
          <w:rFonts w:hint="eastAsia" w:ascii="宋体" w:hAnsi="宋体"/>
          <w:szCs w:val="21"/>
        </w:rPr>
        <w:t>被授权人在授权书有效期内签署的所有文件不因授权的撤销而失效。</w:t>
      </w:r>
    </w:p>
    <w:p>
      <w:pPr>
        <w:snapToGrid w:val="0"/>
        <w:spacing w:before="156" w:beforeLines="50" w:after="50" w:line="480" w:lineRule="auto"/>
        <w:ind w:firstLine="480"/>
        <w:rPr>
          <w:rFonts w:ascii="宋体" w:hAnsi="宋体"/>
          <w:szCs w:val="21"/>
        </w:rPr>
      </w:pPr>
      <w:r>
        <w:rPr>
          <w:rFonts w:hint="eastAsia" w:ascii="宋体" w:hAnsi="宋体"/>
          <w:szCs w:val="21"/>
        </w:rPr>
        <w:t>被授权人无转委托权，特此委托。</w:t>
      </w:r>
    </w:p>
    <w:p>
      <w:pPr>
        <w:snapToGrid w:val="0"/>
        <w:spacing w:before="156" w:beforeLines="50" w:after="50" w:line="480" w:lineRule="auto"/>
        <w:rPr>
          <w:rFonts w:ascii="宋体" w:hAnsi="宋体"/>
          <w:szCs w:val="21"/>
          <w:u w:val="single"/>
        </w:rPr>
      </w:pPr>
      <w:r>
        <w:rPr>
          <w:rFonts w:hint="eastAsia" w:ascii="宋体" w:hAnsi="宋体"/>
          <w:szCs w:val="21"/>
        </w:rPr>
        <w:t>被授权人签名：</w:t>
      </w:r>
      <w:r>
        <w:rPr>
          <w:rFonts w:hint="eastAsia" w:ascii="宋体" w:hAnsi="宋体"/>
          <w:szCs w:val="21"/>
          <w:u w:val="single"/>
        </w:rPr>
        <w:t xml:space="preserve">          </w:t>
      </w:r>
      <w:r>
        <w:rPr>
          <w:rFonts w:hint="eastAsia" w:ascii="宋体" w:hAnsi="宋体"/>
          <w:szCs w:val="21"/>
        </w:rPr>
        <w:t xml:space="preserve">                           法定代表人签字（或签章）：</w:t>
      </w:r>
      <w:r>
        <w:rPr>
          <w:rFonts w:hint="eastAsia" w:ascii="宋体" w:hAnsi="宋体"/>
          <w:szCs w:val="21"/>
          <w:u w:val="single"/>
        </w:rPr>
        <w:t xml:space="preserve">          </w:t>
      </w:r>
    </w:p>
    <w:p>
      <w:pPr>
        <w:snapToGrid w:val="0"/>
        <w:spacing w:before="156" w:beforeLines="50" w:after="50" w:line="480" w:lineRule="auto"/>
        <w:rPr>
          <w:rFonts w:ascii="宋体" w:hAnsi="宋体"/>
          <w:szCs w:val="21"/>
        </w:rPr>
      </w:pPr>
      <w:r>
        <w:rPr>
          <w:rFonts w:hint="eastAsia" w:ascii="宋体" w:hAnsi="宋体"/>
          <w:szCs w:val="21"/>
        </w:rPr>
        <w:t>所在部门职务：</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pPr>
        <w:snapToGrid w:val="0"/>
        <w:spacing w:before="156" w:beforeLines="50" w:after="50" w:line="480" w:lineRule="auto"/>
        <w:rPr>
          <w:rFonts w:ascii="宋体" w:hAnsi="宋体"/>
          <w:szCs w:val="21"/>
        </w:rPr>
      </w:pPr>
      <w:r>
        <w:rPr>
          <w:rFonts w:hint="eastAsia" w:ascii="宋体" w:hAnsi="宋体"/>
          <w:szCs w:val="21"/>
        </w:rPr>
        <w:t>被授权人身份证号码：</w:t>
      </w:r>
      <w:r>
        <w:rPr>
          <w:rFonts w:hint="eastAsia" w:ascii="宋体" w:hAnsi="宋体"/>
          <w:szCs w:val="21"/>
          <w:u w:val="single"/>
        </w:rPr>
        <w:t xml:space="preserve">                             </w:t>
      </w:r>
      <w:r>
        <w:rPr>
          <w:rFonts w:hint="eastAsia" w:ascii="宋体" w:hAnsi="宋体"/>
          <w:szCs w:val="21"/>
        </w:rPr>
        <w:t xml:space="preserve"> </w:t>
      </w:r>
    </w:p>
    <w:p>
      <w:pPr>
        <w:snapToGrid w:val="0"/>
        <w:spacing w:before="156" w:beforeLines="50" w:after="50" w:line="480" w:lineRule="auto"/>
        <w:rPr>
          <w:rFonts w:ascii="宋体" w:hAnsi="宋体"/>
          <w:szCs w:val="21"/>
        </w:rPr>
      </w:pPr>
      <w:r>
        <w:rPr>
          <w:rFonts w:hint="eastAsia" w:ascii="宋体" w:hAnsi="宋体"/>
          <w:szCs w:val="21"/>
        </w:rPr>
        <w:t>贴附“委托代理人身份证复印件”（正反两面）</w:t>
      </w:r>
    </w:p>
    <w:p>
      <w:pPr>
        <w:snapToGrid w:val="0"/>
        <w:spacing w:before="156" w:beforeLines="50" w:after="50" w:line="480" w:lineRule="auto"/>
        <w:rPr>
          <w:rFonts w:ascii="宋体" w:hAnsi="宋体"/>
          <w:szCs w:val="21"/>
        </w:rPr>
      </w:pPr>
    </w:p>
    <w:p>
      <w:pPr>
        <w:snapToGrid w:val="0"/>
        <w:spacing w:before="156" w:beforeLines="50" w:after="50" w:line="480" w:lineRule="auto"/>
        <w:rPr>
          <w:rFonts w:ascii="宋体" w:hAnsi="宋体"/>
          <w:szCs w:val="21"/>
        </w:rPr>
      </w:pPr>
    </w:p>
    <w:p>
      <w:pPr>
        <w:snapToGrid w:val="0"/>
        <w:spacing w:before="156" w:beforeLines="50" w:after="50" w:line="480" w:lineRule="auto"/>
        <w:rPr>
          <w:rFonts w:ascii="宋体" w:hAnsi="宋体"/>
          <w:szCs w:val="21"/>
        </w:rPr>
      </w:pPr>
    </w:p>
    <w:p>
      <w:pPr>
        <w:snapToGrid w:val="0"/>
        <w:spacing w:before="156" w:beforeLines="50" w:after="50" w:line="480" w:lineRule="auto"/>
        <w:ind w:firstLine="4620" w:firstLineChars="2200"/>
        <w:rPr>
          <w:rFonts w:ascii="宋体" w:hAnsi="宋体"/>
          <w:szCs w:val="21"/>
        </w:rPr>
      </w:pPr>
      <w:r>
        <w:rPr>
          <w:rFonts w:hint="eastAsia" w:ascii="宋体" w:hAnsi="宋体"/>
          <w:szCs w:val="21"/>
        </w:rPr>
        <w:t xml:space="preserve">  投标人公章：</w:t>
      </w:r>
    </w:p>
    <w:p>
      <w:pPr>
        <w:snapToGrid w:val="0"/>
        <w:spacing w:before="156" w:beforeLines="50" w:after="50" w:line="480" w:lineRule="auto"/>
        <w:jc w:val="center"/>
        <w:rPr>
          <w:rFonts w:ascii="宋体" w:hAnsi="宋体"/>
          <w:szCs w:val="21"/>
        </w:rPr>
      </w:pPr>
      <w:r>
        <w:rPr>
          <w:rFonts w:hint="eastAsia" w:ascii="宋体" w:hAnsi="宋体"/>
          <w:szCs w:val="21"/>
        </w:rPr>
        <w:t xml:space="preserve">                                        年    月    日</w:t>
      </w:r>
    </w:p>
    <w:p>
      <w:pPr>
        <w:snapToGrid w:val="0"/>
        <w:spacing w:before="312" w:beforeLines="100" w:after="312" w:afterLines="100" w:line="360" w:lineRule="exact"/>
        <w:ind w:firstLine="413" w:firstLineChars="196"/>
        <w:jc w:val="left"/>
        <w:rPr>
          <w:rFonts w:ascii="宋体" w:hAnsi="宋体"/>
          <w:b/>
          <w:szCs w:val="21"/>
        </w:rPr>
      </w:pPr>
    </w:p>
    <w:p>
      <w:pPr>
        <w:snapToGrid w:val="0"/>
        <w:spacing w:before="312" w:beforeLines="100" w:after="312" w:afterLines="100" w:line="360" w:lineRule="exact"/>
        <w:ind w:firstLine="413" w:firstLineChars="196"/>
        <w:jc w:val="left"/>
        <w:rPr>
          <w:rFonts w:ascii="宋体" w:hAnsi="宋体"/>
          <w:b/>
          <w:szCs w:val="21"/>
        </w:rPr>
      </w:pPr>
      <w:r>
        <w:rPr>
          <w:rFonts w:hint="eastAsia" w:ascii="宋体" w:hAnsi="宋体"/>
          <w:b/>
          <w:szCs w:val="21"/>
        </w:rPr>
        <w:t>（4）投标截止之日前半年内投标人连续三个月的依法缴纳税费或依法免缴税费的证明（扫描件或其他电子文件，格式自拟）（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无纳税记录的，应提供由投标人所在地主管国税或地税部门出具的《依法纳税或依法免税证明》（格式自拟，</w:t>
      </w:r>
      <w:r>
        <w:rPr>
          <w:rFonts w:hint="eastAsia" w:ascii="宋体" w:hAnsi="宋体"/>
          <w:b/>
          <w:szCs w:val="21"/>
        </w:rPr>
        <w:t>扫描件或其他电子文件</w:t>
      </w:r>
      <w:r>
        <w:rPr>
          <w:rFonts w:hint="eastAsia" w:ascii="宋体" w:hAnsi="宋体"/>
          <w:szCs w:val="21"/>
        </w:rPr>
        <w:t>）。</w:t>
      </w:r>
    </w:p>
    <w:p>
      <w:pPr>
        <w:snapToGrid w:val="0"/>
        <w:spacing w:before="312" w:beforeLines="100" w:after="312" w:afterLines="100" w:line="360" w:lineRule="exact"/>
        <w:ind w:firstLine="413" w:firstLineChars="196"/>
        <w:jc w:val="left"/>
        <w:rPr>
          <w:rFonts w:ascii="宋体" w:hAnsi="宋体"/>
          <w:b/>
          <w:szCs w:val="21"/>
        </w:rPr>
      </w:pPr>
      <w:r>
        <w:rPr>
          <w:rFonts w:hint="eastAsia" w:ascii="宋体" w:hAnsi="宋体"/>
          <w:b/>
          <w:szCs w:val="21"/>
        </w:rPr>
        <w:t>（5）投标截止之日前半年内投标人连续三个月的依法缴纳社保费的缴费凭证</w:t>
      </w:r>
      <w:r>
        <w:rPr>
          <w:rFonts w:hint="eastAsia" w:ascii="宋体" w:hAnsi="宋体"/>
          <w:szCs w:val="21"/>
        </w:rPr>
        <w:t>（</w:t>
      </w:r>
      <w:r>
        <w:rPr>
          <w:rFonts w:hint="eastAsia" w:ascii="宋体" w:hAnsi="宋体"/>
          <w:b/>
          <w:szCs w:val="21"/>
        </w:rPr>
        <w:t>扫描件或其他电子文件，格式自拟）（</w:t>
      </w:r>
      <w:r>
        <w:rPr>
          <w:rFonts w:hint="eastAsia" w:ascii="宋体" w:hAnsi="宋体"/>
          <w:b/>
          <w:szCs w:val="21"/>
          <w:u w:val="single"/>
        </w:rPr>
        <w:t>必须提供</w:t>
      </w:r>
      <w:r>
        <w:rPr>
          <w:rFonts w:hint="eastAsia" w:ascii="宋体" w:hAnsi="宋体"/>
          <w:b/>
          <w:szCs w:val="21"/>
        </w:rPr>
        <w:t>）；</w:t>
      </w:r>
      <w:r>
        <w:rPr>
          <w:rFonts w:hint="eastAsia" w:ascii="宋体" w:hAnsi="宋体"/>
          <w:szCs w:val="21"/>
        </w:rPr>
        <w:t>无缴费记录的，应提供由投标人所在地社保部门出具的《依法缴纳或依法免缴社保费证明》（格式自拟，</w:t>
      </w:r>
      <w:r>
        <w:rPr>
          <w:rFonts w:hint="eastAsia" w:ascii="宋体" w:hAnsi="宋体"/>
          <w:b/>
          <w:szCs w:val="21"/>
        </w:rPr>
        <w:t>扫描件或其他电子文件</w:t>
      </w:r>
      <w:r>
        <w:rPr>
          <w:rFonts w:hint="eastAsia" w:ascii="宋体" w:hAnsi="宋体"/>
          <w:szCs w:val="21"/>
        </w:rPr>
        <w:t>）。</w:t>
      </w:r>
    </w:p>
    <w:p>
      <w:pPr>
        <w:snapToGrid w:val="0"/>
        <w:spacing w:before="312" w:beforeLines="100" w:after="312" w:afterLines="100" w:line="360" w:lineRule="exact"/>
        <w:ind w:firstLine="421" w:firstLineChars="200"/>
        <w:jc w:val="left"/>
        <w:rPr>
          <w:rFonts w:hAnsi="宋体"/>
          <w:b/>
          <w:szCs w:val="21"/>
        </w:rPr>
      </w:pPr>
      <w:r>
        <w:rPr>
          <w:rFonts w:hint="eastAsia" w:hAnsi="宋体"/>
          <w:b/>
          <w:szCs w:val="21"/>
        </w:rPr>
        <w:t>（6）财务状况报告（</w:t>
      </w:r>
      <w:r>
        <w:rPr>
          <w:rFonts w:hint="eastAsia" w:hAnsi="宋体"/>
          <w:b/>
          <w:szCs w:val="21"/>
          <w:u w:val="single"/>
        </w:rPr>
        <w:t>格式自拟，必须提供</w:t>
      </w:r>
      <w:r>
        <w:rPr>
          <w:rFonts w:hint="eastAsia" w:hAnsi="宋体"/>
          <w:b/>
          <w:szCs w:val="21"/>
        </w:rPr>
        <w:t>）；</w:t>
      </w:r>
    </w:p>
    <w:p>
      <w:pPr>
        <w:snapToGrid w:val="0"/>
        <w:spacing w:before="312" w:beforeLines="100" w:after="312" w:afterLines="100" w:line="360" w:lineRule="exact"/>
        <w:ind w:firstLine="413" w:firstLineChars="196"/>
        <w:jc w:val="left"/>
        <w:rPr>
          <w:rFonts w:hAnsi="宋体"/>
          <w:szCs w:val="21"/>
        </w:rPr>
      </w:pPr>
      <w:r>
        <w:rPr>
          <w:rFonts w:hint="eastAsia" w:hAnsi="宋体" w:cs="宋体"/>
          <w:b/>
          <w:kern w:val="0"/>
          <w:szCs w:val="21"/>
        </w:rPr>
        <w:t>（7）</w:t>
      </w:r>
      <w:r>
        <w:rPr>
          <w:rFonts w:hint="eastAsia" w:hAnsi="宋体"/>
          <w:b/>
          <w:szCs w:val="21"/>
        </w:rPr>
        <w:t>具备履行合同所必需的设备和专业技术能力的证明材料（</w:t>
      </w:r>
      <w:r>
        <w:rPr>
          <w:rFonts w:hint="eastAsia" w:hAnsi="宋体"/>
          <w:b/>
          <w:szCs w:val="21"/>
          <w:u w:val="single"/>
        </w:rPr>
        <w:t>内容、格式自拟，必须提供</w:t>
      </w:r>
      <w:r>
        <w:rPr>
          <w:rFonts w:hint="eastAsia" w:hAnsi="宋体"/>
          <w:b/>
          <w:szCs w:val="21"/>
        </w:rPr>
        <w:t>）</w:t>
      </w:r>
      <w:r>
        <w:rPr>
          <w:rFonts w:hint="eastAsia" w:hAnsi="宋体" w:cs="宋体"/>
          <w:b/>
          <w:kern w:val="0"/>
          <w:szCs w:val="21"/>
        </w:rPr>
        <w:t>；</w:t>
      </w:r>
    </w:p>
    <w:p>
      <w:pPr>
        <w:snapToGrid w:val="0"/>
        <w:spacing w:before="50" w:line="360" w:lineRule="exact"/>
        <w:jc w:val="left"/>
        <w:rPr>
          <w:rFonts w:ascii="宋体" w:hAnsi="宋体"/>
          <w:b/>
          <w:szCs w:val="21"/>
        </w:rPr>
      </w:pPr>
      <w:r>
        <w:rPr>
          <w:rFonts w:hint="eastAsia" w:ascii="宋体" w:hAnsi="宋体"/>
          <w:b/>
          <w:szCs w:val="21"/>
        </w:rPr>
        <w:t>（8）商务响应表格式：</w:t>
      </w:r>
    </w:p>
    <w:p>
      <w:pPr>
        <w:snapToGrid w:val="0"/>
        <w:spacing w:before="50" w:line="360" w:lineRule="exact"/>
        <w:jc w:val="center"/>
        <w:rPr>
          <w:rFonts w:ascii="宋体" w:hAnsi="宋体"/>
          <w:szCs w:val="21"/>
          <w:u w:val="single"/>
        </w:rPr>
      </w:pPr>
      <w:r>
        <w:rPr>
          <w:rFonts w:hint="eastAsia" w:ascii="宋体" w:hAnsi="宋体"/>
          <w:b/>
          <w:szCs w:val="21"/>
        </w:rPr>
        <w:t>商务响应表</w:t>
      </w:r>
    </w:p>
    <w:p>
      <w:pPr>
        <w:snapToGrid w:val="0"/>
        <w:spacing w:before="50" w:line="360" w:lineRule="exact"/>
        <w:jc w:val="left"/>
        <w:rPr>
          <w:rFonts w:ascii="宋体" w:hAnsi="宋体"/>
          <w:szCs w:val="21"/>
          <w:u w:val="single"/>
        </w:rPr>
      </w:pPr>
    </w:p>
    <w:tbl>
      <w:tblPr>
        <w:tblStyle w:val="5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2955"/>
        <w:gridCol w:w="2625"/>
        <w:gridCol w:w="23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48"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项号</w:t>
            </w:r>
          </w:p>
        </w:tc>
        <w:tc>
          <w:tcPr>
            <w:tcW w:w="2955"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招标文件要求</w:t>
            </w:r>
          </w:p>
        </w:tc>
        <w:tc>
          <w:tcPr>
            <w:tcW w:w="2625"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是否提供并响应</w:t>
            </w:r>
          </w:p>
        </w:tc>
        <w:tc>
          <w:tcPr>
            <w:tcW w:w="2340" w:type="dxa"/>
            <w:tcBorders>
              <w:top w:val="single" w:color="auto" w:sz="4" w:space="0"/>
              <w:left w:val="single" w:color="auto" w:sz="4" w:space="0"/>
              <w:bottom w:val="single" w:color="auto" w:sz="4" w:space="0"/>
              <w:right w:val="single" w:color="auto" w:sz="4" w:space="0"/>
            </w:tcBorders>
          </w:tcPr>
          <w:p>
            <w:pPr>
              <w:snapToGrid w:val="0"/>
              <w:spacing w:before="156" w:beforeLines="50" w:line="360" w:lineRule="exact"/>
              <w:jc w:val="center"/>
              <w:rPr>
                <w:rFonts w:ascii="宋体" w:hAnsi="宋体"/>
                <w:szCs w:val="21"/>
              </w:rPr>
            </w:pPr>
            <w:r>
              <w:rPr>
                <w:rFonts w:hint="eastAsia" w:ascii="宋体" w:hAnsi="宋体"/>
                <w:szCs w:val="21"/>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1</w:t>
            </w:r>
          </w:p>
        </w:tc>
        <w:tc>
          <w:tcPr>
            <w:tcW w:w="2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hAnsi="宋体" w:cs="宋体"/>
                <w:szCs w:val="21"/>
              </w:rPr>
              <w:t>交付使用时间</w:t>
            </w:r>
            <w:r>
              <w:rPr>
                <w:rFonts w:hint="eastAsia" w:ascii="宋体" w:hAnsi="宋体" w:cs="宋体"/>
                <w:kern w:val="0"/>
                <w:szCs w:val="21"/>
              </w:rPr>
              <w:t>：</w:t>
            </w:r>
            <w:r>
              <w:rPr>
                <w:rFonts w:hint="eastAsia" w:ascii="宋体" w:hAnsi="宋体"/>
                <w:szCs w:val="21"/>
              </w:rPr>
              <w:t>…</w:t>
            </w:r>
          </w:p>
        </w:tc>
        <w:tc>
          <w:tcPr>
            <w:tcW w:w="2625" w:type="dxa"/>
            <w:tcBorders>
              <w:top w:val="single" w:color="auto" w:sz="4" w:space="0"/>
              <w:left w:val="single" w:color="auto" w:sz="4" w:space="0"/>
              <w:bottom w:val="single" w:color="auto" w:sz="4" w:space="0"/>
              <w:right w:val="single" w:color="auto" w:sz="4" w:space="0"/>
            </w:tcBorders>
            <w:vAlign w:val="center"/>
          </w:tcPr>
          <w:p>
            <w:pPr>
              <w:snapToGrid w:val="0"/>
              <w:ind w:firstLine="315" w:firstLineChars="150"/>
              <w:rPr>
                <w:rFonts w:ascii="宋体" w:hAnsi="宋体"/>
                <w:szCs w:val="21"/>
              </w:rPr>
            </w:pP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kern w:val="0"/>
                <w:szCs w:val="21"/>
              </w:rPr>
            </w:pPr>
            <w:r>
              <w:rPr>
                <w:rFonts w:hint="eastAsia" w:ascii="宋体" w:hAnsi="宋体" w:cs="宋体"/>
                <w:kern w:val="0"/>
                <w:szCs w:val="21"/>
              </w:rPr>
              <w:t>2</w:t>
            </w:r>
          </w:p>
        </w:tc>
        <w:tc>
          <w:tcPr>
            <w:tcW w:w="2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cs="宋体"/>
                <w:kern w:val="0"/>
                <w:szCs w:val="21"/>
              </w:rPr>
              <w:t>交货地点：</w:t>
            </w:r>
            <w:r>
              <w:rPr>
                <w:rFonts w:ascii="宋体" w:hAnsi="宋体"/>
                <w:szCs w:val="21"/>
              </w:rPr>
              <w:t xml:space="preserve"> </w:t>
            </w:r>
            <w:r>
              <w:rPr>
                <w:rFonts w:hint="eastAsia" w:ascii="宋体" w:hAnsi="宋体"/>
                <w:szCs w:val="21"/>
              </w:rPr>
              <w:t>…</w:t>
            </w:r>
          </w:p>
        </w:tc>
        <w:tc>
          <w:tcPr>
            <w:tcW w:w="262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kern w:val="0"/>
                <w:szCs w:val="21"/>
              </w:rPr>
            </w:pPr>
            <w:r>
              <w:rPr>
                <w:rFonts w:hint="eastAsia" w:ascii="宋体" w:hAnsi="宋体" w:cs="宋体"/>
                <w:kern w:val="0"/>
                <w:szCs w:val="21"/>
              </w:rPr>
              <w:t>3</w:t>
            </w:r>
          </w:p>
        </w:tc>
        <w:tc>
          <w:tcPr>
            <w:tcW w:w="2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cs="宋体"/>
                <w:kern w:val="0"/>
                <w:szCs w:val="21"/>
              </w:rPr>
              <w:t>付款方式：</w:t>
            </w:r>
            <w:r>
              <w:rPr>
                <w:rFonts w:hint="eastAsia" w:ascii="宋体" w:hAnsi="宋体"/>
                <w:szCs w:val="21"/>
              </w:rPr>
              <w:t>…</w:t>
            </w:r>
          </w:p>
        </w:tc>
        <w:tc>
          <w:tcPr>
            <w:tcW w:w="2625" w:type="dxa"/>
            <w:tcBorders>
              <w:top w:val="single" w:color="auto" w:sz="4" w:space="0"/>
              <w:left w:val="single" w:color="auto" w:sz="4" w:space="0"/>
              <w:bottom w:val="single" w:color="auto" w:sz="4" w:space="0"/>
              <w:right w:val="single" w:color="auto" w:sz="4" w:space="0"/>
            </w:tcBorders>
            <w:vAlign w:val="center"/>
          </w:tcPr>
          <w:p>
            <w:pPr>
              <w:snapToGrid w:val="0"/>
              <w:ind w:left="43"/>
              <w:rPr>
                <w:rFonts w:ascii="宋体" w:hAnsi="宋体"/>
                <w:szCs w:val="21"/>
              </w:rPr>
            </w:pP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ind w:left="43"/>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kern w:val="0"/>
                <w:szCs w:val="21"/>
              </w:rPr>
            </w:pPr>
            <w:r>
              <w:rPr>
                <w:rFonts w:hint="eastAsia" w:ascii="宋体" w:hAnsi="宋体" w:cs="宋体"/>
                <w:kern w:val="0"/>
                <w:szCs w:val="21"/>
              </w:rPr>
              <w:t>4</w:t>
            </w:r>
          </w:p>
        </w:tc>
        <w:tc>
          <w:tcPr>
            <w:tcW w:w="2955" w:type="dxa"/>
            <w:tcBorders>
              <w:top w:val="single" w:color="auto" w:sz="4" w:space="0"/>
              <w:left w:val="single" w:color="auto" w:sz="4" w:space="0"/>
              <w:bottom w:val="single" w:color="auto" w:sz="4" w:space="0"/>
              <w:right w:val="single" w:color="auto" w:sz="4" w:space="0"/>
            </w:tcBorders>
            <w:vAlign w:val="center"/>
          </w:tcPr>
          <w:p>
            <w:pPr>
              <w:snapToGrid w:val="0"/>
              <w:ind w:left="105" w:hanging="105" w:hangingChars="50"/>
              <w:jc w:val="center"/>
              <w:rPr>
                <w:rFonts w:ascii="宋体" w:hAnsi="宋体"/>
                <w:szCs w:val="21"/>
              </w:rPr>
            </w:pPr>
            <w:r>
              <w:rPr>
                <w:rFonts w:hint="eastAsia" w:ascii="宋体" w:hAnsi="宋体" w:cs="宋体"/>
                <w:kern w:val="0"/>
                <w:szCs w:val="21"/>
              </w:rPr>
              <w:t>质保期：</w:t>
            </w:r>
            <w:r>
              <w:rPr>
                <w:rFonts w:hint="eastAsia" w:ascii="宋体" w:hAnsi="宋体"/>
                <w:szCs w:val="21"/>
              </w:rPr>
              <w:t>…</w:t>
            </w:r>
          </w:p>
        </w:tc>
        <w:tc>
          <w:tcPr>
            <w:tcW w:w="262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5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w:t>
            </w:r>
          </w:p>
        </w:tc>
        <w:tc>
          <w:tcPr>
            <w:tcW w:w="295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szCs w:val="21"/>
              </w:rPr>
            </w:pPr>
            <w:r>
              <w:rPr>
                <w:rFonts w:hint="eastAsia" w:ascii="宋体" w:hAnsi="宋体"/>
                <w:szCs w:val="21"/>
              </w:rPr>
              <w:t>…</w:t>
            </w:r>
          </w:p>
        </w:tc>
        <w:tc>
          <w:tcPr>
            <w:tcW w:w="262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szCs w:val="21"/>
              </w:rPr>
            </w:pPr>
          </w:p>
        </w:tc>
      </w:tr>
    </w:tbl>
    <w:p>
      <w:pPr>
        <w:snapToGrid w:val="0"/>
        <w:spacing w:before="50" w:after="50" w:line="360" w:lineRule="exact"/>
        <w:rPr>
          <w:rFonts w:ascii="宋体" w:hAnsi="宋体"/>
          <w:spacing w:val="20"/>
          <w:szCs w:val="21"/>
        </w:rPr>
      </w:pPr>
    </w:p>
    <w:p>
      <w:pPr>
        <w:snapToGrid w:val="0"/>
        <w:spacing w:before="50" w:after="50" w:line="360" w:lineRule="exact"/>
        <w:ind w:firstLine="210" w:firstLineChars="100"/>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line="360" w:lineRule="exact"/>
        <w:ind w:firstLine="245" w:firstLineChars="98"/>
        <w:jc w:val="left"/>
        <w:rPr>
          <w:rFonts w:ascii="宋体" w:hAnsi="宋体"/>
          <w:spacing w:val="20"/>
          <w:szCs w:val="21"/>
        </w:rPr>
      </w:pPr>
    </w:p>
    <w:p>
      <w:pPr>
        <w:snapToGrid w:val="0"/>
        <w:spacing w:line="360" w:lineRule="exact"/>
        <w:ind w:firstLine="245" w:firstLineChars="98"/>
        <w:jc w:val="left"/>
        <w:rPr>
          <w:rFonts w:ascii="宋体" w:hAnsi="宋体"/>
          <w:b/>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line="360" w:lineRule="exact"/>
        <w:ind w:firstLine="206" w:firstLineChars="98"/>
        <w:jc w:val="left"/>
        <w:rPr>
          <w:rFonts w:ascii="宋体" w:hAnsi="宋体"/>
          <w:b/>
          <w:szCs w:val="21"/>
        </w:rPr>
      </w:pPr>
    </w:p>
    <w:p>
      <w:pPr>
        <w:snapToGrid w:val="0"/>
        <w:spacing w:line="360" w:lineRule="exact"/>
        <w:ind w:left="840" w:hanging="840" w:hangingChars="400"/>
        <w:jc w:val="left"/>
        <w:rPr>
          <w:rFonts w:ascii="宋体" w:hAnsi="宋体"/>
          <w:b/>
          <w:szCs w:val="21"/>
        </w:rPr>
      </w:pPr>
      <w:r>
        <w:rPr>
          <w:rFonts w:hAnsi="宋体"/>
        </w:rPr>
        <w:br w:type="page"/>
      </w:r>
      <w:r>
        <w:rPr>
          <w:rFonts w:hint="eastAsia" w:hAnsi="宋体"/>
        </w:rPr>
        <w:t>▲</w:t>
      </w:r>
      <w:r>
        <w:rPr>
          <w:rFonts w:hint="eastAsia" w:ascii="宋体" w:hAnsi="宋体"/>
          <w:b/>
          <w:szCs w:val="21"/>
        </w:rPr>
        <w:t>（9）招标项目采购需求中要求必须提供的材料等；</w:t>
      </w:r>
      <w:r>
        <w:rPr>
          <w:rFonts w:hint="eastAsia" w:ascii="宋体" w:hAnsi="宋体"/>
          <w:szCs w:val="21"/>
        </w:rPr>
        <w:t>（招标项目采购需求中要求必须提供的材料，据实提供）</w:t>
      </w:r>
    </w:p>
    <w:p>
      <w:pPr>
        <w:snapToGrid w:val="0"/>
        <w:spacing w:before="312" w:beforeLines="100" w:after="312" w:afterLines="100" w:line="360" w:lineRule="exact"/>
        <w:ind w:firstLine="205" w:firstLineChars="98"/>
        <w:jc w:val="left"/>
        <w:rPr>
          <w:rFonts w:ascii="宋体" w:hAnsi="宋体"/>
          <w:b/>
          <w:szCs w:val="21"/>
        </w:rPr>
      </w:pPr>
      <w:r>
        <w:rPr>
          <w:rFonts w:hint="eastAsia" w:ascii="宋体" w:hAnsi="宋体"/>
          <w:szCs w:val="21"/>
        </w:rPr>
        <w:t xml:space="preserve"> （10）具备法律、行政法规规定的其他条件的证明材料</w:t>
      </w:r>
      <w:r>
        <w:rPr>
          <w:rFonts w:hint="eastAsia" w:ascii="宋体" w:hAnsi="宋体"/>
          <w:b/>
          <w:szCs w:val="21"/>
        </w:rPr>
        <w:t>；</w:t>
      </w:r>
      <w:r>
        <w:rPr>
          <w:rFonts w:hint="eastAsia" w:ascii="宋体" w:hAnsi="宋体"/>
          <w:szCs w:val="21"/>
        </w:rPr>
        <w:t>（格式自拟）</w:t>
      </w:r>
    </w:p>
    <w:p>
      <w:pPr>
        <w:snapToGrid w:val="0"/>
        <w:spacing w:before="312" w:beforeLines="100" w:after="312" w:afterLines="100" w:line="360" w:lineRule="exact"/>
        <w:ind w:firstLine="205" w:firstLineChars="98"/>
        <w:jc w:val="left"/>
        <w:rPr>
          <w:rFonts w:ascii="宋体" w:hAnsi="宋体"/>
          <w:b/>
          <w:szCs w:val="21"/>
        </w:rPr>
      </w:pPr>
      <w:r>
        <w:rPr>
          <w:rFonts w:hint="eastAsia" w:ascii="宋体" w:hAnsi="宋体"/>
          <w:szCs w:val="21"/>
        </w:rPr>
        <w:t xml:space="preserve"> （11）</w:t>
      </w:r>
      <w:r>
        <w:rPr>
          <w:rFonts w:hint="eastAsia" w:hAnsi="宋体"/>
          <w:szCs w:val="21"/>
        </w:rPr>
        <w:t>类似案例成功的业绩（投标人同类项目实施情况一览表、合同扫描件）；</w:t>
      </w:r>
    </w:p>
    <w:p>
      <w:pPr>
        <w:snapToGrid w:val="0"/>
        <w:spacing w:before="312" w:beforeLines="100" w:after="312" w:afterLines="100" w:line="360" w:lineRule="exact"/>
        <w:ind w:firstLine="420" w:firstLineChars="200"/>
        <w:jc w:val="left"/>
        <w:rPr>
          <w:rFonts w:hAnsi="宋体"/>
          <w:szCs w:val="21"/>
        </w:rPr>
      </w:pPr>
      <w:r>
        <w:rPr>
          <w:rFonts w:hint="eastAsia" w:ascii="宋体" w:hAnsi="宋体" w:cs="宋体"/>
          <w:szCs w:val="21"/>
        </w:rPr>
        <w:t>（12）</w:t>
      </w:r>
      <w:r>
        <w:rPr>
          <w:rFonts w:hint="eastAsia" w:hAnsi="宋体"/>
          <w:szCs w:val="21"/>
        </w:rPr>
        <w:t>其他特殊资质证书（如本地化服务能力等）；</w:t>
      </w:r>
    </w:p>
    <w:p>
      <w:pPr>
        <w:snapToGrid w:val="0"/>
        <w:spacing w:before="312" w:beforeLines="100" w:after="312" w:afterLines="100" w:line="360" w:lineRule="exact"/>
        <w:ind w:firstLine="411" w:firstLineChars="196"/>
        <w:jc w:val="left"/>
        <w:rPr>
          <w:rFonts w:hAnsi="宋体"/>
          <w:b/>
          <w:szCs w:val="21"/>
        </w:rPr>
      </w:pPr>
      <w:r>
        <w:rPr>
          <w:rFonts w:hint="eastAsia" w:ascii="宋体" w:hAnsi="宋体" w:cs="宋体"/>
          <w:szCs w:val="21"/>
        </w:rPr>
        <w:t>（13）</w:t>
      </w:r>
      <w:r>
        <w:rPr>
          <w:rFonts w:hint="eastAsia" w:hAnsi="宋体"/>
          <w:szCs w:val="21"/>
        </w:rPr>
        <w:t>节能环保产品或政府强制采购节能产品清单证书</w:t>
      </w:r>
      <w:r>
        <w:rPr>
          <w:rFonts w:hint="eastAsia" w:hAnsi="宋体"/>
          <w:b/>
          <w:szCs w:val="21"/>
        </w:rPr>
        <w:t>；</w:t>
      </w:r>
    </w:p>
    <w:p>
      <w:pPr>
        <w:snapToGrid w:val="0"/>
        <w:spacing w:before="312" w:beforeLines="100" w:after="312" w:afterLines="100" w:line="360" w:lineRule="exact"/>
        <w:ind w:firstLine="411" w:firstLineChars="196"/>
        <w:jc w:val="left"/>
        <w:rPr>
          <w:rFonts w:hAnsi="宋体"/>
          <w:szCs w:val="21"/>
        </w:rPr>
      </w:pPr>
      <w:r>
        <w:rPr>
          <w:rFonts w:hint="eastAsia" w:ascii="宋体" w:hAnsi="宋体" w:cs="宋体"/>
          <w:szCs w:val="21"/>
        </w:rPr>
        <w:t>（14）</w:t>
      </w:r>
      <w:r>
        <w:rPr>
          <w:rFonts w:hint="eastAsia" w:hAnsi="宋体"/>
          <w:szCs w:val="21"/>
        </w:rPr>
        <w:t>投标人质量管理和质量保证体系等方面的认证证书；</w:t>
      </w:r>
    </w:p>
    <w:p>
      <w:pPr>
        <w:snapToGrid w:val="0"/>
        <w:spacing w:before="312" w:beforeLines="100" w:after="312" w:afterLines="100" w:line="360" w:lineRule="exact"/>
        <w:ind w:firstLine="411" w:firstLineChars="196"/>
        <w:jc w:val="left"/>
        <w:rPr>
          <w:rFonts w:hAnsi="宋体"/>
          <w:szCs w:val="21"/>
        </w:rPr>
      </w:pPr>
      <w:r>
        <w:rPr>
          <w:rFonts w:hint="eastAsia" w:hAnsi="宋体"/>
          <w:szCs w:val="21"/>
        </w:rPr>
        <w:t>（15）投标人认为可以证明其能力或业绩的其他材料；</w:t>
      </w:r>
    </w:p>
    <w:p>
      <w:pPr>
        <w:snapToGrid w:val="0"/>
        <w:spacing w:before="312" w:beforeLines="100" w:after="312" w:afterLines="100" w:line="360" w:lineRule="exact"/>
        <w:ind w:firstLine="411" w:firstLineChars="196"/>
        <w:jc w:val="left"/>
        <w:rPr>
          <w:rFonts w:hAnsi="宋体"/>
          <w:szCs w:val="21"/>
        </w:rPr>
      </w:pPr>
      <w:r>
        <w:rPr>
          <w:rFonts w:hint="eastAsia" w:hAnsi="宋体"/>
          <w:szCs w:val="21"/>
        </w:rPr>
        <w:t>（16）投标人关于产品生产时间、升级或者更新淘汰计划、配件供应以及本单位债务纠纷、违法违规记录等方面的情况（内容见投标声明书）；</w:t>
      </w:r>
    </w:p>
    <w:p>
      <w:pPr>
        <w:rPr>
          <w:rFonts w:hAnsi="宋体"/>
          <w:szCs w:val="21"/>
        </w:rPr>
      </w:pPr>
      <w:r>
        <w:rPr>
          <w:rFonts w:hint="eastAsia" w:hAnsi="宋体"/>
          <w:szCs w:val="21"/>
        </w:rPr>
        <w:br w:type="page"/>
      </w:r>
    </w:p>
    <w:p>
      <w:pPr>
        <w:snapToGrid w:val="0"/>
        <w:spacing w:before="312" w:beforeLines="100" w:after="312" w:afterLines="100" w:line="360" w:lineRule="exact"/>
        <w:ind w:firstLine="411" w:firstLineChars="196"/>
        <w:jc w:val="left"/>
        <w:rPr>
          <w:rFonts w:ascii="宋体" w:hAnsi="宋体"/>
          <w:szCs w:val="21"/>
        </w:rPr>
      </w:pPr>
      <w:r>
        <w:rPr>
          <w:rFonts w:hint="eastAsia" w:hAnsi="宋体"/>
          <w:szCs w:val="21"/>
        </w:rPr>
        <w:t>（17）</w:t>
      </w:r>
      <w:r>
        <w:rPr>
          <w:rFonts w:ascii="宋体" w:hAnsi="宋体"/>
        </w:rPr>
        <w:t>中小企业声明函</w:t>
      </w:r>
      <w:r>
        <w:rPr>
          <w:rFonts w:hint="eastAsia" w:ascii="宋体" w:hAnsi="宋体"/>
        </w:rPr>
        <w:t>格式：</w:t>
      </w:r>
    </w:p>
    <w:p>
      <w:pPr>
        <w:pStyle w:val="401"/>
        <w:spacing w:after="0"/>
      </w:pPr>
      <w:r>
        <w:t>中小企业声明函</w:t>
      </w:r>
    </w:p>
    <w:p>
      <w:pPr>
        <w:pStyle w:val="401"/>
        <w:spacing w:after="0"/>
      </w:pPr>
    </w:p>
    <w:p>
      <w:pPr>
        <w:pStyle w:val="403"/>
        <w:spacing w:line="506" w:lineRule="exact"/>
        <w:ind w:firstLine="640"/>
        <w:jc w:val="both"/>
        <w:rPr>
          <w:sz w:val="21"/>
          <w:szCs w:val="21"/>
        </w:rPr>
      </w:pPr>
      <w:r>
        <w:rPr>
          <w:sz w:val="21"/>
          <w:szCs w:val="21"/>
        </w:rPr>
        <w:t>本公司（联合体）郑重声明，根据《政府采购促进中小企业发展管理办法》（财库〔2020〕46号）的规定，本公司 （联合体）参加</w:t>
      </w:r>
      <w:r>
        <w:rPr>
          <w:sz w:val="21"/>
          <w:szCs w:val="21"/>
          <w:u w:val="single"/>
        </w:rPr>
        <w:t>（单位名称）</w:t>
      </w:r>
      <w:r>
        <w:rPr>
          <w:sz w:val="21"/>
          <w:szCs w:val="21"/>
        </w:rPr>
        <w:t>的</w:t>
      </w:r>
      <w:r>
        <w:rPr>
          <w:sz w:val="21"/>
          <w:szCs w:val="21"/>
          <w:u w:val="single"/>
        </w:rPr>
        <w:t>（项目名称）</w:t>
      </w:r>
      <w:r>
        <w:rPr>
          <w:sz w:val="21"/>
          <w:szCs w:val="21"/>
        </w:rPr>
        <w:t>釆购活动,提供的货物全部由符合政策要求的中小企业制造。相关企业（含联合体中的中小企业、签订分包意向协议的中小企业）的具体情况如下</w:t>
      </w:r>
      <w:bookmarkStart w:id="15" w:name="bookmark1"/>
      <w:bookmarkEnd w:id="15"/>
      <w:r>
        <w:rPr>
          <w:rFonts w:hint="eastAsia"/>
          <w:sz w:val="21"/>
          <w:szCs w:val="21"/>
        </w:rPr>
        <w:t>：</w:t>
      </w:r>
    </w:p>
    <w:p>
      <w:pPr>
        <w:pStyle w:val="403"/>
        <w:spacing w:line="506" w:lineRule="exact"/>
        <w:ind w:firstLine="640"/>
        <w:jc w:val="both"/>
        <w:rPr>
          <w:sz w:val="21"/>
          <w:szCs w:val="21"/>
        </w:rPr>
      </w:pPr>
      <w:r>
        <w:rPr>
          <w:rFonts w:hint="eastAsia"/>
          <w:sz w:val="21"/>
          <w:szCs w:val="21"/>
        </w:rPr>
        <w:t>1.</w:t>
      </w:r>
      <w:r>
        <w:rPr>
          <w:rFonts w:hint="eastAsia"/>
          <w:sz w:val="21"/>
          <w:szCs w:val="21"/>
          <w:u w:val="single"/>
        </w:rPr>
        <w:t xml:space="preserve">     （</w:t>
      </w:r>
      <w:r>
        <w:rPr>
          <w:sz w:val="21"/>
          <w:szCs w:val="21"/>
          <w:u w:val="single"/>
        </w:rPr>
        <w:t>标的名称</w:t>
      </w:r>
      <w:r>
        <w:rPr>
          <w:rFonts w:hint="eastAsia"/>
          <w:sz w:val="21"/>
          <w:szCs w:val="21"/>
          <w:u w:val="single"/>
        </w:rPr>
        <w:t>）</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rFonts w:hint="eastAsia"/>
          <w:sz w:val="21"/>
          <w:szCs w:val="21"/>
        </w:rPr>
        <w:t>，</w:t>
      </w:r>
      <w:r>
        <w:rPr>
          <w:sz w:val="21"/>
          <w:szCs w:val="21"/>
        </w:rPr>
        <w:t>从业人员</w:t>
      </w:r>
      <w:r>
        <w:rPr>
          <w:rFonts w:hint="eastAsia"/>
          <w:sz w:val="21"/>
          <w:szCs w:val="21"/>
          <w:u w:val="single"/>
        </w:rPr>
        <w:t xml:space="preserve"> </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w:t>
      </w:r>
      <w:r>
        <w:rPr>
          <w:rFonts w:hint="eastAsia"/>
          <w:sz w:val="21"/>
          <w:szCs w:val="21"/>
        </w:rPr>
        <w:t>，</w:t>
      </w:r>
      <w:r>
        <w:rPr>
          <w:sz w:val="21"/>
          <w:szCs w:val="21"/>
        </w:rPr>
        <w:t>属于</w:t>
      </w:r>
      <w:r>
        <w:rPr>
          <w:sz w:val="21"/>
          <w:szCs w:val="21"/>
          <w:u w:val="single"/>
        </w:rPr>
        <w:t>（中型企业、小型企业、微型企业）</w:t>
      </w:r>
      <w:r>
        <w:rPr>
          <w:rFonts w:hint="eastAsia"/>
          <w:sz w:val="21"/>
          <w:szCs w:val="21"/>
        </w:rPr>
        <w:t>；</w:t>
      </w:r>
      <w:r>
        <w:rPr>
          <w:sz w:val="21"/>
          <w:szCs w:val="21"/>
        </w:rPr>
        <w:t xml:space="preserve"> </w:t>
      </w:r>
    </w:p>
    <w:p>
      <w:pPr>
        <w:pStyle w:val="403"/>
        <w:spacing w:line="506" w:lineRule="exact"/>
        <w:ind w:firstLine="640"/>
        <w:jc w:val="both"/>
        <w:rPr>
          <w:sz w:val="21"/>
          <w:szCs w:val="21"/>
        </w:rPr>
      </w:pPr>
      <w:r>
        <w:rPr>
          <w:rFonts w:hint="eastAsia"/>
          <w:sz w:val="21"/>
          <w:szCs w:val="21"/>
        </w:rPr>
        <w:t>2.</w:t>
      </w:r>
      <w:r>
        <w:rPr>
          <w:rFonts w:hint="eastAsia"/>
          <w:sz w:val="21"/>
          <w:szCs w:val="21"/>
          <w:u w:val="single"/>
        </w:rPr>
        <w:t xml:space="preserve">    </w:t>
      </w:r>
      <w:r>
        <w:rPr>
          <w:sz w:val="21"/>
          <w:szCs w:val="21"/>
          <w:u w:val="single"/>
        </w:rPr>
        <w:t>（标的名称）</w:t>
      </w:r>
      <w:r>
        <w:rPr>
          <w:rFonts w:hint="eastAsia"/>
          <w:sz w:val="21"/>
          <w:szCs w:val="21"/>
        </w:rPr>
        <w:t>，</w:t>
      </w:r>
      <w:r>
        <w:rPr>
          <w:sz w:val="21"/>
          <w:szCs w:val="21"/>
        </w:rPr>
        <w:t>属于</w:t>
      </w:r>
      <w:r>
        <w:rPr>
          <w:rFonts w:hint="eastAsia"/>
          <w:sz w:val="21"/>
          <w:szCs w:val="21"/>
          <w:u w:val="single"/>
        </w:rPr>
        <w:t xml:space="preserve">     </w:t>
      </w:r>
      <w:r>
        <w:rPr>
          <w:sz w:val="21"/>
          <w:szCs w:val="21"/>
          <w:u w:val="single"/>
        </w:rPr>
        <w:t>（釆购文件中明确的所属行业）行业</w:t>
      </w:r>
      <w:r>
        <w:rPr>
          <w:rFonts w:hint="eastAsia"/>
          <w:sz w:val="21"/>
          <w:szCs w:val="21"/>
        </w:rPr>
        <w:t>；</w:t>
      </w:r>
      <w:r>
        <w:rPr>
          <w:sz w:val="21"/>
          <w:szCs w:val="21"/>
        </w:rPr>
        <w:t>制造商为</w:t>
      </w:r>
      <w:r>
        <w:rPr>
          <w:sz w:val="21"/>
          <w:szCs w:val="21"/>
          <w:u w:val="single"/>
        </w:rPr>
        <w:t>（企业名称）</w:t>
      </w:r>
      <w:r>
        <w:rPr>
          <w:sz w:val="21"/>
          <w:szCs w:val="21"/>
        </w:rPr>
        <w:t>、从业人员</w:t>
      </w:r>
      <w:r>
        <w:rPr>
          <w:sz w:val="21"/>
          <w:szCs w:val="21"/>
          <w:u w:val="single"/>
        </w:rPr>
        <w:tab/>
      </w:r>
      <w:r>
        <w:rPr>
          <w:sz w:val="21"/>
          <w:szCs w:val="21"/>
        </w:rPr>
        <w:t>人，营业收入为</w:t>
      </w:r>
      <w:r>
        <w:rPr>
          <w:rFonts w:hint="eastAsia"/>
          <w:sz w:val="21"/>
          <w:szCs w:val="21"/>
          <w:u w:val="single"/>
        </w:rPr>
        <w:t xml:space="preserve">    </w:t>
      </w:r>
      <w:r>
        <w:rPr>
          <w:sz w:val="21"/>
          <w:szCs w:val="21"/>
        </w:rPr>
        <w:t>万元，资产总额为</w:t>
      </w:r>
      <w:r>
        <w:rPr>
          <w:rFonts w:hint="eastAsia"/>
          <w:sz w:val="21"/>
          <w:szCs w:val="21"/>
          <w:u w:val="single"/>
        </w:rPr>
        <w:t xml:space="preserve">    </w:t>
      </w:r>
      <w:r>
        <w:rPr>
          <w:sz w:val="21"/>
          <w:szCs w:val="21"/>
        </w:rPr>
        <w:t>万元，属于</w:t>
      </w:r>
      <w:r>
        <w:rPr>
          <w:sz w:val="21"/>
          <w:szCs w:val="21"/>
          <w:u w:val="single"/>
        </w:rPr>
        <w:t>（中型企业、小型 企业、微型企业）</w:t>
      </w:r>
      <w:r>
        <w:rPr>
          <w:rFonts w:hint="eastAsia"/>
          <w:sz w:val="21"/>
          <w:szCs w:val="21"/>
        </w:rPr>
        <w:t>；</w:t>
      </w:r>
    </w:p>
    <w:p>
      <w:pPr>
        <w:pStyle w:val="403"/>
        <w:spacing w:line="506" w:lineRule="exact"/>
        <w:ind w:firstLine="640"/>
        <w:jc w:val="both"/>
        <w:rPr>
          <w:sz w:val="21"/>
          <w:szCs w:val="21"/>
        </w:rPr>
      </w:pPr>
      <w:r>
        <w:rPr>
          <w:rFonts w:hint="eastAsia"/>
          <w:sz w:val="21"/>
          <w:szCs w:val="21"/>
        </w:rPr>
        <w:t>......</w:t>
      </w:r>
    </w:p>
    <w:p>
      <w:pPr>
        <w:pStyle w:val="403"/>
        <w:spacing w:line="499" w:lineRule="exact"/>
        <w:ind w:firstLine="640"/>
        <w:jc w:val="both"/>
        <w:rPr>
          <w:sz w:val="21"/>
          <w:szCs w:val="21"/>
        </w:rPr>
      </w:pPr>
      <w:r>
        <w:rPr>
          <w:sz w:val="21"/>
          <w:szCs w:val="21"/>
        </w:rPr>
        <w:t>以上企业，不属于大企业的分支机构，不存在控股股东为大企业的情形，也不存在与大企业的负责人为同一人的情形。</w:t>
      </w:r>
    </w:p>
    <w:p>
      <w:pPr>
        <w:pStyle w:val="403"/>
        <w:spacing w:after="40" w:line="499" w:lineRule="exact"/>
        <w:ind w:firstLine="640"/>
        <w:jc w:val="both"/>
        <w:rPr>
          <w:sz w:val="21"/>
          <w:szCs w:val="21"/>
        </w:rPr>
      </w:pPr>
      <w:r>
        <w:rPr>
          <w:sz w:val="21"/>
          <w:szCs w:val="21"/>
        </w:rPr>
        <w:t>本企业对上述声明内容的真实性</w:t>
      </w:r>
      <w:r>
        <w:rPr>
          <w:rFonts w:hint="eastAsia"/>
          <w:sz w:val="21"/>
          <w:szCs w:val="21"/>
        </w:rPr>
        <w:t>负责</w:t>
      </w:r>
      <w:r>
        <w:rPr>
          <w:sz w:val="21"/>
          <w:szCs w:val="21"/>
        </w:rPr>
        <w:t>。如有虚假，将依法承担相应责任。</w:t>
      </w:r>
    </w:p>
    <w:p>
      <w:pPr>
        <w:pStyle w:val="403"/>
        <w:spacing w:after="40" w:line="499" w:lineRule="exact"/>
        <w:ind w:firstLine="640"/>
        <w:jc w:val="both"/>
        <w:rPr>
          <w:sz w:val="21"/>
          <w:szCs w:val="21"/>
        </w:rPr>
      </w:pPr>
    </w:p>
    <w:p>
      <w:pPr>
        <w:pStyle w:val="403"/>
        <w:spacing w:line="506" w:lineRule="exact"/>
        <w:ind w:firstLine="640"/>
        <w:jc w:val="both"/>
        <w:rPr>
          <w:sz w:val="21"/>
          <w:szCs w:val="21"/>
        </w:rPr>
      </w:pPr>
      <w:r>
        <w:rPr>
          <w:rFonts w:hint="eastAsia"/>
          <w:sz w:val="21"/>
          <w:szCs w:val="21"/>
        </w:rPr>
        <w:t xml:space="preserve">                          </w:t>
      </w:r>
      <w:r>
        <w:rPr>
          <w:sz w:val="21"/>
          <w:szCs w:val="21"/>
        </w:rPr>
        <w:t>企业名称（盖章）：</w:t>
      </w:r>
    </w:p>
    <w:p>
      <w:pPr>
        <w:pStyle w:val="403"/>
        <w:spacing w:line="506" w:lineRule="exact"/>
        <w:ind w:firstLine="640"/>
        <w:jc w:val="both"/>
        <w:rPr>
          <w:sz w:val="21"/>
          <w:szCs w:val="21"/>
        </w:rPr>
      </w:pPr>
      <w:r>
        <w:rPr>
          <w:rFonts w:hint="eastAsia"/>
          <w:sz w:val="21"/>
          <w:szCs w:val="21"/>
        </w:rPr>
        <w:t xml:space="preserve">                          日期：</w:t>
      </w:r>
    </w:p>
    <w:p>
      <w:pPr>
        <w:pStyle w:val="401"/>
        <w:spacing w:after="0"/>
        <w:rPr>
          <w:sz w:val="21"/>
          <w:szCs w:val="21"/>
        </w:rPr>
      </w:pPr>
    </w:p>
    <w:p>
      <w:pPr>
        <w:pStyle w:val="401"/>
        <w:spacing w:after="0"/>
      </w:pPr>
    </w:p>
    <w:p>
      <w:pPr>
        <w:pStyle w:val="401"/>
        <w:adjustRightInd w:val="0"/>
        <w:snapToGrid w:val="0"/>
        <w:spacing w:after="0" w:line="360" w:lineRule="exact"/>
        <w:jc w:val="left"/>
        <w:rPr>
          <w:sz w:val="18"/>
          <w:szCs w:val="18"/>
        </w:rPr>
      </w:pPr>
      <w:r>
        <w:rPr>
          <w:sz w:val="18"/>
          <w:szCs w:val="18"/>
        </w:rPr>
        <w:t>备注：</w:t>
      </w:r>
    </w:p>
    <w:p>
      <w:pPr>
        <w:pStyle w:val="401"/>
        <w:adjustRightInd w:val="0"/>
        <w:snapToGrid w:val="0"/>
        <w:spacing w:after="0" w:line="360" w:lineRule="exact"/>
        <w:jc w:val="left"/>
        <w:rPr>
          <w:sz w:val="18"/>
          <w:szCs w:val="18"/>
        </w:rPr>
      </w:pPr>
      <w:r>
        <w:rPr>
          <w:rFonts w:hint="eastAsia"/>
          <w:sz w:val="18"/>
          <w:szCs w:val="18"/>
        </w:rPr>
        <w:t>1、</w:t>
      </w:r>
      <w:r>
        <w:rPr>
          <w:sz w:val="18"/>
          <w:szCs w:val="18"/>
        </w:rPr>
        <w:t>从业人员、营业收入、资产总额填报上一年度数据，无上一年度数据的新成立企业可不填报。</w:t>
      </w:r>
    </w:p>
    <w:p>
      <w:pPr>
        <w:pStyle w:val="401"/>
        <w:adjustRightInd w:val="0"/>
        <w:snapToGrid w:val="0"/>
        <w:spacing w:after="0" w:line="360" w:lineRule="exact"/>
        <w:jc w:val="left"/>
        <w:rPr>
          <w:sz w:val="18"/>
          <w:szCs w:val="18"/>
        </w:rPr>
      </w:pPr>
      <w:r>
        <w:rPr>
          <w:rFonts w:hint="eastAsia"/>
          <w:sz w:val="18"/>
          <w:szCs w:val="18"/>
        </w:rPr>
        <w:t>2、采购文件中明确的所属行业名称是根据《关于印发中小企业划型标准规定的通知》（工信部联企业[2011]300号）规定确定。</w:t>
      </w:r>
    </w:p>
    <w:p>
      <w:pPr>
        <w:pStyle w:val="401"/>
        <w:spacing w:after="0"/>
        <w:rPr>
          <w:sz w:val="21"/>
          <w:szCs w:val="21"/>
        </w:rPr>
      </w:pPr>
    </w:p>
    <w:p>
      <w:pPr>
        <w:pStyle w:val="401"/>
        <w:spacing w:after="0"/>
        <w:rPr>
          <w:sz w:val="21"/>
          <w:szCs w:val="21"/>
        </w:rPr>
      </w:pPr>
    </w:p>
    <w:p>
      <w:pPr>
        <w:snapToGrid w:val="0"/>
        <w:spacing w:line="360" w:lineRule="exact"/>
        <w:ind w:firstLine="206" w:firstLineChars="98"/>
        <w:jc w:val="left"/>
        <w:rPr>
          <w:rFonts w:ascii="宋体" w:hAnsi="宋体"/>
          <w:b/>
          <w:szCs w:val="21"/>
        </w:rPr>
      </w:pPr>
    </w:p>
    <w:p>
      <w:pPr>
        <w:snapToGrid w:val="0"/>
        <w:spacing w:line="360" w:lineRule="exact"/>
        <w:ind w:firstLine="516" w:firstLineChars="246"/>
        <w:jc w:val="left"/>
        <w:rPr>
          <w:rFonts w:ascii="宋体" w:hAnsi="宋体"/>
          <w:szCs w:val="21"/>
        </w:rPr>
      </w:pPr>
      <w:r>
        <w:rPr>
          <w:rFonts w:hint="eastAsia" w:ascii="宋体" w:hAnsi="宋体"/>
          <w:szCs w:val="21"/>
        </w:rPr>
        <w:br w:type="page"/>
      </w:r>
    </w:p>
    <w:p>
      <w:pPr>
        <w:pStyle w:val="69"/>
        <w:spacing w:line="440" w:lineRule="exact"/>
        <w:ind w:firstLine="420" w:firstLineChars="200"/>
        <w:rPr>
          <w:rFonts w:hAnsi="宋体" w:cs="Times New Roman"/>
          <w:color w:val="auto"/>
          <w:kern w:val="2"/>
          <w:sz w:val="21"/>
          <w:szCs w:val="21"/>
        </w:rPr>
      </w:pPr>
      <w:r>
        <w:rPr>
          <w:rFonts w:hint="eastAsia" w:hAnsi="宋体" w:cs="Times New Roman"/>
          <w:color w:val="auto"/>
          <w:kern w:val="2"/>
          <w:sz w:val="21"/>
          <w:szCs w:val="21"/>
        </w:rPr>
        <w:t>（18）关于符合本国产品标准的声明函格式：</w:t>
      </w:r>
    </w:p>
    <w:p>
      <w:pPr>
        <w:pStyle w:val="48"/>
        <w:shd w:val="clear" w:color="auto" w:fill="FFFFFF"/>
        <w:spacing w:before="30" w:beforeAutospacing="0" w:after="30" w:afterAutospacing="0"/>
        <w:jc w:val="center"/>
        <w:rPr>
          <w:rFonts w:cs="宋体"/>
          <w:sz w:val="36"/>
          <w:szCs w:val="36"/>
        </w:rPr>
      </w:pPr>
      <w:r>
        <w:rPr>
          <w:rStyle w:val="55"/>
          <w:rFonts w:hint="eastAsia" w:cs="宋体"/>
          <w:sz w:val="36"/>
          <w:szCs w:val="36"/>
          <w:shd w:val="clear" w:color="auto" w:fill="FFFFFF"/>
        </w:rPr>
        <w:t>关于符合本国产品标准的声明函</w:t>
      </w:r>
    </w:p>
    <w:p>
      <w:pPr>
        <w:pStyle w:val="48"/>
        <w:shd w:val="clear" w:color="auto" w:fill="FFFFFF"/>
        <w:spacing w:before="30" w:beforeAutospacing="0" w:after="30" w:afterAutospacing="0"/>
        <w:ind w:firstLine="420"/>
        <w:rPr>
          <w:rFonts w:cs="宋体"/>
        </w:rPr>
      </w:pPr>
    </w:p>
    <w:p>
      <w:pPr>
        <w:pStyle w:val="48"/>
        <w:shd w:val="clear" w:color="auto" w:fill="FFFFFF"/>
        <w:spacing w:before="30" w:beforeAutospacing="0" w:after="30" w:afterAutospacing="0"/>
        <w:ind w:firstLine="420"/>
        <w:rPr>
          <w:rFonts w:cs="宋体"/>
        </w:rPr>
      </w:pPr>
      <w:r>
        <w:rPr>
          <w:rFonts w:hint="eastAsia" w:cs="宋体"/>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8"/>
        <w:shd w:val="clear" w:color="auto" w:fill="FFFFFF"/>
        <w:spacing w:before="30" w:beforeAutospacing="0" w:after="30" w:afterAutospacing="0"/>
        <w:ind w:firstLine="420"/>
        <w:rPr>
          <w:rFonts w:cs="宋体"/>
        </w:rPr>
      </w:pPr>
      <w:r>
        <w:rPr>
          <w:rFonts w:hint="eastAsia" w:cs="宋体"/>
          <w:shd w:val="clear" w:color="auto" w:fill="FFFFFF"/>
        </w:rPr>
        <w:t>1.</w:t>
      </w:r>
      <w:r>
        <w:rPr>
          <w:rStyle w:val="58"/>
          <w:rFonts w:hint="eastAsia" w:cs="宋体"/>
          <w:color w:val="auto"/>
          <w:shd w:val="clear" w:color="auto" w:fill="FFFFFF"/>
        </w:rPr>
        <w:t>（产品名称1）</w:t>
      </w:r>
      <w:r>
        <w:rPr>
          <w:rStyle w:val="58"/>
          <w:rFonts w:hint="eastAsia" w:cs="宋体"/>
          <w:color w:val="auto"/>
          <w:shd w:val="clear" w:color="auto" w:fill="FFFFFF"/>
          <w:vertAlign w:val="superscript"/>
        </w:rPr>
        <w:t>1</w:t>
      </w:r>
      <w:r>
        <w:rPr>
          <w:rFonts w:hint="eastAsia" w:cs="宋体"/>
          <w:shd w:val="clear" w:color="auto" w:fill="FFFFFF"/>
        </w:rPr>
        <w:t>，生产厂为</w:t>
      </w:r>
      <w:r>
        <w:rPr>
          <w:rStyle w:val="58"/>
          <w:rFonts w:hint="eastAsia" w:cs="宋体"/>
          <w:color w:val="auto"/>
          <w:shd w:val="clear" w:color="auto" w:fill="FFFFFF"/>
        </w:rPr>
        <w:t>（厂名）</w:t>
      </w:r>
      <w:r>
        <w:rPr>
          <w:rStyle w:val="58"/>
          <w:rFonts w:hint="eastAsia" w:cs="宋体"/>
          <w:color w:val="auto"/>
          <w:shd w:val="clear" w:color="auto" w:fill="FFFFFF"/>
          <w:vertAlign w:val="superscript"/>
        </w:rPr>
        <w:t>2</w:t>
      </w:r>
      <w:r>
        <w:rPr>
          <w:rFonts w:hint="eastAsia" w:cs="宋体"/>
          <w:shd w:val="clear" w:color="auto" w:fill="FFFFFF"/>
        </w:rPr>
        <w:t>，厂址为</w:t>
      </w:r>
      <w:r>
        <w:rPr>
          <w:rStyle w:val="58"/>
          <w:rFonts w:hint="eastAsia" w:cs="宋体"/>
          <w:color w:val="auto"/>
          <w:shd w:val="clear" w:color="auto" w:fill="FFFFFF"/>
        </w:rPr>
        <w:t>（生产厂址）</w:t>
      </w:r>
      <w:r>
        <w:rPr>
          <w:rFonts w:hint="eastAsia" w:cs="宋体"/>
          <w:shd w:val="clear" w:color="auto" w:fill="FFFFFF"/>
        </w:rPr>
        <w:t>。</w:t>
      </w:r>
    </w:p>
    <w:p>
      <w:pPr>
        <w:pStyle w:val="48"/>
        <w:shd w:val="clear" w:color="auto" w:fill="FFFFFF"/>
        <w:spacing w:before="30" w:beforeAutospacing="0" w:after="30" w:afterAutospacing="0"/>
        <w:ind w:firstLine="420"/>
        <w:rPr>
          <w:rFonts w:cs="宋体"/>
        </w:rPr>
      </w:pPr>
      <w:r>
        <w:rPr>
          <w:rFonts w:hint="eastAsia" w:cs="宋体"/>
          <w:shd w:val="clear" w:color="auto" w:fill="FFFFFF"/>
        </w:rPr>
        <w:t>2.</w:t>
      </w:r>
      <w:r>
        <w:rPr>
          <w:rStyle w:val="58"/>
          <w:rFonts w:hint="eastAsia" w:cs="宋体"/>
          <w:color w:val="auto"/>
          <w:shd w:val="clear" w:color="auto" w:fill="FFFFFF"/>
        </w:rPr>
        <w:t>（产品名称2）</w:t>
      </w:r>
      <w:r>
        <w:rPr>
          <w:rFonts w:hint="eastAsia" w:cs="宋体"/>
          <w:shd w:val="clear" w:color="auto" w:fill="FFFFFF"/>
        </w:rPr>
        <w:t>，生产厂为</w:t>
      </w:r>
      <w:r>
        <w:rPr>
          <w:rStyle w:val="58"/>
          <w:rFonts w:hint="eastAsia" w:cs="宋体"/>
          <w:color w:val="auto"/>
          <w:shd w:val="clear" w:color="auto" w:fill="FFFFFF"/>
        </w:rPr>
        <w:t>（厂名）</w:t>
      </w:r>
      <w:r>
        <w:rPr>
          <w:rFonts w:hint="eastAsia" w:cs="宋体"/>
          <w:shd w:val="clear" w:color="auto" w:fill="FFFFFF"/>
        </w:rPr>
        <w:t>，厂址为</w:t>
      </w:r>
      <w:r>
        <w:rPr>
          <w:rStyle w:val="58"/>
          <w:rFonts w:hint="eastAsia" w:cs="宋体"/>
          <w:color w:val="auto"/>
          <w:shd w:val="clear" w:color="auto" w:fill="FFFFFF"/>
        </w:rPr>
        <w:t>（生产厂址）</w:t>
      </w:r>
      <w:r>
        <w:rPr>
          <w:rFonts w:hint="eastAsia" w:cs="宋体"/>
          <w:shd w:val="clear" w:color="auto" w:fill="FFFFFF"/>
        </w:rPr>
        <w:t>。</w:t>
      </w:r>
    </w:p>
    <w:p>
      <w:pPr>
        <w:pStyle w:val="48"/>
        <w:shd w:val="clear" w:color="auto" w:fill="FFFFFF"/>
        <w:spacing w:before="30" w:beforeAutospacing="0" w:after="30" w:afterAutospacing="0"/>
        <w:ind w:firstLine="420"/>
        <w:rPr>
          <w:rFonts w:cs="宋体"/>
        </w:rPr>
      </w:pPr>
      <w:r>
        <w:rPr>
          <w:rFonts w:hint="eastAsia" w:cs="宋体"/>
          <w:shd w:val="clear" w:color="auto" w:fill="FFFFFF"/>
        </w:rPr>
        <w:t>……</w:t>
      </w:r>
    </w:p>
    <w:p>
      <w:pPr>
        <w:pStyle w:val="48"/>
        <w:shd w:val="clear" w:color="auto" w:fill="FFFFFF"/>
        <w:spacing w:before="30" w:beforeAutospacing="0" w:after="30" w:afterAutospacing="0"/>
        <w:ind w:firstLine="420"/>
        <w:rPr>
          <w:rFonts w:cs="宋体"/>
        </w:rPr>
      </w:pPr>
      <w:r>
        <w:rPr>
          <w:rFonts w:hint="eastAsia" w:cs="宋体"/>
          <w:shd w:val="clear" w:color="auto" w:fill="FFFFFF"/>
        </w:rPr>
        <w:t>本公司（单位）对上述声明内容的真实性负责。如有虚假，愿承担相应法律责任。</w:t>
      </w:r>
    </w:p>
    <w:p>
      <w:pPr>
        <w:pStyle w:val="48"/>
        <w:shd w:val="clear" w:color="auto" w:fill="FFFFFF"/>
        <w:spacing w:before="30" w:beforeAutospacing="0" w:after="30" w:afterAutospacing="0"/>
        <w:ind w:firstLine="420"/>
        <w:jc w:val="right"/>
        <w:rPr>
          <w:rFonts w:cs="宋体"/>
          <w:shd w:val="clear" w:color="auto" w:fill="FFFFFF"/>
        </w:rPr>
      </w:pPr>
    </w:p>
    <w:p>
      <w:pPr>
        <w:pStyle w:val="48"/>
        <w:shd w:val="clear" w:color="auto" w:fill="FFFFFF"/>
        <w:spacing w:before="30" w:beforeAutospacing="0" w:after="30" w:afterAutospacing="0"/>
        <w:ind w:firstLine="420"/>
        <w:jc w:val="right"/>
        <w:rPr>
          <w:rFonts w:cs="宋体"/>
        </w:rPr>
      </w:pPr>
      <w:r>
        <w:rPr>
          <w:rFonts w:hint="eastAsia" w:cs="宋体"/>
          <w:shd w:val="clear" w:color="auto" w:fill="FFFFFF"/>
        </w:rPr>
        <w:t>公司（单位）名称（盖章）：      </w:t>
      </w:r>
    </w:p>
    <w:p>
      <w:pPr>
        <w:pStyle w:val="48"/>
        <w:shd w:val="clear" w:color="auto" w:fill="FFFFFF"/>
        <w:spacing w:before="30" w:beforeAutospacing="0" w:after="30" w:afterAutospacing="0"/>
        <w:ind w:firstLine="420"/>
        <w:jc w:val="right"/>
        <w:rPr>
          <w:rFonts w:cs="宋体"/>
        </w:rPr>
      </w:pPr>
      <w:r>
        <w:rPr>
          <w:rFonts w:hint="eastAsia" w:cs="宋体"/>
          <w:shd w:val="clear" w:color="auto" w:fill="FFFFFF"/>
        </w:rPr>
        <w:t>日期：　　　　　年　　月　日    </w:t>
      </w:r>
    </w:p>
    <w:p>
      <w:pPr>
        <w:pStyle w:val="48"/>
        <w:shd w:val="clear" w:color="auto" w:fill="FFFFFF"/>
        <w:spacing w:before="30" w:beforeAutospacing="0" w:after="30" w:afterAutospacing="0"/>
        <w:ind w:firstLine="420"/>
        <w:rPr>
          <w:rFonts w:cs="宋体"/>
        </w:rPr>
      </w:pPr>
    </w:p>
    <w:p>
      <w:pPr>
        <w:pStyle w:val="48"/>
        <w:shd w:val="clear" w:color="auto" w:fill="FFFFFF"/>
        <w:spacing w:before="30" w:beforeAutospacing="0" w:after="30" w:afterAutospacing="0"/>
        <w:ind w:firstLine="420"/>
        <w:rPr>
          <w:rFonts w:cs="宋体"/>
        </w:rPr>
      </w:pPr>
    </w:p>
    <w:p>
      <w:pPr>
        <w:pStyle w:val="48"/>
        <w:shd w:val="clear" w:color="auto" w:fill="FFFFFF"/>
        <w:spacing w:before="30" w:beforeAutospacing="0" w:after="30" w:afterAutospacing="0"/>
        <w:rPr>
          <w:rFonts w:cs="宋体"/>
        </w:rPr>
      </w:pPr>
      <w:r>
        <w:rPr>
          <w:rFonts w:hint="eastAsia" w:cs="宋体"/>
          <w:shd w:val="clear" w:color="auto" w:fill="FFFFFF"/>
        </w:rPr>
        <w:t>_____________________________</w:t>
      </w:r>
    </w:p>
    <w:p>
      <w:pPr>
        <w:pStyle w:val="48"/>
        <w:shd w:val="clear" w:color="auto" w:fill="FFFFFF"/>
        <w:spacing w:before="30" w:beforeAutospacing="0" w:after="30" w:afterAutospacing="0"/>
        <w:ind w:firstLine="420"/>
        <w:rPr>
          <w:rFonts w:cs="宋体"/>
        </w:rPr>
      </w:pPr>
      <w:r>
        <w:rPr>
          <w:rFonts w:hint="eastAsia" w:ascii="楷体" w:hAnsi="楷体" w:eastAsia="楷体" w:cs="楷体"/>
          <w:shd w:val="clear" w:color="auto" w:fill="FFFFFF"/>
        </w:rPr>
        <w:t>1.产品如有型号，请在“产品名称”栏一并填写。</w:t>
      </w:r>
    </w:p>
    <w:p>
      <w:pPr>
        <w:pStyle w:val="48"/>
        <w:shd w:val="clear" w:color="auto" w:fill="FFFFFF"/>
        <w:spacing w:before="30" w:beforeAutospacing="0" w:after="30" w:afterAutospacing="0"/>
        <w:ind w:firstLine="420"/>
        <w:rPr>
          <w:rFonts w:cs="宋体"/>
        </w:rPr>
      </w:pPr>
      <w:r>
        <w:rPr>
          <w:rFonts w:hint="eastAsia" w:ascii="楷体" w:hAnsi="楷体" w:eastAsia="楷体" w:cs="楷体"/>
          <w:shd w:val="clear" w:color="auto" w:fill="FFFFFF"/>
        </w:rPr>
        <w:t>2.生产厂名与厂址应与生产厂营业执照载明的相关信息保持一致。</w:t>
      </w:r>
    </w:p>
    <w:p>
      <w:pPr>
        <w:pStyle w:val="2"/>
        <w:ind w:firstLine="240"/>
      </w:pPr>
    </w:p>
    <w:p>
      <w:pPr>
        <w:snapToGrid w:val="0"/>
        <w:spacing w:line="360" w:lineRule="exact"/>
        <w:ind w:firstLine="210" w:firstLineChars="100"/>
        <w:jc w:val="left"/>
        <w:rPr>
          <w:rFonts w:hAnsi="宋体"/>
          <w:szCs w:val="21"/>
        </w:rPr>
      </w:pPr>
    </w:p>
    <w:p>
      <w:pPr>
        <w:snapToGrid w:val="0"/>
        <w:spacing w:line="360" w:lineRule="exact"/>
        <w:ind w:firstLine="210" w:firstLineChars="100"/>
        <w:jc w:val="left"/>
        <w:rPr>
          <w:rFonts w:hAnsi="宋体"/>
          <w:szCs w:val="21"/>
        </w:rPr>
      </w:pPr>
      <w:r>
        <w:rPr>
          <w:rFonts w:hint="eastAsia" w:hAnsi="宋体"/>
          <w:szCs w:val="21"/>
        </w:rPr>
        <w:t>（19）投标人情况介绍</w:t>
      </w:r>
      <w:r>
        <w:rPr>
          <w:rFonts w:hint="eastAsia" w:ascii="宋体" w:hAnsi="宋体"/>
          <w:szCs w:val="21"/>
        </w:rPr>
        <w:t>（主要产品、技术力量、生产规模、经营业绩等，格式自拟）</w:t>
      </w:r>
      <w:r>
        <w:rPr>
          <w:rFonts w:hint="eastAsia" w:hAnsi="宋体"/>
          <w:szCs w:val="21"/>
        </w:rPr>
        <w:t>。</w:t>
      </w:r>
    </w:p>
    <w:p>
      <w:pPr>
        <w:snapToGrid w:val="0"/>
        <w:spacing w:line="360" w:lineRule="exact"/>
        <w:ind w:firstLine="516" w:firstLineChars="246"/>
        <w:jc w:val="left"/>
        <w:rPr>
          <w:rFonts w:ascii="宋体" w:hAnsi="宋体"/>
          <w:szCs w:val="21"/>
        </w:rPr>
      </w:pPr>
    </w:p>
    <w:p>
      <w:pPr>
        <w:snapToGrid w:val="0"/>
        <w:spacing w:line="360" w:lineRule="exact"/>
        <w:ind w:firstLine="516" w:firstLineChars="246"/>
        <w:jc w:val="left"/>
        <w:rPr>
          <w:rFonts w:ascii="宋体" w:hAnsi="宋体"/>
          <w:szCs w:val="21"/>
        </w:rPr>
      </w:pPr>
    </w:p>
    <w:p>
      <w:pPr>
        <w:snapToGrid w:val="0"/>
        <w:spacing w:line="360" w:lineRule="exact"/>
        <w:ind w:firstLine="516" w:firstLineChars="246"/>
        <w:jc w:val="left"/>
        <w:rPr>
          <w:rFonts w:ascii="宋体" w:hAnsi="宋体"/>
          <w:szCs w:val="21"/>
        </w:rPr>
      </w:pPr>
    </w:p>
    <w:p>
      <w:pPr>
        <w:rPr>
          <w:rFonts w:ascii="宋体" w:hAnsi="宋体"/>
          <w:b/>
          <w:szCs w:val="21"/>
        </w:rPr>
      </w:pPr>
      <w:r>
        <w:rPr>
          <w:rFonts w:hint="eastAsia" w:ascii="宋体" w:hAnsi="宋体"/>
          <w:b/>
          <w:szCs w:val="21"/>
        </w:rPr>
        <w:br w:type="page"/>
      </w:r>
    </w:p>
    <w:p>
      <w:pPr>
        <w:snapToGrid w:val="0"/>
        <w:spacing w:line="360" w:lineRule="exact"/>
        <w:ind w:firstLine="518" w:firstLineChars="246"/>
        <w:jc w:val="left"/>
        <w:rPr>
          <w:rFonts w:ascii="宋体" w:hAnsi="宋体"/>
          <w:b/>
          <w:szCs w:val="21"/>
        </w:rPr>
      </w:pPr>
      <w:r>
        <w:rPr>
          <w:rFonts w:hint="eastAsia" w:ascii="宋体" w:hAnsi="宋体"/>
          <w:b/>
          <w:szCs w:val="21"/>
        </w:rPr>
        <w:t>三）、技术文件部分（格式）</w:t>
      </w:r>
    </w:p>
    <w:p>
      <w:pPr>
        <w:snapToGrid w:val="0"/>
        <w:spacing w:before="50" w:after="156" w:afterLines="50" w:line="360" w:lineRule="exact"/>
        <w:jc w:val="left"/>
        <w:rPr>
          <w:rFonts w:ascii="宋体" w:hAnsi="宋体"/>
          <w:szCs w:val="21"/>
        </w:rPr>
      </w:pPr>
      <w:r>
        <w:rPr>
          <w:rFonts w:hint="eastAsia" w:ascii="宋体" w:hAnsi="宋体"/>
          <w:bCs/>
          <w:szCs w:val="21"/>
        </w:rPr>
        <w:t>（1）</w:t>
      </w:r>
      <w:r>
        <w:rPr>
          <w:rFonts w:hint="eastAsia" w:ascii="宋体" w:hAnsi="宋体"/>
          <w:szCs w:val="21"/>
        </w:rPr>
        <w:t>对本项目系统总体要求的理解（包括：功能说明、性能指标、设备选型说明以及质量、性能、价格、外观、体积等方面进行比较和选择的理由和过程，格式自拟）</w:t>
      </w:r>
    </w:p>
    <w:p>
      <w:pPr>
        <w:snapToGrid w:val="0"/>
        <w:spacing w:before="50" w:after="156" w:afterLines="50" w:line="360" w:lineRule="exact"/>
        <w:jc w:val="left"/>
        <w:rPr>
          <w:rFonts w:ascii="宋体" w:hAnsi="宋体"/>
          <w:b/>
          <w:szCs w:val="21"/>
        </w:rPr>
      </w:pPr>
      <w:r>
        <w:rPr>
          <w:rFonts w:hint="eastAsia" w:ascii="宋体" w:hAnsi="宋体"/>
          <w:bCs/>
          <w:szCs w:val="21"/>
        </w:rPr>
        <w:t>（2）</w:t>
      </w:r>
      <w:r>
        <w:rPr>
          <w:rFonts w:hint="eastAsia" w:ascii="宋体" w:hAnsi="宋体"/>
          <w:szCs w:val="21"/>
        </w:rPr>
        <w:t>技术响应表格式：</w:t>
      </w:r>
      <w:r>
        <w:rPr>
          <w:rFonts w:hint="eastAsia" w:ascii="宋体" w:hAnsi="宋体"/>
          <w:b/>
          <w:szCs w:val="21"/>
        </w:rPr>
        <w:t xml:space="preserve"> </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hAnsi="宋体"/>
              </w:rPr>
            </w:pPr>
            <w:r>
              <w:rPr>
                <w:rFonts w:hint="eastAsia" w:hAnsi="宋体"/>
              </w:rPr>
              <w:t>项号</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400" w:lineRule="exact"/>
              <w:jc w:val="center"/>
              <w:rPr>
                <w:rFonts w:ascii="Times New Roman" w:hAnsi="Times New Roman"/>
              </w:rPr>
            </w:pPr>
            <w:r>
              <w:rPr>
                <w:rFonts w:hint="eastAsia" w:ascii="Times New Roman" w:hAnsi="Times New Roman"/>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vAlign w:val="center"/>
          </w:tcPr>
          <w:p>
            <w:pPr>
              <w:pStyle w:val="29"/>
              <w:spacing w:line="600" w:lineRule="exact"/>
              <w:ind w:left="5250"/>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3600"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c>
          <w:tcPr>
            <w:tcW w:w="1573" w:type="dxa"/>
            <w:tcBorders>
              <w:top w:val="single" w:color="auto" w:sz="4" w:space="0"/>
              <w:left w:val="single" w:color="auto" w:sz="4" w:space="0"/>
              <w:bottom w:val="single" w:color="auto" w:sz="4" w:space="0"/>
              <w:right w:val="single" w:color="auto" w:sz="4" w:space="0"/>
            </w:tcBorders>
          </w:tcPr>
          <w:p>
            <w:pPr>
              <w:pStyle w:val="29"/>
              <w:spacing w:line="600" w:lineRule="exact"/>
              <w:ind w:left="5250"/>
              <w:rPr>
                <w:rFonts w:ascii="Times New Roman" w:hAnsi="Times New Roman"/>
              </w:rPr>
            </w:pPr>
          </w:p>
        </w:tc>
      </w:tr>
    </w:tbl>
    <w:p>
      <w:pPr>
        <w:snapToGrid w:val="0"/>
        <w:spacing w:before="50" w:after="156" w:afterLines="50" w:line="360" w:lineRule="exact"/>
        <w:jc w:val="left"/>
        <w:rPr>
          <w:rFonts w:ascii="宋体" w:hAnsi="宋体"/>
          <w:szCs w:val="21"/>
          <w:u w:val="single"/>
        </w:rPr>
      </w:pPr>
    </w:p>
    <w:p>
      <w:pPr>
        <w:pStyle w:val="21"/>
        <w:spacing w:line="360" w:lineRule="exact"/>
        <w:ind w:firstLine="421" w:firstLineChars="200"/>
        <w:rPr>
          <w:rFonts w:ascii="宋体" w:hAnsi="宋体"/>
          <w:sz w:val="21"/>
          <w:szCs w:val="21"/>
        </w:rPr>
      </w:pPr>
      <w:r>
        <w:rPr>
          <w:rFonts w:hint="eastAsia" w:ascii="宋体" w:hAnsi="宋体"/>
          <w:sz w:val="21"/>
          <w:szCs w:val="21"/>
        </w:rPr>
        <w:t>注：投标人应根据投标设备的性能指标、对照招标文件要求在技术响应表中详细列明招标要求及投标设备技术规格的响应情况，并填写“</w:t>
      </w:r>
      <w:r>
        <w:rPr>
          <w:rFonts w:hint="eastAsia"/>
        </w:rPr>
        <w:t>偏离说明”。</w:t>
      </w:r>
      <w:r>
        <w:rPr>
          <w:rFonts w:hint="eastAsia" w:ascii="宋体" w:hAnsi="宋体"/>
          <w:sz w:val="21"/>
          <w:szCs w:val="21"/>
        </w:rPr>
        <w:t>“偏离</w:t>
      </w:r>
      <w:r>
        <w:rPr>
          <w:rFonts w:hint="eastAsia"/>
        </w:rPr>
        <w:t>说明</w:t>
      </w:r>
      <w:r>
        <w:rPr>
          <w:rFonts w:hint="eastAsia" w:ascii="宋体" w:hAnsi="宋体"/>
          <w:sz w:val="21"/>
          <w:szCs w:val="21"/>
        </w:rPr>
        <w:t>”栏注明“正偏离”、“负偏离”或“无偏离”。投标技术规格与招标要求相同的为无偏离，投标技术规格高于招标要求的为正偏离，低于招标要求的为负偏离。</w:t>
      </w:r>
    </w:p>
    <w:p>
      <w:pPr>
        <w:snapToGrid w:val="0"/>
        <w:spacing w:before="50" w:after="50" w:line="360" w:lineRule="exact"/>
        <w:rPr>
          <w:rFonts w:ascii="宋体" w:hAnsi="宋体"/>
          <w:spacing w:val="20"/>
          <w:szCs w:val="21"/>
        </w:rPr>
      </w:pPr>
    </w:p>
    <w:p>
      <w:pPr>
        <w:snapToGrid w:val="0"/>
        <w:spacing w:before="50" w:after="50" w:line="360" w:lineRule="exact"/>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50" w:after="50" w:line="360" w:lineRule="exac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pStyle w:val="29"/>
        <w:jc w:val="center"/>
      </w:pPr>
    </w:p>
    <w:p>
      <w:pPr>
        <w:snapToGrid w:val="0"/>
        <w:spacing w:before="50" w:after="156" w:afterLines="50" w:line="360" w:lineRule="exact"/>
        <w:jc w:val="left"/>
        <w:rPr>
          <w:rFonts w:ascii="宋体" w:hAnsi="宋体"/>
          <w:szCs w:val="21"/>
        </w:rPr>
      </w:pPr>
      <w:r>
        <w:rPr>
          <w:rFonts w:hint="eastAsia" w:ascii="宋体" w:hAnsi="宋体"/>
          <w:b/>
          <w:szCs w:val="21"/>
        </w:rPr>
        <w:t>（3）</w:t>
      </w:r>
      <w:r>
        <w:rPr>
          <w:rFonts w:hint="eastAsia" w:ascii="宋体" w:hAnsi="宋体"/>
          <w:szCs w:val="21"/>
        </w:rPr>
        <w:t>设备配置清单格式：</w:t>
      </w:r>
    </w:p>
    <w:tbl>
      <w:tblPr>
        <w:tblStyle w:val="5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序号</w:t>
            </w: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品牌</w:t>
            </w: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产地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43"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83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498"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62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0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91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bl>
    <w:p>
      <w:pPr>
        <w:snapToGrid w:val="0"/>
        <w:spacing w:before="100" w:beforeAutospacing="1" w:after="100" w:afterAutospacing="1" w:line="480" w:lineRule="auto"/>
        <w:ind w:firstLine="315" w:firstLineChars="150"/>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100" w:beforeAutospacing="1" w:after="100" w:afterAutospacing="1" w:line="480" w:lineRule="auto"/>
        <w:ind w:firstLine="500" w:firstLineChars="200"/>
        <w:jc w:val="left"/>
        <w:rPr>
          <w:rFonts w:ascii="宋体" w:hAnsi="宋体"/>
          <w:spacing w:val="20"/>
          <w:szCs w:val="21"/>
          <w:u w:val="single"/>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b/>
          <w:szCs w:val="21"/>
        </w:rPr>
      </w:pPr>
      <w:r>
        <w:rPr>
          <w:rFonts w:hint="eastAsia" w:ascii="宋体" w:hAnsi="宋体"/>
          <w:bCs/>
          <w:szCs w:val="21"/>
        </w:rPr>
        <w:t>（4）</w:t>
      </w:r>
      <w:r>
        <w:rPr>
          <w:rFonts w:hint="eastAsia" w:ascii="宋体" w:hAnsi="宋体"/>
          <w:szCs w:val="21"/>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(格式自拟,必须提供）</w:t>
      </w:r>
      <w:r>
        <w:rPr>
          <w:rFonts w:hint="eastAsia" w:ascii="宋体" w:hAnsi="宋体"/>
          <w:szCs w:val="21"/>
        </w:rPr>
        <w:t>；</w:t>
      </w:r>
    </w:p>
    <w:p>
      <w:pPr>
        <w:snapToGrid w:val="0"/>
        <w:spacing w:before="50" w:after="156" w:afterLines="50" w:line="360" w:lineRule="exact"/>
        <w:ind w:left="514" w:hanging="514" w:hangingChars="245"/>
        <w:jc w:val="left"/>
        <w:rPr>
          <w:rFonts w:ascii="宋体" w:hAnsi="宋体"/>
          <w:szCs w:val="21"/>
        </w:rPr>
      </w:pPr>
      <w:r>
        <w:rPr>
          <w:rFonts w:hint="eastAsia" w:ascii="宋体" w:hAnsi="宋体"/>
          <w:bCs/>
          <w:szCs w:val="21"/>
        </w:rPr>
        <w:t>（5）</w:t>
      </w:r>
      <w:r>
        <w:rPr>
          <w:rFonts w:hint="eastAsia" w:ascii="宋体" w:hAnsi="宋体"/>
          <w:szCs w:val="21"/>
        </w:rPr>
        <w:t>投标人拥有主要装备和检测设施的情况和现状（格式自拟）及项目实施人员一览表</w:t>
      </w:r>
    </w:p>
    <w:p>
      <w:pPr>
        <w:snapToGrid w:val="0"/>
        <w:spacing w:before="50" w:after="156" w:afterLines="50" w:line="360" w:lineRule="exact"/>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pPr>
        <w:snapToGrid w:val="0"/>
        <w:spacing w:before="50" w:after="156" w:afterLines="50" w:line="360" w:lineRule="exact"/>
        <w:jc w:val="left"/>
        <w:rPr>
          <w:rFonts w:ascii="宋体" w:hAnsi="宋体"/>
          <w:szCs w:val="21"/>
        </w:rPr>
      </w:pPr>
      <w:r>
        <w:rPr>
          <w:rFonts w:hint="eastAsia" w:ascii="宋体" w:hAnsi="宋体"/>
          <w:szCs w:val="21"/>
        </w:rPr>
        <w:t>备品备件、专用耗材、售后服务优惠表格式：</w:t>
      </w:r>
    </w:p>
    <w:tbl>
      <w:tblPr>
        <w:tblStyle w:val="5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1530"/>
        <w:gridCol w:w="15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pStyle w:val="29"/>
              <w:snapToGrid w:val="0"/>
              <w:jc w:val="center"/>
              <w:rPr>
                <w:rFonts w:hAnsi="宋体"/>
              </w:rPr>
            </w:pPr>
            <w:r>
              <w:rPr>
                <w:rFonts w:hint="eastAsia" w:hAnsi="宋体"/>
              </w:rPr>
              <w:t>序号</w:t>
            </w:r>
          </w:p>
        </w:tc>
        <w:tc>
          <w:tcPr>
            <w:tcW w:w="2700" w:type="dxa"/>
            <w:tcBorders>
              <w:top w:val="single" w:color="auto" w:sz="4" w:space="0"/>
              <w:left w:val="single" w:color="auto" w:sz="4" w:space="0"/>
              <w:bottom w:val="single" w:color="auto" w:sz="2" w:space="0"/>
              <w:right w:val="single" w:color="auto" w:sz="4" w:space="0"/>
            </w:tcBorders>
            <w:vAlign w:val="center"/>
          </w:tcPr>
          <w:p>
            <w:pPr>
              <w:pStyle w:val="29"/>
              <w:snapToGrid w:val="0"/>
              <w:jc w:val="center"/>
              <w:rPr>
                <w:rFonts w:hAnsi="宋体"/>
              </w:rPr>
            </w:pPr>
            <w:r>
              <w:rPr>
                <w:rFonts w:hint="eastAsia" w:hAnsi="宋体"/>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pPr>
              <w:pStyle w:val="29"/>
              <w:snapToGrid w:val="0"/>
              <w:jc w:val="center"/>
              <w:rPr>
                <w:rFonts w:hAnsi="宋体"/>
              </w:rPr>
            </w:pPr>
            <w:r>
              <w:rPr>
                <w:rFonts w:hint="eastAsia" w:hAnsi="宋体"/>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pPr>
              <w:pStyle w:val="29"/>
              <w:snapToGrid w:val="0"/>
              <w:jc w:val="center"/>
              <w:rPr>
                <w:rFonts w:hAnsi="宋体"/>
              </w:rPr>
            </w:pPr>
            <w:r>
              <w:rPr>
                <w:rFonts w:hint="eastAsia" w:hAnsi="宋体"/>
              </w:rPr>
              <w:t>单价</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jc w:val="center"/>
              <w:rPr>
                <w:rFonts w:hAnsi="宋体"/>
              </w:rPr>
            </w:pPr>
            <w:r>
              <w:rPr>
                <w:rFonts w:hint="eastAsia" w:hAnsi="宋体"/>
              </w:rPr>
              <w:t>比投标报价优惠率</w:t>
            </w:r>
          </w:p>
        </w:tc>
        <w:tc>
          <w:tcPr>
            <w:tcW w:w="1530" w:type="dxa"/>
            <w:tcBorders>
              <w:top w:val="single" w:color="auto" w:sz="4" w:space="0"/>
              <w:left w:val="single" w:color="auto" w:sz="4" w:space="0"/>
              <w:bottom w:val="single" w:color="auto" w:sz="2" w:space="0"/>
              <w:right w:val="single" w:color="auto" w:sz="4" w:space="0"/>
            </w:tcBorders>
            <w:vAlign w:val="center"/>
          </w:tcPr>
          <w:p>
            <w:pPr>
              <w:pStyle w:val="29"/>
              <w:snapToGrid w:val="0"/>
              <w:jc w:val="center"/>
              <w:rPr>
                <w:rFonts w:hAnsi="宋体"/>
              </w:rPr>
            </w:pPr>
            <w:r>
              <w:rPr>
                <w:rFonts w:hint="eastAsia" w:hAnsi="宋体"/>
              </w:rPr>
              <w:t>比招标要求提供更优售后服务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jc w:val="center"/>
              <w:rPr>
                <w:rFonts w:hAnsi="宋体"/>
              </w:rPr>
            </w:pPr>
          </w:p>
        </w:tc>
        <w:tc>
          <w:tcPr>
            <w:tcW w:w="2700" w:type="dxa"/>
            <w:tcBorders>
              <w:top w:val="single" w:color="auto" w:sz="2" w:space="0"/>
              <w:left w:val="single" w:color="auto" w:sz="2" w:space="0"/>
              <w:bottom w:val="single" w:color="auto" w:sz="6" w:space="0"/>
              <w:right w:val="single" w:color="auto" w:sz="4" w:space="0"/>
            </w:tcBorders>
            <w:vAlign w:val="center"/>
          </w:tcPr>
          <w:p>
            <w:pPr>
              <w:pStyle w:val="29"/>
              <w:snapToGrid w:val="0"/>
              <w:jc w:val="center"/>
              <w:rPr>
                <w:rFonts w:hAnsi="宋体"/>
              </w:rPr>
            </w:pPr>
          </w:p>
        </w:tc>
        <w:tc>
          <w:tcPr>
            <w:tcW w:w="1440" w:type="dxa"/>
            <w:tcBorders>
              <w:top w:val="single" w:color="auto" w:sz="2" w:space="0"/>
              <w:left w:val="single" w:color="auto" w:sz="4" w:space="0"/>
              <w:bottom w:val="single" w:color="auto" w:sz="6" w:space="0"/>
              <w:right w:val="single" w:color="auto" w:sz="6" w:space="0"/>
            </w:tcBorders>
            <w:vAlign w:val="center"/>
          </w:tcPr>
          <w:p>
            <w:pPr>
              <w:pStyle w:val="29"/>
              <w:snapToGrid w:val="0"/>
              <w:jc w:val="center"/>
              <w:rPr>
                <w:rFonts w:hAnsi="宋体"/>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jc w:val="center"/>
              <w:rPr>
                <w:rFonts w:hAnsi="宋体"/>
              </w:rPr>
            </w:pP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jc w:val="center"/>
              <w:rPr>
                <w:rFonts w:hAnsi="宋体"/>
              </w:rPr>
            </w:pPr>
            <w:r>
              <w:rPr>
                <w:rFonts w:hint="eastAsia" w:hAnsi="宋体"/>
                <w:u w:val="single"/>
              </w:rPr>
              <w:t xml:space="preserve">            </w:t>
            </w:r>
            <w:r>
              <w:rPr>
                <w:rFonts w:hint="eastAsia" w:hAnsi="宋体"/>
              </w:rPr>
              <w:t>%</w:t>
            </w:r>
          </w:p>
        </w:tc>
        <w:tc>
          <w:tcPr>
            <w:tcW w:w="1530" w:type="dxa"/>
            <w:tcBorders>
              <w:top w:val="single" w:color="auto" w:sz="2" w:space="0"/>
              <w:left w:val="single" w:color="auto" w:sz="6" w:space="0"/>
              <w:bottom w:val="single" w:color="auto" w:sz="6" w:space="0"/>
              <w:right w:val="single" w:color="auto" w:sz="2" w:space="0"/>
            </w:tcBorders>
            <w:vAlign w:val="center"/>
          </w:tcPr>
          <w:p>
            <w:pPr>
              <w:pStyle w:val="29"/>
              <w:snapToGrid w:val="0"/>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jc w:val="center"/>
              <w:rPr>
                <w:rFonts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pPr>
              <w:pStyle w:val="29"/>
              <w:snapToGrid w:val="0"/>
              <w:jc w:val="center"/>
              <w:rPr>
                <w:rFonts w:hAnsi="宋体"/>
              </w:rPr>
            </w:pPr>
          </w:p>
        </w:tc>
        <w:tc>
          <w:tcPr>
            <w:tcW w:w="2700" w:type="dxa"/>
            <w:tcBorders>
              <w:top w:val="single" w:color="auto" w:sz="6" w:space="0"/>
              <w:left w:val="single" w:color="auto" w:sz="2" w:space="0"/>
              <w:bottom w:val="single" w:color="auto" w:sz="6" w:space="0"/>
              <w:right w:val="single" w:color="auto" w:sz="4" w:space="0"/>
            </w:tcBorders>
            <w:vAlign w:val="center"/>
          </w:tcPr>
          <w:p>
            <w:pPr>
              <w:pStyle w:val="29"/>
              <w:snapToGrid w:val="0"/>
              <w:jc w:val="center"/>
              <w:rPr>
                <w:rFonts w:hAnsi="宋体"/>
              </w:rPr>
            </w:pPr>
          </w:p>
        </w:tc>
        <w:tc>
          <w:tcPr>
            <w:tcW w:w="1440" w:type="dxa"/>
            <w:tcBorders>
              <w:top w:val="single" w:color="auto" w:sz="6" w:space="0"/>
              <w:left w:val="single" w:color="auto" w:sz="4" w:space="0"/>
              <w:bottom w:val="single" w:color="auto" w:sz="6" w:space="0"/>
              <w:right w:val="single" w:color="auto" w:sz="6" w:space="0"/>
            </w:tcBorders>
            <w:vAlign w:val="center"/>
          </w:tcPr>
          <w:p>
            <w:pPr>
              <w:pStyle w:val="29"/>
              <w:snapToGrid w:val="0"/>
              <w:jc w:val="center"/>
              <w:rPr>
                <w:rFonts w:hAnsi="宋体"/>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pPr>
              <w:pStyle w:val="29"/>
              <w:snapToGrid w:val="0"/>
              <w:jc w:val="center"/>
              <w:rPr>
                <w:rFonts w:hAnsi="宋体"/>
              </w:rPr>
            </w:pP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jc w:val="center"/>
              <w:rPr>
                <w:rFonts w:hAnsi="宋体"/>
              </w:rPr>
            </w:pPr>
            <w:r>
              <w:rPr>
                <w:rFonts w:hint="eastAsia" w:hAnsi="宋体"/>
                <w:u w:val="single"/>
              </w:rPr>
              <w:t xml:space="preserve">            </w:t>
            </w:r>
            <w:r>
              <w:rPr>
                <w:rFonts w:hint="eastAsia" w:hAnsi="宋体"/>
              </w:rPr>
              <w:t>%</w:t>
            </w:r>
          </w:p>
        </w:tc>
        <w:tc>
          <w:tcPr>
            <w:tcW w:w="1530" w:type="dxa"/>
            <w:tcBorders>
              <w:top w:val="single" w:color="auto" w:sz="6" w:space="0"/>
              <w:left w:val="single" w:color="auto" w:sz="6" w:space="0"/>
              <w:bottom w:val="single" w:color="auto" w:sz="6" w:space="0"/>
              <w:right w:val="single" w:color="auto" w:sz="2" w:space="0"/>
            </w:tcBorders>
            <w:vAlign w:val="center"/>
          </w:tcPr>
          <w:p>
            <w:pPr>
              <w:pStyle w:val="29"/>
              <w:snapToGrid w:val="0"/>
              <w:jc w:val="center"/>
              <w:rPr>
                <w:rFonts w:hAnsi="宋体"/>
              </w:rPr>
            </w:pPr>
          </w:p>
        </w:tc>
      </w:tr>
    </w:tbl>
    <w:p>
      <w:pPr>
        <w:snapToGrid w:val="0"/>
        <w:spacing w:before="100" w:beforeAutospacing="1" w:after="100" w:afterAutospacing="1" w:line="360" w:lineRule="auto"/>
        <w:rPr>
          <w:rFonts w:ascii="宋体" w:hAnsi="宋体"/>
          <w:spacing w:val="20"/>
          <w:szCs w:val="21"/>
          <w:u w:val="single"/>
        </w:rPr>
      </w:pPr>
      <w:r>
        <w:rPr>
          <w:rFonts w:hint="eastAsia" w:ascii="宋体" w:hAnsi="宋体"/>
          <w:szCs w:val="21"/>
        </w:rPr>
        <w:t>法定代表人或委托代理人签字或签章</w:t>
      </w:r>
      <w:r>
        <w:rPr>
          <w:rFonts w:hint="eastAsia" w:ascii="宋体" w:hAnsi="宋体"/>
          <w:spacing w:val="20"/>
          <w:szCs w:val="21"/>
        </w:rPr>
        <w:t>：</w:t>
      </w:r>
      <w:r>
        <w:rPr>
          <w:rFonts w:hint="eastAsia" w:ascii="宋体" w:hAnsi="宋体"/>
          <w:spacing w:val="20"/>
          <w:szCs w:val="21"/>
          <w:u w:val="single"/>
        </w:rPr>
        <w:t xml:space="preserve">        </w:t>
      </w:r>
    </w:p>
    <w:p>
      <w:pPr>
        <w:snapToGrid w:val="0"/>
        <w:spacing w:before="100" w:beforeAutospacing="1" w:after="100" w:afterAutospacing="1" w:line="480" w:lineRule="auto"/>
        <w:rPr>
          <w:rFonts w:ascii="宋体" w:hAnsi="宋体"/>
          <w:szCs w:val="21"/>
        </w:rPr>
      </w:pPr>
      <w:r>
        <w:rPr>
          <w:rFonts w:hint="eastAsia" w:ascii="宋体" w:hAnsi="宋体"/>
          <w:spacing w:val="20"/>
          <w:szCs w:val="21"/>
        </w:rPr>
        <w:t>投标人盖章：</w:t>
      </w:r>
      <w:r>
        <w:rPr>
          <w:rFonts w:hint="eastAsia" w:ascii="宋体" w:hAnsi="宋体"/>
          <w:spacing w:val="20"/>
          <w:szCs w:val="21"/>
          <w:u w:val="single"/>
        </w:rPr>
        <w:t xml:space="preserve">            </w:t>
      </w:r>
      <w:r>
        <w:rPr>
          <w:rFonts w:hint="eastAsia" w:ascii="宋体" w:hAnsi="宋体"/>
          <w:spacing w:val="20"/>
          <w:szCs w:val="21"/>
        </w:rPr>
        <w:t xml:space="preserve">            日 期：</w:t>
      </w:r>
      <w:r>
        <w:rPr>
          <w:rFonts w:hint="eastAsia" w:ascii="宋体" w:hAnsi="宋体"/>
          <w:spacing w:val="20"/>
          <w:szCs w:val="21"/>
          <w:u w:val="single"/>
        </w:rPr>
        <w:t xml:space="preserve">            </w:t>
      </w:r>
    </w:p>
    <w:p>
      <w:pPr>
        <w:snapToGrid w:val="0"/>
        <w:spacing w:before="50" w:after="156" w:afterLines="50" w:line="360" w:lineRule="exact"/>
        <w:jc w:val="left"/>
        <w:rPr>
          <w:rFonts w:ascii="宋体" w:hAnsi="宋体"/>
          <w:szCs w:val="21"/>
        </w:rPr>
      </w:pPr>
    </w:p>
    <w:p>
      <w:pPr>
        <w:snapToGrid w:val="0"/>
        <w:spacing w:before="50" w:after="156" w:afterLines="50" w:line="360" w:lineRule="exact"/>
        <w:jc w:val="left"/>
        <w:rPr>
          <w:rFonts w:ascii="宋体" w:hAnsi="宋体"/>
          <w:szCs w:val="21"/>
        </w:rPr>
      </w:pPr>
      <w:r>
        <w:rPr>
          <w:rFonts w:hint="eastAsia" w:ascii="宋体" w:hAnsi="宋体"/>
          <w:szCs w:val="21"/>
        </w:rPr>
        <w:t>（7）投标人对本项目的合理化建议和改进措施（格式自拟）</w:t>
      </w:r>
    </w:p>
    <w:p>
      <w:pPr>
        <w:snapToGrid w:val="0"/>
        <w:spacing w:before="50" w:after="156" w:afterLines="50" w:line="360" w:lineRule="exact"/>
        <w:jc w:val="left"/>
        <w:rPr>
          <w:rFonts w:ascii="宋体" w:hAnsi="宋体"/>
          <w:szCs w:val="21"/>
        </w:rPr>
      </w:pPr>
      <w:r>
        <w:rPr>
          <w:rFonts w:hint="eastAsia" w:ascii="宋体" w:hAnsi="宋体"/>
          <w:szCs w:val="21"/>
        </w:rPr>
        <w:t>（8）投标人需要说明的其他文件和说明（格式自拟）</w:t>
      </w:r>
    </w:p>
    <w:p>
      <w:pPr>
        <w:snapToGrid w:val="0"/>
        <w:spacing w:line="360" w:lineRule="exact"/>
        <w:jc w:val="left"/>
        <w:rPr>
          <w:rFonts w:ascii="宋体" w:hAnsi="宋体"/>
          <w:szCs w:val="21"/>
        </w:rPr>
      </w:pPr>
      <w:r>
        <w:rPr>
          <w:rFonts w:hint="eastAsia" w:ascii="宋体" w:hAnsi="宋体"/>
          <w:szCs w:val="21"/>
        </w:rPr>
        <w:t>▲（9）招标项目采购需求中要求必须提供的材料。（招标项目采购需求中要求必须提供的材料，据实提供）</w:t>
      </w:r>
    </w:p>
    <w:p>
      <w:pPr>
        <w:snapToGrid w:val="0"/>
        <w:spacing w:before="50" w:line="360" w:lineRule="exact"/>
        <w:jc w:val="left"/>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pStyle w:val="35"/>
        <w:rPr>
          <w:rFonts w:ascii="宋体" w:hAnsi="宋体"/>
          <w:b/>
          <w:szCs w:val="21"/>
        </w:rPr>
      </w:pPr>
    </w:p>
    <w:p>
      <w:pPr>
        <w:snapToGrid w:val="0"/>
        <w:spacing w:before="156" w:beforeLines="50" w:after="50" w:line="360" w:lineRule="exact"/>
        <w:outlineLvl w:val="0"/>
        <w:rPr>
          <w:rFonts w:ascii="宋体" w:hAnsi="宋体"/>
          <w:b/>
          <w:szCs w:val="21"/>
        </w:rPr>
      </w:pPr>
      <w:r>
        <w:rPr>
          <w:rFonts w:hint="eastAsia" w:ascii="宋体" w:hAnsi="宋体"/>
          <w:b/>
          <w:szCs w:val="21"/>
        </w:rPr>
        <w:t>四）报价文件部分 （格式）</w:t>
      </w:r>
    </w:p>
    <w:p>
      <w:pPr>
        <w:snapToGrid w:val="0"/>
        <w:spacing w:before="156" w:beforeLines="50" w:after="50" w:line="360" w:lineRule="exact"/>
        <w:rPr>
          <w:rFonts w:ascii="宋体" w:hAnsi="宋体"/>
          <w:b/>
          <w:szCs w:val="21"/>
        </w:rPr>
      </w:pPr>
      <w:r>
        <w:rPr>
          <w:rFonts w:hint="eastAsia" w:ascii="宋体" w:hAnsi="宋体"/>
          <w:b/>
          <w:szCs w:val="21"/>
        </w:rPr>
        <w:t>（1）投标函格式：</w:t>
      </w:r>
    </w:p>
    <w:p>
      <w:pPr>
        <w:snapToGrid w:val="0"/>
        <w:spacing w:before="156" w:beforeLines="50" w:after="50" w:line="360" w:lineRule="exact"/>
        <w:jc w:val="center"/>
        <w:rPr>
          <w:rFonts w:ascii="宋体" w:hAnsi="宋体"/>
          <w:b/>
          <w:szCs w:val="21"/>
        </w:rPr>
      </w:pPr>
      <w:r>
        <w:rPr>
          <w:rFonts w:hint="eastAsia" w:ascii="宋体" w:hAnsi="宋体"/>
          <w:b/>
          <w:szCs w:val="21"/>
        </w:rPr>
        <w:t>投 标 函</w:t>
      </w:r>
    </w:p>
    <w:p>
      <w:pPr>
        <w:snapToGrid w:val="0"/>
        <w:spacing w:line="500" w:lineRule="exact"/>
        <w:rPr>
          <w:rFonts w:ascii="宋体" w:hAnsi="宋体"/>
          <w:szCs w:val="21"/>
        </w:rPr>
      </w:pPr>
      <w:r>
        <w:rPr>
          <w:rFonts w:hint="eastAsia" w:ascii="宋体" w:hAnsi="宋体"/>
          <w:szCs w:val="21"/>
        </w:rPr>
        <w:t>致：</w:t>
      </w:r>
      <w:r>
        <w:rPr>
          <w:rFonts w:hint="eastAsia"/>
          <w:u w:val="single"/>
        </w:rPr>
        <w:t>广西壮族自治区政府采购中心</w:t>
      </w:r>
      <w:r>
        <w:rPr>
          <w:rFonts w:hint="eastAsia" w:ascii="宋体" w:hAnsi="宋体"/>
          <w:szCs w:val="21"/>
        </w:rPr>
        <w:t>：</w:t>
      </w:r>
    </w:p>
    <w:p>
      <w:pPr>
        <w:snapToGrid w:val="0"/>
        <w:spacing w:line="500" w:lineRule="exact"/>
        <w:ind w:firstLine="48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项目的招标公告（项目编号：____</w:t>
      </w:r>
      <w:r>
        <w:rPr>
          <w:rFonts w:hint="eastAsia" w:ascii="宋体" w:hAnsi="宋体"/>
          <w:szCs w:val="21"/>
          <w:u w:val="single"/>
        </w:rPr>
        <w:t>_     _</w:t>
      </w:r>
      <w:r>
        <w:rPr>
          <w:rFonts w:hint="eastAsia" w:ascii="宋体" w:hAnsi="宋体"/>
          <w:szCs w:val="21"/>
        </w:rPr>
        <w:t>_），签字代表______</w:t>
      </w:r>
      <w:r>
        <w:rPr>
          <w:rFonts w:hint="eastAsia" w:ascii="宋体" w:hAnsi="宋体"/>
          <w:szCs w:val="21"/>
          <w:u w:val="single"/>
        </w:rPr>
        <w:t xml:space="preserve">_     </w:t>
      </w:r>
      <w:r>
        <w:rPr>
          <w:rFonts w:hint="eastAsia" w:ascii="宋体" w:hAnsi="宋体"/>
          <w:szCs w:val="21"/>
        </w:rPr>
        <w:t>（全名）经正式授权并代表投标人_____</w:t>
      </w:r>
      <w:r>
        <w:rPr>
          <w:rFonts w:hint="eastAsia" w:ascii="宋体" w:hAnsi="宋体"/>
          <w:szCs w:val="21"/>
          <w:u w:val="single"/>
        </w:rPr>
        <w:t>__                    __</w:t>
      </w:r>
      <w:r>
        <w:rPr>
          <w:rFonts w:hint="eastAsia" w:ascii="宋体" w:hAnsi="宋体"/>
          <w:szCs w:val="21"/>
        </w:rPr>
        <w:t>（投标人名称）上传并提交加密的电子投标文件一份。</w:t>
      </w:r>
    </w:p>
    <w:p>
      <w:pPr>
        <w:snapToGrid w:val="0"/>
        <w:spacing w:line="500" w:lineRule="exact"/>
        <w:ind w:firstLine="420" w:firstLineChars="200"/>
        <w:rPr>
          <w:rFonts w:ascii="宋体" w:hAnsi="宋体"/>
          <w:szCs w:val="21"/>
        </w:rPr>
      </w:pPr>
      <w:r>
        <w:rPr>
          <w:rFonts w:hint="eastAsia" w:ascii="宋体" w:hAnsi="宋体"/>
          <w:szCs w:val="21"/>
        </w:rPr>
        <w:t>据此函，签字代表宣布同意如下：</w:t>
      </w:r>
    </w:p>
    <w:p>
      <w:pPr>
        <w:snapToGrid w:val="0"/>
        <w:spacing w:line="500" w:lineRule="exact"/>
        <w:ind w:firstLine="420" w:firstLineChars="200"/>
        <w:rPr>
          <w:rFonts w:ascii="宋体" w:hAnsi="宋体"/>
          <w:szCs w:val="21"/>
        </w:rPr>
      </w:pPr>
      <w:r>
        <w:rPr>
          <w:rFonts w:hint="eastAsia" w:ascii="宋体" w:hAnsi="宋体"/>
          <w:szCs w:val="21"/>
        </w:rPr>
        <w:t>1.投标人已详细审查全部“招标文件”，包括修改文件（如有的话）以及全部参考资料和有关附件，已经了解我方对于招标文件、采购过程、采购结果有依法进行询问、质疑、投诉的权利及相关渠道和要求。</w:t>
      </w:r>
    </w:p>
    <w:p>
      <w:pPr>
        <w:snapToGrid w:val="0"/>
        <w:spacing w:line="500" w:lineRule="exact"/>
        <w:ind w:firstLine="420" w:firstLineChars="200"/>
        <w:rPr>
          <w:rFonts w:ascii="宋体" w:hAnsi="宋体"/>
          <w:szCs w:val="21"/>
        </w:rPr>
      </w:pPr>
      <w:r>
        <w:rPr>
          <w:rFonts w:hint="eastAsia" w:ascii="宋体" w:hAnsi="宋体"/>
          <w:szCs w:val="21"/>
        </w:rPr>
        <w:t>2.投标人在投标之前已经与贵方进行了充分的沟通，完全理解并接受招标文件的各项规定和要求，对招标文件的合理性、合法性不再有异议。</w:t>
      </w:r>
    </w:p>
    <w:p>
      <w:pPr>
        <w:snapToGrid w:val="0"/>
        <w:spacing w:line="500" w:lineRule="exact"/>
        <w:ind w:firstLine="420" w:firstLineChars="200"/>
        <w:rPr>
          <w:rFonts w:ascii="宋体" w:hAnsi="宋体"/>
          <w:szCs w:val="21"/>
        </w:rPr>
      </w:pPr>
      <w:r>
        <w:rPr>
          <w:rFonts w:hint="eastAsia" w:ascii="宋体" w:hAnsi="宋体"/>
          <w:szCs w:val="21"/>
        </w:rPr>
        <w:t>3.本投标有效期自开标日起 ______个</w:t>
      </w:r>
      <w:r>
        <w:rPr>
          <w:rFonts w:hint="eastAsia" w:ascii="宋体" w:hAnsi="宋体"/>
          <w:szCs w:val="21"/>
          <w:u w:val="single"/>
        </w:rPr>
        <w:t xml:space="preserve">     </w:t>
      </w:r>
      <w:r>
        <w:rPr>
          <w:rFonts w:hint="eastAsia" w:ascii="宋体" w:hAnsi="宋体"/>
          <w:szCs w:val="21"/>
        </w:rPr>
        <w:t>日（自然日）。</w:t>
      </w:r>
    </w:p>
    <w:p>
      <w:pPr>
        <w:snapToGrid w:val="0"/>
        <w:spacing w:line="500" w:lineRule="exact"/>
        <w:ind w:firstLine="420" w:firstLineChars="200"/>
        <w:rPr>
          <w:rFonts w:ascii="宋体" w:hAnsi="宋体"/>
          <w:szCs w:val="21"/>
        </w:rPr>
      </w:pPr>
      <w:r>
        <w:rPr>
          <w:rFonts w:hint="eastAsia" w:ascii="宋体" w:hAnsi="宋体"/>
          <w:szCs w:val="21"/>
        </w:rPr>
        <w:t>4.如中标，本投标文件至本项目合同履行完毕止均保持有效，本投标人将按“招标文件”及政府采购法律、法规的规定履行合同责任和义务。</w:t>
      </w:r>
    </w:p>
    <w:p>
      <w:pPr>
        <w:snapToGrid w:val="0"/>
        <w:spacing w:line="500" w:lineRule="exact"/>
        <w:ind w:firstLine="420" w:firstLineChars="200"/>
        <w:rPr>
          <w:rFonts w:ascii="宋体" w:hAnsi="宋体"/>
          <w:szCs w:val="21"/>
        </w:rPr>
      </w:pPr>
      <w:r>
        <w:rPr>
          <w:rFonts w:hint="eastAsia" w:ascii="宋体" w:hAnsi="宋体"/>
          <w:szCs w:val="21"/>
        </w:rPr>
        <w:t>5.投标人同意按照贵方要求提供与投标有关的一切数据或资料。</w:t>
      </w:r>
    </w:p>
    <w:p>
      <w:pPr>
        <w:snapToGrid w:val="0"/>
        <w:spacing w:line="500" w:lineRule="exact"/>
        <w:ind w:firstLine="420" w:firstLineChars="200"/>
        <w:rPr>
          <w:rFonts w:ascii="宋体" w:hAnsi="宋体"/>
          <w:szCs w:val="21"/>
        </w:rPr>
      </w:pPr>
      <w:r>
        <w:rPr>
          <w:rFonts w:hint="eastAsia" w:ascii="宋体" w:hAnsi="宋体"/>
          <w:szCs w:val="21"/>
        </w:rPr>
        <w:t>6.与本投标有关的一切正式往来信函请寄：</w:t>
      </w:r>
    </w:p>
    <w:p>
      <w:pPr>
        <w:snapToGrid w:val="0"/>
        <w:spacing w:line="500" w:lineRule="exact"/>
        <w:rPr>
          <w:rFonts w:ascii="宋体" w:hAnsi="宋体"/>
          <w:szCs w:val="21"/>
        </w:rPr>
      </w:pPr>
      <w:r>
        <w:rPr>
          <w:rFonts w:hint="eastAsia" w:ascii="宋体" w:hAnsi="宋体"/>
          <w:szCs w:val="21"/>
        </w:rPr>
        <w:t>地址：______________________</w:t>
      </w:r>
      <w:r>
        <w:rPr>
          <w:rFonts w:hint="eastAsia" w:ascii="宋体" w:hAnsi="宋体"/>
          <w:szCs w:val="21"/>
          <w:u w:val="single"/>
        </w:rPr>
        <w:t>_</w:t>
      </w:r>
      <w:r>
        <w:rPr>
          <w:rFonts w:hint="eastAsia" w:ascii="宋体" w:hAnsi="宋体"/>
          <w:szCs w:val="21"/>
        </w:rPr>
        <w:t>___邮编：__________   电话：______________</w:t>
      </w:r>
    </w:p>
    <w:p>
      <w:pPr>
        <w:snapToGrid w:val="0"/>
        <w:spacing w:line="500" w:lineRule="exact"/>
        <w:rPr>
          <w:rFonts w:ascii="宋体" w:hAnsi="宋体"/>
          <w:szCs w:val="21"/>
        </w:rPr>
      </w:pPr>
      <w:r>
        <w:rPr>
          <w:rFonts w:hint="eastAsia" w:ascii="宋体" w:hAnsi="宋体"/>
          <w:szCs w:val="21"/>
        </w:rPr>
        <w:t>传真：______________投标人代表姓名 ___________  职务：_____________</w:t>
      </w:r>
    </w:p>
    <w:p>
      <w:pPr>
        <w:snapToGrid w:val="0"/>
        <w:spacing w:line="500" w:lineRule="exact"/>
        <w:rPr>
          <w:rFonts w:ascii="宋体" w:hAnsi="宋体"/>
          <w:szCs w:val="21"/>
        </w:rPr>
      </w:pPr>
      <w:r>
        <w:rPr>
          <w:rFonts w:hint="eastAsia" w:ascii="宋体" w:hAnsi="宋体"/>
          <w:szCs w:val="21"/>
        </w:rPr>
        <w:t>投标人名称(公章):___________________</w:t>
      </w:r>
    </w:p>
    <w:p>
      <w:pPr>
        <w:snapToGrid w:val="0"/>
        <w:spacing w:line="500" w:lineRule="exact"/>
        <w:rPr>
          <w:rFonts w:ascii="宋体" w:hAnsi="宋体"/>
          <w:szCs w:val="21"/>
        </w:rPr>
      </w:pP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 xml:space="preserve">   银行账号：</w:t>
      </w:r>
      <w:r>
        <w:rPr>
          <w:rFonts w:hint="eastAsia" w:ascii="宋体" w:hAnsi="宋体"/>
          <w:szCs w:val="21"/>
          <w:u w:val="single"/>
        </w:rPr>
        <w:t xml:space="preserve">                    </w:t>
      </w:r>
      <w:r>
        <w:rPr>
          <w:rFonts w:hint="eastAsia" w:ascii="宋体" w:hAnsi="宋体"/>
          <w:szCs w:val="21"/>
        </w:rPr>
        <w:t xml:space="preserve"> </w:t>
      </w:r>
    </w:p>
    <w:p>
      <w:pPr>
        <w:snapToGrid w:val="0"/>
        <w:spacing w:line="500" w:lineRule="exact"/>
        <w:rPr>
          <w:rFonts w:ascii="宋体" w:hAnsi="宋体"/>
          <w:szCs w:val="21"/>
        </w:rPr>
      </w:pPr>
      <w:r>
        <w:rPr>
          <w:rFonts w:hint="eastAsia" w:ascii="宋体" w:hAnsi="宋体"/>
          <w:szCs w:val="21"/>
        </w:rPr>
        <w:t>法定代表人或委托代理人签字或签章:___________                 日期:_____年___月___日</w:t>
      </w:r>
    </w:p>
    <w:p>
      <w:pPr>
        <w:pStyle w:val="29"/>
        <w:snapToGrid w:val="0"/>
        <w:spacing w:line="500" w:lineRule="exact"/>
        <w:ind w:firstLine="5670" w:firstLineChars="2700"/>
        <w:rPr>
          <w:rFonts w:hAnsi="宋体"/>
        </w:rPr>
      </w:pPr>
      <w:r>
        <w:rPr>
          <w:rFonts w:hint="eastAsia" w:hAnsi="宋体"/>
        </w:rPr>
        <w:t>(公章)</w:t>
      </w:r>
    </w:p>
    <w:p>
      <w:pPr>
        <w:pStyle w:val="29"/>
        <w:snapToGrid w:val="0"/>
        <w:spacing w:line="500" w:lineRule="exact"/>
        <w:ind w:firstLine="5565" w:firstLineChars="2650"/>
        <w:rPr>
          <w:rFonts w:hAnsi="宋体"/>
        </w:rPr>
      </w:pPr>
      <w:r>
        <w:rPr>
          <w:rFonts w:hint="eastAsia" w:hAnsi="宋体"/>
        </w:rPr>
        <w:t>年___月___日</w:t>
      </w: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before="156" w:beforeLines="50" w:after="50" w:line="360" w:lineRule="exact"/>
        <w:rPr>
          <w:rFonts w:ascii="宋体" w:hAnsi="宋体"/>
          <w:b/>
          <w:szCs w:val="21"/>
        </w:rPr>
      </w:pPr>
    </w:p>
    <w:p>
      <w:pPr>
        <w:snapToGrid w:val="0"/>
        <w:spacing w:line="360" w:lineRule="exact"/>
        <w:rPr>
          <w:rFonts w:ascii="宋体" w:hAnsi="宋体"/>
          <w:b/>
          <w:szCs w:val="21"/>
        </w:rPr>
      </w:pPr>
      <w:r>
        <w:rPr>
          <w:rFonts w:hint="eastAsia" w:ascii="宋体" w:hAnsi="宋体"/>
          <w:b/>
          <w:szCs w:val="21"/>
        </w:rPr>
        <w:t>（2）投标报价明细表格式</w:t>
      </w:r>
    </w:p>
    <w:p>
      <w:pPr>
        <w:pStyle w:val="29"/>
        <w:snapToGrid w:val="0"/>
        <w:spacing w:line="360" w:lineRule="exact"/>
        <w:ind w:firstLine="105" w:firstLineChars="50"/>
        <w:rPr>
          <w:rFonts w:hAnsi="宋体"/>
        </w:rPr>
      </w:pPr>
      <w:r>
        <w:rPr>
          <w:rFonts w:hint="eastAsia" w:hAnsi="宋体"/>
        </w:rPr>
        <w:t xml:space="preserve">                                                金额单位：人民币（元）</w:t>
      </w:r>
    </w:p>
    <w:tbl>
      <w:tblPr>
        <w:tblStyle w:val="52"/>
        <w:tblW w:w="0" w:type="auto"/>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pacing w:val="20"/>
                <w:szCs w:val="21"/>
              </w:rPr>
            </w:pPr>
            <w:r>
              <w:rPr>
                <w:rFonts w:hint="eastAsia" w:ascii="宋体" w:hAnsi="宋体"/>
                <w:szCs w:val="21"/>
              </w:rPr>
              <w:t>序号</w:t>
            </w:r>
          </w:p>
        </w:tc>
        <w:tc>
          <w:tcPr>
            <w:tcW w:w="126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设备名称</w:t>
            </w:r>
          </w:p>
        </w:tc>
        <w:tc>
          <w:tcPr>
            <w:tcW w:w="1260" w:type="dxa"/>
            <w:tcBorders>
              <w:top w:val="single" w:color="auto" w:sz="4" w:space="0"/>
              <w:left w:val="single" w:color="auto" w:sz="4" w:space="0"/>
              <w:bottom w:val="single" w:color="auto" w:sz="4" w:space="0"/>
              <w:right w:val="single" w:color="auto" w:sz="4" w:space="0"/>
            </w:tcBorders>
            <w:vAlign w:val="center"/>
          </w:tcPr>
          <w:p>
            <w:pPr>
              <w:pStyle w:val="244"/>
              <w:jc w:val="center"/>
              <w:rPr>
                <w:color w:val="auto"/>
              </w:rPr>
            </w:pPr>
            <w:r>
              <w:rPr>
                <w:rFonts w:hint="eastAsia"/>
                <w:b w:val="0"/>
                <w:bCs/>
                <w:color w:val="auto"/>
              </w:rPr>
              <w:t>品牌</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260" w:lineRule="exact"/>
              <w:jc w:val="center"/>
              <w:rPr>
                <w:rFonts w:ascii="宋体" w:hAnsi="宋体"/>
                <w:szCs w:val="21"/>
              </w:rPr>
            </w:pPr>
            <w:r>
              <w:rPr>
                <w:rFonts w:hint="eastAsia" w:ascii="宋体" w:hAnsi="宋体"/>
                <w:szCs w:val="21"/>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单价</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jc w:val="center"/>
              <w:rPr>
                <w:rFonts w:ascii="宋体" w:hAnsi="宋体"/>
                <w:szCs w:val="21"/>
              </w:rPr>
            </w:pPr>
            <w:r>
              <w:rPr>
                <w:rFonts w:hint="eastAsia" w:ascii="宋体" w:hAnsi="宋体"/>
                <w:szCs w:val="21"/>
              </w:rPr>
              <w:t>金额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r>
              <w:rPr>
                <w:rFonts w:hint="eastAsia" w:ascii="宋体" w:hAnsi="宋体"/>
                <w:spacing w:val="20"/>
                <w:szCs w:val="21"/>
              </w:rPr>
              <w:t>……</w:t>
            </w:r>
          </w:p>
        </w:tc>
        <w:tc>
          <w:tcPr>
            <w:tcW w:w="126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08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90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c>
          <w:tcPr>
            <w:tcW w:w="1620" w:type="dxa"/>
            <w:tcBorders>
              <w:top w:val="single" w:color="auto" w:sz="4" w:space="0"/>
              <w:left w:val="single" w:color="auto" w:sz="4" w:space="0"/>
              <w:bottom w:val="single" w:color="auto" w:sz="4" w:space="0"/>
              <w:right w:val="single" w:color="auto" w:sz="4" w:space="0"/>
            </w:tcBorders>
          </w:tcPr>
          <w:p>
            <w:pPr>
              <w:tabs>
                <w:tab w:val="left" w:pos="1418"/>
              </w:tabs>
              <w:snapToGrid w:val="0"/>
              <w:spacing w:before="50" w:after="50" w:line="360" w:lineRule="exact"/>
              <w:jc w:val="center"/>
              <w:rPr>
                <w:rFonts w:ascii="宋体" w:hAnsi="宋体"/>
                <w:spacing w:val="2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100" w:type="dxa"/>
            <w:gridSpan w:val="7"/>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rPr>
                <w:rFonts w:ascii="宋体" w:hAnsi="宋体"/>
                <w:spacing w:val="20"/>
                <w:szCs w:val="21"/>
              </w:rPr>
            </w:pPr>
            <w:r>
              <w:rPr>
                <w:rFonts w:hint="eastAsia" w:hAnsi="宋体"/>
              </w:rPr>
              <w:t>分标</w:t>
            </w:r>
            <w:r>
              <w:rPr>
                <w:rFonts w:hint="eastAsia" w:hAnsi="宋体"/>
                <w:u w:val="single"/>
              </w:rPr>
              <w:t xml:space="preserve">      </w:t>
            </w:r>
            <w:r>
              <w:rPr>
                <w:rFonts w:hint="eastAsia" w:ascii="宋体" w:hAnsi="宋体"/>
                <w:szCs w:val="21"/>
              </w:rPr>
              <w:t>合计金额大写：</w:t>
            </w:r>
          </w:p>
        </w:tc>
        <w:tc>
          <w:tcPr>
            <w:tcW w:w="1620" w:type="dxa"/>
            <w:tcBorders>
              <w:top w:val="single" w:color="auto" w:sz="4" w:space="0"/>
              <w:left w:val="single" w:color="auto" w:sz="4" w:space="0"/>
              <w:bottom w:val="single" w:color="auto" w:sz="4" w:space="0"/>
              <w:right w:val="single" w:color="auto" w:sz="4" w:space="0"/>
            </w:tcBorders>
            <w:vAlign w:val="center"/>
          </w:tcPr>
          <w:p>
            <w:pPr>
              <w:tabs>
                <w:tab w:val="left" w:pos="1418"/>
              </w:tabs>
              <w:snapToGrid w:val="0"/>
              <w:spacing w:before="50" w:after="50" w:line="360" w:lineRule="exact"/>
              <w:rPr>
                <w:rFonts w:ascii="宋体" w:hAnsi="宋体"/>
                <w:spacing w:val="20"/>
                <w:szCs w:val="21"/>
              </w:rPr>
            </w:pPr>
            <w:r>
              <w:rPr>
                <w:rFonts w:hint="eastAsia" w:ascii="宋体" w:hAnsi="宋体"/>
                <w:szCs w:val="21"/>
              </w:rPr>
              <w:t>￥</w:t>
            </w:r>
            <w:r>
              <w:rPr>
                <w:rFonts w:hint="eastAsia" w:ascii="宋体" w:hAnsi="宋体"/>
                <w:szCs w:val="21"/>
                <w:u w:val="single"/>
              </w:rPr>
              <w:t xml:space="preserve">            </w:t>
            </w:r>
          </w:p>
        </w:tc>
      </w:tr>
    </w:tbl>
    <w:p>
      <w:pPr>
        <w:tabs>
          <w:tab w:val="left" w:pos="1418"/>
        </w:tabs>
        <w:snapToGrid w:val="0"/>
        <w:ind w:left="1418" w:hanging="567"/>
        <w:jc w:val="center"/>
        <w:rPr>
          <w:rFonts w:ascii="宋体" w:hAnsi="宋体"/>
          <w:spacing w:val="20"/>
          <w:szCs w:val="21"/>
          <w:u w:val="single"/>
        </w:rPr>
      </w:pPr>
    </w:p>
    <w:p>
      <w:pPr>
        <w:snapToGrid w:val="0"/>
        <w:rPr>
          <w:rFonts w:ascii="宋体" w:hAnsi="宋体"/>
          <w:spacing w:val="20"/>
          <w:szCs w:val="21"/>
          <w:u w:val="single"/>
        </w:rPr>
      </w:pPr>
      <w:r>
        <w:rPr>
          <w:rFonts w:hint="eastAsia" w:ascii="宋体" w:hAnsi="宋体"/>
          <w:szCs w:val="21"/>
        </w:rPr>
        <w:t>法定代表人或委托代理人</w:t>
      </w:r>
      <w:r>
        <w:rPr>
          <w:rFonts w:ascii="宋体" w:hAnsi="宋体"/>
          <w:szCs w:val="21"/>
          <w:lang w:val="en"/>
        </w:rPr>
        <w:t>签字或签章</w:t>
      </w:r>
      <w:r>
        <w:rPr>
          <w:rFonts w:hint="eastAsia" w:ascii="宋体" w:hAnsi="宋体"/>
          <w:spacing w:val="20"/>
          <w:szCs w:val="21"/>
        </w:rPr>
        <w:t>：</w:t>
      </w:r>
      <w:r>
        <w:rPr>
          <w:rFonts w:hint="eastAsia" w:ascii="宋体" w:hAnsi="宋体"/>
          <w:spacing w:val="20"/>
          <w:szCs w:val="21"/>
          <w:u w:val="single"/>
        </w:rPr>
        <w:t xml:space="preserve">          </w:t>
      </w:r>
    </w:p>
    <w:p>
      <w:pPr>
        <w:snapToGrid w:val="0"/>
        <w:rPr>
          <w:rFonts w:ascii="宋体" w:hAnsi="宋体"/>
          <w:spacing w:val="20"/>
          <w:szCs w:val="21"/>
          <w:u w:val="single"/>
        </w:rPr>
      </w:pPr>
    </w:p>
    <w:p>
      <w:pPr>
        <w:snapToGrid w:val="0"/>
        <w:rPr>
          <w:rFonts w:ascii="宋体" w:hAnsi="宋体"/>
          <w:szCs w:val="21"/>
        </w:rPr>
      </w:pPr>
      <w:r>
        <w:rPr>
          <w:rFonts w:hint="eastAsia" w:ascii="宋体" w:hAnsi="宋体"/>
          <w:szCs w:val="21"/>
        </w:rPr>
        <w:t xml:space="preserve">投标人盖章：                               日  期：         </w:t>
      </w:r>
    </w:p>
    <w:p>
      <w:pPr>
        <w:snapToGrid w:val="0"/>
        <w:rPr>
          <w:rFonts w:ascii="宋体" w:hAnsi="宋体"/>
          <w:b/>
          <w:szCs w:val="21"/>
        </w:rPr>
      </w:pPr>
    </w:p>
    <w:p>
      <w:pPr>
        <w:snapToGrid w:val="0"/>
        <w:rPr>
          <w:rFonts w:ascii="宋体" w:hAnsi="宋体"/>
          <w:szCs w:val="21"/>
        </w:rPr>
      </w:pPr>
      <w:r>
        <w:rPr>
          <w:rFonts w:hint="eastAsia" w:ascii="宋体" w:hAnsi="宋体"/>
          <w:b/>
          <w:szCs w:val="21"/>
        </w:rPr>
        <w:t>（3）</w:t>
      </w:r>
      <w:r>
        <w:rPr>
          <w:rFonts w:hint="eastAsia" w:ascii="宋体" w:hAnsi="宋体"/>
          <w:szCs w:val="21"/>
        </w:rPr>
        <w:t>投标人针对报价需要说明的其他文件和说明（格式自拟）</w:t>
      </w:r>
    </w:p>
    <w:p>
      <w:pPr>
        <w:snapToGrid w:val="0"/>
        <w:ind w:firstLine="421" w:firstLineChars="200"/>
        <w:rPr>
          <w:rFonts w:ascii="宋体" w:hAnsi="宋体"/>
          <w:b/>
          <w:szCs w:val="21"/>
        </w:rPr>
      </w:pPr>
    </w:p>
    <w:p>
      <w:pPr>
        <w:snapToGrid w:val="0"/>
        <w:spacing w:line="360" w:lineRule="exact"/>
        <w:rPr>
          <w:rFonts w:ascii="宋体" w:hAnsi="宋体"/>
          <w:b/>
          <w:szCs w:val="21"/>
        </w:rPr>
      </w:pPr>
      <w:r>
        <w:rPr>
          <w:rFonts w:hint="eastAsia" w:ascii="宋体" w:hAnsi="宋体"/>
          <w:b/>
          <w:szCs w:val="21"/>
        </w:rPr>
        <w:t>（4）开标一览表</w:t>
      </w:r>
    </w:p>
    <w:p>
      <w:pPr>
        <w:snapToGrid w:val="0"/>
        <w:spacing w:line="360" w:lineRule="exact"/>
        <w:jc w:val="center"/>
        <w:rPr>
          <w:rFonts w:ascii="宋体" w:hAnsi="宋体"/>
          <w:b/>
          <w:szCs w:val="21"/>
        </w:rPr>
      </w:pPr>
      <w:r>
        <w:rPr>
          <w:rFonts w:hint="eastAsia" w:ascii="宋体" w:hAnsi="宋体"/>
          <w:b/>
          <w:szCs w:val="21"/>
        </w:rPr>
        <w:t>开标一览表</w:t>
      </w:r>
    </w:p>
    <w:p>
      <w:pPr>
        <w:snapToGrid w:val="0"/>
        <w:spacing w:line="360" w:lineRule="exact"/>
        <w:jc w:val="left"/>
      </w:pPr>
      <w:r>
        <w:rPr>
          <w:rFonts w:hint="eastAsia" w:hAnsi="宋体"/>
        </w:rPr>
        <w:t>项目名称：</w:t>
      </w:r>
    </w:p>
    <w:p>
      <w:pPr>
        <w:snapToGrid w:val="0"/>
        <w:spacing w:line="360" w:lineRule="exact"/>
        <w:jc w:val="left"/>
        <w:rPr>
          <w:rFonts w:ascii="宋体" w:hAnsi="宋体"/>
          <w:b/>
          <w:szCs w:val="21"/>
        </w:rPr>
      </w:pPr>
      <w:r>
        <w:rPr>
          <w:rFonts w:hint="eastAsia"/>
        </w:rPr>
        <w:t>项目编号：</w:t>
      </w:r>
      <w:r>
        <w:t xml:space="preserve">                                        </w:t>
      </w:r>
    </w:p>
    <w:p>
      <w:pPr>
        <w:snapToGrid w:val="0"/>
        <w:spacing w:line="360" w:lineRule="exact"/>
        <w:ind w:firstLine="102" w:firstLineChars="49"/>
        <w:jc w:val="left"/>
        <w:rPr>
          <w:rFonts w:ascii="宋体" w:hAnsi="宋体"/>
          <w:b/>
          <w:szCs w:val="21"/>
        </w:rPr>
      </w:pPr>
      <w:r>
        <w:rPr>
          <w:rFonts w:hint="eastAsia"/>
        </w:rPr>
        <w:t xml:space="preserve">                                                金额单位：人民币（元）</w:t>
      </w:r>
    </w:p>
    <w:tbl>
      <w:tblPr>
        <w:tblStyle w:val="52"/>
        <w:tblW w:w="97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rPr>
                <w:rFonts w:ascii="宋体" w:hAnsi="宋体"/>
                <w:szCs w:val="21"/>
              </w:rPr>
            </w:pPr>
            <w:r>
              <w:rPr>
                <w:rFonts w:hint="eastAsia" w:ascii="宋体" w:hAnsi="宋体"/>
                <w:szCs w:val="21"/>
              </w:rPr>
              <w:t>序号</w:t>
            </w: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数量</w:t>
            </w: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产地</w:t>
            </w: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单价</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jc w:val="center"/>
              <w:rPr>
                <w:rFonts w:ascii="宋体" w:hAnsi="宋体"/>
                <w:szCs w:val="21"/>
              </w:rPr>
            </w:pPr>
            <w:r>
              <w:rPr>
                <w:rFonts w:hint="eastAsia" w:ascii="宋体" w:hAnsi="宋体"/>
                <w:szCs w:val="21"/>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r>
              <w:rPr>
                <w:rFonts w:hint="eastAsia" w:ascii="宋体" w:hAnsi="宋体"/>
                <w:szCs w:val="21"/>
              </w:rPr>
              <w:t>…</w:t>
            </w:r>
          </w:p>
        </w:tc>
        <w:tc>
          <w:tcPr>
            <w:tcW w:w="1542"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r>
              <w:rPr>
                <w:rFonts w:hint="eastAsia" w:ascii="宋体" w:hAnsi="宋体"/>
                <w:bCs/>
                <w:szCs w:val="21"/>
              </w:rPr>
              <w:t>…</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bCs/>
                <w:szCs w:val="21"/>
              </w:rPr>
            </w:pPr>
          </w:p>
        </w:tc>
        <w:tc>
          <w:tcPr>
            <w:tcW w:w="749"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85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38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pPr>
              <w:snapToGrid w:val="0"/>
              <w:spacing w:before="50" w:after="50" w:line="360" w:lineRule="exact"/>
              <w:rPr>
                <w:rFonts w:ascii="宋体" w:hAnsi="宋体"/>
                <w:szCs w:val="21"/>
                <w:u w:val="single"/>
              </w:rPr>
            </w:pPr>
            <w:r>
              <w:rPr>
                <w:rFonts w:hint="eastAsia" w:hAnsi="宋体"/>
              </w:rPr>
              <w:t>分标</w:t>
            </w:r>
            <w:r>
              <w:rPr>
                <w:rFonts w:hint="eastAsia" w:hAnsi="宋体"/>
                <w:u w:val="single"/>
              </w:rPr>
              <w:t xml:space="preserve">      </w:t>
            </w:r>
            <w:r>
              <w:rPr>
                <w:rFonts w:hint="eastAsia" w:ascii="宋体" w:hAnsi="宋体"/>
                <w:szCs w:val="21"/>
              </w:rPr>
              <w:t>合计金额大写：                                              ￥</w:t>
            </w:r>
            <w:r>
              <w:rPr>
                <w:rFonts w:hint="eastAsia" w:ascii="宋体" w:hAnsi="宋体"/>
                <w:szCs w:val="21"/>
                <w:u w:val="single"/>
              </w:rPr>
              <w:t xml:space="preserve">            </w:t>
            </w:r>
          </w:p>
        </w:tc>
      </w:tr>
    </w:tbl>
    <w:p>
      <w:pPr>
        <w:snapToGrid w:val="0"/>
        <w:spacing w:before="50" w:after="50"/>
        <w:jc w:val="left"/>
        <w:rPr>
          <w:rFonts w:ascii="宋体" w:hAnsi="宋体"/>
          <w:szCs w:val="21"/>
        </w:rPr>
      </w:pPr>
    </w:p>
    <w:p>
      <w:pPr>
        <w:snapToGrid w:val="0"/>
        <w:spacing w:line="240" w:lineRule="exact"/>
        <w:ind w:firstLine="420" w:firstLineChars="200"/>
        <w:jc w:val="left"/>
        <w:rPr>
          <w:rFonts w:ascii="宋体" w:hAnsi="宋体"/>
          <w:szCs w:val="21"/>
        </w:rPr>
      </w:pPr>
      <w:r>
        <w:rPr>
          <w:rFonts w:hint="eastAsia" w:ascii="宋体" w:hAnsi="宋体"/>
          <w:szCs w:val="21"/>
        </w:rPr>
        <w:t xml:space="preserve">注: </w:t>
      </w:r>
    </w:p>
    <w:p>
      <w:pPr>
        <w:snapToGrid w:val="0"/>
        <w:spacing w:line="240" w:lineRule="exact"/>
        <w:ind w:firstLine="420" w:firstLineChars="200"/>
        <w:jc w:val="left"/>
        <w:rPr>
          <w:rFonts w:ascii="宋体" w:hAnsi="宋体"/>
          <w:szCs w:val="21"/>
        </w:rPr>
      </w:pPr>
      <w:r>
        <w:rPr>
          <w:rFonts w:hint="eastAsia" w:ascii="宋体" w:hAnsi="宋体"/>
          <w:szCs w:val="21"/>
        </w:rPr>
        <w:t>1.报价一经涂改，应在涂改处加盖单位公章或者由法定代表人或授权委托人签字或签章，否则其投标作无效标处理。</w:t>
      </w:r>
    </w:p>
    <w:p>
      <w:pPr>
        <w:snapToGrid w:val="0"/>
        <w:spacing w:line="240" w:lineRule="exact"/>
        <w:ind w:firstLine="420" w:firstLineChars="200"/>
        <w:jc w:val="left"/>
        <w:rPr>
          <w:rFonts w:ascii="宋体" w:hAnsi="宋体"/>
          <w:szCs w:val="21"/>
        </w:rPr>
      </w:pPr>
      <w:r>
        <w:rPr>
          <w:rFonts w:hint="eastAsia" w:ascii="宋体" w:hAnsi="宋体"/>
          <w:szCs w:val="21"/>
        </w:rPr>
        <w:t>2.凡需用专用耗材的专用设备类采购项目，应按招标文件规定的耗材量或按耗材的常规试用量提供报价。</w:t>
      </w:r>
    </w:p>
    <w:p>
      <w:pPr>
        <w:snapToGrid w:val="0"/>
        <w:spacing w:line="240" w:lineRule="exact"/>
        <w:jc w:val="left"/>
        <w:rPr>
          <w:rFonts w:ascii="宋体" w:hAnsi="宋体"/>
          <w:szCs w:val="21"/>
        </w:rPr>
      </w:pPr>
      <w:r>
        <w:rPr>
          <w:rFonts w:hint="eastAsia" w:ascii="宋体" w:hAnsi="宋体"/>
          <w:szCs w:val="21"/>
        </w:rPr>
        <w:t xml:space="preserve">    3.投标费用包括项目实施所需的人工费、运输费、安装调试费、制作投标文件费、税费及其他一切费用。</w:t>
      </w:r>
    </w:p>
    <w:p>
      <w:pPr>
        <w:snapToGrid w:val="0"/>
        <w:spacing w:line="240" w:lineRule="exact"/>
        <w:ind w:firstLine="420" w:firstLineChars="200"/>
        <w:jc w:val="left"/>
        <w:rPr>
          <w:rFonts w:ascii="宋体" w:hAnsi="宋体"/>
          <w:szCs w:val="21"/>
        </w:rPr>
      </w:pPr>
      <w:r>
        <w:rPr>
          <w:rFonts w:hint="eastAsia" w:ascii="宋体" w:hAnsi="宋体"/>
          <w:szCs w:val="21"/>
        </w:rPr>
        <w:t>4.以上报价应与“投标设备报价明细表”中的“投标总价”相一致。</w:t>
      </w:r>
    </w:p>
    <w:p>
      <w:pPr>
        <w:snapToGrid w:val="0"/>
        <w:spacing w:line="240" w:lineRule="exact"/>
        <w:ind w:left="-2" w:leftChars="-1" w:right="-817" w:rightChars="-389" w:firstLine="421" w:firstLineChars="200"/>
        <w:rPr>
          <w:rFonts w:ascii="宋体" w:hAnsi="宋体"/>
          <w:b/>
          <w:szCs w:val="21"/>
        </w:rPr>
      </w:pPr>
      <w:r>
        <w:rPr>
          <w:rFonts w:hint="eastAsia" w:ascii="宋体" w:hAnsi="宋体"/>
          <w:b/>
          <w:szCs w:val="21"/>
        </w:rPr>
        <w:t>5.</w:t>
      </w:r>
      <w:r>
        <w:rPr>
          <w:rFonts w:hint="eastAsia" w:ascii="宋体" w:hAnsi="宋体"/>
          <w:bCs/>
          <w:szCs w:val="21"/>
        </w:rPr>
        <w:t>项目中有多个分标的，每一分标的开标一览表必须分别按格式要求填写并签字、盖章。</w:t>
      </w:r>
    </w:p>
    <w:p>
      <w:pPr>
        <w:snapToGrid w:val="0"/>
        <w:ind w:left="-2" w:leftChars="-1" w:right="-817" w:rightChars="-389" w:firstLine="420" w:firstLineChars="200"/>
        <w:rPr>
          <w:rFonts w:ascii="宋体" w:hAnsi="宋体"/>
          <w:szCs w:val="21"/>
        </w:rPr>
      </w:pPr>
    </w:p>
    <w:p>
      <w:pPr>
        <w:snapToGrid w:val="0"/>
        <w:ind w:left="-2" w:leftChars="-1" w:right="-817" w:rightChars="-389" w:firstLine="420" w:firstLineChars="200"/>
        <w:rPr>
          <w:rFonts w:ascii="宋体" w:hAnsi="宋体"/>
          <w:szCs w:val="21"/>
        </w:rPr>
      </w:pPr>
      <w:r>
        <w:rPr>
          <w:rFonts w:hint="eastAsia" w:ascii="宋体" w:hAnsi="宋体"/>
          <w:szCs w:val="21"/>
        </w:rPr>
        <w:t>法定代表人或委托代理人</w:t>
      </w:r>
      <w:r>
        <w:rPr>
          <w:rFonts w:ascii="宋体" w:hAnsi="宋体"/>
          <w:szCs w:val="21"/>
          <w:lang w:val="en"/>
        </w:rPr>
        <w:t>签字或签章</w:t>
      </w:r>
      <w:r>
        <w:rPr>
          <w:rFonts w:hint="eastAsia" w:ascii="宋体" w:hAnsi="宋体"/>
          <w:szCs w:val="21"/>
        </w:rPr>
        <w:t xml:space="preserve">：                    </w:t>
      </w:r>
    </w:p>
    <w:p>
      <w:pPr>
        <w:snapToGrid w:val="0"/>
        <w:ind w:right="-817" w:rightChars="-389" w:firstLine="420" w:firstLineChars="200"/>
        <w:rPr>
          <w:rFonts w:ascii="宋体" w:hAnsi="宋体"/>
          <w:szCs w:val="21"/>
        </w:rPr>
      </w:pPr>
    </w:p>
    <w:p>
      <w:pPr>
        <w:snapToGrid w:val="0"/>
        <w:ind w:right="-817" w:rightChars="-389" w:firstLine="420" w:firstLineChars="200"/>
        <w:rPr>
          <w:rFonts w:ascii="宋体" w:hAnsi="宋体"/>
          <w:szCs w:val="21"/>
        </w:rPr>
      </w:pPr>
      <w:r>
        <w:rPr>
          <w:rFonts w:hint="eastAsia" w:ascii="宋体" w:hAnsi="宋体"/>
          <w:szCs w:val="21"/>
        </w:rPr>
        <w:t>投标人名称（盖章）：</w:t>
      </w:r>
    </w:p>
    <w:p>
      <w:pPr>
        <w:snapToGrid w:val="0"/>
        <w:jc w:val="center"/>
      </w:pPr>
      <w:r>
        <w:rPr>
          <w:rFonts w:hint="eastAsia"/>
        </w:rPr>
        <w:t xml:space="preserve">                  日期：  年   月   日 </w:t>
      </w:r>
    </w:p>
    <w:sectPr>
      <w:headerReference r:id="rId5" w:type="default"/>
      <w:footerReference r:id="rId6" w:type="default"/>
      <w:pgSz w:w="11906" w:h="16838"/>
      <w:pgMar w:top="1247" w:right="1247" w:bottom="1247"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Tahoma">
    <w:altName w:val="Droid Sans"/>
    <w:panose1 w:val="020B0604030504040204"/>
    <w:charset w:val="00"/>
    <w:family w:val="swiss"/>
    <w:pitch w:val="default"/>
    <w:sig w:usb0="00000000" w:usb1="00000000" w:usb2="00000029" w:usb3="00000000" w:csb0="000101FF" w:csb1="00000000"/>
  </w:font>
  <w:font w:name="方正中等线简体 Regular">
    <w:altName w:val="黑体"/>
    <w:panose1 w:val="00000000000000000000"/>
    <w:charset w:val="86"/>
    <w:family w:val="auto"/>
    <w:pitch w:val="default"/>
    <w:sig w:usb0="00000000" w:usb1="00000000" w:usb2="00000010" w:usb3="00000000" w:csb0="00040000" w:csb1="00000000"/>
  </w:font>
  <w:font w:name="Verdana">
    <w:altName w:val="Ubuntu"/>
    <w:panose1 w:val="020B0604030504040204"/>
    <w:charset w:val="00"/>
    <w:family w:val="swiss"/>
    <w:pitch w:val="default"/>
    <w:sig w:usb0="00000000" w:usb1="00000000" w:usb2="00000010" w:usb3="00000000" w:csb0="0000019F" w:csb1="00000000"/>
  </w:font>
  <w:font w:name="楷体_GB2312">
    <w:altName w:val="楷体"/>
    <w:panose1 w:val="00000000000000000000"/>
    <w:charset w:val="86"/>
    <w:family w:val="modern"/>
    <w:pitch w:val="default"/>
    <w:sig w:usb0="00000000" w:usb1="00000000" w:usb2="00000000" w:usb3="00000000" w:csb0="00040000" w:csb1="00000000"/>
  </w:font>
  <w:font w:name="汉仪大黑简 regular">
    <w:altName w:val="黑体"/>
    <w:panose1 w:val="00000000000000000000"/>
    <w:charset w:val="86"/>
    <w:family w:val="auto"/>
    <w:pitch w:val="default"/>
    <w:sig w:usb0="00000000" w:usb1="00000000" w:usb2="00000010" w:usb3="00000000" w:csb0="00040000" w:csb1="00000000"/>
  </w:font>
  <w:font w:name="创艺简黑体">
    <w:altName w:val="黑体"/>
    <w:panose1 w:val="00000000000000000000"/>
    <w:charset w:val="86"/>
    <w:family w:val="auto"/>
    <w:pitch w:val="default"/>
    <w:sig w:usb0="00000000" w:usb1="00000000" w:usb2="0000001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隶书">
    <w:altName w:val="宋体"/>
    <w:panose1 w:val="0201050906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Droid Sans">
    <w:panose1 w:val="020B0606030804020204"/>
    <w:charset w:val="00"/>
    <w:family w:val="auto"/>
    <w:pitch w:val="default"/>
    <w:sig w:usb0="E00002EF" w:usb1="4000205B" w:usb2="00000028" w:usb3="00000000" w:csb0="2000019F"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LlzVRDwIAAAcEAAAOAAAAZHJz&#10;L2Uyb0RvYy54bWytU82O0zAQviPxDpbvNGkrVlXVdFV2VYRUsSsVxNl1nCaS/2S7TcoDwBtw4sKd&#10;5+pz7Gen6SLghLjYY8/4m5lvPi9uOyXJUTjfGF3Q8SinRGhuykbvC/rxw/rVjBIfmC6ZNFoU9CQ8&#10;vV2+fLFo7VxMTG1kKRwBiPbz1ha0DsHOs8zzWijmR8YKDWdlnGIBR7fPSsdaoCuZTfL8JmuNK60z&#10;XHiP2/veSZcJv6oEDw9V5UUgsqCoLaTVpXUX12y5YPO9Y7Zu+KUM9g9VKNZoJL1C3bPAyME1f0Cp&#10;hjvjTRVG3KjMVFXDReoB3Yzz37rZ1syK1AvI8fZKk/9/sPz98dGRpizolBLNFEZ0/vb1/P3n+ccX&#10;Mo30tNbPEbW1iAvdG9NhzMO9x2Xsuqucijv6IfCD6NOVXNEFwuOj2WQ2y+Hi8A0H4GfPz63z4a0w&#10;ikSjoA7TS6Sy48aHPnQIidm0WTdSpglKTdqC3kxf5+nB1QNwqZEjNtEXG63Q7bpLZztTntCYM70y&#10;vOXrBsk3zIdH5iAFFAx5hwcslTRIYi4WJbVxn/92H+MxIXgpaSGtgmponxL5TmNyUYWD4QZjNxj6&#10;oO4MtDrGt7E8mXjgghzMyhn1CZpfxRxwMc2RqaBhMO9CL2/8GS5WqxQErVkWNnpreYSO5Hm7OgQQ&#10;mHiNpPRMXLiC2tJkLj8jyvnXc4p6/r/L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DLlzVR&#10;DwIAAAcEAAAOAAAAAAAAAAEAIAAAADUBAABkcnMvZTJvRG9jLnhtbFBLBQYAAAAABgAGAFkBAAC2&#10;BQAAAAA=&#10;">
              <v:fill on="f" focussize="0,0"/>
              <v:stroke on="f" weight="0.5pt"/>
              <v:imagedata o:title=""/>
              <o:lock v:ext="edit" aspectratio="f"/>
              <v:textbox inset="0mm,0mm,0mm,0mm" style="mso-fit-shape-to-text:t;">
                <w:txbxContent>
                  <w:p>
                    <w:pPr>
                      <w:pStyle w:val="3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lang w:val="en"/>
      </w:rPr>
      <w:t>广西职业师范学院实验室配套设备购置项目</w:t>
    </w:r>
    <w:r>
      <w:rPr>
        <w:rFonts w:hint="eastAsia"/>
      </w:rPr>
      <w:t>（</w:t>
    </w:r>
    <w:r>
      <w:rPr>
        <w:lang w:val="en"/>
      </w:rPr>
      <w:t>GXZC2026-G1-003528-CGZX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pStyle w:val="374"/>
      <w:suff w:val="nothing"/>
      <w:lvlText w:val="图%1　"/>
      <w:lvlJc w:val="left"/>
      <w:rPr>
        <w:rFonts w:hint="eastAsia" w:ascii="黑体" w:hAnsi="Times New Roman" w:eastAsia="黑体" w:cs="Times New Roman"/>
        <w:b w:val="0"/>
        <w:i w:val="0"/>
        <w:sz w:val="21"/>
      </w:rPr>
    </w:lvl>
    <w:lvl w:ilvl="1" w:tentative="0">
      <w:start w:val="1"/>
      <w:numFmt w:val="decimal"/>
      <w:suff w:val="nothing"/>
      <w:lvlText w:val="%1%2　"/>
      <w:lvlJc w:val="left"/>
      <w:rPr>
        <w:rFonts w:hint="default" w:ascii="Times New Roman" w:hAnsi="Times New Roman" w:eastAsia="黑体" w:cs="Times New Roman"/>
        <w:b w:val="0"/>
        <w:i w:val="0"/>
        <w:sz w:val="21"/>
      </w:rPr>
    </w:lvl>
    <w:lvl w:ilvl="2" w:tentative="0">
      <w:start w:val="1"/>
      <w:numFmt w:val="decimal"/>
      <w:suff w:val="nothing"/>
      <w:lvlText w:val="%1%2.%3　"/>
      <w:lvlJc w:val="left"/>
      <w:rPr>
        <w:rFonts w:hint="default" w:ascii="Times New Roman" w:hAnsi="Times New Roman" w:eastAsia="黑体" w:cs="Times New Roman"/>
        <w:b w:val="0"/>
        <w:i w:val="0"/>
        <w:sz w:val="21"/>
      </w:rPr>
    </w:lvl>
    <w:lvl w:ilvl="3" w:tentative="0">
      <w:start w:val="1"/>
      <w:numFmt w:val="decimal"/>
      <w:suff w:val="nothing"/>
      <w:lvlText w:val="%1%2.%3.%4　"/>
      <w:lvlJc w:val="left"/>
      <w:rPr>
        <w:rFonts w:hint="default" w:ascii="Times New Roman" w:hAnsi="Times New Roman" w:eastAsia="黑体" w:cs="Times New Roman"/>
        <w:b w:val="0"/>
        <w:i w:val="0"/>
        <w:sz w:val="21"/>
      </w:rPr>
    </w:lvl>
    <w:lvl w:ilvl="4" w:tentative="0">
      <w:start w:val="1"/>
      <w:numFmt w:val="decimal"/>
      <w:suff w:val="nothing"/>
      <w:lvlText w:val="%1%2.%3.%4.%5　"/>
      <w:lvlJc w:val="left"/>
      <w:rPr>
        <w:rFonts w:hint="default" w:ascii="Times New Roman" w:hAnsi="Times New Roman" w:eastAsia="黑体" w:cs="Times New Roman"/>
        <w:b w:val="0"/>
        <w:i w:val="0"/>
        <w:sz w:val="21"/>
      </w:rPr>
    </w:lvl>
    <w:lvl w:ilvl="5" w:tentative="0">
      <w:start w:val="1"/>
      <w:numFmt w:val="decimal"/>
      <w:suff w:val="nothing"/>
      <w:lvlText w:val="%1%2.%3.%4.%5.%6　"/>
      <w:lvlJc w:val="left"/>
      <w:rPr>
        <w:rFonts w:hint="default" w:ascii="Times New Roman" w:hAnsi="Times New Roman" w:eastAsia="黑体" w:cs="Times New Roman"/>
        <w:b w:val="0"/>
        <w:i w:val="0"/>
        <w:sz w:val="21"/>
      </w:rPr>
    </w:lvl>
    <w:lvl w:ilvl="6" w:tentative="0">
      <w:start w:val="1"/>
      <w:numFmt w:val="decimal"/>
      <w:suff w:val="nothing"/>
      <w:lvlText w:val="%1%2.%3.%4.%5.%6.%7　"/>
      <w:lvlJc w:val="left"/>
      <w:rPr>
        <w:rFonts w:hint="default" w:ascii="Times New Roman"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1">
    <w:nsid w:val="0000000D"/>
    <w:multiLevelType w:val="multilevel"/>
    <w:tmpl w:val="0000000D"/>
    <w:lvl w:ilvl="0" w:tentative="0">
      <w:start w:val="1"/>
      <w:numFmt w:val="none"/>
      <w:pStyle w:val="361"/>
      <w:suff w:val="nothing"/>
      <w:lvlText w:val="表2　"/>
      <w:lvlJc w:val="left"/>
      <w:pPr>
        <w:ind w:left="270"/>
      </w:pPr>
      <w:rPr>
        <w:rFonts w:hint="eastAsia" w:ascii="黑体" w:hAnsi="Times New Roman" w:eastAsia="黑体" w:cs="Times New Roman"/>
        <w:b w:val="0"/>
        <w:i w:val="0"/>
        <w:sz w:val="21"/>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pStyle w:val="366"/>
      <w:lvlText w:val="%1.%2.%3"/>
      <w:lvlJc w:val="left"/>
      <w:pPr>
        <w:tabs>
          <w:tab w:val="left" w:pos="1418"/>
        </w:tabs>
        <w:ind w:left="1418" w:hanging="567"/>
      </w:pPr>
      <w:rPr>
        <w:rFonts w:hint="eastAsia" w:cs="Times New Roman"/>
      </w:rPr>
    </w:lvl>
    <w:lvl w:ilvl="3" w:tentative="0">
      <w:start w:val="1"/>
      <w:numFmt w:val="decimal"/>
      <w:pStyle w:val="365"/>
      <w:lvlText w:val="%1.%2.%3.%4"/>
      <w:lvlJc w:val="left"/>
      <w:pPr>
        <w:tabs>
          <w:tab w:val="left" w:pos="1984"/>
        </w:tabs>
        <w:ind w:left="1984" w:hanging="708"/>
      </w:pPr>
      <w:rPr>
        <w:rFonts w:hint="eastAsia" w:cs="Times New Roman"/>
      </w:rPr>
    </w:lvl>
    <w:lvl w:ilvl="4" w:tentative="0">
      <w:start w:val="1"/>
      <w:numFmt w:val="decimal"/>
      <w:pStyle w:val="364"/>
      <w:lvlText w:val="%1.%2.%3.%4.%5"/>
      <w:lvlJc w:val="left"/>
      <w:pPr>
        <w:tabs>
          <w:tab w:val="left" w:pos="2551"/>
        </w:tabs>
        <w:ind w:left="2551" w:hanging="850"/>
      </w:pPr>
      <w:rPr>
        <w:rFonts w:hint="eastAsia" w:cs="Times New Roman"/>
      </w:rPr>
    </w:lvl>
    <w:lvl w:ilvl="5" w:tentative="0">
      <w:start w:val="1"/>
      <w:numFmt w:val="decimal"/>
      <w:pStyle w:val="376"/>
      <w:lvlText w:val="%1.%2.%3.%4.%5.%6"/>
      <w:lvlJc w:val="left"/>
      <w:pPr>
        <w:tabs>
          <w:tab w:val="left" w:pos="3260"/>
        </w:tabs>
        <w:ind w:left="3260" w:hanging="1134"/>
      </w:pPr>
      <w:rPr>
        <w:rFonts w:hint="eastAsia" w:cs="Times New Roman"/>
      </w:rPr>
    </w:lvl>
    <w:lvl w:ilvl="6" w:tentative="0">
      <w:start w:val="1"/>
      <w:numFmt w:val="decimal"/>
      <w:pStyle w:val="386"/>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2">
    <w:nsid w:val="0000000E"/>
    <w:multiLevelType w:val="multilevel"/>
    <w:tmpl w:val="0000000E"/>
    <w:lvl w:ilvl="0" w:tentative="0">
      <w:start w:val="1"/>
      <w:numFmt w:val="none"/>
      <w:pStyle w:val="387"/>
      <w:lvlText w:val="%1·　"/>
      <w:lvlJc w:val="left"/>
      <w:pPr>
        <w:tabs>
          <w:tab w:val="left" w:pos="1140"/>
        </w:tabs>
        <w:ind w:left="737" w:hanging="317"/>
      </w:pPr>
      <w:rPr>
        <w:rFonts w:hint="eastAsia" w:ascii="宋体" w:hAnsi="Times New Roman" w:eastAsia="宋体" w:cs="Times New Roman"/>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0F"/>
    <w:multiLevelType w:val="multilevel"/>
    <w:tmpl w:val="0000000F"/>
    <w:lvl w:ilvl="0" w:tentative="0">
      <w:start w:val="1"/>
      <w:numFmt w:val="upperLetter"/>
      <w:suff w:val="nothing"/>
      <w:lvlText w:val="附　录　%1"/>
      <w:lvlJc w:val="left"/>
      <w:pPr>
        <w:ind w:left="4310"/>
      </w:pPr>
      <w:rPr>
        <w:rFonts w:cs="Times New Roman"/>
      </w:rPr>
    </w:lvl>
    <w:lvl w:ilvl="1" w:tentative="0">
      <w:start w:val="1"/>
      <w:numFmt w:val="decimal"/>
      <w:pStyle w:val="344"/>
      <w:suff w:val="nothing"/>
      <w:lvlText w:val="%1.%2　"/>
      <w:lvlJc w:val="left"/>
      <w:pPr>
        <w:ind w:left="568"/>
      </w:pPr>
      <w:rPr>
        <w:rFonts w:hint="eastAsia" w:ascii="黑体" w:hAnsi="Times New Roman" w:eastAsia="黑体" w:cs="Times New Roman"/>
        <w:b w:val="0"/>
        <w:i w:val="0"/>
        <w:snapToGrid/>
        <w:spacing w:val="0"/>
        <w:w w:val="100"/>
        <w:kern w:val="21"/>
        <w:sz w:val="21"/>
      </w:rPr>
    </w:lvl>
    <w:lvl w:ilvl="2" w:tentative="0">
      <w:start w:val="1"/>
      <w:numFmt w:val="decimal"/>
      <w:pStyle w:val="380"/>
      <w:suff w:val="nothing"/>
      <w:lvlText w:val="%1.%2.%3　"/>
      <w:lvlJc w:val="left"/>
      <w:pPr>
        <w:ind w:left="5355"/>
      </w:pPr>
      <w:rPr>
        <w:rFonts w:hint="eastAsia" w:ascii="黑体" w:hAnsi="Times New Roman" w:eastAsia="黑体" w:cs="Times New Roman"/>
        <w:b w:val="0"/>
        <w:i w:val="0"/>
        <w:sz w:val="21"/>
      </w:rPr>
    </w:lvl>
    <w:lvl w:ilvl="3" w:tentative="0">
      <w:start w:val="1"/>
      <w:numFmt w:val="decimal"/>
      <w:pStyle w:val="351"/>
      <w:suff w:val="nothing"/>
      <w:lvlText w:val="%1.%2.%3.%4　"/>
      <w:lvlJc w:val="left"/>
      <w:pPr>
        <w:ind w:left="4620"/>
      </w:pPr>
      <w:rPr>
        <w:rFonts w:hint="eastAsia" w:ascii="黑体" w:hAnsi="Times New Roman" w:eastAsia="黑体" w:cs="Times New Roman"/>
        <w:b w:val="0"/>
        <w:i w:val="0"/>
        <w:sz w:val="21"/>
      </w:rPr>
    </w:lvl>
    <w:lvl w:ilvl="4" w:tentative="0">
      <w:start w:val="1"/>
      <w:numFmt w:val="decimal"/>
      <w:pStyle w:val="346"/>
      <w:suff w:val="nothing"/>
      <w:lvlText w:val="%1.%2.%3.%4.%5　"/>
      <w:lvlJc w:val="left"/>
      <w:pPr>
        <w:ind w:left="4620"/>
      </w:pPr>
      <w:rPr>
        <w:rFonts w:hint="eastAsia" w:ascii="黑体" w:hAnsi="Times New Roman" w:eastAsia="黑体" w:cs="Times New Roman"/>
        <w:b w:val="0"/>
        <w:i w:val="0"/>
        <w:sz w:val="21"/>
      </w:rPr>
    </w:lvl>
    <w:lvl w:ilvl="5" w:tentative="0">
      <w:start w:val="1"/>
      <w:numFmt w:val="decimal"/>
      <w:pStyle w:val="368"/>
      <w:suff w:val="nothing"/>
      <w:lvlText w:val="%1.%2.%3.%4.%5.%6　"/>
      <w:lvlJc w:val="left"/>
      <w:pPr>
        <w:ind w:left="4620"/>
      </w:pPr>
      <w:rPr>
        <w:rFonts w:hint="eastAsia" w:ascii="黑体" w:hAnsi="Times New Roman" w:eastAsia="黑体" w:cs="Times New Roman"/>
        <w:b w:val="0"/>
        <w:i w:val="0"/>
        <w:sz w:val="21"/>
      </w:rPr>
    </w:lvl>
    <w:lvl w:ilvl="6" w:tentative="0">
      <w:start w:val="1"/>
      <w:numFmt w:val="decimal"/>
      <w:pStyle w:val="345"/>
      <w:suff w:val="nothing"/>
      <w:lvlText w:val="%1.%2.%3.%4.%5.%6.%7　"/>
      <w:lvlJc w:val="left"/>
      <w:pPr>
        <w:ind w:left="4620"/>
      </w:pPr>
      <w:rPr>
        <w:rFonts w:hint="eastAsia" w:ascii="黑体" w:hAnsi="Times New Roman" w:eastAsia="黑体" w:cs="Times New Roman"/>
        <w:b w:val="0"/>
        <w:i w:val="0"/>
        <w:sz w:val="21"/>
      </w:rPr>
    </w:lvl>
    <w:lvl w:ilvl="7" w:tentative="0">
      <w:start w:val="1"/>
      <w:numFmt w:val="decimal"/>
      <w:lvlText w:val="%1.%2.%3.%4.%5.%6.%7.%8"/>
      <w:lvlJc w:val="left"/>
      <w:pPr>
        <w:tabs>
          <w:tab w:val="left" w:pos="9014"/>
        </w:tabs>
        <w:ind w:left="9014" w:hanging="1418"/>
      </w:pPr>
      <w:rPr>
        <w:rFonts w:hint="eastAsia" w:cs="Times New Roman"/>
      </w:rPr>
    </w:lvl>
    <w:lvl w:ilvl="8" w:tentative="0">
      <w:start w:val="1"/>
      <w:numFmt w:val="decimal"/>
      <w:lvlText w:val="%1.%2.%3.%4.%5.%6.%7.%8.%9"/>
      <w:lvlJc w:val="left"/>
      <w:pPr>
        <w:tabs>
          <w:tab w:val="left" w:pos="9722"/>
        </w:tabs>
        <w:ind w:left="9722" w:hanging="1700"/>
      </w:pPr>
      <w:rPr>
        <w:rFonts w:hint="eastAsia" w:cs="Times New Roman"/>
      </w:rPr>
    </w:lvl>
  </w:abstractNum>
  <w:abstractNum w:abstractNumId="4">
    <w:nsid w:val="00000010"/>
    <w:multiLevelType w:val="multilevel"/>
    <w:tmpl w:val="00000010"/>
    <w:lvl w:ilvl="0" w:tentative="0">
      <w:start w:val="1"/>
      <w:numFmt w:val="none"/>
      <w:pStyle w:val="357"/>
      <w:suff w:val="nothing"/>
      <w:lvlText w:val="　"/>
      <w:lvlJc w:val="left"/>
      <w:rPr>
        <w:rFonts w:hint="eastAsia" w:ascii="黑体" w:hAnsi="Times New Roman" w:eastAsia="黑体" w:cs="Times New Roman"/>
        <w:b w:val="0"/>
        <w:i w:val="0"/>
        <w:sz w:val="21"/>
      </w:rPr>
    </w:lvl>
    <w:lvl w:ilvl="1" w:tentative="0">
      <w:start w:val="1"/>
      <w:numFmt w:val="decimal"/>
      <w:isLgl/>
      <w:suff w:val="nothing"/>
      <w:lvlText w:val="%2　"/>
      <w:lvlJc w:val="left"/>
      <w:rPr>
        <w:rFonts w:hint="eastAsia" w:ascii="黑体" w:hAnsi="Times New Roman" w:eastAsia="黑体" w:cs="Times New Roman"/>
        <w:b w:val="0"/>
        <w:i w:val="0"/>
        <w:snapToGrid/>
        <w:spacing w:val="0"/>
        <w:w w:val="100"/>
        <w:kern w:val="21"/>
        <w:sz w:val="21"/>
      </w:rPr>
    </w:lvl>
    <w:lvl w:ilvl="2" w:tentative="0">
      <w:start w:val="1"/>
      <w:numFmt w:val="decimal"/>
      <w:suff w:val="nothing"/>
      <w:lvlText w:val="%1%2.%3　"/>
      <w:lvlJc w:val="left"/>
      <w:rPr>
        <w:rFonts w:hint="eastAsia" w:ascii="黑体" w:hAnsi="Times New Roman" w:eastAsia="黑体" w:cs="Times New Roman"/>
        <w:b w:val="0"/>
        <w:i w:val="0"/>
        <w:sz w:val="21"/>
      </w:rPr>
    </w:lvl>
    <w:lvl w:ilvl="3" w:tentative="0">
      <w:start w:val="1"/>
      <w:numFmt w:val="decimal"/>
      <w:suff w:val="nothing"/>
      <w:lvlText w:val="%1%2.%3.%4　"/>
      <w:lvlJc w:val="left"/>
      <w:rPr>
        <w:rFonts w:hint="eastAsia" w:ascii="黑体" w:hAnsi="Times New Roman" w:eastAsia="黑体" w:cs="Times New Roman"/>
        <w:b w:val="0"/>
        <w:i w:val="0"/>
        <w:sz w:val="21"/>
      </w:rPr>
    </w:lvl>
    <w:lvl w:ilvl="4" w:tentative="0">
      <w:start w:val="1"/>
      <w:numFmt w:val="decimal"/>
      <w:suff w:val="nothing"/>
      <w:lvlText w:val="%1%2.%3.%4.%5　"/>
      <w:lvlJc w:val="left"/>
      <w:rPr>
        <w:rFonts w:hint="eastAsia" w:ascii="黑体" w:hAnsi="Times New Roman" w:eastAsia="黑体" w:cs="Times New Roman"/>
        <w:b w:val="0"/>
        <w:i w:val="0"/>
        <w:sz w:val="21"/>
      </w:rPr>
    </w:lvl>
    <w:lvl w:ilvl="5" w:tentative="0">
      <w:start w:val="1"/>
      <w:numFmt w:val="decimal"/>
      <w:suff w:val="nothing"/>
      <w:lvlText w:val="%1%2.%3.%4.%5.%6　"/>
      <w:lvlJc w:val="left"/>
      <w:rPr>
        <w:rFonts w:hint="eastAsia" w:ascii="黑体" w:hAnsi="Times New Roman" w:eastAsia="黑体" w:cs="Times New Roman"/>
        <w:b w:val="0"/>
        <w:i w:val="0"/>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5">
    <w:nsid w:val="00000011"/>
    <w:multiLevelType w:val="multilevel"/>
    <w:tmpl w:val="00000011"/>
    <w:lvl w:ilvl="0" w:tentative="0">
      <w:start w:val="1"/>
      <w:numFmt w:val="none"/>
      <w:pStyle w:val="360"/>
      <w:lvlText w:val="%1注："/>
      <w:lvlJc w:val="left"/>
      <w:pPr>
        <w:tabs>
          <w:tab w:val="left" w:pos="1140"/>
        </w:tabs>
        <w:ind w:left="840" w:hanging="420"/>
      </w:pPr>
      <w:rPr>
        <w:rFonts w:hint="eastAsia" w:ascii="宋体" w:hAnsi="Times New Roman" w:eastAsia="宋体" w:cs="Times New Roman"/>
        <w:b w:val="0"/>
        <w:i w:val="0"/>
        <w:sz w:val="18"/>
      </w:rPr>
    </w:lvl>
    <w:lvl w:ilvl="1" w:tentative="0">
      <w:start w:val="1"/>
      <w:numFmt w:val="decimal"/>
      <w:lvlText w:val="%2."/>
      <w:lvlJc w:val="left"/>
      <w:pPr>
        <w:tabs>
          <w:tab w:val="left" w:pos="840"/>
        </w:tabs>
        <w:ind w:left="840" w:hanging="420"/>
      </w:pPr>
      <w:rPr>
        <w:rFonts w:hint="eastAsia" w:cs="Times New Roman"/>
        <w:b w:val="0"/>
        <w:i w:val="0"/>
        <w:sz w:val="18"/>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00000012"/>
    <w:multiLevelType w:val="multilevel"/>
    <w:tmpl w:val="00000012"/>
    <w:lvl w:ilvl="0" w:tentative="0">
      <w:start w:val="1"/>
      <w:numFmt w:val="none"/>
      <w:pStyle w:val="377"/>
      <w:lvlText w:val="%1示例"/>
      <w:lvlJc w:val="left"/>
      <w:pPr>
        <w:tabs>
          <w:tab w:val="left" w:pos="1120"/>
        </w:tabs>
        <w:ind w:firstLine="400"/>
      </w:pPr>
      <w:rPr>
        <w:rFonts w:hint="eastAsia" w:ascii="宋体" w:eastAsia="宋体" w:cs="Times New Roman"/>
        <w:b w:val="0"/>
        <w:i w:val="0"/>
        <w:sz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3"/>
    <w:multiLevelType w:val="multilevel"/>
    <w:tmpl w:val="00000013"/>
    <w:lvl w:ilvl="0" w:tentative="0">
      <w:start w:val="1"/>
      <w:numFmt w:val="none"/>
      <w:pStyle w:val="343"/>
      <w:suff w:val="nothing"/>
      <w:lvlText w:val="%1"/>
      <w:lvlJc w:val="left"/>
      <w:rPr>
        <w:rFonts w:hint="default" w:ascii="Times New Roman" w:hAnsi="Times New Roman" w:cs="Times New Roman"/>
        <w:b/>
        <w:i w:val="0"/>
        <w:sz w:val="21"/>
      </w:rPr>
    </w:lvl>
    <w:lvl w:ilvl="1" w:tentative="0">
      <w:start w:val="1"/>
      <w:numFmt w:val="decimal"/>
      <w:pStyle w:val="326"/>
      <w:suff w:val="nothing"/>
      <w:lvlText w:val="%1%2　"/>
      <w:lvlJc w:val="left"/>
      <w:pPr>
        <w:ind w:left="993"/>
      </w:pPr>
      <w:rPr>
        <w:rFonts w:hint="eastAsia" w:ascii="黑体" w:hAnsi="Times New Roman" w:eastAsia="黑体" w:cs="Times New Roman"/>
        <w:b w:val="0"/>
        <w:i w:val="0"/>
        <w:sz w:val="21"/>
      </w:rPr>
    </w:lvl>
    <w:lvl w:ilvl="2" w:tentative="0">
      <w:start w:val="1"/>
      <w:numFmt w:val="decimal"/>
      <w:pStyle w:val="330"/>
      <w:suff w:val="nothing"/>
      <w:lvlText w:val="%1%2.%3　"/>
      <w:lvlJc w:val="left"/>
      <w:rPr>
        <w:rFonts w:hint="eastAsia" w:ascii="黑体" w:hAnsi="Times New Roman" w:eastAsia="黑体" w:cs="Times New Roman"/>
        <w:b w:val="0"/>
        <w:i w:val="0"/>
        <w:sz w:val="21"/>
      </w:rPr>
    </w:lvl>
    <w:lvl w:ilvl="3" w:tentative="0">
      <w:start w:val="1"/>
      <w:numFmt w:val="decimal"/>
      <w:suff w:val="nothing"/>
      <w:lvlText w:val="%1%2.%3.%4　"/>
      <w:lvlJc w:val="left"/>
      <w:pPr>
        <w:ind w:left="3402"/>
      </w:pPr>
      <w:rPr>
        <w:rFonts w:hint="eastAsia" w:ascii="黑体" w:hAnsi="Times New Roman" w:eastAsia="黑体" w:cs="Times New Roman"/>
        <w:b w:val="0"/>
        <w:i w:val="0"/>
        <w:sz w:val="21"/>
      </w:rPr>
    </w:lvl>
    <w:lvl w:ilvl="4" w:tentative="0">
      <w:start w:val="1"/>
      <w:numFmt w:val="decimal"/>
      <w:suff w:val="nothing"/>
      <w:lvlText w:val="%1%2.%3.%4.%5　"/>
      <w:lvlJc w:val="left"/>
      <w:pPr>
        <w:ind w:left="284"/>
      </w:pPr>
      <w:rPr>
        <w:rFonts w:hint="eastAsia" w:ascii="黑体" w:hAnsi="Times New Roman" w:eastAsia="黑体" w:cs="Times New Roman"/>
        <w:b w:val="0"/>
        <w:i w:val="0"/>
        <w:sz w:val="21"/>
      </w:rPr>
    </w:lvl>
    <w:lvl w:ilvl="5" w:tentative="0">
      <w:start w:val="1"/>
      <w:numFmt w:val="decimal"/>
      <w:suff w:val="nothing"/>
      <w:lvlText w:val="%1%2.%3.%4.%5.%6　"/>
      <w:lvlJc w:val="left"/>
      <w:rPr>
        <w:rFonts w:hint="eastAsia" w:ascii="黑体" w:hAnsi="Times New Roman" w:eastAsia="黑体" w:cs="Times New Roman"/>
        <w:b w:val="0"/>
        <w:i w:val="0"/>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8">
    <w:nsid w:val="00000014"/>
    <w:multiLevelType w:val="multilevel"/>
    <w:tmpl w:val="00000014"/>
    <w:lvl w:ilvl="0" w:tentative="0">
      <w:start w:val="1"/>
      <w:numFmt w:val="none"/>
      <w:pStyle w:val="375"/>
      <w:lvlText w:val="%1——"/>
      <w:lvlJc w:val="left"/>
      <w:pPr>
        <w:tabs>
          <w:tab w:val="left" w:pos="1140"/>
        </w:tabs>
        <w:ind w:left="840" w:hanging="42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9">
    <w:nsid w:val="11A3534B"/>
    <w:multiLevelType w:val="multilevel"/>
    <w:tmpl w:val="11A3534B"/>
    <w:lvl w:ilvl="0" w:tentative="0">
      <w:start w:val="1"/>
      <w:numFmt w:val="japaneseCounting"/>
      <w:pStyle w:val="342"/>
      <w:lvlText w:val="%1、"/>
      <w:lvlJc w:val="left"/>
      <w:pPr>
        <w:ind w:left="1356" w:hanging="720"/>
      </w:pPr>
      <w:rPr>
        <w:rFonts w:hint="default" w:cs="Times New Roman"/>
      </w:rPr>
    </w:lvl>
    <w:lvl w:ilvl="1" w:tentative="0">
      <w:start w:val="1"/>
      <w:numFmt w:val="lowerLetter"/>
      <w:lvlText w:val="%2)"/>
      <w:lvlJc w:val="left"/>
      <w:pPr>
        <w:ind w:left="1476" w:hanging="420"/>
      </w:pPr>
      <w:rPr>
        <w:rFonts w:cs="Times New Roman"/>
      </w:rPr>
    </w:lvl>
    <w:lvl w:ilvl="2" w:tentative="0">
      <w:start w:val="1"/>
      <w:numFmt w:val="lowerRoman"/>
      <w:lvlText w:val="%3."/>
      <w:lvlJc w:val="right"/>
      <w:pPr>
        <w:ind w:left="1896" w:hanging="420"/>
      </w:pPr>
      <w:rPr>
        <w:rFonts w:cs="Times New Roman"/>
      </w:rPr>
    </w:lvl>
    <w:lvl w:ilvl="3" w:tentative="0">
      <w:start w:val="1"/>
      <w:numFmt w:val="decimal"/>
      <w:pStyle w:val="331"/>
      <w:lvlText w:val="%4."/>
      <w:lvlJc w:val="left"/>
      <w:pPr>
        <w:ind w:left="2316" w:hanging="420"/>
      </w:pPr>
      <w:rPr>
        <w:rFonts w:cs="Times New Roman"/>
      </w:rPr>
    </w:lvl>
    <w:lvl w:ilvl="4" w:tentative="0">
      <w:start w:val="1"/>
      <w:numFmt w:val="lowerLetter"/>
      <w:lvlText w:val="%5)"/>
      <w:lvlJc w:val="left"/>
      <w:pPr>
        <w:ind w:left="2736" w:hanging="420"/>
      </w:pPr>
      <w:rPr>
        <w:rFonts w:cs="Times New Roman"/>
      </w:rPr>
    </w:lvl>
    <w:lvl w:ilvl="5" w:tentative="0">
      <w:start w:val="1"/>
      <w:numFmt w:val="lowerRoman"/>
      <w:pStyle w:val="355"/>
      <w:lvlText w:val="%6."/>
      <w:lvlJc w:val="right"/>
      <w:pPr>
        <w:ind w:left="3156" w:hanging="420"/>
      </w:pPr>
      <w:rPr>
        <w:rFonts w:cs="Times New Roman"/>
      </w:rPr>
    </w:lvl>
    <w:lvl w:ilvl="6" w:tentative="0">
      <w:start w:val="1"/>
      <w:numFmt w:val="decimal"/>
      <w:pStyle w:val="358"/>
      <w:lvlText w:val="%7."/>
      <w:lvlJc w:val="left"/>
      <w:pPr>
        <w:ind w:left="3576" w:hanging="420"/>
      </w:pPr>
      <w:rPr>
        <w:rFonts w:cs="Times New Roman"/>
      </w:rPr>
    </w:lvl>
    <w:lvl w:ilvl="7" w:tentative="0">
      <w:start w:val="1"/>
      <w:numFmt w:val="lowerLetter"/>
      <w:lvlText w:val="%8)"/>
      <w:lvlJc w:val="left"/>
      <w:pPr>
        <w:ind w:left="3996" w:hanging="420"/>
      </w:pPr>
      <w:rPr>
        <w:rFonts w:cs="Times New Roman"/>
      </w:rPr>
    </w:lvl>
    <w:lvl w:ilvl="8" w:tentative="0">
      <w:start w:val="1"/>
      <w:numFmt w:val="lowerRoman"/>
      <w:lvlText w:val="%9."/>
      <w:lvlJc w:val="right"/>
      <w:pPr>
        <w:ind w:left="4416" w:hanging="420"/>
      </w:pPr>
      <w:rPr>
        <w:rFonts w:cs="Times New Roman"/>
      </w:rPr>
    </w:lvl>
  </w:abstractNum>
  <w:num w:numId="1">
    <w:abstractNumId w:val="7"/>
  </w:num>
  <w:num w:numId="2">
    <w:abstractNumId w:val="9"/>
  </w:num>
  <w:num w:numId="3">
    <w:abstractNumId w:val="3"/>
  </w:num>
  <w:num w:numId="4">
    <w:abstractNumId w:val="4"/>
  </w:num>
  <w:num w:numId="5">
    <w:abstractNumId w:val="5"/>
  </w:num>
  <w:num w:numId="6">
    <w:abstractNumId w:val="1"/>
  </w:num>
  <w:num w:numId="7">
    <w:abstractNumId w:val="0"/>
  </w:num>
  <w:num w:numId="8">
    <w:abstractNumId w:val="8"/>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C7"/>
    <w:rsid w:val="00000EDA"/>
    <w:rsid w:val="000017C3"/>
    <w:rsid w:val="00001919"/>
    <w:rsid w:val="00002671"/>
    <w:rsid w:val="00004396"/>
    <w:rsid w:val="00004C13"/>
    <w:rsid w:val="00005283"/>
    <w:rsid w:val="000067E7"/>
    <w:rsid w:val="00011AD2"/>
    <w:rsid w:val="00011C3E"/>
    <w:rsid w:val="0001201E"/>
    <w:rsid w:val="00013C5C"/>
    <w:rsid w:val="00014485"/>
    <w:rsid w:val="000146BC"/>
    <w:rsid w:val="00014BA9"/>
    <w:rsid w:val="00014BC4"/>
    <w:rsid w:val="00014CBE"/>
    <w:rsid w:val="00015623"/>
    <w:rsid w:val="00015696"/>
    <w:rsid w:val="000158AC"/>
    <w:rsid w:val="00015FF2"/>
    <w:rsid w:val="00017214"/>
    <w:rsid w:val="00017E56"/>
    <w:rsid w:val="00020F29"/>
    <w:rsid w:val="00023147"/>
    <w:rsid w:val="00023833"/>
    <w:rsid w:val="00023848"/>
    <w:rsid w:val="00026CF3"/>
    <w:rsid w:val="00027888"/>
    <w:rsid w:val="000307D3"/>
    <w:rsid w:val="000334B4"/>
    <w:rsid w:val="000337D0"/>
    <w:rsid w:val="0003403D"/>
    <w:rsid w:val="00034A87"/>
    <w:rsid w:val="00035BD8"/>
    <w:rsid w:val="0003651C"/>
    <w:rsid w:val="000366A6"/>
    <w:rsid w:val="00036A22"/>
    <w:rsid w:val="00040D5A"/>
    <w:rsid w:val="000422F8"/>
    <w:rsid w:val="0004284C"/>
    <w:rsid w:val="0004291C"/>
    <w:rsid w:val="0004402C"/>
    <w:rsid w:val="000442BF"/>
    <w:rsid w:val="000446BB"/>
    <w:rsid w:val="00044DA1"/>
    <w:rsid w:val="00044DA7"/>
    <w:rsid w:val="0004500B"/>
    <w:rsid w:val="00045C4F"/>
    <w:rsid w:val="000470EA"/>
    <w:rsid w:val="0004733C"/>
    <w:rsid w:val="0005023E"/>
    <w:rsid w:val="0005054B"/>
    <w:rsid w:val="000507E6"/>
    <w:rsid w:val="00050ADD"/>
    <w:rsid w:val="000527AA"/>
    <w:rsid w:val="00053526"/>
    <w:rsid w:val="00053753"/>
    <w:rsid w:val="00054FBB"/>
    <w:rsid w:val="000562EF"/>
    <w:rsid w:val="00060C9D"/>
    <w:rsid w:val="000618AE"/>
    <w:rsid w:val="00061B0C"/>
    <w:rsid w:val="00062553"/>
    <w:rsid w:val="00062A76"/>
    <w:rsid w:val="0006301F"/>
    <w:rsid w:val="00063C24"/>
    <w:rsid w:val="00064A98"/>
    <w:rsid w:val="00071134"/>
    <w:rsid w:val="000715C5"/>
    <w:rsid w:val="0007249F"/>
    <w:rsid w:val="000741DF"/>
    <w:rsid w:val="000747D4"/>
    <w:rsid w:val="00074E70"/>
    <w:rsid w:val="000763D2"/>
    <w:rsid w:val="00076604"/>
    <w:rsid w:val="00081973"/>
    <w:rsid w:val="00082306"/>
    <w:rsid w:val="00082606"/>
    <w:rsid w:val="000829EE"/>
    <w:rsid w:val="00082A8D"/>
    <w:rsid w:val="00082D83"/>
    <w:rsid w:val="000832D6"/>
    <w:rsid w:val="000854EF"/>
    <w:rsid w:val="00087650"/>
    <w:rsid w:val="00087B32"/>
    <w:rsid w:val="00090750"/>
    <w:rsid w:val="0009307B"/>
    <w:rsid w:val="00093182"/>
    <w:rsid w:val="000936B3"/>
    <w:rsid w:val="0009412D"/>
    <w:rsid w:val="000943A9"/>
    <w:rsid w:val="0009469C"/>
    <w:rsid w:val="00095FB4"/>
    <w:rsid w:val="00096B47"/>
    <w:rsid w:val="00097764"/>
    <w:rsid w:val="00097942"/>
    <w:rsid w:val="000979F1"/>
    <w:rsid w:val="000A10B2"/>
    <w:rsid w:val="000A11B6"/>
    <w:rsid w:val="000A18EB"/>
    <w:rsid w:val="000A1F77"/>
    <w:rsid w:val="000A4246"/>
    <w:rsid w:val="000A5C50"/>
    <w:rsid w:val="000A5E3C"/>
    <w:rsid w:val="000A5EDB"/>
    <w:rsid w:val="000A6667"/>
    <w:rsid w:val="000A699E"/>
    <w:rsid w:val="000A73A0"/>
    <w:rsid w:val="000B0EE7"/>
    <w:rsid w:val="000B0EF4"/>
    <w:rsid w:val="000B2E3B"/>
    <w:rsid w:val="000B2E66"/>
    <w:rsid w:val="000B3467"/>
    <w:rsid w:val="000B3972"/>
    <w:rsid w:val="000B47D8"/>
    <w:rsid w:val="000B4849"/>
    <w:rsid w:val="000B5197"/>
    <w:rsid w:val="000B522B"/>
    <w:rsid w:val="000B575D"/>
    <w:rsid w:val="000B6654"/>
    <w:rsid w:val="000B7A17"/>
    <w:rsid w:val="000C0A4D"/>
    <w:rsid w:val="000C0BB8"/>
    <w:rsid w:val="000C1A69"/>
    <w:rsid w:val="000C2614"/>
    <w:rsid w:val="000C2F7E"/>
    <w:rsid w:val="000C3F87"/>
    <w:rsid w:val="000C443C"/>
    <w:rsid w:val="000D0113"/>
    <w:rsid w:val="000D09E9"/>
    <w:rsid w:val="000D14DE"/>
    <w:rsid w:val="000D266E"/>
    <w:rsid w:val="000D2B35"/>
    <w:rsid w:val="000D41E6"/>
    <w:rsid w:val="000D4886"/>
    <w:rsid w:val="000D4D2F"/>
    <w:rsid w:val="000D4FF6"/>
    <w:rsid w:val="000D6114"/>
    <w:rsid w:val="000D791A"/>
    <w:rsid w:val="000E5C74"/>
    <w:rsid w:val="000E616D"/>
    <w:rsid w:val="000F0207"/>
    <w:rsid w:val="000F06AF"/>
    <w:rsid w:val="000F0CDD"/>
    <w:rsid w:val="000F21AB"/>
    <w:rsid w:val="000F22D5"/>
    <w:rsid w:val="000F2305"/>
    <w:rsid w:val="000F3343"/>
    <w:rsid w:val="000F3C5E"/>
    <w:rsid w:val="000F437A"/>
    <w:rsid w:val="000F52C7"/>
    <w:rsid w:val="000F6D5A"/>
    <w:rsid w:val="000F78E8"/>
    <w:rsid w:val="00101B39"/>
    <w:rsid w:val="00102D4D"/>
    <w:rsid w:val="00103E6E"/>
    <w:rsid w:val="00103ED1"/>
    <w:rsid w:val="00104282"/>
    <w:rsid w:val="001053FF"/>
    <w:rsid w:val="00107742"/>
    <w:rsid w:val="00107CA9"/>
    <w:rsid w:val="00107FAF"/>
    <w:rsid w:val="00110645"/>
    <w:rsid w:val="00111011"/>
    <w:rsid w:val="001111AB"/>
    <w:rsid w:val="00111C88"/>
    <w:rsid w:val="0011300A"/>
    <w:rsid w:val="001153F3"/>
    <w:rsid w:val="00115F24"/>
    <w:rsid w:val="00117043"/>
    <w:rsid w:val="00117E54"/>
    <w:rsid w:val="001209A0"/>
    <w:rsid w:val="001212F2"/>
    <w:rsid w:val="00121785"/>
    <w:rsid w:val="0012314B"/>
    <w:rsid w:val="00125159"/>
    <w:rsid w:val="00125B28"/>
    <w:rsid w:val="00125B45"/>
    <w:rsid w:val="00125B4B"/>
    <w:rsid w:val="00125B6E"/>
    <w:rsid w:val="00125BFD"/>
    <w:rsid w:val="00126628"/>
    <w:rsid w:val="00127037"/>
    <w:rsid w:val="00127CD1"/>
    <w:rsid w:val="00130A11"/>
    <w:rsid w:val="0013168C"/>
    <w:rsid w:val="001322AC"/>
    <w:rsid w:val="001347B6"/>
    <w:rsid w:val="00135F9C"/>
    <w:rsid w:val="001376A6"/>
    <w:rsid w:val="0013780B"/>
    <w:rsid w:val="00142CBD"/>
    <w:rsid w:val="00142DD5"/>
    <w:rsid w:val="00143E1C"/>
    <w:rsid w:val="00144528"/>
    <w:rsid w:val="00150F02"/>
    <w:rsid w:val="001512DF"/>
    <w:rsid w:val="0015289F"/>
    <w:rsid w:val="00152F33"/>
    <w:rsid w:val="00155195"/>
    <w:rsid w:val="00155AE7"/>
    <w:rsid w:val="0015619D"/>
    <w:rsid w:val="0015733F"/>
    <w:rsid w:val="001609A8"/>
    <w:rsid w:val="00160D7A"/>
    <w:rsid w:val="00161F35"/>
    <w:rsid w:val="00162A16"/>
    <w:rsid w:val="00162DF0"/>
    <w:rsid w:val="001633EA"/>
    <w:rsid w:val="001640C5"/>
    <w:rsid w:val="001640CF"/>
    <w:rsid w:val="0016484E"/>
    <w:rsid w:val="00164C45"/>
    <w:rsid w:val="00165788"/>
    <w:rsid w:val="00166082"/>
    <w:rsid w:val="00166112"/>
    <w:rsid w:val="0016797F"/>
    <w:rsid w:val="00167F01"/>
    <w:rsid w:val="00170D3B"/>
    <w:rsid w:val="00171FC9"/>
    <w:rsid w:val="0017296F"/>
    <w:rsid w:val="00172A27"/>
    <w:rsid w:val="00172E18"/>
    <w:rsid w:val="001736D1"/>
    <w:rsid w:val="00174295"/>
    <w:rsid w:val="00174CE7"/>
    <w:rsid w:val="00174F75"/>
    <w:rsid w:val="0017603B"/>
    <w:rsid w:val="00176270"/>
    <w:rsid w:val="00177714"/>
    <w:rsid w:val="00182610"/>
    <w:rsid w:val="00182CAF"/>
    <w:rsid w:val="00183499"/>
    <w:rsid w:val="00183CB1"/>
    <w:rsid w:val="00184BD2"/>
    <w:rsid w:val="00184DDC"/>
    <w:rsid w:val="00185D1C"/>
    <w:rsid w:val="00186819"/>
    <w:rsid w:val="00186E22"/>
    <w:rsid w:val="0019067C"/>
    <w:rsid w:val="001932A9"/>
    <w:rsid w:val="001933F1"/>
    <w:rsid w:val="001937F8"/>
    <w:rsid w:val="00193D1B"/>
    <w:rsid w:val="00193DE1"/>
    <w:rsid w:val="001947CE"/>
    <w:rsid w:val="00194E1A"/>
    <w:rsid w:val="001952FD"/>
    <w:rsid w:val="001A04EC"/>
    <w:rsid w:val="001A0961"/>
    <w:rsid w:val="001A1E4D"/>
    <w:rsid w:val="001A2221"/>
    <w:rsid w:val="001A2B79"/>
    <w:rsid w:val="001A5903"/>
    <w:rsid w:val="001A5ED0"/>
    <w:rsid w:val="001A6383"/>
    <w:rsid w:val="001A6B95"/>
    <w:rsid w:val="001A6D77"/>
    <w:rsid w:val="001A75B7"/>
    <w:rsid w:val="001B005D"/>
    <w:rsid w:val="001B0695"/>
    <w:rsid w:val="001B074A"/>
    <w:rsid w:val="001B1069"/>
    <w:rsid w:val="001B2E6A"/>
    <w:rsid w:val="001B33BA"/>
    <w:rsid w:val="001B3BF0"/>
    <w:rsid w:val="001B4360"/>
    <w:rsid w:val="001B4495"/>
    <w:rsid w:val="001B4800"/>
    <w:rsid w:val="001B5297"/>
    <w:rsid w:val="001B5A88"/>
    <w:rsid w:val="001C05B5"/>
    <w:rsid w:val="001C06A6"/>
    <w:rsid w:val="001C086A"/>
    <w:rsid w:val="001C2BD6"/>
    <w:rsid w:val="001C2E72"/>
    <w:rsid w:val="001C322F"/>
    <w:rsid w:val="001C399D"/>
    <w:rsid w:val="001C3AF8"/>
    <w:rsid w:val="001C5804"/>
    <w:rsid w:val="001C61F9"/>
    <w:rsid w:val="001C6427"/>
    <w:rsid w:val="001C7A99"/>
    <w:rsid w:val="001C7CE1"/>
    <w:rsid w:val="001D06DF"/>
    <w:rsid w:val="001D08F3"/>
    <w:rsid w:val="001D0C15"/>
    <w:rsid w:val="001D1658"/>
    <w:rsid w:val="001D2633"/>
    <w:rsid w:val="001D45D0"/>
    <w:rsid w:val="001D5FDA"/>
    <w:rsid w:val="001D6DEF"/>
    <w:rsid w:val="001E07B6"/>
    <w:rsid w:val="001E0EB3"/>
    <w:rsid w:val="001E19C4"/>
    <w:rsid w:val="001E25E8"/>
    <w:rsid w:val="001E2958"/>
    <w:rsid w:val="001E303D"/>
    <w:rsid w:val="001E46C5"/>
    <w:rsid w:val="001E4813"/>
    <w:rsid w:val="001E4BE1"/>
    <w:rsid w:val="001E4D60"/>
    <w:rsid w:val="001E5155"/>
    <w:rsid w:val="001E5C81"/>
    <w:rsid w:val="001E6ADD"/>
    <w:rsid w:val="001F1A52"/>
    <w:rsid w:val="001F1DEF"/>
    <w:rsid w:val="001F287E"/>
    <w:rsid w:val="001F5810"/>
    <w:rsid w:val="001F58B4"/>
    <w:rsid w:val="001F6988"/>
    <w:rsid w:val="001F72D2"/>
    <w:rsid w:val="001F7775"/>
    <w:rsid w:val="001F7D02"/>
    <w:rsid w:val="002007F6"/>
    <w:rsid w:val="00200AE1"/>
    <w:rsid w:val="00201C4F"/>
    <w:rsid w:val="00203CC0"/>
    <w:rsid w:val="00204D49"/>
    <w:rsid w:val="0020732B"/>
    <w:rsid w:val="00207CB8"/>
    <w:rsid w:val="00211702"/>
    <w:rsid w:val="00213241"/>
    <w:rsid w:val="00213300"/>
    <w:rsid w:val="0021391C"/>
    <w:rsid w:val="00213EA5"/>
    <w:rsid w:val="00214AF2"/>
    <w:rsid w:val="00215005"/>
    <w:rsid w:val="00220DB2"/>
    <w:rsid w:val="00221419"/>
    <w:rsid w:val="0022260A"/>
    <w:rsid w:val="00223D26"/>
    <w:rsid w:val="00224E2A"/>
    <w:rsid w:val="002258AD"/>
    <w:rsid w:val="002274F2"/>
    <w:rsid w:val="0022764F"/>
    <w:rsid w:val="00232AE2"/>
    <w:rsid w:val="002333EE"/>
    <w:rsid w:val="00234937"/>
    <w:rsid w:val="0023770F"/>
    <w:rsid w:val="00237E28"/>
    <w:rsid w:val="00240EE4"/>
    <w:rsid w:val="002422C3"/>
    <w:rsid w:val="00242BC5"/>
    <w:rsid w:val="002432DE"/>
    <w:rsid w:val="00243638"/>
    <w:rsid w:val="00243EB5"/>
    <w:rsid w:val="00243FC3"/>
    <w:rsid w:val="002455D7"/>
    <w:rsid w:val="0024586F"/>
    <w:rsid w:val="002464B4"/>
    <w:rsid w:val="00250193"/>
    <w:rsid w:val="00251ED1"/>
    <w:rsid w:val="002521DD"/>
    <w:rsid w:val="00252277"/>
    <w:rsid w:val="002532FC"/>
    <w:rsid w:val="00253A94"/>
    <w:rsid w:val="002542DC"/>
    <w:rsid w:val="002549CC"/>
    <w:rsid w:val="00254E69"/>
    <w:rsid w:val="00254E7A"/>
    <w:rsid w:val="0025738A"/>
    <w:rsid w:val="00262374"/>
    <w:rsid w:val="002625D6"/>
    <w:rsid w:val="002638AA"/>
    <w:rsid w:val="00263EEC"/>
    <w:rsid w:val="00263F04"/>
    <w:rsid w:val="002641D5"/>
    <w:rsid w:val="0026544E"/>
    <w:rsid w:val="00265823"/>
    <w:rsid w:val="00267299"/>
    <w:rsid w:val="00267F02"/>
    <w:rsid w:val="002713ED"/>
    <w:rsid w:val="00272830"/>
    <w:rsid w:val="00273AAB"/>
    <w:rsid w:val="00275FA3"/>
    <w:rsid w:val="002760B1"/>
    <w:rsid w:val="002763B7"/>
    <w:rsid w:val="00277A24"/>
    <w:rsid w:val="00277F69"/>
    <w:rsid w:val="00280AFF"/>
    <w:rsid w:val="00280E24"/>
    <w:rsid w:val="00283505"/>
    <w:rsid w:val="00285419"/>
    <w:rsid w:val="00285F06"/>
    <w:rsid w:val="002875A0"/>
    <w:rsid w:val="0029119C"/>
    <w:rsid w:val="00291A71"/>
    <w:rsid w:val="00292D36"/>
    <w:rsid w:val="0029378C"/>
    <w:rsid w:val="00294744"/>
    <w:rsid w:val="002971C9"/>
    <w:rsid w:val="00297D9A"/>
    <w:rsid w:val="002A0001"/>
    <w:rsid w:val="002A0E5D"/>
    <w:rsid w:val="002A1A55"/>
    <w:rsid w:val="002A2585"/>
    <w:rsid w:val="002A2B54"/>
    <w:rsid w:val="002A2C8F"/>
    <w:rsid w:val="002A341F"/>
    <w:rsid w:val="002A3919"/>
    <w:rsid w:val="002A450A"/>
    <w:rsid w:val="002A4924"/>
    <w:rsid w:val="002A6057"/>
    <w:rsid w:val="002B0ACE"/>
    <w:rsid w:val="002B0E52"/>
    <w:rsid w:val="002B122F"/>
    <w:rsid w:val="002B12BB"/>
    <w:rsid w:val="002B1558"/>
    <w:rsid w:val="002B17E0"/>
    <w:rsid w:val="002B196C"/>
    <w:rsid w:val="002B54F9"/>
    <w:rsid w:val="002B57E2"/>
    <w:rsid w:val="002B612A"/>
    <w:rsid w:val="002B6C31"/>
    <w:rsid w:val="002B7584"/>
    <w:rsid w:val="002C1674"/>
    <w:rsid w:val="002C2064"/>
    <w:rsid w:val="002C3DEC"/>
    <w:rsid w:val="002C51AA"/>
    <w:rsid w:val="002C52D6"/>
    <w:rsid w:val="002C593C"/>
    <w:rsid w:val="002C5D12"/>
    <w:rsid w:val="002C67F9"/>
    <w:rsid w:val="002D200A"/>
    <w:rsid w:val="002D222C"/>
    <w:rsid w:val="002D2656"/>
    <w:rsid w:val="002D2A69"/>
    <w:rsid w:val="002D2AE4"/>
    <w:rsid w:val="002D3514"/>
    <w:rsid w:val="002D372A"/>
    <w:rsid w:val="002D387A"/>
    <w:rsid w:val="002D4BDB"/>
    <w:rsid w:val="002D50B3"/>
    <w:rsid w:val="002D5611"/>
    <w:rsid w:val="002D7517"/>
    <w:rsid w:val="002E04D1"/>
    <w:rsid w:val="002E0650"/>
    <w:rsid w:val="002E255B"/>
    <w:rsid w:val="002E2FCC"/>
    <w:rsid w:val="002E33FB"/>
    <w:rsid w:val="002E38C0"/>
    <w:rsid w:val="002E46EC"/>
    <w:rsid w:val="002E4D8C"/>
    <w:rsid w:val="002E4E1D"/>
    <w:rsid w:val="002E58FB"/>
    <w:rsid w:val="002E6C25"/>
    <w:rsid w:val="002F08CF"/>
    <w:rsid w:val="002F0B22"/>
    <w:rsid w:val="002F1020"/>
    <w:rsid w:val="002F1122"/>
    <w:rsid w:val="002F3CCF"/>
    <w:rsid w:val="00300925"/>
    <w:rsid w:val="00301A62"/>
    <w:rsid w:val="00302580"/>
    <w:rsid w:val="003026D1"/>
    <w:rsid w:val="00302EF2"/>
    <w:rsid w:val="00303004"/>
    <w:rsid w:val="003050A8"/>
    <w:rsid w:val="0030546F"/>
    <w:rsid w:val="003057CE"/>
    <w:rsid w:val="00305F03"/>
    <w:rsid w:val="00307D6F"/>
    <w:rsid w:val="003107FF"/>
    <w:rsid w:val="003131EE"/>
    <w:rsid w:val="00313F5C"/>
    <w:rsid w:val="00313FC0"/>
    <w:rsid w:val="00315012"/>
    <w:rsid w:val="00316B6B"/>
    <w:rsid w:val="00317D85"/>
    <w:rsid w:val="0032013B"/>
    <w:rsid w:val="00320A79"/>
    <w:rsid w:val="00320C69"/>
    <w:rsid w:val="0032227F"/>
    <w:rsid w:val="00322607"/>
    <w:rsid w:val="00323AD5"/>
    <w:rsid w:val="00323CC8"/>
    <w:rsid w:val="0032450C"/>
    <w:rsid w:val="003248AA"/>
    <w:rsid w:val="00330512"/>
    <w:rsid w:val="00330F18"/>
    <w:rsid w:val="00332289"/>
    <w:rsid w:val="0033322E"/>
    <w:rsid w:val="00333C50"/>
    <w:rsid w:val="003340AE"/>
    <w:rsid w:val="00334B5D"/>
    <w:rsid w:val="00334D87"/>
    <w:rsid w:val="00334E62"/>
    <w:rsid w:val="00335125"/>
    <w:rsid w:val="00336242"/>
    <w:rsid w:val="00337163"/>
    <w:rsid w:val="00337231"/>
    <w:rsid w:val="0034109C"/>
    <w:rsid w:val="00341BDA"/>
    <w:rsid w:val="00341E2A"/>
    <w:rsid w:val="003440F5"/>
    <w:rsid w:val="003443A2"/>
    <w:rsid w:val="00344E8D"/>
    <w:rsid w:val="003451D7"/>
    <w:rsid w:val="00346E8F"/>
    <w:rsid w:val="00347DF8"/>
    <w:rsid w:val="0035149C"/>
    <w:rsid w:val="003516D1"/>
    <w:rsid w:val="0035238F"/>
    <w:rsid w:val="003534A9"/>
    <w:rsid w:val="003538AB"/>
    <w:rsid w:val="00353BDA"/>
    <w:rsid w:val="003549C8"/>
    <w:rsid w:val="0035698F"/>
    <w:rsid w:val="003574A0"/>
    <w:rsid w:val="00357B63"/>
    <w:rsid w:val="00357DB0"/>
    <w:rsid w:val="00360122"/>
    <w:rsid w:val="003614A1"/>
    <w:rsid w:val="00361FD0"/>
    <w:rsid w:val="0036275A"/>
    <w:rsid w:val="003631A4"/>
    <w:rsid w:val="00363443"/>
    <w:rsid w:val="00363D76"/>
    <w:rsid w:val="003643B5"/>
    <w:rsid w:val="00364972"/>
    <w:rsid w:val="00364E8E"/>
    <w:rsid w:val="00365E76"/>
    <w:rsid w:val="0036648E"/>
    <w:rsid w:val="00366F17"/>
    <w:rsid w:val="00366FA1"/>
    <w:rsid w:val="00367FFE"/>
    <w:rsid w:val="003704B8"/>
    <w:rsid w:val="00370A88"/>
    <w:rsid w:val="003714DE"/>
    <w:rsid w:val="003718F4"/>
    <w:rsid w:val="00371EAB"/>
    <w:rsid w:val="00372714"/>
    <w:rsid w:val="00372940"/>
    <w:rsid w:val="00372A69"/>
    <w:rsid w:val="00372FBD"/>
    <w:rsid w:val="00373A61"/>
    <w:rsid w:val="00373C3E"/>
    <w:rsid w:val="00376E73"/>
    <w:rsid w:val="003773B0"/>
    <w:rsid w:val="00377ADC"/>
    <w:rsid w:val="00380308"/>
    <w:rsid w:val="0038061E"/>
    <w:rsid w:val="0038142F"/>
    <w:rsid w:val="00381F0B"/>
    <w:rsid w:val="003820B6"/>
    <w:rsid w:val="00382C5D"/>
    <w:rsid w:val="00382FBA"/>
    <w:rsid w:val="00383290"/>
    <w:rsid w:val="00383537"/>
    <w:rsid w:val="00383B87"/>
    <w:rsid w:val="0038491B"/>
    <w:rsid w:val="0038543B"/>
    <w:rsid w:val="00387646"/>
    <w:rsid w:val="00387949"/>
    <w:rsid w:val="00387B16"/>
    <w:rsid w:val="00387DD5"/>
    <w:rsid w:val="0039053F"/>
    <w:rsid w:val="00391F09"/>
    <w:rsid w:val="003924B6"/>
    <w:rsid w:val="003927B2"/>
    <w:rsid w:val="0039445C"/>
    <w:rsid w:val="003948E2"/>
    <w:rsid w:val="00397666"/>
    <w:rsid w:val="00397842"/>
    <w:rsid w:val="00397A07"/>
    <w:rsid w:val="00397A3B"/>
    <w:rsid w:val="003A1B02"/>
    <w:rsid w:val="003A299A"/>
    <w:rsid w:val="003A2BBF"/>
    <w:rsid w:val="003A3052"/>
    <w:rsid w:val="003A32F2"/>
    <w:rsid w:val="003A3CA0"/>
    <w:rsid w:val="003A431C"/>
    <w:rsid w:val="003A482A"/>
    <w:rsid w:val="003A7DAC"/>
    <w:rsid w:val="003B018E"/>
    <w:rsid w:val="003B1C2F"/>
    <w:rsid w:val="003B27F0"/>
    <w:rsid w:val="003B3507"/>
    <w:rsid w:val="003B3809"/>
    <w:rsid w:val="003B3838"/>
    <w:rsid w:val="003B3D04"/>
    <w:rsid w:val="003B46E5"/>
    <w:rsid w:val="003B5711"/>
    <w:rsid w:val="003B5C52"/>
    <w:rsid w:val="003B7866"/>
    <w:rsid w:val="003B7BD6"/>
    <w:rsid w:val="003C07D5"/>
    <w:rsid w:val="003C0B48"/>
    <w:rsid w:val="003C0EB3"/>
    <w:rsid w:val="003C1358"/>
    <w:rsid w:val="003C2BFE"/>
    <w:rsid w:val="003C3788"/>
    <w:rsid w:val="003C48BC"/>
    <w:rsid w:val="003C530C"/>
    <w:rsid w:val="003C7265"/>
    <w:rsid w:val="003C734A"/>
    <w:rsid w:val="003C74C8"/>
    <w:rsid w:val="003D108A"/>
    <w:rsid w:val="003D130B"/>
    <w:rsid w:val="003D1607"/>
    <w:rsid w:val="003D2E34"/>
    <w:rsid w:val="003D3464"/>
    <w:rsid w:val="003D492B"/>
    <w:rsid w:val="003D4EB8"/>
    <w:rsid w:val="003D5982"/>
    <w:rsid w:val="003D6F83"/>
    <w:rsid w:val="003D762B"/>
    <w:rsid w:val="003D7836"/>
    <w:rsid w:val="003D7E49"/>
    <w:rsid w:val="003E06C0"/>
    <w:rsid w:val="003E0FB9"/>
    <w:rsid w:val="003E1E52"/>
    <w:rsid w:val="003E2446"/>
    <w:rsid w:val="003E2518"/>
    <w:rsid w:val="003E2981"/>
    <w:rsid w:val="003E3EFD"/>
    <w:rsid w:val="003E439A"/>
    <w:rsid w:val="003E48FD"/>
    <w:rsid w:val="003E54C9"/>
    <w:rsid w:val="003E5C25"/>
    <w:rsid w:val="003E62E5"/>
    <w:rsid w:val="003F0145"/>
    <w:rsid w:val="003F1DE3"/>
    <w:rsid w:val="003F20E1"/>
    <w:rsid w:val="003F2427"/>
    <w:rsid w:val="003F277D"/>
    <w:rsid w:val="003F2796"/>
    <w:rsid w:val="003F4D43"/>
    <w:rsid w:val="003F5163"/>
    <w:rsid w:val="003F615D"/>
    <w:rsid w:val="003F61A4"/>
    <w:rsid w:val="003F71C4"/>
    <w:rsid w:val="003F7909"/>
    <w:rsid w:val="00400379"/>
    <w:rsid w:val="00400B2E"/>
    <w:rsid w:val="004016C2"/>
    <w:rsid w:val="00402B54"/>
    <w:rsid w:val="004031C6"/>
    <w:rsid w:val="0040458F"/>
    <w:rsid w:val="00406077"/>
    <w:rsid w:val="00406571"/>
    <w:rsid w:val="0041009E"/>
    <w:rsid w:val="00410FAF"/>
    <w:rsid w:val="00410FFC"/>
    <w:rsid w:val="00411CA5"/>
    <w:rsid w:val="00411FEC"/>
    <w:rsid w:val="004124CC"/>
    <w:rsid w:val="00413681"/>
    <w:rsid w:val="00413DFF"/>
    <w:rsid w:val="00414C6C"/>
    <w:rsid w:val="00414EAA"/>
    <w:rsid w:val="0041565E"/>
    <w:rsid w:val="00416230"/>
    <w:rsid w:val="00416445"/>
    <w:rsid w:val="00416798"/>
    <w:rsid w:val="00416C83"/>
    <w:rsid w:val="004170FF"/>
    <w:rsid w:val="00417398"/>
    <w:rsid w:val="0042124F"/>
    <w:rsid w:val="004228A8"/>
    <w:rsid w:val="00423128"/>
    <w:rsid w:val="00423F66"/>
    <w:rsid w:val="00425143"/>
    <w:rsid w:val="0042729D"/>
    <w:rsid w:val="00427F4D"/>
    <w:rsid w:val="0043057C"/>
    <w:rsid w:val="00431284"/>
    <w:rsid w:val="00431CC3"/>
    <w:rsid w:val="00434751"/>
    <w:rsid w:val="00434ADA"/>
    <w:rsid w:val="00434EB7"/>
    <w:rsid w:val="00435BE7"/>
    <w:rsid w:val="004376AF"/>
    <w:rsid w:val="004405E3"/>
    <w:rsid w:val="00440714"/>
    <w:rsid w:val="00440C91"/>
    <w:rsid w:val="004419E0"/>
    <w:rsid w:val="0044261F"/>
    <w:rsid w:val="00442A3F"/>
    <w:rsid w:val="00444624"/>
    <w:rsid w:val="00445824"/>
    <w:rsid w:val="00445D74"/>
    <w:rsid w:val="00445E36"/>
    <w:rsid w:val="0044604C"/>
    <w:rsid w:val="00446279"/>
    <w:rsid w:val="00446EE6"/>
    <w:rsid w:val="00447CCA"/>
    <w:rsid w:val="004502F8"/>
    <w:rsid w:val="0045039B"/>
    <w:rsid w:val="004504B2"/>
    <w:rsid w:val="00450AF3"/>
    <w:rsid w:val="00450F72"/>
    <w:rsid w:val="0045174B"/>
    <w:rsid w:val="00453635"/>
    <w:rsid w:val="00453E28"/>
    <w:rsid w:val="00455D22"/>
    <w:rsid w:val="00456DB4"/>
    <w:rsid w:val="004574E8"/>
    <w:rsid w:val="00460BD9"/>
    <w:rsid w:val="00461477"/>
    <w:rsid w:val="00462ACF"/>
    <w:rsid w:val="00464E45"/>
    <w:rsid w:val="004653D1"/>
    <w:rsid w:val="00465522"/>
    <w:rsid w:val="0046681D"/>
    <w:rsid w:val="00466D7D"/>
    <w:rsid w:val="0046717F"/>
    <w:rsid w:val="004703A6"/>
    <w:rsid w:val="0047168C"/>
    <w:rsid w:val="004723D9"/>
    <w:rsid w:val="00474966"/>
    <w:rsid w:val="00475146"/>
    <w:rsid w:val="00475287"/>
    <w:rsid w:val="004752BF"/>
    <w:rsid w:val="00475842"/>
    <w:rsid w:val="004763B5"/>
    <w:rsid w:val="00476B45"/>
    <w:rsid w:val="00477B86"/>
    <w:rsid w:val="004800C6"/>
    <w:rsid w:val="0048031F"/>
    <w:rsid w:val="00480DFE"/>
    <w:rsid w:val="00481A9D"/>
    <w:rsid w:val="00481F43"/>
    <w:rsid w:val="00482240"/>
    <w:rsid w:val="0048257D"/>
    <w:rsid w:val="00482611"/>
    <w:rsid w:val="004831ED"/>
    <w:rsid w:val="00483214"/>
    <w:rsid w:val="00486836"/>
    <w:rsid w:val="004872A7"/>
    <w:rsid w:val="00487E8E"/>
    <w:rsid w:val="00490AF9"/>
    <w:rsid w:val="004910AB"/>
    <w:rsid w:val="00492AC4"/>
    <w:rsid w:val="0049365C"/>
    <w:rsid w:val="0049414C"/>
    <w:rsid w:val="0049497E"/>
    <w:rsid w:val="00495949"/>
    <w:rsid w:val="004A17E0"/>
    <w:rsid w:val="004A1FCE"/>
    <w:rsid w:val="004A24B6"/>
    <w:rsid w:val="004A2EE5"/>
    <w:rsid w:val="004A3466"/>
    <w:rsid w:val="004A3AF0"/>
    <w:rsid w:val="004A4E25"/>
    <w:rsid w:val="004A6C43"/>
    <w:rsid w:val="004A78EB"/>
    <w:rsid w:val="004A7967"/>
    <w:rsid w:val="004B0AD3"/>
    <w:rsid w:val="004B2058"/>
    <w:rsid w:val="004B5C40"/>
    <w:rsid w:val="004B712A"/>
    <w:rsid w:val="004B7DC5"/>
    <w:rsid w:val="004B7ED0"/>
    <w:rsid w:val="004B7EFC"/>
    <w:rsid w:val="004C09A8"/>
    <w:rsid w:val="004C0B44"/>
    <w:rsid w:val="004C0F22"/>
    <w:rsid w:val="004C4A60"/>
    <w:rsid w:val="004C5BC4"/>
    <w:rsid w:val="004C7D32"/>
    <w:rsid w:val="004D16D0"/>
    <w:rsid w:val="004D1775"/>
    <w:rsid w:val="004D2368"/>
    <w:rsid w:val="004D36F1"/>
    <w:rsid w:val="004D382E"/>
    <w:rsid w:val="004D479B"/>
    <w:rsid w:val="004D4B54"/>
    <w:rsid w:val="004D63DA"/>
    <w:rsid w:val="004D7DEE"/>
    <w:rsid w:val="004E07E7"/>
    <w:rsid w:val="004E3687"/>
    <w:rsid w:val="004E3D4F"/>
    <w:rsid w:val="004E3F3F"/>
    <w:rsid w:val="004E4222"/>
    <w:rsid w:val="004E437F"/>
    <w:rsid w:val="004E497E"/>
    <w:rsid w:val="004E4C3C"/>
    <w:rsid w:val="004E538D"/>
    <w:rsid w:val="004E586F"/>
    <w:rsid w:val="004E5D4B"/>
    <w:rsid w:val="004E6242"/>
    <w:rsid w:val="004E7073"/>
    <w:rsid w:val="004E7AB8"/>
    <w:rsid w:val="004F0000"/>
    <w:rsid w:val="004F0761"/>
    <w:rsid w:val="004F110E"/>
    <w:rsid w:val="004F1D6B"/>
    <w:rsid w:val="004F1F13"/>
    <w:rsid w:val="004F3EF2"/>
    <w:rsid w:val="004F47BE"/>
    <w:rsid w:val="004F4C04"/>
    <w:rsid w:val="004F68D6"/>
    <w:rsid w:val="004F788B"/>
    <w:rsid w:val="004F7F0C"/>
    <w:rsid w:val="0050058C"/>
    <w:rsid w:val="005013F3"/>
    <w:rsid w:val="005025B7"/>
    <w:rsid w:val="0050281A"/>
    <w:rsid w:val="00503CAD"/>
    <w:rsid w:val="00504A90"/>
    <w:rsid w:val="005066CB"/>
    <w:rsid w:val="00506B14"/>
    <w:rsid w:val="005109C7"/>
    <w:rsid w:val="00510E5A"/>
    <w:rsid w:val="0051342E"/>
    <w:rsid w:val="00514CD5"/>
    <w:rsid w:val="00515B23"/>
    <w:rsid w:val="00515F49"/>
    <w:rsid w:val="00517B67"/>
    <w:rsid w:val="00521BA8"/>
    <w:rsid w:val="00521BB0"/>
    <w:rsid w:val="005235B8"/>
    <w:rsid w:val="00523EBC"/>
    <w:rsid w:val="00524392"/>
    <w:rsid w:val="0052573A"/>
    <w:rsid w:val="005260D7"/>
    <w:rsid w:val="005261F9"/>
    <w:rsid w:val="00526B15"/>
    <w:rsid w:val="00526F58"/>
    <w:rsid w:val="00530A95"/>
    <w:rsid w:val="00530AE2"/>
    <w:rsid w:val="00531894"/>
    <w:rsid w:val="00532B9F"/>
    <w:rsid w:val="00534CE9"/>
    <w:rsid w:val="00535A2B"/>
    <w:rsid w:val="0053642C"/>
    <w:rsid w:val="00536B4F"/>
    <w:rsid w:val="00537DFF"/>
    <w:rsid w:val="005409A3"/>
    <w:rsid w:val="005409E8"/>
    <w:rsid w:val="005409EF"/>
    <w:rsid w:val="00541107"/>
    <w:rsid w:val="00541627"/>
    <w:rsid w:val="00544602"/>
    <w:rsid w:val="00544867"/>
    <w:rsid w:val="00544A71"/>
    <w:rsid w:val="0054547D"/>
    <w:rsid w:val="00545B42"/>
    <w:rsid w:val="00545E27"/>
    <w:rsid w:val="00545ED5"/>
    <w:rsid w:val="00545F75"/>
    <w:rsid w:val="0054639A"/>
    <w:rsid w:val="00547315"/>
    <w:rsid w:val="00550255"/>
    <w:rsid w:val="00550C8D"/>
    <w:rsid w:val="005516A9"/>
    <w:rsid w:val="005521FE"/>
    <w:rsid w:val="00552A48"/>
    <w:rsid w:val="00552B50"/>
    <w:rsid w:val="005534B5"/>
    <w:rsid w:val="00553C80"/>
    <w:rsid w:val="00553D8C"/>
    <w:rsid w:val="00555C24"/>
    <w:rsid w:val="005604FE"/>
    <w:rsid w:val="00560C8C"/>
    <w:rsid w:val="00563C1D"/>
    <w:rsid w:val="00564CB3"/>
    <w:rsid w:val="00564D50"/>
    <w:rsid w:val="00565AF3"/>
    <w:rsid w:val="005660A6"/>
    <w:rsid w:val="00567A55"/>
    <w:rsid w:val="00570E82"/>
    <w:rsid w:val="00570F36"/>
    <w:rsid w:val="00571D56"/>
    <w:rsid w:val="00571FFB"/>
    <w:rsid w:val="005732FA"/>
    <w:rsid w:val="00574139"/>
    <w:rsid w:val="0057487B"/>
    <w:rsid w:val="00574EE6"/>
    <w:rsid w:val="005757F8"/>
    <w:rsid w:val="005759BE"/>
    <w:rsid w:val="00575B79"/>
    <w:rsid w:val="00576327"/>
    <w:rsid w:val="0057653C"/>
    <w:rsid w:val="005767FA"/>
    <w:rsid w:val="005768E7"/>
    <w:rsid w:val="005772C9"/>
    <w:rsid w:val="00581027"/>
    <w:rsid w:val="005810A0"/>
    <w:rsid w:val="005813F1"/>
    <w:rsid w:val="00582974"/>
    <w:rsid w:val="00583343"/>
    <w:rsid w:val="00584577"/>
    <w:rsid w:val="00584941"/>
    <w:rsid w:val="00586459"/>
    <w:rsid w:val="00586D82"/>
    <w:rsid w:val="00586DF8"/>
    <w:rsid w:val="00587FF5"/>
    <w:rsid w:val="0059009D"/>
    <w:rsid w:val="005913A3"/>
    <w:rsid w:val="00591F67"/>
    <w:rsid w:val="0059243D"/>
    <w:rsid w:val="005929B9"/>
    <w:rsid w:val="005938C6"/>
    <w:rsid w:val="005948A5"/>
    <w:rsid w:val="0059562C"/>
    <w:rsid w:val="00595BBA"/>
    <w:rsid w:val="00595DB2"/>
    <w:rsid w:val="00595E93"/>
    <w:rsid w:val="00596700"/>
    <w:rsid w:val="00596816"/>
    <w:rsid w:val="00596F0C"/>
    <w:rsid w:val="00596F3C"/>
    <w:rsid w:val="00596FA8"/>
    <w:rsid w:val="005975DC"/>
    <w:rsid w:val="00597AB0"/>
    <w:rsid w:val="005A0AB1"/>
    <w:rsid w:val="005A2724"/>
    <w:rsid w:val="005A2EBE"/>
    <w:rsid w:val="005A3911"/>
    <w:rsid w:val="005A41B5"/>
    <w:rsid w:val="005A42E7"/>
    <w:rsid w:val="005A48AE"/>
    <w:rsid w:val="005A499B"/>
    <w:rsid w:val="005A696F"/>
    <w:rsid w:val="005A71F8"/>
    <w:rsid w:val="005A7930"/>
    <w:rsid w:val="005A7977"/>
    <w:rsid w:val="005A7B07"/>
    <w:rsid w:val="005B1261"/>
    <w:rsid w:val="005B1B6D"/>
    <w:rsid w:val="005B567F"/>
    <w:rsid w:val="005B6A17"/>
    <w:rsid w:val="005B6C77"/>
    <w:rsid w:val="005B799C"/>
    <w:rsid w:val="005C1094"/>
    <w:rsid w:val="005C29BB"/>
    <w:rsid w:val="005C31FF"/>
    <w:rsid w:val="005C35CC"/>
    <w:rsid w:val="005C4533"/>
    <w:rsid w:val="005C5119"/>
    <w:rsid w:val="005C57E9"/>
    <w:rsid w:val="005C701E"/>
    <w:rsid w:val="005C7903"/>
    <w:rsid w:val="005D0B87"/>
    <w:rsid w:val="005D1E27"/>
    <w:rsid w:val="005D32EE"/>
    <w:rsid w:val="005D4C15"/>
    <w:rsid w:val="005D4E2D"/>
    <w:rsid w:val="005D7759"/>
    <w:rsid w:val="005E0367"/>
    <w:rsid w:val="005E0C8D"/>
    <w:rsid w:val="005E2FB4"/>
    <w:rsid w:val="005E4593"/>
    <w:rsid w:val="005E4905"/>
    <w:rsid w:val="005E4F18"/>
    <w:rsid w:val="005E7917"/>
    <w:rsid w:val="005F017F"/>
    <w:rsid w:val="005F0821"/>
    <w:rsid w:val="005F0A2F"/>
    <w:rsid w:val="005F0F9E"/>
    <w:rsid w:val="005F1C3F"/>
    <w:rsid w:val="005F391A"/>
    <w:rsid w:val="005F471A"/>
    <w:rsid w:val="005F509D"/>
    <w:rsid w:val="0060084D"/>
    <w:rsid w:val="00601712"/>
    <w:rsid w:val="00601B8E"/>
    <w:rsid w:val="006023C9"/>
    <w:rsid w:val="006034C4"/>
    <w:rsid w:val="00603578"/>
    <w:rsid w:val="00603631"/>
    <w:rsid w:val="00604293"/>
    <w:rsid w:val="00605147"/>
    <w:rsid w:val="0060694B"/>
    <w:rsid w:val="00606A3E"/>
    <w:rsid w:val="00610137"/>
    <w:rsid w:val="00612C5C"/>
    <w:rsid w:val="006138C6"/>
    <w:rsid w:val="00613F72"/>
    <w:rsid w:val="006144B1"/>
    <w:rsid w:val="00616857"/>
    <w:rsid w:val="00617AB8"/>
    <w:rsid w:val="0062135C"/>
    <w:rsid w:val="00623802"/>
    <w:rsid w:val="00623B29"/>
    <w:rsid w:val="00624289"/>
    <w:rsid w:val="00624F5B"/>
    <w:rsid w:val="00626450"/>
    <w:rsid w:val="0062675E"/>
    <w:rsid w:val="00626D6E"/>
    <w:rsid w:val="00627220"/>
    <w:rsid w:val="00627B9D"/>
    <w:rsid w:val="00630E30"/>
    <w:rsid w:val="006317D0"/>
    <w:rsid w:val="00631C79"/>
    <w:rsid w:val="0063242A"/>
    <w:rsid w:val="00632A87"/>
    <w:rsid w:val="00633B94"/>
    <w:rsid w:val="00633B99"/>
    <w:rsid w:val="00634C48"/>
    <w:rsid w:val="0063534A"/>
    <w:rsid w:val="00635A7A"/>
    <w:rsid w:val="006404BF"/>
    <w:rsid w:val="006406B7"/>
    <w:rsid w:val="0064294B"/>
    <w:rsid w:val="00642A84"/>
    <w:rsid w:val="006435F1"/>
    <w:rsid w:val="006450EB"/>
    <w:rsid w:val="006451CD"/>
    <w:rsid w:val="00647B17"/>
    <w:rsid w:val="00650E99"/>
    <w:rsid w:val="00651ECB"/>
    <w:rsid w:val="00651FEB"/>
    <w:rsid w:val="00652581"/>
    <w:rsid w:val="00653480"/>
    <w:rsid w:val="0065481D"/>
    <w:rsid w:val="00654D49"/>
    <w:rsid w:val="00655718"/>
    <w:rsid w:val="006566EE"/>
    <w:rsid w:val="00656C99"/>
    <w:rsid w:val="006575D3"/>
    <w:rsid w:val="0065788D"/>
    <w:rsid w:val="006602CE"/>
    <w:rsid w:val="00663518"/>
    <w:rsid w:val="00663A8A"/>
    <w:rsid w:val="0066438C"/>
    <w:rsid w:val="00667501"/>
    <w:rsid w:val="00667E50"/>
    <w:rsid w:val="0067085B"/>
    <w:rsid w:val="00673515"/>
    <w:rsid w:val="006742F5"/>
    <w:rsid w:val="0067496E"/>
    <w:rsid w:val="006752EB"/>
    <w:rsid w:val="006764EE"/>
    <w:rsid w:val="0068090F"/>
    <w:rsid w:val="006809F6"/>
    <w:rsid w:val="00680AAC"/>
    <w:rsid w:val="00682468"/>
    <w:rsid w:val="00683048"/>
    <w:rsid w:val="00684F17"/>
    <w:rsid w:val="00687361"/>
    <w:rsid w:val="0069036C"/>
    <w:rsid w:val="00690E98"/>
    <w:rsid w:val="006922DA"/>
    <w:rsid w:val="0069349E"/>
    <w:rsid w:val="006934A3"/>
    <w:rsid w:val="0069375E"/>
    <w:rsid w:val="006957FD"/>
    <w:rsid w:val="00696FBC"/>
    <w:rsid w:val="00697318"/>
    <w:rsid w:val="006A1112"/>
    <w:rsid w:val="006A1274"/>
    <w:rsid w:val="006A3552"/>
    <w:rsid w:val="006A3DCF"/>
    <w:rsid w:val="006A45EF"/>
    <w:rsid w:val="006A4A5B"/>
    <w:rsid w:val="006A54E7"/>
    <w:rsid w:val="006A5568"/>
    <w:rsid w:val="006A5955"/>
    <w:rsid w:val="006A6D2C"/>
    <w:rsid w:val="006A7173"/>
    <w:rsid w:val="006A7593"/>
    <w:rsid w:val="006B03E8"/>
    <w:rsid w:val="006B2F8A"/>
    <w:rsid w:val="006B6928"/>
    <w:rsid w:val="006B6C02"/>
    <w:rsid w:val="006B7AD6"/>
    <w:rsid w:val="006C1D39"/>
    <w:rsid w:val="006C2C84"/>
    <w:rsid w:val="006C3AAF"/>
    <w:rsid w:val="006C48A4"/>
    <w:rsid w:val="006C4A51"/>
    <w:rsid w:val="006C7574"/>
    <w:rsid w:val="006C7C6E"/>
    <w:rsid w:val="006D179A"/>
    <w:rsid w:val="006D20DB"/>
    <w:rsid w:val="006D297C"/>
    <w:rsid w:val="006D2F81"/>
    <w:rsid w:val="006D3323"/>
    <w:rsid w:val="006D47C1"/>
    <w:rsid w:val="006D514C"/>
    <w:rsid w:val="006D56E7"/>
    <w:rsid w:val="006D61E3"/>
    <w:rsid w:val="006D65C0"/>
    <w:rsid w:val="006D70B9"/>
    <w:rsid w:val="006E0DE1"/>
    <w:rsid w:val="006E0E3F"/>
    <w:rsid w:val="006E27C7"/>
    <w:rsid w:val="006E499D"/>
    <w:rsid w:val="006E49AC"/>
    <w:rsid w:val="006F0069"/>
    <w:rsid w:val="006F0BCB"/>
    <w:rsid w:val="006F18E6"/>
    <w:rsid w:val="006F318A"/>
    <w:rsid w:val="006F3228"/>
    <w:rsid w:val="006F3E6C"/>
    <w:rsid w:val="006F44CB"/>
    <w:rsid w:val="006F4D6A"/>
    <w:rsid w:val="006F4F82"/>
    <w:rsid w:val="006F54D4"/>
    <w:rsid w:val="006F5C64"/>
    <w:rsid w:val="006F6C54"/>
    <w:rsid w:val="006F6F11"/>
    <w:rsid w:val="00700010"/>
    <w:rsid w:val="00700793"/>
    <w:rsid w:val="00700A09"/>
    <w:rsid w:val="0070138F"/>
    <w:rsid w:val="00701F4A"/>
    <w:rsid w:val="00702071"/>
    <w:rsid w:val="00702C94"/>
    <w:rsid w:val="00702EDB"/>
    <w:rsid w:val="0070643B"/>
    <w:rsid w:val="007066CA"/>
    <w:rsid w:val="00707C90"/>
    <w:rsid w:val="00710985"/>
    <w:rsid w:val="00711A2A"/>
    <w:rsid w:val="00711F24"/>
    <w:rsid w:val="00714C47"/>
    <w:rsid w:val="00715981"/>
    <w:rsid w:val="00717AF2"/>
    <w:rsid w:val="007223AC"/>
    <w:rsid w:val="00722BED"/>
    <w:rsid w:val="00722EC3"/>
    <w:rsid w:val="00722F34"/>
    <w:rsid w:val="007247CD"/>
    <w:rsid w:val="00725BE7"/>
    <w:rsid w:val="00725D40"/>
    <w:rsid w:val="0072610D"/>
    <w:rsid w:val="00727086"/>
    <w:rsid w:val="00731D45"/>
    <w:rsid w:val="007321AC"/>
    <w:rsid w:val="007328A5"/>
    <w:rsid w:val="00733609"/>
    <w:rsid w:val="007345DA"/>
    <w:rsid w:val="0073500D"/>
    <w:rsid w:val="00735266"/>
    <w:rsid w:val="007352A2"/>
    <w:rsid w:val="0073533E"/>
    <w:rsid w:val="00735DBB"/>
    <w:rsid w:val="00736391"/>
    <w:rsid w:val="00736E6D"/>
    <w:rsid w:val="00737D0A"/>
    <w:rsid w:val="00740963"/>
    <w:rsid w:val="0074119A"/>
    <w:rsid w:val="00741A65"/>
    <w:rsid w:val="00741BC0"/>
    <w:rsid w:val="0074265B"/>
    <w:rsid w:val="00743BB0"/>
    <w:rsid w:val="00743EF1"/>
    <w:rsid w:val="0074524E"/>
    <w:rsid w:val="00746534"/>
    <w:rsid w:val="00746744"/>
    <w:rsid w:val="00746CB5"/>
    <w:rsid w:val="00747FEB"/>
    <w:rsid w:val="00750026"/>
    <w:rsid w:val="0075046E"/>
    <w:rsid w:val="007506CF"/>
    <w:rsid w:val="007511AC"/>
    <w:rsid w:val="00753247"/>
    <w:rsid w:val="007551AF"/>
    <w:rsid w:val="00757B5E"/>
    <w:rsid w:val="00757E09"/>
    <w:rsid w:val="00760322"/>
    <w:rsid w:val="00760B52"/>
    <w:rsid w:val="00760FDF"/>
    <w:rsid w:val="007644F2"/>
    <w:rsid w:val="007666B9"/>
    <w:rsid w:val="00766A2E"/>
    <w:rsid w:val="00766C9E"/>
    <w:rsid w:val="0076781B"/>
    <w:rsid w:val="00767974"/>
    <w:rsid w:val="00767CCF"/>
    <w:rsid w:val="00770C0E"/>
    <w:rsid w:val="007712FD"/>
    <w:rsid w:val="007723B7"/>
    <w:rsid w:val="007724F3"/>
    <w:rsid w:val="00772B2B"/>
    <w:rsid w:val="00773ACA"/>
    <w:rsid w:val="00773D2D"/>
    <w:rsid w:val="00774BE6"/>
    <w:rsid w:val="007751C8"/>
    <w:rsid w:val="007755D5"/>
    <w:rsid w:val="00776EA8"/>
    <w:rsid w:val="00777A91"/>
    <w:rsid w:val="0078149D"/>
    <w:rsid w:val="007824DD"/>
    <w:rsid w:val="00782908"/>
    <w:rsid w:val="00783158"/>
    <w:rsid w:val="00783E5A"/>
    <w:rsid w:val="007846D7"/>
    <w:rsid w:val="00784D21"/>
    <w:rsid w:val="0078640E"/>
    <w:rsid w:val="00786F00"/>
    <w:rsid w:val="0079022C"/>
    <w:rsid w:val="007918E6"/>
    <w:rsid w:val="007923F2"/>
    <w:rsid w:val="0079264C"/>
    <w:rsid w:val="0079301E"/>
    <w:rsid w:val="007938F8"/>
    <w:rsid w:val="00795510"/>
    <w:rsid w:val="0079554A"/>
    <w:rsid w:val="00795AD2"/>
    <w:rsid w:val="00795EF4"/>
    <w:rsid w:val="00796786"/>
    <w:rsid w:val="00796CB4"/>
    <w:rsid w:val="00796ECA"/>
    <w:rsid w:val="007979C7"/>
    <w:rsid w:val="007A014F"/>
    <w:rsid w:val="007A0EFB"/>
    <w:rsid w:val="007A433C"/>
    <w:rsid w:val="007A4640"/>
    <w:rsid w:val="007A464D"/>
    <w:rsid w:val="007A477E"/>
    <w:rsid w:val="007A4888"/>
    <w:rsid w:val="007A5CD5"/>
    <w:rsid w:val="007A7572"/>
    <w:rsid w:val="007B1C83"/>
    <w:rsid w:val="007B23F1"/>
    <w:rsid w:val="007B34E9"/>
    <w:rsid w:val="007B3E34"/>
    <w:rsid w:val="007B4DF9"/>
    <w:rsid w:val="007B7702"/>
    <w:rsid w:val="007B7D4B"/>
    <w:rsid w:val="007C01B7"/>
    <w:rsid w:val="007C0887"/>
    <w:rsid w:val="007C1F48"/>
    <w:rsid w:val="007C2A4A"/>
    <w:rsid w:val="007C2F3B"/>
    <w:rsid w:val="007C4EC6"/>
    <w:rsid w:val="007C6479"/>
    <w:rsid w:val="007C66DF"/>
    <w:rsid w:val="007C697D"/>
    <w:rsid w:val="007C69E6"/>
    <w:rsid w:val="007C6DFC"/>
    <w:rsid w:val="007C7642"/>
    <w:rsid w:val="007D0370"/>
    <w:rsid w:val="007D0566"/>
    <w:rsid w:val="007D0764"/>
    <w:rsid w:val="007D0903"/>
    <w:rsid w:val="007D0A70"/>
    <w:rsid w:val="007D1BB5"/>
    <w:rsid w:val="007D1FAB"/>
    <w:rsid w:val="007D28C2"/>
    <w:rsid w:val="007D4296"/>
    <w:rsid w:val="007D4BE9"/>
    <w:rsid w:val="007D57A8"/>
    <w:rsid w:val="007D79CE"/>
    <w:rsid w:val="007E0084"/>
    <w:rsid w:val="007E042E"/>
    <w:rsid w:val="007E0FB2"/>
    <w:rsid w:val="007E10E1"/>
    <w:rsid w:val="007E13D4"/>
    <w:rsid w:val="007E1515"/>
    <w:rsid w:val="007E153B"/>
    <w:rsid w:val="007E2DDC"/>
    <w:rsid w:val="007E3DC0"/>
    <w:rsid w:val="007E3EE8"/>
    <w:rsid w:val="007E41DC"/>
    <w:rsid w:val="007E4D75"/>
    <w:rsid w:val="007E54C2"/>
    <w:rsid w:val="007E5725"/>
    <w:rsid w:val="007E5A60"/>
    <w:rsid w:val="007E6826"/>
    <w:rsid w:val="007E79DB"/>
    <w:rsid w:val="007F0D29"/>
    <w:rsid w:val="007F1183"/>
    <w:rsid w:val="007F1344"/>
    <w:rsid w:val="007F2AA3"/>
    <w:rsid w:val="007F2E84"/>
    <w:rsid w:val="007F3BCD"/>
    <w:rsid w:val="007F3BD0"/>
    <w:rsid w:val="007F4367"/>
    <w:rsid w:val="007F488B"/>
    <w:rsid w:val="007F5D7F"/>
    <w:rsid w:val="007F5FE1"/>
    <w:rsid w:val="007F62D8"/>
    <w:rsid w:val="007F6A23"/>
    <w:rsid w:val="007F7230"/>
    <w:rsid w:val="008004FA"/>
    <w:rsid w:val="008006EC"/>
    <w:rsid w:val="008008AC"/>
    <w:rsid w:val="00800C2F"/>
    <w:rsid w:val="00801788"/>
    <w:rsid w:val="00802237"/>
    <w:rsid w:val="00803089"/>
    <w:rsid w:val="00803723"/>
    <w:rsid w:val="0080378F"/>
    <w:rsid w:val="008037EB"/>
    <w:rsid w:val="00804275"/>
    <w:rsid w:val="00804AB2"/>
    <w:rsid w:val="0080506D"/>
    <w:rsid w:val="0080663F"/>
    <w:rsid w:val="0080721A"/>
    <w:rsid w:val="00807C70"/>
    <w:rsid w:val="00810B59"/>
    <w:rsid w:val="008117D2"/>
    <w:rsid w:val="00811A17"/>
    <w:rsid w:val="00811B18"/>
    <w:rsid w:val="0081309B"/>
    <w:rsid w:val="008131FD"/>
    <w:rsid w:val="008149D9"/>
    <w:rsid w:val="0081500C"/>
    <w:rsid w:val="00815DBB"/>
    <w:rsid w:val="00816683"/>
    <w:rsid w:val="008175BC"/>
    <w:rsid w:val="00817ABE"/>
    <w:rsid w:val="00820D6C"/>
    <w:rsid w:val="00821CED"/>
    <w:rsid w:val="00822C9A"/>
    <w:rsid w:val="0082323D"/>
    <w:rsid w:val="008238AC"/>
    <w:rsid w:val="00824148"/>
    <w:rsid w:val="00825578"/>
    <w:rsid w:val="008259C2"/>
    <w:rsid w:val="00825BA3"/>
    <w:rsid w:val="00825E9E"/>
    <w:rsid w:val="008260BD"/>
    <w:rsid w:val="00826122"/>
    <w:rsid w:val="008261C5"/>
    <w:rsid w:val="00826C71"/>
    <w:rsid w:val="00830161"/>
    <w:rsid w:val="0083119D"/>
    <w:rsid w:val="0083180D"/>
    <w:rsid w:val="008326B6"/>
    <w:rsid w:val="0083312D"/>
    <w:rsid w:val="00833ED6"/>
    <w:rsid w:val="008340EC"/>
    <w:rsid w:val="00835E8D"/>
    <w:rsid w:val="00837E0C"/>
    <w:rsid w:val="008407BD"/>
    <w:rsid w:val="008416A7"/>
    <w:rsid w:val="00841D8A"/>
    <w:rsid w:val="00843095"/>
    <w:rsid w:val="0084495B"/>
    <w:rsid w:val="008466B1"/>
    <w:rsid w:val="00847536"/>
    <w:rsid w:val="00847F07"/>
    <w:rsid w:val="00851911"/>
    <w:rsid w:val="00852444"/>
    <w:rsid w:val="00853609"/>
    <w:rsid w:val="00853886"/>
    <w:rsid w:val="00854DE2"/>
    <w:rsid w:val="008557AC"/>
    <w:rsid w:val="008604BA"/>
    <w:rsid w:val="00861B29"/>
    <w:rsid w:val="0086275C"/>
    <w:rsid w:val="0086321D"/>
    <w:rsid w:val="008638E7"/>
    <w:rsid w:val="00863B1C"/>
    <w:rsid w:val="00863B7E"/>
    <w:rsid w:val="00866A85"/>
    <w:rsid w:val="00867293"/>
    <w:rsid w:val="008702BB"/>
    <w:rsid w:val="00870CDB"/>
    <w:rsid w:val="00871D0B"/>
    <w:rsid w:val="00871DF0"/>
    <w:rsid w:val="008722EE"/>
    <w:rsid w:val="008728A3"/>
    <w:rsid w:val="00872F49"/>
    <w:rsid w:val="008748E3"/>
    <w:rsid w:val="008751AB"/>
    <w:rsid w:val="00875515"/>
    <w:rsid w:val="00875A8B"/>
    <w:rsid w:val="0087672E"/>
    <w:rsid w:val="008768B2"/>
    <w:rsid w:val="00876922"/>
    <w:rsid w:val="0087720A"/>
    <w:rsid w:val="008801B8"/>
    <w:rsid w:val="008829B9"/>
    <w:rsid w:val="00882DD2"/>
    <w:rsid w:val="00882E34"/>
    <w:rsid w:val="008830E6"/>
    <w:rsid w:val="00883BF5"/>
    <w:rsid w:val="00883DFB"/>
    <w:rsid w:val="0088414E"/>
    <w:rsid w:val="008848EF"/>
    <w:rsid w:val="008856B7"/>
    <w:rsid w:val="00885FEF"/>
    <w:rsid w:val="00886523"/>
    <w:rsid w:val="00886617"/>
    <w:rsid w:val="00890974"/>
    <w:rsid w:val="00891011"/>
    <w:rsid w:val="00893D60"/>
    <w:rsid w:val="0089416F"/>
    <w:rsid w:val="008947BE"/>
    <w:rsid w:val="00894F19"/>
    <w:rsid w:val="008951CB"/>
    <w:rsid w:val="0089538C"/>
    <w:rsid w:val="0089553C"/>
    <w:rsid w:val="00895C8E"/>
    <w:rsid w:val="008A3CC9"/>
    <w:rsid w:val="008A466D"/>
    <w:rsid w:val="008A67E8"/>
    <w:rsid w:val="008A7F02"/>
    <w:rsid w:val="008B07DB"/>
    <w:rsid w:val="008B2A9C"/>
    <w:rsid w:val="008B3710"/>
    <w:rsid w:val="008B39D4"/>
    <w:rsid w:val="008B3A4C"/>
    <w:rsid w:val="008B4387"/>
    <w:rsid w:val="008B5D3B"/>
    <w:rsid w:val="008B6089"/>
    <w:rsid w:val="008B644E"/>
    <w:rsid w:val="008B702B"/>
    <w:rsid w:val="008B79A6"/>
    <w:rsid w:val="008C06B4"/>
    <w:rsid w:val="008C0D22"/>
    <w:rsid w:val="008C262C"/>
    <w:rsid w:val="008C26A4"/>
    <w:rsid w:val="008C35D7"/>
    <w:rsid w:val="008C376D"/>
    <w:rsid w:val="008C3B8E"/>
    <w:rsid w:val="008C4AC0"/>
    <w:rsid w:val="008C52EE"/>
    <w:rsid w:val="008C604A"/>
    <w:rsid w:val="008D02B6"/>
    <w:rsid w:val="008D03D9"/>
    <w:rsid w:val="008D064A"/>
    <w:rsid w:val="008D67EE"/>
    <w:rsid w:val="008D68F5"/>
    <w:rsid w:val="008D74AF"/>
    <w:rsid w:val="008D7A0E"/>
    <w:rsid w:val="008E0906"/>
    <w:rsid w:val="008E2A23"/>
    <w:rsid w:val="008E2CEA"/>
    <w:rsid w:val="008E3C1B"/>
    <w:rsid w:val="008F0C9D"/>
    <w:rsid w:val="008F234D"/>
    <w:rsid w:val="008F3423"/>
    <w:rsid w:val="008F3CD8"/>
    <w:rsid w:val="008F6026"/>
    <w:rsid w:val="008F6046"/>
    <w:rsid w:val="008F65AE"/>
    <w:rsid w:val="008F69B2"/>
    <w:rsid w:val="00902A9D"/>
    <w:rsid w:val="0090382B"/>
    <w:rsid w:val="00903955"/>
    <w:rsid w:val="00904375"/>
    <w:rsid w:val="009049D9"/>
    <w:rsid w:val="00905359"/>
    <w:rsid w:val="00905950"/>
    <w:rsid w:val="00905CBD"/>
    <w:rsid w:val="0090610B"/>
    <w:rsid w:val="00906908"/>
    <w:rsid w:val="00907940"/>
    <w:rsid w:val="00907ADD"/>
    <w:rsid w:val="00907C9C"/>
    <w:rsid w:val="00907CA9"/>
    <w:rsid w:val="00907D4A"/>
    <w:rsid w:val="009101A9"/>
    <w:rsid w:val="00910929"/>
    <w:rsid w:val="0091104A"/>
    <w:rsid w:val="0091126F"/>
    <w:rsid w:val="00912039"/>
    <w:rsid w:val="00912354"/>
    <w:rsid w:val="00912E2C"/>
    <w:rsid w:val="00913AB5"/>
    <w:rsid w:val="00913FED"/>
    <w:rsid w:val="00914060"/>
    <w:rsid w:val="009150E5"/>
    <w:rsid w:val="0091562D"/>
    <w:rsid w:val="00916DBE"/>
    <w:rsid w:val="00917244"/>
    <w:rsid w:val="00917BB9"/>
    <w:rsid w:val="00922BB9"/>
    <w:rsid w:val="0092314C"/>
    <w:rsid w:val="0092432E"/>
    <w:rsid w:val="00924A4E"/>
    <w:rsid w:val="00926145"/>
    <w:rsid w:val="00926A38"/>
    <w:rsid w:val="00926A78"/>
    <w:rsid w:val="00927266"/>
    <w:rsid w:val="00927318"/>
    <w:rsid w:val="009273C4"/>
    <w:rsid w:val="00927830"/>
    <w:rsid w:val="00927FC3"/>
    <w:rsid w:val="0093005A"/>
    <w:rsid w:val="009304B5"/>
    <w:rsid w:val="00930D8D"/>
    <w:rsid w:val="00931844"/>
    <w:rsid w:val="00931E8B"/>
    <w:rsid w:val="00931EF8"/>
    <w:rsid w:val="00932144"/>
    <w:rsid w:val="00932C92"/>
    <w:rsid w:val="00932D2C"/>
    <w:rsid w:val="00933C8B"/>
    <w:rsid w:val="00934A2C"/>
    <w:rsid w:val="00934BE5"/>
    <w:rsid w:val="0093563B"/>
    <w:rsid w:val="00936685"/>
    <w:rsid w:val="00936DA3"/>
    <w:rsid w:val="00937298"/>
    <w:rsid w:val="009377DD"/>
    <w:rsid w:val="00937A04"/>
    <w:rsid w:val="009401D5"/>
    <w:rsid w:val="00940EBE"/>
    <w:rsid w:val="0094141C"/>
    <w:rsid w:val="009420ED"/>
    <w:rsid w:val="009430D0"/>
    <w:rsid w:val="009438BE"/>
    <w:rsid w:val="00943DEB"/>
    <w:rsid w:val="009469F6"/>
    <w:rsid w:val="0095093A"/>
    <w:rsid w:val="00950DAA"/>
    <w:rsid w:val="009515E9"/>
    <w:rsid w:val="00951D9B"/>
    <w:rsid w:val="00952DB0"/>
    <w:rsid w:val="00952FC8"/>
    <w:rsid w:val="009534A5"/>
    <w:rsid w:val="00954485"/>
    <w:rsid w:val="00954624"/>
    <w:rsid w:val="00954679"/>
    <w:rsid w:val="00954835"/>
    <w:rsid w:val="009549F2"/>
    <w:rsid w:val="00954F42"/>
    <w:rsid w:val="0095504A"/>
    <w:rsid w:val="00955723"/>
    <w:rsid w:val="0095727D"/>
    <w:rsid w:val="009603EC"/>
    <w:rsid w:val="00960AC9"/>
    <w:rsid w:val="00960FF4"/>
    <w:rsid w:val="00961B0E"/>
    <w:rsid w:val="00964DFF"/>
    <w:rsid w:val="009679D4"/>
    <w:rsid w:val="00967E36"/>
    <w:rsid w:val="009703B7"/>
    <w:rsid w:val="00970974"/>
    <w:rsid w:val="00970AEB"/>
    <w:rsid w:val="0097111B"/>
    <w:rsid w:val="00971C6E"/>
    <w:rsid w:val="00972210"/>
    <w:rsid w:val="009754D1"/>
    <w:rsid w:val="00975DAD"/>
    <w:rsid w:val="009768E6"/>
    <w:rsid w:val="00976D96"/>
    <w:rsid w:val="0097732F"/>
    <w:rsid w:val="00977E98"/>
    <w:rsid w:val="00977EB1"/>
    <w:rsid w:val="009803BE"/>
    <w:rsid w:val="0098196C"/>
    <w:rsid w:val="009836E0"/>
    <w:rsid w:val="009838E0"/>
    <w:rsid w:val="00983BDB"/>
    <w:rsid w:val="00983E29"/>
    <w:rsid w:val="00983E2A"/>
    <w:rsid w:val="00984412"/>
    <w:rsid w:val="00985760"/>
    <w:rsid w:val="00986AD6"/>
    <w:rsid w:val="00986D24"/>
    <w:rsid w:val="009877A9"/>
    <w:rsid w:val="0099006F"/>
    <w:rsid w:val="00990A89"/>
    <w:rsid w:val="00990C08"/>
    <w:rsid w:val="00990CF2"/>
    <w:rsid w:val="00991075"/>
    <w:rsid w:val="00991EEA"/>
    <w:rsid w:val="00991FFA"/>
    <w:rsid w:val="009951F2"/>
    <w:rsid w:val="00995322"/>
    <w:rsid w:val="0099569A"/>
    <w:rsid w:val="009959D6"/>
    <w:rsid w:val="00995F1D"/>
    <w:rsid w:val="00996997"/>
    <w:rsid w:val="00997A45"/>
    <w:rsid w:val="00997CE1"/>
    <w:rsid w:val="00997EBF"/>
    <w:rsid w:val="009A1038"/>
    <w:rsid w:val="009A193D"/>
    <w:rsid w:val="009A1B3C"/>
    <w:rsid w:val="009A410D"/>
    <w:rsid w:val="009A4739"/>
    <w:rsid w:val="009A4CF9"/>
    <w:rsid w:val="009A4E27"/>
    <w:rsid w:val="009A51D0"/>
    <w:rsid w:val="009A5B6E"/>
    <w:rsid w:val="009A5F36"/>
    <w:rsid w:val="009A608B"/>
    <w:rsid w:val="009A7F09"/>
    <w:rsid w:val="009B002A"/>
    <w:rsid w:val="009B0347"/>
    <w:rsid w:val="009B147B"/>
    <w:rsid w:val="009B1D1C"/>
    <w:rsid w:val="009B2F1D"/>
    <w:rsid w:val="009B30DA"/>
    <w:rsid w:val="009B393E"/>
    <w:rsid w:val="009B4659"/>
    <w:rsid w:val="009B4F71"/>
    <w:rsid w:val="009B4F7A"/>
    <w:rsid w:val="009B5DC2"/>
    <w:rsid w:val="009B6E7E"/>
    <w:rsid w:val="009B7DB2"/>
    <w:rsid w:val="009C05C7"/>
    <w:rsid w:val="009C0CFC"/>
    <w:rsid w:val="009C1692"/>
    <w:rsid w:val="009C3ABD"/>
    <w:rsid w:val="009C3E70"/>
    <w:rsid w:val="009C3F33"/>
    <w:rsid w:val="009C4FE3"/>
    <w:rsid w:val="009C63D1"/>
    <w:rsid w:val="009C6400"/>
    <w:rsid w:val="009D014A"/>
    <w:rsid w:val="009D176D"/>
    <w:rsid w:val="009D2189"/>
    <w:rsid w:val="009D615B"/>
    <w:rsid w:val="009D69EB"/>
    <w:rsid w:val="009D6FDC"/>
    <w:rsid w:val="009D747A"/>
    <w:rsid w:val="009E0D15"/>
    <w:rsid w:val="009E0FF2"/>
    <w:rsid w:val="009E2258"/>
    <w:rsid w:val="009E25DA"/>
    <w:rsid w:val="009E367E"/>
    <w:rsid w:val="009E466E"/>
    <w:rsid w:val="009E51F1"/>
    <w:rsid w:val="009E5258"/>
    <w:rsid w:val="009E5310"/>
    <w:rsid w:val="009E54F4"/>
    <w:rsid w:val="009E57FE"/>
    <w:rsid w:val="009E5B76"/>
    <w:rsid w:val="009E5FCE"/>
    <w:rsid w:val="009E60F8"/>
    <w:rsid w:val="009E6510"/>
    <w:rsid w:val="009E6BD2"/>
    <w:rsid w:val="009E6C0B"/>
    <w:rsid w:val="009E7C82"/>
    <w:rsid w:val="009E7DF5"/>
    <w:rsid w:val="009F03D2"/>
    <w:rsid w:val="009F06BC"/>
    <w:rsid w:val="009F07BE"/>
    <w:rsid w:val="009F2242"/>
    <w:rsid w:val="009F2B2D"/>
    <w:rsid w:val="009F30CE"/>
    <w:rsid w:val="009F40AD"/>
    <w:rsid w:val="009F58D5"/>
    <w:rsid w:val="009F6D13"/>
    <w:rsid w:val="00A0137B"/>
    <w:rsid w:val="00A01A78"/>
    <w:rsid w:val="00A023DE"/>
    <w:rsid w:val="00A02449"/>
    <w:rsid w:val="00A0347F"/>
    <w:rsid w:val="00A04C22"/>
    <w:rsid w:val="00A04EA2"/>
    <w:rsid w:val="00A052DF"/>
    <w:rsid w:val="00A05365"/>
    <w:rsid w:val="00A060F1"/>
    <w:rsid w:val="00A06BB9"/>
    <w:rsid w:val="00A06C4D"/>
    <w:rsid w:val="00A06FD3"/>
    <w:rsid w:val="00A1117D"/>
    <w:rsid w:val="00A13105"/>
    <w:rsid w:val="00A13649"/>
    <w:rsid w:val="00A142B6"/>
    <w:rsid w:val="00A161D0"/>
    <w:rsid w:val="00A1656D"/>
    <w:rsid w:val="00A16EA5"/>
    <w:rsid w:val="00A172EC"/>
    <w:rsid w:val="00A20340"/>
    <w:rsid w:val="00A21EBF"/>
    <w:rsid w:val="00A2231C"/>
    <w:rsid w:val="00A235B9"/>
    <w:rsid w:val="00A237EA"/>
    <w:rsid w:val="00A24700"/>
    <w:rsid w:val="00A2556B"/>
    <w:rsid w:val="00A25876"/>
    <w:rsid w:val="00A26F29"/>
    <w:rsid w:val="00A332A5"/>
    <w:rsid w:val="00A34778"/>
    <w:rsid w:val="00A35305"/>
    <w:rsid w:val="00A35900"/>
    <w:rsid w:val="00A36354"/>
    <w:rsid w:val="00A36BD8"/>
    <w:rsid w:val="00A375B6"/>
    <w:rsid w:val="00A4330E"/>
    <w:rsid w:val="00A434C6"/>
    <w:rsid w:val="00A43B41"/>
    <w:rsid w:val="00A4488E"/>
    <w:rsid w:val="00A44C15"/>
    <w:rsid w:val="00A44C8A"/>
    <w:rsid w:val="00A45FC6"/>
    <w:rsid w:val="00A4674D"/>
    <w:rsid w:val="00A479BF"/>
    <w:rsid w:val="00A47A16"/>
    <w:rsid w:val="00A50204"/>
    <w:rsid w:val="00A50FF5"/>
    <w:rsid w:val="00A510A4"/>
    <w:rsid w:val="00A512AF"/>
    <w:rsid w:val="00A5196C"/>
    <w:rsid w:val="00A537FE"/>
    <w:rsid w:val="00A54334"/>
    <w:rsid w:val="00A56995"/>
    <w:rsid w:val="00A56B61"/>
    <w:rsid w:val="00A57EBB"/>
    <w:rsid w:val="00A61753"/>
    <w:rsid w:val="00A62A87"/>
    <w:rsid w:val="00A62AC7"/>
    <w:rsid w:val="00A62C9A"/>
    <w:rsid w:val="00A64664"/>
    <w:rsid w:val="00A64C4D"/>
    <w:rsid w:val="00A65C52"/>
    <w:rsid w:val="00A66214"/>
    <w:rsid w:val="00A66C4C"/>
    <w:rsid w:val="00A708A9"/>
    <w:rsid w:val="00A70CDA"/>
    <w:rsid w:val="00A7124C"/>
    <w:rsid w:val="00A727CD"/>
    <w:rsid w:val="00A72D12"/>
    <w:rsid w:val="00A73BA5"/>
    <w:rsid w:val="00A73D47"/>
    <w:rsid w:val="00A74F26"/>
    <w:rsid w:val="00A75202"/>
    <w:rsid w:val="00A753B5"/>
    <w:rsid w:val="00A75A41"/>
    <w:rsid w:val="00A75D09"/>
    <w:rsid w:val="00A804CF"/>
    <w:rsid w:val="00A8311A"/>
    <w:rsid w:val="00A83438"/>
    <w:rsid w:val="00A84639"/>
    <w:rsid w:val="00A84780"/>
    <w:rsid w:val="00A851BA"/>
    <w:rsid w:val="00A857BD"/>
    <w:rsid w:val="00A85B02"/>
    <w:rsid w:val="00A87D12"/>
    <w:rsid w:val="00A90FF8"/>
    <w:rsid w:val="00A91945"/>
    <w:rsid w:val="00A92BD8"/>
    <w:rsid w:val="00A92FD6"/>
    <w:rsid w:val="00A9394E"/>
    <w:rsid w:val="00A9478B"/>
    <w:rsid w:val="00A954B9"/>
    <w:rsid w:val="00A9777A"/>
    <w:rsid w:val="00A97C92"/>
    <w:rsid w:val="00A97DBE"/>
    <w:rsid w:val="00AA04D9"/>
    <w:rsid w:val="00AA08A1"/>
    <w:rsid w:val="00AA1B67"/>
    <w:rsid w:val="00AA3A5A"/>
    <w:rsid w:val="00AA4136"/>
    <w:rsid w:val="00AA426F"/>
    <w:rsid w:val="00AA44BF"/>
    <w:rsid w:val="00AA7073"/>
    <w:rsid w:val="00AA79EB"/>
    <w:rsid w:val="00AB0AEF"/>
    <w:rsid w:val="00AB10D9"/>
    <w:rsid w:val="00AB12DF"/>
    <w:rsid w:val="00AB22E2"/>
    <w:rsid w:val="00AB2F7F"/>
    <w:rsid w:val="00AB3176"/>
    <w:rsid w:val="00AB33E7"/>
    <w:rsid w:val="00AB3817"/>
    <w:rsid w:val="00AB57FB"/>
    <w:rsid w:val="00AB68D7"/>
    <w:rsid w:val="00AB714E"/>
    <w:rsid w:val="00AB7C44"/>
    <w:rsid w:val="00AB7F6B"/>
    <w:rsid w:val="00AC1C81"/>
    <w:rsid w:val="00AC1FF9"/>
    <w:rsid w:val="00AC3598"/>
    <w:rsid w:val="00AC3B38"/>
    <w:rsid w:val="00AC49B1"/>
    <w:rsid w:val="00AC4D1E"/>
    <w:rsid w:val="00AC62AD"/>
    <w:rsid w:val="00AC6517"/>
    <w:rsid w:val="00AC720C"/>
    <w:rsid w:val="00AC765E"/>
    <w:rsid w:val="00AD0204"/>
    <w:rsid w:val="00AD04FE"/>
    <w:rsid w:val="00AD0715"/>
    <w:rsid w:val="00AD1E1A"/>
    <w:rsid w:val="00AD2EB0"/>
    <w:rsid w:val="00AD31FD"/>
    <w:rsid w:val="00AD34E4"/>
    <w:rsid w:val="00AD3A7C"/>
    <w:rsid w:val="00AD4789"/>
    <w:rsid w:val="00AD5351"/>
    <w:rsid w:val="00AD699C"/>
    <w:rsid w:val="00AD71A3"/>
    <w:rsid w:val="00AD75C6"/>
    <w:rsid w:val="00AE0238"/>
    <w:rsid w:val="00AE05AB"/>
    <w:rsid w:val="00AE1D12"/>
    <w:rsid w:val="00AE1EE3"/>
    <w:rsid w:val="00AE1F54"/>
    <w:rsid w:val="00AE252C"/>
    <w:rsid w:val="00AE488F"/>
    <w:rsid w:val="00AE691A"/>
    <w:rsid w:val="00AE76A9"/>
    <w:rsid w:val="00AE7710"/>
    <w:rsid w:val="00AE7952"/>
    <w:rsid w:val="00AF1416"/>
    <w:rsid w:val="00AF1DEC"/>
    <w:rsid w:val="00AF2284"/>
    <w:rsid w:val="00AF2CC0"/>
    <w:rsid w:val="00AF2FB4"/>
    <w:rsid w:val="00AF3E13"/>
    <w:rsid w:val="00AF4602"/>
    <w:rsid w:val="00AF55FC"/>
    <w:rsid w:val="00AF6EFD"/>
    <w:rsid w:val="00AF7173"/>
    <w:rsid w:val="00AF73E1"/>
    <w:rsid w:val="00AF7BB5"/>
    <w:rsid w:val="00AF7ED7"/>
    <w:rsid w:val="00B00ADC"/>
    <w:rsid w:val="00B01944"/>
    <w:rsid w:val="00B0511A"/>
    <w:rsid w:val="00B05294"/>
    <w:rsid w:val="00B056B0"/>
    <w:rsid w:val="00B073CC"/>
    <w:rsid w:val="00B078D2"/>
    <w:rsid w:val="00B10461"/>
    <w:rsid w:val="00B11627"/>
    <w:rsid w:val="00B118B1"/>
    <w:rsid w:val="00B126BB"/>
    <w:rsid w:val="00B12F7B"/>
    <w:rsid w:val="00B130E9"/>
    <w:rsid w:val="00B134CF"/>
    <w:rsid w:val="00B13A40"/>
    <w:rsid w:val="00B14FE3"/>
    <w:rsid w:val="00B152E4"/>
    <w:rsid w:val="00B15ED3"/>
    <w:rsid w:val="00B16A11"/>
    <w:rsid w:val="00B1729F"/>
    <w:rsid w:val="00B1754F"/>
    <w:rsid w:val="00B21D53"/>
    <w:rsid w:val="00B224F0"/>
    <w:rsid w:val="00B22CAA"/>
    <w:rsid w:val="00B230B6"/>
    <w:rsid w:val="00B2452C"/>
    <w:rsid w:val="00B24628"/>
    <w:rsid w:val="00B25D6A"/>
    <w:rsid w:val="00B26C06"/>
    <w:rsid w:val="00B271F5"/>
    <w:rsid w:val="00B30D6E"/>
    <w:rsid w:val="00B30DE6"/>
    <w:rsid w:val="00B3186F"/>
    <w:rsid w:val="00B31BCE"/>
    <w:rsid w:val="00B3259C"/>
    <w:rsid w:val="00B32AA4"/>
    <w:rsid w:val="00B34440"/>
    <w:rsid w:val="00B34A8C"/>
    <w:rsid w:val="00B3539C"/>
    <w:rsid w:val="00B3558E"/>
    <w:rsid w:val="00B3654B"/>
    <w:rsid w:val="00B37809"/>
    <w:rsid w:val="00B41650"/>
    <w:rsid w:val="00B44447"/>
    <w:rsid w:val="00B44E35"/>
    <w:rsid w:val="00B44F54"/>
    <w:rsid w:val="00B4592B"/>
    <w:rsid w:val="00B45AB4"/>
    <w:rsid w:val="00B45DFC"/>
    <w:rsid w:val="00B468EE"/>
    <w:rsid w:val="00B46ACA"/>
    <w:rsid w:val="00B47113"/>
    <w:rsid w:val="00B47326"/>
    <w:rsid w:val="00B50978"/>
    <w:rsid w:val="00B512BA"/>
    <w:rsid w:val="00B51DE7"/>
    <w:rsid w:val="00B52222"/>
    <w:rsid w:val="00B527BF"/>
    <w:rsid w:val="00B529B8"/>
    <w:rsid w:val="00B5300D"/>
    <w:rsid w:val="00B53E4D"/>
    <w:rsid w:val="00B53EB0"/>
    <w:rsid w:val="00B541FA"/>
    <w:rsid w:val="00B5490B"/>
    <w:rsid w:val="00B56098"/>
    <w:rsid w:val="00B56BE2"/>
    <w:rsid w:val="00B5726D"/>
    <w:rsid w:val="00B611C8"/>
    <w:rsid w:val="00B61370"/>
    <w:rsid w:val="00B61CA9"/>
    <w:rsid w:val="00B622B0"/>
    <w:rsid w:val="00B6234B"/>
    <w:rsid w:val="00B62B95"/>
    <w:rsid w:val="00B64D88"/>
    <w:rsid w:val="00B64EFA"/>
    <w:rsid w:val="00B66392"/>
    <w:rsid w:val="00B66B9E"/>
    <w:rsid w:val="00B66E4E"/>
    <w:rsid w:val="00B67876"/>
    <w:rsid w:val="00B67AEC"/>
    <w:rsid w:val="00B70152"/>
    <w:rsid w:val="00B70CFE"/>
    <w:rsid w:val="00B712AF"/>
    <w:rsid w:val="00B71E75"/>
    <w:rsid w:val="00B7237A"/>
    <w:rsid w:val="00B72CDB"/>
    <w:rsid w:val="00B7417C"/>
    <w:rsid w:val="00B742AE"/>
    <w:rsid w:val="00B7556F"/>
    <w:rsid w:val="00B75A44"/>
    <w:rsid w:val="00B80B00"/>
    <w:rsid w:val="00B85A2B"/>
    <w:rsid w:val="00B87B95"/>
    <w:rsid w:val="00B9061C"/>
    <w:rsid w:val="00B90D1F"/>
    <w:rsid w:val="00B91205"/>
    <w:rsid w:val="00B918EC"/>
    <w:rsid w:val="00B9206D"/>
    <w:rsid w:val="00B925F6"/>
    <w:rsid w:val="00B92F3F"/>
    <w:rsid w:val="00B946B8"/>
    <w:rsid w:val="00B94E6E"/>
    <w:rsid w:val="00B94EF2"/>
    <w:rsid w:val="00B95514"/>
    <w:rsid w:val="00B9618C"/>
    <w:rsid w:val="00B96341"/>
    <w:rsid w:val="00BA11E3"/>
    <w:rsid w:val="00BA203B"/>
    <w:rsid w:val="00BA20C7"/>
    <w:rsid w:val="00BA2201"/>
    <w:rsid w:val="00BA23FF"/>
    <w:rsid w:val="00BA2A4A"/>
    <w:rsid w:val="00BA2B50"/>
    <w:rsid w:val="00BA2DFD"/>
    <w:rsid w:val="00BA4A47"/>
    <w:rsid w:val="00BA557B"/>
    <w:rsid w:val="00BA5F5C"/>
    <w:rsid w:val="00BB00B9"/>
    <w:rsid w:val="00BB060B"/>
    <w:rsid w:val="00BB114C"/>
    <w:rsid w:val="00BB1709"/>
    <w:rsid w:val="00BB2F96"/>
    <w:rsid w:val="00BB360D"/>
    <w:rsid w:val="00BB68A1"/>
    <w:rsid w:val="00BB756A"/>
    <w:rsid w:val="00BC019E"/>
    <w:rsid w:val="00BC09AA"/>
    <w:rsid w:val="00BC2C85"/>
    <w:rsid w:val="00BC523E"/>
    <w:rsid w:val="00BC640C"/>
    <w:rsid w:val="00BD0434"/>
    <w:rsid w:val="00BD0474"/>
    <w:rsid w:val="00BD04E7"/>
    <w:rsid w:val="00BD0B1E"/>
    <w:rsid w:val="00BD14B5"/>
    <w:rsid w:val="00BD24D8"/>
    <w:rsid w:val="00BD308D"/>
    <w:rsid w:val="00BD30C0"/>
    <w:rsid w:val="00BD3CA6"/>
    <w:rsid w:val="00BD4DB4"/>
    <w:rsid w:val="00BD4EE4"/>
    <w:rsid w:val="00BD56EE"/>
    <w:rsid w:val="00BD58DD"/>
    <w:rsid w:val="00BD656B"/>
    <w:rsid w:val="00BD6BEB"/>
    <w:rsid w:val="00BD6FE9"/>
    <w:rsid w:val="00BD7600"/>
    <w:rsid w:val="00BD777A"/>
    <w:rsid w:val="00BD7A1D"/>
    <w:rsid w:val="00BE0287"/>
    <w:rsid w:val="00BE0ACF"/>
    <w:rsid w:val="00BE2DF8"/>
    <w:rsid w:val="00BE32AD"/>
    <w:rsid w:val="00BE37E4"/>
    <w:rsid w:val="00BE4470"/>
    <w:rsid w:val="00BE58F7"/>
    <w:rsid w:val="00BE631E"/>
    <w:rsid w:val="00BE6CEB"/>
    <w:rsid w:val="00BE6FCE"/>
    <w:rsid w:val="00BF03A4"/>
    <w:rsid w:val="00BF08C6"/>
    <w:rsid w:val="00BF0BA3"/>
    <w:rsid w:val="00BF17C1"/>
    <w:rsid w:val="00BF2A28"/>
    <w:rsid w:val="00BF3832"/>
    <w:rsid w:val="00BF3CD7"/>
    <w:rsid w:val="00BF4F38"/>
    <w:rsid w:val="00BF73E1"/>
    <w:rsid w:val="00BF748A"/>
    <w:rsid w:val="00C0098B"/>
    <w:rsid w:val="00C01724"/>
    <w:rsid w:val="00C01994"/>
    <w:rsid w:val="00C01E93"/>
    <w:rsid w:val="00C03133"/>
    <w:rsid w:val="00C03639"/>
    <w:rsid w:val="00C04B46"/>
    <w:rsid w:val="00C04F80"/>
    <w:rsid w:val="00C055B6"/>
    <w:rsid w:val="00C06AD5"/>
    <w:rsid w:val="00C0762F"/>
    <w:rsid w:val="00C077F2"/>
    <w:rsid w:val="00C11BB7"/>
    <w:rsid w:val="00C11F1E"/>
    <w:rsid w:val="00C121B1"/>
    <w:rsid w:val="00C13649"/>
    <w:rsid w:val="00C1521E"/>
    <w:rsid w:val="00C16135"/>
    <w:rsid w:val="00C161FA"/>
    <w:rsid w:val="00C1656D"/>
    <w:rsid w:val="00C17286"/>
    <w:rsid w:val="00C17835"/>
    <w:rsid w:val="00C2061A"/>
    <w:rsid w:val="00C2149F"/>
    <w:rsid w:val="00C21DC9"/>
    <w:rsid w:val="00C21F03"/>
    <w:rsid w:val="00C226C0"/>
    <w:rsid w:val="00C228F1"/>
    <w:rsid w:val="00C23B84"/>
    <w:rsid w:val="00C24713"/>
    <w:rsid w:val="00C24B99"/>
    <w:rsid w:val="00C2535B"/>
    <w:rsid w:val="00C2745C"/>
    <w:rsid w:val="00C3142E"/>
    <w:rsid w:val="00C321D7"/>
    <w:rsid w:val="00C32A7B"/>
    <w:rsid w:val="00C33FDD"/>
    <w:rsid w:val="00C34427"/>
    <w:rsid w:val="00C35D52"/>
    <w:rsid w:val="00C367E3"/>
    <w:rsid w:val="00C37262"/>
    <w:rsid w:val="00C402AE"/>
    <w:rsid w:val="00C409B9"/>
    <w:rsid w:val="00C421E8"/>
    <w:rsid w:val="00C4245F"/>
    <w:rsid w:val="00C43300"/>
    <w:rsid w:val="00C43654"/>
    <w:rsid w:val="00C43AD7"/>
    <w:rsid w:val="00C44863"/>
    <w:rsid w:val="00C4514C"/>
    <w:rsid w:val="00C46E04"/>
    <w:rsid w:val="00C472A8"/>
    <w:rsid w:val="00C4733D"/>
    <w:rsid w:val="00C47902"/>
    <w:rsid w:val="00C50765"/>
    <w:rsid w:val="00C50A01"/>
    <w:rsid w:val="00C51195"/>
    <w:rsid w:val="00C52235"/>
    <w:rsid w:val="00C526A3"/>
    <w:rsid w:val="00C53496"/>
    <w:rsid w:val="00C53DB1"/>
    <w:rsid w:val="00C54C6A"/>
    <w:rsid w:val="00C555D5"/>
    <w:rsid w:val="00C56782"/>
    <w:rsid w:val="00C56859"/>
    <w:rsid w:val="00C57049"/>
    <w:rsid w:val="00C62DF8"/>
    <w:rsid w:val="00C63434"/>
    <w:rsid w:val="00C64255"/>
    <w:rsid w:val="00C6431D"/>
    <w:rsid w:val="00C645F7"/>
    <w:rsid w:val="00C64C9C"/>
    <w:rsid w:val="00C668EF"/>
    <w:rsid w:val="00C66AE9"/>
    <w:rsid w:val="00C670BD"/>
    <w:rsid w:val="00C67D1D"/>
    <w:rsid w:val="00C70511"/>
    <w:rsid w:val="00C7108E"/>
    <w:rsid w:val="00C7171D"/>
    <w:rsid w:val="00C723F3"/>
    <w:rsid w:val="00C7272A"/>
    <w:rsid w:val="00C733BC"/>
    <w:rsid w:val="00C7435D"/>
    <w:rsid w:val="00C75659"/>
    <w:rsid w:val="00C7621F"/>
    <w:rsid w:val="00C778FD"/>
    <w:rsid w:val="00C82082"/>
    <w:rsid w:val="00C85C0D"/>
    <w:rsid w:val="00C86B35"/>
    <w:rsid w:val="00C87746"/>
    <w:rsid w:val="00C87BE8"/>
    <w:rsid w:val="00C87FEA"/>
    <w:rsid w:val="00C91692"/>
    <w:rsid w:val="00C918BF"/>
    <w:rsid w:val="00C93029"/>
    <w:rsid w:val="00C93C1B"/>
    <w:rsid w:val="00C94A6D"/>
    <w:rsid w:val="00C94E32"/>
    <w:rsid w:val="00C951F4"/>
    <w:rsid w:val="00C96B47"/>
    <w:rsid w:val="00C96BB4"/>
    <w:rsid w:val="00C96E92"/>
    <w:rsid w:val="00CA1F87"/>
    <w:rsid w:val="00CA25F4"/>
    <w:rsid w:val="00CA2A94"/>
    <w:rsid w:val="00CA3211"/>
    <w:rsid w:val="00CA40E3"/>
    <w:rsid w:val="00CA4D5C"/>
    <w:rsid w:val="00CA6597"/>
    <w:rsid w:val="00CB0639"/>
    <w:rsid w:val="00CB192C"/>
    <w:rsid w:val="00CB201F"/>
    <w:rsid w:val="00CB2C07"/>
    <w:rsid w:val="00CB2E64"/>
    <w:rsid w:val="00CB2F4E"/>
    <w:rsid w:val="00CB337A"/>
    <w:rsid w:val="00CB4173"/>
    <w:rsid w:val="00CB5390"/>
    <w:rsid w:val="00CB564B"/>
    <w:rsid w:val="00CB5A47"/>
    <w:rsid w:val="00CC10CB"/>
    <w:rsid w:val="00CC2B29"/>
    <w:rsid w:val="00CC30DD"/>
    <w:rsid w:val="00CC36F4"/>
    <w:rsid w:val="00CC43E3"/>
    <w:rsid w:val="00CC4999"/>
    <w:rsid w:val="00CC532C"/>
    <w:rsid w:val="00CC6350"/>
    <w:rsid w:val="00CC64A1"/>
    <w:rsid w:val="00CC68B3"/>
    <w:rsid w:val="00CC70C2"/>
    <w:rsid w:val="00CC7713"/>
    <w:rsid w:val="00CC7B07"/>
    <w:rsid w:val="00CD2423"/>
    <w:rsid w:val="00CD4C21"/>
    <w:rsid w:val="00CD6264"/>
    <w:rsid w:val="00CD689E"/>
    <w:rsid w:val="00CD7A4D"/>
    <w:rsid w:val="00CE017B"/>
    <w:rsid w:val="00CE1098"/>
    <w:rsid w:val="00CE13AA"/>
    <w:rsid w:val="00CE1574"/>
    <w:rsid w:val="00CE2F20"/>
    <w:rsid w:val="00CE33FD"/>
    <w:rsid w:val="00CE36AE"/>
    <w:rsid w:val="00CE4916"/>
    <w:rsid w:val="00CE6054"/>
    <w:rsid w:val="00CE6677"/>
    <w:rsid w:val="00CE694E"/>
    <w:rsid w:val="00CE7358"/>
    <w:rsid w:val="00CF0C27"/>
    <w:rsid w:val="00CF0FCC"/>
    <w:rsid w:val="00CF204F"/>
    <w:rsid w:val="00CF27C3"/>
    <w:rsid w:val="00CF3CDF"/>
    <w:rsid w:val="00CF4347"/>
    <w:rsid w:val="00CF5695"/>
    <w:rsid w:val="00CF58E8"/>
    <w:rsid w:val="00CF5CB0"/>
    <w:rsid w:val="00CF6F7B"/>
    <w:rsid w:val="00CF75DE"/>
    <w:rsid w:val="00CF7E19"/>
    <w:rsid w:val="00D001CD"/>
    <w:rsid w:val="00D00473"/>
    <w:rsid w:val="00D01218"/>
    <w:rsid w:val="00D01840"/>
    <w:rsid w:val="00D01A46"/>
    <w:rsid w:val="00D02945"/>
    <w:rsid w:val="00D0792B"/>
    <w:rsid w:val="00D11D0C"/>
    <w:rsid w:val="00D12214"/>
    <w:rsid w:val="00D1288F"/>
    <w:rsid w:val="00D129B4"/>
    <w:rsid w:val="00D14FC5"/>
    <w:rsid w:val="00D15897"/>
    <w:rsid w:val="00D159FE"/>
    <w:rsid w:val="00D15D88"/>
    <w:rsid w:val="00D173E9"/>
    <w:rsid w:val="00D17602"/>
    <w:rsid w:val="00D179B4"/>
    <w:rsid w:val="00D17B7B"/>
    <w:rsid w:val="00D20A9C"/>
    <w:rsid w:val="00D21257"/>
    <w:rsid w:val="00D214A7"/>
    <w:rsid w:val="00D21E84"/>
    <w:rsid w:val="00D21F58"/>
    <w:rsid w:val="00D22855"/>
    <w:rsid w:val="00D236C5"/>
    <w:rsid w:val="00D23947"/>
    <w:rsid w:val="00D239EA"/>
    <w:rsid w:val="00D2440F"/>
    <w:rsid w:val="00D2497D"/>
    <w:rsid w:val="00D24B8D"/>
    <w:rsid w:val="00D259B2"/>
    <w:rsid w:val="00D26C27"/>
    <w:rsid w:val="00D3012D"/>
    <w:rsid w:val="00D3115F"/>
    <w:rsid w:val="00D318CE"/>
    <w:rsid w:val="00D32651"/>
    <w:rsid w:val="00D328BA"/>
    <w:rsid w:val="00D32C27"/>
    <w:rsid w:val="00D34A1D"/>
    <w:rsid w:val="00D34AC9"/>
    <w:rsid w:val="00D36385"/>
    <w:rsid w:val="00D366AD"/>
    <w:rsid w:val="00D36BE4"/>
    <w:rsid w:val="00D374D6"/>
    <w:rsid w:val="00D37593"/>
    <w:rsid w:val="00D400B4"/>
    <w:rsid w:val="00D405D3"/>
    <w:rsid w:val="00D41D1C"/>
    <w:rsid w:val="00D4437E"/>
    <w:rsid w:val="00D4735E"/>
    <w:rsid w:val="00D475E7"/>
    <w:rsid w:val="00D47CE1"/>
    <w:rsid w:val="00D47DFD"/>
    <w:rsid w:val="00D5010D"/>
    <w:rsid w:val="00D510C6"/>
    <w:rsid w:val="00D52BA1"/>
    <w:rsid w:val="00D53788"/>
    <w:rsid w:val="00D54C77"/>
    <w:rsid w:val="00D5564F"/>
    <w:rsid w:val="00D55D76"/>
    <w:rsid w:val="00D567F2"/>
    <w:rsid w:val="00D57548"/>
    <w:rsid w:val="00D57D69"/>
    <w:rsid w:val="00D601C2"/>
    <w:rsid w:val="00D60203"/>
    <w:rsid w:val="00D640C6"/>
    <w:rsid w:val="00D64B0D"/>
    <w:rsid w:val="00D65737"/>
    <w:rsid w:val="00D65A14"/>
    <w:rsid w:val="00D66A45"/>
    <w:rsid w:val="00D67299"/>
    <w:rsid w:val="00D672DE"/>
    <w:rsid w:val="00D702F1"/>
    <w:rsid w:val="00D70F4D"/>
    <w:rsid w:val="00D7444D"/>
    <w:rsid w:val="00D7467B"/>
    <w:rsid w:val="00D80020"/>
    <w:rsid w:val="00D805A1"/>
    <w:rsid w:val="00D808B5"/>
    <w:rsid w:val="00D84606"/>
    <w:rsid w:val="00D84D51"/>
    <w:rsid w:val="00D8543F"/>
    <w:rsid w:val="00D85788"/>
    <w:rsid w:val="00D86422"/>
    <w:rsid w:val="00D86634"/>
    <w:rsid w:val="00D86868"/>
    <w:rsid w:val="00D87218"/>
    <w:rsid w:val="00D8740B"/>
    <w:rsid w:val="00D877E4"/>
    <w:rsid w:val="00D879F8"/>
    <w:rsid w:val="00D87F0B"/>
    <w:rsid w:val="00D90674"/>
    <w:rsid w:val="00D907C0"/>
    <w:rsid w:val="00D90D1C"/>
    <w:rsid w:val="00D918F7"/>
    <w:rsid w:val="00D91B17"/>
    <w:rsid w:val="00D92999"/>
    <w:rsid w:val="00D94F20"/>
    <w:rsid w:val="00D951E0"/>
    <w:rsid w:val="00D95F5E"/>
    <w:rsid w:val="00DA03CE"/>
    <w:rsid w:val="00DA155C"/>
    <w:rsid w:val="00DA1D1D"/>
    <w:rsid w:val="00DA2B18"/>
    <w:rsid w:val="00DA2BE7"/>
    <w:rsid w:val="00DA333A"/>
    <w:rsid w:val="00DA3C39"/>
    <w:rsid w:val="00DA489E"/>
    <w:rsid w:val="00DA4A76"/>
    <w:rsid w:val="00DA5154"/>
    <w:rsid w:val="00DA53CA"/>
    <w:rsid w:val="00DA6006"/>
    <w:rsid w:val="00DA6E22"/>
    <w:rsid w:val="00DA7835"/>
    <w:rsid w:val="00DB01CA"/>
    <w:rsid w:val="00DB3C86"/>
    <w:rsid w:val="00DB441F"/>
    <w:rsid w:val="00DB47D4"/>
    <w:rsid w:val="00DB49F9"/>
    <w:rsid w:val="00DB52FB"/>
    <w:rsid w:val="00DB58C3"/>
    <w:rsid w:val="00DB596C"/>
    <w:rsid w:val="00DB6E24"/>
    <w:rsid w:val="00DB6EF8"/>
    <w:rsid w:val="00DB7A25"/>
    <w:rsid w:val="00DC0C48"/>
    <w:rsid w:val="00DC0CE0"/>
    <w:rsid w:val="00DC0DAA"/>
    <w:rsid w:val="00DC2146"/>
    <w:rsid w:val="00DC2F62"/>
    <w:rsid w:val="00DC3522"/>
    <w:rsid w:val="00DC35FD"/>
    <w:rsid w:val="00DC3AD7"/>
    <w:rsid w:val="00DC44BB"/>
    <w:rsid w:val="00DC4786"/>
    <w:rsid w:val="00DC4954"/>
    <w:rsid w:val="00DC5D8A"/>
    <w:rsid w:val="00DC6B1E"/>
    <w:rsid w:val="00DC7CB5"/>
    <w:rsid w:val="00DD0B1C"/>
    <w:rsid w:val="00DD106D"/>
    <w:rsid w:val="00DD1195"/>
    <w:rsid w:val="00DD17B1"/>
    <w:rsid w:val="00DD18DA"/>
    <w:rsid w:val="00DD319E"/>
    <w:rsid w:val="00DD3822"/>
    <w:rsid w:val="00DD47C8"/>
    <w:rsid w:val="00DD5B72"/>
    <w:rsid w:val="00DD6D7D"/>
    <w:rsid w:val="00DD7788"/>
    <w:rsid w:val="00DE0272"/>
    <w:rsid w:val="00DE0CDA"/>
    <w:rsid w:val="00DE0E9B"/>
    <w:rsid w:val="00DE126E"/>
    <w:rsid w:val="00DE1CA3"/>
    <w:rsid w:val="00DE30F1"/>
    <w:rsid w:val="00DE3453"/>
    <w:rsid w:val="00DE3D73"/>
    <w:rsid w:val="00DE71D8"/>
    <w:rsid w:val="00DF0380"/>
    <w:rsid w:val="00DF124D"/>
    <w:rsid w:val="00DF1B68"/>
    <w:rsid w:val="00DF1DDC"/>
    <w:rsid w:val="00DF1F8B"/>
    <w:rsid w:val="00DF2B1D"/>
    <w:rsid w:val="00DF3E98"/>
    <w:rsid w:val="00DF48C6"/>
    <w:rsid w:val="00DF4AC3"/>
    <w:rsid w:val="00DF552E"/>
    <w:rsid w:val="00DF5DA8"/>
    <w:rsid w:val="00DF62C7"/>
    <w:rsid w:val="00DF63D9"/>
    <w:rsid w:val="00DF7CEE"/>
    <w:rsid w:val="00E00761"/>
    <w:rsid w:val="00E00E62"/>
    <w:rsid w:val="00E019A2"/>
    <w:rsid w:val="00E01A23"/>
    <w:rsid w:val="00E01ABF"/>
    <w:rsid w:val="00E021DD"/>
    <w:rsid w:val="00E03166"/>
    <w:rsid w:val="00E03E53"/>
    <w:rsid w:val="00E06627"/>
    <w:rsid w:val="00E071EA"/>
    <w:rsid w:val="00E10104"/>
    <w:rsid w:val="00E1111D"/>
    <w:rsid w:val="00E125CE"/>
    <w:rsid w:val="00E12902"/>
    <w:rsid w:val="00E200D8"/>
    <w:rsid w:val="00E209AD"/>
    <w:rsid w:val="00E223EF"/>
    <w:rsid w:val="00E229D6"/>
    <w:rsid w:val="00E23E93"/>
    <w:rsid w:val="00E24611"/>
    <w:rsid w:val="00E25515"/>
    <w:rsid w:val="00E267A7"/>
    <w:rsid w:val="00E26A70"/>
    <w:rsid w:val="00E2762D"/>
    <w:rsid w:val="00E27A9B"/>
    <w:rsid w:val="00E27F53"/>
    <w:rsid w:val="00E3046B"/>
    <w:rsid w:val="00E30977"/>
    <w:rsid w:val="00E30CDC"/>
    <w:rsid w:val="00E316D6"/>
    <w:rsid w:val="00E31A3A"/>
    <w:rsid w:val="00E3230C"/>
    <w:rsid w:val="00E32AC9"/>
    <w:rsid w:val="00E32C73"/>
    <w:rsid w:val="00E33CF8"/>
    <w:rsid w:val="00E353C7"/>
    <w:rsid w:val="00E358A4"/>
    <w:rsid w:val="00E35D49"/>
    <w:rsid w:val="00E366ED"/>
    <w:rsid w:val="00E36B26"/>
    <w:rsid w:val="00E36C0D"/>
    <w:rsid w:val="00E3712E"/>
    <w:rsid w:val="00E4092E"/>
    <w:rsid w:val="00E40B64"/>
    <w:rsid w:val="00E40EAF"/>
    <w:rsid w:val="00E40FC6"/>
    <w:rsid w:val="00E415C0"/>
    <w:rsid w:val="00E41A92"/>
    <w:rsid w:val="00E41A93"/>
    <w:rsid w:val="00E42129"/>
    <w:rsid w:val="00E432B3"/>
    <w:rsid w:val="00E43510"/>
    <w:rsid w:val="00E43927"/>
    <w:rsid w:val="00E46325"/>
    <w:rsid w:val="00E46515"/>
    <w:rsid w:val="00E4651C"/>
    <w:rsid w:val="00E46D8D"/>
    <w:rsid w:val="00E47CA3"/>
    <w:rsid w:val="00E51E49"/>
    <w:rsid w:val="00E525AB"/>
    <w:rsid w:val="00E526A0"/>
    <w:rsid w:val="00E52C51"/>
    <w:rsid w:val="00E53792"/>
    <w:rsid w:val="00E545E6"/>
    <w:rsid w:val="00E5549F"/>
    <w:rsid w:val="00E57167"/>
    <w:rsid w:val="00E57C6A"/>
    <w:rsid w:val="00E604CD"/>
    <w:rsid w:val="00E60785"/>
    <w:rsid w:val="00E638F4"/>
    <w:rsid w:val="00E63AD5"/>
    <w:rsid w:val="00E65A08"/>
    <w:rsid w:val="00E65C0F"/>
    <w:rsid w:val="00E65C50"/>
    <w:rsid w:val="00E66051"/>
    <w:rsid w:val="00E66BD0"/>
    <w:rsid w:val="00E70B68"/>
    <w:rsid w:val="00E70C9F"/>
    <w:rsid w:val="00E711D4"/>
    <w:rsid w:val="00E71A75"/>
    <w:rsid w:val="00E72EDB"/>
    <w:rsid w:val="00E737FD"/>
    <w:rsid w:val="00E739E8"/>
    <w:rsid w:val="00E74DC0"/>
    <w:rsid w:val="00E7588C"/>
    <w:rsid w:val="00E76625"/>
    <w:rsid w:val="00E76653"/>
    <w:rsid w:val="00E816FE"/>
    <w:rsid w:val="00E823EE"/>
    <w:rsid w:val="00E82A60"/>
    <w:rsid w:val="00E851E1"/>
    <w:rsid w:val="00E85D06"/>
    <w:rsid w:val="00E87860"/>
    <w:rsid w:val="00E87FE2"/>
    <w:rsid w:val="00E90287"/>
    <w:rsid w:val="00E91826"/>
    <w:rsid w:val="00E91AB5"/>
    <w:rsid w:val="00E91E5E"/>
    <w:rsid w:val="00E924B1"/>
    <w:rsid w:val="00E96980"/>
    <w:rsid w:val="00E96B10"/>
    <w:rsid w:val="00E97591"/>
    <w:rsid w:val="00E97C33"/>
    <w:rsid w:val="00E97FF9"/>
    <w:rsid w:val="00EA0F4B"/>
    <w:rsid w:val="00EA175C"/>
    <w:rsid w:val="00EA24C7"/>
    <w:rsid w:val="00EA2566"/>
    <w:rsid w:val="00EA289E"/>
    <w:rsid w:val="00EA2B7E"/>
    <w:rsid w:val="00EA2DDE"/>
    <w:rsid w:val="00EA3C1B"/>
    <w:rsid w:val="00EA69F5"/>
    <w:rsid w:val="00EA6C05"/>
    <w:rsid w:val="00EB035C"/>
    <w:rsid w:val="00EB14CB"/>
    <w:rsid w:val="00EB243B"/>
    <w:rsid w:val="00EB24B3"/>
    <w:rsid w:val="00EB2580"/>
    <w:rsid w:val="00EB2E32"/>
    <w:rsid w:val="00EB4161"/>
    <w:rsid w:val="00EB4200"/>
    <w:rsid w:val="00EB483B"/>
    <w:rsid w:val="00EB48D3"/>
    <w:rsid w:val="00EB4B95"/>
    <w:rsid w:val="00EB7688"/>
    <w:rsid w:val="00EB794A"/>
    <w:rsid w:val="00EB7AEA"/>
    <w:rsid w:val="00EC0508"/>
    <w:rsid w:val="00EC07B8"/>
    <w:rsid w:val="00EC08DD"/>
    <w:rsid w:val="00EC1A18"/>
    <w:rsid w:val="00EC1CE5"/>
    <w:rsid w:val="00EC2514"/>
    <w:rsid w:val="00EC27A8"/>
    <w:rsid w:val="00EC2B07"/>
    <w:rsid w:val="00EC3A3D"/>
    <w:rsid w:val="00EC427A"/>
    <w:rsid w:val="00EC439D"/>
    <w:rsid w:val="00EC43FE"/>
    <w:rsid w:val="00EC456E"/>
    <w:rsid w:val="00EC4B7B"/>
    <w:rsid w:val="00EC5698"/>
    <w:rsid w:val="00ED066A"/>
    <w:rsid w:val="00ED0B6B"/>
    <w:rsid w:val="00ED108D"/>
    <w:rsid w:val="00ED30DB"/>
    <w:rsid w:val="00ED3481"/>
    <w:rsid w:val="00ED605D"/>
    <w:rsid w:val="00ED74C8"/>
    <w:rsid w:val="00ED7912"/>
    <w:rsid w:val="00EE01E1"/>
    <w:rsid w:val="00EE0265"/>
    <w:rsid w:val="00EE1380"/>
    <w:rsid w:val="00EE5B3B"/>
    <w:rsid w:val="00EE6007"/>
    <w:rsid w:val="00EE6ED2"/>
    <w:rsid w:val="00EF1195"/>
    <w:rsid w:val="00EF206E"/>
    <w:rsid w:val="00EF2919"/>
    <w:rsid w:val="00EF3F7F"/>
    <w:rsid w:val="00EF457B"/>
    <w:rsid w:val="00EF4CF8"/>
    <w:rsid w:val="00EF5336"/>
    <w:rsid w:val="00EF682D"/>
    <w:rsid w:val="00EF7EAB"/>
    <w:rsid w:val="00F02AAA"/>
    <w:rsid w:val="00F03CF1"/>
    <w:rsid w:val="00F060EB"/>
    <w:rsid w:val="00F06106"/>
    <w:rsid w:val="00F071CB"/>
    <w:rsid w:val="00F11598"/>
    <w:rsid w:val="00F119BD"/>
    <w:rsid w:val="00F11A38"/>
    <w:rsid w:val="00F123E6"/>
    <w:rsid w:val="00F13507"/>
    <w:rsid w:val="00F13CBB"/>
    <w:rsid w:val="00F146BE"/>
    <w:rsid w:val="00F156BA"/>
    <w:rsid w:val="00F168CD"/>
    <w:rsid w:val="00F16AC5"/>
    <w:rsid w:val="00F16BD4"/>
    <w:rsid w:val="00F16FA9"/>
    <w:rsid w:val="00F1709A"/>
    <w:rsid w:val="00F21E44"/>
    <w:rsid w:val="00F22A86"/>
    <w:rsid w:val="00F239B7"/>
    <w:rsid w:val="00F23F9C"/>
    <w:rsid w:val="00F2475E"/>
    <w:rsid w:val="00F24890"/>
    <w:rsid w:val="00F25268"/>
    <w:rsid w:val="00F26AD2"/>
    <w:rsid w:val="00F26ED7"/>
    <w:rsid w:val="00F274FC"/>
    <w:rsid w:val="00F316A6"/>
    <w:rsid w:val="00F317AE"/>
    <w:rsid w:val="00F32023"/>
    <w:rsid w:val="00F33A3F"/>
    <w:rsid w:val="00F35454"/>
    <w:rsid w:val="00F35FF7"/>
    <w:rsid w:val="00F3740F"/>
    <w:rsid w:val="00F414C4"/>
    <w:rsid w:val="00F41CC9"/>
    <w:rsid w:val="00F41D6C"/>
    <w:rsid w:val="00F41DBF"/>
    <w:rsid w:val="00F420C4"/>
    <w:rsid w:val="00F42956"/>
    <w:rsid w:val="00F44068"/>
    <w:rsid w:val="00F4494D"/>
    <w:rsid w:val="00F44CDF"/>
    <w:rsid w:val="00F453B3"/>
    <w:rsid w:val="00F45E70"/>
    <w:rsid w:val="00F45FF1"/>
    <w:rsid w:val="00F46859"/>
    <w:rsid w:val="00F46A94"/>
    <w:rsid w:val="00F47B27"/>
    <w:rsid w:val="00F519BD"/>
    <w:rsid w:val="00F51E44"/>
    <w:rsid w:val="00F54023"/>
    <w:rsid w:val="00F5411C"/>
    <w:rsid w:val="00F55F18"/>
    <w:rsid w:val="00F565A3"/>
    <w:rsid w:val="00F566E9"/>
    <w:rsid w:val="00F57325"/>
    <w:rsid w:val="00F57786"/>
    <w:rsid w:val="00F6107E"/>
    <w:rsid w:val="00F6170A"/>
    <w:rsid w:val="00F62EFC"/>
    <w:rsid w:val="00F6509E"/>
    <w:rsid w:val="00F6514D"/>
    <w:rsid w:val="00F65D98"/>
    <w:rsid w:val="00F67213"/>
    <w:rsid w:val="00F7085F"/>
    <w:rsid w:val="00F71BDE"/>
    <w:rsid w:val="00F71F95"/>
    <w:rsid w:val="00F72423"/>
    <w:rsid w:val="00F74294"/>
    <w:rsid w:val="00F7449C"/>
    <w:rsid w:val="00F757F2"/>
    <w:rsid w:val="00F75B49"/>
    <w:rsid w:val="00F768E1"/>
    <w:rsid w:val="00F779EC"/>
    <w:rsid w:val="00F80281"/>
    <w:rsid w:val="00F8228C"/>
    <w:rsid w:val="00F8308B"/>
    <w:rsid w:val="00F846C4"/>
    <w:rsid w:val="00F85EF1"/>
    <w:rsid w:val="00F87D29"/>
    <w:rsid w:val="00F900FE"/>
    <w:rsid w:val="00F91142"/>
    <w:rsid w:val="00F917F8"/>
    <w:rsid w:val="00F91888"/>
    <w:rsid w:val="00F92B84"/>
    <w:rsid w:val="00F92FFF"/>
    <w:rsid w:val="00F9339D"/>
    <w:rsid w:val="00F941F1"/>
    <w:rsid w:val="00F956CF"/>
    <w:rsid w:val="00F96321"/>
    <w:rsid w:val="00F968CC"/>
    <w:rsid w:val="00F971B3"/>
    <w:rsid w:val="00F97412"/>
    <w:rsid w:val="00F97E61"/>
    <w:rsid w:val="00FA102A"/>
    <w:rsid w:val="00FA1094"/>
    <w:rsid w:val="00FA202A"/>
    <w:rsid w:val="00FA20AE"/>
    <w:rsid w:val="00FA20F3"/>
    <w:rsid w:val="00FA276A"/>
    <w:rsid w:val="00FA5936"/>
    <w:rsid w:val="00FA70A0"/>
    <w:rsid w:val="00FA72BC"/>
    <w:rsid w:val="00FA7C70"/>
    <w:rsid w:val="00FB08C2"/>
    <w:rsid w:val="00FB0A11"/>
    <w:rsid w:val="00FB1F7C"/>
    <w:rsid w:val="00FB42A7"/>
    <w:rsid w:val="00FB48F4"/>
    <w:rsid w:val="00FB574C"/>
    <w:rsid w:val="00FB60DF"/>
    <w:rsid w:val="00FB68D4"/>
    <w:rsid w:val="00FB7F8C"/>
    <w:rsid w:val="00FC137F"/>
    <w:rsid w:val="00FC16F0"/>
    <w:rsid w:val="00FC1AE8"/>
    <w:rsid w:val="00FC37DB"/>
    <w:rsid w:val="00FC4C1C"/>
    <w:rsid w:val="00FC4CE7"/>
    <w:rsid w:val="00FC5BE6"/>
    <w:rsid w:val="00FC6AFA"/>
    <w:rsid w:val="00FC714E"/>
    <w:rsid w:val="00FC7F09"/>
    <w:rsid w:val="00FD0D25"/>
    <w:rsid w:val="00FD0FEC"/>
    <w:rsid w:val="00FD24F0"/>
    <w:rsid w:val="00FD2D8A"/>
    <w:rsid w:val="00FD475D"/>
    <w:rsid w:val="00FD55A7"/>
    <w:rsid w:val="00FD592A"/>
    <w:rsid w:val="00FD6F89"/>
    <w:rsid w:val="00FD7C90"/>
    <w:rsid w:val="00FD7D25"/>
    <w:rsid w:val="00FE2964"/>
    <w:rsid w:val="00FE39BE"/>
    <w:rsid w:val="00FE39EE"/>
    <w:rsid w:val="00FE3A78"/>
    <w:rsid w:val="00FE3B09"/>
    <w:rsid w:val="00FE58BB"/>
    <w:rsid w:val="00FE5C3B"/>
    <w:rsid w:val="00FE5C49"/>
    <w:rsid w:val="00FE6159"/>
    <w:rsid w:val="00FE6288"/>
    <w:rsid w:val="00FE6357"/>
    <w:rsid w:val="00FE6A14"/>
    <w:rsid w:val="00FE7251"/>
    <w:rsid w:val="00FE7900"/>
    <w:rsid w:val="00FE7F3E"/>
    <w:rsid w:val="00FF027C"/>
    <w:rsid w:val="00FF0559"/>
    <w:rsid w:val="00FF0B0D"/>
    <w:rsid w:val="00FF146E"/>
    <w:rsid w:val="00FF1B8A"/>
    <w:rsid w:val="00FF2108"/>
    <w:rsid w:val="00FF38F1"/>
    <w:rsid w:val="00FF3F07"/>
    <w:rsid w:val="00FF435D"/>
    <w:rsid w:val="00FF4AB1"/>
    <w:rsid w:val="00FF540B"/>
    <w:rsid w:val="00FF5D9E"/>
    <w:rsid w:val="00FF6655"/>
    <w:rsid w:val="0123E6E6"/>
    <w:rsid w:val="01C03306"/>
    <w:rsid w:val="01C310E7"/>
    <w:rsid w:val="02146CE3"/>
    <w:rsid w:val="03291083"/>
    <w:rsid w:val="037E689E"/>
    <w:rsid w:val="03ED241C"/>
    <w:rsid w:val="040B3AF1"/>
    <w:rsid w:val="04AF4A55"/>
    <w:rsid w:val="04FA52B7"/>
    <w:rsid w:val="058663AA"/>
    <w:rsid w:val="06EF5174"/>
    <w:rsid w:val="075D1031"/>
    <w:rsid w:val="07F16915"/>
    <w:rsid w:val="08185842"/>
    <w:rsid w:val="08BBF491"/>
    <w:rsid w:val="0A7E3AF3"/>
    <w:rsid w:val="0AEF9229"/>
    <w:rsid w:val="0B3B9676"/>
    <w:rsid w:val="0C041CFF"/>
    <w:rsid w:val="0D603BD0"/>
    <w:rsid w:val="0DFBDADE"/>
    <w:rsid w:val="0E272EC6"/>
    <w:rsid w:val="0EF4169C"/>
    <w:rsid w:val="0FE224EF"/>
    <w:rsid w:val="0FF35CB0"/>
    <w:rsid w:val="10523E33"/>
    <w:rsid w:val="115B3EEF"/>
    <w:rsid w:val="11683B24"/>
    <w:rsid w:val="11804676"/>
    <w:rsid w:val="13045DA8"/>
    <w:rsid w:val="1318202A"/>
    <w:rsid w:val="133C3906"/>
    <w:rsid w:val="137A2AC6"/>
    <w:rsid w:val="13806B2E"/>
    <w:rsid w:val="13810AA4"/>
    <w:rsid w:val="13F2B072"/>
    <w:rsid w:val="14BD0D6B"/>
    <w:rsid w:val="14DA77BA"/>
    <w:rsid w:val="157F1A49"/>
    <w:rsid w:val="15CDBDC8"/>
    <w:rsid w:val="160C22A3"/>
    <w:rsid w:val="1629143C"/>
    <w:rsid w:val="16573B76"/>
    <w:rsid w:val="16670663"/>
    <w:rsid w:val="16742EED"/>
    <w:rsid w:val="16FD73B0"/>
    <w:rsid w:val="173014EC"/>
    <w:rsid w:val="17BDADFB"/>
    <w:rsid w:val="17BEC69B"/>
    <w:rsid w:val="17C96C63"/>
    <w:rsid w:val="17D47B03"/>
    <w:rsid w:val="17DF1EA9"/>
    <w:rsid w:val="17FE183B"/>
    <w:rsid w:val="189B3D09"/>
    <w:rsid w:val="18AE1E77"/>
    <w:rsid w:val="19791A18"/>
    <w:rsid w:val="1B6FAA61"/>
    <w:rsid w:val="1BCFCF31"/>
    <w:rsid w:val="1BDA3BC5"/>
    <w:rsid w:val="1BEE6E5A"/>
    <w:rsid w:val="1BFF6D08"/>
    <w:rsid w:val="1CDEDA0E"/>
    <w:rsid w:val="1CF94428"/>
    <w:rsid w:val="1CFBAF00"/>
    <w:rsid w:val="1D3B6AA2"/>
    <w:rsid w:val="1D886D0B"/>
    <w:rsid w:val="1DBF436D"/>
    <w:rsid w:val="1DBF78BF"/>
    <w:rsid w:val="1DEFB4C7"/>
    <w:rsid w:val="1DEFBE59"/>
    <w:rsid w:val="1DFD7FE0"/>
    <w:rsid w:val="1DFFB513"/>
    <w:rsid w:val="1E3D321B"/>
    <w:rsid w:val="1E7D713A"/>
    <w:rsid w:val="1EF10CB1"/>
    <w:rsid w:val="1FBF7375"/>
    <w:rsid w:val="1FEE6CB0"/>
    <w:rsid w:val="1FF9A8E2"/>
    <w:rsid w:val="1FFF2B4F"/>
    <w:rsid w:val="214A7396"/>
    <w:rsid w:val="218F4931"/>
    <w:rsid w:val="219E062F"/>
    <w:rsid w:val="21BFC071"/>
    <w:rsid w:val="23040BE2"/>
    <w:rsid w:val="233708A3"/>
    <w:rsid w:val="24374FE7"/>
    <w:rsid w:val="2577011E"/>
    <w:rsid w:val="25AD2A5D"/>
    <w:rsid w:val="25CE052F"/>
    <w:rsid w:val="261D50CD"/>
    <w:rsid w:val="264E3873"/>
    <w:rsid w:val="267A5045"/>
    <w:rsid w:val="26EE8D71"/>
    <w:rsid w:val="26F708A4"/>
    <w:rsid w:val="2732EE28"/>
    <w:rsid w:val="27370766"/>
    <w:rsid w:val="275F976D"/>
    <w:rsid w:val="2776915C"/>
    <w:rsid w:val="279351FA"/>
    <w:rsid w:val="27B96C35"/>
    <w:rsid w:val="27DB2ADC"/>
    <w:rsid w:val="27EFA6FC"/>
    <w:rsid w:val="27EFDAF0"/>
    <w:rsid w:val="28094EEC"/>
    <w:rsid w:val="29DFDC0C"/>
    <w:rsid w:val="29FF340B"/>
    <w:rsid w:val="2BA95CC2"/>
    <w:rsid w:val="2BFF6160"/>
    <w:rsid w:val="2CC7271F"/>
    <w:rsid w:val="2D7D3CE6"/>
    <w:rsid w:val="2D7F49AD"/>
    <w:rsid w:val="2DB7A765"/>
    <w:rsid w:val="2DF7D6CC"/>
    <w:rsid w:val="2E1F7190"/>
    <w:rsid w:val="2EA7AF2A"/>
    <w:rsid w:val="2EBBF7CD"/>
    <w:rsid w:val="2ECFDF22"/>
    <w:rsid w:val="2EEFE88B"/>
    <w:rsid w:val="2F6BFAC9"/>
    <w:rsid w:val="2FDDA261"/>
    <w:rsid w:val="2FF71CFE"/>
    <w:rsid w:val="2FFF07B0"/>
    <w:rsid w:val="30912494"/>
    <w:rsid w:val="30E3C6D8"/>
    <w:rsid w:val="30E65529"/>
    <w:rsid w:val="31B735F1"/>
    <w:rsid w:val="33FBCDCC"/>
    <w:rsid w:val="34B779C7"/>
    <w:rsid w:val="34CF5CEC"/>
    <w:rsid w:val="34E055A5"/>
    <w:rsid w:val="34E5346C"/>
    <w:rsid w:val="3677BA75"/>
    <w:rsid w:val="36816193"/>
    <w:rsid w:val="36995ED7"/>
    <w:rsid w:val="36B6F232"/>
    <w:rsid w:val="36DEF824"/>
    <w:rsid w:val="36FF3DC3"/>
    <w:rsid w:val="3797248F"/>
    <w:rsid w:val="37EF5621"/>
    <w:rsid w:val="37EF74DB"/>
    <w:rsid w:val="37F76A7A"/>
    <w:rsid w:val="37FFEC72"/>
    <w:rsid w:val="384113C3"/>
    <w:rsid w:val="385B2C3E"/>
    <w:rsid w:val="389FFD0E"/>
    <w:rsid w:val="392BF547"/>
    <w:rsid w:val="39776AA3"/>
    <w:rsid w:val="397B4E51"/>
    <w:rsid w:val="398C4612"/>
    <w:rsid w:val="39A39EF4"/>
    <w:rsid w:val="39AC56D7"/>
    <w:rsid w:val="39E621E1"/>
    <w:rsid w:val="39FBD2E6"/>
    <w:rsid w:val="3A7F6245"/>
    <w:rsid w:val="3AEB0E5A"/>
    <w:rsid w:val="3B3E9B37"/>
    <w:rsid w:val="3B4FA1AF"/>
    <w:rsid w:val="3B4FA5C0"/>
    <w:rsid w:val="3B531602"/>
    <w:rsid w:val="3BA9F012"/>
    <w:rsid w:val="3BAB9182"/>
    <w:rsid w:val="3BEB16C6"/>
    <w:rsid w:val="3BF66F8C"/>
    <w:rsid w:val="3C9B2C06"/>
    <w:rsid w:val="3CB7C9C3"/>
    <w:rsid w:val="3CCE1B4E"/>
    <w:rsid w:val="3CEF8113"/>
    <w:rsid w:val="3D73248C"/>
    <w:rsid w:val="3D761FDF"/>
    <w:rsid w:val="3D7D5F47"/>
    <w:rsid w:val="3D7EE166"/>
    <w:rsid w:val="3D8D4309"/>
    <w:rsid w:val="3D9758B0"/>
    <w:rsid w:val="3DB15A34"/>
    <w:rsid w:val="3DCBE874"/>
    <w:rsid w:val="3DD4574E"/>
    <w:rsid w:val="3DD72671"/>
    <w:rsid w:val="3DE77B80"/>
    <w:rsid w:val="3DEAC215"/>
    <w:rsid w:val="3DFD693B"/>
    <w:rsid w:val="3DFF2784"/>
    <w:rsid w:val="3DFFDC4F"/>
    <w:rsid w:val="3E5DE891"/>
    <w:rsid w:val="3E7EC5D1"/>
    <w:rsid w:val="3EB74863"/>
    <w:rsid w:val="3ECA3916"/>
    <w:rsid w:val="3EF66B68"/>
    <w:rsid w:val="3EF79E87"/>
    <w:rsid w:val="3F3F3761"/>
    <w:rsid w:val="3F673003"/>
    <w:rsid w:val="3F7F1AE5"/>
    <w:rsid w:val="3FAFD343"/>
    <w:rsid w:val="3FBBA733"/>
    <w:rsid w:val="3FBEFB5C"/>
    <w:rsid w:val="3FBF537A"/>
    <w:rsid w:val="3FCF4807"/>
    <w:rsid w:val="3FCF8ACA"/>
    <w:rsid w:val="3FDE560F"/>
    <w:rsid w:val="3FDF3ED9"/>
    <w:rsid w:val="3FDF676E"/>
    <w:rsid w:val="3FE6949F"/>
    <w:rsid w:val="3FEB6D5B"/>
    <w:rsid w:val="3FEF360D"/>
    <w:rsid w:val="3FEF7861"/>
    <w:rsid w:val="3FF1D5C2"/>
    <w:rsid w:val="3FF35356"/>
    <w:rsid w:val="3FFA0245"/>
    <w:rsid w:val="3FFEB1BF"/>
    <w:rsid w:val="3FFF7F4B"/>
    <w:rsid w:val="3FFF9FBB"/>
    <w:rsid w:val="3FFFA286"/>
    <w:rsid w:val="402E5086"/>
    <w:rsid w:val="41A63871"/>
    <w:rsid w:val="421A572A"/>
    <w:rsid w:val="421E2F4D"/>
    <w:rsid w:val="425B0D45"/>
    <w:rsid w:val="428D0BB2"/>
    <w:rsid w:val="43817E6A"/>
    <w:rsid w:val="43DB76A1"/>
    <w:rsid w:val="43EF1321"/>
    <w:rsid w:val="44260386"/>
    <w:rsid w:val="44EED997"/>
    <w:rsid w:val="45605CF4"/>
    <w:rsid w:val="45FF0815"/>
    <w:rsid w:val="46725C94"/>
    <w:rsid w:val="468E1469"/>
    <w:rsid w:val="471F9705"/>
    <w:rsid w:val="47C47F74"/>
    <w:rsid w:val="47E7B1C1"/>
    <w:rsid w:val="47FD46E8"/>
    <w:rsid w:val="487C33A3"/>
    <w:rsid w:val="48897310"/>
    <w:rsid w:val="491F48CF"/>
    <w:rsid w:val="49693D13"/>
    <w:rsid w:val="49C7CE2F"/>
    <w:rsid w:val="49D7054F"/>
    <w:rsid w:val="4AEFB419"/>
    <w:rsid w:val="4B1AD193"/>
    <w:rsid w:val="4B7744CC"/>
    <w:rsid w:val="4BA32DDE"/>
    <w:rsid w:val="4BB7B22D"/>
    <w:rsid w:val="4CBB3BB3"/>
    <w:rsid w:val="4D5ED344"/>
    <w:rsid w:val="4D678F58"/>
    <w:rsid w:val="4D70739B"/>
    <w:rsid w:val="4DAD3831"/>
    <w:rsid w:val="4DADC526"/>
    <w:rsid w:val="4DC36B8D"/>
    <w:rsid w:val="4DEE7E83"/>
    <w:rsid w:val="4DEF6F6C"/>
    <w:rsid w:val="4DF3F31D"/>
    <w:rsid w:val="4E121292"/>
    <w:rsid w:val="4E7B459A"/>
    <w:rsid w:val="4ECB1B35"/>
    <w:rsid w:val="4ECD10F0"/>
    <w:rsid w:val="4EFE1133"/>
    <w:rsid w:val="4F4AF30E"/>
    <w:rsid w:val="4F5E1EC6"/>
    <w:rsid w:val="4FAE0BB5"/>
    <w:rsid w:val="4FAFB09B"/>
    <w:rsid w:val="4FB22A58"/>
    <w:rsid w:val="4FDB598A"/>
    <w:rsid w:val="4FEB0320"/>
    <w:rsid w:val="4FF3C995"/>
    <w:rsid w:val="4FFA63C2"/>
    <w:rsid w:val="4FFE346F"/>
    <w:rsid w:val="4FFF02FB"/>
    <w:rsid w:val="4FFF26E9"/>
    <w:rsid w:val="4FFF9BD4"/>
    <w:rsid w:val="505A76D1"/>
    <w:rsid w:val="50F7734E"/>
    <w:rsid w:val="51ED42C6"/>
    <w:rsid w:val="51F7DAF4"/>
    <w:rsid w:val="525F4103"/>
    <w:rsid w:val="526667B8"/>
    <w:rsid w:val="52963FB5"/>
    <w:rsid w:val="52F842CA"/>
    <w:rsid w:val="53552B48"/>
    <w:rsid w:val="53D90AE1"/>
    <w:rsid w:val="53E775E0"/>
    <w:rsid w:val="54695B81"/>
    <w:rsid w:val="55151BCF"/>
    <w:rsid w:val="553E3E88"/>
    <w:rsid w:val="55571013"/>
    <w:rsid w:val="557F59FD"/>
    <w:rsid w:val="558B2ED4"/>
    <w:rsid w:val="55B61960"/>
    <w:rsid w:val="55BFC283"/>
    <w:rsid w:val="55EA6B3E"/>
    <w:rsid w:val="55FF7BDB"/>
    <w:rsid w:val="56BF8D58"/>
    <w:rsid w:val="56C73045"/>
    <w:rsid w:val="56FFA02C"/>
    <w:rsid w:val="56FFCDE5"/>
    <w:rsid w:val="57286503"/>
    <w:rsid w:val="5736C8ED"/>
    <w:rsid w:val="576511D6"/>
    <w:rsid w:val="577BB77E"/>
    <w:rsid w:val="57BE94E1"/>
    <w:rsid w:val="57ED2C79"/>
    <w:rsid w:val="57F7EE14"/>
    <w:rsid w:val="59F7966E"/>
    <w:rsid w:val="5A4E5B07"/>
    <w:rsid w:val="5A7BFCFF"/>
    <w:rsid w:val="5ABE3825"/>
    <w:rsid w:val="5ACB49FE"/>
    <w:rsid w:val="5AEDE7B3"/>
    <w:rsid w:val="5AEF3882"/>
    <w:rsid w:val="5AFCBEAC"/>
    <w:rsid w:val="5B93C95D"/>
    <w:rsid w:val="5BE23D1E"/>
    <w:rsid w:val="5BE79DD4"/>
    <w:rsid w:val="5BEEA8DA"/>
    <w:rsid w:val="5BEFEEB5"/>
    <w:rsid w:val="5BFF1A7D"/>
    <w:rsid w:val="5BFFF14A"/>
    <w:rsid w:val="5C436DFB"/>
    <w:rsid w:val="5C55325F"/>
    <w:rsid w:val="5CBB6E3E"/>
    <w:rsid w:val="5CDF44A6"/>
    <w:rsid w:val="5CE5754D"/>
    <w:rsid w:val="5D55822B"/>
    <w:rsid w:val="5D6857E9"/>
    <w:rsid w:val="5D7E3057"/>
    <w:rsid w:val="5D7EA7FE"/>
    <w:rsid w:val="5DB4F2CF"/>
    <w:rsid w:val="5DBF61DA"/>
    <w:rsid w:val="5DCD610C"/>
    <w:rsid w:val="5DEF040C"/>
    <w:rsid w:val="5DF65422"/>
    <w:rsid w:val="5DF7113D"/>
    <w:rsid w:val="5DF78162"/>
    <w:rsid w:val="5DFE3C2B"/>
    <w:rsid w:val="5E1D3FB1"/>
    <w:rsid w:val="5E2A73C0"/>
    <w:rsid w:val="5E793521"/>
    <w:rsid w:val="5E7F79EF"/>
    <w:rsid w:val="5E8866D7"/>
    <w:rsid w:val="5EB2016C"/>
    <w:rsid w:val="5EB7242C"/>
    <w:rsid w:val="5EDBF34C"/>
    <w:rsid w:val="5EDD4722"/>
    <w:rsid w:val="5EDE6DC2"/>
    <w:rsid w:val="5EE3C637"/>
    <w:rsid w:val="5EF5284B"/>
    <w:rsid w:val="5EF76C7E"/>
    <w:rsid w:val="5EFBE8D9"/>
    <w:rsid w:val="5EFCC07A"/>
    <w:rsid w:val="5EFEF3ED"/>
    <w:rsid w:val="5EFF7BE9"/>
    <w:rsid w:val="5F309A2C"/>
    <w:rsid w:val="5F370C2B"/>
    <w:rsid w:val="5F5EBF92"/>
    <w:rsid w:val="5F8E3006"/>
    <w:rsid w:val="5FBE7281"/>
    <w:rsid w:val="5FBFB419"/>
    <w:rsid w:val="5FDB0928"/>
    <w:rsid w:val="5FEE4964"/>
    <w:rsid w:val="5FEEF60C"/>
    <w:rsid w:val="5FF54A80"/>
    <w:rsid w:val="5FF6FB1C"/>
    <w:rsid w:val="5FF7A055"/>
    <w:rsid w:val="5FF7A82D"/>
    <w:rsid w:val="5FF7A9D2"/>
    <w:rsid w:val="5FF9708D"/>
    <w:rsid w:val="5FFB6BAF"/>
    <w:rsid w:val="5FFDA3EE"/>
    <w:rsid w:val="5FFE17C6"/>
    <w:rsid w:val="5FFE8776"/>
    <w:rsid w:val="608C1C3B"/>
    <w:rsid w:val="60F5C22B"/>
    <w:rsid w:val="617FDA56"/>
    <w:rsid w:val="62BFF7C0"/>
    <w:rsid w:val="633F6CC7"/>
    <w:rsid w:val="636F12CD"/>
    <w:rsid w:val="641F491E"/>
    <w:rsid w:val="648C0471"/>
    <w:rsid w:val="64E11B2C"/>
    <w:rsid w:val="656102B9"/>
    <w:rsid w:val="657C820C"/>
    <w:rsid w:val="659C79D3"/>
    <w:rsid w:val="65B31319"/>
    <w:rsid w:val="65DF9500"/>
    <w:rsid w:val="65E747BC"/>
    <w:rsid w:val="65F78D8C"/>
    <w:rsid w:val="65FFA1F8"/>
    <w:rsid w:val="65FFE939"/>
    <w:rsid w:val="662A7F2C"/>
    <w:rsid w:val="6656B455"/>
    <w:rsid w:val="66E891A5"/>
    <w:rsid w:val="672F3A41"/>
    <w:rsid w:val="675EF6D4"/>
    <w:rsid w:val="676F4304"/>
    <w:rsid w:val="67E61DB3"/>
    <w:rsid w:val="67EF3224"/>
    <w:rsid w:val="67FE857C"/>
    <w:rsid w:val="67FED58C"/>
    <w:rsid w:val="67FF003E"/>
    <w:rsid w:val="67FF4BB5"/>
    <w:rsid w:val="684501D4"/>
    <w:rsid w:val="686E411D"/>
    <w:rsid w:val="694D23DB"/>
    <w:rsid w:val="69650304"/>
    <w:rsid w:val="69F64120"/>
    <w:rsid w:val="6A22716C"/>
    <w:rsid w:val="6A275F63"/>
    <w:rsid w:val="6A7A31E5"/>
    <w:rsid w:val="6AAFED99"/>
    <w:rsid w:val="6AE9C1DA"/>
    <w:rsid w:val="6B436831"/>
    <w:rsid w:val="6B6E3DC4"/>
    <w:rsid w:val="6B7179B2"/>
    <w:rsid w:val="6B77E2D5"/>
    <w:rsid w:val="6BD51137"/>
    <w:rsid w:val="6BDA6921"/>
    <w:rsid w:val="6BF7B077"/>
    <w:rsid w:val="6BF7EAFA"/>
    <w:rsid w:val="6BFD1422"/>
    <w:rsid w:val="6BFF5620"/>
    <w:rsid w:val="6BFFD4BB"/>
    <w:rsid w:val="6C256AA0"/>
    <w:rsid w:val="6C430D4D"/>
    <w:rsid w:val="6C642A0F"/>
    <w:rsid w:val="6CB076BA"/>
    <w:rsid w:val="6CF73A7A"/>
    <w:rsid w:val="6CF7BF9B"/>
    <w:rsid w:val="6CFD091F"/>
    <w:rsid w:val="6CFFC3B5"/>
    <w:rsid w:val="6CFFCCC8"/>
    <w:rsid w:val="6D1B9328"/>
    <w:rsid w:val="6D50169A"/>
    <w:rsid w:val="6D73CC41"/>
    <w:rsid w:val="6D77449D"/>
    <w:rsid w:val="6DA50DBC"/>
    <w:rsid w:val="6DB5F7F1"/>
    <w:rsid w:val="6DBA2ADD"/>
    <w:rsid w:val="6DDD1263"/>
    <w:rsid w:val="6DDD5884"/>
    <w:rsid w:val="6DEF40CD"/>
    <w:rsid w:val="6DF8D4BD"/>
    <w:rsid w:val="6DF9AADB"/>
    <w:rsid w:val="6EBFEB94"/>
    <w:rsid w:val="6EF127BF"/>
    <w:rsid w:val="6EFD3EB9"/>
    <w:rsid w:val="6EFE8F88"/>
    <w:rsid w:val="6F3B17DD"/>
    <w:rsid w:val="6F3BD048"/>
    <w:rsid w:val="6F53462D"/>
    <w:rsid w:val="6F71D401"/>
    <w:rsid w:val="6F7796A3"/>
    <w:rsid w:val="6F7F319E"/>
    <w:rsid w:val="6F8F7E74"/>
    <w:rsid w:val="6FB4E98C"/>
    <w:rsid w:val="6FBD54F7"/>
    <w:rsid w:val="6FBFEC2E"/>
    <w:rsid w:val="6FCF7FB5"/>
    <w:rsid w:val="6FD902DD"/>
    <w:rsid w:val="6FDE7331"/>
    <w:rsid w:val="6FE5BAF3"/>
    <w:rsid w:val="6FE7C91E"/>
    <w:rsid w:val="6FF716C9"/>
    <w:rsid w:val="6FF71E06"/>
    <w:rsid w:val="6FF7F514"/>
    <w:rsid w:val="6FFC15B4"/>
    <w:rsid w:val="6FFD4120"/>
    <w:rsid w:val="6FFE0FFC"/>
    <w:rsid w:val="6FFE3253"/>
    <w:rsid w:val="6FFF1619"/>
    <w:rsid w:val="6FFFCC89"/>
    <w:rsid w:val="704666B3"/>
    <w:rsid w:val="7076285A"/>
    <w:rsid w:val="70DE4677"/>
    <w:rsid w:val="70F4632C"/>
    <w:rsid w:val="711E068D"/>
    <w:rsid w:val="71AD6475"/>
    <w:rsid w:val="71C542E2"/>
    <w:rsid w:val="71FB6C78"/>
    <w:rsid w:val="71FE8064"/>
    <w:rsid w:val="721FCB48"/>
    <w:rsid w:val="724E022D"/>
    <w:rsid w:val="725620A9"/>
    <w:rsid w:val="727BDBB6"/>
    <w:rsid w:val="72874010"/>
    <w:rsid w:val="72CF0DAC"/>
    <w:rsid w:val="72F2C217"/>
    <w:rsid w:val="72FB5973"/>
    <w:rsid w:val="739EBC35"/>
    <w:rsid w:val="73AFD98D"/>
    <w:rsid w:val="73BB6BF6"/>
    <w:rsid w:val="73BF8F93"/>
    <w:rsid w:val="73BFDBC7"/>
    <w:rsid w:val="73DF29A0"/>
    <w:rsid w:val="73E55634"/>
    <w:rsid w:val="73E99824"/>
    <w:rsid w:val="73EFF69A"/>
    <w:rsid w:val="73F32AB8"/>
    <w:rsid w:val="73F539D1"/>
    <w:rsid w:val="73FF1F09"/>
    <w:rsid w:val="73FFA5BE"/>
    <w:rsid w:val="741811A2"/>
    <w:rsid w:val="741B741F"/>
    <w:rsid w:val="744EA2DA"/>
    <w:rsid w:val="745B3E5A"/>
    <w:rsid w:val="74EDFC71"/>
    <w:rsid w:val="751A2D35"/>
    <w:rsid w:val="7562642D"/>
    <w:rsid w:val="75B2D8F4"/>
    <w:rsid w:val="75CB71F4"/>
    <w:rsid w:val="75CB9CA2"/>
    <w:rsid w:val="75CF66C2"/>
    <w:rsid w:val="75DFCDD0"/>
    <w:rsid w:val="75E7EC3E"/>
    <w:rsid w:val="75ED4C81"/>
    <w:rsid w:val="75EE106A"/>
    <w:rsid w:val="75FB87B9"/>
    <w:rsid w:val="75FE714E"/>
    <w:rsid w:val="76B7A01E"/>
    <w:rsid w:val="76C41C51"/>
    <w:rsid w:val="76D73466"/>
    <w:rsid w:val="76ED63DC"/>
    <w:rsid w:val="76EDFEA8"/>
    <w:rsid w:val="76EFA86B"/>
    <w:rsid w:val="76FBE0A6"/>
    <w:rsid w:val="76FEB519"/>
    <w:rsid w:val="77120D81"/>
    <w:rsid w:val="773B6E94"/>
    <w:rsid w:val="773F416B"/>
    <w:rsid w:val="773FC2B4"/>
    <w:rsid w:val="774F1A39"/>
    <w:rsid w:val="7767697B"/>
    <w:rsid w:val="7774FCA3"/>
    <w:rsid w:val="777E1C13"/>
    <w:rsid w:val="777E241C"/>
    <w:rsid w:val="777FAAE5"/>
    <w:rsid w:val="777FE2C2"/>
    <w:rsid w:val="77BEFEDF"/>
    <w:rsid w:val="77BF0C56"/>
    <w:rsid w:val="77BF2C6C"/>
    <w:rsid w:val="77BF4469"/>
    <w:rsid w:val="77BF6CA4"/>
    <w:rsid w:val="77C655DB"/>
    <w:rsid w:val="77D3B109"/>
    <w:rsid w:val="77DA9E1C"/>
    <w:rsid w:val="77DF0902"/>
    <w:rsid w:val="77EBC94C"/>
    <w:rsid w:val="77EC7166"/>
    <w:rsid w:val="77F3F99A"/>
    <w:rsid w:val="77F7B6A1"/>
    <w:rsid w:val="77FB3794"/>
    <w:rsid w:val="77FB69F2"/>
    <w:rsid w:val="77FC1973"/>
    <w:rsid w:val="77FCB755"/>
    <w:rsid w:val="77FF2E5D"/>
    <w:rsid w:val="77FF6BD3"/>
    <w:rsid w:val="77FF73FE"/>
    <w:rsid w:val="77FF8DE4"/>
    <w:rsid w:val="77FF96DC"/>
    <w:rsid w:val="77FF98D9"/>
    <w:rsid w:val="77FFD07D"/>
    <w:rsid w:val="780E2ADE"/>
    <w:rsid w:val="783FA804"/>
    <w:rsid w:val="78DB50B6"/>
    <w:rsid w:val="78E751EF"/>
    <w:rsid w:val="795A4F5B"/>
    <w:rsid w:val="797F5239"/>
    <w:rsid w:val="79B78C19"/>
    <w:rsid w:val="79DD1813"/>
    <w:rsid w:val="79FF7B0D"/>
    <w:rsid w:val="7A4A60C9"/>
    <w:rsid w:val="7A71A7FD"/>
    <w:rsid w:val="7A97FF58"/>
    <w:rsid w:val="7ADC9D1C"/>
    <w:rsid w:val="7AF30C9D"/>
    <w:rsid w:val="7AF70606"/>
    <w:rsid w:val="7AF7D67B"/>
    <w:rsid w:val="7AFBDED6"/>
    <w:rsid w:val="7AFE0FCA"/>
    <w:rsid w:val="7B4307D3"/>
    <w:rsid w:val="7B4F838D"/>
    <w:rsid w:val="7B5D00BF"/>
    <w:rsid w:val="7B5F5B2A"/>
    <w:rsid w:val="7B6BB10C"/>
    <w:rsid w:val="7B6F5563"/>
    <w:rsid w:val="7B77A0CF"/>
    <w:rsid w:val="7B77F2FD"/>
    <w:rsid w:val="7B77F8E5"/>
    <w:rsid w:val="7B7E6EAB"/>
    <w:rsid w:val="7B7ED2FE"/>
    <w:rsid w:val="7B9A2410"/>
    <w:rsid w:val="7B9FA5D8"/>
    <w:rsid w:val="7BC7C2B2"/>
    <w:rsid w:val="7BCDC113"/>
    <w:rsid w:val="7BD298ED"/>
    <w:rsid w:val="7BD32125"/>
    <w:rsid w:val="7BDB155B"/>
    <w:rsid w:val="7BDDE200"/>
    <w:rsid w:val="7BE74C94"/>
    <w:rsid w:val="7BE8B7E0"/>
    <w:rsid w:val="7BEFBC60"/>
    <w:rsid w:val="7BF5878C"/>
    <w:rsid w:val="7BF5E51E"/>
    <w:rsid w:val="7BF74946"/>
    <w:rsid w:val="7BF85915"/>
    <w:rsid w:val="7BFEB61B"/>
    <w:rsid w:val="7BFFE1E3"/>
    <w:rsid w:val="7C3DCC41"/>
    <w:rsid w:val="7C6E6434"/>
    <w:rsid w:val="7CA144D9"/>
    <w:rsid w:val="7CE37221"/>
    <w:rsid w:val="7CE7B5D6"/>
    <w:rsid w:val="7CF37388"/>
    <w:rsid w:val="7CFA7567"/>
    <w:rsid w:val="7CFAD471"/>
    <w:rsid w:val="7CFC9292"/>
    <w:rsid w:val="7CFCE577"/>
    <w:rsid w:val="7CFE1B60"/>
    <w:rsid w:val="7D2FD223"/>
    <w:rsid w:val="7D5D42EC"/>
    <w:rsid w:val="7D696218"/>
    <w:rsid w:val="7D6E0348"/>
    <w:rsid w:val="7D732DDD"/>
    <w:rsid w:val="7D7E1CC4"/>
    <w:rsid w:val="7D7F35B0"/>
    <w:rsid w:val="7D7F7B08"/>
    <w:rsid w:val="7D9730E6"/>
    <w:rsid w:val="7DA55C93"/>
    <w:rsid w:val="7DAF073E"/>
    <w:rsid w:val="7DB7C70A"/>
    <w:rsid w:val="7DBA4278"/>
    <w:rsid w:val="7DBF991A"/>
    <w:rsid w:val="7DC6D82A"/>
    <w:rsid w:val="7DDB197B"/>
    <w:rsid w:val="7DDB3FF1"/>
    <w:rsid w:val="7DDDE4C2"/>
    <w:rsid w:val="7DDDEA04"/>
    <w:rsid w:val="7DDF2B9D"/>
    <w:rsid w:val="7DDF54C6"/>
    <w:rsid w:val="7DDFBB82"/>
    <w:rsid w:val="7DED948A"/>
    <w:rsid w:val="7DEEADF7"/>
    <w:rsid w:val="7DEF083D"/>
    <w:rsid w:val="7DEF1F47"/>
    <w:rsid w:val="7DEFC657"/>
    <w:rsid w:val="7DF6689E"/>
    <w:rsid w:val="7DF7FC2B"/>
    <w:rsid w:val="7DFBE697"/>
    <w:rsid w:val="7DFD5F34"/>
    <w:rsid w:val="7DFDDCC0"/>
    <w:rsid w:val="7DFE2F0F"/>
    <w:rsid w:val="7E2B1B1F"/>
    <w:rsid w:val="7E4435A0"/>
    <w:rsid w:val="7E47CD03"/>
    <w:rsid w:val="7E5FC005"/>
    <w:rsid w:val="7E6B99FE"/>
    <w:rsid w:val="7E76C969"/>
    <w:rsid w:val="7E7AE341"/>
    <w:rsid w:val="7E7FE21D"/>
    <w:rsid w:val="7EAFF8B5"/>
    <w:rsid w:val="7EB2B236"/>
    <w:rsid w:val="7EBC11EA"/>
    <w:rsid w:val="7EBE5878"/>
    <w:rsid w:val="7ED9541D"/>
    <w:rsid w:val="7EDD1C07"/>
    <w:rsid w:val="7EDF7E6F"/>
    <w:rsid w:val="7EE32EEC"/>
    <w:rsid w:val="7EE71208"/>
    <w:rsid w:val="7EE9456A"/>
    <w:rsid w:val="7EEEA49A"/>
    <w:rsid w:val="7EEEBE07"/>
    <w:rsid w:val="7EF99FF1"/>
    <w:rsid w:val="7EFA5A26"/>
    <w:rsid w:val="7EFC857F"/>
    <w:rsid w:val="7EFD6A88"/>
    <w:rsid w:val="7EFF019F"/>
    <w:rsid w:val="7EFF50EB"/>
    <w:rsid w:val="7EFF5ED2"/>
    <w:rsid w:val="7EFFE722"/>
    <w:rsid w:val="7F37422C"/>
    <w:rsid w:val="7F37B6C6"/>
    <w:rsid w:val="7F4FE693"/>
    <w:rsid w:val="7F52B9EE"/>
    <w:rsid w:val="7F570B34"/>
    <w:rsid w:val="7F5E35AF"/>
    <w:rsid w:val="7F5E413C"/>
    <w:rsid w:val="7F6E4D68"/>
    <w:rsid w:val="7F795B47"/>
    <w:rsid w:val="7F7EFBC9"/>
    <w:rsid w:val="7F7F4C63"/>
    <w:rsid w:val="7F7F88FE"/>
    <w:rsid w:val="7F9450B2"/>
    <w:rsid w:val="7F9B6B55"/>
    <w:rsid w:val="7F9E9DD4"/>
    <w:rsid w:val="7FA38CEE"/>
    <w:rsid w:val="7FA7C4F9"/>
    <w:rsid w:val="7FA932EE"/>
    <w:rsid w:val="7FABC639"/>
    <w:rsid w:val="7FAD9DD0"/>
    <w:rsid w:val="7FAF17A5"/>
    <w:rsid w:val="7FAF8AFF"/>
    <w:rsid w:val="7FB2CBDF"/>
    <w:rsid w:val="7FB30E7D"/>
    <w:rsid w:val="7FB79512"/>
    <w:rsid w:val="7FBC335E"/>
    <w:rsid w:val="7FBC5AFD"/>
    <w:rsid w:val="7FBD1317"/>
    <w:rsid w:val="7FBE3A7A"/>
    <w:rsid w:val="7FBEDAF6"/>
    <w:rsid w:val="7FBF37F2"/>
    <w:rsid w:val="7FBF790E"/>
    <w:rsid w:val="7FBF7DC2"/>
    <w:rsid w:val="7FBF8B21"/>
    <w:rsid w:val="7FBFA282"/>
    <w:rsid w:val="7FBFEB69"/>
    <w:rsid w:val="7FC0448B"/>
    <w:rsid w:val="7FC9169B"/>
    <w:rsid w:val="7FCB274D"/>
    <w:rsid w:val="7FCBE30D"/>
    <w:rsid w:val="7FD713CC"/>
    <w:rsid w:val="7FD9127F"/>
    <w:rsid w:val="7FDAC39C"/>
    <w:rsid w:val="7FDB945F"/>
    <w:rsid w:val="7FDCADA8"/>
    <w:rsid w:val="7FDE127E"/>
    <w:rsid w:val="7FDE2061"/>
    <w:rsid w:val="7FDE354E"/>
    <w:rsid w:val="7FDF40D7"/>
    <w:rsid w:val="7FDF9342"/>
    <w:rsid w:val="7FE77CC4"/>
    <w:rsid w:val="7FE7B0AC"/>
    <w:rsid w:val="7FEB85CC"/>
    <w:rsid w:val="7FEF1DEB"/>
    <w:rsid w:val="7FEFB4EE"/>
    <w:rsid w:val="7FEFBBEE"/>
    <w:rsid w:val="7FEFF6AD"/>
    <w:rsid w:val="7FF453DC"/>
    <w:rsid w:val="7FF53FC6"/>
    <w:rsid w:val="7FF701E9"/>
    <w:rsid w:val="7FF72FF4"/>
    <w:rsid w:val="7FF88170"/>
    <w:rsid w:val="7FFB0636"/>
    <w:rsid w:val="7FFB51BE"/>
    <w:rsid w:val="7FFB6A91"/>
    <w:rsid w:val="7FFBA9B5"/>
    <w:rsid w:val="7FFCB6FC"/>
    <w:rsid w:val="7FFD320A"/>
    <w:rsid w:val="7FFF0A39"/>
    <w:rsid w:val="7FFF18DF"/>
    <w:rsid w:val="7FFFA237"/>
    <w:rsid w:val="7FFFA720"/>
    <w:rsid w:val="7FFFA8F0"/>
    <w:rsid w:val="7FFFB070"/>
    <w:rsid w:val="7FFFB9C6"/>
    <w:rsid w:val="81F18177"/>
    <w:rsid w:val="84F3EEA4"/>
    <w:rsid w:val="857DCA8C"/>
    <w:rsid w:val="873D52FC"/>
    <w:rsid w:val="8B9F340F"/>
    <w:rsid w:val="8F7B6424"/>
    <w:rsid w:val="8FBF9EA4"/>
    <w:rsid w:val="8FFD0918"/>
    <w:rsid w:val="93BB7998"/>
    <w:rsid w:val="93FE2EBD"/>
    <w:rsid w:val="957D9633"/>
    <w:rsid w:val="96DB80FD"/>
    <w:rsid w:val="96DD27EB"/>
    <w:rsid w:val="97D863FB"/>
    <w:rsid w:val="99D77A41"/>
    <w:rsid w:val="9AFAD547"/>
    <w:rsid w:val="9B6D7D98"/>
    <w:rsid w:val="9B9FF190"/>
    <w:rsid w:val="9BE7DD3E"/>
    <w:rsid w:val="9BFE5D1B"/>
    <w:rsid w:val="9C2D62C5"/>
    <w:rsid w:val="9CDF4B66"/>
    <w:rsid w:val="9CF9F38E"/>
    <w:rsid w:val="9D77CC9D"/>
    <w:rsid w:val="9E3F2FA2"/>
    <w:rsid w:val="9EE22732"/>
    <w:rsid w:val="9EEB06CE"/>
    <w:rsid w:val="9F1BCEB1"/>
    <w:rsid w:val="9F5F0D2C"/>
    <w:rsid w:val="9FBB84DA"/>
    <w:rsid w:val="9FBF2280"/>
    <w:rsid w:val="9FBF7360"/>
    <w:rsid w:val="9FD3D22D"/>
    <w:rsid w:val="9FD50814"/>
    <w:rsid w:val="9FDF2FDD"/>
    <w:rsid w:val="9FFEBA99"/>
    <w:rsid w:val="9FFF3D56"/>
    <w:rsid w:val="9FFF4D92"/>
    <w:rsid w:val="A3E70971"/>
    <w:rsid w:val="A5EEFEF4"/>
    <w:rsid w:val="A5F8D4B3"/>
    <w:rsid w:val="A67FA771"/>
    <w:rsid w:val="A73D0DD5"/>
    <w:rsid w:val="A77A9539"/>
    <w:rsid w:val="A9538121"/>
    <w:rsid w:val="A99B7769"/>
    <w:rsid w:val="AAF784E8"/>
    <w:rsid w:val="AB9E912C"/>
    <w:rsid w:val="ABAF73A5"/>
    <w:rsid w:val="ABF7CADC"/>
    <w:rsid w:val="ACFA3339"/>
    <w:rsid w:val="ADCFA514"/>
    <w:rsid w:val="AE7F4CDB"/>
    <w:rsid w:val="AEFBEDE2"/>
    <w:rsid w:val="AF772FC8"/>
    <w:rsid w:val="AFCD0E0E"/>
    <w:rsid w:val="AFD72315"/>
    <w:rsid w:val="AFF67AA9"/>
    <w:rsid w:val="AFF7527D"/>
    <w:rsid w:val="AFFFA1A6"/>
    <w:rsid w:val="B0FFBD90"/>
    <w:rsid w:val="B17B764D"/>
    <w:rsid w:val="B37FD117"/>
    <w:rsid w:val="B3DCEFF3"/>
    <w:rsid w:val="B3F763FD"/>
    <w:rsid w:val="B3FB50B9"/>
    <w:rsid w:val="B675F493"/>
    <w:rsid w:val="B6D5EC63"/>
    <w:rsid w:val="B6DD05AB"/>
    <w:rsid w:val="B6EACFCF"/>
    <w:rsid w:val="B6EC7BC0"/>
    <w:rsid w:val="B777AE16"/>
    <w:rsid w:val="B77DCC5C"/>
    <w:rsid w:val="B7BB8F72"/>
    <w:rsid w:val="B7DF047F"/>
    <w:rsid w:val="B7DF5616"/>
    <w:rsid w:val="B7DF7816"/>
    <w:rsid w:val="B7FA3634"/>
    <w:rsid w:val="B991A51D"/>
    <w:rsid w:val="B9DEDA90"/>
    <w:rsid w:val="B9FF6ADC"/>
    <w:rsid w:val="BA7B7903"/>
    <w:rsid w:val="BABFFD34"/>
    <w:rsid w:val="BB2E45B1"/>
    <w:rsid w:val="BB7FE66A"/>
    <w:rsid w:val="BBAFBAB2"/>
    <w:rsid w:val="BBCECFDB"/>
    <w:rsid w:val="BBE9D1DD"/>
    <w:rsid w:val="BBF32364"/>
    <w:rsid w:val="BC5D25E6"/>
    <w:rsid w:val="BC7FDC1C"/>
    <w:rsid w:val="BCB73D11"/>
    <w:rsid w:val="BD1F5AE9"/>
    <w:rsid w:val="BD57B2B1"/>
    <w:rsid w:val="BD6F761E"/>
    <w:rsid w:val="BD772A0D"/>
    <w:rsid w:val="BD7F4132"/>
    <w:rsid w:val="BDBE6A84"/>
    <w:rsid w:val="BDCF7ADE"/>
    <w:rsid w:val="BDEE245C"/>
    <w:rsid w:val="BDFB1EEF"/>
    <w:rsid w:val="BEDE61D9"/>
    <w:rsid w:val="BEECC0F3"/>
    <w:rsid w:val="BEEF69F5"/>
    <w:rsid w:val="BEFE7628"/>
    <w:rsid w:val="BF038994"/>
    <w:rsid w:val="BF17D58A"/>
    <w:rsid w:val="BF5FC9D0"/>
    <w:rsid w:val="BF7E5043"/>
    <w:rsid w:val="BFADC2A3"/>
    <w:rsid w:val="BFB761DD"/>
    <w:rsid w:val="BFBF242B"/>
    <w:rsid w:val="BFBFA5EB"/>
    <w:rsid w:val="BFBFE6FC"/>
    <w:rsid w:val="BFCFBB5F"/>
    <w:rsid w:val="BFDA8798"/>
    <w:rsid w:val="BFDB645D"/>
    <w:rsid w:val="BFDDF50E"/>
    <w:rsid w:val="BFDE6F09"/>
    <w:rsid w:val="BFDFAA72"/>
    <w:rsid w:val="BFF26A67"/>
    <w:rsid w:val="BFF7C717"/>
    <w:rsid w:val="BFFF97C2"/>
    <w:rsid w:val="BFFFFA17"/>
    <w:rsid w:val="C5AC0AC5"/>
    <w:rsid w:val="C6473A2D"/>
    <w:rsid w:val="C7DAE0F7"/>
    <w:rsid w:val="C7FB8E09"/>
    <w:rsid w:val="C8FB5839"/>
    <w:rsid w:val="CBFE3D58"/>
    <w:rsid w:val="CBFEFB0C"/>
    <w:rsid w:val="CC8BBDE1"/>
    <w:rsid w:val="CCEC791A"/>
    <w:rsid w:val="CDED31E3"/>
    <w:rsid w:val="CDF16012"/>
    <w:rsid w:val="CDFFB12E"/>
    <w:rsid w:val="CEAD47A0"/>
    <w:rsid w:val="CEEB128B"/>
    <w:rsid w:val="CF3FC383"/>
    <w:rsid w:val="CF57DF9C"/>
    <w:rsid w:val="CF6F24A8"/>
    <w:rsid w:val="CF78EB40"/>
    <w:rsid w:val="CF7C7D31"/>
    <w:rsid w:val="CF7FFFB3"/>
    <w:rsid w:val="CFAF0E91"/>
    <w:rsid w:val="CFBF1DE7"/>
    <w:rsid w:val="CFE7C8E0"/>
    <w:rsid w:val="CFF810C0"/>
    <w:rsid w:val="D1EAE632"/>
    <w:rsid w:val="D2F3BC68"/>
    <w:rsid w:val="D3E8E1CA"/>
    <w:rsid w:val="D5BDA60A"/>
    <w:rsid w:val="D5FA850E"/>
    <w:rsid w:val="D6C66085"/>
    <w:rsid w:val="D769096E"/>
    <w:rsid w:val="D77FEC1C"/>
    <w:rsid w:val="D7F7DD0A"/>
    <w:rsid w:val="D8722C93"/>
    <w:rsid w:val="D8B34ED6"/>
    <w:rsid w:val="D8BDF9FC"/>
    <w:rsid w:val="D8DE3529"/>
    <w:rsid w:val="D9FFB7BB"/>
    <w:rsid w:val="DA595172"/>
    <w:rsid w:val="DAB92CC4"/>
    <w:rsid w:val="DACCC658"/>
    <w:rsid w:val="DAEE91DF"/>
    <w:rsid w:val="DAEF8942"/>
    <w:rsid w:val="DAFFEF29"/>
    <w:rsid w:val="DB3B70C9"/>
    <w:rsid w:val="DB67C22D"/>
    <w:rsid w:val="DB7B533E"/>
    <w:rsid w:val="DBA34696"/>
    <w:rsid w:val="DBF8E8B2"/>
    <w:rsid w:val="DBFF2ED8"/>
    <w:rsid w:val="DD5D7EF9"/>
    <w:rsid w:val="DD7F6851"/>
    <w:rsid w:val="DD9FD5B5"/>
    <w:rsid w:val="DDB4B099"/>
    <w:rsid w:val="DDDFBEB5"/>
    <w:rsid w:val="DDEF68B4"/>
    <w:rsid w:val="DDF160E4"/>
    <w:rsid w:val="DDFF2F2B"/>
    <w:rsid w:val="DDFF6C41"/>
    <w:rsid w:val="DDFFC5DE"/>
    <w:rsid w:val="DE1F4019"/>
    <w:rsid w:val="DE7927F5"/>
    <w:rsid w:val="DEBB921B"/>
    <w:rsid w:val="DED575A0"/>
    <w:rsid w:val="DEDAB6FD"/>
    <w:rsid w:val="DEECBB00"/>
    <w:rsid w:val="DEF35BCA"/>
    <w:rsid w:val="DEFD52A1"/>
    <w:rsid w:val="DEFF7FDF"/>
    <w:rsid w:val="DF2F3FF3"/>
    <w:rsid w:val="DF340EEB"/>
    <w:rsid w:val="DF5FE7E6"/>
    <w:rsid w:val="DF7BA1A6"/>
    <w:rsid w:val="DF7FCA58"/>
    <w:rsid w:val="DF7FCB2E"/>
    <w:rsid w:val="DFBD1562"/>
    <w:rsid w:val="DFD7016D"/>
    <w:rsid w:val="DFD76A57"/>
    <w:rsid w:val="DFED50A2"/>
    <w:rsid w:val="DFEEABDF"/>
    <w:rsid w:val="DFEECAEF"/>
    <w:rsid w:val="DFEF1307"/>
    <w:rsid w:val="DFEF2AAB"/>
    <w:rsid w:val="DFF4F857"/>
    <w:rsid w:val="DFF5AD9A"/>
    <w:rsid w:val="DFF7A57B"/>
    <w:rsid w:val="DFFF8F42"/>
    <w:rsid w:val="DFFFBA83"/>
    <w:rsid w:val="DFFFBDC4"/>
    <w:rsid w:val="DFFFC6EA"/>
    <w:rsid w:val="E2D587DA"/>
    <w:rsid w:val="E31F42E7"/>
    <w:rsid w:val="E32E06BB"/>
    <w:rsid w:val="E387722D"/>
    <w:rsid w:val="E3BE5050"/>
    <w:rsid w:val="E3BFA3CA"/>
    <w:rsid w:val="E3D74D1A"/>
    <w:rsid w:val="E3FDD47D"/>
    <w:rsid w:val="E4FEF684"/>
    <w:rsid w:val="E59C0E56"/>
    <w:rsid w:val="E5FFAD4B"/>
    <w:rsid w:val="E6D99D5D"/>
    <w:rsid w:val="E74B0F27"/>
    <w:rsid w:val="E75E182F"/>
    <w:rsid w:val="E79ACF5B"/>
    <w:rsid w:val="E7AA5B5A"/>
    <w:rsid w:val="E7B06A65"/>
    <w:rsid w:val="E7BE4A86"/>
    <w:rsid w:val="E7BF0E98"/>
    <w:rsid w:val="E7FDAF71"/>
    <w:rsid w:val="E7FFFB1C"/>
    <w:rsid w:val="E9C71B84"/>
    <w:rsid w:val="E9FF6880"/>
    <w:rsid w:val="EAEEC950"/>
    <w:rsid w:val="EB7B27EF"/>
    <w:rsid w:val="EBCAF011"/>
    <w:rsid w:val="EBCF2E2D"/>
    <w:rsid w:val="EBF36459"/>
    <w:rsid w:val="EBF7F591"/>
    <w:rsid w:val="EBFC93BB"/>
    <w:rsid w:val="EC3F55C1"/>
    <w:rsid w:val="EC6B5CA0"/>
    <w:rsid w:val="ECADA1C7"/>
    <w:rsid w:val="ECBF9672"/>
    <w:rsid w:val="ECCFD51D"/>
    <w:rsid w:val="ECDF8682"/>
    <w:rsid w:val="ECEDEB38"/>
    <w:rsid w:val="EDEBF818"/>
    <w:rsid w:val="EDEC4F9E"/>
    <w:rsid w:val="EDFD0151"/>
    <w:rsid w:val="EDFE0E96"/>
    <w:rsid w:val="EDFF3F2D"/>
    <w:rsid w:val="EE5F0BD7"/>
    <w:rsid w:val="EE73EBDF"/>
    <w:rsid w:val="EE7759B6"/>
    <w:rsid w:val="EE7D49C7"/>
    <w:rsid w:val="EE7D761B"/>
    <w:rsid w:val="EEBD69DE"/>
    <w:rsid w:val="EEEA9F01"/>
    <w:rsid w:val="EEED24C7"/>
    <w:rsid w:val="EEEEBEA1"/>
    <w:rsid w:val="EEF344FE"/>
    <w:rsid w:val="EEF59491"/>
    <w:rsid w:val="EEFBBDF6"/>
    <w:rsid w:val="EEFBC13C"/>
    <w:rsid w:val="EF3BDF7C"/>
    <w:rsid w:val="EF3E0208"/>
    <w:rsid w:val="EF5F87D5"/>
    <w:rsid w:val="EF5FFFC3"/>
    <w:rsid w:val="EF7BC6B7"/>
    <w:rsid w:val="EF7F047C"/>
    <w:rsid w:val="EF99C2BB"/>
    <w:rsid w:val="EFCE905A"/>
    <w:rsid w:val="EFD5C645"/>
    <w:rsid w:val="EFD7DBEB"/>
    <w:rsid w:val="EFDC3271"/>
    <w:rsid w:val="EFDD0567"/>
    <w:rsid w:val="EFEF0728"/>
    <w:rsid w:val="EFEF2AA3"/>
    <w:rsid w:val="EFF59DA7"/>
    <w:rsid w:val="EFF5ED34"/>
    <w:rsid w:val="EFF7230F"/>
    <w:rsid w:val="EFF7624A"/>
    <w:rsid w:val="EFFB0E03"/>
    <w:rsid w:val="EFFB0F67"/>
    <w:rsid w:val="EFFBADC9"/>
    <w:rsid w:val="EFFD087D"/>
    <w:rsid w:val="EFFFBB1F"/>
    <w:rsid w:val="EFFFD1B5"/>
    <w:rsid w:val="F0E97D8B"/>
    <w:rsid w:val="F1332741"/>
    <w:rsid w:val="F2778ABC"/>
    <w:rsid w:val="F27DA92F"/>
    <w:rsid w:val="F2DD75B2"/>
    <w:rsid w:val="F35F651E"/>
    <w:rsid w:val="F375DF47"/>
    <w:rsid w:val="F3BD0F6A"/>
    <w:rsid w:val="F3BF09FF"/>
    <w:rsid w:val="F3EB3B85"/>
    <w:rsid w:val="F3F379BA"/>
    <w:rsid w:val="F3F96835"/>
    <w:rsid w:val="F3FD34E8"/>
    <w:rsid w:val="F3FF7C7F"/>
    <w:rsid w:val="F4F5E0BF"/>
    <w:rsid w:val="F4FF0120"/>
    <w:rsid w:val="F53FFD93"/>
    <w:rsid w:val="F57E11BD"/>
    <w:rsid w:val="F57F8151"/>
    <w:rsid w:val="F5B7BF95"/>
    <w:rsid w:val="F5BB617B"/>
    <w:rsid w:val="F5BFC447"/>
    <w:rsid w:val="F5CE2975"/>
    <w:rsid w:val="F5F23960"/>
    <w:rsid w:val="F5FF76FA"/>
    <w:rsid w:val="F60BFEBF"/>
    <w:rsid w:val="F67B0000"/>
    <w:rsid w:val="F67F2D6B"/>
    <w:rsid w:val="F6AE12A4"/>
    <w:rsid w:val="F6BF3B09"/>
    <w:rsid w:val="F6CBEFDC"/>
    <w:rsid w:val="F6CED197"/>
    <w:rsid w:val="F6DF63A2"/>
    <w:rsid w:val="F6EF39F4"/>
    <w:rsid w:val="F6F7095B"/>
    <w:rsid w:val="F6FC9CB3"/>
    <w:rsid w:val="F727F50B"/>
    <w:rsid w:val="F73D64AE"/>
    <w:rsid w:val="F747E823"/>
    <w:rsid w:val="F76FEEA4"/>
    <w:rsid w:val="F77FDFAB"/>
    <w:rsid w:val="F77FF3DF"/>
    <w:rsid w:val="F7992129"/>
    <w:rsid w:val="F79D24FB"/>
    <w:rsid w:val="F7AB552A"/>
    <w:rsid w:val="F7AB9091"/>
    <w:rsid w:val="F7AEE001"/>
    <w:rsid w:val="F7AF7C5E"/>
    <w:rsid w:val="F7BF295F"/>
    <w:rsid w:val="F7DD942A"/>
    <w:rsid w:val="F7DDEFF1"/>
    <w:rsid w:val="F7DE7453"/>
    <w:rsid w:val="F7DF7265"/>
    <w:rsid w:val="F7EDD196"/>
    <w:rsid w:val="F7EEBA21"/>
    <w:rsid w:val="F7EEE7EC"/>
    <w:rsid w:val="F7EF3B05"/>
    <w:rsid w:val="F7FD5B87"/>
    <w:rsid w:val="F7FF8F31"/>
    <w:rsid w:val="F7FFB46C"/>
    <w:rsid w:val="F7FFE84D"/>
    <w:rsid w:val="F7FFF532"/>
    <w:rsid w:val="F86FCDF2"/>
    <w:rsid w:val="F8EED86C"/>
    <w:rsid w:val="F8FF78C3"/>
    <w:rsid w:val="F9BF925E"/>
    <w:rsid w:val="F9CF2780"/>
    <w:rsid w:val="F9D544BC"/>
    <w:rsid w:val="F9F7FDF2"/>
    <w:rsid w:val="F9FBF928"/>
    <w:rsid w:val="FA9DB90D"/>
    <w:rsid w:val="FAB738F3"/>
    <w:rsid w:val="FABDC9E4"/>
    <w:rsid w:val="FAE7F320"/>
    <w:rsid w:val="FAF0DFC6"/>
    <w:rsid w:val="FAFDF315"/>
    <w:rsid w:val="FAFFB8EB"/>
    <w:rsid w:val="FB2AB3E5"/>
    <w:rsid w:val="FB4D387A"/>
    <w:rsid w:val="FB5858FB"/>
    <w:rsid w:val="FB5A53A2"/>
    <w:rsid w:val="FB7AAC2A"/>
    <w:rsid w:val="FBA990D1"/>
    <w:rsid w:val="FBAACCCA"/>
    <w:rsid w:val="FBAFF34D"/>
    <w:rsid w:val="FBB56939"/>
    <w:rsid w:val="FBB95C7F"/>
    <w:rsid w:val="FBBB1189"/>
    <w:rsid w:val="FBBBB094"/>
    <w:rsid w:val="FBBBFA1E"/>
    <w:rsid w:val="FBBBFDBF"/>
    <w:rsid w:val="FBD3B090"/>
    <w:rsid w:val="FBDB9061"/>
    <w:rsid w:val="FBDF1618"/>
    <w:rsid w:val="FBED9F05"/>
    <w:rsid w:val="FBEF3174"/>
    <w:rsid w:val="FBF38B18"/>
    <w:rsid w:val="FBF3CAA7"/>
    <w:rsid w:val="FBF7A6ED"/>
    <w:rsid w:val="FBF915E9"/>
    <w:rsid w:val="FBFA326D"/>
    <w:rsid w:val="FBFB4CA3"/>
    <w:rsid w:val="FBFB9188"/>
    <w:rsid w:val="FBFD5512"/>
    <w:rsid w:val="FBFE27BB"/>
    <w:rsid w:val="FBFE814D"/>
    <w:rsid w:val="FBFEB732"/>
    <w:rsid w:val="FBFF40F4"/>
    <w:rsid w:val="FBFF6A84"/>
    <w:rsid w:val="FBFFA369"/>
    <w:rsid w:val="FBFFA96C"/>
    <w:rsid w:val="FC6BD43C"/>
    <w:rsid w:val="FC7EF94E"/>
    <w:rsid w:val="FC7F21D6"/>
    <w:rsid w:val="FC9CDC85"/>
    <w:rsid w:val="FCAD976A"/>
    <w:rsid w:val="FCCFD439"/>
    <w:rsid w:val="FCD3C473"/>
    <w:rsid w:val="FCDEE495"/>
    <w:rsid w:val="FCE7D0C1"/>
    <w:rsid w:val="FCEB6C25"/>
    <w:rsid w:val="FCEE210B"/>
    <w:rsid w:val="FCF4FD18"/>
    <w:rsid w:val="FCF73229"/>
    <w:rsid w:val="FCF78121"/>
    <w:rsid w:val="FCFC1180"/>
    <w:rsid w:val="FD732306"/>
    <w:rsid w:val="FD7385D8"/>
    <w:rsid w:val="FD76EC3C"/>
    <w:rsid w:val="FD7ADA0E"/>
    <w:rsid w:val="FD7BA142"/>
    <w:rsid w:val="FDABF936"/>
    <w:rsid w:val="FDB90CB4"/>
    <w:rsid w:val="FDB9918C"/>
    <w:rsid w:val="FDBF4BBF"/>
    <w:rsid w:val="FDCB7DCA"/>
    <w:rsid w:val="FDD570B8"/>
    <w:rsid w:val="FDDAED36"/>
    <w:rsid w:val="FDDD77BE"/>
    <w:rsid w:val="FDDF099B"/>
    <w:rsid w:val="FDDFAAE7"/>
    <w:rsid w:val="FDE6B727"/>
    <w:rsid w:val="FDEBD1F7"/>
    <w:rsid w:val="FDEF6C90"/>
    <w:rsid w:val="FDF39664"/>
    <w:rsid w:val="FDF74D82"/>
    <w:rsid w:val="FDFA7413"/>
    <w:rsid w:val="FDFAB1C5"/>
    <w:rsid w:val="FDFCE639"/>
    <w:rsid w:val="FDFFA415"/>
    <w:rsid w:val="FDFFE94D"/>
    <w:rsid w:val="FDFFFF36"/>
    <w:rsid w:val="FE03C3A5"/>
    <w:rsid w:val="FE370956"/>
    <w:rsid w:val="FE3F3BD4"/>
    <w:rsid w:val="FE3F4037"/>
    <w:rsid w:val="FE4DB469"/>
    <w:rsid w:val="FE5EC233"/>
    <w:rsid w:val="FE5F682D"/>
    <w:rsid w:val="FE92E028"/>
    <w:rsid w:val="FE9A8C7E"/>
    <w:rsid w:val="FE9D281B"/>
    <w:rsid w:val="FEAF3724"/>
    <w:rsid w:val="FEBF0FBF"/>
    <w:rsid w:val="FEBFCFF9"/>
    <w:rsid w:val="FEBFEDD9"/>
    <w:rsid w:val="FEBFEFF2"/>
    <w:rsid w:val="FEBFF8EF"/>
    <w:rsid w:val="FEC694A1"/>
    <w:rsid w:val="FECA2A23"/>
    <w:rsid w:val="FECF3F38"/>
    <w:rsid w:val="FEDE973F"/>
    <w:rsid w:val="FEEB0125"/>
    <w:rsid w:val="FEF3EDA9"/>
    <w:rsid w:val="FEFB2736"/>
    <w:rsid w:val="FEFB3A46"/>
    <w:rsid w:val="FEFD8A40"/>
    <w:rsid w:val="FEFDC52C"/>
    <w:rsid w:val="FEFE1208"/>
    <w:rsid w:val="FEFFCD5D"/>
    <w:rsid w:val="FEFFF7C5"/>
    <w:rsid w:val="FF02AED4"/>
    <w:rsid w:val="FF130B56"/>
    <w:rsid w:val="FF2F5FB9"/>
    <w:rsid w:val="FF2FF4D8"/>
    <w:rsid w:val="FF336FC0"/>
    <w:rsid w:val="FF366BFC"/>
    <w:rsid w:val="FF382914"/>
    <w:rsid w:val="FF3B6C13"/>
    <w:rsid w:val="FF3F916B"/>
    <w:rsid w:val="FF46559B"/>
    <w:rsid w:val="FF4B5C8F"/>
    <w:rsid w:val="FF4F2A57"/>
    <w:rsid w:val="FF594D85"/>
    <w:rsid w:val="FF5D2607"/>
    <w:rsid w:val="FF6B18CD"/>
    <w:rsid w:val="FF6BD663"/>
    <w:rsid w:val="FF6DB9E4"/>
    <w:rsid w:val="FF7773DE"/>
    <w:rsid w:val="FF7D0411"/>
    <w:rsid w:val="FF7EC806"/>
    <w:rsid w:val="FF7F554F"/>
    <w:rsid w:val="FF7F6A57"/>
    <w:rsid w:val="FF7FD1F0"/>
    <w:rsid w:val="FF8F6DB5"/>
    <w:rsid w:val="FF8F93B5"/>
    <w:rsid w:val="FF999B46"/>
    <w:rsid w:val="FF9E3875"/>
    <w:rsid w:val="FFAD8156"/>
    <w:rsid w:val="FFB327D6"/>
    <w:rsid w:val="FFBB1725"/>
    <w:rsid w:val="FFBB5C56"/>
    <w:rsid w:val="FFBD4D1A"/>
    <w:rsid w:val="FFBDF24B"/>
    <w:rsid w:val="FFBF1974"/>
    <w:rsid w:val="FFBF32D7"/>
    <w:rsid w:val="FFBF5C9F"/>
    <w:rsid w:val="FFBFD8C3"/>
    <w:rsid w:val="FFCDDD54"/>
    <w:rsid w:val="FFCF03CE"/>
    <w:rsid w:val="FFD350DE"/>
    <w:rsid w:val="FFD7F949"/>
    <w:rsid w:val="FFDD1CDC"/>
    <w:rsid w:val="FFDD6461"/>
    <w:rsid w:val="FFDE3EE8"/>
    <w:rsid w:val="FFDEA5E2"/>
    <w:rsid w:val="FFDF132E"/>
    <w:rsid w:val="FFDF521D"/>
    <w:rsid w:val="FFE575D1"/>
    <w:rsid w:val="FFE7327E"/>
    <w:rsid w:val="FFE75614"/>
    <w:rsid w:val="FFEA88BC"/>
    <w:rsid w:val="FFEB619C"/>
    <w:rsid w:val="FFEB855A"/>
    <w:rsid w:val="FFEDE2B3"/>
    <w:rsid w:val="FFEDFD59"/>
    <w:rsid w:val="FFEE3999"/>
    <w:rsid w:val="FFEF2051"/>
    <w:rsid w:val="FFEF3A33"/>
    <w:rsid w:val="FFEFC0E2"/>
    <w:rsid w:val="FFF13DE9"/>
    <w:rsid w:val="FFF61430"/>
    <w:rsid w:val="FFF67A9D"/>
    <w:rsid w:val="FFF6FDFC"/>
    <w:rsid w:val="FFF70967"/>
    <w:rsid w:val="FFF7CCE5"/>
    <w:rsid w:val="FFF8CC0C"/>
    <w:rsid w:val="FFFA8E86"/>
    <w:rsid w:val="FFFB3136"/>
    <w:rsid w:val="FFFB72C0"/>
    <w:rsid w:val="FFFC7B80"/>
    <w:rsid w:val="FFFCA5FD"/>
    <w:rsid w:val="FFFD1680"/>
    <w:rsid w:val="FFFD808F"/>
    <w:rsid w:val="FFFE301F"/>
    <w:rsid w:val="FFFE4FEB"/>
    <w:rsid w:val="FFFF930E"/>
    <w:rsid w:val="FFFFE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1"/>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72"/>
    <w:qFormat/>
    <w:uiPriority w:val="0"/>
    <w:pPr>
      <w:keepNext/>
      <w:keepLines/>
      <w:spacing w:before="260" w:after="260" w:line="416" w:lineRule="auto"/>
      <w:outlineLvl w:val="1"/>
    </w:pPr>
    <w:rPr>
      <w:rFonts w:ascii="Arial" w:hAnsi="Arial" w:eastAsia="黑体"/>
      <w:b/>
      <w:bCs/>
      <w:kern w:val="0"/>
      <w:sz w:val="32"/>
      <w:szCs w:val="32"/>
    </w:rPr>
  </w:style>
  <w:style w:type="paragraph" w:styleId="6">
    <w:name w:val="heading 3"/>
    <w:basedOn w:val="1"/>
    <w:next w:val="1"/>
    <w:link w:val="73"/>
    <w:qFormat/>
    <w:uiPriority w:val="0"/>
    <w:pPr>
      <w:keepNext/>
      <w:keepLines/>
      <w:spacing w:before="260" w:after="260" w:line="416" w:lineRule="auto"/>
      <w:outlineLvl w:val="2"/>
    </w:pPr>
    <w:rPr>
      <w:b/>
      <w:bCs/>
      <w:kern w:val="0"/>
      <w:sz w:val="32"/>
      <w:szCs w:val="32"/>
    </w:rPr>
  </w:style>
  <w:style w:type="paragraph" w:styleId="7">
    <w:name w:val="heading 4"/>
    <w:basedOn w:val="1"/>
    <w:next w:val="1"/>
    <w:link w:val="74"/>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8">
    <w:name w:val="heading 5"/>
    <w:basedOn w:val="1"/>
    <w:next w:val="9"/>
    <w:link w:val="75"/>
    <w:qFormat/>
    <w:uiPriority w:val="0"/>
    <w:pPr>
      <w:keepNext/>
      <w:keepLines/>
      <w:spacing w:before="280" w:after="290" w:line="376" w:lineRule="auto"/>
      <w:outlineLvl w:val="4"/>
    </w:pPr>
    <w:rPr>
      <w:b/>
      <w:sz w:val="28"/>
    </w:rPr>
  </w:style>
  <w:style w:type="paragraph" w:styleId="10">
    <w:name w:val="heading 6"/>
    <w:basedOn w:val="1"/>
    <w:next w:val="9"/>
    <w:link w:val="76"/>
    <w:qFormat/>
    <w:uiPriority w:val="0"/>
    <w:pPr>
      <w:keepNext/>
      <w:keepLines/>
      <w:spacing w:before="240" w:after="64" w:line="320" w:lineRule="auto"/>
      <w:outlineLvl w:val="5"/>
    </w:pPr>
    <w:rPr>
      <w:rFonts w:ascii="Arial" w:hAnsi="Arial" w:eastAsia="黑体"/>
      <w:b/>
      <w:sz w:val="24"/>
    </w:rPr>
  </w:style>
  <w:style w:type="paragraph" w:styleId="11">
    <w:name w:val="heading 7"/>
    <w:basedOn w:val="1"/>
    <w:next w:val="9"/>
    <w:link w:val="77"/>
    <w:qFormat/>
    <w:uiPriority w:val="0"/>
    <w:pPr>
      <w:keepNext/>
      <w:keepLines/>
      <w:spacing w:before="240" w:after="64" w:line="320" w:lineRule="auto"/>
      <w:outlineLvl w:val="6"/>
    </w:pPr>
    <w:rPr>
      <w:b/>
      <w:sz w:val="24"/>
    </w:rPr>
  </w:style>
  <w:style w:type="paragraph" w:styleId="12">
    <w:name w:val="heading 8"/>
    <w:basedOn w:val="1"/>
    <w:next w:val="9"/>
    <w:link w:val="78"/>
    <w:qFormat/>
    <w:uiPriority w:val="0"/>
    <w:pPr>
      <w:keepNext/>
      <w:keepLines/>
      <w:spacing w:before="240" w:after="64" w:line="320" w:lineRule="auto"/>
      <w:outlineLvl w:val="7"/>
    </w:pPr>
    <w:rPr>
      <w:rFonts w:ascii="Arial" w:hAnsi="Arial" w:eastAsia="黑体"/>
      <w:sz w:val="24"/>
    </w:rPr>
  </w:style>
  <w:style w:type="paragraph" w:styleId="13">
    <w:name w:val="heading 9"/>
    <w:basedOn w:val="1"/>
    <w:next w:val="9"/>
    <w:link w:val="79"/>
    <w:qFormat/>
    <w:uiPriority w:val="0"/>
    <w:pPr>
      <w:keepNext/>
      <w:keepLines/>
      <w:spacing w:before="240" w:after="64" w:line="320"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link w:val="70"/>
    <w:qFormat/>
    <w:uiPriority w:val="0"/>
    <w:pPr>
      <w:spacing w:line="380" w:lineRule="exact"/>
    </w:pPr>
    <w:rPr>
      <w:sz w:val="24"/>
    </w:rPr>
  </w:style>
  <w:style w:type="paragraph" w:styleId="9">
    <w:name w:val="Normal Indent"/>
    <w:basedOn w:val="1"/>
    <w:qFormat/>
    <w:uiPriority w:val="0"/>
    <w:pPr>
      <w:ind w:firstLine="420"/>
    </w:pPr>
    <w:rPr>
      <w:szCs w:val="20"/>
    </w:rPr>
  </w:style>
  <w:style w:type="paragraph" w:styleId="14">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5">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link w:val="80"/>
    <w:semiHidden/>
    <w:qFormat/>
    <w:uiPriority w:val="0"/>
    <w:pPr>
      <w:shd w:val="clear" w:color="auto" w:fill="000080"/>
    </w:pPr>
  </w:style>
  <w:style w:type="paragraph" w:styleId="18">
    <w:name w:val="toa heading"/>
    <w:basedOn w:val="1"/>
    <w:next w:val="1"/>
    <w:semiHidden/>
    <w:qFormat/>
    <w:uiPriority w:val="0"/>
    <w:pPr>
      <w:adjustRightInd w:val="0"/>
      <w:spacing w:before="120" w:line="312" w:lineRule="atLeast"/>
    </w:pPr>
    <w:rPr>
      <w:rFonts w:ascii="Arial" w:hAnsi="Arial"/>
      <w:b/>
      <w:kern w:val="0"/>
      <w:sz w:val="24"/>
    </w:rPr>
  </w:style>
  <w:style w:type="paragraph" w:styleId="19">
    <w:name w:val="annotation text"/>
    <w:basedOn w:val="1"/>
    <w:link w:val="81"/>
    <w:qFormat/>
    <w:uiPriority w:val="0"/>
    <w:pPr>
      <w:adjustRightInd w:val="0"/>
      <w:spacing w:line="360" w:lineRule="atLeast"/>
      <w:jc w:val="left"/>
      <w:textAlignment w:val="baseline"/>
    </w:pPr>
    <w:rPr>
      <w:kern w:val="0"/>
      <w:sz w:val="24"/>
      <w:szCs w:val="20"/>
    </w:rPr>
  </w:style>
  <w:style w:type="paragraph" w:styleId="20">
    <w:name w:val="Salutation"/>
    <w:basedOn w:val="1"/>
    <w:next w:val="1"/>
    <w:link w:val="82"/>
    <w:qFormat/>
    <w:uiPriority w:val="0"/>
    <w:rPr>
      <w:sz w:val="28"/>
    </w:rPr>
  </w:style>
  <w:style w:type="paragraph" w:styleId="21">
    <w:name w:val="Body Text 3"/>
    <w:basedOn w:val="1"/>
    <w:link w:val="83"/>
    <w:qFormat/>
    <w:uiPriority w:val="0"/>
    <w:pPr>
      <w:spacing w:line="500" w:lineRule="exact"/>
    </w:pPr>
    <w:rPr>
      <w:b/>
      <w:bCs/>
      <w:sz w:val="24"/>
    </w:rPr>
  </w:style>
  <w:style w:type="paragraph" w:styleId="22">
    <w:name w:val="Body Text Indent"/>
    <w:basedOn w:val="1"/>
    <w:link w:val="84"/>
    <w:qFormat/>
    <w:uiPriority w:val="0"/>
    <w:pPr>
      <w:ind w:firstLine="830" w:firstLineChars="352"/>
    </w:pPr>
    <w:rPr>
      <w:rFonts w:ascii="仿宋_GB2312" w:eastAsia="仿宋_GB2312"/>
      <w:sz w:val="32"/>
      <w:szCs w:val="20"/>
    </w:rPr>
  </w:style>
  <w:style w:type="paragraph" w:styleId="23">
    <w:name w:val="List Number 3"/>
    <w:basedOn w:val="1"/>
    <w:qFormat/>
    <w:uiPriority w:val="0"/>
    <w:pPr>
      <w:tabs>
        <w:tab w:val="left" w:pos="360"/>
      </w:tabs>
      <w:ind w:left="360" w:hanging="360"/>
    </w:pPr>
  </w:style>
  <w:style w:type="paragraph" w:styleId="24">
    <w:name w:val="List 2"/>
    <w:basedOn w:val="1"/>
    <w:qFormat/>
    <w:uiPriority w:val="0"/>
    <w:pPr>
      <w:ind w:left="100" w:leftChars="200" w:hanging="200" w:hangingChars="200"/>
    </w:pPr>
    <w:rPr>
      <w:sz w:val="28"/>
    </w:r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HTML Address"/>
    <w:basedOn w:val="1"/>
    <w:link w:val="85"/>
    <w:qFormat/>
    <w:uiPriority w:val="0"/>
    <w:rPr>
      <w:rFonts w:ascii="宋体"/>
      <w:i/>
      <w:iCs/>
      <w:kern w:val="21"/>
      <w:szCs w:val="21"/>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link w:val="86"/>
    <w:qFormat/>
    <w:uiPriority w:val="0"/>
    <w:pPr>
      <w:ind w:left="840" w:leftChars="400"/>
    </w:pPr>
  </w:style>
  <w:style w:type="paragraph" w:styleId="29">
    <w:name w:val="Plain Text"/>
    <w:basedOn w:val="1"/>
    <w:next w:val="1"/>
    <w:link w:val="87"/>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88"/>
    <w:qFormat/>
    <w:uiPriority w:val="0"/>
    <w:pPr>
      <w:ind w:left="100" w:leftChars="2500"/>
    </w:pPr>
    <w:rPr>
      <w:rFonts w:ascii="宋体" w:hAnsi="Courier New" w:cs="Courier New"/>
      <w:szCs w:val="21"/>
    </w:rPr>
  </w:style>
  <w:style w:type="paragraph" w:styleId="32">
    <w:name w:val="Body Text Indent 2"/>
    <w:basedOn w:val="1"/>
    <w:link w:val="89"/>
    <w:qFormat/>
    <w:uiPriority w:val="0"/>
    <w:pPr>
      <w:ind w:firstLine="630"/>
    </w:pPr>
    <w:rPr>
      <w:sz w:val="32"/>
      <w:szCs w:val="20"/>
    </w:rPr>
  </w:style>
  <w:style w:type="paragraph" w:styleId="33">
    <w:name w:val="endnote text"/>
    <w:basedOn w:val="1"/>
    <w:link w:val="90"/>
    <w:unhideWhenUsed/>
    <w:qFormat/>
    <w:uiPriority w:val="0"/>
    <w:pPr>
      <w:snapToGrid w:val="0"/>
      <w:jc w:val="left"/>
    </w:pPr>
    <w:rPr>
      <w:rFonts w:ascii="Calibri" w:hAnsi="Calibri"/>
      <w:szCs w:val="22"/>
    </w:rPr>
  </w:style>
  <w:style w:type="paragraph" w:styleId="34">
    <w:name w:val="Balloon Text"/>
    <w:basedOn w:val="1"/>
    <w:link w:val="91"/>
    <w:semiHidden/>
    <w:qFormat/>
    <w:uiPriority w:val="0"/>
    <w:rPr>
      <w:sz w:val="18"/>
      <w:szCs w:val="18"/>
    </w:rPr>
  </w:style>
  <w:style w:type="paragraph" w:styleId="35">
    <w:name w:val="footer"/>
    <w:basedOn w:val="1"/>
    <w:link w:val="92"/>
    <w:qFormat/>
    <w:uiPriority w:val="99"/>
    <w:pPr>
      <w:tabs>
        <w:tab w:val="center" w:pos="4153"/>
        <w:tab w:val="right" w:pos="8306"/>
      </w:tabs>
      <w:snapToGrid w:val="0"/>
      <w:jc w:val="left"/>
    </w:pPr>
    <w:rPr>
      <w:sz w:val="18"/>
      <w:szCs w:val="18"/>
    </w:rPr>
  </w:style>
  <w:style w:type="paragraph" w:styleId="36">
    <w:name w:val="header"/>
    <w:basedOn w:val="1"/>
    <w:link w:val="93"/>
    <w:qFormat/>
    <w:uiPriority w:val="99"/>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39"/>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List"/>
    <w:basedOn w:val="1"/>
    <w:qFormat/>
    <w:uiPriority w:val="0"/>
    <w:pPr>
      <w:ind w:left="200" w:hanging="200" w:hangingChars="200"/>
    </w:pPr>
    <w:rPr>
      <w:sz w:val="28"/>
    </w:rPr>
  </w:style>
  <w:style w:type="paragraph" w:styleId="40">
    <w:name w:val="footnote text"/>
    <w:basedOn w:val="1"/>
    <w:link w:val="94"/>
    <w:semiHidden/>
    <w:qFormat/>
    <w:uiPriority w:val="0"/>
    <w:pPr>
      <w:snapToGrid w:val="0"/>
      <w:jc w:val="left"/>
    </w:pPr>
    <w:rPr>
      <w:rFonts w:ascii="宋体"/>
      <w:kern w:val="21"/>
      <w:sz w:val="18"/>
      <w:szCs w:val="18"/>
    </w:rPr>
  </w:style>
  <w:style w:type="paragraph" w:styleId="41">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2">
    <w:name w:val="List 5"/>
    <w:basedOn w:val="1"/>
    <w:qFormat/>
    <w:uiPriority w:val="0"/>
    <w:pPr>
      <w:ind w:left="2100" w:hanging="420"/>
    </w:pPr>
    <w:rPr>
      <w:szCs w:val="20"/>
    </w:rPr>
  </w:style>
  <w:style w:type="paragraph" w:styleId="43">
    <w:name w:val="Body Text Indent 3"/>
    <w:basedOn w:val="1"/>
    <w:link w:val="95"/>
    <w:qFormat/>
    <w:uiPriority w:val="0"/>
    <w:pPr>
      <w:spacing w:after="120"/>
      <w:ind w:left="420" w:leftChars="200"/>
    </w:pPr>
    <w:rPr>
      <w:sz w:val="16"/>
      <w:szCs w:val="16"/>
    </w:rPr>
  </w:style>
  <w:style w:type="paragraph" w:styleId="44">
    <w:name w:val="toc 2"/>
    <w:basedOn w:val="1"/>
    <w:next w:val="1"/>
    <w:qFormat/>
    <w:uiPriority w:val="39"/>
    <w:pPr>
      <w:ind w:left="420" w:leftChars="200"/>
    </w:pPr>
  </w:style>
  <w:style w:type="paragraph" w:styleId="45">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6">
    <w:name w:val="Body Text 2"/>
    <w:basedOn w:val="1"/>
    <w:link w:val="96"/>
    <w:qFormat/>
    <w:uiPriority w:val="0"/>
    <w:pPr>
      <w:spacing w:after="120" w:line="480" w:lineRule="auto"/>
    </w:pPr>
  </w:style>
  <w:style w:type="paragraph" w:styleId="47">
    <w:name w:val="HTML Preformatted"/>
    <w:basedOn w:val="1"/>
    <w:link w:val="97"/>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48">
    <w:name w:val="Normal (Web)"/>
    <w:basedOn w:val="1"/>
    <w:qFormat/>
    <w:uiPriority w:val="99"/>
    <w:pPr>
      <w:widowControl/>
      <w:spacing w:before="100" w:beforeAutospacing="1" w:after="100" w:afterAutospacing="1"/>
      <w:jc w:val="left"/>
    </w:pPr>
    <w:rPr>
      <w:rFonts w:ascii="宋体" w:hAnsi="宋体"/>
      <w:kern w:val="0"/>
      <w:sz w:val="24"/>
    </w:rPr>
  </w:style>
  <w:style w:type="paragraph" w:styleId="49">
    <w:name w:val="index 1"/>
    <w:basedOn w:val="1"/>
    <w:next w:val="1"/>
    <w:semiHidden/>
    <w:qFormat/>
    <w:uiPriority w:val="0"/>
    <w:pPr>
      <w:spacing w:line="400" w:lineRule="exact"/>
      <w:ind w:firstLine="420" w:firstLineChars="200"/>
    </w:pPr>
    <w:rPr>
      <w:rFonts w:ascii="宋体" w:hAnsi="Courier New"/>
      <w:b/>
      <w:szCs w:val="20"/>
    </w:rPr>
  </w:style>
  <w:style w:type="paragraph" w:styleId="50">
    <w:name w:val="Title"/>
    <w:basedOn w:val="1"/>
    <w:link w:val="98"/>
    <w:qFormat/>
    <w:uiPriority w:val="0"/>
    <w:pPr>
      <w:spacing w:before="240" w:after="60"/>
      <w:jc w:val="center"/>
      <w:outlineLvl w:val="0"/>
    </w:pPr>
    <w:rPr>
      <w:rFonts w:ascii="Arial" w:hAnsi="Arial"/>
      <w:b/>
      <w:bCs/>
      <w:sz w:val="32"/>
      <w:szCs w:val="32"/>
    </w:rPr>
  </w:style>
  <w:style w:type="paragraph" w:styleId="51">
    <w:name w:val="annotation subject"/>
    <w:basedOn w:val="19"/>
    <w:next w:val="19"/>
    <w:link w:val="99"/>
    <w:semiHidden/>
    <w:qFormat/>
    <w:uiPriority w:val="0"/>
    <w:pPr>
      <w:adjustRightInd/>
      <w:spacing w:line="240" w:lineRule="auto"/>
      <w:textAlignment w:val="auto"/>
    </w:pPr>
    <w:rPr>
      <w:b/>
      <w:bCs/>
      <w:kern w:val="2"/>
      <w:sz w:val="21"/>
      <w:szCs w:val="24"/>
    </w:rPr>
  </w:style>
  <w:style w:type="table" w:styleId="53">
    <w:name w:val="Table Grid"/>
    <w:basedOn w:val="52"/>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color w:val="CC0000"/>
    </w:rPr>
  </w:style>
  <w:style w:type="character" w:styleId="59">
    <w:name w:val="HTML Definition"/>
    <w:basedOn w:val="54"/>
    <w:qFormat/>
    <w:uiPriority w:val="0"/>
    <w:rPr>
      <w:i/>
    </w:rPr>
  </w:style>
  <w:style w:type="character" w:styleId="60">
    <w:name w:val="HTML Typewriter"/>
    <w:basedOn w:val="54"/>
    <w:qFormat/>
    <w:uiPriority w:val="0"/>
    <w:rPr>
      <w:rFonts w:ascii="Courier New" w:hAnsi="Courier New"/>
      <w:sz w:val="20"/>
    </w:rPr>
  </w:style>
  <w:style w:type="character" w:styleId="61">
    <w:name w:val="HTML Acronym"/>
    <w:basedOn w:val="54"/>
    <w:qFormat/>
    <w:uiPriority w:val="0"/>
    <w:rPr>
      <w:rFonts w:cs="Times New Roman"/>
    </w:rPr>
  </w:style>
  <w:style w:type="character" w:styleId="62">
    <w:name w:val="HTML Variable"/>
    <w:basedOn w:val="54"/>
    <w:qFormat/>
    <w:uiPriority w:val="0"/>
    <w:rPr>
      <w:i/>
    </w:rPr>
  </w:style>
  <w:style w:type="character" w:styleId="63">
    <w:name w:val="Hyperlink"/>
    <w:qFormat/>
    <w:uiPriority w:val="99"/>
    <w:rPr>
      <w:color w:val="0000FF"/>
      <w:u w:val="single"/>
    </w:rPr>
  </w:style>
  <w:style w:type="character" w:styleId="64">
    <w:name w:val="HTML Code"/>
    <w:basedOn w:val="54"/>
    <w:qFormat/>
    <w:uiPriority w:val="0"/>
    <w:rPr>
      <w:rFonts w:ascii="Courier New" w:hAnsi="Courier New"/>
      <w:sz w:val="20"/>
    </w:rPr>
  </w:style>
  <w:style w:type="character" w:styleId="65">
    <w:name w:val="annotation reference"/>
    <w:qFormat/>
    <w:uiPriority w:val="0"/>
    <w:rPr>
      <w:sz w:val="21"/>
      <w:szCs w:val="21"/>
    </w:rPr>
  </w:style>
  <w:style w:type="character" w:styleId="66">
    <w:name w:val="HTML Cite"/>
    <w:basedOn w:val="54"/>
    <w:qFormat/>
    <w:uiPriority w:val="0"/>
    <w:rPr>
      <w:i/>
    </w:rPr>
  </w:style>
  <w:style w:type="character" w:styleId="67">
    <w:name w:val="HTML Keyboard"/>
    <w:basedOn w:val="54"/>
    <w:qFormat/>
    <w:uiPriority w:val="0"/>
    <w:rPr>
      <w:rFonts w:ascii="Courier New" w:hAnsi="Courier New"/>
      <w:sz w:val="20"/>
    </w:rPr>
  </w:style>
  <w:style w:type="character" w:styleId="68">
    <w:name w:val="HTML Sample"/>
    <w:basedOn w:val="54"/>
    <w:qFormat/>
    <w:uiPriority w:val="0"/>
    <w:rPr>
      <w:rFonts w:ascii="Courier New" w:hAnsi="Courier New"/>
    </w:rPr>
  </w:style>
  <w:style w:type="paragraph" w:customStyle="1" w:styleId="6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0">
    <w:name w:val="正文文本 字符5"/>
    <w:link w:val="3"/>
    <w:qFormat/>
    <w:uiPriority w:val="0"/>
    <w:rPr>
      <w:rFonts w:eastAsia="宋体"/>
      <w:kern w:val="2"/>
      <w:sz w:val="24"/>
      <w:szCs w:val="24"/>
      <w:lang w:val="en-US" w:eastAsia="zh-CN" w:bidi="ar-SA"/>
    </w:rPr>
  </w:style>
  <w:style w:type="character" w:customStyle="1" w:styleId="71">
    <w:name w:val="标题 1 字符5"/>
    <w:link w:val="4"/>
    <w:qFormat/>
    <w:uiPriority w:val="0"/>
    <w:rPr>
      <w:rFonts w:eastAsia="宋体"/>
      <w:b/>
      <w:bCs/>
      <w:kern w:val="44"/>
      <w:sz w:val="44"/>
      <w:szCs w:val="44"/>
      <w:lang w:val="en-US" w:eastAsia="zh-CN" w:bidi="ar-SA"/>
    </w:rPr>
  </w:style>
  <w:style w:type="character" w:customStyle="1" w:styleId="72">
    <w:name w:val="标题 2 字符5"/>
    <w:link w:val="5"/>
    <w:qFormat/>
    <w:uiPriority w:val="0"/>
    <w:rPr>
      <w:rFonts w:ascii="Arial" w:hAnsi="Arial" w:eastAsia="黑体"/>
      <w:b/>
      <w:bCs/>
      <w:sz w:val="32"/>
      <w:szCs w:val="32"/>
      <w:lang w:bidi="ar-SA"/>
    </w:rPr>
  </w:style>
  <w:style w:type="character" w:customStyle="1" w:styleId="73">
    <w:name w:val="标题 3 字符5"/>
    <w:link w:val="6"/>
    <w:qFormat/>
    <w:uiPriority w:val="0"/>
    <w:rPr>
      <w:rFonts w:eastAsia="宋体"/>
      <w:b/>
      <w:bCs/>
      <w:sz w:val="32"/>
      <w:szCs w:val="32"/>
      <w:lang w:bidi="ar-SA"/>
    </w:rPr>
  </w:style>
  <w:style w:type="character" w:customStyle="1" w:styleId="74">
    <w:name w:val="标题 4 字符5"/>
    <w:link w:val="7"/>
    <w:qFormat/>
    <w:uiPriority w:val="0"/>
    <w:rPr>
      <w:rFonts w:ascii="Arial" w:hAnsi="Arial" w:eastAsia="黑体"/>
      <w:sz w:val="28"/>
      <w:lang w:bidi="ar-SA"/>
    </w:rPr>
  </w:style>
  <w:style w:type="character" w:customStyle="1" w:styleId="75">
    <w:name w:val="标题 5 字符5"/>
    <w:link w:val="8"/>
    <w:qFormat/>
    <w:uiPriority w:val="0"/>
    <w:rPr>
      <w:rFonts w:eastAsia="宋体"/>
      <w:b/>
      <w:kern w:val="2"/>
      <w:sz w:val="28"/>
      <w:szCs w:val="24"/>
      <w:lang w:val="en-US" w:eastAsia="zh-CN" w:bidi="ar-SA"/>
    </w:rPr>
  </w:style>
  <w:style w:type="character" w:customStyle="1" w:styleId="76">
    <w:name w:val="标题 6 字符5"/>
    <w:link w:val="10"/>
    <w:qFormat/>
    <w:uiPriority w:val="0"/>
    <w:rPr>
      <w:rFonts w:ascii="Arial" w:hAnsi="Arial" w:eastAsia="黑体"/>
      <w:b/>
      <w:kern w:val="2"/>
      <w:sz w:val="24"/>
      <w:szCs w:val="24"/>
      <w:lang w:val="en-US" w:eastAsia="zh-CN" w:bidi="ar-SA"/>
    </w:rPr>
  </w:style>
  <w:style w:type="character" w:customStyle="1" w:styleId="77">
    <w:name w:val="标题 7 字符5"/>
    <w:link w:val="11"/>
    <w:qFormat/>
    <w:uiPriority w:val="0"/>
    <w:rPr>
      <w:rFonts w:eastAsia="宋体"/>
      <w:b/>
      <w:kern w:val="2"/>
      <w:sz w:val="24"/>
      <w:szCs w:val="24"/>
      <w:lang w:val="en-US" w:eastAsia="zh-CN" w:bidi="ar-SA"/>
    </w:rPr>
  </w:style>
  <w:style w:type="character" w:customStyle="1" w:styleId="78">
    <w:name w:val="标题 8 字符5"/>
    <w:link w:val="12"/>
    <w:qFormat/>
    <w:uiPriority w:val="0"/>
    <w:rPr>
      <w:rFonts w:ascii="Arial" w:hAnsi="Arial" w:eastAsia="黑体"/>
      <w:kern w:val="2"/>
      <w:sz w:val="24"/>
      <w:szCs w:val="24"/>
      <w:lang w:val="en-US" w:eastAsia="zh-CN" w:bidi="ar-SA"/>
    </w:rPr>
  </w:style>
  <w:style w:type="character" w:customStyle="1" w:styleId="79">
    <w:name w:val="标题 9 字符5"/>
    <w:link w:val="13"/>
    <w:qFormat/>
    <w:uiPriority w:val="0"/>
    <w:rPr>
      <w:rFonts w:ascii="Arial" w:hAnsi="Arial" w:eastAsia="黑体"/>
      <w:kern w:val="2"/>
      <w:sz w:val="21"/>
      <w:szCs w:val="24"/>
      <w:lang w:val="en-US" w:eastAsia="zh-CN" w:bidi="ar-SA"/>
    </w:rPr>
  </w:style>
  <w:style w:type="character" w:customStyle="1" w:styleId="80">
    <w:name w:val="文档结构图 字符5"/>
    <w:link w:val="17"/>
    <w:qFormat/>
    <w:uiPriority w:val="0"/>
    <w:rPr>
      <w:rFonts w:eastAsia="宋体"/>
      <w:kern w:val="2"/>
      <w:sz w:val="21"/>
      <w:szCs w:val="24"/>
      <w:lang w:val="en-US" w:eastAsia="zh-CN" w:bidi="ar-SA"/>
    </w:rPr>
  </w:style>
  <w:style w:type="character" w:customStyle="1" w:styleId="81">
    <w:name w:val="批注文字 字符5"/>
    <w:link w:val="19"/>
    <w:qFormat/>
    <w:uiPriority w:val="0"/>
    <w:rPr>
      <w:rFonts w:eastAsia="宋体"/>
      <w:sz w:val="24"/>
      <w:lang w:bidi="ar-SA"/>
    </w:rPr>
  </w:style>
  <w:style w:type="character" w:customStyle="1" w:styleId="82">
    <w:name w:val="称呼 字符5"/>
    <w:link w:val="20"/>
    <w:qFormat/>
    <w:uiPriority w:val="0"/>
    <w:rPr>
      <w:kern w:val="2"/>
      <w:sz w:val="28"/>
      <w:szCs w:val="24"/>
    </w:rPr>
  </w:style>
  <w:style w:type="character" w:customStyle="1" w:styleId="83">
    <w:name w:val="正文文本 3 字符5"/>
    <w:link w:val="21"/>
    <w:qFormat/>
    <w:uiPriority w:val="0"/>
    <w:rPr>
      <w:rFonts w:eastAsia="宋体"/>
      <w:b/>
      <w:bCs/>
      <w:kern w:val="2"/>
      <w:sz w:val="24"/>
      <w:szCs w:val="24"/>
      <w:lang w:val="en-US" w:eastAsia="zh-CN" w:bidi="ar-SA"/>
    </w:rPr>
  </w:style>
  <w:style w:type="character" w:customStyle="1" w:styleId="84">
    <w:name w:val="正文文本缩进 字符5"/>
    <w:link w:val="22"/>
    <w:qFormat/>
    <w:uiPriority w:val="0"/>
    <w:rPr>
      <w:rFonts w:ascii="仿宋_GB2312" w:eastAsia="仿宋_GB2312"/>
      <w:kern w:val="2"/>
      <w:sz w:val="32"/>
      <w:lang w:val="en-US" w:eastAsia="zh-CN" w:bidi="ar-SA"/>
    </w:rPr>
  </w:style>
  <w:style w:type="character" w:customStyle="1" w:styleId="85">
    <w:name w:val="HTML 地址 字符5"/>
    <w:basedOn w:val="54"/>
    <w:link w:val="26"/>
    <w:qFormat/>
    <w:locked/>
    <w:uiPriority w:val="0"/>
    <w:rPr>
      <w:rFonts w:ascii="宋体" w:eastAsia="宋体"/>
      <w:i/>
      <w:iCs/>
      <w:kern w:val="21"/>
      <w:sz w:val="21"/>
      <w:szCs w:val="21"/>
      <w:lang w:val="en-US" w:eastAsia="zh-CN" w:bidi="ar-SA"/>
    </w:rPr>
  </w:style>
  <w:style w:type="character" w:customStyle="1" w:styleId="86">
    <w:name w:val="目录 3 字符"/>
    <w:link w:val="28"/>
    <w:qFormat/>
    <w:locked/>
    <w:uiPriority w:val="0"/>
    <w:rPr>
      <w:rFonts w:eastAsia="宋体"/>
      <w:kern w:val="2"/>
      <w:sz w:val="21"/>
      <w:szCs w:val="24"/>
      <w:lang w:val="en-US" w:eastAsia="zh-CN" w:bidi="ar-SA"/>
    </w:rPr>
  </w:style>
  <w:style w:type="character" w:customStyle="1" w:styleId="87">
    <w:name w:val="纯文本 字符6"/>
    <w:link w:val="29"/>
    <w:qFormat/>
    <w:uiPriority w:val="0"/>
    <w:rPr>
      <w:rFonts w:ascii="宋体" w:hAnsi="Courier New" w:eastAsia="宋体" w:cs="Courier New"/>
      <w:kern w:val="2"/>
      <w:sz w:val="21"/>
      <w:szCs w:val="21"/>
      <w:lang w:val="en-US" w:eastAsia="zh-CN" w:bidi="ar-SA"/>
    </w:rPr>
  </w:style>
  <w:style w:type="character" w:customStyle="1" w:styleId="88">
    <w:name w:val="日期 字符5"/>
    <w:link w:val="31"/>
    <w:qFormat/>
    <w:uiPriority w:val="0"/>
    <w:rPr>
      <w:rFonts w:ascii="宋体" w:hAnsi="Courier New" w:eastAsia="宋体" w:cs="Courier New"/>
      <w:kern w:val="2"/>
      <w:sz w:val="21"/>
      <w:szCs w:val="21"/>
      <w:lang w:val="en-US" w:eastAsia="zh-CN" w:bidi="ar-SA"/>
    </w:rPr>
  </w:style>
  <w:style w:type="character" w:customStyle="1" w:styleId="89">
    <w:name w:val="正文文本缩进 2 字符5"/>
    <w:link w:val="32"/>
    <w:qFormat/>
    <w:uiPriority w:val="0"/>
    <w:rPr>
      <w:rFonts w:eastAsia="宋体"/>
      <w:kern w:val="2"/>
      <w:sz w:val="32"/>
      <w:lang w:val="en-US" w:eastAsia="zh-CN" w:bidi="ar-SA"/>
    </w:rPr>
  </w:style>
  <w:style w:type="character" w:customStyle="1" w:styleId="90">
    <w:name w:val="尾注文本 字符5"/>
    <w:link w:val="33"/>
    <w:qFormat/>
    <w:uiPriority w:val="0"/>
    <w:rPr>
      <w:rFonts w:ascii="Calibri" w:hAnsi="Calibri"/>
      <w:kern w:val="2"/>
      <w:sz w:val="21"/>
      <w:szCs w:val="22"/>
    </w:rPr>
  </w:style>
  <w:style w:type="character" w:customStyle="1" w:styleId="91">
    <w:name w:val="批注框文本 字符"/>
    <w:link w:val="34"/>
    <w:semiHidden/>
    <w:qFormat/>
    <w:uiPriority w:val="0"/>
    <w:rPr>
      <w:rFonts w:eastAsia="宋体"/>
      <w:kern w:val="2"/>
      <w:sz w:val="18"/>
      <w:szCs w:val="18"/>
      <w:lang w:val="en-US" w:eastAsia="zh-CN" w:bidi="ar-SA"/>
    </w:rPr>
  </w:style>
  <w:style w:type="character" w:customStyle="1" w:styleId="92">
    <w:name w:val="页脚 字符5"/>
    <w:link w:val="35"/>
    <w:qFormat/>
    <w:uiPriority w:val="99"/>
    <w:rPr>
      <w:rFonts w:eastAsia="宋体"/>
      <w:kern w:val="2"/>
      <w:sz w:val="18"/>
      <w:szCs w:val="18"/>
      <w:lang w:val="en-US" w:eastAsia="zh-CN" w:bidi="ar-SA"/>
    </w:rPr>
  </w:style>
  <w:style w:type="character" w:customStyle="1" w:styleId="93">
    <w:name w:val="页眉 字符5"/>
    <w:link w:val="36"/>
    <w:qFormat/>
    <w:uiPriority w:val="99"/>
    <w:rPr>
      <w:rFonts w:eastAsia="宋体"/>
      <w:kern w:val="2"/>
      <w:sz w:val="18"/>
      <w:szCs w:val="18"/>
      <w:lang w:val="en-US" w:eastAsia="zh-CN" w:bidi="ar-SA"/>
    </w:rPr>
  </w:style>
  <w:style w:type="character" w:customStyle="1" w:styleId="94">
    <w:name w:val="脚注文本 字符5"/>
    <w:basedOn w:val="54"/>
    <w:link w:val="40"/>
    <w:qFormat/>
    <w:locked/>
    <w:uiPriority w:val="0"/>
    <w:rPr>
      <w:rFonts w:ascii="宋体" w:eastAsia="宋体"/>
      <w:kern w:val="21"/>
      <w:sz w:val="18"/>
      <w:szCs w:val="18"/>
      <w:lang w:val="en-US" w:eastAsia="zh-CN" w:bidi="ar-SA"/>
    </w:rPr>
  </w:style>
  <w:style w:type="character" w:customStyle="1" w:styleId="95">
    <w:name w:val="正文文本缩进 3 字符5"/>
    <w:link w:val="43"/>
    <w:qFormat/>
    <w:uiPriority w:val="0"/>
    <w:rPr>
      <w:rFonts w:eastAsia="宋体"/>
      <w:kern w:val="2"/>
      <w:sz w:val="16"/>
      <w:szCs w:val="16"/>
      <w:lang w:val="en-US" w:eastAsia="zh-CN" w:bidi="ar-SA"/>
    </w:rPr>
  </w:style>
  <w:style w:type="character" w:customStyle="1" w:styleId="96">
    <w:name w:val="正文文本 2 字符5"/>
    <w:link w:val="46"/>
    <w:qFormat/>
    <w:uiPriority w:val="0"/>
    <w:rPr>
      <w:rFonts w:eastAsia="宋体"/>
      <w:kern w:val="2"/>
      <w:sz w:val="21"/>
      <w:szCs w:val="24"/>
      <w:lang w:val="en-US" w:eastAsia="zh-CN" w:bidi="ar-SA"/>
    </w:rPr>
  </w:style>
  <w:style w:type="character" w:customStyle="1" w:styleId="97">
    <w:name w:val="HTML 预设格式 字符5"/>
    <w:link w:val="47"/>
    <w:qFormat/>
    <w:uiPriority w:val="0"/>
    <w:rPr>
      <w:rFonts w:ascii="黑体" w:hAnsi="Courier New" w:eastAsia="黑体" w:cs="Courier New"/>
      <w:lang w:val="en-US" w:eastAsia="zh-CN" w:bidi="ar-SA"/>
    </w:rPr>
  </w:style>
  <w:style w:type="character" w:customStyle="1" w:styleId="98">
    <w:name w:val="标题 字符5"/>
    <w:link w:val="50"/>
    <w:qFormat/>
    <w:uiPriority w:val="0"/>
    <w:rPr>
      <w:rFonts w:ascii="Arial" w:hAnsi="Arial" w:eastAsia="宋体"/>
      <w:b/>
      <w:bCs/>
      <w:kern w:val="2"/>
      <w:sz w:val="32"/>
      <w:szCs w:val="32"/>
      <w:lang w:bidi="ar-SA"/>
    </w:rPr>
  </w:style>
  <w:style w:type="character" w:customStyle="1" w:styleId="99">
    <w:name w:val="批注主题 字符"/>
    <w:link w:val="51"/>
    <w:semiHidden/>
    <w:qFormat/>
    <w:uiPriority w:val="0"/>
    <w:rPr>
      <w:b/>
      <w:bCs/>
      <w:kern w:val="2"/>
      <w:sz w:val="21"/>
      <w:szCs w:val="24"/>
    </w:rPr>
  </w:style>
  <w:style w:type="paragraph" w:customStyle="1" w:styleId="100">
    <w:name w:val="表格文字"/>
    <w:basedOn w:val="1"/>
    <w:next w:val="3"/>
    <w:qFormat/>
    <w:uiPriority w:val="0"/>
    <w:pPr>
      <w:spacing w:before="25" w:after="25"/>
      <w:jc w:val="left"/>
    </w:pPr>
    <w:rPr>
      <w:bCs/>
      <w:spacing w:val="10"/>
      <w:kern w:val="0"/>
      <w:sz w:val="24"/>
    </w:rPr>
  </w:style>
  <w:style w:type="paragraph" w:customStyle="1" w:styleId="101">
    <w:name w:val="_Style 8"/>
    <w:basedOn w:val="17"/>
    <w:qFormat/>
    <w:uiPriority w:val="0"/>
    <w:pPr>
      <w:widowControl/>
      <w:ind w:firstLine="454"/>
      <w:jc w:val="left"/>
    </w:pPr>
  </w:style>
  <w:style w:type="character" w:customStyle="1" w:styleId="102">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03">
    <w:name w:val="apple-style-span"/>
    <w:basedOn w:val="54"/>
    <w:qFormat/>
    <w:uiPriority w:val="0"/>
  </w:style>
  <w:style w:type="character" w:customStyle="1" w:styleId="104">
    <w:name w:val="无间隔 字符9"/>
    <w:link w:val="105"/>
    <w:qFormat/>
    <w:uiPriority w:val="0"/>
    <w:rPr>
      <w:sz w:val="22"/>
      <w:szCs w:val="22"/>
      <w:lang w:val="en-US" w:eastAsia="zh-CN" w:bidi="ar-SA"/>
    </w:rPr>
  </w:style>
  <w:style w:type="paragraph" w:styleId="105">
    <w:name w:val="No Spacing"/>
    <w:link w:val="104"/>
    <w:qFormat/>
    <w:uiPriority w:val="0"/>
    <w:rPr>
      <w:rFonts w:ascii="Times New Roman" w:hAnsi="Times New Roman" w:eastAsia="宋体" w:cs="Times New Roman"/>
      <w:sz w:val="22"/>
      <w:szCs w:val="22"/>
      <w:lang w:val="en-US" w:eastAsia="zh-CN" w:bidi="ar-SA"/>
    </w:rPr>
  </w:style>
  <w:style w:type="character" w:customStyle="1" w:styleId="106">
    <w:name w:val="纯文本 Char"/>
    <w:qFormat/>
    <w:uiPriority w:val="99"/>
    <w:rPr>
      <w:rFonts w:ascii="宋体" w:hAnsi="Courier New" w:eastAsia="宋体"/>
      <w:kern w:val="2"/>
      <w:sz w:val="21"/>
      <w:lang w:val="en-US" w:eastAsia="zh-CN" w:bidi="ar-SA"/>
    </w:rPr>
  </w:style>
  <w:style w:type="character" w:customStyle="1" w:styleId="107">
    <w:name w:val="ca-10"/>
    <w:basedOn w:val="54"/>
    <w:qFormat/>
    <w:uiPriority w:val="0"/>
  </w:style>
  <w:style w:type="character" w:customStyle="1" w:styleId="108">
    <w:name w:val="Char Char Char Char Char"/>
    <w:qFormat/>
    <w:uiPriority w:val="0"/>
    <w:rPr>
      <w:rFonts w:hint="eastAsia" w:ascii="宋体" w:hAnsi="宋体" w:eastAsia="宋体"/>
      <w:b/>
      <w:bCs/>
      <w:kern w:val="44"/>
      <w:sz w:val="44"/>
      <w:szCs w:val="44"/>
      <w:lang w:val="en-US" w:eastAsia="zh-CN" w:bidi="ar-SA"/>
    </w:rPr>
  </w:style>
  <w:style w:type="character" w:customStyle="1" w:styleId="109">
    <w:name w:val="font41"/>
    <w:basedOn w:val="54"/>
    <w:qFormat/>
    <w:uiPriority w:val="0"/>
    <w:rPr>
      <w:rFonts w:hint="eastAsia" w:ascii="仿宋_GB2312" w:eastAsia="仿宋_GB2312" w:cs="仿宋_GB2312"/>
      <w:color w:val="000000"/>
      <w:sz w:val="20"/>
      <w:szCs w:val="20"/>
      <w:u w:val="none"/>
    </w:rPr>
  </w:style>
  <w:style w:type="character" w:customStyle="1" w:styleId="110">
    <w:name w:val="ca-11"/>
    <w:basedOn w:val="54"/>
    <w:qFormat/>
    <w:uiPriority w:val="0"/>
  </w:style>
  <w:style w:type="character" w:customStyle="1" w:styleId="111">
    <w:name w:val="Char Char12"/>
    <w:qFormat/>
    <w:uiPriority w:val="0"/>
    <w:rPr>
      <w:rFonts w:ascii="宋体" w:eastAsia="宋体" w:cs="Courier New"/>
      <w:kern w:val="2"/>
      <w:sz w:val="21"/>
      <w:szCs w:val="21"/>
      <w:lang w:val="en-US" w:eastAsia="zh-CN" w:bidi="ar-SA"/>
    </w:rPr>
  </w:style>
  <w:style w:type="character" w:customStyle="1" w:styleId="112">
    <w:name w:val="普通文字 Char Char4"/>
    <w:qFormat/>
    <w:uiPriority w:val="0"/>
    <w:rPr>
      <w:rFonts w:ascii="宋体" w:hAnsi="Courier New" w:eastAsia="宋体" w:cs="Courier New"/>
      <w:kern w:val="2"/>
      <w:sz w:val="21"/>
      <w:szCs w:val="21"/>
      <w:lang w:val="en-US" w:eastAsia="zh-CN" w:bidi="ar-SA"/>
    </w:rPr>
  </w:style>
  <w:style w:type="character" w:customStyle="1" w:styleId="113">
    <w:name w:val="ca-12"/>
    <w:basedOn w:val="54"/>
    <w:qFormat/>
    <w:uiPriority w:val="0"/>
  </w:style>
  <w:style w:type="character" w:customStyle="1" w:styleId="114">
    <w:name w:val="font71"/>
    <w:basedOn w:val="54"/>
    <w:qFormat/>
    <w:uiPriority w:val="0"/>
    <w:rPr>
      <w:rFonts w:hint="eastAsia" w:ascii="宋体" w:hAnsi="宋体" w:eastAsia="宋体" w:cs="宋体"/>
      <w:color w:val="FF0000"/>
      <w:sz w:val="18"/>
      <w:szCs w:val="18"/>
      <w:u w:val="none"/>
    </w:rPr>
  </w:style>
  <w:style w:type="character" w:customStyle="1" w:styleId="115">
    <w:name w:val="unnamed3"/>
    <w:basedOn w:val="54"/>
    <w:qFormat/>
    <w:uiPriority w:val="0"/>
  </w:style>
  <w:style w:type="character" w:customStyle="1" w:styleId="116">
    <w:name w:val="Char Char7"/>
    <w:qFormat/>
    <w:uiPriority w:val="0"/>
    <w:rPr>
      <w:rFonts w:ascii="宋体" w:eastAsia="宋体" w:cs="Courier New"/>
      <w:kern w:val="2"/>
      <w:sz w:val="21"/>
      <w:szCs w:val="21"/>
      <w:lang w:val="en-US" w:eastAsia="zh-CN" w:bidi="ar-SA"/>
    </w:rPr>
  </w:style>
  <w:style w:type="character" w:customStyle="1" w:styleId="117">
    <w:name w:val="ca-3"/>
    <w:basedOn w:val="54"/>
    <w:qFormat/>
    <w:uiPriority w:val="0"/>
  </w:style>
  <w:style w:type="character" w:customStyle="1" w:styleId="118">
    <w:name w:val="mark13"/>
    <w:basedOn w:val="54"/>
    <w:qFormat/>
    <w:uiPriority w:val="0"/>
  </w:style>
  <w:style w:type="character" w:customStyle="1" w:styleId="119">
    <w:name w:val="style21"/>
    <w:qFormat/>
    <w:uiPriority w:val="0"/>
    <w:rPr>
      <w:sz w:val="18"/>
      <w:szCs w:val="18"/>
    </w:rPr>
  </w:style>
  <w:style w:type="character" w:customStyle="1" w:styleId="120">
    <w:name w:val="Char Char14"/>
    <w:qFormat/>
    <w:uiPriority w:val="0"/>
    <w:rPr>
      <w:sz w:val="18"/>
      <w:szCs w:val="18"/>
    </w:rPr>
  </w:style>
  <w:style w:type="character" w:customStyle="1" w:styleId="121">
    <w:name w:val="Char Char15"/>
    <w:qFormat/>
    <w:uiPriority w:val="0"/>
    <w:rPr>
      <w:sz w:val="18"/>
      <w:szCs w:val="18"/>
    </w:rPr>
  </w:style>
  <w:style w:type="character" w:customStyle="1" w:styleId="122">
    <w:name w:val="p1"/>
    <w:basedOn w:val="54"/>
    <w:qFormat/>
    <w:uiPriority w:val="0"/>
  </w:style>
  <w:style w:type="character" w:customStyle="1" w:styleId="123">
    <w:name w:val="UP标题3 Char Char"/>
    <w:link w:val="124"/>
    <w:qFormat/>
    <w:locked/>
    <w:uiPriority w:val="0"/>
    <w:rPr>
      <w:rFonts w:ascii="黑体" w:eastAsia="黑体"/>
      <w:sz w:val="28"/>
      <w:szCs w:val="28"/>
      <w:lang w:bidi="ar-SA"/>
    </w:rPr>
  </w:style>
  <w:style w:type="paragraph" w:customStyle="1" w:styleId="124">
    <w:name w:val="UP标题3"/>
    <w:basedOn w:val="1"/>
    <w:link w:val="123"/>
    <w:qFormat/>
    <w:uiPriority w:val="0"/>
    <w:pPr>
      <w:spacing w:line="360" w:lineRule="auto"/>
      <w:ind w:firstLine="149" w:firstLineChars="149"/>
    </w:pPr>
    <w:rPr>
      <w:rFonts w:ascii="黑体" w:eastAsia="黑体"/>
      <w:kern w:val="0"/>
      <w:sz w:val="28"/>
      <w:szCs w:val="28"/>
    </w:rPr>
  </w:style>
  <w:style w:type="character" w:customStyle="1" w:styleId="125">
    <w:name w:val="ca-8"/>
    <w:basedOn w:val="54"/>
    <w:qFormat/>
    <w:uiPriority w:val="0"/>
  </w:style>
  <w:style w:type="character" w:customStyle="1" w:styleId="126">
    <w:name w:val="Body Text Char"/>
    <w:qFormat/>
    <w:locked/>
    <w:uiPriority w:val="0"/>
    <w:rPr>
      <w:rFonts w:eastAsia="宋体"/>
      <w:kern w:val="2"/>
      <w:sz w:val="24"/>
      <w:szCs w:val="24"/>
      <w:lang w:val="en-US" w:eastAsia="zh-CN" w:bidi="ar-SA"/>
    </w:rPr>
  </w:style>
  <w:style w:type="character" w:customStyle="1" w:styleId="127">
    <w:name w:val="ca-16"/>
    <w:basedOn w:val="54"/>
    <w:qFormat/>
    <w:uiPriority w:val="0"/>
  </w:style>
  <w:style w:type="character" w:customStyle="1" w:styleId="128">
    <w:name w:val="Char Char17"/>
    <w:qFormat/>
    <w:uiPriority w:val="0"/>
    <w:rPr>
      <w:rFonts w:hint="default" w:ascii="Times New Roman" w:hAnsi="Times New Roman" w:cs="Times New Roman"/>
      <w:b/>
      <w:bCs/>
      <w:kern w:val="2"/>
      <w:sz w:val="21"/>
      <w:szCs w:val="24"/>
    </w:rPr>
  </w:style>
  <w:style w:type="character" w:customStyle="1" w:styleId="129">
    <w:name w:val="ca-0"/>
    <w:qFormat/>
    <w:uiPriority w:val="0"/>
  </w:style>
  <w:style w:type="character" w:customStyle="1" w:styleId="130">
    <w:name w:val="Char Char8"/>
    <w:qFormat/>
    <w:uiPriority w:val="0"/>
    <w:rPr>
      <w:rFonts w:hint="eastAsia" w:ascii="仿宋_GB2312" w:eastAsia="仿宋_GB2312"/>
      <w:kern w:val="2"/>
      <w:sz w:val="32"/>
      <w:lang w:val="en-US" w:eastAsia="zh-CN" w:bidi="ar-SA"/>
    </w:rPr>
  </w:style>
  <w:style w:type="character" w:customStyle="1" w:styleId="131">
    <w:name w:val="Char Char3"/>
    <w:qFormat/>
    <w:locked/>
    <w:uiPriority w:val="0"/>
    <w:rPr>
      <w:rFonts w:ascii="宋体" w:hAnsi="Courier New" w:eastAsia="宋体" w:cs="Courier New"/>
      <w:kern w:val="2"/>
      <w:sz w:val="21"/>
      <w:szCs w:val="21"/>
      <w:lang w:val="en-US" w:eastAsia="zh-CN" w:bidi="ar-SA"/>
    </w:rPr>
  </w:style>
  <w:style w:type="character" w:customStyle="1" w:styleId="132">
    <w:name w:val="Char Char2"/>
    <w:qFormat/>
    <w:uiPriority w:val="0"/>
    <w:rPr>
      <w:rFonts w:eastAsia="宋体"/>
      <w:sz w:val="24"/>
    </w:rPr>
  </w:style>
  <w:style w:type="character" w:customStyle="1" w:styleId="133">
    <w:name w:val="批注文字 Char1"/>
    <w:semiHidden/>
    <w:qFormat/>
    <w:uiPriority w:val="0"/>
    <w:rPr>
      <w:kern w:val="2"/>
      <w:sz w:val="21"/>
      <w:szCs w:val="24"/>
    </w:rPr>
  </w:style>
  <w:style w:type="character" w:customStyle="1" w:styleId="134">
    <w:name w:val="Char Char23"/>
    <w:qFormat/>
    <w:uiPriority w:val="0"/>
    <w:rPr>
      <w:rFonts w:hint="default" w:ascii="Times New Roman" w:hAnsi="Times New Roman" w:eastAsia="宋体" w:cs="Times New Roman"/>
      <w:b/>
      <w:bCs/>
      <w:kern w:val="44"/>
      <w:sz w:val="44"/>
      <w:szCs w:val="44"/>
    </w:rPr>
  </w:style>
  <w:style w:type="character" w:customStyle="1" w:styleId="135">
    <w:name w:val="ca-5"/>
    <w:basedOn w:val="54"/>
    <w:qFormat/>
    <w:uiPriority w:val="0"/>
  </w:style>
  <w:style w:type="character" w:customStyle="1" w:styleId="136">
    <w:name w:val="cubane_hilight1"/>
    <w:qFormat/>
    <w:uiPriority w:val="0"/>
    <w:rPr>
      <w:color w:val="CC0000"/>
    </w:rPr>
  </w:style>
  <w:style w:type="character" w:customStyle="1" w:styleId="137">
    <w:name w:val="ca-7"/>
    <w:basedOn w:val="54"/>
    <w:qFormat/>
    <w:uiPriority w:val="0"/>
  </w:style>
  <w:style w:type="character" w:customStyle="1" w:styleId="138">
    <w:name w:val="普通文字 Char Char2"/>
    <w:qFormat/>
    <w:uiPriority w:val="0"/>
    <w:rPr>
      <w:rFonts w:ascii="宋体" w:hAnsi="Courier New" w:eastAsia="宋体"/>
      <w:kern w:val="2"/>
      <w:sz w:val="21"/>
      <w:lang w:val="en-US" w:eastAsia="zh-CN" w:bidi="ar-SA"/>
    </w:rPr>
  </w:style>
  <w:style w:type="character" w:customStyle="1" w:styleId="139">
    <w:name w:val="apple-converted-space"/>
    <w:basedOn w:val="54"/>
    <w:qFormat/>
    <w:uiPriority w:val="0"/>
  </w:style>
  <w:style w:type="character" w:customStyle="1" w:styleId="140">
    <w:name w:val="标题 Char1"/>
    <w:qFormat/>
    <w:uiPriority w:val="0"/>
    <w:rPr>
      <w:rFonts w:hint="default" w:ascii="Cambria" w:hAnsi="Cambria" w:cs="Times New Roman"/>
      <w:b/>
      <w:bCs/>
      <w:kern w:val="2"/>
      <w:sz w:val="32"/>
      <w:szCs w:val="32"/>
    </w:rPr>
  </w:style>
  <w:style w:type="character" w:customStyle="1" w:styleId="141">
    <w:name w:val="ca-4"/>
    <w:basedOn w:val="54"/>
    <w:qFormat/>
    <w:uiPriority w:val="0"/>
  </w:style>
  <w:style w:type="character" w:customStyle="1" w:styleId="142">
    <w:name w:val="ca-2"/>
    <w:basedOn w:val="54"/>
    <w:qFormat/>
    <w:uiPriority w:val="0"/>
  </w:style>
  <w:style w:type="character" w:customStyle="1" w:styleId="143">
    <w:name w:val="Char Char10"/>
    <w:semiHidden/>
    <w:qFormat/>
    <w:uiPriority w:val="0"/>
    <w:rPr>
      <w:rFonts w:hint="eastAsia" w:ascii="宋体" w:hAnsi="宋体" w:eastAsia="宋体"/>
      <w:kern w:val="2"/>
      <w:sz w:val="24"/>
      <w:szCs w:val="24"/>
      <w:lang w:val="en-US" w:eastAsia="zh-CN" w:bidi="ar-SA"/>
    </w:rPr>
  </w:style>
  <w:style w:type="character" w:customStyle="1" w:styleId="144">
    <w:name w:val="1ji Char Char"/>
    <w:qFormat/>
    <w:locked/>
    <w:uiPriority w:val="0"/>
    <w:rPr>
      <w:rFonts w:ascii="宋体" w:hAnsi="宋体" w:eastAsia="宋体"/>
      <w:b/>
      <w:bCs/>
      <w:kern w:val="44"/>
      <w:sz w:val="36"/>
      <w:szCs w:val="44"/>
    </w:rPr>
  </w:style>
  <w:style w:type="character" w:customStyle="1" w:styleId="145">
    <w:name w:val="H1 Char1"/>
    <w:qFormat/>
    <w:uiPriority w:val="0"/>
    <w:rPr>
      <w:rFonts w:eastAsia="宋体"/>
      <w:b/>
      <w:bCs/>
      <w:kern w:val="44"/>
      <w:sz w:val="44"/>
      <w:szCs w:val="44"/>
      <w:lang w:val="en-US" w:eastAsia="zh-CN" w:bidi="ar-SA"/>
    </w:rPr>
  </w:style>
  <w:style w:type="character" w:customStyle="1" w:styleId="146">
    <w:name w:val="Char Char1011"/>
    <w:semiHidden/>
    <w:qFormat/>
    <w:uiPriority w:val="0"/>
    <w:rPr>
      <w:rFonts w:eastAsia="宋体"/>
      <w:kern w:val="2"/>
      <w:sz w:val="24"/>
      <w:szCs w:val="24"/>
      <w:lang w:val="en-US" w:eastAsia="zh-CN" w:bidi="ar-SA"/>
    </w:rPr>
  </w:style>
  <w:style w:type="character" w:customStyle="1" w:styleId="147">
    <w:name w:val="Char Char1411"/>
    <w:qFormat/>
    <w:uiPriority w:val="0"/>
    <w:rPr>
      <w:sz w:val="18"/>
      <w:szCs w:val="18"/>
    </w:rPr>
  </w:style>
  <w:style w:type="character" w:customStyle="1" w:styleId="148">
    <w:name w:val="H1 Char2"/>
    <w:qFormat/>
    <w:uiPriority w:val="0"/>
    <w:rPr>
      <w:rFonts w:eastAsia="宋体"/>
      <w:b/>
      <w:bCs/>
      <w:kern w:val="44"/>
      <w:sz w:val="44"/>
      <w:szCs w:val="44"/>
      <w:lang w:val="en-US" w:eastAsia="zh-CN" w:bidi="ar-SA"/>
    </w:rPr>
  </w:style>
  <w:style w:type="character" w:customStyle="1" w:styleId="149">
    <w:name w:val="无间隔 Char Char"/>
    <w:qFormat/>
    <w:uiPriority w:val="0"/>
    <w:rPr>
      <w:rFonts w:ascii="Calibri" w:hAnsi="Calibri" w:eastAsia="宋体"/>
      <w:sz w:val="22"/>
      <w:szCs w:val="22"/>
      <w:lang w:val="en-US" w:eastAsia="zh-CN" w:bidi="ar-SA"/>
    </w:rPr>
  </w:style>
  <w:style w:type="character" w:customStyle="1" w:styleId="150">
    <w:name w:val="正文文本缩进 Char1"/>
    <w:semiHidden/>
    <w:qFormat/>
    <w:uiPriority w:val="0"/>
    <w:rPr>
      <w:kern w:val="2"/>
      <w:sz w:val="21"/>
      <w:szCs w:val="22"/>
    </w:rPr>
  </w:style>
  <w:style w:type="character" w:customStyle="1" w:styleId="151">
    <w:name w:val="font31"/>
    <w:basedOn w:val="54"/>
    <w:qFormat/>
    <w:uiPriority w:val="0"/>
    <w:rPr>
      <w:rFonts w:hint="eastAsia" w:ascii="宋体" w:hAnsi="宋体" w:eastAsia="宋体" w:cs="宋体"/>
      <w:color w:val="000000"/>
      <w:sz w:val="16"/>
      <w:szCs w:val="16"/>
      <w:u w:val="none"/>
    </w:rPr>
  </w:style>
  <w:style w:type="character" w:customStyle="1" w:styleId="152">
    <w:name w:val="Char Char4"/>
    <w:qFormat/>
    <w:locked/>
    <w:uiPriority w:val="0"/>
    <w:rPr>
      <w:rFonts w:ascii="宋体" w:hAnsi="Courier New" w:eastAsia="宋体" w:cs="Courier New"/>
      <w:kern w:val="2"/>
      <w:sz w:val="21"/>
      <w:szCs w:val="21"/>
      <w:lang w:val="en-US" w:eastAsia="zh-CN" w:bidi="ar-SA"/>
    </w:rPr>
  </w:style>
  <w:style w:type="character" w:customStyle="1" w:styleId="153">
    <w:name w:val="Char Char21"/>
    <w:qFormat/>
    <w:uiPriority w:val="0"/>
    <w:rPr>
      <w:rFonts w:ascii="宋体" w:eastAsia="宋体"/>
      <w:sz w:val="24"/>
    </w:rPr>
  </w:style>
  <w:style w:type="character" w:customStyle="1" w:styleId="154">
    <w:name w:val="Char Char11"/>
    <w:qFormat/>
    <w:uiPriority w:val="0"/>
    <w:rPr>
      <w:rFonts w:ascii="Times New Roman" w:hAnsi="Times New Roman" w:eastAsia="宋体" w:cs="Times New Roman"/>
      <w:sz w:val="30"/>
      <w:szCs w:val="24"/>
    </w:rPr>
  </w:style>
  <w:style w:type="character" w:customStyle="1" w:styleId="155">
    <w:name w:val="font21"/>
    <w:basedOn w:val="54"/>
    <w:qFormat/>
    <w:uiPriority w:val="0"/>
    <w:rPr>
      <w:rFonts w:ascii="Calibri" w:hAnsi="Calibri" w:cs="Calibri"/>
      <w:color w:val="000000"/>
      <w:sz w:val="20"/>
      <w:szCs w:val="20"/>
      <w:u w:val="none"/>
    </w:rPr>
  </w:style>
  <w:style w:type="character" w:customStyle="1" w:styleId="156">
    <w:name w:val="彩色列表 - 强调文字颜色 1 Char"/>
    <w:qFormat/>
    <w:locked/>
    <w:uiPriority w:val="34"/>
    <w:rPr>
      <w:rFonts w:ascii="Calibri" w:hAnsi="Calibri"/>
      <w:sz w:val="24"/>
      <w:szCs w:val="24"/>
      <w:lang w:eastAsia="en-US"/>
    </w:rPr>
  </w:style>
  <w:style w:type="character" w:customStyle="1" w:styleId="157">
    <w:name w:val="Char Char111"/>
    <w:qFormat/>
    <w:uiPriority w:val="0"/>
    <w:rPr>
      <w:rFonts w:hint="default" w:ascii="Times New Roman" w:hAnsi="Times New Roman" w:eastAsia="宋体" w:cs="Times New Roman"/>
      <w:sz w:val="30"/>
      <w:szCs w:val="24"/>
    </w:rPr>
  </w:style>
  <w:style w:type="character" w:customStyle="1" w:styleId="158">
    <w:name w:val="ca-14"/>
    <w:basedOn w:val="54"/>
    <w:qFormat/>
    <w:uiPriority w:val="0"/>
  </w:style>
  <w:style w:type="character" w:customStyle="1" w:styleId="159">
    <w:name w:val="font11"/>
    <w:qFormat/>
    <w:uiPriority w:val="0"/>
    <w:rPr>
      <w:rFonts w:hint="eastAsia" w:ascii="宋体" w:hAnsi="宋体" w:eastAsia="宋体" w:cs="宋体"/>
      <w:color w:val="FF0000"/>
      <w:sz w:val="16"/>
      <w:szCs w:val="16"/>
      <w:u w:val="none"/>
    </w:rPr>
  </w:style>
  <w:style w:type="character" w:customStyle="1" w:styleId="160">
    <w:name w:val="row08"/>
    <w:qFormat/>
    <w:uiPriority w:val="0"/>
    <w:rPr>
      <w:rFonts w:cs="Times New Roman"/>
      <w:lang w:bidi="ar-SA"/>
    </w:rPr>
  </w:style>
  <w:style w:type="character" w:customStyle="1" w:styleId="161">
    <w:name w:val="列出段落 Char"/>
    <w:link w:val="162"/>
    <w:qFormat/>
    <w:uiPriority w:val="0"/>
    <w:rPr>
      <w:rFonts w:ascii="Calibri" w:hAnsi="Calibri" w:eastAsia="宋体"/>
      <w:kern w:val="2"/>
      <w:sz w:val="21"/>
      <w:szCs w:val="22"/>
      <w:lang w:val="en-US" w:eastAsia="zh-CN" w:bidi="ar-SA"/>
    </w:rPr>
  </w:style>
  <w:style w:type="paragraph" w:customStyle="1" w:styleId="162">
    <w:name w:val="列出段落3"/>
    <w:basedOn w:val="1"/>
    <w:link w:val="161"/>
    <w:qFormat/>
    <w:uiPriority w:val="0"/>
    <w:pPr>
      <w:ind w:firstLine="420" w:firstLineChars="200"/>
    </w:pPr>
    <w:rPr>
      <w:rFonts w:ascii="Calibri" w:hAnsi="Calibri"/>
      <w:szCs w:val="22"/>
    </w:rPr>
  </w:style>
  <w:style w:type="character" w:customStyle="1" w:styleId="163">
    <w:name w:val="自定义标题一 Char"/>
    <w:link w:val="164"/>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164">
    <w:name w:val="自定义标题一"/>
    <w:basedOn w:val="4"/>
    <w:link w:val="163"/>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165">
    <w:name w:val="Char Char6"/>
    <w:qFormat/>
    <w:locked/>
    <w:uiPriority w:val="0"/>
    <w:rPr>
      <w:rFonts w:ascii="宋体" w:hAnsi="Courier New" w:eastAsia="宋体" w:cs="Courier New"/>
      <w:kern w:val="2"/>
      <w:sz w:val="21"/>
      <w:szCs w:val="21"/>
      <w:lang w:val="en-US" w:eastAsia="zh-CN" w:bidi="ar-SA"/>
    </w:rPr>
  </w:style>
  <w:style w:type="character" w:customStyle="1" w:styleId="166">
    <w:name w:val="ca-15"/>
    <w:basedOn w:val="54"/>
    <w:qFormat/>
    <w:uiPriority w:val="0"/>
  </w:style>
  <w:style w:type="character" w:customStyle="1" w:styleId="167">
    <w:name w:val="Char Char28"/>
    <w:qFormat/>
    <w:locked/>
    <w:uiPriority w:val="0"/>
    <w:rPr>
      <w:rFonts w:eastAsia="宋体"/>
      <w:b/>
      <w:bCs/>
      <w:kern w:val="44"/>
      <w:sz w:val="44"/>
      <w:szCs w:val="44"/>
      <w:lang w:val="en-US" w:eastAsia="zh-CN" w:bidi="ar-SA"/>
    </w:rPr>
  </w:style>
  <w:style w:type="character" w:customStyle="1" w:styleId="168">
    <w:name w:val="Char Char Char Char Char11"/>
    <w:qFormat/>
    <w:uiPriority w:val="0"/>
    <w:rPr>
      <w:rFonts w:eastAsia="宋体"/>
      <w:b/>
      <w:bCs/>
      <w:kern w:val="44"/>
      <w:sz w:val="44"/>
      <w:szCs w:val="44"/>
      <w:lang w:val="en-US" w:eastAsia="zh-CN" w:bidi="ar-SA"/>
    </w:rPr>
  </w:style>
  <w:style w:type="character" w:customStyle="1" w:styleId="169">
    <w:name w:val="正文2 Char Char"/>
    <w:link w:val="170"/>
    <w:qFormat/>
    <w:locked/>
    <w:uiPriority w:val="0"/>
    <w:rPr>
      <w:kern w:val="2"/>
      <w:sz w:val="28"/>
      <w:szCs w:val="22"/>
      <w:lang w:bidi="ar-SA"/>
    </w:rPr>
  </w:style>
  <w:style w:type="paragraph" w:customStyle="1" w:styleId="170">
    <w:name w:val="正文2"/>
    <w:basedOn w:val="1"/>
    <w:link w:val="169"/>
    <w:qFormat/>
    <w:uiPriority w:val="0"/>
    <w:pPr>
      <w:spacing w:line="360" w:lineRule="auto"/>
      <w:ind w:firstLine="200" w:firstLineChars="200"/>
    </w:pPr>
    <w:rPr>
      <w:sz w:val="28"/>
      <w:szCs w:val="22"/>
    </w:rPr>
  </w:style>
  <w:style w:type="character" w:customStyle="1" w:styleId="171">
    <w:name w:val="正文文字首行缩进 Char"/>
    <w:qFormat/>
    <w:locked/>
    <w:uiPriority w:val="0"/>
    <w:rPr>
      <w:rFonts w:ascii="仿宋_GB2312" w:eastAsia="仿宋_GB2312"/>
      <w:kern w:val="2"/>
      <w:sz w:val="32"/>
    </w:rPr>
  </w:style>
  <w:style w:type="character" w:customStyle="1" w:styleId="172">
    <w:name w:val="Char Char"/>
    <w:qFormat/>
    <w:uiPriority w:val="0"/>
    <w:rPr>
      <w:rFonts w:ascii="宋体" w:eastAsia="宋体" w:cs="Courier New"/>
      <w:kern w:val="2"/>
      <w:sz w:val="21"/>
      <w:szCs w:val="21"/>
      <w:lang w:val="en-US" w:eastAsia="zh-CN" w:bidi="ar-SA"/>
    </w:rPr>
  </w:style>
  <w:style w:type="character" w:customStyle="1" w:styleId="173">
    <w:name w:val="H1 Char"/>
    <w:qFormat/>
    <w:uiPriority w:val="0"/>
    <w:rPr>
      <w:rFonts w:eastAsia="宋体"/>
      <w:b/>
      <w:bCs/>
      <w:kern w:val="44"/>
      <w:sz w:val="44"/>
      <w:szCs w:val="44"/>
      <w:lang w:val="en-US" w:eastAsia="zh-CN" w:bidi="ar-SA"/>
    </w:rPr>
  </w:style>
  <w:style w:type="character" w:customStyle="1" w:styleId="174">
    <w:name w:val="Plain Text Char"/>
    <w:link w:val="175"/>
    <w:qFormat/>
    <w:locked/>
    <w:uiPriority w:val="0"/>
    <w:rPr>
      <w:rFonts w:ascii="宋体" w:hAnsi="Courier New" w:eastAsia="宋体"/>
      <w:kern w:val="2"/>
      <w:sz w:val="21"/>
    </w:rPr>
  </w:style>
  <w:style w:type="paragraph" w:customStyle="1" w:styleId="175">
    <w:name w:val="纯文本1"/>
    <w:basedOn w:val="1"/>
    <w:link w:val="174"/>
    <w:qFormat/>
    <w:uiPriority w:val="0"/>
    <w:rPr>
      <w:rFonts w:ascii="宋体" w:hAnsi="Courier New"/>
      <w:szCs w:val="20"/>
    </w:rPr>
  </w:style>
  <w:style w:type="character" w:customStyle="1" w:styleId="176">
    <w:name w:val="style31"/>
    <w:qFormat/>
    <w:uiPriority w:val="0"/>
    <w:rPr>
      <w:sz w:val="18"/>
      <w:szCs w:val="18"/>
    </w:rPr>
  </w:style>
  <w:style w:type="character" w:customStyle="1" w:styleId="177">
    <w:name w:val="纯文本 字符"/>
    <w:qFormat/>
    <w:uiPriority w:val="0"/>
    <w:rPr>
      <w:rFonts w:ascii="宋体" w:hAnsi="Courier New" w:eastAsia="宋体" w:cs="Courier New"/>
      <w:kern w:val="2"/>
      <w:sz w:val="21"/>
      <w:szCs w:val="21"/>
      <w:lang w:val="en-US" w:eastAsia="zh-CN" w:bidi="ar-SA"/>
    </w:rPr>
  </w:style>
  <w:style w:type="character" w:customStyle="1" w:styleId="178">
    <w:name w:val="ti"/>
    <w:basedOn w:val="54"/>
    <w:qFormat/>
    <w:uiPriority w:val="0"/>
  </w:style>
  <w:style w:type="character" w:customStyle="1" w:styleId="179">
    <w:name w:val="1ji Char"/>
    <w:link w:val="180"/>
    <w:qFormat/>
    <w:uiPriority w:val="0"/>
    <w:rPr>
      <w:rFonts w:ascii="宋体" w:hAnsi="宋体" w:eastAsia="宋体"/>
      <w:b/>
      <w:bCs/>
      <w:kern w:val="44"/>
      <w:sz w:val="36"/>
      <w:szCs w:val="44"/>
      <w:lang w:val="en-US" w:eastAsia="zh-CN" w:bidi="ar-SA"/>
    </w:rPr>
  </w:style>
  <w:style w:type="paragraph" w:customStyle="1" w:styleId="180">
    <w:name w:val="1ji"/>
    <w:basedOn w:val="4"/>
    <w:link w:val="179"/>
    <w:qFormat/>
    <w:uiPriority w:val="0"/>
    <w:pPr>
      <w:keepLines w:val="0"/>
      <w:widowControl/>
      <w:spacing w:before="0" w:after="0" w:line="240" w:lineRule="auto"/>
      <w:jc w:val="center"/>
    </w:pPr>
    <w:rPr>
      <w:rFonts w:ascii="宋体" w:hAnsi="宋体"/>
      <w:sz w:val="36"/>
    </w:rPr>
  </w:style>
  <w:style w:type="character" w:customStyle="1" w:styleId="181">
    <w:name w:val="Char Char2311"/>
    <w:qFormat/>
    <w:uiPriority w:val="0"/>
    <w:rPr>
      <w:rFonts w:ascii="Times New Roman" w:hAnsi="Times New Roman" w:eastAsia="宋体" w:cs="Times New Roman"/>
      <w:b/>
      <w:bCs/>
      <w:kern w:val="44"/>
      <w:sz w:val="44"/>
      <w:szCs w:val="44"/>
    </w:rPr>
  </w:style>
  <w:style w:type="character" w:customStyle="1" w:styleId="182">
    <w:name w:val="ca-13"/>
    <w:basedOn w:val="54"/>
    <w:qFormat/>
    <w:uiPriority w:val="0"/>
  </w:style>
  <w:style w:type="character" w:customStyle="1" w:styleId="183">
    <w:name w:val="纯文本 Char1"/>
    <w:qFormat/>
    <w:uiPriority w:val="99"/>
    <w:rPr>
      <w:rFonts w:ascii="宋体" w:hAnsi="Courier New" w:eastAsia="宋体" w:cs="Courier New"/>
      <w:kern w:val="2"/>
      <w:sz w:val="21"/>
      <w:szCs w:val="21"/>
      <w:lang w:val="en-US" w:eastAsia="zh-CN" w:bidi="ar-SA"/>
    </w:rPr>
  </w:style>
  <w:style w:type="character" w:customStyle="1" w:styleId="184">
    <w:name w:val="font51"/>
    <w:basedOn w:val="54"/>
    <w:qFormat/>
    <w:uiPriority w:val="0"/>
    <w:rPr>
      <w:rFonts w:hint="eastAsia" w:ascii="宋体" w:hAnsi="宋体" w:eastAsia="宋体" w:cs="宋体"/>
      <w:color w:val="FF0000"/>
      <w:sz w:val="18"/>
      <w:szCs w:val="18"/>
      <w:u w:val="none"/>
      <w:vertAlign w:val="superscript"/>
    </w:rPr>
  </w:style>
  <w:style w:type="character" w:customStyle="1" w:styleId="185">
    <w:name w:val="ca-6"/>
    <w:basedOn w:val="54"/>
    <w:qFormat/>
    <w:uiPriority w:val="0"/>
  </w:style>
  <w:style w:type="character" w:customStyle="1" w:styleId="186">
    <w:name w:val="style161"/>
    <w:qFormat/>
    <w:uiPriority w:val="0"/>
    <w:rPr>
      <w:color w:val="666666"/>
    </w:rPr>
  </w:style>
  <w:style w:type="character" w:customStyle="1" w:styleId="187">
    <w:name w:val="Char Char1511"/>
    <w:qFormat/>
    <w:uiPriority w:val="0"/>
    <w:rPr>
      <w:sz w:val="18"/>
      <w:szCs w:val="18"/>
    </w:rPr>
  </w:style>
  <w:style w:type="character" w:customStyle="1" w:styleId="188">
    <w:name w:val="llyf92"/>
    <w:qFormat/>
    <w:uiPriority w:val="0"/>
    <w:rPr>
      <w:sz w:val="18"/>
      <w:szCs w:val="18"/>
    </w:rPr>
  </w:style>
  <w:style w:type="paragraph" w:customStyle="1" w:styleId="18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90">
    <w:name w:val="Char Char1 Char Char Char Char1"/>
    <w:basedOn w:val="17"/>
    <w:qFormat/>
    <w:uiPriority w:val="0"/>
    <w:rPr>
      <w:rFonts w:ascii="Tahoma" w:hAnsi="Tahoma"/>
      <w:sz w:val="24"/>
    </w:rPr>
  </w:style>
  <w:style w:type="paragraph" w:customStyle="1" w:styleId="191">
    <w:name w:val="表-正文"/>
    <w:basedOn w:val="1"/>
    <w:qFormat/>
    <w:uiPriority w:val="0"/>
    <w:pPr>
      <w:autoSpaceDE w:val="0"/>
      <w:autoSpaceDN w:val="0"/>
      <w:adjustRightInd w:val="0"/>
      <w:spacing w:line="240" w:lineRule="atLeast"/>
      <w:jc w:val="center"/>
    </w:pPr>
    <w:rPr>
      <w:rFonts w:ascii="方正中等线简体 Regular" w:hAnsi="Calibri" w:eastAsia="方正中等线简体 Regular" w:cs="方正中等线简体 Regular"/>
      <w:color w:val="000000"/>
      <w:kern w:val="0"/>
      <w:sz w:val="18"/>
      <w:szCs w:val="18"/>
      <w:lang w:val="zh-CN"/>
    </w:rPr>
  </w:style>
  <w:style w:type="paragraph" w:customStyle="1" w:styleId="192">
    <w:name w:val="Char Char112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193">
    <w:name w:val="列出段落1"/>
    <w:qFormat/>
    <w:uiPriority w:val="0"/>
    <w:pPr>
      <w:ind w:firstLine="420" w:firstLineChars="200"/>
    </w:pPr>
    <w:rPr>
      <w:rFonts w:ascii="Times New Roman" w:hAnsi="Times New Roman" w:eastAsia="宋体" w:cs="Times New Roman"/>
      <w:szCs w:val="22"/>
      <w:lang w:val="en-US" w:eastAsia="zh-CN" w:bidi="ar-SA"/>
    </w:rPr>
  </w:style>
  <w:style w:type="paragraph" w:customStyle="1" w:styleId="194">
    <w:name w:val="标准文本"/>
    <w:basedOn w:val="1"/>
    <w:qFormat/>
    <w:uiPriority w:val="0"/>
    <w:pPr>
      <w:spacing w:line="360" w:lineRule="auto"/>
      <w:ind w:firstLine="200" w:firstLineChars="200"/>
    </w:pPr>
    <w:rPr>
      <w:kern w:val="0"/>
      <w:sz w:val="24"/>
      <w:szCs w:val="20"/>
    </w:rPr>
  </w:style>
  <w:style w:type="paragraph" w:customStyle="1" w:styleId="195">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196">
    <w:name w:val="font10"/>
    <w:basedOn w:val="1"/>
    <w:qFormat/>
    <w:uiPriority w:val="0"/>
    <w:pPr>
      <w:widowControl/>
      <w:spacing w:before="100" w:beforeAutospacing="1" w:after="100" w:afterAutospacing="1"/>
      <w:jc w:val="left"/>
    </w:pPr>
    <w:rPr>
      <w:color w:val="000000"/>
      <w:kern w:val="0"/>
      <w:sz w:val="24"/>
    </w:rPr>
  </w:style>
  <w:style w:type="paragraph" w:customStyle="1" w:styleId="197">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8">
    <w:name w:val="列出段落2"/>
    <w:basedOn w:val="1"/>
    <w:qFormat/>
    <w:uiPriority w:val="0"/>
    <w:pPr>
      <w:ind w:firstLine="420" w:firstLineChars="200"/>
    </w:pPr>
    <w:rPr>
      <w:sz w:val="24"/>
    </w:rPr>
  </w:style>
  <w:style w:type="paragraph" w:customStyle="1" w:styleId="199">
    <w:name w:val="Char Char18"/>
    <w:basedOn w:val="17"/>
    <w:qFormat/>
    <w:uiPriority w:val="0"/>
    <w:pPr>
      <w:widowControl/>
      <w:ind w:firstLine="454"/>
      <w:jc w:val="left"/>
    </w:pPr>
    <w:rPr>
      <w:rFonts w:ascii="Tahoma" w:hAnsi="Tahoma" w:cs="宋体"/>
      <w:kern w:val="0"/>
      <w:sz w:val="24"/>
      <w:szCs w:val="20"/>
    </w:rPr>
  </w:style>
  <w:style w:type="paragraph" w:customStyle="1" w:styleId="200">
    <w:name w:val="Char Char Char Char Char Char Char Char Char"/>
    <w:basedOn w:val="1"/>
    <w:qFormat/>
    <w:uiPriority w:val="0"/>
    <w:pPr>
      <w:widowControl/>
      <w:spacing w:after="160" w:line="240" w:lineRule="exact"/>
      <w:jc w:val="left"/>
    </w:pPr>
    <w:rPr>
      <w:szCs w:val="20"/>
    </w:rPr>
  </w:style>
  <w:style w:type="paragraph" w:customStyle="1" w:styleId="201">
    <w:name w:val="Table Paragraph"/>
    <w:basedOn w:val="1"/>
    <w:qFormat/>
    <w:uiPriority w:val="1"/>
    <w:rPr>
      <w:rFonts w:ascii="宋体" w:hAnsi="宋体" w:cs="宋体"/>
      <w:lang w:val="zh-CN" w:bidi="zh-CN"/>
    </w:rPr>
  </w:style>
  <w:style w:type="paragraph" w:customStyle="1" w:styleId="202">
    <w:name w:val="纯文本111"/>
    <w:basedOn w:val="1"/>
    <w:qFormat/>
    <w:uiPriority w:val="0"/>
    <w:rPr>
      <w:rFonts w:ascii="宋体"/>
      <w:szCs w:val="21"/>
    </w:rPr>
  </w:style>
  <w:style w:type="paragraph" w:customStyle="1" w:styleId="203">
    <w:name w:val="1"/>
    <w:basedOn w:val="1"/>
    <w:next w:val="29"/>
    <w:qFormat/>
    <w:uiPriority w:val="0"/>
    <w:rPr>
      <w:rFonts w:ascii="宋体" w:hAnsi="Courier New"/>
      <w:szCs w:val="20"/>
    </w:rPr>
  </w:style>
  <w:style w:type="paragraph" w:customStyle="1" w:styleId="204">
    <w:name w:val="文章附标题"/>
    <w:basedOn w:val="1"/>
    <w:next w:val="4"/>
    <w:qFormat/>
    <w:uiPriority w:val="0"/>
    <w:pPr>
      <w:widowControl/>
      <w:spacing w:before="187" w:after="175" w:line="374" w:lineRule="atLeast"/>
      <w:jc w:val="center"/>
      <w:textAlignment w:val="baseline"/>
    </w:pPr>
    <w:rPr>
      <w:color w:val="000000"/>
      <w:kern w:val="0"/>
      <w:sz w:val="36"/>
      <w:szCs w:val="20"/>
    </w:rPr>
  </w:style>
  <w:style w:type="paragraph" w:customStyle="1" w:styleId="205">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206">
    <w:name w:val="Char2"/>
    <w:basedOn w:val="1"/>
    <w:qFormat/>
    <w:uiPriority w:val="0"/>
    <w:rPr>
      <w:szCs w:val="20"/>
    </w:rPr>
  </w:style>
  <w:style w:type="paragraph" w:customStyle="1" w:styleId="207">
    <w:name w:val="_Style 205"/>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8">
    <w:name w:val="正文文本缩进 Char Char Char Char"/>
    <w:basedOn w:val="1"/>
    <w:qFormat/>
    <w:uiPriority w:val="0"/>
    <w:pPr>
      <w:ind w:firstLine="540"/>
    </w:pPr>
    <w:rPr>
      <w:rFonts w:hint="eastAsia" w:ascii="宋体" w:hAnsi="Courier New"/>
      <w:szCs w:val="20"/>
    </w:rPr>
  </w:style>
  <w:style w:type="paragraph" w:customStyle="1" w:styleId="209">
    <w:name w:val="Char Char19 Char Char Char Char"/>
    <w:basedOn w:val="17"/>
    <w:qFormat/>
    <w:uiPriority w:val="0"/>
    <w:pPr>
      <w:widowControl/>
      <w:ind w:firstLine="454"/>
      <w:jc w:val="left"/>
    </w:pPr>
  </w:style>
  <w:style w:type="paragraph" w:customStyle="1" w:styleId="210">
    <w:name w:val="pa-14"/>
    <w:basedOn w:val="1"/>
    <w:qFormat/>
    <w:uiPriority w:val="0"/>
    <w:pPr>
      <w:widowControl/>
      <w:spacing w:before="169" w:after="169"/>
      <w:jc w:val="left"/>
    </w:pPr>
    <w:rPr>
      <w:rFonts w:ascii="宋体" w:hAnsi="宋体" w:cs="宋体"/>
      <w:kern w:val="0"/>
      <w:sz w:val="24"/>
    </w:rPr>
  </w:style>
  <w:style w:type="paragraph" w:customStyle="1" w:styleId="211">
    <w:name w:val="标题3"/>
    <w:basedOn w:val="6"/>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212">
    <w:name w:val="msolistparagraph"/>
    <w:basedOn w:val="1"/>
    <w:qFormat/>
    <w:uiPriority w:val="0"/>
    <w:pPr>
      <w:ind w:firstLine="420" w:firstLineChars="200"/>
    </w:pPr>
    <w:rPr>
      <w:rFonts w:ascii="Calibri" w:hAnsi="Calibri"/>
      <w:szCs w:val="22"/>
    </w:rPr>
  </w:style>
  <w:style w:type="paragraph" w:customStyle="1" w:styleId="213">
    <w:name w:val="标准正文"/>
    <w:basedOn w:val="1"/>
    <w:qFormat/>
    <w:uiPriority w:val="0"/>
    <w:pPr>
      <w:spacing w:before="60" w:after="60" w:line="360" w:lineRule="auto"/>
      <w:ind w:firstLine="482"/>
    </w:pPr>
    <w:rPr>
      <w:rFonts w:ascii="Arial" w:hAnsi="Arial"/>
      <w:color w:val="000000"/>
      <w:sz w:val="24"/>
      <w:szCs w:val="20"/>
    </w:rPr>
  </w:style>
  <w:style w:type="paragraph" w:customStyle="1" w:styleId="214">
    <w:name w:val="pa-6"/>
    <w:basedOn w:val="1"/>
    <w:qFormat/>
    <w:uiPriority w:val="0"/>
    <w:pPr>
      <w:widowControl/>
      <w:spacing w:before="169" w:after="169"/>
      <w:jc w:val="left"/>
    </w:pPr>
    <w:rPr>
      <w:rFonts w:ascii="宋体" w:hAnsi="宋体" w:cs="宋体"/>
      <w:kern w:val="0"/>
      <w:sz w:val="24"/>
    </w:rPr>
  </w:style>
  <w:style w:type="paragraph" w:customStyle="1" w:styleId="215">
    <w:name w:val="_Style 213"/>
    <w:semiHidden/>
    <w:qFormat/>
    <w:uiPriority w:val="99"/>
    <w:rPr>
      <w:rFonts w:ascii="Times New Roman" w:hAnsi="Times New Roman" w:eastAsia="宋体" w:cs="Times New Roman"/>
      <w:kern w:val="2"/>
      <w:sz w:val="21"/>
      <w:szCs w:val="24"/>
      <w:lang w:val="en-US" w:eastAsia="zh-CN" w:bidi="ar-SA"/>
    </w:rPr>
  </w:style>
  <w:style w:type="paragraph" w:customStyle="1" w:styleId="216">
    <w:name w:val="pa-4"/>
    <w:basedOn w:val="1"/>
    <w:qFormat/>
    <w:uiPriority w:val="0"/>
    <w:pPr>
      <w:widowControl/>
      <w:spacing w:before="169" w:after="169"/>
      <w:jc w:val="left"/>
    </w:pPr>
    <w:rPr>
      <w:rFonts w:ascii="宋体" w:hAnsi="宋体" w:cs="宋体"/>
      <w:kern w:val="0"/>
      <w:sz w:val="24"/>
    </w:rPr>
  </w:style>
  <w:style w:type="paragraph" w:customStyle="1" w:styleId="21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218">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paragraph" w:customStyle="1" w:styleId="219">
    <w:name w:val="样式 首行缩进:  2 字符"/>
    <w:basedOn w:val="1"/>
    <w:qFormat/>
    <w:uiPriority w:val="0"/>
    <w:pPr>
      <w:spacing w:line="400" w:lineRule="exact"/>
      <w:ind w:firstLine="200" w:firstLineChars="200"/>
    </w:pPr>
    <w:rPr>
      <w:rFonts w:cs="宋体"/>
      <w:sz w:val="24"/>
    </w:rPr>
  </w:style>
  <w:style w:type="paragraph" w:customStyle="1" w:styleId="220">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221">
    <w:name w:val="7"/>
    <w:basedOn w:val="17"/>
    <w:qFormat/>
    <w:uiPriority w:val="0"/>
    <w:pPr>
      <w:widowControl/>
      <w:ind w:firstLine="454"/>
      <w:jc w:val="left"/>
    </w:pPr>
    <w:rPr>
      <w:rFonts w:ascii="Tahoma" w:hAnsi="Tahoma" w:cs="宋体"/>
      <w:kern w:val="0"/>
      <w:sz w:val="24"/>
      <w:szCs w:val="20"/>
    </w:rPr>
  </w:style>
  <w:style w:type="paragraph" w:customStyle="1" w:styleId="222">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223">
    <w:name w:val="pa-10"/>
    <w:basedOn w:val="1"/>
    <w:qFormat/>
    <w:uiPriority w:val="0"/>
    <w:pPr>
      <w:widowControl/>
      <w:spacing w:before="169" w:after="169"/>
      <w:jc w:val="left"/>
    </w:pPr>
    <w:rPr>
      <w:rFonts w:ascii="宋体" w:hAnsi="宋体" w:cs="宋体"/>
      <w:kern w:val="0"/>
      <w:sz w:val="24"/>
    </w:rPr>
  </w:style>
  <w:style w:type="paragraph" w:customStyle="1" w:styleId="224">
    <w:name w:val="表格"/>
    <w:basedOn w:val="1"/>
    <w:qFormat/>
    <w:uiPriority w:val="0"/>
    <w:pPr>
      <w:spacing w:line="400" w:lineRule="exact"/>
    </w:pPr>
    <w:rPr>
      <w:sz w:val="24"/>
    </w:rPr>
  </w:style>
  <w:style w:type="paragraph" w:customStyle="1" w:styleId="225">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226">
    <w:name w:val="p15"/>
    <w:basedOn w:val="1"/>
    <w:qFormat/>
    <w:uiPriority w:val="0"/>
    <w:pPr>
      <w:widowControl/>
    </w:pPr>
    <w:rPr>
      <w:rFonts w:ascii="宋体" w:hAnsi="宋体" w:cs="宋体"/>
      <w:kern w:val="0"/>
      <w:szCs w:val="21"/>
    </w:rPr>
  </w:style>
  <w:style w:type="paragraph" w:customStyle="1" w:styleId="227">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228">
    <w:name w:val="正文段"/>
    <w:basedOn w:val="1"/>
    <w:qFormat/>
    <w:uiPriority w:val="0"/>
    <w:pPr>
      <w:widowControl/>
      <w:snapToGrid w:val="0"/>
      <w:spacing w:after="156" w:afterLines="50"/>
      <w:ind w:firstLine="200" w:firstLineChars="200"/>
    </w:pPr>
    <w:rPr>
      <w:kern w:val="0"/>
      <w:sz w:val="24"/>
      <w:szCs w:val="20"/>
    </w:rPr>
  </w:style>
  <w:style w:type="paragraph" w:customStyle="1" w:styleId="229">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230">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3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32">
    <w:name w:val="p0"/>
    <w:basedOn w:val="1"/>
    <w:qFormat/>
    <w:uiPriority w:val="0"/>
    <w:pPr>
      <w:widowControl/>
    </w:pPr>
    <w:rPr>
      <w:kern w:val="0"/>
      <w:szCs w:val="21"/>
    </w:rPr>
  </w:style>
  <w:style w:type="paragraph" w:customStyle="1" w:styleId="233">
    <w:name w:val="段"/>
    <w:link w:val="23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34">
    <w:name w:val="段 Char Char"/>
    <w:link w:val="233"/>
    <w:qFormat/>
    <w:locked/>
    <w:uiPriority w:val="0"/>
    <w:rPr>
      <w:rFonts w:ascii="宋体"/>
      <w:sz w:val="21"/>
      <w:lang w:val="en-US" w:eastAsia="zh-CN" w:bidi="ar-SA"/>
    </w:rPr>
  </w:style>
  <w:style w:type="paragraph" w:customStyle="1" w:styleId="235">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236">
    <w:name w:val="Char Char19 Char Char Char Char11"/>
    <w:basedOn w:val="17"/>
    <w:qFormat/>
    <w:uiPriority w:val="0"/>
    <w:pPr>
      <w:widowControl/>
      <w:ind w:firstLine="454"/>
      <w:jc w:val="left"/>
    </w:pPr>
  </w:style>
  <w:style w:type="paragraph" w:customStyle="1" w:styleId="237">
    <w:name w:val="文章总标题"/>
    <w:basedOn w:val="1"/>
    <w:next w:val="204"/>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23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239">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240">
    <w:name w:val="4"/>
    <w:basedOn w:val="1"/>
    <w:next w:val="32"/>
    <w:qFormat/>
    <w:uiPriority w:val="0"/>
    <w:pPr>
      <w:spacing w:line="420" w:lineRule="exact"/>
      <w:ind w:firstLine="409" w:firstLineChars="195"/>
    </w:pPr>
  </w:style>
  <w:style w:type="paragraph" w:customStyle="1" w:styleId="241">
    <w:name w:val="pa-8"/>
    <w:basedOn w:val="1"/>
    <w:qFormat/>
    <w:uiPriority w:val="0"/>
    <w:pPr>
      <w:widowControl/>
      <w:spacing w:before="169" w:after="169"/>
      <w:jc w:val="left"/>
    </w:pPr>
    <w:rPr>
      <w:rFonts w:ascii="宋体" w:hAnsi="宋体" w:cs="宋体"/>
      <w:kern w:val="0"/>
      <w:sz w:val="24"/>
    </w:rPr>
  </w:style>
  <w:style w:type="paragraph" w:customStyle="1" w:styleId="242">
    <w:name w:val="Char Char Char Char"/>
    <w:basedOn w:val="17"/>
    <w:qFormat/>
    <w:uiPriority w:val="0"/>
    <w:pPr>
      <w:adjustRightInd w:val="0"/>
      <w:snapToGrid w:val="0"/>
      <w:spacing w:line="360" w:lineRule="auto"/>
    </w:pPr>
    <w:rPr>
      <w:rFonts w:ascii="Tahoma" w:hAnsi="Tahoma"/>
      <w:sz w:val="24"/>
    </w:rPr>
  </w:style>
  <w:style w:type="paragraph" w:customStyle="1" w:styleId="243">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4">
    <w:name w:val="表内文字"/>
    <w:basedOn w:val="1"/>
    <w:qFormat/>
    <w:uiPriority w:val="0"/>
    <w:pPr>
      <w:snapToGrid w:val="0"/>
      <w:spacing w:before="50" w:after="50" w:line="360" w:lineRule="exact"/>
    </w:pPr>
    <w:rPr>
      <w:rFonts w:ascii="宋体" w:hAnsi="宋体"/>
      <w:b/>
      <w:color w:val="0000FF"/>
      <w:szCs w:val="21"/>
    </w:rPr>
  </w:style>
  <w:style w:type="paragraph" w:customStyle="1" w:styleId="245">
    <w:name w:val="样式 正文文字 + 小四 段后: 0 磅 行距: 1.5 倍行距"/>
    <w:basedOn w:val="3"/>
    <w:qFormat/>
    <w:uiPriority w:val="0"/>
    <w:pPr>
      <w:spacing w:line="360" w:lineRule="auto"/>
      <w:ind w:firstLine="480" w:firstLineChars="200"/>
    </w:pPr>
    <w:rPr>
      <w:rFonts w:cs="宋体"/>
      <w:szCs w:val="20"/>
    </w:rPr>
  </w:style>
  <w:style w:type="paragraph" w:customStyle="1" w:styleId="246">
    <w:name w:val="No Spacing11"/>
    <w:link w:val="247"/>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47">
    <w:name w:val="No Spacing Char"/>
    <w:link w:val="246"/>
    <w:qFormat/>
    <w:locked/>
    <w:uiPriority w:val="0"/>
    <w:rPr>
      <w:kern w:val="2"/>
      <w:sz w:val="21"/>
      <w:szCs w:val="22"/>
      <w:lang w:val="en-US" w:eastAsia="zh-CN" w:bidi="ar-SA"/>
    </w:rPr>
  </w:style>
  <w:style w:type="paragraph" w:customStyle="1" w:styleId="248">
    <w:name w:val="Char21"/>
    <w:basedOn w:val="1"/>
    <w:qFormat/>
    <w:uiPriority w:val="0"/>
    <w:pPr>
      <w:widowControl/>
      <w:spacing w:after="160" w:line="240" w:lineRule="exact"/>
      <w:jc w:val="left"/>
    </w:pPr>
  </w:style>
  <w:style w:type="paragraph" w:customStyle="1" w:styleId="249">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50">
    <w:name w:val="默认段落字体 Para Char"/>
    <w:basedOn w:val="1"/>
    <w:qFormat/>
    <w:uiPriority w:val="0"/>
    <w:pPr>
      <w:adjustRightInd w:val="0"/>
      <w:spacing w:line="360" w:lineRule="auto"/>
    </w:pPr>
    <w:rPr>
      <w:szCs w:val="20"/>
    </w:rPr>
  </w:style>
  <w:style w:type="paragraph" w:customStyle="1" w:styleId="251">
    <w:name w:val="Char11"/>
    <w:basedOn w:val="17"/>
    <w:qFormat/>
    <w:uiPriority w:val="0"/>
    <w:pPr>
      <w:widowControl/>
      <w:ind w:firstLine="454"/>
      <w:jc w:val="left"/>
    </w:pPr>
    <w:rPr>
      <w:rFonts w:ascii="Tahoma" w:hAnsi="Tahoma" w:cs="宋体"/>
      <w:kern w:val="0"/>
      <w:sz w:val="24"/>
      <w:szCs w:val="20"/>
    </w:rPr>
  </w:style>
  <w:style w:type="paragraph" w:customStyle="1" w:styleId="252">
    <w:name w:val="pa-11"/>
    <w:basedOn w:val="1"/>
    <w:qFormat/>
    <w:uiPriority w:val="0"/>
    <w:pPr>
      <w:widowControl/>
      <w:spacing w:before="169" w:after="169"/>
      <w:jc w:val="left"/>
    </w:pPr>
    <w:rPr>
      <w:rFonts w:ascii="宋体" w:hAnsi="宋体" w:cs="宋体"/>
      <w:kern w:val="0"/>
      <w:sz w:val="24"/>
    </w:rPr>
  </w:style>
  <w:style w:type="paragraph" w:customStyle="1" w:styleId="253">
    <w:name w:val="Char"/>
    <w:basedOn w:val="17"/>
    <w:qFormat/>
    <w:uiPriority w:val="0"/>
    <w:pPr>
      <w:widowControl/>
      <w:ind w:firstLine="454"/>
      <w:jc w:val="left"/>
    </w:pPr>
    <w:rPr>
      <w:rFonts w:ascii="Tahoma" w:hAnsi="Tahoma" w:cs="宋体"/>
      <w:kern w:val="0"/>
      <w:sz w:val="24"/>
      <w:szCs w:val="20"/>
    </w:rPr>
  </w:style>
  <w:style w:type="paragraph" w:customStyle="1" w:styleId="254">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255">
    <w:name w:val="Char Char1 Char Char Char Char"/>
    <w:basedOn w:val="17"/>
    <w:qFormat/>
    <w:uiPriority w:val="0"/>
    <w:rPr>
      <w:rFonts w:ascii="Tahoma" w:hAnsi="Tahoma"/>
      <w:sz w:val="24"/>
    </w:rPr>
  </w:style>
  <w:style w:type="paragraph" w:customStyle="1" w:styleId="256">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257">
    <w:name w:val="pa-12"/>
    <w:basedOn w:val="1"/>
    <w:qFormat/>
    <w:uiPriority w:val="0"/>
    <w:pPr>
      <w:widowControl/>
      <w:spacing w:before="169" w:after="169"/>
      <w:jc w:val="left"/>
    </w:pPr>
    <w:rPr>
      <w:rFonts w:ascii="宋体" w:hAnsi="宋体" w:cs="宋体"/>
      <w:kern w:val="0"/>
      <w:sz w:val="24"/>
    </w:rPr>
  </w:style>
  <w:style w:type="paragraph" w:customStyle="1" w:styleId="258">
    <w:name w:val="标题1"/>
    <w:basedOn w:val="4"/>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259">
    <w:name w:val="2ji"/>
    <w:basedOn w:val="5"/>
    <w:qFormat/>
    <w:uiPriority w:val="0"/>
    <w:pPr>
      <w:adjustRightInd w:val="0"/>
      <w:spacing w:before="0" w:after="0" w:line="360" w:lineRule="auto"/>
      <w:textAlignment w:val="baseline"/>
    </w:pPr>
    <w:rPr>
      <w:rFonts w:ascii="宋体" w:hAnsi="宋体" w:eastAsia="宋体"/>
      <w:sz w:val="21"/>
      <w:szCs w:val="21"/>
    </w:rPr>
  </w:style>
  <w:style w:type="paragraph" w:customStyle="1" w:styleId="260">
    <w:name w:val="pa-9"/>
    <w:basedOn w:val="1"/>
    <w:qFormat/>
    <w:uiPriority w:val="0"/>
    <w:pPr>
      <w:widowControl/>
      <w:spacing w:before="169" w:after="169"/>
      <w:jc w:val="left"/>
    </w:pPr>
    <w:rPr>
      <w:rFonts w:ascii="宋体" w:hAnsi="宋体" w:cs="宋体"/>
      <w:kern w:val="0"/>
      <w:sz w:val="24"/>
    </w:rPr>
  </w:style>
  <w:style w:type="paragraph" w:customStyle="1" w:styleId="261">
    <w:name w:val="正文首行缩进两字符"/>
    <w:basedOn w:val="1"/>
    <w:qFormat/>
    <w:uiPriority w:val="0"/>
    <w:pPr>
      <w:spacing w:line="360" w:lineRule="auto"/>
      <w:ind w:firstLine="200" w:firstLineChars="200"/>
    </w:pPr>
  </w:style>
  <w:style w:type="paragraph" w:customStyle="1" w:styleId="262">
    <w:name w:val="Char Char Char1"/>
    <w:basedOn w:val="1"/>
    <w:qFormat/>
    <w:uiPriority w:val="0"/>
    <w:rPr>
      <w:rFonts w:ascii="Tahoma" w:hAnsi="Tahoma"/>
      <w:sz w:val="24"/>
      <w:szCs w:val="20"/>
    </w:rPr>
  </w:style>
  <w:style w:type="paragraph" w:customStyle="1" w:styleId="263">
    <w:name w:val="节标题"/>
    <w:basedOn w:val="1"/>
    <w:next w:val="225"/>
    <w:qFormat/>
    <w:uiPriority w:val="0"/>
    <w:pPr>
      <w:widowControl/>
      <w:spacing w:line="289" w:lineRule="atLeast"/>
      <w:jc w:val="center"/>
      <w:textAlignment w:val="baseline"/>
    </w:pPr>
    <w:rPr>
      <w:color w:val="000000"/>
      <w:kern w:val="0"/>
      <w:sz w:val="28"/>
      <w:szCs w:val="20"/>
    </w:rPr>
  </w:style>
  <w:style w:type="paragraph" w:customStyle="1" w:styleId="264">
    <w:name w:val="F2"/>
    <w:basedOn w:val="1"/>
    <w:qFormat/>
    <w:uiPriority w:val="0"/>
    <w:pPr>
      <w:autoSpaceDE w:val="0"/>
      <w:autoSpaceDN w:val="0"/>
      <w:adjustRightInd w:val="0"/>
      <w:ind w:firstLine="601"/>
    </w:pPr>
    <w:rPr>
      <w:kern w:val="0"/>
      <w:sz w:val="24"/>
      <w:szCs w:val="20"/>
    </w:rPr>
  </w:style>
  <w:style w:type="paragraph" w:customStyle="1" w:styleId="265">
    <w:name w:val="Char Char Char Char Char Char Char Char Char Char Char Char Char Char Char Char21"/>
    <w:basedOn w:val="1"/>
    <w:qFormat/>
    <w:uiPriority w:val="0"/>
    <w:pPr>
      <w:tabs>
        <w:tab w:val="left" w:pos="360"/>
      </w:tabs>
      <w:spacing w:line="360" w:lineRule="auto"/>
      <w:ind w:left="482" w:firstLine="200" w:firstLineChars="200"/>
    </w:pPr>
    <w:rPr>
      <w:rFonts w:ascii="宋体"/>
      <w:sz w:val="24"/>
    </w:rPr>
  </w:style>
  <w:style w:type="paragraph" w:customStyle="1" w:styleId="266">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7">
    <w:name w:val="Char Char9 Char Char Char Char"/>
    <w:basedOn w:val="1"/>
    <w:qFormat/>
    <w:uiPriority w:val="0"/>
    <w:pPr>
      <w:widowControl/>
      <w:spacing w:after="160" w:line="240" w:lineRule="exact"/>
      <w:jc w:val="left"/>
    </w:pPr>
  </w:style>
  <w:style w:type="paragraph" w:customStyle="1" w:styleId="268">
    <w:name w:val="p16"/>
    <w:basedOn w:val="1"/>
    <w:qFormat/>
    <w:uiPriority w:val="0"/>
    <w:pPr>
      <w:widowControl/>
    </w:pPr>
    <w:rPr>
      <w:rFonts w:ascii="宋体" w:cs="宋体"/>
      <w:kern w:val="0"/>
      <w:sz w:val="20"/>
      <w:szCs w:val="20"/>
    </w:rPr>
  </w:style>
  <w:style w:type="paragraph" w:customStyle="1" w:styleId="269">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270">
    <w:name w:val="_Style 35"/>
    <w:basedOn w:val="17"/>
    <w:qFormat/>
    <w:uiPriority w:val="0"/>
    <w:pPr>
      <w:widowControl/>
      <w:ind w:firstLine="454"/>
      <w:jc w:val="left"/>
    </w:pPr>
  </w:style>
  <w:style w:type="paragraph" w:customStyle="1" w:styleId="271">
    <w:name w:val="Body"/>
    <w:basedOn w:val="1"/>
    <w:qFormat/>
    <w:uiPriority w:val="0"/>
    <w:pPr>
      <w:widowControl/>
      <w:tabs>
        <w:tab w:val="left" w:pos="1980"/>
      </w:tabs>
      <w:spacing w:before="80" w:after="80" w:line="360" w:lineRule="auto"/>
      <w:jc w:val="center"/>
    </w:pPr>
    <w:rPr>
      <w:szCs w:val="21"/>
    </w:rPr>
  </w:style>
  <w:style w:type="paragraph" w:customStyle="1" w:styleId="272">
    <w:name w:val="列出段落11"/>
    <w:basedOn w:val="1"/>
    <w:qFormat/>
    <w:uiPriority w:val="0"/>
    <w:pPr>
      <w:ind w:firstLine="200" w:firstLineChars="200"/>
    </w:pPr>
    <w:rPr>
      <w:sz w:val="24"/>
    </w:rPr>
  </w:style>
  <w:style w:type="paragraph" w:customStyle="1" w:styleId="273">
    <w:name w:val="pa-7"/>
    <w:basedOn w:val="1"/>
    <w:qFormat/>
    <w:uiPriority w:val="0"/>
    <w:pPr>
      <w:widowControl/>
      <w:spacing w:before="169" w:after="169"/>
      <w:jc w:val="left"/>
    </w:pPr>
    <w:rPr>
      <w:rFonts w:ascii="宋体" w:hAnsi="宋体" w:cs="宋体"/>
      <w:kern w:val="0"/>
      <w:sz w:val="24"/>
    </w:rPr>
  </w:style>
  <w:style w:type="paragraph" w:customStyle="1" w:styleId="274">
    <w:name w:val="Char31"/>
    <w:basedOn w:val="17"/>
    <w:qFormat/>
    <w:uiPriority w:val="0"/>
    <w:pPr>
      <w:widowControl/>
      <w:ind w:firstLine="454"/>
      <w:jc w:val="left"/>
    </w:pPr>
    <w:rPr>
      <w:rFonts w:ascii="Tahoma" w:hAnsi="Tahoma" w:cs="宋体"/>
      <w:kern w:val="0"/>
      <w:sz w:val="24"/>
      <w:szCs w:val="20"/>
    </w:rPr>
  </w:style>
  <w:style w:type="paragraph" w:customStyle="1" w:styleId="275">
    <w:name w:val="pa-15"/>
    <w:basedOn w:val="1"/>
    <w:qFormat/>
    <w:uiPriority w:val="0"/>
    <w:pPr>
      <w:widowControl/>
      <w:spacing w:before="169" w:after="169"/>
      <w:jc w:val="left"/>
    </w:pPr>
    <w:rPr>
      <w:rFonts w:ascii="宋体" w:hAnsi="宋体" w:cs="宋体"/>
      <w:kern w:val="0"/>
      <w:sz w:val="24"/>
    </w:rPr>
  </w:style>
  <w:style w:type="paragraph" w:customStyle="1" w:styleId="276">
    <w:name w:val="表-标题"/>
    <w:basedOn w:val="1"/>
    <w:qFormat/>
    <w:uiPriority w:val="0"/>
    <w:pPr>
      <w:autoSpaceDE w:val="0"/>
      <w:autoSpaceDN w:val="0"/>
      <w:adjustRightInd w:val="0"/>
      <w:spacing w:line="288" w:lineRule="auto"/>
      <w:jc w:val="center"/>
    </w:pPr>
    <w:rPr>
      <w:rFonts w:ascii="汉仪大黑简 regular" w:hAnsi="Calibri" w:eastAsia="汉仪大黑简 regular" w:cs="汉仪大黑简 regular"/>
      <w:color w:val="000000"/>
      <w:kern w:val="0"/>
      <w:sz w:val="16"/>
      <w:szCs w:val="16"/>
      <w:lang w:val="zh-CN"/>
    </w:rPr>
  </w:style>
  <w:style w:type="paragraph" w:customStyle="1" w:styleId="277">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278">
    <w:name w:val="List Paragraph1"/>
    <w:basedOn w:val="1"/>
    <w:qFormat/>
    <w:uiPriority w:val="0"/>
    <w:pPr>
      <w:ind w:firstLine="420" w:firstLineChars="200"/>
    </w:pPr>
  </w:style>
  <w:style w:type="paragraph" w:customStyle="1" w:styleId="27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80">
    <w:name w:val="[基本段落]"/>
    <w:basedOn w:val="1"/>
    <w:qFormat/>
    <w:uiPriority w:val="0"/>
    <w:pPr>
      <w:autoSpaceDE w:val="0"/>
      <w:autoSpaceDN w:val="0"/>
      <w:adjustRightInd w:val="0"/>
      <w:spacing w:line="288" w:lineRule="auto"/>
    </w:pPr>
    <w:rPr>
      <w:rFonts w:ascii="汉仪大黑简 regular" w:hAnsi="Calibri" w:eastAsia="汉仪大黑简 regular"/>
      <w:color w:val="000000"/>
      <w:kern w:val="0"/>
      <w:sz w:val="24"/>
      <w:lang w:val="zh-CN"/>
    </w:rPr>
  </w:style>
  <w:style w:type="paragraph" w:customStyle="1" w:styleId="281">
    <w:name w:val="Char Char1 Char Char Char Char21"/>
    <w:basedOn w:val="17"/>
    <w:qFormat/>
    <w:uiPriority w:val="0"/>
    <w:rPr>
      <w:rFonts w:ascii="Tahoma" w:hAnsi="Tahoma"/>
      <w:sz w:val="24"/>
    </w:rPr>
  </w:style>
  <w:style w:type="paragraph" w:customStyle="1" w:styleId="282">
    <w:name w:val="默认段落字体 Para Char Char Char Char Char Char Char Char Char1 Char Char Char Char"/>
    <w:basedOn w:val="1"/>
    <w:qFormat/>
    <w:uiPriority w:val="0"/>
    <w:rPr>
      <w:rFonts w:ascii="Tahoma" w:hAnsi="Tahoma"/>
      <w:sz w:val="24"/>
      <w:szCs w:val="20"/>
    </w:rPr>
  </w:style>
  <w:style w:type="paragraph" w:customStyle="1" w:styleId="283">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28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85">
    <w:name w:val="我的正文"/>
    <w:basedOn w:val="1"/>
    <w:qFormat/>
    <w:uiPriority w:val="0"/>
    <w:pPr>
      <w:spacing w:line="520" w:lineRule="exact"/>
      <w:ind w:firstLine="192" w:firstLineChars="192"/>
    </w:pPr>
    <w:rPr>
      <w:sz w:val="28"/>
      <w:szCs w:val="28"/>
    </w:rPr>
  </w:style>
  <w:style w:type="paragraph" w:customStyle="1" w:styleId="286">
    <w:name w:val="Char Char Char Char Char Char1 Char21"/>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287">
    <w:name w:val="Char221"/>
    <w:basedOn w:val="1"/>
    <w:qFormat/>
    <w:uiPriority w:val="0"/>
    <w:pPr>
      <w:widowControl/>
      <w:spacing w:after="160" w:line="240" w:lineRule="exact"/>
      <w:jc w:val="left"/>
    </w:pPr>
    <w:rPr>
      <w:rFonts w:ascii="Verdana" w:hAnsi="Verdana"/>
      <w:kern w:val="0"/>
      <w:szCs w:val="20"/>
      <w:lang w:eastAsia="en-US"/>
    </w:rPr>
  </w:style>
  <w:style w:type="paragraph" w:customStyle="1" w:styleId="288">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89">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0">
    <w:name w:val="Char Char9 Char Char Char Char1"/>
    <w:basedOn w:val="1"/>
    <w:qFormat/>
    <w:uiPriority w:val="0"/>
    <w:pPr>
      <w:widowControl/>
      <w:spacing w:after="160" w:line="240" w:lineRule="exact"/>
      <w:jc w:val="left"/>
    </w:pPr>
  </w:style>
  <w:style w:type="paragraph" w:customStyle="1" w:styleId="291">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292">
    <w:name w:val="Char Char Char21"/>
    <w:basedOn w:val="1"/>
    <w:qFormat/>
    <w:uiPriority w:val="0"/>
    <w:pPr>
      <w:widowControl/>
      <w:spacing w:after="160" w:line="240" w:lineRule="exact"/>
      <w:jc w:val="left"/>
    </w:pPr>
    <w:rPr>
      <w:rFonts w:ascii="Verdana" w:hAnsi="Verdana"/>
      <w:kern w:val="0"/>
      <w:sz w:val="20"/>
      <w:szCs w:val="20"/>
      <w:lang w:eastAsia="en-US"/>
    </w:rPr>
  </w:style>
  <w:style w:type="paragraph" w:customStyle="1" w:styleId="293">
    <w:name w:val="样式 标题 3 + (中文) 黑体 小四 非加粗 段前: 7.8 磅 段后: 0 磅 行距: 固定值 20 磅"/>
    <w:basedOn w:val="6"/>
    <w:qFormat/>
    <w:uiPriority w:val="0"/>
    <w:pPr>
      <w:spacing w:before="0" w:after="0" w:line="400" w:lineRule="exact"/>
    </w:pPr>
    <w:rPr>
      <w:rFonts w:eastAsia="黑体" w:cs="宋体"/>
      <w:b w:val="0"/>
      <w:bCs w:val="0"/>
      <w:sz w:val="24"/>
      <w:szCs w:val="20"/>
    </w:rPr>
  </w:style>
  <w:style w:type="paragraph" w:customStyle="1" w:styleId="294">
    <w:name w:val="Bullets"/>
    <w:basedOn w:val="1"/>
    <w:qFormat/>
    <w:uiPriority w:val="0"/>
    <w:pPr>
      <w:widowControl/>
      <w:adjustRightInd w:val="0"/>
      <w:snapToGrid w:val="0"/>
      <w:spacing w:before="60" w:after="60"/>
    </w:pPr>
    <w:rPr>
      <w:kern w:val="0"/>
      <w:sz w:val="24"/>
      <w:lang w:val="en-GB"/>
    </w:rPr>
  </w:style>
  <w:style w:type="paragraph" w:customStyle="1" w:styleId="295">
    <w:name w:val="Char131"/>
    <w:basedOn w:val="1"/>
    <w:qFormat/>
    <w:uiPriority w:val="0"/>
    <w:rPr>
      <w:szCs w:val="21"/>
    </w:rPr>
  </w:style>
  <w:style w:type="paragraph" w:customStyle="1" w:styleId="296">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297">
    <w:name w:val="样式1"/>
    <w:basedOn w:val="1"/>
    <w:qFormat/>
    <w:uiPriority w:val="0"/>
    <w:pPr>
      <w:spacing w:before="120" w:after="120" w:line="300" w:lineRule="auto"/>
    </w:pPr>
    <w:rPr>
      <w:rFonts w:ascii="宋体" w:hAnsi="宋体"/>
      <w:b/>
      <w:sz w:val="24"/>
      <w:szCs w:val="20"/>
    </w:rPr>
  </w:style>
  <w:style w:type="paragraph" w:customStyle="1" w:styleId="298">
    <w:name w:val="列出段落4"/>
    <w:basedOn w:val="1"/>
    <w:qFormat/>
    <w:uiPriority w:val="34"/>
    <w:pPr>
      <w:ind w:firstLine="420" w:firstLineChars="200"/>
    </w:pPr>
    <w:rPr>
      <w:rFonts w:ascii="Calibri" w:hAnsi="Calibri"/>
      <w:szCs w:val="22"/>
    </w:rPr>
  </w:style>
  <w:style w:type="paragraph" w:customStyle="1" w:styleId="299">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300">
    <w:name w:val="444"/>
    <w:basedOn w:val="1"/>
    <w:qFormat/>
    <w:uiPriority w:val="0"/>
    <w:pPr>
      <w:adjustRightInd w:val="0"/>
      <w:spacing w:line="312" w:lineRule="atLeast"/>
      <w:jc w:val="center"/>
      <w:textAlignment w:val="baseline"/>
    </w:pPr>
    <w:rPr>
      <w:b/>
      <w:kern w:val="0"/>
      <w:sz w:val="36"/>
      <w:szCs w:val="36"/>
    </w:rPr>
  </w:style>
  <w:style w:type="paragraph" w:customStyle="1" w:styleId="301">
    <w:name w:val="Char Char9 Char Char Char Char21"/>
    <w:basedOn w:val="1"/>
    <w:qFormat/>
    <w:uiPriority w:val="0"/>
    <w:pPr>
      <w:widowControl/>
      <w:spacing w:after="160" w:line="240" w:lineRule="exact"/>
      <w:jc w:val="left"/>
    </w:pPr>
  </w:style>
  <w:style w:type="paragraph" w:customStyle="1" w:styleId="302">
    <w:name w:val="样式 标题 2 + (西文) 宋体 非加粗 居中"/>
    <w:basedOn w:val="5"/>
    <w:qFormat/>
    <w:uiPriority w:val="0"/>
    <w:pPr>
      <w:jc w:val="center"/>
    </w:pPr>
    <w:rPr>
      <w:rFonts w:ascii="宋体" w:hAnsi="宋体" w:cs="宋体"/>
      <w:b w:val="0"/>
      <w:bCs w:val="0"/>
      <w:spacing w:val="2"/>
      <w:sz w:val="28"/>
      <w:szCs w:val="20"/>
    </w:rPr>
  </w:style>
  <w:style w:type="paragraph" w:customStyle="1" w:styleId="303">
    <w:name w:val="2-2ji"/>
    <w:basedOn w:val="5"/>
    <w:qFormat/>
    <w:uiPriority w:val="0"/>
    <w:pPr>
      <w:adjustRightInd w:val="0"/>
      <w:spacing w:before="0" w:after="0" w:line="360" w:lineRule="auto"/>
      <w:jc w:val="center"/>
      <w:textAlignment w:val="baseline"/>
    </w:pPr>
    <w:rPr>
      <w:rFonts w:ascii="宋体" w:hAnsi="宋体" w:eastAsia="宋体"/>
      <w:bCs w:val="0"/>
      <w:sz w:val="36"/>
    </w:rPr>
  </w:style>
  <w:style w:type="table" w:customStyle="1" w:styleId="304">
    <w:name w:val="彩色列表 - 强调文字颜色 1111"/>
    <w:basedOn w:val="52"/>
    <w:qFormat/>
    <w:uiPriority w:val="34"/>
    <w:rPr>
      <w:rFonts w:ascii="Calibri" w:hAnsi="Calibri"/>
      <w:sz w:val="24"/>
      <w:szCs w:val="24"/>
      <w:lang w:eastAsia="en-US"/>
    </w:r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paragraph" w:customStyle="1" w:styleId="305">
    <w:name w:val="_Style 4"/>
    <w:basedOn w:val="1"/>
    <w:next w:val="298"/>
    <w:qFormat/>
    <w:uiPriority w:val="0"/>
    <w:pPr>
      <w:ind w:firstLine="420" w:firstLineChars="200"/>
    </w:pPr>
  </w:style>
  <w:style w:type="table" w:customStyle="1" w:styleId="306">
    <w:name w:val="彩色列表 - 强调文字颜色 11"/>
    <w:basedOn w:val="52"/>
    <w:qFormat/>
    <w:uiPriority w:val="0"/>
    <w:rPr>
      <w:rFonts w:ascii="Calibri" w:hAnsi="Calibri" w:eastAsia="等线"/>
      <w:sz w:val="24"/>
      <w:szCs w:val="24"/>
      <w:lang w:eastAsia="en-US"/>
    </w:r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character" w:customStyle="1" w:styleId="307">
    <w:name w:val="Header Char"/>
    <w:basedOn w:val="54"/>
    <w:qFormat/>
    <w:locked/>
    <w:uiPriority w:val="0"/>
    <w:rPr>
      <w:rFonts w:ascii="Calibri" w:hAnsi="Calibri" w:eastAsia="宋体"/>
      <w:kern w:val="2"/>
      <w:sz w:val="18"/>
      <w:szCs w:val="18"/>
      <w:lang w:val="en-US" w:eastAsia="zh-CN" w:bidi="ar-SA"/>
    </w:rPr>
  </w:style>
  <w:style w:type="character" w:customStyle="1" w:styleId="308">
    <w:name w:val="Footer Char"/>
    <w:basedOn w:val="54"/>
    <w:qFormat/>
    <w:locked/>
    <w:uiPriority w:val="0"/>
    <w:rPr>
      <w:rFonts w:ascii="Calibri" w:hAnsi="Calibri" w:eastAsia="宋体"/>
      <w:kern w:val="2"/>
      <w:sz w:val="18"/>
      <w:szCs w:val="18"/>
      <w:lang w:val="en-US" w:eastAsia="zh-CN" w:bidi="ar-SA"/>
    </w:rPr>
  </w:style>
  <w:style w:type="paragraph" w:customStyle="1" w:styleId="309">
    <w:name w:val="列表段落1"/>
    <w:basedOn w:val="1"/>
    <w:qFormat/>
    <w:uiPriority w:val="0"/>
    <w:pPr>
      <w:ind w:firstLine="420" w:firstLineChars="200"/>
    </w:pPr>
    <w:rPr>
      <w:rFonts w:ascii="Calibri" w:hAnsi="Calibri"/>
      <w:szCs w:val="22"/>
    </w:rPr>
  </w:style>
  <w:style w:type="character" w:customStyle="1" w:styleId="310">
    <w:name w:val="Heading 1 Char"/>
    <w:basedOn w:val="54"/>
    <w:qFormat/>
    <w:locked/>
    <w:uiPriority w:val="0"/>
    <w:rPr>
      <w:rFonts w:ascii="宋体" w:eastAsia="宋体"/>
      <w:b/>
      <w:bCs/>
      <w:kern w:val="44"/>
      <w:sz w:val="44"/>
      <w:szCs w:val="44"/>
      <w:lang w:val="en-US" w:eastAsia="zh-CN" w:bidi="ar-SA"/>
    </w:rPr>
  </w:style>
  <w:style w:type="character" w:customStyle="1" w:styleId="311">
    <w:name w:val="Heading 2 Char"/>
    <w:basedOn w:val="54"/>
    <w:qFormat/>
    <w:locked/>
    <w:uiPriority w:val="0"/>
    <w:rPr>
      <w:rFonts w:ascii="Arial" w:hAnsi="Arial" w:eastAsia="黑体"/>
      <w:b/>
      <w:bCs/>
      <w:kern w:val="21"/>
      <w:sz w:val="32"/>
      <w:szCs w:val="32"/>
      <w:lang w:val="en-US" w:eastAsia="zh-CN" w:bidi="ar-SA"/>
    </w:rPr>
  </w:style>
  <w:style w:type="character" w:customStyle="1" w:styleId="312">
    <w:name w:val="Heading 3 Char"/>
    <w:basedOn w:val="54"/>
    <w:qFormat/>
    <w:locked/>
    <w:uiPriority w:val="0"/>
    <w:rPr>
      <w:rFonts w:ascii="宋体" w:eastAsia="宋体"/>
      <w:b/>
      <w:bCs/>
      <w:kern w:val="21"/>
      <w:sz w:val="32"/>
      <w:szCs w:val="32"/>
      <w:lang w:val="en-US" w:eastAsia="zh-CN" w:bidi="ar-SA"/>
    </w:rPr>
  </w:style>
  <w:style w:type="character" w:customStyle="1" w:styleId="313">
    <w:name w:val="Heading 4 Char"/>
    <w:basedOn w:val="54"/>
    <w:qFormat/>
    <w:locked/>
    <w:uiPriority w:val="0"/>
    <w:rPr>
      <w:rFonts w:ascii="Arial" w:hAnsi="Arial" w:eastAsia="黑体"/>
      <w:b/>
      <w:bCs/>
      <w:kern w:val="21"/>
      <w:sz w:val="28"/>
      <w:szCs w:val="28"/>
      <w:lang w:val="en-US" w:eastAsia="zh-CN" w:bidi="ar-SA"/>
    </w:rPr>
  </w:style>
  <w:style w:type="character" w:customStyle="1" w:styleId="314">
    <w:name w:val="Heading 5 Char"/>
    <w:basedOn w:val="54"/>
    <w:qFormat/>
    <w:locked/>
    <w:uiPriority w:val="0"/>
    <w:rPr>
      <w:rFonts w:ascii="宋体" w:eastAsia="宋体"/>
      <w:b/>
      <w:bCs/>
      <w:kern w:val="21"/>
      <w:sz w:val="28"/>
      <w:szCs w:val="28"/>
      <w:lang w:val="en-US" w:eastAsia="zh-CN" w:bidi="ar-SA"/>
    </w:rPr>
  </w:style>
  <w:style w:type="character" w:customStyle="1" w:styleId="315">
    <w:name w:val="Heading 6 Char"/>
    <w:basedOn w:val="54"/>
    <w:qFormat/>
    <w:locked/>
    <w:uiPriority w:val="0"/>
    <w:rPr>
      <w:rFonts w:ascii="Arial" w:hAnsi="Arial" w:eastAsia="黑体"/>
      <w:b/>
      <w:bCs/>
      <w:kern w:val="21"/>
      <w:sz w:val="24"/>
      <w:szCs w:val="21"/>
      <w:lang w:val="en-US" w:eastAsia="zh-CN" w:bidi="ar-SA"/>
    </w:rPr>
  </w:style>
  <w:style w:type="character" w:customStyle="1" w:styleId="316">
    <w:name w:val="Heading 7 Char"/>
    <w:basedOn w:val="54"/>
    <w:qFormat/>
    <w:locked/>
    <w:uiPriority w:val="0"/>
    <w:rPr>
      <w:rFonts w:ascii="宋体" w:eastAsia="宋体"/>
      <w:b/>
      <w:bCs/>
      <w:kern w:val="21"/>
      <w:sz w:val="24"/>
      <w:szCs w:val="21"/>
      <w:lang w:val="en-US" w:eastAsia="zh-CN" w:bidi="ar-SA"/>
    </w:rPr>
  </w:style>
  <w:style w:type="character" w:customStyle="1" w:styleId="317">
    <w:name w:val="Heading 8 Char"/>
    <w:basedOn w:val="54"/>
    <w:qFormat/>
    <w:locked/>
    <w:uiPriority w:val="0"/>
    <w:rPr>
      <w:rFonts w:ascii="Arial" w:hAnsi="Arial" w:eastAsia="黑体"/>
      <w:kern w:val="21"/>
      <w:sz w:val="24"/>
      <w:szCs w:val="21"/>
      <w:lang w:val="en-US" w:eastAsia="zh-CN" w:bidi="ar-SA"/>
    </w:rPr>
  </w:style>
  <w:style w:type="character" w:customStyle="1" w:styleId="318">
    <w:name w:val="Heading 9 Char"/>
    <w:basedOn w:val="54"/>
    <w:qFormat/>
    <w:locked/>
    <w:uiPriority w:val="0"/>
    <w:rPr>
      <w:rFonts w:ascii="Arial" w:hAnsi="Arial" w:eastAsia="黑体"/>
      <w:kern w:val="21"/>
      <w:sz w:val="21"/>
      <w:szCs w:val="21"/>
      <w:lang w:val="en-US" w:eastAsia="zh-CN" w:bidi="ar-SA"/>
    </w:rPr>
  </w:style>
  <w:style w:type="character" w:customStyle="1" w:styleId="319">
    <w:name w:val="一级条标题 Char"/>
    <w:basedOn w:val="320"/>
    <w:qFormat/>
    <w:uiPriority w:val="0"/>
    <w:rPr>
      <w:rFonts w:ascii="黑体" w:eastAsia="黑体" w:cs="黑体"/>
      <w:sz w:val="21"/>
      <w:szCs w:val="21"/>
      <w:lang w:val="en-US" w:eastAsia="zh-CN" w:bidi="ar-SA"/>
    </w:rPr>
  </w:style>
  <w:style w:type="character" w:customStyle="1" w:styleId="320">
    <w:name w:val="章标题 Char"/>
    <w:qFormat/>
    <w:uiPriority w:val="0"/>
    <w:rPr>
      <w:rFonts w:ascii="黑体" w:eastAsia="黑体"/>
      <w:sz w:val="21"/>
      <w:lang w:val="en-US" w:eastAsia="zh-CN"/>
    </w:rPr>
  </w:style>
  <w:style w:type="character" w:customStyle="1" w:styleId="321">
    <w:name w:val="发布"/>
    <w:qFormat/>
    <w:uiPriority w:val="0"/>
    <w:rPr>
      <w:rFonts w:ascii="黑体" w:eastAsia="黑体"/>
      <w:spacing w:val="22"/>
      <w:w w:val="100"/>
      <w:position w:val="3"/>
      <w:sz w:val="28"/>
    </w:rPr>
  </w:style>
  <w:style w:type="character" w:customStyle="1" w:styleId="322">
    <w:name w:val="个人答复风格"/>
    <w:qFormat/>
    <w:uiPriority w:val="0"/>
    <w:rPr>
      <w:rFonts w:ascii="Arial" w:hAnsi="Arial" w:eastAsia="宋体"/>
      <w:color w:val="auto"/>
      <w:sz w:val="20"/>
    </w:rPr>
  </w:style>
  <w:style w:type="character" w:customStyle="1" w:styleId="323">
    <w:name w:val="三级条标题 Char"/>
    <w:basedOn w:val="324"/>
    <w:qFormat/>
    <w:uiPriority w:val="0"/>
    <w:rPr>
      <w:rFonts w:ascii="黑体" w:eastAsia="黑体" w:cs="黑体"/>
      <w:sz w:val="21"/>
      <w:szCs w:val="21"/>
      <w:lang w:val="en-US" w:eastAsia="zh-CN" w:bidi="ar-SA"/>
    </w:rPr>
  </w:style>
  <w:style w:type="character" w:customStyle="1" w:styleId="324">
    <w:name w:val="二级条标题 Char"/>
    <w:basedOn w:val="319"/>
    <w:qFormat/>
    <w:uiPriority w:val="0"/>
    <w:rPr>
      <w:rFonts w:ascii="黑体" w:eastAsia="黑体" w:cs="黑体"/>
      <w:sz w:val="21"/>
      <w:szCs w:val="21"/>
      <w:lang w:val="en-US" w:eastAsia="zh-CN" w:bidi="ar-SA"/>
    </w:rPr>
  </w:style>
  <w:style w:type="character" w:customStyle="1" w:styleId="325">
    <w:name w:val="章标题 Char Char"/>
    <w:link w:val="326"/>
    <w:qFormat/>
    <w:locked/>
    <w:uiPriority w:val="0"/>
    <w:rPr>
      <w:rFonts w:ascii="黑体" w:eastAsia="黑体"/>
      <w:kern w:val="2"/>
      <w:sz w:val="22"/>
      <w:lang w:val="en-US" w:eastAsia="zh-CN" w:bidi="ar-SA"/>
    </w:rPr>
  </w:style>
  <w:style w:type="paragraph" w:customStyle="1" w:styleId="326">
    <w:name w:val="章标题"/>
    <w:next w:val="233"/>
    <w:link w:val="325"/>
    <w:qFormat/>
    <w:uiPriority w:val="0"/>
    <w:pPr>
      <w:numPr>
        <w:ilvl w:val="1"/>
        <w:numId w:val="1"/>
      </w:numPr>
      <w:spacing w:beforeLines="50" w:afterLines="50"/>
      <w:jc w:val="both"/>
      <w:outlineLvl w:val="1"/>
    </w:pPr>
    <w:rPr>
      <w:rFonts w:ascii="黑体" w:hAnsi="Times New Roman" w:eastAsia="黑体" w:cs="Times New Roman"/>
      <w:kern w:val="2"/>
      <w:sz w:val="22"/>
      <w:lang w:val="en-US" w:eastAsia="zh-CN" w:bidi="ar-SA"/>
    </w:rPr>
  </w:style>
  <w:style w:type="character" w:customStyle="1" w:styleId="327">
    <w:name w:val="三级条标题 Char Char"/>
    <w:basedOn w:val="328"/>
    <w:link w:val="332"/>
    <w:qFormat/>
    <w:locked/>
    <w:uiPriority w:val="0"/>
    <w:rPr>
      <w:rFonts w:ascii="黑体" w:eastAsia="黑体"/>
      <w:kern w:val="2"/>
      <w:sz w:val="22"/>
      <w:szCs w:val="22"/>
      <w:lang w:val="en-US" w:eastAsia="zh-CN" w:bidi="ar-SA"/>
    </w:rPr>
  </w:style>
  <w:style w:type="character" w:customStyle="1" w:styleId="328">
    <w:name w:val="二级条标题 Char Char"/>
    <w:basedOn w:val="329"/>
    <w:link w:val="331"/>
    <w:qFormat/>
    <w:locked/>
    <w:uiPriority w:val="0"/>
    <w:rPr>
      <w:rFonts w:ascii="黑体" w:eastAsia="黑体"/>
      <w:kern w:val="2"/>
      <w:sz w:val="22"/>
      <w:szCs w:val="22"/>
      <w:lang w:val="en-US" w:eastAsia="zh-CN" w:bidi="ar-SA"/>
    </w:rPr>
  </w:style>
  <w:style w:type="character" w:customStyle="1" w:styleId="329">
    <w:name w:val="一级条标题 Char Char"/>
    <w:basedOn w:val="325"/>
    <w:link w:val="330"/>
    <w:qFormat/>
    <w:locked/>
    <w:uiPriority w:val="0"/>
    <w:rPr>
      <w:rFonts w:ascii="黑体" w:eastAsia="黑体"/>
      <w:kern w:val="2"/>
      <w:sz w:val="22"/>
      <w:szCs w:val="22"/>
      <w:lang w:val="en-US" w:eastAsia="zh-CN" w:bidi="ar-SA"/>
    </w:rPr>
  </w:style>
  <w:style w:type="paragraph" w:customStyle="1" w:styleId="330">
    <w:name w:val="一级条标题"/>
    <w:basedOn w:val="326"/>
    <w:next w:val="233"/>
    <w:link w:val="329"/>
    <w:qFormat/>
    <w:uiPriority w:val="0"/>
    <w:pPr>
      <w:numPr>
        <w:ilvl w:val="2"/>
      </w:numPr>
      <w:tabs>
        <w:tab w:val="left" w:pos="312"/>
        <w:tab w:val="left" w:pos="360"/>
      </w:tabs>
      <w:spacing w:beforeLines="0" w:afterLines="0"/>
      <w:ind w:left="0"/>
      <w:outlineLvl w:val="2"/>
    </w:pPr>
    <w:rPr>
      <w:szCs w:val="22"/>
    </w:rPr>
  </w:style>
  <w:style w:type="paragraph" w:customStyle="1" w:styleId="331">
    <w:name w:val="二级条标题"/>
    <w:basedOn w:val="330"/>
    <w:next w:val="233"/>
    <w:link w:val="328"/>
    <w:qFormat/>
    <w:uiPriority w:val="0"/>
    <w:pPr>
      <w:numPr>
        <w:ilvl w:val="3"/>
        <w:numId w:val="2"/>
      </w:numPr>
      <w:outlineLvl w:val="3"/>
    </w:pPr>
  </w:style>
  <w:style w:type="paragraph" w:customStyle="1" w:styleId="332">
    <w:name w:val="三级条标题"/>
    <w:basedOn w:val="331"/>
    <w:next w:val="233"/>
    <w:link w:val="327"/>
    <w:qFormat/>
    <w:uiPriority w:val="0"/>
  </w:style>
  <w:style w:type="character" w:customStyle="1" w:styleId="333">
    <w:name w:val="个人撰写风格"/>
    <w:qFormat/>
    <w:uiPriority w:val="0"/>
    <w:rPr>
      <w:rFonts w:ascii="Arial" w:hAnsi="Arial" w:eastAsia="宋体"/>
      <w:color w:val="auto"/>
      <w:sz w:val="20"/>
    </w:rPr>
  </w:style>
  <w:style w:type="paragraph" w:customStyle="1" w:styleId="334">
    <w:name w:val="其他发布部门"/>
    <w:basedOn w:val="335"/>
    <w:qFormat/>
    <w:uiPriority w:val="0"/>
    <w:pPr>
      <w:spacing w:line="240" w:lineRule="atLeast"/>
    </w:pPr>
    <w:rPr>
      <w:rFonts w:ascii="黑体" w:eastAsia="黑体"/>
      <w:b w:val="0"/>
    </w:rPr>
  </w:style>
  <w:style w:type="paragraph" w:customStyle="1" w:styleId="335">
    <w:name w:val="发布部门"/>
    <w:next w:val="233"/>
    <w:qFormat/>
    <w:uiPriority w:val="0"/>
    <w:pPr>
      <w:jc w:val="center"/>
    </w:pPr>
    <w:rPr>
      <w:rFonts w:ascii="宋体" w:hAnsi="Times New Roman" w:eastAsia="宋体" w:cs="Times New Roman"/>
      <w:b/>
      <w:spacing w:val="20"/>
      <w:w w:val="135"/>
      <w:sz w:val="36"/>
      <w:lang w:val="en-US" w:eastAsia="zh-CN" w:bidi="ar-SA"/>
    </w:rPr>
  </w:style>
  <w:style w:type="paragraph" w:customStyle="1" w:styleId="336">
    <w:name w:val="其他标准称谓"/>
    <w:qFormat/>
    <w:uiPriority w:val="0"/>
    <w:pPr>
      <w:spacing w:line="240" w:lineRule="atLeast"/>
      <w:jc w:val="distribute"/>
    </w:pPr>
    <w:rPr>
      <w:rFonts w:ascii="黑体" w:hAnsi="宋体" w:eastAsia="黑体" w:cs="Times New Roman"/>
      <w:sz w:val="52"/>
      <w:lang w:val="en-US" w:eastAsia="zh-CN" w:bidi="ar-SA"/>
    </w:rPr>
  </w:style>
  <w:style w:type="paragraph" w:customStyle="1" w:styleId="337">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338">
    <w:name w:val="文献分类号"/>
    <w:qFormat/>
    <w:uiPriority w:val="0"/>
    <w:pPr>
      <w:widowControl w:val="0"/>
      <w:jc w:val="both"/>
      <w:textAlignment w:val="center"/>
    </w:pPr>
    <w:rPr>
      <w:rFonts w:ascii="Times New Roman" w:hAnsi="Times New Roman" w:eastAsia="黑体" w:cs="Times New Roman"/>
      <w:sz w:val="21"/>
      <w:lang w:val="en-US" w:eastAsia="zh-CN" w:bidi="ar-SA"/>
    </w:rPr>
  </w:style>
  <w:style w:type="paragraph" w:customStyle="1" w:styleId="339">
    <w:name w:val="封面标准代替信息"/>
    <w:basedOn w:val="340"/>
    <w:qFormat/>
    <w:uiPriority w:val="0"/>
    <w:pPr>
      <w:spacing w:before="57"/>
    </w:pPr>
    <w:rPr>
      <w:rFonts w:ascii="宋体"/>
      <w:sz w:val="21"/>
    </w:rPr>
  </w:style>
  <w:style w:type="paragraph" w:customStyle="1" w:styleId="340">
    <w:name w:val="封面标准号2"/>
    <w:basedOn w:val="341"/>
    <w:qFormat/>
    <w:uiPriority w:val="0"/>
    <w:pPr>
      <w:adjustRightInd w:val="0"/>
      <w:spacing w:before="357" w:line="280" w:lineRule="exact"/>
    </w:pPr>
  </w:style>
  <w:style w:type="paragraph" w:customStyle="1" w:styleId="34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42">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43">
    <w:name w:val="正文表标题"/>
    <w:next w:val="233"/>
    <w:qFormat/>
    <w:uiPriority w:val="0"/>
    <w:pPr>
      <w:numPr>
        <w:ilvl w:val="0"/>
        <w:numId w:val="1"/>
      </w:numPr>
      <w:jc w:val="center"/>
    </w:pPr>
    <w:rPr>
      <w:rFonts w:ascii="黑体" w:hAnsi="Times New Roman" w:eastAsia="黑体" w:cs="Times New Roman"/>
      <w:sz w:val="21"/>
      <w:lang w:val="en-US" w:eastAsia="zh-CN" w:bidi="ar-SA"/>
    </w:rPr>
  </w:style>
  <w:style w:type="paragraph" w:customStyle="1" w:styleId="344">
    <w:name w:val="附录章标题"/>
    <w:next w:val="233"/>
    <w:qFormat/>
    <w:uiPriority w:val="0"/>
    <w:pPr>
      <w:numPr>
        <w:ilvl w:val="1"/>
        <w:numId w:val="3"/>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345">
    <w:name w:val="五级无标题条"/>
    <w:basedOn w:val="1"/>
    <w:qFormat/>
    <w:uiPriority w:val="0"/>
    <w:pPr>
      <w:numPr>
        <w:ilvl w:val="6"/>
        <w:numId w:val="3"/>
      </w:numPr>
    </w:pPr>
    <w:rPr>
      <w:rFonts w:ascii="宋体"/>
      <w:kern w:val="21"/>
      <w:szCs w:val="21"/>
    </w:rPr>
  </w:style>
  <w:style w:type="paragraph" w:customStyle="1" w:styleId="346">
    <w:name w:val="三级无标题条"/>
    <w:basedOn w:val="1"/>
    <w:qFormat/>
    <w:uiPriority w:val="0"/>
    <w:pPr>
      <w:numPr>
        <w:ilvl w:val="4"/>
        <w:numId w:val="3"/>
      </w:numPr>
    </w:pPr>
    <w:rPr>
      <w:rFonts w:ascii="宋体"/>
      <w:kern w:val="21"/>
      <w:szCs w:val="21"/>
    </w:rPr>
  </w:style>
  <w:style w:type="character" w:customStyle="1" w:styleId="347">
    <w:name w:val="Document Map Char"/>
    <w:basedOn w:val="54"/>
    <w:qFormat/>
    <w:locked/>
    <w:uiPriority w:val="0"/>
    <w:rPr>
      <w:rFonts w:ascii="宋体" w:eastAsia="宋体"/>
      <w:kern w:val="21"/>
      <w:sz w:val="21"/>
      <w:szCs w:val="21"/>
      <w:lang w:val="en-US" w:eastAsia="zh-CN" w:bidi="ar-SA"/>
    </w:rPr>
  </w:style>
  <w:style w:type="paragraph" w:customStyle="1" w:styleId="348">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349">
    <w:name w:val="目次、标准名称标题"/>
    <w:basedOn w:val="342"/>
    <w:next w:val="233"/>
    <w:qFormat/>
    <w:uiPriority w:val="0"/>
    <w:pPr>
      <w:numPr>
        <w:numId w:val="0"/>
      </w:numPr>
      <w:spacing w:line="460" w:lineRule="exact"/>
    </w:pPr>
  </w:style>
  <w:style w:type="paragraph" w:customStyle="1" w:styleId="350">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51">
    <w:name w:val="二级无标题条"/>
    <w:basedOn w:val="1"/>
    <w:qFormat/>
    <w:uiPriority w:val="0"/>
    <w:pPr>
      <w:numPr>
        <w:ilvl w:val="3"/>
        <w:numId w:val="3"/>
      </w:numPr>
    </w:pPr>
    <w:rPr>
      <w:rFonts w:ascii="宋体"/>
      <w:kern w:val="21"/>
      <w:szCs w:val="21"/>
    </w:rPr>
  </w:style>
  <w:style w:type="paragraph" w:customStyle="1" w:styleId="352">
    <w:name w:val="条文脚注"/>
    <w:basedOn w:val="40"/>
    <w:qFormat/>
    <w:uiPriority w:val="0"/>
    <w:pPr>
      <w:ind w:left="780" w:leftChars="200" w:hanging="360" w:hangingChars="200"/>
      <w:jc w:val="both"/>
    </w:pPr>
  </w:style>
  <w:style w:type="character" w:customStyle="1" w:styleId="353">
    <w:name w:val="HTML Preformatted Char"/>
    <w:basedOn w:val="54"/>
    <w:qFormat/>
    <w:locked/>
    <w:uiPriority w:val="0"/>
    <w:rPr>
      <w:rFonts w:ascii="Courier New" w:hAnsi="Courier New" w:eastAsia="宋体" w:cs="Courier New"/>
      <w:kern w:val="21"/>
      <w:lang w:val="en-US" w:eastAsia="zh-CN" w:bidi="ar-SA"/>
    </w:rPr>
  </w:style>
  <w:style w:type="character" w:customStyle="1" w:styleId="354">
    <w:name w:val="Date Char"/>
    <w:basedOn w:val="54"/>
    <w:qFormat/>
    <w:locked/>
    <w:uiPriority w:val="0"/>
    <w:rPr>
      <w:rFonts w:ascii="宋体" w:eastAsia="宋体"/>
      <w:kern w:val="21"/>
      <w:sz w:val="24"/>
      <w:lang w:val="en-US" w:eastAsia="zh-CN" w:bidi="ar-SA"/>
    </w:rPr>
  </w:style>
  <w:style w:type="paragraph" w:customStyle="1" w:styleId="355">
    <w:name w:val="四级条标题"/>
    <w:basedOn w:val="332"/>
    <w:next w:val="233"/>
    <w:qFormat/>
    <w:uiPriority w:val="0"/>
    <w:pPr>
      <w:numPr>
        <w:ilvl w:val="5"/>
      </w:numPr>
      <w:ind w:left="2316"/>
      <w:outlineLvl w:val="5"/>
    </w:pPr>
  </w:style>
  <w:style w:type="character" w:customStyle="1" w:styleId="356">
    <w:name w:val="Title Char"/>
    <w:basedOn w:val="54"/>
    <w:qFormat/>
    <w:locked/>
    <w:uiPriority w:val="0"/>
    <w:rPr>
      <w:rFonts w:ascii="Arial" w:hAnsi="Arial" w:eastAsia="宋体" w:cs="Arial"/>
      <w:b/>
      <w:bCs/>
      <w:kern w:val="21"/>
      <w:sz w:val="32"/>
      <w:szCs w:val="32"/>
      <w:lang w:val="en-US" w:eastAsia="zh-CN" w:bidi="ar-SA"/>
    </w:rPr>
  </w:style>
  <w:style w:type="paragraph" w:customStyle="1" w:styleId="357">
    <w:name w:val="注："/>
    <w:next w:val="233"/>
    <w:qFormat/>
    <w:uiPriority w:val="0"/>
    <w:pPr>
      <w:widowControl w:val="0"/>
      <w:numPr>
        <w:ilvl w:val="0"/>
        <w:numId w:val="4"/>
      </w:numPr>
      <w:autoSpaceDE w:val="0"/>
      <w:autoSpaceDN w:val="0"/>
      <w:jc w:val="both"/>
    </w:pPr>
    <w:rPr>
      <w:rFonts w:ascii="宋体" w:hAnsi="Times New Roman" w:eastAsia="宋体" w:cs="Times New Roman"/>
      <w:sz w:val="18"/>
      <w:lang w:val="en-US" w:eastAsia="zh-CN" w:bidi="ar-SA"/>
    </w:rPr>
  </w:style>
  <w:style w:type="paragraph" w:customStyle="1" w:styleId="358">
    <w:name w:val="五级条标题"/>
    <w:basedOn w:val="355"/>
    <w:next w:val="233"/>
    <w:qFormat/>
    <w:uiPriority w:val="0"/>
    <w:pPr>
      <w:numPr>
        <w:ilvl w:val="6"/>
      </w:numPr>
      <w:outlineLvl w:val="6"/>
    </w:pPr>
  </w:style>
  <w:style w:type="paragraph" w:customStyle="1" w:styleId="359">
    <w:name w:val="附录表标题"/>
    <w:next w:val="233"/>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360">
    <w:name w:val="正文图标题"/>
    <w:next w:val="233"/>
    <w:qFormat/>
    <w:uiPriority w:val="0"/>
    <w:pPr>
      <w:numPr>
        <w:ilvl w:val="0"/>
        <w:numId w:val="5"/>
      </w:numPr>
      <w:jc w:val="center"/>
    </w:pPr>
    <w:rPr>
      <w:rFonts w:ascii="黑体" w:hAnsi="Times New Roman" w:eastAsia="黑体" w:cs="Times New Roman"/>
      <w:sz w:val="21"/>
      <w:lang w:val="en-US" w:eastAsia="zh-CN" w:bidi="ar-SA"/>
    </w:rPr>
  </w:style>
  <w:style w:type="paragraph" w:customStyle="1" w:styleId="361">
    <w:name w:val="附录标识"/>
    <w:basedOn w:val="342"/>
    <w:qFormat/>
    <w:uiPriority w:val="0"/>
    <w:pPr>
      <w:numPr>
        <w:ilvl w:val="0"/>
        <w:numId w:val="6"/>
      </w:numPr>
      <w:tabs>
        <w:tab w:val="left" w:pos="6405"/>
      </w:tabs>
      <w:spacing w:after="200"/>
      <w:ind w:firstLine="0"/>
    </w:pPr>
    <w:rPr>
      <w:sz w:val="21"/>
    </w:rPr>
  </w:style>
  <w:style w:type="paragraph" w:customStyle="1" w:styleId="362">
    <w:name w:val="标准书眉_偶数页"/>
    <w:basedOn w:val="363"/>
    <w:next w:val="1"/>
    <w:qFormat/>
    <w:uiPriority w:val="0"/>
    <w:pPr>
      <w:tabs>
        <w:tab w:val="center" w:pos="4154"/>
        <w:tab w:val="right" w:pos="8306"/>
      </w:tabs>
      <w:jc w:val="left"/>
    </w:pPr>
  </w:style>
  <w:style w:type="paragraph" w:customStyle="1" w:styleId="363">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64">
    <w:name w:val="附录三级条标题"/>
    <w:basedOn w:val="365"/>
    <w:next w:val="233"/>
    <w:qFormat/>
    <w:uiPriority w:val="0"/>
    <w:pPr>
      <w:numPr>
        <w:ilvl w:val="4"/>
      </w:numPr>
      <w:tabs>
        <w:tab w:val="left" w:pos="1418"/>
      </w:tabs>
      <w:outlineLvl w:val="4"/>
    </w:pPr>
  </w:style>
  <w:style w:type="paragraph" w:customStyle="1" w:styleId="365">
    <w:name w:val="附录二级条标题"/>
    <w:basedOn w:val="366"/>
    <w:next w:val="233"/>
    <w:qFormat/>
    <w:uiPriority w:val="0"/>
    <w:pPr>
      <w:numPr>
        <w:ilvl w:val="3"/>
      </w:numPr>
      <w:tabs>
        <w:tab w:val="left" w:pos="1418"/>
      </w:tabs>
      <w:outlineLvl w:val="3"/>
    </w:pPr>
  </w:style>
  <w:style w:type="paragraph" w:customStyle="1" w:styleId="366">
    <w:name w:val="附录一级条标题"/>
    <w:basedOn w:val="344"/>
    <w:next w:val="233"/>
    <w:qFormat/>
    <w:uiPriority w:val="0"/>
    <w:pPr>
      <w:numPr>
        <w:ilvl w:val="2"/>
        <w:numId w:val="6"/>
      </w:numPr>
      <w:autoSpaceDN w:val="0"/>
      <w:spacing w:beforeLines="0" w:afterLines="0"/>
      <w:outlineLvl w:val="2"/>
    </w:pPr>
  </w:style>
  <w:style w:type="paragraph" w:customStyle="1" w:styleId="367">
    <w:name w:val="附录图标题"/>
    <w:next w:val="233"/>
    <w:qFormat/>
    <w:uiPriority w:val="0"/>
    <w:pPr>
      <w:jc w:val="center"/>
    </w:pPr>
    <w:rPr>
      <w:rFonts w:ascii="黑体" w:hAnsi="Times New Roman" w:eastAsia="黑体" w:cs="Times New Roman"/>
      <w:sz w:val="21"/>
      <w:lang w:val="en-US" w:eastAsia="zh-CN" w:bidi="ar-SA"/>
    </w:rPr>
  </w:style>
  <w:style w:type="paragraph" w:customStyle="1" w:styleId="368">
    <w:name w:val="四级无标题条"/>
    <w:basedOn w:val="1"/>
    <w:qFormat/>
    <w:uiPriority w:val="0"/>
    <w:pPr>
      <w:numPr>
        <w:ilvl w:val="5"/>
        <w:numId w:val="3"/>
      </w:numPr>
    </w:pPr>
    <w:rPr>
      <w:rFonts w:ascii="宋体"/>
      <w:kern w:val="21"/>
      <w:szCs w:val="21"/>
    </w:rPr>
  </w:style>
  <w:style w:type="paragraph" w:customStyle="1" w:styleId="369">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370">
    <w:name w:val="封面正文"/>
    <w:qFormat/>
    <w:uiPriority w:val="0"/>
    <w:pPr>
      <w:jc w:val="both"/>
    </w:pPr>
    <w:rPr>
      <w:rFonts w:ascii="Times New Roman" w:hAnsi="Times New Roman" w:eastAsia="宋体" w:cs="Times New Roman"/>
      <w:lang w:val="en-US" w:eastAsia="zh-CN" w:bidi="ar-SA"/>
    </w:rPr>
  </w:style>
  <w:style w:type="character" w:customStyle="1" w:styleId="371">
    <w:name w:val="Balloon Text Char"/>
    <w:basedOn w:val="54"/>
    <w:qFormat/>
    <w:locked/>
    <w:uiPriority w:val="0"/>
    <w:rPr>
      <w:rFonts w:ascii="宋体" w:eastAsia="宋体"/>
      <w:kern w:val="21"/>
      <w:sz w:val="18"/>
      <w:szCs w:val="18"/>
      <w:lang w:val="en-US" w:eastAsia="zh-CN" w:bidi="ar-SA"/>
    </w:rPr>
  </w:style>
  <w:style w:type="paragraph" w:customStyle="1" w:styleId="372">
    <w:name w:val="实施日期"/>
    <w:basedOn w:val="373"/>
    <w:qFormat/>
    <w:uiPriority w:val="0"/>
    <w:pPr>
      <w:jc w:val="right"/>
    </w:pPr>
  </w:style>
  <w:style w:type="paragraph" w:customStyle="1" w:styleId="373">
    <w:name w:val="发布日期"/>
    <w:qFormat/>
    <w:uiPriority w:val="0"/>
    <w:pPr>
      <w:jc w:val="both"/>
    </w:pPr>
    <w:rPr>
      <w:rFonts w:ascii="Times New Roman" w:hAnsi="Times New Roman" w:eastAsia="黑体" w:cs="Times New Roman"/>
      <w:sz w:val="28"/>
      <w:lang w:val="en-US" w:eastAsia="zh-CN" w:bidi="ar-SA"/>
    </w:rPr>
  </w:style>
  <w:style w:type="paragraph" w:customStyle="1" w:styleId="374">
    <w:name w:val="列项——"/>
    <w:qFormat/>
    <w:uiPriority w:val="0"/>
    <w:pPr>
      <w:widowControl w:val="0"/>
      <w:numPr>
        <w:ilvl w:val="0"/>
        <w:numId w:val="7"/>
      </w:numPr>
      <w:tabs>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375">
    <w:name w:val="示例"/>
    <w:next w:val="233"/>
    <w:qFormat/>
    <w:uiPriority w:val="0"/>
    <w:pPr>
      <w:numPr>
        <w:ilvl w:val="0"/>
        <w:numId w:val="8"/>
      </w:numPr>
      <w:tabs>
        <w:tab w:val="left" w:pos="816"/>
        <w:tab w:val="clear" w:pos="1140"/>
      </w:tabs>
      <w:ind w:firstLine="419" w:firstLineChars="233"/>
      <w:jc w:val="both"/>
    </w:pPr>
    <w:rPr>
      <w:rFonts w:ascii="宋体" w:hAnsi="Times New Roman" w:eastAsia="宋体" w:cs="Times New Roman"/>
      <w:sz w:val="18"/>
      <w:lang w:val="en-US" w:eastAsia="zh-CN" w:bidi="ar-SA"/>
    </w:rPr>
  </w:style>
  <w:style w:type="paragraph" w:customStyle="1" w:styleId="376">
    <w:name w:val="附录四级条标题"/>
    <w:basedOn w:val="364"/>
    <w:next w:val="233"/>
    <w:qFormat/>
    <w:uiPriority w:val="0"/>
    <w:pPr>
      <w:numPr>
        <w:ilvl w:val="5"/>
      </w:numPr>
      <w:outlineLvl w:val="5"/>
    </w:pPr>
  </w:style>
  <w:style w:type="paragraph" w:customStyle="1" w:styleId="377">
    <w:name w:val="列项·"/>
    <w:qFormat/>
    <w:uiPriority w:val="0"/>
    <w:pPr>
      <w:numPr>
        <w:ilvl w:val="0"/>
        <w:numId w:val="9"/>
      </w:numPr>
      <w:tabs>
        <w:tab w:val="left" w:pos="840"/>
        <w:tab w:val="clear" w:pos="1120"/>
      </w:tabs>
      <w:ind w:left="840" w:leftChars="200" w:hanging="420" w:hangingChars="200"/>
      <w:jc w:val="both"/>
    </w:pPr>
    <w:rPr>
      <w:rFonts w:ascii="宋体" w:hAnsi="Times New Roman" w:eastAsia="宋体" w:cs="Times New Roman"/>
      <w:sz w:val="21"/>
      <w:lang w:val="en-US" w:eastAsia="zh-CN" w:bidi="ar-SA"/>
    </w:rPr>
  </w:style>
  <w:style w:type="paragraph" w:customStyle="1" w:styleId="378">
    <w:name w:val="图表脚注"/>
    <w:next w:val="233"/>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37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80">
    <w:name w:val="一级无标题条"/>
    <w:basedOn w:val="1"/>
    <w:qFormat/>
    <w:uiPriority w:val="0"/>
    <w:pPr>
      <w:numPr>
        <w:ilvl w:val="2"/>
        <w:numId w:val="3"/>
      </w:numPr>
    </w:pPr>
    <w:rPr>
      <w:rFonts w:ascii="宋体"/>
      <w:kern w:val="21"/>
      <w:szCs w:val="21"/>
    </w:rPr>
  </w:style>
  <w:style w:type="paragraph" w:customStyle="1" w:styleId="38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382">
    <w:name w:val="无标题条"/>
    <w:next w:val="233"/>
    <w:qFormat/>
    <w:uiPriority w:val="0"/>
    <w:pPr>
      <w:jc w:val="both"/>
    </w:pPr>
    <w:rPr>
      <w:rFonts w:ascii="Times New Roman" w:hAnsi="Times New Roman" w:eastAsia="宋体" w:cs="Times New Roman"/>
      <w:sz w:val="21"/>
      <w:lang w:val="en-US" w:eastAsia="zh-CN" w:bidi="ar-SA"/>
    </w:rPr>
  </w:style>
  <w:style w:type="paragraph" w:customStyle="1" w:styleId="383">
    <w:name w:val="标准书眉一"/>
    <w:qFormat/>
    <w:uiPriority w:val="0"/>
    <w:pPr>
      <w:jc w:val="both"/>
    </w:pPr>
    <w:rPr>
      <w:rFonts w:ascii="Times New Roman" w:hAnsi="Times New Roman" w:eastAsia="宋体" w:cs="Times New Roman"/>
      <w:lang w:val="en-US" w:eastAsia="zh-CN" w:bidi="ar-SA"/>
    </w:rPr>
  </w:style>
  <w:style w:type="paragraph" w:customStyle="1" w:styleId="384">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85">
    <w:name w:val="标准称谓"/>
    <w:next w:val="1"/>
    <w:qFormat/>
    <w:uiPriority w:val="0"/>
    <w:pPr>
      <w:widowControl w:val="0"/>
      <w:kinsoku w:val="0"/>
      <w:overflowPunct w:val="0"/>
      <w:autoSpaceDE w:val="0"/>
      <w:autoSpaceDN w:val="0"/>
      <w:spacing w:line="240" w:lineRule="atLeast"/>
      <w:jc w:val="distribute"/>
    </w:pPr>
    <w:rPr>
      <w:rFonts w:ascii="宋体" w:hAnsi="Times New Roman" w:eastAsia="宋体" w:cs="Times New Roman"/>
      <w:b/>
      <w:bCs/>
      <w:spacing w:val="20"/>
      <w:w w:val="148"/>
      <w:sz w:val="52"/>
      <w:lang w:val="en-US" w:eastAsia="zh-CN" w:bidi="ar-SA"/>
    </w:rPr>
  </w:style>
  <w:style w:type="paragraph" w:customStyle="1" w:styleId="386">
    <w:name w:val="附录五级条标题"/>
    <w:basedOn w:val="376"/>
    <w:next w:val="233"/>
    <w:qFormat/>
    <w:uiPriority w:val="0"/>
    <w:pPr>
      <w:numPr>
        <w:ilvl w:val="6"/>
      </w:numPr>
      <w:outlineLvl w:val="6"/>
    </w:pPr>
  </w:style>
  <w:style w:type="paragraph" w:customStyle="1" w:styleId="387">
    <w:name w:val="注×："/>
    <w:qFormat/>
    <w:uiPriority w:val="0"/>
    <w:pPr>
      <w:widowControl w:val="0"/>
      <w:numPr>
        <w:ilvl w:val="0"/>
        <w:numId w:val="10"/>
      </w:numPr>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38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8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390">
    <w:name w:val="参考文献、索引标题"/>
    <w:basedOn w:val="342"/>
    <w:next w:val="1"/>
    <w:qFormat/>
    <w:uiPriority w:val="0"/>
    <w:pPr>
      <w:numPr>
        <w:numId w:val="0"/>
      </w:numPr>
      <w:spacing w:after="200"/>
    </w:pPr>
    <w:rPr>
      <w:sz w:val="21"/>
    </w:rPr>
  </w:style>
  <w:style w:type="paragraph" w:customStyle="1" w:styleId="391">
    <w:name w:val="标准书脚_偶数页"/>
    <w:qFormat/>
    <w:uiPriority w:val="0"/>
    <w:pPr>
      <w:spacing w:before="120"/>
      <w:jc w:val="both"/>
    </w:pPr>
    <w:rPr>
      <w:rFonts w:ascii="Times New Roman" w:hAnsi="Times New Roman" w:eastAsia="宋体" w:cs="Times New Roman"/>
      <w:sz w:val="18"/>
      <w:lang w:val="en-US" w:eastAsia="zh-CN" w:bidi="ar-SA"/>
    </w:rPr>
  </w:style>
  <w:style w:type="paragraph" w:customStyle="1" w:styleId="392">
    <w:name w:val="标准标志"/>
    <w:next w:val="1"/>
    <w:qFormat/>
    <w:uiPriority w:val="0"/>
    <w:pPr>
      <w:shd w:val="solid" w:color="FFFFFF" w:fill="FFFFFF"/>
      <w:spacing w:line="240" w:lineRule="atLeast"/>
      <w:jc w:val="right"/>
    </w:pPr>
    <w:rPr>
      <w:rFonts w:ascii="Times New Roman" w:hAnsi="Times New Roman" w:eastAsia="宋体" w:cs="Times New Roman"/>
      <w:b/>
      <w:w w:val="130"/>
      <w:sz w:val="96"/>
      <w:lang w:val="en-US" w:eastAsia="zh-CN" w:bidi="ar-SA"/>
    </w:rPr>
  </w:style>
  <w:style w:type="paragraph" w:customStyle="1" w:styleId="393">
    <w:name w:val="示例×："/>
    <w:basedOn w:val="1"/>
    <w:next w:val="1"/>
    <w:qFormat/>
    <w:uiPriority w:val="0"/>
    <w:pPr>
      <w:tabs>
        <w:tab w:val="left" w:pos="630"/>
        <w:tab w:val="left" w:pos="760"/>
      </w:tabs>
      <w:autoSpaceDE w:val="0"/>
      <w:autoSpaceDN w:val="0"/>
      <w:ind w:left="20" w:firstLine="380"/>
    </w:pPr>
    <w:rPr>
      <w:rFonts w:ascii="宋体"/>
      <w:kern w:val="0"/>
      <w:sz w:val="18"/>
      <w:szCs w:val="20"/>
    </w:rPr>
  </w:style>
  <w:style w:type="character" w:customStyle="1" w:styleId="394">
    <w:name w:val="Char Char33"/>
    <w:qFormat/>
    <w:uiPriority w:val="0"/>
    <w:rPr>
      <w:rFonts w:eastAsia="宋体"/>
      <w:b/>
      <w:bCs/>
      <w:kern w:val="44"/>
      <w:sz w:val="44"/>
      <w:szCs w:val="44"/>
      <w:lang w:val="en-US" w:eastAsia="zh-CN" w:bidi="ar-SA"/>
    </w:rPr>
  </w:style>
  <w:style w:type="character" w:customStyle="1" w:styleId="395">
    <w:name w:val="Char Char32"/>
    <w:qFormat/>
    <w:uiPriority w:val="0"/>
    <w:rPr>
      <w:rFonts w:ascii="Arial" w:hAnsi="Arial" w:eastAsia="黑体"/>
      <w:b/>
      <w:bCs/>
      <w:sz w:val="32"/>
      <w:szCs w:val="32"/>
      <w:lang w:bidi="ar-SA"/>
    </w:rPr>
  </w:style>
  <w:style w:type="character" w:customStyle="1" w:styleId="396">
    <w:name w:val="Char Char35"/>
    <w:qFormat/>
    <w:uiPriority w:val="0"/>
    <w:rPr>
      <w:rFonts w:eastAsia="宋体"/>
      <w:b/>
      <w:bCs/>
      <w:kern w:val="44"/>
      <w:sz w:val="44"/>
      <w:szCs w:val="44"/>
      <w:lang w:val="en-US" w:eastAsia="zh-CN" w:bidi="ar-SA"/>
    </w:rPr>
  </w:style>
  <w:style w:type="character" w:customStyle="1" w:styleId="397">
    <w:name w:val="Char Char34"/>
    <w:qFormat/>
    <w:uiPriority w:val="0"/>
    <w:rPr>
      <w:rFonts w:ascii="Arial" w:hAnsi="Arial" w:eastAsia="黑体"/>
      <w:b/>
      <w:bCs/>
      <w:sz w:val="32"/>
      <w:szCs w:val="32"/>
      <w:lang w:bidi="ar-SA"/>
    </w:rPr>
  </w:style>
  <w:style w:type="paragraph" w:customStyle="1" w:styleId="398">
    <w:name w:val="标准正文 S"/>
    <w:basedOn w:val="1"/>
    <w:qFormat/>
    <w:uiPriority w:val="0"/>
    <w:pPr>
      <w:spacing w:beforeLines="50" w:afterLines="50" w:line="360" w:lineRule="auto"/>
      <w:ind w:firstLine="480"/>
      <w:jc w:val="left"/>
    </w:pPr>
    <w:rPr>
      <w:rFonts w:ascii="Calibri" w:hAnsi="Calibri"/>
      <w:sz w:val="24"/>
    </w:rPr>
  </w:style>
  <w:style w:type="paragraph" w:customStyle="1" w:styleId="399">
    <w:name w:val="*正文"/>
    <w:basedOn w:val="1"/>
    <w:qFormat/>
    <w:uiPriority w:val="0"/>
    <w:pPr>
      <w:spacing w:line="360" w:lineRule="auto"/>
      <w:ind w:firstLine="482"/>
      <w:jc w:val="left"/>
    </w:pPr>
    <w:rPr>
      <w:rFonts w:ascii="宋体" w:hAnsi="宋体"/>
      <w:kern w:val="0"/>
      <w:sz w:val="24"/>
      <w:szCs w:val="20"/>
    </w:rPr>
  </w:style>
  <w:style w:type="character" w:customStyle="1" w:styleId="400">
    <w:name w:val="Body text|3_"/>
    <w:basedOn w:val="54"/>
    <w:link w:val="401"/>
    <w:qFormat/>
    <w:uiPriority w:val="0"/>
    <w:rPr>
      <w:rFonts w:ascii="宋体" w:hAnsi="宋体" w:eastAsia="宋体"/>
      <w:sz w:val="34"/>
      <w:szCs w:val="34"/>
      <w:lang w:bidi="ar-SA"/>
    </w:rPr>
  </w:style>
  <w:style w:type="paragraph" w:customStyle="1" w:styleId="401">
    <w:name w:val="Body text|3"/>
    <w:basedOn w:val="1"/>
    <w:link w:val="400"/>
    <w:qFormat/>
    <w:uiPriority w:val="0"/>
    <w:pPr>
      <w:spacing w:after="460"/>
      <w:jc w:val="center"/>
    </w:pPr>
    <w:rPr>
      <w:rFonts w:ascii="宋体" w:hAnsi="宋体"/>
      <w:kern w:val="0"/>
      <w:sz w:val="34"/>
      <w:szCs w:val="34"/>
    </w:rPr>
  </w:style>
  <w:style w:type="character" w:customStyle="1" w:styleId="402">
    <w:name w:val="Body text|1_"/>
    <w:basedOn w:val="54"/>
    <w:link w:val="403"/>
    <w:qFormat/>
    <w:uiPriority w:val="0"/>
    <w:rPr>
      <w:rFonts w:ascii="宋体" w:hAnsi="宋体" w:eastAsia="宋体"/>
      <w:sz w:val="30"/>
      <w:szCs w:val="30"/>
      <w:lang w:bidi="ar-SA"/>
    </w:rPr>
  </w:style>
  <w:style w:type="paragraph" w:customStyle="1" w:styleId="403">
    <w:name w:val="Body text|1"/>
    <w:basedOn w:val="1"/>
    <w:link w:val="402"/>
    <w:qFormat/>
    <w:uiPriority w:val="0"/>
    <w:pPr>
      <w:spacing w:line="353" w:lineRule="auto"/>
      <w:ind w:firstLine="400"/>
      <w:jc w:val="left"/>
    </w:pPr>
    <w:rPr>
      <w:rFonts w:ascii="宋体" w:hAnsi="宋体"/>
      <w:kern w:val="0"/>
      <w:sz w:val="30"/>
      <w:szCs w:val="30"/>
    </w:rPr>
  </w:style>
  <w:style w:type="character" w:customStyle="1" w:styleId="404">
    <w:name w:val="Char Char37"/>
    <w:qFormat/>
    <w:uiPriority w:val="0"/>
    <w:rPr>
      <w:rFonts w:eastAsia="宋体"/>
      <w:b/>
      <w:bCs/>
      <w:kern w:val="44"/>
      <w:sz w:val="44"/>
      <w:szCs w:val="44"/>
      <w:lang w:val="en-US" w:eastAsia="zh-CN" w:bidi="ar-SA"/>
    </w:rPr>
  </w:style>
  <w:style w:type="character" w:customStyle="1" w:styleId="405">
    <w:name w:val="Char Char36"/>
    <w:qFormat/>
    <w:uiPriority w:val="0"/>
    <w:rPr>
      <w:rFonts w:ascii="Arial" w:hAnsi="Arial" w:eastAsia="黑体"/>
      <w:b/>
      <w:bCs/>
      <w:sz w:val="32"/>
      <w:szCs w:val="32"/>
      <w:lang w:bidi="ar-SA"/>
    </w:rPr>
  </w:style>
  <w:style w:type="character" w:customStyle="1" w:styleId="406">
    <w:name w:val="无间隔 字符"/>
    <w:qFormat/>
    <w:uiPriority w:val="0"/>
    <w:rPr>
      <w:sz w:val="22"/>
      <w:szCs w:val="22"/>
      <w:lang w:val="en-US" w:eastAsia="zh-CN" w:bidi="ar-SA"/>
    </w:rPr>
  </w:style>
  <w:style w:type="character" w:customStyle="1" w:styleId="407">
    <w:name w:val="正文文本 2 字符"/>
    <w:qFormat/>
    <w:uiPriority w:val="0"/>
    <w:rPr>
      <w:rFonts w:eastAsia="宋体"/>
      <w:kern w:val="2"/>
      <w:sz w:val="21"/>
      <w:szCs w:val="24"/>
      <w:lang w:val="en-US" w:eastAsia="zh-CN" w:bidi="ar-SA"/>
    </w:rPr>
  </w:style>
  <w:style w:type="character" w:customStyle="1" w:styleId="408">
    <w:name w:val="HTML 地址 字符"/>
    <w:qFormat/>
    <w:locked/>
    <w:uiPriority w:val="0"/>
    <w:rPr>
      <w:rFonts w:ascii="宋体" w:eastAsia="宋体"/>
      <w:i/>
      <w:iCs/>
      <w:kern w:val="21"/>
      <w:sz w:val="21"/>
      <w:szCs w:val="21"/>
      <w:lang w:val="en-US" w:eastAsia="zh-CN" w:bidi="ar-SA"/>
    </w:rPr>
  </w:style>
  <w:style w:type="character" w:customStyle="1" w:styleId="409">
    <w:name w:val="标题 6 字符"/>
    <w:qFormat/>
    <w:uiPriority w:val="0"/>
    <w:rPr>
      <w:rFonts w:ascii="Arial" w:hAnsi="Arial" w:eastAsia="黑体"/>
      <w:b/>
      <w:kern w:val="2"/>
      <w:sz w:val="24"/>
      <w:szCs w:val="24"/>
      <w:lang w:val="en-US" w:eastAsia="zh-CN" w:bidi="ar-SA"/>
    </w:rPr>
  </w:style>
  <w:style w:type="character" w:customStyle="1" w:styleId="410">
    <w:name w:val="日期 字符"/>
    <w:qFormat/>
    <w:uiPriority w:val="0"/>
    <w:rPr>
      <w:rFonts w:ascii="宋体" w:hAnsi="Courier New" w:eastAsia="宋体" w:cs="Courier New"/>
      <w:kern w:val="2"/>
      <w:sz w:val="21"/>
      <w:szCs w:val="21"/>
      <w:lang w:val="en-US" w:eastAsia="zh-CN" w:bidi="ar-SA"/>
    </w:rPr>
  </w:style>
  <w:style w:type="character" w:customStyle="1" w:styleId="411">
    <w:name w:val="正文文本缩进 2 字符"/>
    <w:qFormat/>
    <w:uiPriority w:val="0"/>
    <w:rPr>
      <w:rFonts w:eastAsia="宋体"/>
      <w:kern w:val="2"/>
      <w:sz w:val="32"/>
      <w:lang w:val="en-US" w:eastAsia="zh-CN" w:bidi="ar-SA"/>
    </w:rPr>
  </w:style>
  <w:style w:type="character" w:customStyle="1" w:styleId="412">
    <w:name w:val="标题 1 字符"/>
    <w:qFormat/>
    <w:uiPriority w:val="0"/>
    <w:rPr>
      <w:rFonts w:eastAsia="宋体"/>
      <w:b/>
      <w:bCs/>
      <w:kern w:val="44"/>
      <w:sz w:val="44"/>
      <w:szCs w:val="44"/>
      <w:lang w:val="en-US" w:eastAsia="zh-CN" w:bidi="ar-SA"/>
    </w:rPr>
  </w:style>
  <w:style w:type="character" w:customStyle="1" w:styleId="413">
    <w:name w:val="正文文本缩进 3 字符"/>
    <w:qFormat/>
    <w:uiPriority w:val="0"/>
    <w:rPr>
      <w:rFonts w:eastAsia="宋体"/>
      <w:kern w:val="2"/>
      <w:sz w:val="16"/>
      <w:szCs w:val="16"/>
      <w:lang w:val="en-US" w:eastAsia="zh-CN" w:bidi="ar-SA"/>
    </w:rPr>
  </w:style>
  <w:style w:type="character" w:customStyle="1" w:styleId="414">
    <w:name w:val="标题 2 字符"/>
    <w:qFormat/>
    <w:uiPriority w:val="0"/>
    <w:rPr>
      <w:rFonts w:ascii="Arial" w:hAnsi="Arial" w:eastAsia="黑体"/>
      <w:b/>
      <w:bCs/>
      <w:sz w:val="32"/>
      <w:szCs w:val="32"/>
      <w:lang w:bidi="ar-SA"/>
    </w:rPr>
  </w:style>
  <w:style w:type="character" w:customStyle="1" w:styleId="415">
    <w:name w:val="标题 3 字符"/>
    <w:qFormat/>
    <w:uiPriority w:val="0"/>
    <w:rPr>
      <w:rFonts w:eastAsia="宋体"/>
      <w:b/>
      <w:bCs/>
      <w:sz w:val="32"/>
      <w:szCs w:val="32"/>
      <w:lang w:bidi="ar-SA"/>
    </w:rPr>
  </w:style>
  <w:style w:type="character" w:customStyle="1" w:styleId="416">
    <w:name w:val="标题 4 字符"/>
    <w:qFormat/>
    <w:uiPriority w:val="0"/>
    <w:rPr>
      <w:rFonts w:ascii="Arial" w:hAnsi="Arial" w:eastAsia="黑体"/>
      <w:sz w:val="28"/>
      <w:lang w:bidi="ar-SA"/>
    </w:rPr>
  </w:style>
  <w:style w:type="character" w:customStyle="1" w:styleId="417">
    <w:name w:val="标题 5 字符"/>
    <w:qFormat/>
    <w:uiPriority w:val="0"/>
    <w:rPr>
      <w:rFonts w:eastAsia="宋体"/>
      <w:b/>
      <w:kern w:val="2"/>
      <w:sz w:val="28"/>
      <w:szCs w:val="24"/>
      <w:lang w:val="en-US" w:eastAsia="zh-CN" w:bidi="ar-SA"/>
    </w:rPr>
  </w:style>
  <w:style w:type="character" w:customStyle="1" w:styleId="418">
    <w:name w:val="标题 7 字符"/>
    <w:qFormat/>
    <w:uiPriority w:val="0"/>
    <w:rPr>
      <w:rFonts w:eastAsia="宋体"/>
      <w:b/>
      <w:kern w:val="2"/>
      <w:sz w:val="24"/>
      <w:szCs w:val="24"/>
      <w:lang w:val="en-US" w:eastAsia="zh-CN" w:bidi="ar-SA"/>
    </w:rPr>
  </w:style>
  <w:style w:type="character" w:customStyle="1" w:styleId="419">
    <w:name w:val="标题 8 字符"/>
    <w:qFormat/>
    <w:uiPriority w:val="0"/>
    <w:rPr>
      <w:rFonts w:ascii="Arial" w:hAnsi="Arial" w:eastAsia="黑体"/>
      <w:kern w:val="2"/>
      <w:sz w:val="24"/>
      <w:szCs w:val="24"/>
      <w:lang w:val="en-US" w:eastAsia="zh-CN" w:bidi="ar-SA"/>
    </w:rPr>
  </w:style>
  <w:style w:type="character" w:customStyle="1" w:styleId="420">
    <w:name w:val="标题 9 字符"/>
    <w:qFormat/>
    <w:uiPriority w:val="0"/>
    <w:rPr>
      <w:rFonts w:ascii="Arial" w:hAnsi="Arial" w:eastAsia="黑体"/>
      <w:kern w:val="2"/>
      <w:sz w:val="21"/>
      <w:szCs w:val="24"/>
      <w:lang w:val="en-US" w:eastAsia="zh-CN" w:bidi="ar-SA"/>
    </w:rPr>
  </w:style>
  <w:style w:type="character" w:customStyle="1" w:styleId="421">
    <w:name w:val="正文文本 3 字符"/>
    <w:qFormat/>
    <w:uiPriority w:val="0"/>
    <w:rPr>
      <w:rFonts w:eastAsia="宋体"/>
      <w:b/>
      <w:bCs/>
      <w:kern w:val="2"/>
      <w:sz w:val="24"/>
      <w:szCs w:val="24"/>
      <w:lang w:val="en-US" w:eastAsia="zh-CN" w:bidi="ar-SA"/>
    </w:rPr>
  </w:style>
  <w:style w:type="character" w:customStyle="1" w:styleId="422">
    <w:name w:val="页眉 字符"/>
    <w:qFormat/>
    <w:uiPriority w:val="0"/>
    <w:rPr>
      <w:rFonts w:eastAsia="宋体"/>
      <w:kern w:val="2"/>
      <w:sz w:val="18"/>
      <w:szCs w:val="18"/>
      <w:lang w:val="en-US" w:eastAsia="zh-CN" w:bidi="ar-SA"/>
    </w:rPr>
  </w:style>
  <w:style w:type="character" w:customStyle="1" w:styleId="423">
    <w:name w:val="标题 字符"/>
    <w:qFormat/>
    <w:uiPriority w:val="0"/>
    <w:rPr>
      <w:rFonts w:ascii="Arial" w:hAnsi="Arial" w:eastAsia="宋体"/>
      <w:b/>
      <w:bCs/>
      <w:kern w:val="2"/>
      <w:sz w:val="32"/>
      <w:szCs w:val="32"/>
      <w:lang w:bidi="ar-SA"/>
    </w:rPr>
  </w:style>
  <w:style w:type="character" w:customStyle="1" w:styleId="424">
    <w:name w:val="称呼 字符"/>
    <w:qFormat/>
    <w:uiPriority w:val="0"/>
    <w:rPr>
      <w:kern w:val="2"/>
      <w:sz w:val="28"/>
      <w:szCs w:val="24"/>
    </w:rPr>
  </w:style>
  <w:style w:type="character" w:customStyle="1" w:styleId="425">
    <w:name w:val="尾注文本 字符"/>
    <w:qFormat/>
    <w:uiPriority w:val="0"/>
    <w:rPr>
      <w:rFonts w:ascii="Calibri" w:hAnsi="Calibri"/>
      <w:kern w:val="2"/>
      <w:sz w:val="21"/>
      <w:szCs w:val="22"/>
    </w:rPr>
  </w:style>
  <w:style w:type="character" w:customStyle="1" w:styleId="426">
    <w:name w:val="纯文本 字符1"/>
    <w:qFormat/>
    <w:uiPriority w:val="0"/>
    <w:rPr>
      <w:rFonts w:ascii="宋体" w:hAnsi="Courier New" w:eastAsia="宋体" w:cs="Courier New"/>
      <w:kern w:val="2"/>
      <w:sz w:val="21"/>
      <w:szCs w:val="21"/>
      <w:lang w:val="en-US" w:eastAsia="zh-CN" w:bidi="ar-SA"/>
    </w:rPr>
  </w:style>
  <w:style w:type="character" w:customStyle="1" w:styleId="427">
    <w:name w:val="页脚 字符"/>
    <w:qFormat/>
    <w:uiPriority w:val="0"/>
    <w:rPr>
      <w:rFonts w:eastAsia="宋体"/>
      <w:kern w:val="2"/>
      <w:sz w:val="18"/>
      <w:szCs w:val="18"/>
      <w:lang w:val="en-US" w:eastAsia="zh-CN" w:bidi="ar-SA"/>
    </w:rPr>
  </w:style>
  <w:style w:type="character" w:customStyle="1" w:styleId="428">
    <w:name w:val="正文文本 字符"/>
    <w:qFormat/>
    <w:uiPriority w:val="0"/>
    <w:rPr>
      <w:rFonts w:eastAsia="宋体"/>
      <w:kern w:val="2"/>
      <w:sz w:val="24"/>
      <w:szCs w:val="24"/>
      <w:lang w:val="en-US" w:eastAsia="zh-CN" w:bidi="ar-SA"/>
    </w:rPr>
  </w:style>
  <w:style w:type="character" w:customStyle="1" w:styleId="429">
    <w:name w:val="HTML 预设格式 字符"/>
    <w:qFormat/>
    <w:uiPriority w:val="0"/>
    <w:rPr>
      <w:rFonts w:ascii="黑体" w:hAnsi="Courier New" w:eastAsia="黑体" w:cs="Courier New"/>
      <w:lang w:val="en-US" w:eastAsia="zh-CN" w:bidi="ar-SA"/>
    </w:rPr>
  </w:style>
  <w:style w:type="character" w:customStyle="1" w:styleId="430">
    <w:name w:val="批注文字 字符"/>
    <w:qFormat/>
    <w:uiPriority w:val="0"/>
    <w:rPr>
      <w:rFonts w:eastAsia="宋体"/>
      <w:sz w:val="24"/>
      <w:lang w:bidi="ar-SA"/>
    </w:rPr>
  </w:style>
  <w:style w:type="character" w:customStyle="1" w:styleId="431">
    <w:name w:val="正文文本缩进 字符"/>
    <w:qFormat/>
    <w:uiPriority w:val="0"/>
    <w:rPr>
      <w:rFonts w:ascii="仿宋_GB2312" w:eastAsia="仿宋_GB2312"/>
      <w:kern w:val="2"/>
      <w:sz w:val="32"/>
      <w:lang w:val="en-US" w:eastAsia="zh-CN" w:bidi="ar-SA"/>
    </w:rPr>
  </w:style>
  <w:style w:type="character" w:customStyle="1" w:styleId="432">
    <w:name w:val="脚注文本 字符"/>
    <w:qFormat/>
    <w:locked/>
    <w:uiPriority w:val="0"/>
    <w:rPr>
      <w:rFonts w:ascii="宋体" w:eastAsia="宋体"/>
      <w:kern w:val="21"/>
      <w:sz w:val="18"/>
      <w:szCs w:val="18"/>
      <w:lang w:val="en-US" w:eastAsia="zh-CN" w:bidi="ar-SA"/>
    </w:rPr>
  </w:style>
  <w:style w:type="character" w:customStyle="1" w:styleId="433">
    <w:name w:val="文档结构图 字符"/>
    <w:qFormat/>
    <w:uiPriority w:val="0"/>
    <w:rPr>
      <w:rFonts w:eastAsia="宋体"/>
      <w:kern w:val="2"/>
      <w:sz w:val="21"/>
      <w:szCs w:val="24"/>
      <w:lang w:val="en-US" w:eastAsia="zh-CN" w:bidi="ar-SA"/>
    </w:rPr>
  </w:style>
  <w:style w:type="character" w:customStyle="1" w:styleId="434">
    <w:name w:val="标题 3 字符1"/>
    <w:qFormat/>
    <w:uiPriority w:val="0"/>
    <w:rPr>
      <w:rFonts w:eastAsia="宋体"/>
      <w:b/>
      <w:bCs/>
      <w:sz w:val="32"/>
      <w:szCs w:val="32"/>
      <w:lang w:bidi="ar-SA"/>
    </w:rPr>
  </w:style>
  <w:style w:type="character" w:customStyle="1" w:styleId="435">
    <w:name w:val="纯文本 字符2"/>
    <w:qFormat/>
    <w:uiPriority w:val="0"/>
    <w:rPr>
      <w:rFonts w:ascii="宋体" w:hAnsi="Courier New" w:eastAsia="宋体" w:cs="Courier New"/>
      <w:kern w:val="2"/>
      <w:sz w:val="21"/>
      <w:szCs w:val="21"/>
      <w:lang w:val="en-US" w:eastAsia="zh-CN" w:bidi="ar-SA"/>
    </w:rPr>
  </w:style>
  <w:style w:type="character" w:customStyle="1" w:styleId="436">
    <w:name w:val="标题 5 字符1"/>
    <w:qFormat/>
    <w:uiPriority w:val="0"/>
    <w:rPr>
      <w:rFonts w:eastAsia="宋体"/>
      <w:b/>
      <w:kern w:val="2"/>
      <w:sz w:val="28"/>
      <w:szCs w:val="24"/>
      <w:lang w:val="en-US" w:eastAsia="zh-CN" w:bidi="ar-SA"/>
    </w:rPr>
  </w:style>
  <w:style w:type="character" w:customStyle="1" w:styleId="437">
    <w:name w:val="标题 8 字符1"/>
    <w:qFormat/>
    <w:uiPriority w:val="0"/>
    <w:rPr>
      <w:rFonts w:ascii="Arial" w:hAnsi="Arial" w:eastAsia="黑体"/>
      <w:kern w:val="2"/>
      <w:sz w:val="24"/>
      <w:szCs w:val="24"/>
      <w:lang w:val="en-US" w:eastAsia="zh-CN" w:bidi="ar-SA"/>
    </w:rPr>
  </w:style>
  <w:style w:type="character" w:customStyle="1" w:styleId="438">
    <w:name w:val="文档结构图 字符1"/>
    <w:qFormat/>
    <w:uiPriority w:val="0"/>
    <w:rPr>
      <w:rFonts w:eastAsia="宋体"/>
      <w:kern w:val="2"/>
      <w:sz w:val="21"/>
      <w:szCs w:val="24"/>
      <w:lang w:val="en-US" w:eastAsia="zh-CN" w:bidi="ar-SA"/>
    </w:rPr>
  </w:style>
  <w:style w:type="character" w:customStyle="1" w:styleId="439">
    <w:name w:val="标题 1 字符1"/>
    <w:qFormat/>
    <w:uiPriority w:val="0"/>
    <w:rPr>
      <w:rFonts w:eastAsia="宋体"/>
      <w:b/>
      <w:bCs/>
      <w:kern w:val="44"/>
      <w:sz w:val="44"/>
      <w:szCs w:val="44"/>
      <w:lang w:val="en-US" w:eastAsia="zh-CN" w:bidi="ar-SA"/>
    </w:rPr>
  </w:style>
  <w:style w:type="character" w:customStyle="1" w:styleId="440">
    <w:name w:val="页眉 字符1"/>
    <w:qFormat/>
    <w:uiPriority w:val="0"/>
    <w:rPr>
      <w:rFonts w:eastAsia="宋体"/>
      <w:kern w:val="2"/>
      <w:sz w:val="18"/>
      <w:szCs w:val="18"/>
      <w:lang w:val="en-US" w:eastAsia="zh-CN" w:bidi="ar-SA"/>
    </w:rPr>
  </w:style>
  <w:style w:type="character" w:customStyle="1" w:styleId="441">
    <w:name w:val="正文文本缩进 3 字符1"/>
    <w:qFormat/>
    <w:uiPriority w:val="0"/>
    <w:rPr>
      <w:rFonts w:eastAsia="宋体"/>
      <w:kern w:val="2"/>
      <w:sz w:val="16"/>
      <w:szCs w:val="16"/>
      <w:lang w:val="en-US" w:eastAsia="zh-CN" w:bidi="ar-SA"/>
    </w:rPr>
  </w:style>
  <w:style w:type="character" w:customStyle="1" w:styleId="442">
    <w:name w:val="页脚 字符1"/>
    <w:qFormat/>
    <w:uiPriority w:val="0"/>
    <w:rPr>
      <w:rFonts w:eastAsia="宋体"/>
      <w:kern w:val="2"/>
      <w:sz w:val="18"/>
      <w:szCs w:val="18"/>
      <w:lang w:val="en-US" w:eastAsia="zh-CN" w:bidi="ar-SA"/>
    </w:rPr>
  </w:style>
  <w:style w:type="character" w:customStyle="1" w:styleId="443">
    <w:name w:val="正文文本缩进 字符1"/>
    <w:qFormat/>
    <w:uiPriority w:val="0"/>
    <w:rPr>
      <w:rFonts w:ascii="仿宋_GB2312" w:eastAsia="仿宋_GB2312"/>
      <w:kern w:val="2"/>
      <w:sz w:val="32"/>
      <w:lang w:val="en-US" w:eastAsia="zh-CN" w:bidi="ar-SA"/>
    </w:rPr>
  </w:style>
  <w:style w:type="character" w:customStyle="1" w:styleId="444">
    <w:name w:val="标题 9 字符1"/>
    <w:qFormat/>
    <w:uiPriority w:val="0"/>
    <w:rPr>
      <w:rFonts w:ascii="Arial" w:hAnsi="Arial" w:eastAsia="黑体"/>
      <w:kern w:val="2"/>
      <w:sz w:val="21"/>
      <w:szCs w:val="24"/>
      <w:lang w:val="en-US" w:eastAsia="zh-CN" w:bidi="ar-SA"/>
    </w:rPr>
  </w:style>
  <w:style w:type="character" w:customStyle="1" w:styleId="445">
    <w:name w:val="正文文本缩进 2 字符1"/>
    <w:qFormat/>
    <w:uiPriority w:val="0"/>
    <w:rPr>
      <w:rFonts w:eastAsia="宋体"/>
      <w:kern w:val="2"/>
      <w:sz w:val="32"/>
      <w:lang w:val="en-US" w:eastAsia="zh-CN" w:bidi="ar-SA"/>
    </w:rPr>
  </w:style>
  <w:style w:type="character" w:customStyle="1" w:styleId="446">
    <w:name w:val="HTML 预设格式 字符1"/>
    <w:qFormat/>
    <w:uiPriority w:val="0"/>
    <w:rPr>
      <w:rFonts w:ascii="黑体" w:hAnsi="Courier New" w:eastAsia="黑体" w:cs="Courier New"/>
      <w:lang w:val="en-US" w:eastAsia="zh-CN" w:bidi="ar-SA"/>
    </w:rPr>
  </w:style>
  <w:style w:type="character" w:customStyle="1" w:styleId="447">
    <w:name w:val="正文文本 2 字符1"/>
    <w:qFormat/>
    <w:uiPriority w:val="0"/>
    <w:rPr>
      <w:rFonts w:eastAsia="宋体"/>
      <w:kern w:val="2"/>
      <w:sz w:val="21"/>
      <w:szCs w:val="24"/>
      <w:lang w:val="en-US" w:eastAsia="zh-CN" w:bidi="ar-SA"/>
    </w:rPr>
  </w:style>
  <w:style w:type="character" w:customStyle="1" w:styleId="448">
    <w:name w:val="正文文本 字符1"/>
    <w:qFormat/>
    <w:uiPriority w:val="0"/>
    <w:rPr>
      <w:rFonts w:eastAsia="宋体"/>
      <w:kern w:val="2"/>
      <w:sz w:val="24"/>
      <w:szCs w:val="24"/>
      <w:lang w:val="en-US" w:eastAsia="zh-CN" w:bidi="ar-SA"/>
    </w:rPr>
  </w:style>
  <w:style w:type="character" w:customStyle="1" w:styleId="449">
    <w:name w:val="标题 6 字符1"/>
    <w:qFormat/>
    <w:uiPriority w:val="0"/>
    <w:rPr>
      <w:rFonts w:ascii="Arial" w:hAnsi="Arial" w:eastAsia="黑体"/>
      <w:b/>
      <w:kern w:val="2"/>
      <w:sz w:val="24"/>
      <w:szCs w:val="24"/>
      <w:lang w:val="en-US" w:eastAsia="zh-CN" w:bidi="ar-SA"/>
    </w:rPr>
  </w:style>
  <w:style w:type="character" w:customStyle="1" w:styleId="450">
    <w:name w:val="称呼 字符1"/>
    <w:qFormat/>
    <w:uiPriority w:val="0"/>
    <w:rPr>
      <w:kern w:val="2"/>
      <w:sz w:val="28"/>
      <w:szCs w:val="24"/>
    </w:rPr>
  </w:style>
  <w:style w:type="character" w:customStyle="1" w:styleId="451">
    <w:name w:val="标题 4 字符1"/>
    <w:qFormat/>
    <w:uiPriority w:val="0"/>
    <w:rPr>
      <w:rFonts w:ascii="Arial" w:hAnsi="Arial" w:eastAsia="黑体"/>
      <w:sz w:val="28"/>
      <w:lang w:bidi="ar-SA"/>
    </w:rPr>
  </w:style>
  <w:style w:type="character" w:customStyle="1" w:styleId="452">
    <w:name w:val="标题 2 字符1"/>
    <w:qFormat/>
    <w:uiPriority w:val="0"/>
    <w:rPr>
      <w:rFonts w:ascii="Arial" w:hAnsi="Arial" w:eastAsia="黑体"/>
      <w:b/>
      <w:bCs/>
      <w:sz w:val="32"/>
      <w:szCs w:val="32"/>
      <w:lang w:bidi="ar-SA"/>
    </w:rPr>
  </w:style>
  <w:style w:type="character" w:customStyle="1" w:styleId="453">
    <w:name w:val="尾注文本 字符1"/>
    <w:qFormat/>
    <w:uiPriority w:val="0"/>
    <w:rPr>
      <w:rFonts w:ascii="Calibri" w:hAnsi="Calibri"/>
      <w:kern w:val="2"/>
      <w:sz w:val="21"/>
      <w:szCs w:val="22"/>
    </w:rPr>
  </w:style>
  <w:style w:type="character" w:customStyle="1" w:styleId="454">
    <w:name w:val="正文文本 3 字符1"/>
    <w:qFormat/>
    <w:uiPriority w:val="0"/>
    <w:rPr>
      <w:rFonts w:eastAsia="宋体"/>
      <w:b/>
      <w:bCs/>
      <w:kern w:val="2"/>
      <w:sz w:val="24"/>
      <w:szCs w:val="24"/>
      <w:lang w:val="en-US" w:eastAsia="zh-CN" w:bidi="ar-SA"/>
    </w:rPr>
  </w:style>
  <w:style w:type="character" w:customStyle="1" w:styleId="455">
    <w:name w:val="日期 字符1"/>
    <w:qFormat/>
    <w:uiPriority w:val="0"/>
    <w:rPr>
      <w:rFonts w:ascii="宋体" w:hAnsi="Courier New" w:eastAsia="宋体" w:cs="Courier New"/>
      <w:kern w:val="2"/>
      <w:sz w:val="21"/>
      <w:szCs w:val="21"/>
      <w:lang w:val="en-US" w:eastAsia="zh-CN" w:bidi="ar-SA"/>
    </w:rPr>
  </w:style>
  <w:style w:type="character" w:customStyle="1" w:styleId="456">
    <w:name w:val="批注文字 字符1"/>
    <w:qFormat/>
    <w:uiPriority w:val="0"/>
    <w:rPr>
      <w:rFonts w:eastAsia="宋体"/>
      <w:sz w:val="24"/>
      <w:lang w:bidi="ar-SA"/>
    </w:rPr>
  </w:style>
  <w:style w:type="character" w:customStyle="1" w:styleId="457">
    <w:name w:val="标题 字符1"/>
    <w:qFormat/>
    <w:uiPriority w:val="0"/>
    <w:rPr>
      <w:rFonts w:ascii="Arial" w:hAnsi="Arial" w:eastAsia="宋体"/>
      <w:b/>
      <w:bCs/>
      <w:kern w:val="2"/>
      <w:sz w:val="32"/>
      <w:szCs w:val="32"/>
      <w:lang w:bidi="ar-SA"/>
    </w:rPr>
  </w:style>
  <w:style w:type="character" w:customStyle="1" w:styleId="458">
    <w:name w:val="标题 7 字符1"/>
    <w:qFormat/>
    <w:uiPriority w:val="0"/>
    <w:rPr>
      <w:rFonts w:eastAsia="宋体"/>
      <w:b/>
      <w:kern w:val="2"/>
      <w:sz w:val="24"/>
      <w:szCs w:val="24"/>
      <w:lang w:val="en-US" w:eastAsia="zh-CN" w:bidi="ar-SA"/>
    </w:rPr>
  </w:style>
  <w:style w:type="character" w:customStyle="1" w:styleId="459">
    <w:name w:val="HTML 地址 字符1"/>
    <w:qFormat/>
    <w:locked/>
    <w:uiPriority w:val="0"/>
    <w:rPr>
      <w:rFonts w:ascii="宋体" w:eastAsia="宋体"/>
      <w:i/>
      <w:iCs/>
      <w:kern w:val="21"/>
      <w:sz w:val="21"/>
      <w:szCs w:val="21"/>
      <w:lang w:val="en-US" w:eastAsia="zh-CN" w:bidi="ar-SA"/>
    </w:rPr>
  </w:style>
  <w:style w:type="character" w:customStyle="1" w:styleId="460">
    <w:name w:val="无间隔 字符1"/>
    <w:qFormat/>
    <w:uiPriority w:val="0"/>
    <w:rPr>
      <w:sz w:val="22"/>
      <w:szCs w:val="22"/>
      <w:lang w:val="en-US" w:eastAsia="zh-CN" w:bidi="ar-SA"/>
    </w:rPr>
  </w:style>
  <w:style w:type="character" w:customStyle="1" w:styleId="461">
    <w:name w:val="脚注文本 字符1"/>
    <w:qFormat/>
    <w:locked/>
    <w:uiPriority w:val="0"/>
    <w:rPr>
      <w:rFonts w:ascii="宋体" w:eastAsia="宋体"/>
      <w:kern w:val="21"/>
      <w:sz w:val="18"/>
      <w:szCs w:val="18"/>
      <w:lang w:val="en-US" w:eastAsia="zh-CN" w:bidi="ar-SA"/>
    </w:rPr>
  </w:style>
  <w:style w:type="character" w:customStyle="1" w:styleId="462">
    <w:name w:val="批注文字 字符2"/>
    <w:qFormat/>
    <w:uiPriority w:val="0"/>
    <w:rPr>
      <w:rFonts w:eastAsia="宋体"/>
      <w:sz w:val="24"/>
      <w:lang w:bidi="ar-SA"/>
    </w:rPr>
  </w:style>
  <w:style w:type="character" w:customStyle="1" w:styleId="463">
    <w:name w:val="HTML 预设格式 字符2"/>
    <w:qFormat/>
    <w:uiPriority w:val="0"/>
    <w:rPr>
      <w:rFonts w:ascii="黑体" w:hAnsi="Courier New" w:eastAsia="黑体" w:cs="Courier New"/>
      <w:lang w:val="en-US" w:eastAsia="zh-CN" w:bidi="ar-SA"/>
    </w:rPr>
  </w:style>
  <w:style w:type="character" w:customStyle="1" w:styleId="464">
    <w:name w:val="HTML 地址 字符2"/>
    <w:qFormat/>
    <w:locked/>
    <w:uiPriority w:val="0"/>
    <w:rPr>
      <w:rFonts w:ascii="宋体" w:eastAsia="宋体"/>
      <w:i/>
      <w:iCs/>
      <w:kern w:val="21"/>
      <w:sz w:val="21"/>
      <w:szCs w:val="21"/>
      <w:lang w:val="en-US" w:eastAsia="zh-CN" w:bidi="ar-SA"/>
    </w:rPr>
  </w:style>
  <w:style w:type="character" w:customStyle="1" w:styleId="465">
    <w:name w:val="页脚 字符2"/>
    <w:qFormat/>
    <w:uiPriority w:val="0"/>
    <w:rPr>
      <w:rFonts w:eastAsia="宋体"/>
      <w:kern w:val="2"/>
      <w:sz w:val="18"/>
      <w:szCs w:val="18"/>
      <w:lang w:val="en-US" w:eastAsia="zh-CN" w:bidi="ar-SA"/>
    </w:rPr>
  </w:style>
  <w:style w:type="character" w:customStyle="1" w:styleId="466">
    <w:name w:val="标题 5 字符2"/>
    <w:qFormat/>
    <w:uiPriority w:val="0"/>
    <w:rPr>
      <w:rFonts w:eastAsia="宋体"/>
      <w:b/>
      <w:kern w:val="2"/>
      <w:sz w:val="28"/>
      <w:szCs w:val="24"/>
      <w:lang w:val="en-US" w:eastAsia="zh-CN" w:bidi="ar-SA"/>
    </w:rPr>
  </w:style>
  <w:style w:type="character" w:customStyle="1" w:styleId="467">
    <w:name w:val="标题 8 字符2"/>
    <w:qFormat/>
    <w:uiPriority w:val="0"/>
    <w:rPr>
      <w:rFonts w:ascii="Arial" w:hAnsi="Arial" w:eastAsia="黑体"/>
      <w:kern w:val="2"/>
      <w:sz w:val="24"/>
      <w:szCs w:val="24"/>
      <w:lang w:val="en-US" w:eastAsia="zh-CN" w:bidi="ar-SA"/>
    </w:rPr>
  </w:style>
  <w:style w:type="character" w:customStyle="1" w:styleId="468">
    <w:name w:val="尾注文本 字符2"/>
    <w:qFormat/>
    <w:uiPriority w:val="0"/>
    <w:rPr>
      <w:rFonts w:ascii="Calibri" w:hAnsi="Calibri"/>
      <w:kern w:val="2"/>
      <w:sz w:val="21"/>
      <w:szCs w:val="22"/>
    </w:rPr>
  </w:style>
  <w:style w:type="character" w:customStyle="1" w:styleId="469">
    <w:name w:val="正文文本 2 字符2"/>
    <w:qFormat/>
    <w:uiPriority w:val="0"/>
    <w:rPr>
      <w:rFonts w:eastAsia="宋体"/>
      <w:kern w:val="2"/>
      <w:sz w:val="21"/>
      <w:szCs w:val="24"/>
      <w:lang w:val="en-US" w:eastAsia="zh-CN" w:bidi="ar-SA"/>
    </w:rPr>
  </w:style>
  <w:style w:type="character" w:customStyle="1" w:styleId="470">
    <w:name w:val="标题 1 字符2"/>
    <w:qFormat/>
    <w:uiPriority w:val="0"/>
    <w:rPr>
      <w:rFonts w:eastAsia="宋体"/>
      <w:b/>
      <w:bCs/>
      <w:kern w:val="44"/>
      <w:sz w:val="44"/>
      <w:szCs w:val="44"/>
      <w:lang w:val="en-US" w:eastAsia="zh-CN" w:bidi="ar-SA"/>
    </w:rPr>
  </w:style>
  <w:style w:type="character" w:customStyle="1" w:styleId="471">
    <w:name w:val="标题 9 字符2"/>
    <w:qFormat/>
    <w:uiPriority w:val="0"/>
    <w:rPr>
      <w:rFonts w:ascii="Arial" w:hAnsi="Arial" w:eastAsia="黑体"/>
      <w:kern w:val="2"/>
      <w:sz w:val="21"/>
      <w:szCs w:val="24"/>
      <w:lang w:val="en-US" w:eastAsia="zh-CN" w:bidi="ar-SA"/>
    </w:rPr>
  </w:style>
  <w:style w:type="character" w:customStyle="1" w:styleId="472">
    <w:name w:val="标题 6 字符2"/>
    <w:qFormat/>
    <w:uiPriority w:val="0"/>
    <w:rPr>
      <w:rFonts w:ascii="Arial" w:hAnsi="Arial" w:eastAsia="黑体"/>
      <w:b/>
      <w:kern w:val="2"/>
      <w:sz w:val="24"/>
      <w:szCs w:val="24"/>
      <w:lang w:val="en-US" w:eastAsia="zh-CN" w:bidi="ar-SA"/>
    </w:rPr>
  </w:style>
  <w:style w:type="character" w:customStyle="1" w:styleId="473">
    <w:name w:val="正文文本缩进 3 字符2"/>
    <w:qFormat/>
    <w:uiPriority w:val="0"/>
    <w:rPr>
      <w:rFonts w:eastAsia="宋体"/>
      <w:kern w:val="2"/>
      <w:sz w:val="16"/>
      <w:szCs w:val="16"/>
      <w:lang w:val="en-US" w:eastAsia="zh-CN" w:bidi="ar-SA"/>
    </w:rPr>
  </w:style>
  <w:style w:type="character" w:customStyle="1" w:styleId="474">
    <w:name w:val="标题 4 字符2"/>
    <w:qFormat/>
    <w:uiPriority w:val="0"/>
    <w:rPr>
      <w:rFonts w:ascii="Arial" w:hAnsi="Arial" w:eastAsia="黑体"/>
      <w:sz w:val="28"/>
      <w:lang w:bidi="ar-SA"/>
    </w:rPr>
  </w:style>
  <w:style w:type="character" w:customStyle="1" w:styleId="475">
    <w:name w:val="标题 字符2"/>
    <w:qFormat/>
    <w:uiPriority w:val="0"/>
    <w:rPr>
      <w:rFonts w:ascii="Arial" w:hAnsi="Arial" w:eastAsia="宋体"/>
      <w:b/>
      <w:bCs/>
      <w:kern w:val="2"/>
      <w:sz w:val="32"/>
      <w:szCs w:val="32"/>
      <w:lang w:bidi="ar-SA"/>
    </w:rPr>
  </w:style>
  <w:style w:type="character" w:customStyle="1" w:styleId="476">
    <w:name w:val="文档结构图 字符2"/>
    <w:qFormat/>
    <w:uiPriority w:val="0"/>
    <w:rPr>
      <w:rFonts w:eastAsia="宋体"/>
      <w:kern w:val="2"/>
      <w:sz w:val="21"/>
      <w:szCs w:val="24"/>
      <w:lang w:val="en-US" w:eastAsia="zh-CN" w:bidi="ar-SA"/>
    </w:rPr>
  </w:style>
  <w:style w:type="character" w:customStyle="1" w:styleId="477">
    <w:name w:val="正文文本 3 字符2"/>
    <w:qFormat/>
    <w:uiPriority w:val="0"/>
    <w:rPr>
      <w:rFonts w:eastAsia="宋体"/>
      <w:b/>
      <w:bCs/>
      <w:kern w:val="2"/>
      <w:sz w:val="24"/>
      <w:szCs w:val="24"/>
      <w:lang w:val="en-US" w:eastAsia="zh-CN" w:bidi="ar-SA"/>
    </w:rPr>
  </w:style>
  <w:style w:type="character" w:customStyle="1" w:styleId="478">
    <w:name w:val="正文文本 字符2"/>
    <w:qFormat/>
    <w:uiPriority w:val="0"/>
    <w:rPr>
      <w:rFonts w:eastAsia="宋体"/>
      <w:kern w:val="2"/>
      <w:sz w:val="24"/>
      <w:szCs w:val="24"/>
      <w:lang w:val="en-US" w:eastAsia="zh-CN" w:bidi="ar-SA"/>
    </w:rPr>
  </w:style>
  <w:style w:type="character" w:customStyle="1" w:styleId="479">
    <w:name w:val="无间隔 字符2"/>
    <w:qFormat/>
    <w:uiPriority w:val="0"/>
    <w:rPr>
      <w:sz w:val="22"/>
      <w:szCs w:val="22"/>
      <w:lang w:val="en-US" w:eastAsia="zh-CN" w:bidi="ar-SA"/>
    </w:rPr>
  </w:style>
  <w:style w:type="character" w:customStyle="1" w:styleId="480">
    <w:name w:val="正文文本缩进 字符2"/>
    <w:qFormat/>
    <w:uiPriority w:val="0"/>
    <w:rPr>
      <w:rFonts w:ascii="仿宋_GB2312" w:eastAsia="仿宋_GB2312"/>
      <w:kern w:val="2"/>
      <w:sz w:val="32"/>
      <w:lang w:val="en-US" w:eastAsia="zh-CN" w:bidi="ar-SA"/>
    </w:rPr>
  </w:style>
  <w:style w:type="character" w:customStyle="1" w:styleId="481">
    <w:name w:val="标题 2 字符2"/>
    <w:qFormat/>
    <w:uiPriority w:val="0"/>
    <w:rPr>
      <w:rFonts w:ascii="Arial" w:hAnsi="Arial" w:eastAsia="黑体"/>
      <w:b/>
      <w:bCs/>
      <w:sz w:val="32"/>
      <w:szCs w:val="32"/>
      <w:lang w:bidi="ar-SA"/>
    </w:rPr>
  </w:style>
  <w:style w:type="character" w:customStyle="1" w:styleId="482">
    <w:name w:val="标题 3 字符2"/>
    <w:qFormat/>
    <w:uiPriority w:val="0"/>
    <w:rPr>
      <w:rFonts w:eastAsia="宋体"/>
      <w:b/>
      <w:bCs/>
      <w:sz w:val="32"/>
      <w:szCs w:val="32"/>
      <w:lang w:bidi="ar-SA"/>
    </w:rPr>
  </w:style>
  <w:style w:type="character" w:customStyle="1" w:styleId="483">
    <w:name w:val="标题 7 字符2"/>
    <w:qFormat/>
    <w:uiPriority w:val="0"/>
    <w:rPr>
      <w:rFonts w:eastAsia="宋体"/>
      <w:b/>
      <w:kern w:val="2"/>
      <w:sz w:val="24"/>
      <w:szCs w:val="24"/>
      <w:lang w:val="en-US" w:eastAsia="zh-CN" w:bidi="ar-SA"/>
    </w:rPr>
  </w:style>
  <w:style w:type="character" w:customStyle="1" w:styleId="484">
    <w:name w:val="正文文本缩进 2 字符2"/>
    <w:qFormat/>
    <w:uiPriority w:val="0"/>
    <w:rPr>
      <w:rFonts w:eastAsia="宋体"/>
      <w:kern w:val="2"/>
      <w:sz w:val="32"/>
      <w:lang w:val="en-US" w:eastAsia="zh-CN" w:bidi="ar-SA"/>
    </w:rPr>
  </w:style>
  <w:style w:type="character" w:customStyle="1" w:styleId="485">
    <w:name w:val="称呼 字符2"/>
    <w:qFormat/>
    <w:uiPriority w:val="0"/>
    <w:rPr>
      <w:kern w:val="2"/>
      <w:sz w:val="28"/>
      <w:szCs w:val="24"/>
    </w:rPr>
  </w:style>
  <w:style w:type="character" w:customStyle="1" w:styleId="486">
    <w:name w:val="纯文本 字符3"/>
    <w:qFormat/>
    <w:uiPriority w:val="0"/>
    <w:rPr>
      <w:rFonts w:ascii="宋体" w:hAnsi="Courier New" w:eastAsia="宋体" w:cs="Courier New"/>
      <w:kern w:val="2"/>
      <w:sz w:val="21"/>
      <w:szCs w:val="21"/>
      <w:lang w:val="en-US" w:eastAsia="zh-CN" w:bidi="ar-SA"/>
    </w:rPr>
  </w:style>
  <w:style w:type="character" w:customStyle="1" w:styleId="487">
    <w:name w:val="日期 字符2"/>
    <w:qFormat/>
    <w:uiPriority w:val="0"/>
    <w:rPr>
      <w:rFonts w:ascii="宋体" w:hAnsi="Courier New" w:eastAsia="宋体" w:cs="Courier New"/>
      <w:kern w:val="2"/>
      <w:sz w:val="21"/>
      <w:szCs w:val="21"/>
      <w:lang w:val="en-US" w:eastAsia="zh-CN" w:bidi="ar-SA"/>
    </w:rPr>
  </w:style>
  <w:style w:type="character" w:customStyle="1" w:styleId="488">
    <w:name w:val="页眉 字符2"/>
    <w:qFormat/>
    <w:uiPriority w:val="0"/>
    <w:rPr>
      <w:rFonts w:eastAsia="宋体"/>
      <w:kern w:val="2"/>
      <w:sz w:val="18"/>
      <w:szCs w:val="18"/>
      <w:lang w:val="en-US" w:eastAsia="zh-CN" w:bidi="ar-SA"/>
    </w:rPr>
  </w:style>
  <w:style w:type="character" w:customStyle="1" w:styleId="489">
    <w:name w:val="脚注文本 字符2"/>
    <w:qFormat/>
    <w:locked/>
    <w:uiPriority w:val="0"/>
    <w:rPr>
      <w:rFonts w:ascii="宋体" w:eastAsia="宋体"/>
      <w:kern w:val="21"/>
      <w:sz w:val="18"/>
      <w:szCs w:val="18"/>
      <w:lang w:val="en-US" w:eastAsia="zh-CN" w:bidi="ar-SA"/>
    </w:rPr>
  </w:style>
  <w:style w:type="character" w:customStyle="1" w:styleId="490">
    <w:name w:val="Char Char39"/>
    <w:qFormat/>
    <w:uiPriority w:val="0"/>
    <w:rPr>
      <w:rFonts w:eastAsia="宋体"/>
      <w:b/>
      <w:bCs/>
      <w:kern w:val="44"/>
      <w:sz w:val="44"/>
      <w:szCs w:val="44"/>
      <w:lang w:val="en-US" w:eastAsia="zh-CN" w:bidi="ar-SA"/>
    </w:rPr>
  </w:style>
  <w:style w:type="character" w:customStyle="1" w:styleId="491">
    <w:name w:val="Char Char38"/>
    <w:qFormat/>
    <w:uiPriority w:val="0"/>
    <w:rPr>
      <w:rFonts w:ascii="Arial" w:hAnsi="Arial" w:eastAsia="黑体"/>
      <w:b/>
      <w:bCs/>
      <w:sz w:val="32"/>
      <w:szCs w:val="32"/>
      <w:lang w:bidi="ar-SA"/>
    </w:rPr>
  </w:style>
  <w:style w:type="character" w:customStyle="1" w:styleId="492">
    <w:name w:val="无间隔 字符3"/>
    <w:qFormat/>
    <w:uiPriority w:val="0"/>
    <w:rPr>
      <w:sz w:val="22"/>
      <w:szCs w:val="22"/>
      <w:lang w:val="en-US" w:eastAsia="zh-CN" w:bidi="ar-SA"/>
    </w:rPr>
  </w:style>
  <w:style w:type="character" w:customStyle="1" w:styleId="493">
    <w:name w:val="普通文字 Char Char6"/>
    <w:qFormat/>
    <w:uiPriority w:val="0"/>
    <w:rPr>
      <w:rFonts w:ascii="宋体" w:hAnsi="Courier New" w:eastAsia="宋体" w:cs="Courier New"/>
      <w:kern w:val="2"/>
      <w:sz w:val="21"/>
      <w:szCs w:val="21"/>
      <w:lang w:val="en-US" w:eastAsia="zh-CN" w:bidi="ar-SA"/>
    </w:rPr>
  </w:style>
  <w:style w:type="character" w:customStyle="1" w:styleId="494">
    <w:name w:val="页脚 Char2"/>
    <w:qFormat/>
    <w:locked/>
    <w:uiPriority w:val="0"/>
    <w:rPr>
      <w:rFonts w:hint="eastAsia" w:ascii="宋体" w:hAnsi="宋体" w:eastAsia="宋体"/>
      <w:kern w:val="2"/>
      <w:sz w:val="18"/>
      <w:szCs w:val="18"/>
    </w:rPr>
  </w:style>
  <w:style w:type="character" w:customStyle="1" w:styleId="495">
    <w:name w:val="font61"/>
    <w:basedOn w:val="54"/>
    <w:qFormat/>
    <w:uiPriority w:val="0"/>
    <w:rPr>
      <w:rFonts w:hint="eastAsia" w:ascii="宋体" w:hAnsi="宋体" w:eastAsia="宋体" w:cs="宋体"/>
      <w:color w:val="000000"/>
      <w:sz w:val="21"/>
      <w:szCs w:val="21"/>
      <w:u w:val="none"/>
    </w:rPr>
  </w:style>
  <w:style w:type="character" w:customStyle="1" w:styleId="496">
    <w:name w:val="font101"/>
    <w:basedOn w:val="54"/>
    <w:qFormat/>
    <w:uiPriority w:val="0"/>
    <w:rPr>
      <w:rFonts w:hint="eastAsia" w:ascii="宋体" w:hAnsi="宋体" w:eastAsia="宋体" w:cs="宋体"/>
      <w:color w:val="000000"/>
      <w:sz w:val="21"/>
      <w:szCs w:val="21"/>
      <w:u w:val="none"/>
    </w:rPr>
  </w:style>
  <w:style w:type="table" w:customStyle="1" w:styleId="497">
    <w:name w:val="彩色列表 - 着色 11"/>
    <w:qFormat/>
    <w:uiPriority w:val="0"/>
    <w:rPr>
      <w:rFonts w:ascii="Calibri" w:hAnsi="Calibri"/>
      <w:sz w:val="24"/>
      <w:szCs w:val="24"/>
      <w:lang w:eastAsia="en-US"/>
    </w:rPr>
    <w:tblPr>
      <w:tblCellMar>
        <w:top w:w="0" w:type="dxa"/>
        <w:left w:w="108" w:type="dxa"/>
        <w:bottom w:w="0" w:type="dxa"/>
        <w:right w:w="108" w:type="dxa"/>
      </w:tblCellMar>
    </w:tblPr>
    <w:tcPr>
      <w:shd w:val="clear" w:color="auto" w:fill="EDF2F8"/>
    </w:tcPr>
  </w:style>
  <w:style w:type="character" w:customStyle="1" w:styleId="498">
    <w:name w:val="Body Text Char1"/>
    <w:qFormat/>
    <w:locked/>
    <w:uiPriority w:val="0"/>
    <w:rPr>
      <w:rFonts w:eastAsia="宋体"/>
      <w:kern w:val="2"/>
      <w:sz w:val="24"/>
      <w:lang w:val="en-US" w:eastAsia="zh-CN"/>
    </w:rPr>
  </w:style>
  <w:style w:type="character" w:customStyle="1" w:styleId="499">
    <w:name w:val="Heading 1 Char1"/>
    <w:qFormat/>
    <w:locked/>
    <w:uiPriority w:val="0"/>
    <w:rPr>
      <w:rFonts w:eastAsia="宋体"/>
      <w:b/>
      <w:kern w:val="44"/>
      <w:sz w:val="44"/>
      <w:lang w:val="en-US" w:eastAsia="zh-CN"/>
    </w:rPr>
  </w:style>
  <w:style w:type="character" w:customStyle="1" w:styleId="500">
    <w:name w:val="Heading 2 Char1"/>
    <w:qFormat/>
    <w:locked/>
    <w:uiPriority w:val="0"/>
    <w:rPr>
      <w:rFonts w:ascii="Arial" w:hAnsi="Arial" w:eastAsia="黑体"/>
      <w:b/>
      <w:sz w:val="32"/>
    </w:rPr>
  </w:style>
  <w:style w:type="character" w:customStyle="1" w:styleId="501">
    <w:name w:val="Heading 3 Char1"/>
    <w:qFormat/>
    <w:locked/>
    <w:uiPriority w:val="0"/>
    <w:rPr>
      <w:rFonts w:eastAsia="宋体"/>
      <w:b/>
      <w:sz w:val="32"/>
    </w:rPr>
  </w:style>
  <w:style w:type="character" w:customStyle="1" w:styleId="502">
    <w:name w:val="Heading 4 Char1"/>
    <w:qFormat/>
    <w:locked/>
    <w:uiPriority w:val="0"/>
    <w:rPr>
      <w:rFonts w:ascii="Arial" w:hAnsi="Arial" w:eastAsia="黑体"/>
      <w:sz w:val="28"/>
    </w:rPr>
  </w:style>
  <w:style w:type="character" w:customStyle="1" w:styleId="503">
    <w:name w:val="Heading 5 Char1"/>
    <w:qFormat/>
    <w:locked/>
    <w:uiPriority w:val="0"/>
    <w:rPr>
      <w:rFonts w:eastAsia="宋体"/>
      <w:b/>
      <w:kern w:val="2"/>
      <w:sz w:val="24"/>
      <w:lang w:val="en-US" w:eastAsia="zh-CN"/>
    </w:rPr>
  </w:style>
  <w:style w:type="character" w:customStyle="1" w:styleId="504">
    <w:name w:val="Heading 6 Char1"/>
    <w:qFormat/>
    <w:locked/>
    <w:uiPriority w:val="0"/>
    <w:rPr>
      <w:rFonts w:ascii="Arial" w:hAnsi="Arial" w:eastAsia="黑体"/>
      <w:b/>
      <w:kern w:val="2"/>
      <w:sz w:val="24"/>
      <w:lang w:val="en-US" w:eastAsia="zh-CN"/>
    </w:rPr>
  </w:style>
  <w:style w:type="character" w:customStyle="1" w:styleId="505">
    <w:name w:val="Heading 7 Char1"/>
    <w:qFormat/>
    <w:locked/>
    <w:uiPriority w:val="0"/>
    <w:rPr>
      <w:rFonts w:eastAsia="宋体"/>
      <w:b/>
      <w:kern w:val="2"/>
      <w:sz w:val="24"/>
      <w:lang w:val="en-US" w:eastAsia="zh-CN"/>
    </w:rPr>
  </w:style>
  <w:style w:type="character" w:customStyle="1" w:styleId="506">
    <w:name w:val="Heading 8 Char1"/>
    <w:qFormat/>
    <w:locked/>
    <w:uiPriority w:val="0"/>
    <w:rPr>
      <w:rFonts w:ascii="Arial" w:hAnsi="Arial" w:eastAsia="黑体"/>
      <w:kern w:val="2"/>
      <w:sz w:val="24"/>
      <w:lang w:val="en-US" w:eastAsia="zh-CN"/>
    </w:rPr>
  </w:style>
  <w:style w:type="character" w:customStyle="1" w:styleId="507">
    <w:name w:val="Heading 9 Char1"/>
    <w:qFormat/>
    <w:locked/>
    <w:uiPriority w:val="0"/>
    <w:rPr>
      <w:rFonts w:ascii="Arial" w:hAnsi="Arial" w:eastAsia="黑体"/>
      <w:kern w:val="2"/>
      <w:sz w:val="24"/>
      <w:lang w:val="en-US" w:eastAsia="zh-CN"/>
    </w:rPr>
  </w:style>
  <w:style w:type="character" w:customStyle="1" w:styleId="508">
    <w:name w:val="Document Map Char1"/>
    <w:qFormat/>
    <w:locked/>
    <w:uiPriority w:val="0"/>
    <w:rPr>
      <w:rFonts w:eastAsia="宋体"/>
      <w:kern w:val="2"/>
      <w:sz w:val="24"/>
      <w:lang w:val="en-US" w:eastAsia="zh-CN"/>
    </w:rPr>
  </w:style>
  <w:style w:type="character" w:customStyle="1" w:styleId="509">
    <w:name w:val="Comment Text Char"/>
    <w:qFormat/>
    <w:locked/>
    <w:uiPriority w:val="0"/>
    <w:rPr>
      <w:rFonts w:eastAsia="宋体"/>
      <w:sz w:val="24"/>
    </w:rPr>
  </w:style>
  <w:style w:type="character" w:customStyle="1" w:styleId="510">
    <w:name w:val="Salutation Char"/>
    <w:qFormat/>
    <w:locked/>
    <w:uiPriority w:val="0"/>
    <w:rPr>
      <w:kern w:val="2"/>
      <w:sz w:val="24"/>
    </w:rPr>
  </w:style>
  <w:style w:type="character" w:customStyle="1" w:styleId="511">
    <w:name w:val="Body Text 3 Char"/>
    <w:qFormat/>
    <w:locked/>
    <w:uiPriority w:val="0"/>
    <w:rPr>
      <w:rFonts w:eastAsia="宋体"/>
      <w:b/>
      <w:kern w:val="2"/>
      <w:sz w:val="24"/>
      <w:lang w:val="en-US" w:eastAsia="zh-CN"/>
    </w:rPr>
  </w:style>
  <w:style w:type="character" w:customStyle="1" w:styleId="512">
    <w:name w:val="Body Text Indent Char"/>
    <w:qFormat/>
    <w:locked/>
    <w:uiPriority w:val="0"/>
    <w:rPr>
      <w:rFonts w:ascii="仿宋_GB2312" w:eastAsia="仿宋_GB2312"/>
      <w:kern w:val="2"/>
      <w:sz w:val="32"/>
      <w:lang w:val="en-US" w:eastAsia="zh-CN"/>
    </w:rPr>
  </w:style>
  <w:style w:type="character" w:customStyle="1" w:styleId="513">
    <w:name w:val="Plain Text Char1"/>
    <w:qFormat/>
    <w:locked/>
    <w:uiPriority w:val="0"/>
    <w:rPr>
      <w:rFonts w:ascii="宋体" w:hAnsi="Courier New" w:eastAsia="宋体"/>
      <w:kern w:val="2"/>
      <w:sz w:val="21"/>
      <w:lang w:val="en-US" w:eastAsia="zh-CN"/>
    </w:rPr>
  </w:style>
  <w:style w:type="character" w:customStyle="1" w:styleId="514">
    <w:name w:val="Date Char1"/>
    <w:qFormat/>
    <w:locked/>
    <w:uiPriority w:val="0"/>
    <w:rPr>
      <w:rFonts w:ascii="宋体" w:hAnsi="Courier New" w:eastAsia="宋体"/>
      <w:kern w:val="2"/>
      <w:sz w:val="21"/>
      <w:lang w:val="en-US" w:eastAsia="zh-CN"/>
    </w:rPr>
  </w:style>
  <w:style w:type="character" w:customStyle="1" w:styleId="515">
    <w:name w:val="Body Text Indent 2 Char"/>
    <w:qFormat/>
    <w:locked/>
    <w:uiPriority w:val="0"/>
    <w:rPr>
      <w:rFonts w:eastAsia="宋体"/>
      <w:kern w:val="2"/>
      <w:sz w:val="32"/>
      <w:lang w:val="en-US" w:eastAsia="zh-CN"/>
    </w:rPr>
  </w:style>
  <w:style w:type="character" w:customStyle="1" w:styleId="516">
    <w:name w:val="Endnote Text Char"/>
    <w:qFormat/>
    <w:locked/>
    <w:uiPriority w:val="0"/>
    <w:rPr>
      <w:rFonts w:ascii="Calibri" w:hAnsi="Calibri"/>
      <w:kern w:val="2"/>
      <w:sz w:val="22"/>
    </w:rPr>
  </w:style>
  <w:style w:type="character" w:customStyle="1" w:styleId="517">
    <w:name w:val="Balloon Text Char1"/>
    <w:semiHidden/>
    <w:qFormat/>
    <w:locked/>
    <w:uiPriority w:val="0"/>
    <w:rPr>
      <w:rFonts w:eastAsia="宋体"/>
      <w:kern w:val="2"/>
      <w:sz w:val="18"/>
      <w:lang w:val="en-US" w:eastAsia="zh-CN"/>
    </w:rPr>
  </w:style>
  <w:style w:type="character" w:customStyle="1" w:styleId="518">
    <w:name w:val="Footer Char1"/>
    <w:qFormat/>
    <w:locked/>
    <w:uiPriority w:val="0"/>
    <w:rPr>
      <w:rFonts w:eastAsia="宋体"/>
      <w:kern w:val="2"/>
      <w:sz w:val="18"/>
      <w:lang w:val="en-US" w:eastAsia="zh-CN"/>
    </w:rPr>
  </w:style>
  <w:style w:type="character" w:customStyle="1" w:styleId="519">
    <w:name w:val="Header Char1"/>
    <w:qFormat/>
    <w:locked/>
    <w:uiPriority w:val="0"/>
    <w:rPr>
      <w:rFonts w:eastAsia="宋体"/>
      <w:kern w:val="2"/>
      <w:sz w:val="18"/>
      <w:lang w:val="en-US" w:eastAsia="zh-CN"/>
    </w:rPr>
  </w:style>
  <w:style w:type="character" w:customStyle="1" w:styleId="520">
    <w:name w:val="Body Text Indent 3 Char"/>
    <w:qFormat/>
    <w:locked/>
    <w:uiPriority w:val="0"/>
    <w:rPr>
      <w:rFonts w:eastAsia="宋体"/>
      <w:kern w:val="2"/>
      <w:sz w:val="16"/>
      <w:lang w:val="en-US" w:eastAsia="zh-CN"/>
    </w:rPr>
  </w:style>
  <w:style w:type="character" w:customStyle="1" w:styleId="521">
    <w:name w:val="Body Text 2 Char"/>
    <w:qFormat/>
    <w:locked/>
    <w:uiPriority w:val="0"/>
    <w:rPr>
      <w:rFonts w:eastAsia="宋体"/>
      <w:kern w:val="2"/>
      <w:sz w:val="24"/>
      <w:lang w:val="en-US" w:eastAsia="zh-CN"/>
    </w:rPr>
  </w:style>
  <w:style w:type="character" w:customStyle="1" w:styleId="522">
    <w:name w:val="HTML Preformatted Char1"/>
    <w:qFormat/>
    <w:locked/>
    <w:uiPriority w:val="0"/>
    <w:rPr>
      <w:rFonts w:ascii="黑体" w:hAnsi="Courier New" w:eastAsia="黑体"/>
      <w:lang w:val="en-US" w:eastAsia="zh-CN"/>
    </w:rPr>
  </w:style>
  <w:style w:type="character" w:customStyle="1" w:styleId="523">
    <w:name w:val="Title Char1"/>
    <w:qFormat/>
    <w:locked/>
    <w:uiPriority w:val="0"/>
    <w:rPr>
      <w:rFonts w:ascii="Arial" w:hAnsi="Arial" w:eastAsia="宋体"/>
      <w:b/>
      <w:kern w:val="2"/>
      <w:sz w:val="32"/>
    </w:rPr>
  </w:style>
  <w:style w:type="character" w:customStyle="1" w:styleId="524">
    <w:name w:val="Comment Subject Char"/>
    <w:semiHidden/>
    <w:qFormat/>
    <w:locked/>
    <w:uiPriority w:val="0"/>
    <w:rPr>
      <w:b/>
      <w:kern w:val="2"/>
      <w:sz w:val="24"/>
    </w:rPr>
  </w:style>
  <w:style w:type="character" w:customStyle="1" w:styleId="525">
    <w:name w:val="Char Char101"/>
    <w:semiHidden/>
    <w:qFormat/>
    <w:uiPriority w:val="0"/>
    <w:rPr>
      <w:rFonts w:eastAsia="宋体"/>
      <w:kern w:val="2"/>
      <w:sz w:val="24"/>
      <w:lang w:val="en-US" w:eastAsia="zh-CN"/>
    </w:rPr>
  </w:style>
  <w:style w:type="character" w:customStyle="1" w:styleId="526">
    <w:name w:val="Char Char141"/>
    <w:qFormat/>
    <w:uiPriority w:val="0"/>
    <w:rPr>
      <w:sz w:val="18"/>
    </w:rPr>
  </w:style>
  <w:style w:type="character" w:customStyle="1" w:styleId="527">
    <w:name w:val="Char Char Char Char Char1"/>
    <w:qFormat/>
    <w:uiPriority w:val="0"/>
    <w:rPr>
      <w:rFonts w:eastAsia="宋体"/>
      <w:b/>
      <w:kern w:val="44"/>
      <w:sz w:val="44"/>
      <w:lang w:val="en-US" w:eastAsia="zh-CN"/>
    </w:rPr>
  </w:style>
  <w:style w:type="character" w:customStyle="1" w:styleId="528">
    <w:name w:val="Char Char231"/>
    <w:qFormat/>
    <w:uiPriority w:val="0"/>
    <w:rPr>
      <w:rFonts w:ascii="Times New Roman" w:hAnsi="Times New Roman" w:eastAsia="宋体"/>
      <w:b/>
      <w:kern w:val="44"/>
      <w:sz w:val="44"/>
    </w:rPr>
  </w:style>
  <w:style w:type="character" w:customStyle="1" w:styleId="529">
    <w:name w:val="Char Char151"/>
    <w:qFormat/>
    <w:uiPriority w:val="0"/>
    <w:rPr>
      <w:sz w:val="18"/>
    </w:rPr>
  </w:style>
  <w:style w:type="paragraph" w:customStyle="1" w:styleId="530">
    <w:name w:val="Char Char112"/>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531">
    <w:name w:val="纯文本11"/>
    <w:basedOn w:val="1"/>
    <w:qFormat/>
    <w:uiPriority w:val="0"/>
    <w:rPr>
      <w:rFonts w:ascii="宋体"/>
      <w:szCs w:val="21"/>
    </w:rPr>
  </w:style>
  <w:style w:type="paragraph" w:customStyle="1" w:styleId="532">
    <w:name w:val="TOC 标题1"/>
    <w:basedOn w:val="4"/>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533">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534">
    <w:name w:val="Char Char19 Char Char Char Char1"/>
    <w:basedOn w:val="17"/>
    <w:qFormat/>
    <w:uiPriority w:val="0"/>
    <w:pPr>
      <w:widowControl/>
      <w:ind w:firstLine="454"/>
      <w:jc w:val="left"/>
    </w:pPr>
  </w:style>
  <w:style w:type="paragraph" w:customStyle="1" w:styleId="535">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6">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37">
    <w:name w:val="Char3"/>
    <w:basedOn w:val="17"/>
    <w:qFormat/>
    <w:uiPriority w:val="0"/>
    <w:pPr>
      <w:widowControl/>
      <w:ind w:firstLine="454"/>
      <w:jc w:val="left"/>
    </w:pPr>
    <w:rPr>
      <w:rFonts w:ascii="Tahoma" w:hAnsi="Tahoma" w:cs="宋体"/>
      <w:kern w:val="0"/>
      <w:sz w:val="24"/>
      <w:szCs w:val="20"/>
    </w:rPr>
  </w:style>
  <w:style w:type="paragraph" w:customStyle="1" w:styleId="538">
    <w:name w:val="Char Char1 Char Char Char Char2"/>
    <w:basedOn w:val="17"/>
    <w:qFormat/>
    <w:uiPriority w:val="0"/>
    <w:rPr>
      <w:rFonts w:ascii="Tahoma" w:hAnsi="Tahoma"/>
      <w:sz w:val="24"/>
    </w:rPr>
  </w:style>
  <w:style w:type="paragraph" w:customStyle="1" w:styleId="539">
    <w:name w:val="Char Char Char Char Char Char1 Char2"/>
    <w:basedOn w:val="1"/>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540">
    <w:name w:val="Char22"/>
    <w:basedOn w:val="1"/>
    <w:qFormat/>
    <w:uiPriority w:val="0"/>
    <w:pPr>
      <w:widowControl/>
      <w:spacing w:after="160" w:line="240" w:lineRule="exact"/>
      <w:jc w:val="left"/>
    </w:pPr>
    <w:rPr>
      <w:rFonts w:ascii="Verdana" w:hAnsi="Verdana"/>
      <w:kern w:val="0"/>
      <w:szCs w:val="20"/>
      <w:lang w:eastAsia="en-US"/>
    </w:rPr>
  </w:style>
  <w:style w:type="paragraph" w:customStyle="1" w:styleId="541">
    <w:name w:val="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42">
    <w:name w:val="Char13"/>
    <w:basedOn w:val="1"/>
    <w:qFormat/>
    <w:uiPriority w:val="0"/>
    <w:rPr>
      <w:szCs w:val="21"/>
    </w:rPr>
  </w:style>
  <w:style w:type="paragraph" w:customStyle="1" w:styleId="543">
    <w:name w:val="列出段落41"/>
    <w:basedOn w:val="1"/>
    <w:qFormat/>
    <w:uiPriority w:val="0"/>
    <w:pPr>
      <w:ind w:firstLine="420" w:firstLineChars="200"/>
    </w:pPr>
    <w:rPr>
      <w:rFonts w:ascii="Calibri" w:hAnsi="Calibri"/>
      <w:szCs w:val="22"/>
    </w:rPr>
  </w:style>
  <w:style w:type="paragraph" w:customStyle="1" w:styleId="544">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45">
    <w:name w:val="Char Char9 Char Char Char Char2"/>
    <w:basedOn w:val="1"/>
    <w:qFormat/>
    <w:uiPriority w:val="0"/>
    <w:pPr>
      <w:widowControl/>
      <w:spacing w:after="160" w:line="240" w:lineRule="exact"/>
      <w:jc w:val="left"/>
    </w:pPr>
  </w:style>
  <w:style w:type="character" w:customStyle="1" w:styleId="546">
    <w:name w:val="Char Char331"/>
    <w:qFormat/>
    <w:uiPriority w:val="0"/>
    <w:rPr>
      <w:rFonts w:eastAsia="宋体"/>
      <w:b/>
      <w:kern w:val="44"/>
      <w:sz w:val="44"/>
      <w:lang w:val="en-US" w:eastAsia="zh-CN"/>
    </w:rPr>
  </w:style>
  <w:style w:type="character" w:customStyle="1" w:styleId="547">
    <w:name w:val="Char Char321"/>
    <w:qFormat/>
    <w:uiPriority w:val="0"/>
    <w:rPr>
      <w:rFonts w:ascii="Arial" w:hAnsi="Arial" w:eastAsia="黑体"/>
      <w:b/>
      <w:sz w:val="32"/>
    </w:rPr>
  </w:style>
  <w:style w:type="character" w:customStyle="1" w:styleId="548">
    <w:name w:val="Char Char351"/>
    <w:qFormat/>
    <w:uiPriority w:val="0"/>
    <w:rPr>
      <w:rFonts w:eastAsia="宋体"/>
      <w:b/>
      <w:kern w:val="44"/>
      <w:sz w:val="44"/>
      <w:lang w:val="en-US" w:eastAsia="zh-CN"/>
    </w:rPr>
  </w:style>
  <w:style w:type="character" w:customStyle="1" w:styleId="549">
    <w:name w:val="Char Char341"/>
    <w:qFormat/>
    <w:uiPriority w:val="0"/>
    <w:rPr>
      <w:rFonts w:ascii="Arial" w:hAnsi="Arial" w:eastAsia="黑体"/>
      <w:b/>
      <w:sz w:val="32"/>
    </w:rPr>
  </w:style>
  <w:style w:type="character" w:customStyle="1" w:styleId="550">
    <w:name w:val="Char Char371"/>
    <w:qFormat/>
    <w:uiPriority w:val="0"/>
    <w:rPr>
      <w:rFonts w:eastAsia="宋体"/>
      <w:b/>
      <w:kern w:val="44"/>
      <w:sz w:val="44"/>
      <w:lang w:val="en-US" w:eastAsia="zh-CN"/>
    </w:rPr>
  </w:style>
  <w:style w:type="character" w:customStyle="1" w:styleId="551">
    <w:name w:val="Char Char361"/>
    <w:qFormat/>
    <w:uiPriority w:val="0"/>
    <w:rPr>
      <w:rFonts w:ascii="Arial" w:hAnsi="Arial" w:eastAsia="黑体"/>
      <w:b/>
      <w:sz w:val="32"/>
    </w:rPr>
  </w:style>
  <w:style w:type="character" w:customStyle="1" w:styleId="552">
    <w:name w:val="Char Char391"/>
    <w:qFormat/>
    <w:uiPriority w:val="0"/>
    <w:rPr>
      <w:rFonts w:eastAsia="宋体"/>
      <w:b/>
      <w:kern w:val="44"/>
      <w:sz w:val="44"/>
      <w:lang w:val="en-US" w:eastAsia="zh-CN"/>
    </w:rPr>
  </w:style>
  <w:style w:type="character" w:customStyle="1" w:styleId="553">
    <w:name w:val="Char Char381"/>
    <w:qFormat/>
    <w:uiPriority w:val="0"/>
    <w:rPr>
      <w:rFonts w:ascii="Arial" w:hAnsi="Arial" w:eastAsia="黑体"/>
      <w:b/>
      <w:sz w:val="32"/>
    </w:rPr>
  </w:style>
  <w:style w:type="paragraph" w:customStyle="1" w:styleId="554">
    <w:name w:val="_Style 49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55">
    <w:name w:val="Char Char42"/>
    <w:qFormat/>
    <w:uiPriority w:val="0"/>
    <w:rPr>
      <w:rFonts w:eastAsia="宋体"/>
      <w:b/>
      <w:bCs/>
      <w:kern w:val="44"/>
      <w:sz w:val="44"/>
      <w:szCs w:val="44"/>
      <w:lang w:val="en-US" w:eastAsia="zh-CN" w:bidi="ar-SA"/>
    </w:rPr>
  </w:style>
  <w:style w:type="character" w:customStyle="1" w:styleId="556">
    <w:name w:val="Char Char41"/>
    <w:qFormat/>
    <w:uiPriority w:val="0"/>
    <w:rPr>
      <w:rFonts w:ascii="Arial" w:hAnsi="Arial" w:eastAsia="黑体"/>
      <w:b/>
      <w:bCs/>
      <w:sz w:val="32"/>
      <w:szCs w:val="32"/>
      <w:lang w:bidi="ar-SA"/>
    </w:rPr>
  </w:style>
  <w:style w:type="character" w:customStyle="1" w:styleId="557">
    <w:name w:val="Char Char40"/>
    <w:qFormat/>
    <w:uiPriority w:val="0"/>
    <w:rPr>
      <w:rFonts w:eastAsia="宋体"/>
      <w:b/>
      <w:bCs/>
      <w:sz w:val="32"/>
      <w:szCs w:val="32"/>
      <w:lang w:bidi="ar-SA"/>
    </w:rPr>
  </w:style>
  <w:style w:type="character" w:customStyle="1" w:styleId="558">
    <w:name w:val="Char Char45"/>
    <w:qFormat/>
    <w:uiPriority w:val="0"/>
    <w:rPr>
      <w:rFonts w:eastAsia="宋体"/>
      <w:b/>
      <w:bCs/>
      <w:kern w:val="44"/>
      <w:sz w:val="44"/>
      <w:szCs w:val="44"/>
      <w:lang w:val="en-US" w:eastAsia="zh-CN" w:bidi="ar-SA"/>
    </w:rPr>
  </w:style>
  <w:style w:type="character" w:customStyle="1" w:styleId="559">
    <w:name w:val="Char Char44"/>
    <w:qFormat/>
    <w:uiPriority w:val="0"/>
    <w:rPr>
      <w:rFonts w:ascii="Arial" w:hAnsi="Arial" w:eastAsia="黑体"/>
      <w:b/>
      <w:bCs/>
      <w:sz w:val="32"/>
      <w:szCs w:val="32"/>
      <w:lang w:bidi="ar-SA"/>
    </w:rPr>
  </w:style>
  <w:style w:type="character" w:customStyle="1" w:styleId="560">
    <w:name w:val="Char Char43"/>
    <w:qFormat/>
    <w:uiPriority w:val="0"/>
    <w:rPr>
      <w:rFonts w:eastAsia="宋体"/>
      <w:b/>
      <w:bCs/>
      <w:sz w:val="32"/>
      <w:szCs w:val="32"/>
      <w:lang w:bidi="ar-SA"/>
    </w:rPr>
  </w:style>
  <w:style w:type="table" w:customStyle="1" w:styleId="561">
    <w:name w:val="彩色列表 - 强调文字颜色 111"/>
    <w:basedOn w:val="52"/>
    <w:qFormat/>
    <w:uiPriority w:val="0"/>
    <w:rPr>
      <w:rFonts w:ascii="Calibri" w:hAnsi="Calibri"/>
      <w:sz w:val="24"/>
      <w:szCs w:val="24"/>
      <w:lang w:eastAsia="en-US"/>
    </w:rPr>
    <w:tcPr>
      <w:shd w:val="clear" w:color="auto" w:fill="EDF2F8"/>
    </w:tcPr>
    <w:tblStylePr w:type="firstRow">
      <w:rPr>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shd w:val="clear" w:color="auto" w:fill="DBE5F1"/>
      </w:tcPr>
    </w:tblStylePr>
  </w:style>
  <w:style w:type="character" w:customStyle="1" w:styleId="562">
    <w:name w:val="Char Char48"/>
    <w:qFormat/>
    <w:uiPriority w:val="0"/>
    <w:rPr>
      <w:rFonts w:eastAsia="宋体"/>
      <w:b/>
      <w:bCs/>
      <w:kern w:val="44"/>
      <w:sz w:val="44"/>
      <w:szCs w:val="44"/>
      <w:lang w:val="en-US" w:eastAsia="zh-CN" w:bidi="ar-SA"/>
    </w:rPr>
  </w:style>
  <w:style w:type="character" w:customStyle="1" w:styleId="563">
    <w:name w:val="Char Char47"/>
    <w:qFormat/>
    <w:uiPriority w:val="0"/>
    <w:rPr>
      <w:rFonts w:ascii="Arial" w:hAnsi="Arial" w:eastAsia="黑体"/>
      <w:b/>
      <w:bCs/>
      <w:sz w:val="32"/>
      <w:szCs w:val="32"/>
      <w:lang w:bidi="ar-SA"/>
    </w:rPr>
  </w:style>
  <w:style w:type="character" w:customStyle="1" w:styleId="564">
    <w:name w:val="Char Char46"/>
    <w:qFormat/>
    <w:uiPriority w:val="0"/>
    <w:rPr>
      <w:rFonts w:eastAsia="宋体"/>
      <w:b/>
      <w:bCs/>
      <w:sz w:val="32"/>
      <w:szCs w:val="32"/>
      <w:lang w:bidi="ar-SA"/>
    </w:rPr>
  </w:style>
  <w:style w:type="character" w:customStyle="1" w:styleId="565">
    <w:name w:val="普通文字 Char Char3"/>
    <w:qFormat/>
    <w:uiPriority w:val="0"/>
    <w:rPr>
      <w:rFonts w:ascii="宋体" w:hAnsi="Courier New" w:eastAsia="宋体" w:cs="Courier New"/>
      <w:kern w:val="2"/>
      <w:sz w:val="21"/>
      <w:szCs w:val="21"/>
      <w:lang w:val="en-US" w:eastAsia="zh-CN" w:bidi="ar-SA"/>
    </w:rPr>
  </w:style>
  <w:style w:type="character" w:customStyle="1" w:styleId="566">
    <w:name w:val="普通文字 Char Char5"/>
    <w:qFormat/>
    <w:uiPriority w:val="0"/>
    <w:rPr>
      <w:rFonts w:ascii="宋体" w:hAnsi="Courier New" w:eastAsia="宋体" w:cs="Courier New"/>
      <w:kern w:val="2"/>
      <w:sz w:val="21"/>
      <w:szCs w:val="21"/>
      <w:lang w:val="en-US" w:eastAsia="zh-CN" w:bidi="ar-SA"/>
    </w:rPr>
  </w:style>
  <w:style w:type="paragraph" w:customStyle="1" w:styleId="567">
    <w:name w:val="首行缩进"/>
    <w:basedOn w:val="1"/>
    <w:qFormat/>
    <w:uiPriority w:val="0"/>
    <w:pPr>
      <w:ind w:firstLine="480" w:firstLineChars="200"/>
    </w:pPr>
    <w:rPr>
      <w:sz w:val="24"/>
    </w:rPr>
  </w:style>
  <w:style w:type="paragraph" w:customStyle="1" w:styleId="568">
    <w:name w:val="_Style 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69">
    <w:name w:val="称呼 字符3"/>
    <w:qFormat/>
    <w:uiPriority w:val="0"/>
    <w:rPr>
      <w:kern w:val="2"/>
      <w:sz w:val="28"/>
      <w:szCs w:val="24"/>
    </w:rPr>
  </w:style>
  <w:style w:type="character" w:customStyle="1" w:styleId="570">
    <w:name w:val="批注文字 字符3"/>
    <w:qFormat/>
    <w:uiPriority w:val="0"/>
    <w:rPr>
      <w:rFonts w:eastAsia="宋体"/>
      <w:sz w:val="24"/>
      <w:lang w:bidi="ar-SA"/>
    </w:rPr>
  </w:style>
  <w:style w:type="character" w:customStyle="1" w:styleId="571">
    <w:name w:val="正文文本缩进 2 字符3"/>
    <w:qFormat/>
    <w:uiPriority w:val="0"/>
    <w:rPr>
      <w:rFonts w:eastAsia="宋体"/>
      <w:kern w:val="2"/>
      <w:sz w:val="32"/>
      <w:lang w:val="en-US" w:eastAsia="zh-CN" w:bidi="ar-SA"/>
    </w:rPr>
  </w:style>
  <w:style w:type="character" w:customStyle="1" w:styleId="572">
    <w:name w:val="标题 5 字符3"/>
    <w:qFormat/>
    <w:uiPriority w:val="0"/>
    <w:rPr>
      <w:rFonts w:eastAsia="宋体"/>
      <w:b/>
      <w:kern w:val="2"/>
      <w:sz w:val="28"/>
      <w:szCs w:val="24"/>
      <w:lang w:val="en-US" w:eastAsia="zh-CN" w:bidi="ar-SA"/>
    </w:rPr>
  </w:style>
  <w:style w:type="character" w:customStyle="1" w:styleId="573">
    <w:name w:val="正文文本 3 字符3"/>
    <w:qFormat/>
    <w:uiPriority w:val="0"/>
    <w:rPr>
      <w:rFonts w:eastAsia="宋体"/>
      <w:b/>
      <w:bCs/>
      <w:kern w:val="2"/>
      <w:sz w:val="24"/>
      <w:szCs w:val="24"/>
      <w:lang w:val="en-US" w:eastAsia="zh-CN" w:bidi="ar-SA"/>
    </w:rPr>
  </w:style>
  <w:style w:type="character" w:customStyle="1" w:styleId="574">
    <w:name w:val="标题 8 字符3"/>
    <w:qFormat/>
    <w:uiPriority w:val="0"/>
    <w:rPr>
      <w:rFonts w:ascii="Arial" w:hAnsi="Arial" w:eastAsia="黑体"/>
      <w:kern w:val="2"/>
      <w:sz w:val="24"/>
      <w:szCs w:val="24"/>
      <w:lang w:val="en-US" w:eastAsia="zh-CN" w:bidi="ar-SA"/>
    </w:rPr>
  </w:style>
  <w:style w:type="character" w:customStyle="1" w:styleId="575">
    <w:name w:val="正文文本 字符3"/>
    <w:qFormat/>
    <w:uiPriority w:val="0"/>
    <w:rPr>
      <w:rFonts w:eastAsia="宋体"/>
      <w:kern w:val="2"/>
      <w:sz w:val="24"/>
      <w:szCs w:val="24"/>
      <w:lang w:val="en-US" w:eastAsia="zh-CN" w:bidi="ar-SA"/>
    </w:rPr>
  </w:style>
  <w:style w:type="character" w:customStyle="1" w:styleId="576">
    <w:name w:val="标题 1 字符3"/>
    <w:qFormat/>
    <w:uiPriority w:val="0"/>
    <w:rPr>
      <w:rFonts w:eastAsia="宋体"/>
      <w:b/>
      <w:bCs/>
      <w:kern w:val="44"/>
      <w:sz w:val="44"/>
      <w:szCs w:val="44"/>
      <w:lang w:val="en-US" w:eastAsia="zh-CN" w:bidi="ar-SA"/>
    </w:rPr>
  </w:style>
  <w:style w:type="character" w:customStyle="1" w:styleId="577">
    <w:name w:val="文档结构图 字符3"/>
    <w:qFormat/>
    <w:uiPriority w:val="0"/>
    <w:rPr>
      <w:rFonts w:eastAsia="宋体"/>
      <w:kern w:val="2"/>
      <w:sz w:val="21"/>
      <w:szCs w:val="24"/>
      <w:lang w:val="en-US" w:eastAsia="zh-CN" w:bidi="ar-SA"/>
    </w:rPr>
  </w:style>
  <w:style w:type="character" w:customStyle="1" w:styleId="578">
    <w:name w:val="标题 7 字符3"/>
    <w:qFormat/>
    <w:uiPriority w:val="0"/>
    <w:rPr>
      <w:rFonts w:eastAsia="宋体"/>
      <w:b/>
      <w:kern w:val="2"/>
      <w:sz w:val="24"/>
      <w:szCs w:val="24"/>
      <w:lang w:val="en-US" w:eastAsia="zh-CN" w:bidi="ar-SA"/>
    </w:rPr>
  </w:style>
  <w:style w:type="character" w:customStyle="1" w:styleId="579">
    <w:name w:val="标题 6 字符3"/>
    <w:qFormat/>
    <w:uiPriority w:val="0"/>
    <w:rPr>
      <w:rFonts w:ascii="Arial" w:hAnsi="Arial" w:eastAsia="黑体"/>
      <w:b/>
      <w:kern w:val="2"/>
      <w:sz w:val="24"/>
      <w:szCs w:val="24"/>
      <w:lang w:val="en-US" w:eastAsia="zh-CN" w:bidi="ar-SA"/>
    </w:rPr>
  </w:style>
  <w:style w:type="character" w:customStyle="1" w:styleId="580">
    <w:name w:val="标题 3 字符3"/>
    <w:qFormat/>
    <w:uiPriority w:val="0"/>
    <w:rPr>
      <w:rFonts w:eastAsia="宋体"/>
      <w:b/>
      <w:bCs/>
      <w:sz w:val="32"/>
      <w:szCs w:val="32"/>
      <w:lang w:bidi="ar-SA"/>
    </w:rPr>
  </w:style>
  <w:style w:type="character" w:customStyle="1" w:styleId="581">
    <w:name w:val="页脚 字符3"/>
    <w:qFormat/>
    <w:uiPriority w:val="0"/>
    <w:rPr>
      <w:rFonts w:eastAsia="宋体"/>
      <w:kern w:val="2"/>
      <w:sz w:val="18"/>
      <w:szCs w:val="18"/>
      <w:lang w:val="en-US" w:eastAsia="zh-CN" w:bidi="ar-SA"/>
    </w:rPr>
  </w:style>
  <w:style w:type="character" w:customStyle="1" w:styleId="582">
    <w:name w:val="尾注文本 字符3"/>
    <w:qFormat/>
    <w:uiPriority w:val="0"/>
    <w:rPr>
      <w:rFonts w:ascii="Calibri" w:hAnsi="Calibri"/>
      <w:kern w:val="2"/>
      <w:sz w:val="21"/>
      <w:szCs w:val="22"/>
    </w:rPr>
  </w:style>
  <w:style w:type="character" w:customStyle="1" w:styleId="583">
    <w:name w:val="日期 字符3"/>
    <w:qFormat/>
    <w:uiPriority w:val="0"/>
    <w:rPr>
      <w:rFonts w:ascii="宋体" w:hAnsi="Courier New" w:eastAsia="宋体" w:cs="Courier New"/>
      <w:kern w:val="2"/>
      <w:sz w:val="21"/>
      <w:szCs w:val="21"/>
      <w:lang w:val="en-US" w:eastAsia="zh-CN" w:bidi="ar-SA"/>
    </w:rPr>
  </w:style>
  <w:style w:type="character" w:customStyle="1" w:styleId="584">
    <w:name w:val="正文文本缩进 字符3"/>
    <w:qFormat/>
    <w:uiPriority w:val="0"/>
    <w:rPr>
      <w:rFonts w:ascii="仿宋_GB2312" w:eastAsia="仿宋_GB2312"/>
      <w:kern w:val="2"/>
      <w:sz w:val="32"/>
      <w:lang w:val="en-US" w:eastAsia="zh-CN" w:bidi="ar-SA"/>
    </w:rPr>
  </w:style>
  <w:style w:type="character" w:customStyle="1" w:styleId="585">
    <w:name w:val="标题 9 字符3"/>
    <w:qFormat/>
    <w:uiPriority w:val="0"/>
    <w:rPr>
      <w:rFonts w:ascii="Arial" w:hAnsi="Arial" w:eastAsia="黑体"/>
      <w:kern w:val="2"/>
      <w:sz w:val="21"/>
      <w:szCs w:val="24"/>
      <w:lang w:val="en-US" w:eastAsia="zh-CN" w:bidi="ar-SA"/>
    </w:rPr>
  </w:style>
  <w:style w:type="character" w:customStyle="1" w:styleId="586">
    <w:name w:val="正文文本缩进 3 字符3"/>
    <w:qFormat/>
    <w:uiPriority w:val="0"/>
    <w:rPr>
      <w:rFonts w:eastAsia="宋体"/>
      <w:kern w:val="2"/>
      <w:sz w:val="16"/>
      <w:szCs w:val="16"/>
      <w:lang w:val="en-US" w:eastAsia="zh-CN" w:bidi="ar-SA"/>
    </w:rPr>
  </w:style>
  <w:style w:type="character" w:customStyle="1" w:styleId="587">
    <w:name w:val="脚注文本 字符3"/>
    <w:qFormat/>
    <w:locked/>
    <w:uiPriority w:val="0"/>
    <w:rPr>
      <w:rFonts w:ascii="宋体" w:eastAsia="宋体"/>
      <w:kern w:val="21"/>
      <w:sz w:val="18"/>
      <w:szCs w:val="18"/>
      <w:lang w:val="en-US" w:eastAsia="zh-CN" w:bidi="ar-SA"/>
    </w:rPr>
  </w:style>
  <w:style w:type="character" w:customStyle="1" w:styleId="588">
    <w:name w:val="纯文本 字符4"/>
    <w:qFormat/>
    <w:uiPriority w:val="0"/>
    <w:rPr>
      <w:rFonts w:ascii="宋体" w:hAnsi="Courier New" w:eastAsia="宋体" w:cs="Courier New"/>
      <w:kern w:val="2"/>
      <w:sz w:val="21"/>
      <w:szCs w:val="21"/>
      <w:lang w:val="en-US" w:eastAsia="zh-CN" w:bidi="ar-SA"/>
    </w:rPr>
  </w:style>
  <w:style w:type="character" w:customStyle="1" w:styleId="589">
    <w:name w:val="HTML 预设格式 字符3"/>
    <w:qFormat/>
    <w:uiPriority w:val="0"/>
    <w:rPr>
      <w:rFonts w:ascii="黑体" w:hAnsi="Courier New" w:eastAsia="黑体" w:cs="Courier New"/>
      <w:lang w:val="en-US" w:eastAsia="zh-CN" w:bidi="ar-SA"/>
    </w:rPr>
  </w:style>
  <w:style w:type="character" w:customStyle="1" w:styleId="590">
    <w:name w:val="标题 2 字符3"/>
    <w:qFormat/>
    <w:uiPriority w:val="0"/>
    <w:rPr>
      <w:rFonts w:ascii="Arial" w:hAnsi="Arial" w:eastAsia="黑体"/>
      <w:b/>
      <w:bCs/>
      <w:sz w:val="32"/>
      <w:szCs w:val="32"/>
      <w:lang w:bidi="ar-SA"/>
    </w:rPr>
  </w:style>
  <w:style w:type="character" w:customStyle="1" w:styleId="591">
    <w:name w:val="HTML 地址 字符3"/>
    <w:qFormat/>
    <w:locked/>
    <w:uiPriority w:val="0"/>
    <w:rPr>
      <w:rFonts w:ascii="宋体" w:eastAsia="宋体"/>
      <w:i/>
      <w:iCs/>
      <w:kern w:val="21"/>
      <w:sz w:val="21"/>
      <w:szCs w:val="21"/>
      <w:lang w:val="en-US" w:eastAsia="zh-CN" w:bidi="ar-SA"/>
    </w:rPr>
  </w:style>
  <w:style w:type="character" w:customStyle="1" w:styleId="592">
    <w:name w:val="页眉 字符3"/>
    <w:qFormat/>
    <w:uiPriority w:val="0"/>
    <w:rPr>
      <w:rFonts w:eastAsia="宋体"/>
      <w:kern w:val="2"/>
      <w:sz w:val="18"/>
      <w:szCs w:val="18"/>
      <w:lang w:val="en-US" w:eastAsia="zh-CN" w:bidi="ar-SA"/>
    </w:rPr>
  </w:style>
  <w:style w:type="character" w:customStyle="1" w:styleId="593">
    <w:name w:val="无间隔 字符4"/>
    <w:qFormat/>
    <w:uiPriority w:val="0"/>
    <w:rPr>
      <w:sz w:val="22"/>
      <w:szCs w:val="22"/>
      <w:lang w:val="en-US" w:eastAsia="zh-CN" w:bidi="ar-SA"/>
    </w:rPr>
  </w:style>
  <w:style w:type="character" w:customStyle="1" w:styleId="594">
    <w:name w:val="正文文本 2 字符3"/>
    <w:qFormat/>
    <w:uiPriority w:val="0"/>
    <w:rPr>
      <w:rFonts w:eastAsia="宋体"/>
      <w:kern w:val="2"/>
      <w:sz w:val="21"/>
      <w:szCs w:val="24"/>
      <w:lang w:val="en-US" w:eastAsia="zh-CN" w:bidi="ar-SA"/>
    </w:rPr>
  </w:style>
  <w:style w:type="character" w:customStyle="1" w:styleId="595">
    <w:name w:val="标题 字符3"/>
    <w:qFormat/>
    <w:uiPriority w:val="0"/>
    <w:rPr>
      <w:rFonts w:ascii="Arial" w:hAnsi="Arial" w:eastAsia="宋体"/>
      <w:b/>
      <w:bCs/>
      <w:kern w:val="2"/>
      <w:sz w:val="32"/>
      <w:szCs w:val="32"/>
      <w:lang w:bidi="ar-SA"/>
    </w:rPr>
  </w:style>
  <w:style w:type="character" w:customStyle="1" w:styleId="596">
    <w:name w:val="标题 4 字符3"/>
    <w:qFormat/>
    <w:uiPriority w:val="0"/>
    <w:rPr>
      <w:rFonts w:ascii="Arial" w:hAnsi="Arial" w:eastAsia="黑体"/>
      <w:sz w:val="28"/>
      <w:lang w:bidi="ar-SA"/>
    </w:rPr>
  </w:style>
  <w:style w:type="character" w:customStyle="1" w:styleId="597">
    <w:name w:val="Char Char50"/>
    <w:qFormat/>
    <w:uiPriority w:val="0"/>
    <w:rPr>
      <w:rFonts w:eastAsia="宋体"/>
      <w:b/>
      <w:bCs/>
      <w:kern w:val="44"/>
      <w:sz w:val="44"/>
      <w:szCs w:val="44"/>
      <w:lang w:val="en-US" w:eastAsia="zh-CN" w:bidi="ar-SA"/>
    </w:rPr>
  </w:style>
  <w:style w:type="character" w:customStyle="1" w:styleId="598">
    <w:name w:val="Char Char49"/>
    <w:qFormat/>
    <w:uiPriority w:val="0"/>
    <w:rPr>
      <w:rFonts w:ascii="Arial" w:hAnsi="Arial" w:eastAsia="黑体"/>
      <w:b/>
      <w:bCs/>
      <w:sz w:val="32"/>
      <w:szCs w:val="32"/>
      <w:lang w:bidi="ar-SA"/>
    </w:rPr>
  </w:style>
  <w:style w:type="character" w:customStyle="1" w:styleId="599">
    <w:name w:val="普通文字 Char Char7"/>
    <w:qFormat/>
    <w:uiPriority w:val="0"/>
    <w:rPr>
      <w:rFonts w:ascii="宋体" w:hAnsi="Courier New" w:eastAsia="宋体" w:cs="Courier New"/>
      <w:kern w:val="2"/>
      <w:sz w:val="21"/>
      <w:szCs w:val="21"/>
      <w:lang w:val="en-US" w:eastAsia="zh-CN" w:bidi="ar-SA"/>
    </w:rPr>
  </w:style>
  <w:style w:type="paragraph" w:customStyle="1" w:styleId="600">
    <w:name w:val="Char Char Char3"/>
    <w:basedOn w:val="1"/>
    <w:qFormat/>
    <w:uiPriority w:val="0"/>
    <w:pPr>
      <w:widowControl/>
      <w:spacing w:after="160" w:line="240" w:lineRule="exact"/>
      <w:jc w:val="left"/>
    </w:pPr>
    <w:rPr>
      <w:rFonts w:ascii="Verdana" w:hAnsi="Verdana"/>
      <w:kern w:val="0"/>
      <w:sz w:val="20"/>
      <w:szCs w:val="20"/>
      <w:lang w:eastAsia="en-US"/>
    </w:rPr>
  </w:style>
  <w:style w:type="character" w:customStyle="1" w:styleId="601">
    <w:name w:val="普通文字 Char Char2 Char"/>
    <w:qFormat/>
    <w:locked/>
    <w:uiPriority w:val="0"/>
    <w:rPr>
      <w:rFonts w:ascii="宋体" w:hAnsi="Courier New" w:eastAsia="宋体"/>
      <w:kern w:val="2"/>
      <w:sz w:val="21"/>
      <w:lang w:val="en-US" w:eastAsia="zh-CN" w:bidi="ar-SA"/>
    </w:rPr>
  </w:style>
  <w:style w:type="character" w:customStyle="1" w:styleId="602">
    <w:name w:val="标题 1 字符4"/>
    <w:qFormat/>
    <w:uiPriority w:val="0"/>
    <w:rPr>
      <w:rFonts w:eastAsia="宋体"/>
      <w:b/>
      <w:bCs/>
      <w:kern w:val="44"/>
      <w:sz w:val="44"/>
      <w:szCs w:val="44"/>
      <w:lang w:val="en-US" w:eastAsia="zh-CN" w:bidi="ar-SA"/>
    </w:rPr>
  </w:style>
  <w:style w:type="character" w:customStyle="1" w:styleId="603">
    <w:name w:val="标题 2 字符4"/>
    <w:qFormat/>
    <w:uiPriority w:val="0"/>
    <w:rPr>
      <w:rFonts w:ascii="Arial" w:hAnsi="Arial" w:eastAsia="黑体"/>
      <w:b/>
      <w:bCs/>
      <w:sz w:val="32"/>
      <w:szCs w:val="32"/>
      <w:lang w:bidi="ar-SA"/>
    </w:rPr>
  </w:style>
  <w:style w:type="character" w:customStyle="1" w:styleId="604">
    <w:name w:val="标题 3 字符4"/>
    <w:qFormat/>
    <w:uiPriority w:val="0"/>
    <w:rPr>
      <w:rFonts w:eastAsia="宋体"/>
      <w:b/>
      <w:bCs/>
      <w:sz w:val="32"/>
      <w:szCs w:val="32"/>
      <w:lang w:bidi="ar-SA"/>
    </w:rPr>
  </w:style>
  <w:style w:type="character" w:customStyle="1" w:styleId="605">
    <w:name w:val="标题 4 字符4"/>
    <w:qFormat/>
    <w:uiPriority w:val="0"/>
    <w:rPr>
      <w:rFonts w:ascii="Arial" w:hAnsi="Arial" w:eastAsia="黑体"/>
      <w:sz w:val="28"/>
      <w:lang w:bidi="ar-SA"/>
    </w:rPr>
  </w:style>
  <w:style w:type="character" w:customStyle="1" w:styleId="606">
    <w:name w:val="标题 5 字符4"/>
    <w:qFormat/>
    <w:uiPriority w:val="0"/>
    <w:rPr>
      <w:rFonts w:eastAsia="宋体"/>
      <w:b/>
      <w:kern w:val="2"/>
      <w:sz w:val="28"/>
      <w:szCs w:val="24"/>
      <w:lang w:val="en-US" w:eastAsia="zh-CN" w:bidi="ar-SA"/>
    </w:rPr>
  </w:style>
  <w:style w:type="character" w:customStyle="1" w:styleId="607">
    <w:name w:val="标题 6 字符4"/>
    <w:qFormat/>
    <w:uiPriority w:val="0"/>
    <w:rPr>
      <w:rFonts w:ascii="Arial" w:hAnsi="Arial" w:eastAsia="黑体"/>
      <w:b/>
      <w:kern w:val="2"/>
      <w:sz w:val="24"/>
      <w:szCs w:val="24"/>
      <w:lang w:val="en-US" w:eastAsia="zh-CN" w:bidi="ar-SA"/>
    </w:rPr>
  </w:style>
  <w:style w:type="character" w:customStyle="1" w:styleId="608">
    <w:name w:val="标题 7 字符4"/>
    <w:qFormat/>
    <w:uiPriority w:val="0"/>
    <w:rPr>
      <w:rFonts w:eastAsia="宋体"/>
      <w:b/>
      <w:kern w:val="2"/>
      <w:sz w:val="24"/>
      <w:szCs w:val="24"/>
      <w:lang w:val="en-US" w:eastAsia="zh-CN" w:bidi="ar-SA"/>
    </w:rPr>
  </w:style>
  <w:style w:type="character" w:customStyle="1" w:styleId="609">
    <w:name w:val="标题 8 字符4"/>
    <w:qFormat/>
    <w:uiPriority w:val="0"/>
    <w:rPr>
      <w:rFonts w:ascii="Arial" w:hAnsi="Arial" w:eastAsia="黑体"/>
      <w:kern w:val="2"/>
      <w:sz w:val="24"/>
      <w:szCs w:val="24"/>
      <w:lang w:val="en-US" w:eastAsia="zh-CN" w:bidi="ar-SA"/>
    </w:rPr>
  </w:style>
  <w:style w:type="character" w:customStyle="1" w:styleId="610">
    <w:name w:val="标题 9 字符4"/>
    <w:qFormat/>
    <w:uiPriority w:val="0"/>
    <w:rPr>
      <w:rFonts w:ascii="Arial" w:hAnsi="Arial" w:eastAsia="黑体"/>
      <w:kern w:val="2"/>
      <w:sz w:val="21"/>
      <w:szCs w:val="24"/>
      <w:lang w:val="en-US" w:eastAsia="zh-CN" w:bidi="ar-SA"/>
    </w:rPr>
  </w:style>
  <w:style w:type="character" w:customStyle="1" w:styleId="611">
    <w:name w:val="文档结构图 字符4"/>
    <w:qFormat/>
    <w:uiPriority w:val="0"/>
    <w:rPr>
      <w:rFonts w:eastAsia="宋体"/>
      <w:kern w:val="2"/>
      <w:sz w:val="21"/>
      <w:szCs w:val="24"/>
      <w:lang w:val="en-US" w:eastAsia="zh-CN" w:bidi="ar-SA"/>
    </w:rPr>
  </w:style>
  <w:style w:type="character" w:customStyle="1" w:styleId="612">
    <w:name w:val="批注文字 字符4"/>
    <w:qFormat/>
    <w:uiPriority w:val="0"/>
    <w:rPr>
      <w:rFonts w:eastAsia="宋体"/>
      <w:sz w:val="24"/>
      <w:lang w:bidi="ar-SA"/>
    </w:rPr>
  </w:style>
  <w:style w:type="character" w:customStyle="1" w:styleId="613">
    <w:name w:val="称呼 字符4"/>
    <w:qFormat/>
    <w:uiPriority w:val="0"/>
    <w:rPr>
      <w:kern w:val="2"/>
      <w:sz w:val="28"/>
      <w:szCs w:val="24"/>
    </w:rPr>
  </w:style>
  <w:style w:type="character" w:customStyle="1" w:styleId="614">
    <w:name w:val="正文文本 3 字符4"/>
    <w:qFormat/>
    <w:uiPriority w:val="0"/>
    <w:rPr>
      <w:rFonts w:eastAsia="宋体"/>
      <w:b/>
      <w:bCs/>
      <w:kern w:val="2"/>
      <w:sz w:val="24"/>
      <w:szCs w:val="24"/>
      <w:lang w:val="en-US" w:eastAsia="zh-CN" w:bidi="ar-SA"/>
    </w:rPr>
  </w:style>
  <w:style w:type="character" w:customStyle="1" w:styleId="615">
    <w:name w:val="正文文本 字符4"/>
    <w:qFormat/>
    <w:uiPriority w:val="0"/>
    <w:rPr>
      <w:rFonts w:eastAsia="宋体"/>
      <w:kern w:val="2"/>
      <w:sz w:val="24"/>
      <w:szCs w:val="24"/>
      <w:lang w:val="en-US" w:eastAsia="zh-CN" w:bidi="ar-SA"/>
    </w:rPr>
  </w:style>
  <w:style w:type="character" w:customStyle="1" w:styleId="616">
    <w:name w:val="正文文本缩进 字符4"/>
    <w:qFormat/>
    <w:uiPriority w:val="0"/>
    <w:rPr>
      <w:rFonts w:ascii="仿宋_GB2312" w:eastAsia="仿宋_GB2312"/>
      <w:kern w:val="2"/>
      <w:sz w:val="32"/>
      <w:lang w:val="en-US" w:eastAsia="zh-CN" w:bidi="ar-SA"/>
    </w:rPr>
  </w:style>
  <w:style w:type="character" w:customStyle="1" w:styleId="617">
    <w:name w:val="HTML 地址 字符4"/>
    <w:qFormat/>
    <w:locked/>
    <w:uiPriority w:val="0"/>
    <w:rPr>
      <w:rFonts w:ascii="宋体" w:eastAsia="宋体"/>
      <w:i/>
      <w:iCs/>
      <w:kern w:val="21"/>
      <w:sz w:val="21"/>
      <w:szCs w:val="21"/>
      <w:lang w:val="en-US" w:eastAsia="zh-CN" w:bidi="ar-SA"/>
    </w:rPr>
  </w:style>
  <w:style w:type="character" w:customStyle="1" w:styleId="618">
    <w:name w:val="TOC 3 字符"/>
    <w:qFormat/>
    <w:locked/>
    <w:uiPriority w:val="0"/>
    <w:rPr>
      <w:rFonts w:eastAsia="宋体"/>
      <w:kern w:val="2"/>
      <w:sz w:val="21"/>
      <w:szCs w:val="24"/>
      <w:lang w:val="en-US" w:eastAsia="zh-CN" w:bidi="ar-SA"/>
    </w:rPr>
  </w:style>
  <w:style w:type="character" w:customStyle="1" w:styleId="619">
    <w:name w:val="纯文本 字符5"/>
    <w:qFormat/>
    <w:uiPriority w:val="0"/>
    <w:rPr>
      <w:rFonts w:ascii="宋体" w:hAnsi="Courier New" w:eastAsia="宋体" w:cs="Courier New"/>
      <w:kern w:val="2"/>
      <w:sz w:val="21"/>
      <w:szCs w:val="21"/>
      <w:lang w:val="en-US" w:eastAsia="zh-CN" w:bidi="ar-SA"/>
    </w:rPr>
  </w:style>
  <w:style w:type="character" w:customStyle="1" w:styleId="620">
    <w:name w:val="日期 字符4"/>
    <w:qFormat/>
    <w:uiPriority w:val="0"/>
    <w:rPr>
      <w:rFonts w:ascii="宋体" w:hAnsi="Courier New" w:eastAsia="宋体" w:cs="Courier New"/>
      <w:kern w:val="2"/>
      <w:sz w:val="21"/>
      <w:szCs w:val="21"/>
      <w:lang w:val="en-US" w:eastAsia="zh-CN" w:bidi="ar-SA"/>
    </w:rPr>
  </w:style>
  <w:style w:type="character" w:customStyle="1" w:styleId="621">
    <w:name w:val="正文文本缩进 2 字符4"/>
    <w:qFormat/>
    <w:uiPriority w:val="0"/>
    <w:rPr>
      <w:rFonts w:eastAsia="宋体"/>
      <w:kern w:val="2"/>
      <w:sz w:val="32"/>
      <w:lang w:val="en-US" w:eastAsia="zh-CN" w:bidi="ar-SA"/>
    </w:rPr>
  </w:style>
  <w:style w:type="character" w:customStyle="1" w:styleId="622">
    <w:name w:val="尾注文本 字符4"/>
    <w:qFormat/>
    <w:uiPriority w:val="0"/>
    <w:rPr>
      <w:rFonts w:ascii="Calibri" w:hAnsi="Calibri"/>
      <w:kern w:val="2"/>
      <w:sz w:val="21"/>
      <w:szCs w:val="22"/>
    </w:rPr>
  </w:style>
  <w:style w:type="character" w:customStyle="1" w:styleId="623">
    <w:name w:val="页脚 字符4"/>
    <w:qFormat/>
    <w:uiPriority w:val="0"/>
    <w:rPr>
      <w:rFonts w:eastAsia="宋体"/>
      <w:kern w:val="2"/>
      <w:sz w:val="18"/>
      <w:szCs w:val="18"/>
      <w:lang w:val="en-US" w:eastAsia="zh-CN" w:bidi="ar-SA"/>
    </w:rPr>
  </w:style>
  <w:style w:type="character" w:customStyle="1" w:styleId="624">
    <w:name w:val="页眉 字符4"/>
    <w:qFormat/>
    <w:uiPriority w:val="0"/>
    <w:rPr>
      <w:rFonts w:eastAsia="宋体"/>
      <w:kern w:val="2"/>
      <w:sz w:val="18"/>
      <w:szCs w:val="18"/>
      <w:lang w:val="en-US" w:eastAsia="zh-CN" w:bidi="ar-SA"/>
    </w:rPr>
  </w:style>
  <w:style w:type="character" w:customStyle="1" w:styleId="625">
    <w:name w:val="脚注文本 字符4"/>
    <w:qFormat/>
    <w:locked/>
    <w:uiPriority w:val="0"/>
    <w:rPr>
      <w:rFonts w:ascii="宋体" w:eastAsia="宋体"/>
      <w:kern w:val="21"/>
      <w:sz w:val="18"/>
      <w:szCs w:val="18"/>
      <w:lang w:val="en-US" w:eastAsia="zh-CN" w:bidi="ar-SA"/>
    </w:rPr>
  </w:style>
  <w:style w:type="character" w:customStyle="1" w:styleId="626">
    <w:name w:val="正文文本缩进 3 字符4"/>
    <w:qFormat/>
    <w:uiPriority w:val="0"/>
    <w:rPr>
      <w:rFonts w:eastAsia="宋体"/>
      <w:kern w:val="2"/>
      <w:sz w:val="16"/>
      <w:szCs w:val="16"/>
      <w:lang w:val="en-US" w:eastAsia="zh-CN" w:bidi="ar-SA"/>
    </w:rPr>
  </w:style>
  <w:style w:type="character" w:customStyle="1" w:styleId="627">
    <w:name w:val="正文文本 2 字符4"/>
    <w:qFormat/>
    <w:uiPriority w:val="0"/>
    <w:rPr>
      <w:rFonts w:eastAsia="宋体"/>
      <w:kern w:val="2"/>
      <w:sz w:val="21"/>
      <w:szCs w:val="24"/>
      <w:lang w:val="en-US" w:eastAsia="zh-CN" w:bidi="ar-SA"/>
    </w:rPr>
  </w:style>
  <w:style w:type="character" w:customStyle="1" w:styleId="628">
    <w:name w:val="HTML 预设格式 字符4"/>
    <w:qFormat/>
    <w:uiPriority w:val="0"/>
    <w:rPr>
      <w:rFonts w:ascii="黑体" w:hAnsi="Courier New" w:eastAsia="黑体" w:cs="Courier New"/>
      <w:lang w:val="en-US" w:eastAsia="zh-CN" w:bidi="ar-SA"/>
    </w:rPr>
  </w:style>
  <w:style w:type="character" w:customStyle="1" w:styleId="629">
    <w:name w:val="标题 字符4"/>
    <w:qFormat/>
    <w:uiPriority w:val="0"/>
    <w:rPr>
      <w:rFonts w:ascii="Arial" w:hAnsi="Arial" w:eastAsia="宋体"/>
      <w:b/>
      <w:bCs/>
      <w:kern w:val="2"/>
      <w:sz w:val="32"/>
      <w:szCs w:val="32"/>
      <w:lang w:bidi="ar-SA"/>
    </w:rPr>
  </w:style>
  <w:style w:type="character" w:customStyle="1" w:styleId="630">
    <w:name w:val="无间隔 字符5"/>
    <w:qFormat/>
    <w:uiPriority w:val="0"/>
    <w:rPr>
      <w:sz w:val="22"/>
      <w:szCs w:val="22"/>
      <w:lang w:val="en-US" w:eastAsia="zh-CN" w:bidi="ar-SA"/>
    </w:rPr>
  </w:style>
  <w:style w:type="character" w:customStyle="1" w:styleId="631">
    <w:name w:val="Char Char53"/>
    <w:qFormat/>
    <w:uiPriority w:val="0"/>
    <w:rPr>
      <w:rFonts w:eastAsia="宋体"/>
      <w:b/>
      <w:bCs/>
      <w:kern w:val="44"/>
      <w:sz w:val="44"/>
      <w:szCs w:val="44"/>
      <w:lang w:val="en-US" w:eastAsia="zh-CN" w:bidi="ar-SA"/>
    </w:rPr>
  </w:style>
  <w:style w:type="character" w:customStyle="1" w:styleId="632">
    <w:name w:val="Char Char52"/>
    <w:qFormat/>
    <w:uiPriority w:val="0"/>
    <w:rPr>
      <w:rFonts w:ascii="Arial" w:hAnsi="Arial" w:eastAsia="黑体"/>
      <w:b/>
      <w:bCs/>
      <w:sz w:val="32"/>
      <w:szCs w:val="32"/>
      <w:lang w:bidi="ar-SA"/>
    </w:rPr>
  </w:style>
  <w:style w:type="character" w:customStyle="1" w:styleId="633">
    <w:name w:val="Char Char51"/>
    <w:qFormat/>
    <w:uiPriority w:val="0"/>
    <w:rPr>
      <w:rFonts w:eastAsia="宋体"/>
      <w:b/>
      <w:bCs/>
      <w:sz w:val="32"/>
      <w:szCs w:val="32"/>
      <w:lang w:bidi="ar-SA"/>
    </w:rPr>
  </w:style>
  <w:style w:type="character" w:customStyle="1" w:styleId="634">
    <w:name w:val="无间隔 字符6"/>
    <w:qFormat/>
    <w:uiPriority w:val="0"/>
    <w:rPr>
      <w:sz w:val="22"/>
      <w:szCs w:val="22"/>
      <w:lang w:val="en-US" w:eastAsia="zh-CN" w:bidi="ar-SA"/>
    </w:rPr>
  </w:style>
  <w:style w:type="character" w:customStyle="1" w:styleId="635">
    <w:name w:val="普通文字 Char Char8"/>
    <w:qFormat/>
    <w:uiPriority w:val="0"/>
    <w:rPr>
      <w:rFonts w:ascii="宋体" w:hAnsi="Courier New" w:eastAsia="宋体" w:cs="Courier New"/>
      <w:kern w:val="2"/>
      <w:sz w:val="21"/>
      <w:szCs w:val="21"/>
      <w:lang w:val="en-US" w:eastAsia="zh-CN" w:bidi="ar-SA"/>
    </w:rPr>
  </w:style>
  <w:style w:type="character" w:customStyle="1" w:styleId="636">
    <w:name w:val="font81"/>
    <w:basedOn w:val="54"/>
    <w:qFormat/>
    <w:uiPriority w:val="0"/>
    <w:rPr>
      <w:rFonts w:ascii="微软雅黑" w:hAnsi="微软雅黑" w:eastAsia="微软雅黑" w:cs="微软雅黑"/>
      <w:color w:val="000000"/>
      <w:sz w:val="18"/>
      <w:szCs w:val="18"/>
      <w:u w:val="none"/>
    </w:rPr>
  </w:style>
  <w:style w:type="character" w:customStyle="1" w:styleId="637">
    <w:name w:val="Char Char57"/>
    <w:qFormat/>
    <w:uiPriority w:val="0"/>
    <w:rPr>
      <w:rFonts w:eastAsia="宋体"/>
      <w:b/>
      <w:bCs/>
      <w:kern w:val="44"/>
      <w:sz w:val="44"/>
      <w:szCs w:val="44"/>
      <w:lang w:val="en-US" w:eastAsia="zh-CN" w:bidi="ar-SA"/>
    </w:rPr>
  </w:style>
  <w:style w:type="character" w:customStyle="1" w:styleId="638">
    <w:name w:val="Char Char56"/>
    <w:qFormat/>
    <w:uiPriority w:val="0"/>
    <w:rPr>
      <w:rFonts w:ascii="Arial" w:hAnsi="Arial" w:eastAsia="黑体"/>
      <w:b/>
      <w:bCs/>
      <w:sz w:val="32"/>
      <w:szCs w:val="32"/>
      <w:lang w:bidi="ar-SA"/>
    </w:rPr>
  </w:style>
  <w:style w:type="character" w:customStyle="1" w:styleId="639">
    <w:name w:val="Char Char55"/>
    <w:qFormat/>
    <w:uiPriority w:val="0"/>
    <w:rPr>
      <w:rFonts w:eastAsia="宋体"/>
      <w:b/>
      <w:bCs/>
      <w:sz w:val="32"/>
      <w:szCs w:val="32"/>
      <w:lang w:bidi="ar-SA"/>
    </w:rPr>
  </w:style>
  <w:style w:type="character" w:customStyle="1" w:styleId="640">
    <w:name w:val="Char Char54"/>
    <w:qFormat/>
    <w:uiPriority w:val="0"/>
    <w:rPr>
      <w:rFonts w:ascii="Arial" w:hAnsi="Arial" w:eastAsia="黑体"/>
      <w:sz w:val="28"/>
      <w:lang w:bidi="ar-SA"/>
    </w:rPr>
  </w:style>
  <w:style w:type="character" w:customStyle="1" w:styleId="641">
    <w:name w:val="无间隔 字符7"/>
    <w:qFormat/>
    <w:uiPriority w:val="0"/>
    <w:rPr>
      <w:sz w:val="22"/>
      <w:szCs w:val="22"/>
      <w:lang w:val="en-US" w:eastAsia="zh-CN" w:bidi="ar-SA"/>
    </w:rPr>
  </w:style>
  <w:style w:type="paragraph" w:customStyle="1" w:styleId="642">
    <w:name w:val="_Style 637"/>
    <w:basedOn w:val="1"/>
    <w:next w:val="1"/>
    <w:qFormat/>
    <w:uiPriority w:val="0"/>
    <w:pPr>
      <w:tabs>
        <w:tab w:val="right" w:leader="dot" w:pos="9185"/>
      </w:tabs>
      <w:adjustRightInd w:val="0"/>
      <w:spacing w:line="312" w:lineRule="atLeast"/>
      <w:ind w:left="3360"/>
      <w:textAlignment w:val="baseline"/>
    </w:pPr>
    <w:rPr>
      <w:kern w:val="0"/>
      <w:szCs w:val="20"/>
    </w:rPr>
  </w:style>
  <w:style w:type="character" w:customStyle="1" w:styleId="643">
    <w:name w:val="Char Char61"/>
    <w:qFormat/>
    <w:uiPriority w:val="0"/>
    <w:rPr>
      <w:rFonts w:eastAsia="宋体"/>
      <w:b/>
      <w:bCs/>
      <w:kern w:val="44"/>
      <w:sz w:val="44"/>
      <w:szCs w:val="44"/>
      <w:lang w:val="en-US" w:eastAsia="zh-CN" w:bidi="ar-SA"/>
    </w:rPr>
  </w:style>
  <w:style w:type="character" w:customStyle="1" w:styleId="644">
    <w:name w:val="Char Char60"/>
    <w:qFormat/>
    <w:uiPriority w:val="0"/>
    <w:rPr>
      <w:rFonts w:ascii="Arial" w:hAnsi="Arial" w:eastAsia="黑体"/>
      <w:b/>
      <w:bCs/>
      <w:sz w:val="32"/>
      <w:szCs w:val="32"/>
      <w:lang w:bidi="ar-SA"/>
    </w:rPr>
  </w:style>
  <w:style w:type="character" w:customStyle="1" w:styleId="645">
    <w:name w:val="Char Char59"/>
    <w:qFormat/>
    <w:uiPriority w:val="0"/>
    <w:rPr>
      <w:rFonts w:eastAsia="宋体"/>
      <w:b/>
      <w:bCs/>
      <w:sz w:val="32"/>
      <w:szCs w:val="32"/>
      <w:lang w:bidi="ar-SA"/>
    </w:rPr>
  </w:style>
  <w:style w:type="character" w:customStyle="1" w:styleId="646">
    <w:name w:val="Char Char58"/>
    <w:qFormat/>
    <w:uiPriority w:val="0"/>
    <w:rPr>
      <w:rFonts w:ascii="Arial" w:hAnsi="Arial" w:eastAsia="黑体"/>
      <w:sz w:val="28"/>
      <w:lang w:bidi="ar-SA"/>
    </w:rPr>
  </w:style>
  <w:style w:type="character" w:customStyle="1" w:styleId="647">
    <w:name w:val="无间隔 字符8"/>
    <w:qFormat/>
    <w:uiPriority w:val="0"/>
    <w:rPr>
      <w:sz w:val="22"/>
      <w:szCs w:val="22"/>
      <w:lang w:val="en-US" w:eastAsia="zh-CN" w:bidi="ar-SA"/>
    </w:rPr>
  </w:style>
  <w:style w:type="character" w:customStyle="1" w:styleId="648">
    <w:name w:val="font121"/>
    <w:basedOn w:val="54"/>
    <w:qFormat/>
    <w:uiPriority w:val="0"/>
    <w:rPr>
      <w:rFonts w:hint="eastAsia" w:ascii="宋体" w:hAnsi="宋体" w:eastAsia="宋体" w:cs="宋体"/>
      <w:b/>
      <w:bCs/>
      <w:color w:val="000000"/>
      <w:sz w:val="12"/>
      <w:szCs w:val="12"/>
      <w:u w:val="none"/>
    </w:rPr>
  </w:style>
  <w:style w:type="paragraph" w:customStyle="1" w:styleId="649">
    <w:name w:val="Table Text"/>
    <w:basedOn w:val="1"/>
    <w:semiHidden/>
    <w:qFormat/>
    <w:uiPriority w:val="0"/>
    <w:rPr>
      <w:rFonts w:ascii="宋体" w:hAnsi="宋体" w:cs="宋体"/>
      <w:sz w:val="20"/>
      <w:szCs w:val="20"/>
    </w:rPr>
  </w:style>
  <w:style w:type="paragraph" w:customStyle="1" w:styleId="650">
    <w:name w:val="null3"/>
    <w:basedOn w:val="1"/>
    <w:unhideWhenUsed/>
    <w:qFormat/>
    <w:uiPriority w:val="99"/>
    <w:pPr>
      <w:widowControl/>
    </w:pPr>
    <w:rPr>
      <w:rFonts w:hint="eastAsia" w:ascii="Calibri" w:hAnsi="Calibri" w:cs="Calibri"/>
      <w:sz w:val="20"/>
      <w:szCs w:val="20"/>
    </w:rPr>
  </w:style>
  <w:style w:type="paragraph" w:customStyle="1" w:styleId="651">
    <w:name w:val="列表段落11"/>
    <w:basedOn w:val="1"/>
    <w:qFormat/>
    <w:uiPriority w:val="34"/>
    <w:pPr>
      <w:ind w:firstLine="420" w:firstLineChars="200"/>
    </w:pPr>
    <w:rPr>
      <w:rFonts w:ascii="Calibri" w:hAnsi="Calibri"/>
      <w:szCs w:val="22"/>
    </w:rPr>
  </w:style>
  <w:style w:type="paragraph" w:customStyle="1" w:styleId="652">
    <w:name w:val="正文格式"/>
    <w:qFormat/>
    <w:uiPriority w:val="0"/>
    <w:pPr>
      <w:adjustRightInd w:val="0"/>
      <w:snapToGrid w:val="0"/>
      <w:spacing w:line="400" w:lineRule="atLeast"/>
      <w:ind w:firstLine="482"/>
      <w:jc w:val="both"/>
      <w:textAlignment w:val="baseline"/>
    </w:pPr>
    <w:rPr>
      <w:rFonts w:ascii="Times New Roman" w:hAnsi="Times New Roman" w:eastAsia="宋体" w:cs="Times New Roman"/>
      <w:sz w:val="24"/>
      <w:szCs w:val="24"/>
      <w:lang w:val="en-US" w:eastAsia="zh-CN" w:bidi="ar-SA"/>
    </w:rPr>
  </w:style>
  <w:style w:type="character" w:customStyle="1" w:styleId="653">
    <w:name w:val="15"/>
    <w:qFormat/>
    <w:uiPriority w:val="0"/>
    <w:rPr>
      <w:rFonts w:hint="default" w:ascii="Times New Roman" w:hAnsi="Times New Roman" w:eastAsia="宋体" w:cs="Times New Roman"/>
      <w:color w:val="FF0000"/>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11049</Words>
  <Characters>62984</Characters>
  <Lines>524</Lines>
  <Paragraphs>147</Paragraphs>
  <TotalTime>0</TotalTime>
  <ScaleCrop>false</ScaleCrop>
  <LinksUpToDate>false</LinksUpToDate>
  <CharactersWithSpaces>73886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2026-10-29T20:06:00Z</dcterms:created>
  <dc:creator>聂泉源</dc:creator>
  <cp:lastModifiedBy>gxxc</cp:lastModifiedBy>
  <cp:lastPrinted>2026-10-30T00:14:00Z</cp:lastPrinted>
  <dcterms:modified xsi:type="dcterms:W3CDTF">2026-11-04T15:43:13Z</dcterms:modified>
  <dc:title>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KSOTemplateDocerSaveRecord">
    <vt:lpwstr>eyJoZGlkIjoiMDhmNmU5YmUxMzkxYmJjODc2YTNkMTg2NGI4YzFkM2MiLCJ1c2VySWQiOiI4MTUxNjMzNTUifQ==</vt:lpwstr>
  </property>
  <property fmtid="{D5CDD505-2E9C-101B-9397-08002B2CF9AE}" pid="4" name="ICV">
    <vt:lpwstr>A9EE040792194C75ADAF8189DBE8C219_13</vt:lpwstr>
  </property>
</Properties>
</file>