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e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56" w:beforeLines="50"/>
        <w:jc w:val="center"/>
        <w:rPr>
          <w:rFonts w:ascii="仿宋_GB2312" w:eastAsia="仿宋_GB2312"/>
          <w:b/>
          <w:color w:val="auto"/>
          <w:sz w:val="72"/>
          <w:szCs w:val="72"/>
          <w:highlight w:val="none"/>
        </w:rPr>
      </w:pPr>
    </w:p>
    <w:p>
      <w:pPr>
        <w:spacing w:before="156" w:beforeLines="50"/>
        <w:jc w:val="center"/>
        <w:rPr>
          <w:rFonts w:ascii="仿宋_GB2312" w:eastAsia="仿宋_GB2312"/>
          <w:color w:val="auto"/>
          <w:sz w:val="72"/>
          <w:szCs w:val="72"/>
          <w:highlight w:val="none"/>
        </w:rPr>
      </w:pPr>
      <w:r>
        <w:rPr>
          <w:rFonts w:hint="eastAsia" w:ascii="仿宋_GB2312" w:eastAsia="仿宋_GB2312"/>
          <w:color w:val="auto"/>
          <w:sz w:val="72"/>
          <w:szCs w:val="72"/>
          <w:highlight w:val="none"/>
        </w:rPr>
        <w:t>公开招标采购文件</w:t>
      </w:r>
    </w:p>
    <w:p>
      <w:pPr>
        <w:snapToGrid w:val="0"/>
        <w:jc w:val="center"/>
        <w:rPr>
          <w:rFonts w:ascii="仿宋_GB2312" w:eastAsia="仿宋_GB2312"/>
          <w:color w:val="auto"/>
          <w:sz w:val="48"/>
          <w:szCs w:val="48"/>
          <w:highlight w:val="none"/>
        </w:rPr>
      </w:pPr>
    </w:p>
    <w:p>
      <w:pPr>
        <w:snapToGrid w:val="0"/>
        <w:jc w:val="center"/>
        <w:rPr>
          <w:rFonts w:ascii="仿宋_GB2312" w:eastAsia="仿宋_GB2312"/>
          <w:color w:val="auto"/>
          <w:sz w:val="48"/>
          <w:szCs w:val="48"/>
          <w:highlight w:val="none"/>
        </w:rPr>
      </w:pPr>
    </w:p>
    <w:p>
      <w:pPr>
        <w:snapToGrid w:val="0"/>
        <w:jc w:val="center"/>
        <w:rPr>
          <w:rFonts w:ascii="仿宋_GB2312" w:eastAsia="仿宋_GB2312"/>
          <w:color w:val="auto"/>
          <w:sz w:val="48"/>
          <w:szCs w:val="48"/>
          <w:highlight w:val="none"/>
        </w:rPr>
      </w:pPr>
    </w:p>
    <w:p>
      <w:pPr>
        <w:snapToGrid w:val="0"/>
        <w:jc w:val="center"/>
        <w:rPr>
          <w:rFonts w:ascii="仿宋_GB2312" w:eastAsia="仿宋_GB2312"/>
          <w:color w:val="auto"/>
          <w:sz w:val="48"/>
          <w:szCs w:val="48"/>
          <w:highlight w:val="none"/>
        </w:rPr>
      </w:pPr>
    </w:p>
    <w:p>
      <w:pPr>
        <w:snapToGrid w:val="0"/>
        <w:ind w:firstLine="1484" w:firstLineChars="493"/>
        <w:rPr>
          <w:rFonts w:ascii="仿宋_GB2312" w:eastAsia="仿宋_GB2312"/>
          <w:b/>
          <w:bCs/>
          <w:color w:val="auto"/>
          <w:sz w:val="30"/>
          <w:szCs w:val="30"/>
          <w:highlight w:val="none"/>
          <w:lang w:val="en"/>
        </w:rPr>
      </w:pPr>
      <w:r>
        <w:rPr>
          <w:rFonts w:hint="eastAsia" w:ascii="仿宋_GB2312" w:eastAsia="仿宋_GB2312"/>
          <w:b/>
          <w:bCs/>
          <w:color w:val="auto"/>
          <w:sz w:val="30"/>
          <w:szCs w:val="30"/>
          <w:highlight w:val="none"/>
        </w:rPr>
        <w:t>项目编号：</w:t>
      </w:r>
      <w:r>
        <w:rPr>
          <w:rFonts w:ascii="仿宋_GB2312" w:eastAsia="仿宋_GB2312"/>
          <w:b/>
          <w:bCs/>
          <w:color w:val="auto"/>
          <w:sz w:val="30"/>
          <w:szCs w:val="30"/>
          <w:highlight w:val="none"/>
          <w:lang w:val="en"/>
        </w:rPr>
        <w:t>GXZC2026-G1-002726-CGZX</w:t>
      </w:r>
    </w:p>
    <w:p>
      <w:pPr>
        <w:snapToGrid w:val="0"/>
        <w:ind w:firstLine="1843"/>
        <w:rPr>
          <w:rFonts w:ascii="仿宋_GB2312" w:eastAsia="仿宋_GB2312"/>
          <w:b/>
          <w:bCs/>
          <w:color w:val="auto"/>
          <w:sz w:val="30"/>
          <w:szCs w:val="30"/>
          <w:highlight w:val="none"/>
        </w:rPr>
      </w:pPr>
    </w:p>
    <w:p>
      <w:pPr>
        <w:snapToGrid w:val="0"/>
        <w:ind w:firstLine="1355" w:firstLineChars="450"/>
        <w:rPr>
          <w:rFonts w:ascii="仿宋_GB2312" w:eastAsia="仿宋_GB2312"/>
          <w:b/>
          <w:color w:val="auto"/>
          <w:sz w:val="30"/>
          <w:szCs w:val="72"/>
          <w:highlight w:val="none"/>
        </w:rPr>
      </w:pPr>
      <w:r>
        <w:rPr>
          <w:rFonts w:hint="eastAsia" w:ascii="仿宋_GB2312" w:eastAsia="仿宋_GB2312"/>
          <w:b/>
          <w:color w:val="auto"/>
          <w:sz w:val="30"/>
          <w:szCs w:val="72"/>
          <w:highlight w:val="none"/>
        </w:rPr>
        <w:t>项目名称：广西壮族自治区医疗保障信息平台扩容</w:t>
      </w:r>
    </w:p>
    <w:p>
      <w:pPr>
        <w:snapToGrid w:val="0"/>
        <w:ind w:firstLine="2861" w:firstLineChars="950"/>
        <w:rPr>
          <w:rFonts w:ascii="仿宋_GB2312" w:eastAsia="仿宋_GB2312"/>
          <w:b/>
          <w:color w:val="auto"/>
          <w:sz w:val="30"/>
          <w:szCs w:val="72"/>
          <w:highlight w:val="none"/>
        </w:rPr>
      </w:pPr>
      <w:r>
        <w:rPr>
          <w:rFonts w:hint="eastAsia" w:ascii="仿宋_GB2312" w:eastAsia="仿宋_GB2312"/>
          <w:b/>
          <w:color w:val="auto"/>
          <w:sz w:val="30"/>
          <w:szCs w:val="72"/>
          <w:highlight w:val="none"/>
        </w:rPr>
        <w:t>建设采购（平台建设部分）</w:t>
      </w:r>
    </w:p>
    <w:p>
      <w:pPr>
        <w:snapToGrid w:val="0"/>
        <w:ind w:firstLine="1843" w:firstLineChars="612"/>
        <w:rPr>
          <w:rFonts w:ascii="仿宋_GB2312" w:eastAsia="仿宋_GB2312"/>
          <w:b/>
          <w:color w:val="auto"/>
          <w:sz w:val="30"/>
          <w:szCs w:val="72"/>
          <w:highlight w:val="none"/>
        </w:rPr>
      </w:pPr>
    </w:p>
    <w:p>
      <w:pPr>
        <w:snapToGrid w:val="0"/>
        <w:ind w:firstLine="1484" w:firstLineChars="493"/>
        <w:rPr>
          <w:rFonts w:ascii="仿宋_GB2312" w:eastAsia="仿宋_GB2312"/>
          <w:b/>
          <w:color w:val="auto"/>
          <w:sz w:val="44"/>
          <w:szCs w:val="44"/>
          <w:highlight w:val="none"/>
          <w:lang w:val="en"/>
        </w:rPr>
      </w:pPr>
      <w:r>
        <w:rPr>
          <w:rFonts w:hint="eastAsia" w:ascii="仿宋_GB2312" w:eastAsia="仿宋_GB2312"/>
          <w:b/>
          <w:color w:val="auto"/>
          <w:sz w:val="30"/>
          <w:szCs w:val="72"/>
          <w:highlight w:val="none"/>
        </w:rPr>
        <w:t>采购单位：广西壮族自治区医疗保障局</w:t>
      </w:r>
    </w:p>
    <w:p>
      <w:pPr>
        <w:rPr>
          <w:rFonts w:ascii="仿宋_GB2312" w:eastAsia="仿宋_GB2312"/>
          <w:b/>
          <w:color w:val="auto"/>
          <w:sz w:val="30"/>
          <w:szCs w:val="72"/>
          <w:highlight w:val="none"/>
        </w:rPr>
      </w:pPr>
    </w:p>
    <w:p>
      <w:pPr>
        <w:rPr>
          <w:rFonts w:ascii="仿宋_GB2312" w:eastAsia="仿宋_GB2312"/>
          <w:b/>
          <w:color w:val="auto"/>
          <w:sz w:val="30"/>
          <w:szCs w:val="72"/>
          <w:highlight w:val="none"/>
        </w:rPr>
      </w:pPr>
    </w:p>
    <w:p>
      <w:pPr>
        <w:rPr>
          <w:color w:val="auto"/>
          <w:highlight w:val="none"/>
        </w:rPr>
      </w:pPr>
    </w:p>
    <w:p>
      <w:pPr>
        <w:snapToGrid w:val="0"/>
        <w:spacing w:before="156" w:beforeLines="50"/>
        <w:rPr>
          <w:rFonts w:ascii="仿宋_GB2312" w:eastAsia="仿宋_GB2312"/>
          <w:b/>
          <w:color w:val="auto"/>
          <w:sz w:val="30"/>
          <w:szCs w:val="72"/>
          <w:highlight w:val="none"/>
        </w:rPr>
      </w:pPr>
      <w:r>
        <w:rPr>
          <w:rFonts w:hint="eastAsia" w:ascii="仿宋_GB2312" w:eastAsia="仿宋_GB2312"/>
          <w:b/>
          <w:color w:val="auto"/>
          <w:sz w:val="30"/>
          <w:szCs w:val="72"/>
          <w:highlight w:val="none"/>
        </w:rPr>
        <w:t xml:space="preserve">        采购代理机构：广西壮族自治区政府采购中心</w:t>
      </w:r>
    </w:p>
    <w:p>
      <w:pPr>
        <w:snapToGrid w:val="0"/>
        <w:spacing w:before="156" w:beforeLines="50"/>
        <w:rPr>
          <w:rFonts w:ascii="仿宋_GB2312" w:eastAsia="仿宋_GB2312"/>
          <w:b/>
          <w:color w:val="auto"/>
          <w:szCs w:val="21"/>
          <w:highlight w:val="none"/>
        </w:rPr>
      </w:pPr>
    </w:p>
    <w:p>
      <w:pPr>
        <w:snapToGrid w:val="0"/>
        <w:spacing w:before="156" w:beforeLines="50"/>
        <w:jc w:val="center"/>
        <w:rPr>
          <w:rFonts w:ascii="仿宋_GB2312" w:eastAsia="仿宋_GB2312"/>
          <w:b/>
          <w:color w:val="auto"/>
          <w:sz w:val="30"/>
          <w:szCs w:val="72"/>
          <w:highlight w:val="none"/>
          <w:lang w:val="en"/>
        </w:rPr>
      </w:pPr>
      <w:r>
        <w:rPr>
          <w:rFonts w:ascii="仿宋_GB2312" w:eastAsia="仿宋_GB2312"/>
          <w:b/>
          <w:color w:val="auto"/>
          <w:sz w:val="30"/>
          <w:szCs w:val="72"/>
          <w:highlight w:val="none"/>
          <w:lang w:val="en"/>
        </w:rPr>
        <w:t>202</w:t>
      </w:r>
      <w:r>
        <w:rPr>
          <w:rFonts w:hint="eastAsia" w:ascii="仿宋_GB2312" w:eastAsia="仿宋_GB2312"/>
          <w:b/>
          <w:color w:val="auto"/>
          <w:sz w:val="30"/>
          <w:szCs w:val="72"/>
          <w:highlight w:val="none"/>
        </w:rPr>
        <w:t>6</w:t>
      </w:r>
      <w:r>
        <w:rPr>
          <w:rFonts w:ascii="仿宋_GB2312" w:eastAsia="仿宋_GB2312"/>
          <w:b/>
          <w:color w:val="auto"/>
          <w:sz w:val="30"/>
          <w:szCs w:val="72"/>
          <w:highlight w:val="none"/>
          <w:lang w:val="en"/>
        </w:rPr>
        <w:t>年</w:t>
      </w:r>
      <w:r>
        <w:rPr>
          <w:rFonts w:hint="eastAsia" w:ascii="仿宋_GB2312" w:eastAsia="仿宋_GB2312"/>
          <w:b/>
          <w:color w:val="auto"/>
          <w:sz w:val="30"/>
          <w:szCs w:val="72"/>
          <w:highlight w:val="none"/>
          <w:lang w:val="en-US" w:eastAsia="zh-CN"/>
        </w:rPr>
        <w:t>9</w:t>
      </w:r>
      <w:r>
        <w:rPr>
          <w:rFonts w:ascii="仿宋_GB2312" w:eastAsia="仿宋_GB2312"/>
          <w:b/>
          <w:color w:val="auto"/>
          <w:sz w:val="30"/>
          <w:szCs w:val="72"/>
          <w:highlight w:val="none"/>
          <w:lang w:val="en"/>
        </w:rPr>
        <w:t>月</w:t>
      </w:r>
    </w:p>
    <w:p>
      <w:pPr>
        <w:pStyle w:val="2"/>
        <w:rPr>
          <w:rFonts w:hint="eastAsia"/>
          <w:color w:val="auto"/>
          <w:highlight w:val="none"/>
          <w:lang w:val="en"/>
        </w:rPr>
      </w:pPr>
    </w:p>
    <w:p>
      <w:pPr>
        <w:rPr>
          <w:color w:val="auto"/>
          <w:highlight w:val="none"/>
        </w:rPr>
        <w:sectPr>
          <w:headerReference r:id="rId5" w:type="default"/>
          <w:footerReference r:id="rId6" w:type="default"/>
          <w:pgSz w:w="11906" w:h="16838"/>
          <w:pgMar w:top="1247" w:right="1247" w:bottom="1247" w:left="1247" w:header="851" w:footer="992" w:gutter="0"/>
          <w:pgNumType w:start="0"/>
          <w:cols w:space="720" w:num="1"/>
          <w:docGrid w:type="lines" w:linePitch="312" w:charSpace="0"/>
        </w:sectPr>
      </w:pPr>
    </w:p>
    <w:p>
      <w:pPr>
        <w:pStyle w:val="29"/>
        <w:tabs>
          <w:tab w:val="left" w:pos="4204"/>
        </w:tabs>
        <w:jc w:val="left"/>
        <w:rPr>
          <w:rFonts w:ascii="隶书" w:eastAsia="隶书"/>
          <w:b/>
          <w:color w:val="auto"/>
          <w:sz w:val="44"/>
          <w:highlight w:val="none"/>
        </w:rPr>
      </w:pPr>
      <w:r>
        <w:rPr>
          <w:rFonts w:hint="eastAsia" w:ascii="隶书" w:eastAsia="隶书"/>
          <w:b/>
          <w:color w:val="auto"/>
          <w:sz w:val="44"/>
          <w:highlight w:val="none"/>
        </w:rPr>
        <w:tab/>
      </w:r>
      <w:r>
        <w:rPr>
          <w:rFonts w:hint="eastAsia" w:ascii="仿宋_GB2312" w:hAnsi="Times New Roman" w:eastAsia="仿宋_GB2312" w:cs="Times New Roman"/>
          <w:b/>
          <w:color w:val="auto"/>
          <w:sz w:val="44"/>
          <w:szCs w:val="44"/>
          <w:highlight w:val="none"/>
        </w:rPr>
        <w:t>目   录</w:t>
      </w:r>
    </w:p>
    <w:p>
      <w:pPr>
        <w:pStyle w:val="29"/>
        <w:spacing w:before="120" w:after="120" w:line="360" w:lineRule="auto"/>
        <w:jc w:val="center"/>
        <w:rPr>
          <w:rFonts w:ascii="仿宋_GB2312" w:eastAsia="仿宋_GB2312"/>
          <w:b/>
          <w:color w:val="auto"/>
          <w:sz w:val="44"/>
          <w:szCs w:val="44"/>
          <w:highlight w:val="none"/>
        </w:rPr>
      </w:pPr>
    </w:p>
    <w:p>
      <w:pPr>
        <w:spacing w:before="156" w:beforeLines="50" w:line="600" w:lineRule="auto"/>
        <w:ind w:left="360"/>
        <w:rPr>
          <w:rFonts w:ascii="仿宋_GB2312" w:eastAsia="仿宋_GB2312"/>
          <w:b/>
          <w:color w:val="auto"/>
          <w:sz w:val="28"/>
          <w:szCs w:val="28"/>
          <w:highlight w:val="none"/>
        </w:rPr>
      </w:pPr>
      <w:r>
        <w:rPr>
          <w:rFonts w:hint="eastAsia" w:ascii="仿宋_GB2312" w:eastAsia="仿宋_GB2312"/>
          <w:b/>
          <w:color w:val="auto"/>
          <w:sz w:val="28"/>
          <w:szCs w:val="28"/>
          <w:highlight w:val="none"/>
        </w:rPr>
        <w:t>第一章 公开招标公告……………………………………………… 2</w:t>
      </w:r>
    </w:p>
    <w:p>
      <w:pPr>
        <w:spacing w:before="156" w:beforeLines="50" w:line="600" w:lineRule="auto"/>
        <w:ind w:firstLine="359" w:firstLineChars="128"/>
        <w:rPr>
          <w:rFonts w:ascii="仿宋_GB2312" w:eastAsia="仿宋_GB2312"/>
          <w:b/>
          <w:color w:val="auto"/>
          <w:sz w:val="28"/>
          <w:szCs w:val="28"/>
          <w:highlight w:val="none"/>
        </w:rPr>
      </w:pPr>
      <w:r>
        <w:rPr>
          <w:rFonts w:hint="eastAsia" w:ascii="仿宋_GB2312" w:eastAsia="仿宋_GB2312"/>
          <w:b/>
          <w:color w:val="auto"/>
          <w:sz w:val="28"/>
          <w:szCs w:val="28"/>
          <w:highlight w:val="none"/>
        </w:rPr>
        <w:t xml:space="preserve">第二章 招标项目采购需求 …………………………………………6 </w:t>
      </w:r>
    </w:p>
    <w:p>
      <w:pPr>
        <w:spacing w:before="156" w:beforeLines="50" w:line="600" w:lineRule="auto"/>
        <w:ind w:left="360"/>
        <w:rPr>
          <w:rFonts w:ascii="仿宋_GB2312" w:eastAsia="仿宋_GB2312"/>
          <w:b/>
          <w:color w:val="auto"/>
          <w:sz w:val="28"/>
          <w:szCs w:val="28"/>
          <w:highlight w:val="none"/>
        </w:rPr>
      </w:pPr>
      <w:r>
        <w:rPr>
          <w:rFonts w:hint="eastAsia" w:ascii="仿宋_GB2312" w:eastAsia="仿宋_GB2312"/>
          <w:b/>
          <w:color w:val="auto"/>
          <w:sz w:val="28"/>
          <w:szCs w:val="28"/>
          <w:highlight w:val="none"/>
        </w:rPr>
        <w:t>第三章 投标人须知…………………………………………………128</w:t>
      </w:r>
    </w:p>
    <w:p>
      <w:pPr>
        <w:spacing w:before="156" w:beforeLines="50" w:line="600" w:lineRule="auto"/>
        <w:ind w:left="360"/>
        <w:rPr>
          <w:rFonts w:ascii="仿宋_GB2312" w:eastAsia="仿宋_GB2312"/>
          <w:b/>
          <w:color w:val="auto"/>
          <w:sz w:val="28"/>
          <w:szCs w:val="28"/>
          <w:highlight w:val="none"/>
        </w:rPr>
      </w:pPr>
      <w:r>
        <w:rPr>
          <w:rFonts w:hint="eastAsia" w:ascii="仿宋_GB2312" w:eastAsia="仿宋_GB2312"/>
          <w:b/>
          <w:color w:val="auto"/>
          <w:sz w:val="28"/>
          <w:szCs w:val="28"/>
          <w:highlight w:val="none"/>
        </w:rPr>
        <w:t>第四章 评标方法及评分标准………………………………………145</w:t>
      </w:r>
    </w:p>
    <w:p>
      <w:pPr>
        <w:spacing w:before="156" w:beforeLines="50" w:line="600" w:lineRule="auto"/>
        <w:ind w:left="360"/>
        <w:rPr>
          <w:rFonts w:ascii="仿宋_GB2312" w:eastAsia="仿宋_GB2312"/>
          <w:b/>
          <w:color w:val="auto"/>
          <w:sz w:val="28"/>
          <w:szCs w:val="28"/>
          <w:highlight w:val="none"/>
        </w:rPr>
      </w:pPr>
      <w:r>
        <w:rPr>
          <w:rFonts w:hint="eastAsia" w:ascii="仿宋_GB2312" w:eastAsia="仿宋_GB2312"/>
          <w:b/>
          <w:color w:val="auto"/>
          <w:sz w:val="28"/>
          <w:szCs w:val="28"/>
          <w:highlight w:val="none"/>
        </w:rPr>
        <w:t>第五章 政府采购合同主要条款……………………………………151</w:t>
      </w:r>
    </w:p>
    <w:p>
      <w:pPr>
        <w:spacing w:before="156" w:beforeLines="50" w:line="600" w:lineRule="auto"/>
        <w:ind w:left="360"/>
        <w:rPr>
          <w:rFonts w:ascii="仿宋_GB2312" w:eastAsia="仿宋_GB2312"/>
          <w:b/>
          <w:color w:val="auto"/>
          <w:sz w:val="28"/>
          <w:szCs w:val="28"/>
          <w:highlight w:val="none"/>
        </w:rPr>
      </w:pPr>
      <w:r>
        <w:rPr>
          <w:rFonts w:hint="eastAsia" w:ascii="仿宋_GB2312" w:eastAsia="仿宋_GB2312"/>
          <w:b/>
          <w:color w:val="auto"/>
          <w:sz w:val="28"/>
          <w:szCs w:val="28"/>
          <w:highlight w:val="none"/>
        </w:rPr>
        <w:t>第六章 投标文件格式………………………………………………160</w:t>
      </w:r>
    </w:p>
    <w:p>
      <w:pPr>
        <w:pStyle w:val="228"/>
        <w:widowControl w:val="0"/>
        <w:spacing w:afterLines="0"/>
        <w:ind w:firstLine="883"/>
        <w:jc w:val="center"/>
        <w:rPr>
          <w:rFonts w:ascii="仿宋_GB2312" w:eastAsia="仿宋_GB2312"/>
          <w:b/>
          <w:color w:val="auto"/>
          <w:sz w:val="44"/>
          <w:szCs w:val="44"/>
          <w:highlight w:val="none"/>
        </w:rPr>
      </w:pPr>
    </w:p>
    <w:p>
      <w:pPr>
        <w:pStyle w:val="228"/>
        <w:widowControl w:val="0"/>
        <w:spacing w:afterLines="0"/>
        <w:ind w:firstLine="883"/>
        <w:jc w:val="center"/>
        <w:rPr>
          <w:rFonts w:ascii="仿宋_GB2312" w:eastAsia="仿宋_GB2312"/>
          <w:b/>
          <w:color w:val="auto"/>
          <w:sz w:val="44"/>
          <w:szCs w:val="44"/>
          <w:highlight w:val="none"/>
        </w:rPr>
      </w:pPr>
    </w:p>
    <w:p>
      <w:pPr>
        <w:pStyle w:val="228"/>
        <w:widowControl w:val="0"/>
        <w:spacing w:afterLines="0"/>
        <w:ind w:firstLine="883"/>
        <w:jc w:val="center"/>
        <w:rPr>
          <w:rFonts w:ascii="仿宋_GB2312" w:eastAsia="仿宋_GB2312"/>
          <w:b/>
          <w:color w:val="auto"/>
          <w:sz w:val="44"/>
          <w:szCs w:val="44"/>
          <w:highlight w:val="none"/>
        </w:rPr>
      </w:pPr>
      <w:bookmarkStart w:id="28" w:name="_GoBack"/>
      <w:bookmarkEnd w:id="28"/>
    </w:p>
    <w:p>
      <w:pPr>
        <w:pStyle w:val="228"/>
        <w:widowControl w:val="0"/>
        <w:spacing w:afterLines="0"/>
        <w:ind w:firstLine="883"/>
        <w:jc w:val="center"/>
        <w:rPr>
          <w:rFonts w:ascii="仿宋_GB2312" w:eastAsia="仿宋_GB2312"/>
          <w:b/>
          <w:color w:val="auto"/>
          <w:sz w:val="44"/>
          <w:szCs w:val="44"/>
          <w:highlight w:val="none"/>
        </w:rPr>
      </w:pPr>
    </w:p>
    <w:p>
      <w:pPr>
        <w:pStyle w:val="228"/>
        <w:widowControl w:val="0"/>
        <w:spacing w:afterLines="0"/>
        <w:ind w:firstLine="883"/>
        <w:jc w:val="center"/>
        <w:rPr>
          <w:rFonts w:ascii="仿宋_GB2312" w:eastAsia="仿宋_GB2312"/>
          <w:b/>
          <w:color w:val="auto"/>
          <w:sz w:val="44"/>
          <w:szCs w:val="44"/>
          <w:highlight w:val="none"/>
        </w:rPr>
      </w:pPr>
    </w:p>
    <w:p>
      <w:pPr>
        <w:pStyle w:val="228"/>
        <w:widowControl w:val="0"/>
        <w:spacing w:afterLines="0"/>
        <w:ind w:firstLine="883"/>
        <w:jc w:val="center"/>
        <w:rPr>
          <w:rFonts w:ascii="仿宋_GB2312" w:eastAsia="仿宋_GB2312"/>
          <w:b/>
          <w:color w:val="auto"/>
          <w:sz w:val="44"/>
          <w:szCs w:val="44"/>
          <w:highlight w:val="none"/>
        </w:rPr>
      </w:pPr>
    </w:p>
    <w:p>
      <w:pPr>
        <w:pStyle w:val="228"/>
        <w:widowControl w:val="0"/>
        <w:spacing w:afterLines="0"/>
        <w:ind w:firstLine="883"/>
        <w:jc w:val="center"/>
        <w:rPr>
          <w:rFonts w:ascii="仿宋_GB2312" w:eastAsia="仿宋_GB2312"/>
          <w:b/>
          <w:color w:val="auto"/>
          <w:sz w:val="44"/>
          <w:szCs w:val="44"/>
          <w:highlight w:val="none"/>
        </w:rPr>
      </w:pPr>
    </w:p>
    <w:p>
      <w:pPr>
        <w:pStyle w:val="228"/>
        <w:widowControl w:val="0"/>
        <w:spacing w:afterLines="0"/>
        <w:ind w:firstLine="883"/>
        <w:jc w:val="center"/>
        <w:rPr>
          <w:rFonts w:ascii="仿宋_GB2312" w:eastAsia="仿宋_GB2312"/>
          <w:b/>
          <w:color w:val="auto"/>
          <w:sz w:val="44"/>
          <w:szCs w:val="44"/>
          <w:highlight w:val="none"/>
        </w:rPr>
      </w:pPr>
    </w:p>
    <w:p>
      <w:pPr>
        <w:pStyle w:val="228"/>
        <w:widowControl w:val="0"/>
        <w:spacing w:afterLines="0"/>
        <w:ind w:firstLine="883"/>
        <w:jc w:val="center"/>
        <w:rPr>
          <w:rFonts w:ascii="仿宋_GB2312" w:eastAsia="仿宋_GB2312"/>
          <w:b/>
          <w:color w:val="auto"/>
          <w:sz w:val="44"/>
          <w:szCs w:val="44"/>
          <w:highlight w:val="none"/>
        </w:rPr>
      </w:pPr>
    </w:p>
    <w:p>
      <w:pPr>
        <w:pStyle w:val="228"/>
        <w:widowControl w:val="0"/>
        <w:spacing w:afterLines="0"/>
        <w:ind w:firstLine="883"/>
        <w:jc w:val="center"/>
        <w:rPr>
          <w:rFonts w:ascii="仿宋_GB2312" w:eastAsia="仿宋_GB2312"/>
          <w:b/>
          <w:color w:val="auto"/>
          <w:sz w:val="44"/>
          <w:szCs w:val="44"/>
          <w:highlight w:val="none"/>
        </w:rPr>
      </w:pPr>
    </w:p>
    <w:p>
      <w:pPr>
        <w:pStyle w:val="228"/>
        <w:widowControl w:val="0"/>
        <w:spacing w:afterLines="0"/>
        <w:ind w:firstLine="883"/>
        <w:jc w:val="center"/>
        <w:rPr>
          <w:rFonts w:ascii="仿宋_GB2312" w:eastAsia="仿宋_GB2312"/>
          <w:b/>
          <w:color w:val="auto"/>
          <w:sz w:val="44"/>
          <w:szCs w:val="44"/>
          <w:highlight w:val="none"/>
        </w:rPr>
      </w:pPr>
    </w:p>
    <w:p>
      <w:pPr>
        <w:pStyle w:val="228"/>
        <w:widowControl w:val="0"/>
        <w:spacing w:afterLines="0"/>
        <w:ind w:firstLine="883"/>
        <w:jc w:val="center"/>
        <w:rPr>
          <w:rFonts w:ascii="仿宋_GB2312" w:eastAsia="仿宋_GB2312"/>
          <w:b/>
          <w:color w:val="auto"/>
          <w:sz w:val="44"/>
          <w:szCs w:val="44"/>
          <w:highlight w:val="none"/>
        </w:rPr>
      </w:pPr>
    </w:p>
    <w:p>
      <w:pPr>
        <w:pStyle w:val="228"/>
        <w:widowControl w:val="0"/>
        <w:spacing w:afterLines="0"/>
        <w:ind w:firstLine="883"/>
        <w:jc w:val="center"/>
        <w:rPr>
          <w:rFonts w:ascii="仿宋_GB2312" w:eastAsia="仿宋_GB2312"/>
          <w:b/>
          <w:color w:val="auto"/>
          <w:sz w:val="44"/>
          <w:szCs w:val="44"/>
          <w:highlight w:val="none"/>
        </w:rPr>
      </w:pPr>
    </w:p>
    <w:p>
      <w:pPr>
        <w:pStyle w:val="228"/>
        <w:widowControl w:val="0"/>
        <w:spacing w:afterLines="0"/>
        <w:ind w:firstLine="883"/>
        <w:jc w:val="center"/>
        <w:rPr>
          <w:rFonts w:ascii="仿宋_GB2312" w:eastAsia="仿宋_GB2312"/>
          <w:b/>
          <w:color w:val="auto"/>
          <w:sz w:val="44"/>
          <w:szCs w:val="44"/>
          <w:highlight w:val="none"/>
        </w:rPr>
      </w:pPr>
    </w:p>
    <w:p>
      <w:pPr>
        <w:pStyle w:val="228"/>
        <w:widowControl w:val="0"/>
        <w:spacing w:afterLines="0"/>
        <w:ind w:firstLine="422"/>
        <w:jc w:val="center"/>
        <w:rPr>
          <w:rFonts w:ascii="仿宋_GB2312" w:eastAsia="仿宋_GB2312"/>
          <w:b/>
          <w:color w:val="auto"/>
          <w:sz w:val="21"/>
          <w:szCs w:val="21"/>
          <w:highlight w:val="none"/>
        </w:rPr>
      </w:pPr>
    </w:p>
    <w:p>
      <w:pPr>
        <w:pStyle w:val="228"/>
        <w:widowControl w:val="0"/>
        <w:spacing w:afterLines="0"/>
        <w:ind w:firstLine="422"/>
        <w:jc w:val="center"/>
        <w:rPr>
          <w:rFonts w:ascii="仿宋_GB2312" w:eastAsia="仿宋_GB2312"/>
          <w:b/>
          <w:color w:val="auto"/>
          <w:sz w:val="21"/>
          <w:szCs w:val="21"/>
          <w:highlight w:val="none"/>
        </w:rPr>
      </w:pPr>
    </w:p>
    <w:p>
      <w:pPr>
        <w:pStyle w:val="228"/>
        <w:widowControl w:val="0"/>
        <w:spacing w:afterLines="0"/>
        <w:ind w:firstLine="422"/>
        <w:jc w:val="center"/>
        <w:rPr>
          <w:rFonts w:ascii="仿宋_GB2312" w:eastAsia="仿宋_GB2312"/>
          <w:b/>
          <w:color w:val="auto"/>
          <w:sz w:val="21"/>
          <w:szCs w:val="21"/>
          <w:highlight w:val="none"/>
        </w:rPr>
      </w:pPr>
    </w:p>
    <w:p>
      <w:pPr>
        <w:pStyle w:val="228"/>
        <w:widowControl w:val="0"/>
        <w:spacing w:afterLines="0"/>
        <w:ind w:firstLine="422"/>
        <w:jc w:val="center"/>
        <w:rPr>
          <w:rFonts w:ascii="仿宋_GB2312" w:eastAsia="仿宋_GB2312"/>
          <w:b/>
          <w:color w:val="auto"/>
          <w:sz w:val="21"/>
          <w:szCs w:val="21"/>
          <w:highlight w:val="none"/>
        </w:rPr>
      </w:pPr>
    </w:p>
    <w:p>
      <w:pPr>
        <w:pStyle w:val="228"/>
        <w:widowControl w:val="0"/>
        <w:spacing w:afterLines="0"/>
        <w:ind w:firstLine="2182" w:firstLineChars="494"/>
        <w:rPr>
          <w:rFonts w:ascii="黑体" w:eastAsia="黑体"/>
          <w:color w:val="auto"/>
          <w:sz w:val="32"/>
          <w:szCs w:val="32"/>
          <w:highlight w:val="none"/>
        </w:rPr>
      </w:pPr>
      <w:r>
        <w:rPr>
          <w:rFonts w:hint="eastAsia" w:ascii="仿宋_GB2312" w:eastAsia="仿宋_GB2312"/>
          <w:b/>
          <w:color w:val="auto"/>
          <w:sz w:val="44"/>
          <w:szCs w:val="44"/>
          <w:highlight w:val="none"/>
        </w:rPr>
        <w:t>第一章  公开招标公告</w:t>
      </w:r>
    </w:p>
    <w:p>
      <w:pPr>
        <w:pStyle w:val="228"/>
        <w:widowControl w:val="0"/>
        <w:spacing w:afterLines="0"/>
        <w:ind w:firstLine="3840" w:firstLineChars="1200"/>
        <w:rPr>
          <w:b/>
          <w:color w:val="auto"/>
          <w:sz w:val="32"/>
          <w:szCs w:val="32"/>
          <w:highlight w:val="none"/>
        </w:rPr>
      </w:pPr>
      <w:r>
        <w:rPr>
          <w:rFonts w:hint="eastAsia" w:ascii="黑体" w:eastAsia="黑体"/>
          <w:color w:val="auto"/>
          <w:sz w:val="32"/>
          <w:szCs w:val="32"/>
          <w:highlight w:val="none"/>
        </w:rPr>
        <w:br w:type="page"/>
      </w:r>
      <w:r>
        <w:rPr>
          <w:rFonts w:hint="eastAsia"/>
          <w:b/>
          <w:color w:val="auto"/>
          <w:sz w:val="32"/>
          <w:szCs w:val="32"/>
          <w:highlight w:val="none"/>
        </w:rPr>
        <w:t>招标公告</w:t>
      </w:r>
    </w:p>
    <w:p>
      <w:pPr>
        <w:pBdr>
          <w:top w:val="single" w:color="auto" w:sz="4" w:space="1"/>
          <w:left w:val="single" w:color="auto" w:sz="4" w:space="4"/>
          <w:bottom w:val="single" w:color="auto" w:sz="4" w:space="1"/>
          <w:right w:val="single" w:color="auto" w:sz="4" w:space="4"/>
        </w:pBdr>
        <w:adjustRightInd w:val="0"/>
        <w:snapToGrid w:val="0"/>
        <w:spacing w:line="320" w:lineRule="exact"/>
        <w:jc w:val="center"/>
        <w:rPr>
          <w:rFonts w:hint="eastAsia" w:ascii="宋体" w:hAnsi="宋体"/>
          <w:color w:val="auto"/>
          <w:highlight w:val="none"/>
        </w:rPr>
      </w:pPr>
      <w:r>
        <w:rPr>
          <w:rFonts w:hint="eastAsia" w:ascii="宋体" w:hAnsi="宋体"/>
          <w:color w:val="auto"/>
          <w:highlight w:val="none"/>
        </w:rPr>
        <w:t>项目概况</w:t>
      </w:r>
    </w:p>
    <w:p>
      <w:pPr>
        <w:pBdr>
          <w:top w:val="single" w:color="auto" w:sz="4" w:space="1"/>
          <w:left w:val="single" w:color="auto" w:sz="4" w:space="4"/>
          <w:bottom w:val="single" w:color="auto" w:sz="4" w:space="1"/>
          <w:right w:val="single" w:color="auto" w:sz="4" w:space="4"/>
        </w:pBdr>
        <w:adjustRightInd w:val="0"/>
        <w:snapToGrid w:val="0"/>
        <w:spacing w:line="320" w:lineRule="exact"/>
        <w:ind w:firstLine="420" w:firstLineChars="200"/>
        <w:rPr>
          <w:rFonts w:hint="eastAsia" w:ascii="宋体" w:hAnsi="宋体"/>
          <w:color w:val="auto"/>
          <w:szCs w:val="21"/>
          <w:highlight w:val="none"/>
        </w:rPr>
      </w:pPr>
      <w:r>
        <w:rPr>
          <w:rFonts w:hint="eastAsia"/>
          <w:color w:val="auto"/>
          <w:highlight w:val="none"/>
          <w:u w:val="single"/>
        </w:rPr>
        <w:t>广西壮族自治区医疗保障信息平台扩容建设采购（平台建设部分）</w:t>
      </w:r>
      <w:r>
        <w:rPr>
          <w:color w:val="auto"/>
          <w:highlight w:val="none"/>
        </w:rPr>
        <w:t>项目的潜在投标人应在</w:t>
      </w:r>
      <w:r>
        <w:rPr>
          <w:color w:val="auto"/>
          <w:highlight w:val="none"/>
          <w:lang w:val="en"/>
        </w:rPr>
        <w:t>广西政府采购云平台（网址：http://www.gcy.zfcg.gxzf.gov.cn）</w:t>
      </w:r>
      <w:r>
        <w:rPr>
          <w:color w:val="auto"/>
          <w:highlight w:val="none"/>
        </w:rPr>
        <w:t xml:space="preserve">获取招标文件，并于 </w:t>
      </w:r>
      <w:r>
        <w:rPr>
          <w:color w:val="auto"/>
          <w:highlight w:val="none"/>
          <w:lang w:val="en"/>
        </w:rPr>
        <w:t>202</w:t>
      </w:r>
      <w:r>
        <w:rPr>
          <w:rFonts w:hint="eastAsia"/>
          <w:color w:val="auto"/>
          <w:highlight w:val="none"/>
        </w:rPr>
        <w:t>6</w:t>
      </w:r>
      <w:r>
        <w:rPr>
          <w:color w:val="auto"/>
          <w:highlight w:val="none"/>
          <w:lang w:val="en"/>
        </w:rPr>
        <w:t>年</w:t>
      </w:r>
      <w:r>
        <w:rPr>
          <w:rFonts w:hint="eastAsia"/>
          <w:color w:val="auto"/>
          <w:highlight w:val="none"/>
          <w:lang w:val="en-US" w:eastAsia="zh-CN"/>
        </w:rPr>
        <w:t>9</w:t>
      </w:r>
      <w:r>
        <w:rPr>
          <w:color w:val="auto"/>
          <w:highlight w:val="none"/>
          <w:lang w:val="en"/>
        </w:rPr>
        <w:t>月</w:t>
      </w:r>
      <w:r>
        <w:rPr>
          <w:rFonts w:hint="eastAsia"/>
          <w:color w:val="auto"/>
          <w:highlight w:val="none"/>
          <w:lang w:val="en-US" w:eastAsia="zh-CN"/>
        </w:rPr>
        <w:t>23</w:t>
      </w:r>
      <w:r>
        <w:rPr>
          <w:color w:val="auto"/>
          <w:highlight w:val="none"/>
          <w:lang w:val="en"/>
        </w:rPr>
        <w:t>日</w:t>
      </w:r>
      <w:r>
        <w:rPr>
          <w:color w:val="auto"/>
          <w:highlight w:val="none"/>
        </w:rPr>
        <w:t xml:space="preserve"> 10:00（北京时间）前递交投标文件。</w:t>
      </w:r>
    </w:p>
    <w:p>
      <w:pPr>
        <w:adjustRightInd w:val="0"/>
        <w:snapToGrid w:val="0"/>
        <w:spacing w:line="320" w:lineRule="exact"/>
        <w:ind w:firstLine="421" w:firstLineChars="200"/>
        <w:rPr>
          <w:b/>
          <w:color w:val="auto"/>
          <w:highlight w:val="none"/>
        </w:rPr>
      </w:pPr>
      <w:bookmarkStart w:id="0" w:name="_Toc28359009"/>
      <w:bookmarkStart w:id="1" w:name="_Toc28359086"/>
      <w:r>
        <w:rPr>
          <w:rFonts w:hint="eastAsia"/>
          <w:b/>
          <w:color w:val="auto"/>
          <w:highlight w:val="none"/>
        </w:rPr>
        <w:t>一、项目基本情况</w:t>
      </w:r>
    </w:p>
    <w:p>
      <w:pPr>
        <w:adjustRightInd w:val="0"/>
        <w:snapToGrid w:val="0"/>
        <w:spacing w:line="320" w:lineRule="exact"/>
        <w:ind w:firstLine="420" w:firstLineChars="200"/>
        <w:rPr>
          <w:color w:val="auto"/>
          <w:highlight w:val="none"/>
          <w:lang w:val="en"/>
        </w:rPr>
      </w:pPr>
      <w:r>
        <w:rPr>
          <w:rFonts w:hint="eastAsia"/>
          <w:color w:val="auto"/>
          <w:highlight w:val="none"/>
        </w:rPr>
        <w:t>项目编号：</w:t>
      </w:r>
      <w:r>
        <w:rPr>
          <w:color w:val="auto"/>
          <w:highlight w:val="none"/>
          <w:lang w:val="en"/>
        </w:rPr>
        <w:t>GXZC2026-G1-002726-CGZX</w:t>
      </w:r>
    </w:p>
    <w:p>
      <w:pPr>
        <w:adjustRightInd w:val="0"/>
        <w:snapToGrid w:val="0"/>
        <w:spacing w:line="320" w:lineRule="exact"/>
        <w:ind w:firstLine="420" w:firstLineChars="200"/>
        <w:rPr>
          <w:color w:val="auto"/>
          <w:highlight w:val="none"/>
          <w:lang w:val="en"/>
        </w:rPr>
      </w:pPr>
      <w:r>
        <w:rPr>
          <w:rFonts w:hint="eastAsia"/>
          <w:color w:val="auto"/>
          <w:highlight w:val="none"/>
        </w:rPr>
        <w:t>项目名称：广西壮族自治区医疗保障信息平台扩容建设采购（平台建设部分）</w:t>
      </w:r>
    </w:p>
    <w:p>
      <w:pPr>
        <w:adjustRightInd w:val="0"/>
        <w:snapToGrid w:val="0"/>
        <w:spacing w:line="320" w:lineRule="exact"/>
        <w:ind w:firstLine="420" w:firstLineChars="200"/>
        <w:rPr>
          <w:color w:val="auto"/>
          <w:highlight w:val="none"/>
          <w:lang w:val="en"/>
        </w:rPr>
      </w:pPr>
      <w:r>
        <w:rPr>
          <w:rFonts w:hint="eastAsia"/>
          <w:color w:val="auto"/>
          <w:highlight w:val="none"/>
        </w:rPr>
        <w:t>预算总金额（元）：64850790</w:t>
      </w:r>
    </w:p>
    <w:p>
      <w:pPr>
        <w:adjustRightInd w:val="0"/>
        <w:snapToGrid w:val="0"/>
        <w:spacing w:line="320" w:lineRule="exact"/>
        <w:ind w:firstLine="420" w:firstLineChars="200"/>
        <w:rPr>
          <w:color w:val="auto"/>
          <w:highlight w:val="none"/>
        </w:rPr>
      </w:pPr>
      <w:r>
        <w:rPr>
          <w:rFonts w:hint="eastAsia"/>
          <w:color w:val="auto"/>
          <w:highlight w:val="none"/>
        </w:rPr>
        <w:t>采购需求：</w:t>
      </w:r>
    </w:p>
    <w:p>
      <w:pPr>
        <w:adjustRightInd w:val="0"/>
        <w:snapToGrid w:val="0"/>
        <w:spacing w:line="320" w:lineRule="exact"/>
        <w:ind w:firstLine="420" w:firstLineChars="200"/>
        <w:rPr>
          <w:color w:val="auto"/>
          <w:highlight w:val="none"/>
        </w:rPr>
      </w:pPr>
      <w:r>
        <w:rPr>
          <w:rFonts w:hint="eastAsia"/>
          <w:color w:val="auto"/>
          <w:highlight w:val="none"/>
        </w:rPr>
        <w:t>标项名称: 广西壮族自治区医疗保障信息平台扩容建设采购（平台建设部分）</w:t>
      </w:r>
    </w:p>
    <w:p>
      <w:pPr>
        <w:adjustRightInd w:val="0"/>
        <w:snapToGrid w:val="0"/>
        <w:spacing w:line="320" w:lineRule="exact"/>
        <w:ind w:firstLine="420" w:firstLineChars="200"/>
        <w:rPr>
          <w:color w:val="auto"/>
          <w:highlight w:val="none"/>
          <w:lang w:val="en"/>
        </w:rPr>
      </w:pPr>
      <w:r>
        <w:rPr>
          <w:rFonts w:hint="eastAsia"/>
          <w:color w:val="auto"/>
          <w:highlight w:val="none"/>
        </w:rPr>
        <w:t xml:space="preserve">数量:1 </w:t>
      </w:r>
      <w:r>
        <w:rPr>
          <w:rFonts w:hint="eastAsia"/>
          <w:color w:val="auto"/>
          <w:highlight w:val="none"/>
        </w:rPr>
        <w:br w:type="textWrapping"/>
      </w:r>
      <w:r>
        <w:rPr>
          <w:rFonts w:hint="eastAsia"/>
          <w:color w:val="auto"/>
          <w:highlight w:val="none"/>
        </w:rPr>
        <w:t xml:space="preserve">    预算金额（元）：64850790</w:t>
      </w:r>
      <w:r>
        <w:rPr>
          <w:color w:val="auto"/>
          <w:highlight w:val="none"/>
          <w:lang w:val="en"/>
        </w:rPr>
        <w:t xml:space="preserve"> </w:t>
      </w:r>
    </w:p>
    <w:p>
      <w:pPr>
        <w:spacing w:line="320" w:lineRule="exact"/>
        <w:rPr>
          <w:color w:val="auto"/>
          <w:highlight w:val="none"/>
        </w:rPr>
      </w:pPr>
      <w:r>
        <w:rPr>
          <w:color w:val="auto"/>
          <w:highlight w:val="none"/>
          <w:lang w:val="en"/>
        </w:rPr>
        <w:t xml:space="preserve">    </w:t>
      </w:r>
      <w:r>
        <w:rPr>
          <w:rFonts w:hint="eastAsia"/>
          <w:color w:val="auto"/>
          <w:highlight w:val="none"/>
        </w:rPr>
        <w:t>简要规格描述或项目基本概况介绍、用途：广西壮族自治区医疗保障信息平台扩容建设（平台建设部分）1项。</w:t>
      </w:r>
      <w:r>
        <w:rPr>
          <w:rFonts w:hint="eastAsia"/>
          <w:color w:val="auto"/>
          <w:highlight w:val="none"/>
          <w:lang w:val="en"/>
        </w:rPr>
        <w:t>如需进一步了解详细内容，详见采购文件。</w:t>
      </w:r>
    </w:p>
    <w:p>
      <w:pPr>
        <w:adjustRightInd w:val="0"/>
        <w:snapToGrid w:val="0"/>
        <w:spacing w:line="320" w:lineRule="exact"/>
        <w:ind w:firstLine="420" w:firstLineChars="200"/>
        <w:rPr>
          <w:color w:val="auto"/>
          <w:highlight w:val="none"/>
          <w:lang w:val="en"/>
        </w:rPr>
      </w:pPr>
      <w:r>
        <w:rPr>
          <w:rFonts w:hint="eastAsia"/>
          <w:color w:val="auto"/>
          <w:highlight w:val="none"/>
        </w:rPr>
        <w:t>最高限价（如有）：</w:t>
      </w:r>
      <w:r>
        <w:rPr>
          <w:b/>
          <w:bCs/>
          <w:color w:val="auto"/>
          <w:highlight w:val="none"/>
          <w:u w:val="single"/>
        </w:rPr>
        <w:t>64850790</w:t>
      </w:r>
      <w:r>
        <w:rPr>
          <w:color w:val="auto"/>
          <w:highlight w:val="none"/>
          <w:lang w:val="en"/>
        </w:rPr>
        <w:t xml:space="preserve"> </w:t>
      </w:r>
      <w:r>
        <w:rPr>
          <w:color w:val="auto"/>
          <w:highlight w:val="none"/>
          <w:lang w:val="en"/>
        </w:rPr>
        <w:t xml:space="preserve">  </w:t>
      </w:r>
    </w:p>
    <w:p>
      <w:pPr>
        <w:adjustRightInd w:val="0"/>
        <w:snapToGrid w:val="0"/>
        <w:spacing w:line="320" w:lineRule="exact"/>
        <w:ind w:firstLine="420" w:firstLineChars="200"/>
        <w:rPr>
          <w:color w:val="auto"/>
          <w:highlight w:val="none"/>
        </w:rPr>
      </w:pPr>
      <w:r>
        <w:rPr>
          <w:rFonts w:hint="eastAsia"/>
          <w:color w:val="auto"/>
          <w:highlight w:val="none"/>
        </w:rPr>
        <w:t>合同履约期限：自合同签订之日起至项目履约完毕</w:t>
      </w:r>
    </w:p>
    <w:p>
      <w:pPr>
        <w:adjustRightInd w:val="0"/>
        <w:snapToGrid w:val="0"/>
        <w:spacing w:line="320" w:lineRule="exact"/>
        <w:ind w:firstLine="420" w:firstLineChars="200"/>
        <w:rPr>
          <w:color w:val="auto"/>
          <w:highlight w:val="none"/>
        </w:rPr>
      </w:pPr>
      <w:r>
        <w:rPr>
          <w:rFonts w:hint="eastAsia"/>
          <w:color w:val="auto"/>
          <w:highlight w:val="none"/>
        </w:rPr>
        <w:t>本项目（否）接受联合体投标</w:t>
      </w:r>
    </w:p>
    <w:p>
      <w:pPr>
        <w:adjustRightInd w:val="0"/>
        <w:snapToGrid w:val="0"/>
        <w:spacing w:line="320" w:lineRule="exact"/>
        <w:ind w:firstLine="420" w:firstLineChars="200"/>
        <w:rPr>
          <w:color w:val="auto"/>
          <w:highlight w:val="none"/>
        </w:rPr>
      </w:pPr>
      <w:r>
        <w:rPr>
          <w:rFonts w:hint="eastAsia"/>
          <w:color w:val="auto"/>
          <w:highlight w:val="none"/>
        </w:rPr>
        <w:t>备注：本项目各分标为线上电子招标项目，有意向参与本项目的供应商应当做好参与全流程电子招投标交易的充分准备。</w:t>
      </w:r>
    </w:p>
    <w:p>
      <w:pPr>
        <w:adjustRightInd w:val="0"/>
        <w:snapToGrid w:val="0"/>
        <w:spacing w:line="320" w:lineRule="exact"/>
        <w:ind w:firstLine="421" w:firstLineChars="200"/>
        <w:rPr>
          <w:b/>
          <w:color w:val="auto"/>
          <w:highlight w:val="none"/>
        </w:rPr>
      </w:pPr>
      <w:r>
        <w:rPr>
          <w:rFonts w:hint="eastAsia"/>
          <w:b/>
          <w:color w:val="auto"/>
          <w:highlight w:val="none"/>
        </w:rPr>
        <w:t>二、申请人的资格要求：</w:t>
      </w:r>
    </w:p>
    <w:p>
      <w:pPr>
        <w:adjustRightInd w:val="0"/>
        <w:snapToGrid w:val="0"/>
        <w:spacing w:line="320" w:lineRule="exact"/>
        <w:ind w:firstLine="420" w:firstLineChars="200"/>
        <w:rPr>
          <w:color w:val="auto"/>
          <w:highlight w:val="none"/>
        </w:rPr>
      </w:pPr>
      <w:r>
        <w:rPr>
          <w:rFonts w:hint="eastAsia"/>
          <w:color w:val="auto"/>
          <w:highlight w:val="none"/>
        </w:rPr>
        <w:t>1.满足《中华人民共和国政府采购法》第二十二条规定；</w:t>
      </w:r>
    </w:p>
    <w:p>
      <w:pPr>
        <w:adjustRightInd w:val="0"/>
        <w:snapToGrid w:val="0"/>
        <w:spacing w:line="320" w:lineRule="exact"/>
        <w:ind w:firstLine="420" w:firstLineChars="200"/>
        <w:rPr>
          <w:color w:val="auto"/>
          <w:highlight w:val="none"/>
        </w:rPr>
      </w:pPr>
      <w:r>
        <w:rPr>
          <w:rFonts w:hint="eastAsia"/>
          <w:color w:val="auto"/>
          <w:highlight w:val="none"/>
        </w:rPr>
        <w:t xml:space="preserve">2.落实政府采购政策需满足的资格要求：分标1：无。 </w:t>
      </w:r>
    </w:p>
    <w:p>
      <w:pPr>
        <w:adjustRightInd w:val="0"/>
        <w:snapToGrid w:val="0"/>
        <w:spacing w:line="320" w:lineRule="exact"/>
        <w:ind w:firstLine="420" w:firstLineChars="200"/>
        <w:rPr>
          <w:color w:val="auto"/>
          <w:highlight w:val="none"/>
        </w:rPr>
      </w:pPr>
      <w:r>
        <w:rPr>
          <w:rFonts w:hint="eastAsia"/>
          <w:color w:val="auto"/>
          <w:highlight w:val="none"/>
        </w:rPr>
        <w:t xml:space="preserve">3.本项目的特定资格要求：分标1：无。 </w:t>
      </w:r>
    </w:p>
    <w:p>
      <w:pPr>
        <w:adjustRightInd w:val="0"/>
        <w:snapToGrid w:val="0"/>
        <w:spacing w:line="320" w:lineRule="exact"/>
        <w:ind w:firstLine="421" w:firstLineChars="200"/>
        <w:rPr>
          <w:b/>
          <w:color w:val="auto"/>
          <w:highlight w:val="none"/>
        </w:rPr>
      </w:pPr>
      <w:r>
        <w:rPr>
          <w:rFonts w:hint="eastAsia"/>
          <w:b/>
          <w:color w:val="auto"/>
          <w:highlight w:val="none"/>
        </w:rPr>
        <w:t xml:space="preserve">三、获取招标文件 </w:t>
      </w:r>
    </w:p>
    <w:p>
      <w:pPr>
        <w:adjustRightInd w:val="0"/>
        <w:snapToGrid w:val="0"/>
        <w:spacing w:line="320" w:lineRule="exact"/>
        <w:ind w:firstLine="420" w:firstLineChars="200"/>
        <w:rPr>
          <w:b/>
          <w:bCs/>
          <w:color w:val="auto"/>
          <w:highlight w:val="none"/>
        </w:rPr>
      </w:pPr>
      <w:r>
        <w:rPr>
          <w:rFonts w:hint="eastAsia"/>
          <w:color w:val="auto"/>
          <w:highlight w:val="none"/>
        </w:rPr>
        <w:t>时间：</w:t>
      </w:r>
      <w:r>
        <w:rPr>
          <w:b/>
          <w:bCs/>
          <w:color w:val="auto"/>
          <w:highlight w:val="none"/>
          <w:lang w:val="en"/>
        </w:rPr>
        <w:t>202</w:t>
      </w:r>
      <w:r>
        <w:rPr>
          <w:rFonts w:hint="eastAsia"/>
          <w:b/>
          <w:bCs/>
          <w:color w:val="auto"/>
          <w:highlight w:val="none"/>
        </w:rPr>
        <w:t>6</w:t>
      </w:r>
      <w:r>
        <w:rPr>
          <w:b/>
          <w:bCs/>
          <w:color w:val="auto"/>
          <w:highlight w:val="none"/>
          <w:lang w:val="en"/>
        </w:rPr>
        <w:t>年</w:t>
      </w:r>
      <w:r>
        <w:rPr>
          <w:rFonts w:hint="eastAsia"/>
          <w:b/>
          <w:bCs/>
          <w:color w:val="auto"/>
          <w:highlight w:val="none"/>
          <w:lang w:val="en-US" w:eastAsia="zh-CN"/>
        </w:rPr>
        <w:t>9</w:t>
      </w:r>
      <w:r>
        <w:rPr>
          <w:b/>
          <w:bCs/>
          <w:color w:val="auto"/>
          <w:highlight w:val="none"/>
          <w:lang w:val="en"/>
        </w:rPr>
        <w:t>月</w:t>
      </w:r>
      <w:r>
        <w:rPr>
          <w:rFonts w:hint="eastAsia"/>
          <w:b/>
          <w:bCs/>
          <w:color w:val="auto"/>
          <w:highlight w:val="none"/>
          <w:lang w:val="en-US" w:eastAsia="zh-CN"/>
        </w:rPr>
        <w:t>2</w:t>
      </w:r>
      <w:r>
        <w:rPr>
          <w:b/>
          <w:bCs/>
          <w:color w:val="auto"/>
          <w:highlight w:val="none"/>
          <w:lang w:val="en"/>
        </w:rPr>
        <w:t>日</w:t>
      </w:r>
      <w:r>
        <w:rPr>
          <w:rFonts w:hint="eastAsia"/>
          <w:b/>
          <w:bCs/>
          <w:color w:val="auto"/>
          <w:highlight w:val="none"/>
        </w:rPr>
        <w:t>至</w:t>
      </w:r>
      <w:r>
        <w:rPr>
          <w:b/>
          <w:bCs/>
          <w:color w:val="auto"/>
          <w:highlight w:val="none"/>
          <w:lang w:val="en"/>
        </w:rPr>
        <w:t>202</w:t>
      </w:r>
      <w:r>
        <w:rPr>
          <w:rFonts w:hint="eastAsia"/>
          <w:b/>
          <w:bCs/>
          <w:color w:val="auto"/>
          <w:highlight w:val="none"/>
        </w:rPr>
        <w:t>6</w:t>
      </w:r>
      <w:r>
        <w:rPr>
          <w:b/>
          <w:bCs/>
          <w:color w:val="auto"/>
          <w:highlight w:val="none"/>
          <w:lang w:val="en"/>
        </w:rPr>
        <w:t>年</w:t>
      </w:r>
      <w:r>
        <w:rPr>
          <w:rFonts w:hint="eastAsia"/>
          <w:b/>
          <w:bCs/>
          <w:color w:val="auto"/>
          <w:highlight w:val="none"/>
          <w:lang w:val="en-US" w:eastAsia="zh-CN"/>
        </w:rPr>
        <w:t>9</w:t>
      </w:r>
      <w:r>
        <w:rPr>
          <w:b/>
          <w:bCs/>
          <w:color w:val="auto"/>
          <w:highlight w:val="none"/>
          <w:lang w:val="en"/>
        </w:rPr>
        <w:t>月</w:t>
      </w:r>
      <w:r>
        <w:rPr>
          <w:rFonts w:hint="eastAsia"/>
          <w:b/>
          <w:bCs/>
          <w:color w:val="auto"/>
          <w:highlight w:val="none"/>
          <w:lang w:val="en-US" w:eastAsia="zh-CN"/>
        </w:rPr>
        <w:t>9</w:t>
      </w:r>
      <w:r>
        <w:rPr>
          <w:b/>
          <w:bCs/>
          <w:color w:val="auto"/>
          <w:highlight w:val="none"/>
          <w:lang w:val="en"/>
        </w:rPr>
        <w:t>日</w:t>
      </w:r>
      <w:r>
        <w:rPr>
          <w:rFonts w:hint="eastAsia"/>
          <w:color w:val="auto"/>
          <w:highlight w:val="none"/>
        </w:rPr>
        <w:t>，</w:t>
      </w:r>
      <w:r>
        <w:rPr>
          <w:rFonts w:hint="eastAsia"/>
          <w:b/>
          <w:bCs/>
          <w:color w:val="auto"/>
          <w:highlight w:val="none"/>
        </w:rPr>
        <w:t>每天上午0</w:t>
      </w:r>
      <w:r>
        <w:rPr>
          <w:rFonts w:hint="eastAsia"/>
          <w:b/>
          <w:bCs/>
          <w:color w:val="auto"/>
          <w:highlight w:val="none"/>
          <w:lang w:val="en"/>
        </w:rPr>
        <w:t>0</w:t>
      </w:r>
      <w:r>
        <w:rPr>
          <w:rFonts w:hint="eastAsia"/>
          <w:b/>
          <w:bCs/>
          <w:color w:val="auto"/>
          <w:highlight w:val="none"/>
        </w:rPr>
        <w:t>:00至12:00，下午12:00至23:59（北京时间，法定节假日除外）</w:t>
      </w:r>
    </w:p>
    <w:p>
      <w:pPr>
        <w:adjustRightInd w:val="0"/>
        <w:snapToGrid w:val="0"/>
        <w:spacing w:line="320" w:lineRule="exact"/>
        <w:ind w:firstLine="420" w:firstLineChars="200"/>
        <w:rPr>
          <w:color w:val="auto"/>
          <w:highlight w:val="none"/>
        </w:rPr>
      </w:pPr>
      <w:r>
        <w:rPr>
          <w:rFonts w:hint="eastAsia"/>
          <w:color w:val="auto"/>
          <w:highlight w:val="none"/>
        </w:rPr>
        <w:t>地点（网址）：</w:t>
      </w:r>
      <w:r>
        <w:rPr>
          <w:color w:val="auto"/>
          <w:highlight w:val="none"/>
          <w:lang w:val="en"/>
        </w:rPr>
        <w:t>广西政府采购云平台（网址：http://www.gcy.zfcg.gxzf.gov.cn）</w:t>
      </w:r>
      <w:r>
        <w:rPr>
          <w:rFonts w:hint="eastAsia"/>
          <w:color w:val="auto"/>
          <w:highlight w:val="none"/>
        </w:rPr>
        <w:t xml:space="preserve"> </w:t>
      </w:r>
    </w:p>
    <w:p>
      <w:pPr>
        <w:adjustRightInd w:val="0"/>
        <w:snapToGrid w:val="0"/>
        <w:spacing w:line="320" w:lineRule="exact"/>
        <w:ind w:firstLine="420" w:firstLineChars="200"/>
        <w:rPr>
          <w:color w:val="auto"/>
          <w:highlight w:val="none"/>
        </w:rPr>
      </w:pPr>
      <w:r>
        <w:rPr>
          <w:rFonts w:hint="eastAsia"/>
          <w:color w:val="auto"/>
          <w:highlight w:val="none"/>
        </w:rPr>
        <w:t>方式：请登录</w:t>
      </w:r>
      <w:r>
        <w:rPr>
          <w:color w:val="auto"/>
          <w:highlight w:val="none"/>
          <w:lang w:val="en"/>
        </w:rPr>
        <w:t>广西政府采购云平台（网址：http://www.gcy.zfcg.gxzf.gov.cn）</w:t>
      </w:r>
      <w:r>
        <w:rPr>
          <w:rFonts w:hint="eastAsia"/>
          <w:color w:val="auto"/>
          <w:highlight w:val="none"/>
        </w:rPr>
        <w:t>进行报名并获取采购文件；未注册的供应商可在广西政府采购云平台完成注册后再行报名。如在操作过程中遇到问题或需技术支持，请致电</w:t>
      </w:r>
      <w:r>
        <w:rPr>
          <w:color w:val="auto"/>
          <w:highlight w:val="none"/>
          <w:lang w:val="en"/>
        </w:rPr>
        <w:t>广西政府采购云</w:t>
      </w:r>
      <w:r>
        <w:rPr>
          <w:rFonts w:hint="eastAsia"/>
          <w:color w:val="auto"/>
          <w:highlight w:val="none"/>
        </w:rPr>
        <w:t>客服热线：95763。</w:t>
      </w:r>
    </w:p>
    <w:p>
      <w:pPr>
        <w:adjustRightInd w:val="0"/>
        <w:snapToGrid w:val="0"/>
        <w:spacing w:line="320" w:lineRule="exact"/>
        <w:ind w:firstLine="420" w:firstLineChars="200"/>
        <w:rPr>
          <w:color w:val="auto"/>
          <w:highlight w:val="none"/>
        </w:rPr>
      </w:pPr>
      <w:r>
        <w:rPr>
          <w:rFonts w:hint="eastAsia"/>
          <w:color w:val="auto"/>
          <w:highlight w:val="none"/>
        </w:rPr>
        <w:t>提示：公开招标公告附件内的招标文件仅供阅览使用；供应商只有在“</w:t>
      </w:r>
      <w:r>
        <w:rPr>
          <w:color w:val="auto"/>
          <w:highlight w:val="none"/>
          <w:lang w:val="en"/>
        </w:rPr>
        <w:t>广西政府采购云平台</w:t>
      </w:r>
      <w:r>
        <w:rPr>
          <w:rFonts w:hint="eastAsia"/>
          <w:color w:val="auto"/>
          <w:highlight w:val="none"/>
        </w:rPr>
        <w:t>”完成获取招标文件申请并下载了招标文件后才视作依法获取招标文件（法律法规所指的供应商获取招标文件时间以供应商完成获取招标文件申请后下载招标文件的时间为准）。</w:t>
      </w:r>
    </w:p>
    <w:p>
      <w:pPr>
        <w:adjustRightInd w:val="0"/>
        <w:snapToGrid w:val="0"/>
        <w:spacing w:line="320" w:lineRule="exact"/>
        <w:ind w:firstLine="420" w:firstLineChars="200"/>
        <w:rPr>
          <w:color w:val="auto"/>
          <w:highlight w:val="none"/>
        </w:rPr>
      </w:pPr>
      <w:r>
        <w:rPr>
          <w:rFonts w:hint="eastAsia"/>
          <w:color w:val="auto"/>
          <w:highlight w:val="none"/>
        </w:rPr>
        <w:t xml:space="preserve"> 售价（元）：0 </w:t>
      </w:r>
    </w:p>
    <w:p>
      <w:pPr>
        <w:adjustRightInd w:val="0"/>
        <w:snapToGrid w:val="0"/>
        <w:spacing w:line="320" w:lineRule="exact"/>
        <w:ind w:firstLine="421" w:firstLineChars="200"/>
        <w:rPr>
          <w:b/>
          <w:color w:val="auto"/>
          <w:highlight w:val="none"/>
        </w:rPr>
      </w:pPr>
      <w:r>
        <w:rPr>
          <w:rFonts w:hint="eastAsia"/>
          <w:b/>
          <w:color w:val="auto"/>
          <w:highlight w:val="none"/>
        </w:rPr>
        <w:t>四、提交投标文件截止时间、开标时间和地点</w:t>
      </w:r>
    </w:p>
    <w:p>
      <w:pPr>
        <w:adjustRightInd w:val="0"/>
        <w:snapToGrid w:val="0"/>
        <w:spacing w:line="320" w:lineRule="exact"/>
        <w:ind w:firstLine="420" w:firstLineChars="200"/>
        <w:rPr>
          <w:color w:val="auto"/>
          <w:highlight w:val="none"/>
        </w:rPr>
      </w:pPr>
      <w:r>
        <w:rPr>
          <w:rFonts w:hint="eastAsia"/>
          <w:color w:val="auto"/>
          <w:highlight w:val="none"/>
        </w:rPr>
        <w:t>提交投标文件截止时间：</w:t>
      </w:r>
      <w:r>
        <w:rPr>
          <w:color w:val="auto"/>
          <w:highlight w:val="none"/>
          <w:lang w:val="en"/>
        </w:rPr>
        <w:t>202</w:t>
      </w:r>
      <w:r>
        <w:rPr>
          <w:rFonts w:hint="eastAsia"/>
          <w:color w:val="auto"/>
          <w:highlight w:val="none"/>
        </w:rPr>
        <w:t>6</w:t>
      </w:r>
      <w:r>
        <w:rPr>
          <w:color w:val="auto"/>
          <w:highlight w:val="none"/>
          <w:lang w:val="en"/>
        </w:rPr>
        <w:t>年</w:t>
      </w:r>
      <w:r>
        <w:rPr>
          <w:rFonts w:hint="eastAsia"/>
          <w:color w:val="auto"/>
          <w:highlight w:val="none"/>
          <w:lang w:val="en-US" w:eastAsia="zh-CN"/>
        </w:rPr>
        <w:t>9</w:t>
      </w:r>
      <w:r>
        <w:rPr>
          <w:color w:val="auto"/>
          <w:highlight w:val="none"/>
          <w:lang w:val="en"/>
        </w:rPr>
        <w:t>月</w:t>
      </w:r>
      <w:r>
        <w:rPr>
          <w:rFonts w:hint="eastAsia"/>
          <w:color w:val="auto"/>
          <w:highlight w:val="none"/>
          <w:lang w:val="en-US" w:eastAsia="zh-CN"/>
        </w:rPr>
        <w:t>23</w:t>
      </w:r>
      <w:r>
        <w:rPr>
          <w:color w:val="auto"/>
          <w:highlight w:val="none"/>
          <w:lang w:val="en"/>
        </w:rPr>
        <w:t>日</w:t>
      </w:r>
      <w:r>
        <w:rPr>
          <w:rFonts w:hint="eastAsia"/>
          <w:color w:val="auto"/>
          <w:highlight w:val="none"/>
        </w:rPr>
        <w:t>10:00（北京时间）</w:t>
      </w:r>
    </w:p>
    <w:p>
      <w:pPr>
        <w:adjustRightInd w:val="0"/>
        <w:snapToGrid w:val="0"/>
        <w:spacing w:line="320" w:lineRule="exact"/>
        <w:ind w:firstLine="420" w:firstLineChars="200"/>
        <w:rPr>
          <w:color w:val="auto"/>
          <w:highlight w:val="none"/>
        </w:rPr>
      </w:pPr>
      <w:r>
        <w:rPr>
          <w:rFonts w:hint="eastAsia"/>
          <w:color w:val="auto"/>
          <w:highlight w:val="none"/>
        </w:rPr>
        <w:t>投标地点（网址）：</w:t>
      </w:r>
      <w:r>
        <w:rPr>
          <w:color w:val="auto"/>
          <w:highlight w:val="none"/>
          <w:lang w:val="en"/>
        </w:rPr>
        <w:t>http://www.gcy.zfcg.gxzf.gov.cn</w:t>
      </w:r>
      <w:r>
        <w:rPr>
          <w:rFonts w:hint="eastAsia"/>
          <w:color w:val="auto"/>
          <w:highlight w:val="none"/>
        </w:rPr>
        <w:t>（本项目不要求投标供应商到达开标现场，但供应商应派法定代表人或委托代理人准时在线出席电子开评标会议，随时关注开评标进度，如在开评标过程中有电子询标，应在规定的时间内对电子询标函进行澄清回复。）</w:t>
      </w:r>
    </w:p>
    <w:p>
      <w:pPr>
        <w:adjustRightInd w:val="0"/>
        <w:snapToGrid w:val="0"/>
        <w:spacing w:line="320" w:lineRule="exact"/>
        <w:ind w:firstLine="420" w:firstLineChars="200"/>
        <w:rPr>
          <w:color w:val="auto"/>
          <w:highlight w:val="none"/>
        </w:rPr>
      </w:pPr>
      <w:r>
        <w:rPr>
          <w:rFonts w:hint="eastAsia"/>
          <w:color w:val="auto"/>
          <w:highlight w:val="none"/>
        </w:rPr>
        <w:t xml:space="preserve">开标时间： </w:t>
      </w:r>
      <w:r>
        <w:rPr>
          <w:color w:val="auto"/>
          <w:highlight w:val="none"/>
          <w:lang w:val="en"/>
        </w:rPr>
        <w:t>202</w:t>
      </w:r>
      <w:r>
        <w:rPr>
          <w:rFonts w:hint="eastAsia"/>
          <w:color w:val="auto"/>
          <w:highlight w:val="none"/>
        </w:rPr>
        <w:t>6</w:t>
      </w:r>
      <w:r>
        <w:rPr>
          <w:color w:val="auto"/>
          <w:highlight w:val="none"/>
          <w:lang w:val="en"/>
        </w:rPr>
        <w:t>年</w:t>
      </w:r>
      <w:r>
        <w:rPr>
          <w:rFonts w:hint="eastAsia"/>
          <w:color w:val="auto"/>
          <w:highlight w:val="none"/>
          <w:lang w:val="en-US" w:eastAsia="zh-CN"/>
        </w:rPr>
        <w:t>9</w:t>
      </w:r>
      <w:r>
        <w:rPr>
          <w:color w:val="auto"/>
          <w:highlight w:val="none"/>
          <w:lang w:val="en"/>
        </w:rPr>
        <w:t>月</w:t>
      </w:r>
      <w:r>
        <w:rPr>
          <w:rFonts w:hint="eastAsia"/>
          <w:color w:val="auto"/>
          <w:highlight w:val="none"/>
          <w:lang w:val="en-US" w:eastAsia="zh-CN"/>
        </w:rPr>
        <w:t>23</w:t>
      </w:r>
      <w:r>
        <w:rPr>
          <w:color w:val="auto"/>
          <w:highlight w:val="none"/>
          <w:lang w:val="en"/>
        </w:rPr>
        <w:t>日</w:t>
      </w:r>
      <w:r>
        <w:rPr>
          <w:rFonts w:hint="eastAsia"/>
          <w:color w:val="auto"/>
          <w:highlight w:val="none"/>
        </w:rPr>
        <w:t xml:space="preserve">10:00 </w:t>
      </w:r>
    </w:p>
    <w:p>
      <w:pPr>
        <w:adjustRightInd w:val="0"/>
        <w:snapToGrid w:val="0"/>
        <w:spacing w:line="320" w:lineRule="exact"/>
        <w:ind w:firstLine="420" w:firstLineChars="200"/>
        <w:rPr>
          <w:color w:val="auto"/>
          <w:highlight w:val="none"/>
          <w:lang w:val="en"/>
        </w:rPr>
      </w:pPr>
      <w:r>
        <w:rPr>
          <w:rFonts w:hint="eastAsia"/>
          <w:color w:val="auto"/>
          <w:highlight w:val="none"/>
        </w:rPr>
        <w:t>开标地点：南宁市青秀区广西政府采购云平台开标大厅</w:t>
      </w:r>
      <w:r>
        <w:rPr>
          <w:rFonts w:hint="eastAsia"/>
          <w:color w:val="auto"/>
          <w:highlight w:val="none"/>
          <w:lang w:val="en"/>
        </w:rPr>
        <w:t>。</w:t>
      </w:r>
    </w:p>
    <w:p>
      <w:pPr>
        <w:adjustRightInd w:val="0"/>
        <w:snapToGrid w:val="0"/>
        <w:spacing w:line="320" w:lineRule="exact"/>
        <w:ind w:firstLine="421" w:firstLineChars="200"/>
        <w:rPr>
          <w:b/>
          <w:color w:val="auto"/>
          <w:highlight w:val="none"/>
        </w:rPr>
      </w:pPr>
      <w:r>
        <w:rPr>
          <w:rFonts w:hint="eastAsia"/>
          <w:b/>
          <w:color w:val="auto"/>
          <w:highlight w:val="none"/>
        </w:rPr>
        <w:t xml:space="preserve">五、公告期限 </w:t>
      </w:r>
    </w:p>
    <w:p>
      <w:pPr>
        <w:adjustRightInd w:val="0"/>
        <w:snapToGrid w:val="0"/>
        <w:spacing w:line="320" w:lineRule="exact"/>
        <w:ind w:firstLine="420" w:firstLineChars="200"/>
        <w:rPr>
          <w:color w:val="auto"/>
          <w:highlight w:val="none"/>
        </w:rPr>
      </w:pPr>
      <w:r>
        <w:rPr>
          <w:rFonts w:hint="eastAsia"/>
          <w:color w:val="auto"/>
          <w:highlight w:val="none"/>
        </w:rPr>
        <w:t>自本公告发布之日起5个工作日。</w:t>
      </w:r>
    </w:p>
    <w:p>
      <w:pPr>
        <w:adjustRightInd w:val="0"/>
        <w:snapToGrid w:val="0"/>
        <w:spacing w:line="320" w:lineRule="exact"/>
        <w:ind w:firstLine="421" w:firstLineChars="200"/>
        <w:rPr>
          <w:b/>
          <w:color w:val="auto"/>
          <w:highlight w:val="none"/>
        </w:rPr>
      </w:pPr>
      <w:r>
        <w:rPr>
          <w:rFonts w:hint="eastAsia"/>
          <w:b/>
          <w:color w:val="auto"/>
          <w:highlight w:val="none"/>
        </w:rPr>
        <w:t>六、其他补充事宜</w:t>
      </w:r>
    </w:p>
    <w:p>
      <w:pPr>
        <w:adjustRightInd w:val="0"/>
        <w:snapToGrid w:val="0"/>
        <w:spacing w:line="320" w:lineRule="exact"/>
        <w:ind w:firstLine="421" w:firstLineChars="200"/>
        <w:rPr>
          <w:color w:val="auto"/>
          <w:highlight w:val="none"/>
        </w:rPr>
      </w:pPr>
      <w:r>
        <w:rPr>
          <w:rFonts w:hint="eastAsia"/>
          <w:b/>
          <w:color w:val="auto"/>
          <w:highlight w:val="none"/>
        </w:rPr>
        <w:t xml:space="preserve"> </w:t>
      </w:r>
      <w:r>
        <w:rPr>
          <w:rFonts w:hint="eastAsia"/>
          <w:color w:val="auto"/>
          <w:highlight w:val="none"/>
        </w:rPr>
        <w:t>1.投标保证金（人民币）：</w:t>
      </w:r>
      <w:r>
        <w:rPr>
          <w:rFonts w:hint="eastAsia"/>
          <w:b/>
          <w:bCs/>
          <w:color w:val="auto"/>
          <w:highlight w:val="none"/>
          <w:u w:val="single"/>
        </w:rPr>
        <w:t xml:space="preserve">    </w:t>
      </w:r>
      <w:r>
        <w:rPr>
          <w:b/>
          <w:bCs/>
          <w:color w:val="auto"/>
          <w:highlight w:val="none"/>
          <w:u w:val="single"/>
          <w:lang w:val="en"/>
        </w:rPr>
        <w:t xml:space="preserve"> </w:t>
      </w:r>
      <w:r>
        <w:rPr>
          <w:rFonts w:hint="eastAsia"/>
          <w:b/>
          <w:bCs/>
          <w:color w:val="auto"/>
          <w:highlight w:val="none"/>
          <w:u w:val="single"/>
        </w:rPr>
        <w:t>60</w:t>
      </w:r>
      <w:r>
        <w:rPr>
          <w:b/>
          <w:bCs/>
          <w:color w:val="auto"/>
          <w:highlight w:val="none"/>
          <w:u w:val="single"/>
          <w:lang w:val="en"/>
        </w:rPr>
        <w:t xml:space="preserve">  </w:t>
      </w:r>
      <w:r>
        <w:rPr>
          <w:rFonts w:hint="eastAsia"/>
          <w:b/>
          <w:bCs/>
          <w:color w:val="auto"/>
          <w:highlight w:val="none"/>
          <w:u w:val="single"/>
        </w:rPr>
        <w:t xml:space="preserve">    </w:t>
      </w:r>
      <w:r>
        <w:rPr>
          <w:rFonts w:hint="eastAsia"/>
          <w:b/>
          <w:bCs/>
          <w:color w:val="auto"/>
          <w:highlight w:val="none"/>
        </w:rPr>
        <w:t>万元。</w:t>
      </w:r>
      <w:r>
        <w:rPr>
          <w:rFonts w:hint="eastAsia"/>
          <w:color w:val="auto"/>
          <w:highlight w:val="none"/>
        </w:rPr>
        <w:t>(必须足额交纳)</w:t>
      </w:r>
    </w:p>
    <w:p>
      <w:pPr>
        <w:adjustRightInd w:val="0"/>
        <w:snapToGrid w:val="0"/>
        <w:spacing w:line="320" w:lineRule="exact"/>
        <w:ind w:firstLine="420" w:firstLineChars="200"/>
        <w:rPr>
          <w:color w:val="auto"/>
          <w:highlight w:val="none"/>
        </w:rPr>
      </w:pPr>
      <w:r>
        <w:rPr>
          <w:rFonts w:hint="eastAsia"/>
          <w:color w:val="auto"/>
          <w:highlight w:val="none"/>
        </w:rPr>
        <w:t>（1）投标保证金交纳形式：支票、汇票、本票、金融机构、担保机构出具的保函等非现金形式。</w:t>
      </w:r>
    </w:p>
    <w:p>
      <w:pPr>
        <w:adjustRightInd w:val="0"/>
        <w:snapToGrid w:val="0"/>
        <w:spacing w:line="320" w:lineRule="exact"/>
        <w:ind w:firstLine="420" w:firstLineChars="200"/>
        <w:rPr>
          <w:color w:val="auto"/>
          <w:highlight w:val="none"/>
        </w:rPr>
      </w:pPr>
      <w:r>
        <w:rPr>
          <w:rFonts w:hint="eastAsia"/>
          <w:color w:val="auto"/>
          <w:highlight w:val="none"/>
        </w:rPr>
        <w:t>（2）采用网上银行转账形式的，投标人应于提交投标文件截止时间前将投标保证金交至以下账户。</w:t>
      </w:r>
    </w:p>
    <w:p>
      <w:pPr>
        <w:adjustRightInd w:val="0"/>
        <w:snapToGrid w:val="0"/>
        <w:spacing w:line="320" w:lineRule="exact"/>
        <w:ind w:firstLine="421" w:firstLineChars="200"/>
        <w:rPr>
          <w:b/>
          <w:bCs/>
          <w:color w:val="auto"/>
          <w:highlight w:val="none"/>
        </w:rPr>
      </w:pPr>
      <w:r>
        <w:rPr>
          <w:rFonts w:hint="eastAsia"/>
          <w:b/>
          <w:bCs/>
          <w:color w:val="auto"/>
          <w:highlight w:val="none"/>
        </w:rPr>
        <w:t>开户名称：广西壮族自治区政府采购中心</w:t>
      </w:r>
    </w:p>
    <w:p>
      <w:pPr>
        <w:adjustRightInd w:val="0"/>
        <w:snapToGrid w:val="0"/>
        <w:spacing w:line="320" w:lineRule="exact"/>
        <w:ind w:firstLine="421" w:firstLineChars="200"/>
        <w:rPr>
          <w:b/>
          <w:bCs/>
          <w:color w:val="auto"/>
          <w:highlight w:val="none"/>
        </w:rPr>
      </w:pPr>
      <w:r>
        <w:rPr>
          <w:rFonts w:hint="eastAsia"/>
          <w:b/>
          <w:bCs/>
          <w:color w:val="auto"/>
          <w:highlight w:val="none"/>
        </w:rPr>
        <w:t>开户银行：中国农业银行股份有限公司南宁市古城支行</w:t>
      </w:r>
    </w:p>
    <w:p>
      <w:pPr>
        <w:adjustRightInd w:val="0"/>
        <w:snapToGrid w:val="0"/>
        <w:spacing w:line="320" w:lineRule="exact"/>
        <w:ind w:firstLine="421" w:firstLineChars="200"/>
        <w:rPr>
          <w:color w:val="auto"/>
          <w:highlight w:val="none"/>
        </w:rPr>
      </w:pPr>
      <w:r>
        <w:rPr>
          <w:rFonts w:hint="eastAsia"/>
          <w:b/>
          <w:bCs/>
          <w:color w:val="auto"/>
          <w:highlight w:val="none"/>
        </w:rPr>
        <w:t>银行账号：20009101040051648</w:t>
      </w:r>
    </w:p>
    <w:p>
      <w:pPr>
        <w:adjustRightInd w:val="0"/>
        <w:snapToGrid w:val="0"/>
        <w:spacing w:line="320" w:lineRule="exact"/>
        <w:ind w:firstLine="420" w:firstLineChars="200"/>
        <w:rPr>
          <w:color w:val="auto"/>
          <w:highlight w:val="none"/>
        </w:rPr>
      </w:pPr>
      <w:r>
        <w:rPr>
          <w:rFonts w:hint="eastAsia"/>
          <w:color w:val="auto"/>
          <w:highlight w:val="none"/>
        </w:rPr>
        <w:t>（3）采用支票、汇票、本票或者保函等形式的，投标人应于提交投标文件截止时间前递交单独密封的支票、汇票、本票或者保函原件至我中心财务处。</w:t>
      </w:r>
    </w:p>
    <w:p>
      <w:pPr>
        <w:adjustRightInd w:val="0"/>
        <w:snapToGrid w:val="0"/>
        <w:spacing w:line="320" w:lineRule="exact"/>
        <w:ind w:firstLine="420" w:firstLineChars="200"/>
        <w:rPr>
          <w:color w:val="auto"/>
          <w:highlight w:val="none"/>
        </w:rPr>
      </w:pPr>
      <w:r>
        <w:rPr>
          <w:rFonts w:hint="eastAsia"/>
          <w:color w:val="auto"/>
          <w:highlight w:val="none"/>
        </w:rPr>
        <w:t>（4）本中心财务处联系方式：</w:t>
      </w:r>
    </w:p>
    <w:p>
      <w:pPr>
        <w:adjustRightInd w:val="0"/>
        <w:snapToGrid w:val="0"/>
        <w:spacing w:line="320" w:lineRule="exact"/>
        <w:ind w:firstLine="420" w:firstLineChars="200"/>
        <w:rPr>
          <w:color w:val="auto"/>
          <w:highlight w:val="none"/>
          <w:lang w:val="en"/>
        </w:rPr>
      </w:pPr>
      <w:r>
        <w:rPr>
          <w:color w:val="auto"/>
          <w:highlight w:val="none"/>
          <w:lang w:val="en"/>
        </w:rPr>
        <w:t>地址：广西南宁市星湖路22号广西壮族自治区政府采购中心综合楼3楼306室； 电话：0771-8600309。</w:t>
      </w:r>
    </w:p>
    <w:p>
      <w:pPr>
        <w:adjustRightInd w:val="0"/>
        <w:snapToGrid w:val="0"/>
        <w:spacing w:line="320" w:lineRule="exact"/>
        <w:ind w:firstLine="420" w:firstLineChars="200"/>
        <w:rPr>
          <w:color w:val="auto"/>
          <w:highlight w:val="none"/>
        </w:rPr>
      </w:pPr>
      <w:r>
        <w:rPr>
          <w:rFonts w:hint="eastAsia"/>
          <w:color w:val="auto"/>
          <w:highlight w:val="none"/>
        </w:rPr>
        <w:t>2.本项目需要落实的政府采购政策</w:t>
      </w:r>
    </w:p>
    <w:p>
      <w:pPr>
        <w:adjustRightInd w:val="0"/>
        <w:snapToGrid w:val="0"/>
        <w:spacing w:line="320" w:lineRule="exact"/>
        <w:ind w:firstLine="420" w:firstLineChars="200"/>
        <w:rPr>
          <w:color w:val="auto"/>
          <w:highlight w:val="none"/>
        </w:rPr>
      </w:pPr>
      <w:r>
        <w:rPr>
          <w:rFonts w:hint="eastAsia"/>
          <w:color w:val="auto"/>
          <w:highlight w:val="none"/>
        </w:rPr>
        <w:t>政府采购促进中小企业发展；</w:t>
      </w:r>
      <w:r>
        <w:rPr>
          <w:rFonts w:hAnsi="宋体" w:cs="宋体"/>
          <w:b/>
          <w:color w:val="auto"/>
          <w:kern w:val="0"/>
          <w:szCs w:val="21"/>
          <w:highlight w:val="none"/>
        </w:rPr>
        <w:t>政府采购支持采用本国产品的政策；</w:t>
      </w:r>
      <w:r>
        <w:rPr>
          <w:rFonts w:hint="eastAsia"/>
          <w:color w:val="auto"/>
          <w:highlight w:val="none"/>
        </w:rPr>
        <w:t>强制采购节能产品；优先采购节能产品、环境标志产品；政府采购促进残疾人就业政策；政府采购支持监狱企业发展；政府采购扶持不发达地区和少数民族地区等。</w:t>
      </w:r>
    </w:p>
    <w:p>
      <w:pPr>
        <w:adjustRightInd w:val="0"/>
        <w:snapToGrid w:val="0"/>
        <w:spacing w:line="320" w:lineRule="exact"/>
        <w:ind w:firstLine="420" w:firstLineChars="200"/>
        <w:rPr>
          <w:color w:val="auto"/>
          <w:highlight w:val="none"/>
        </w:rPr>
      </w:pPr>
      <w:r>
        <w:rPr>
          <w:rFonts w:hint="eastAsia"/>
          <w:color w:val="auto"/>
          <w:highlight w:val="none"/>
        </w:rPr>
        <w:t>3.网上公告媒体查询</w:t>
      </w:r>
    </w:p>
    <w:p>
      <w:pPr>
        <w:adjustRightInd w:val="0"/>
        <w:snapToGrid w:val="0"/>
        <w:spacing w:line="320" w:lineRule="exact"/>
        <w:ind w:firstLine="420" w:firstLineChars="200"/>
        <w:rPr>
          <w:color w:val="auto"/>
          <w:highlight w:val="none"/>
        </w:rPr>
      </w:pPr>
      <w:r>
        <w:rPr>
          <w:rFonts w:hint="eastAsia"/>
          <w:color w:val="auto"/>
          <w:highlight w:val="none"/>
        </w:rPr>
        <w:t>中国政府采购网（www.ccgp.gov.cn）、广西壮族自治区政府采购网（zfcg.gxzf.gov.cn）、广西壮族自治区政府采购中心网站（gxggzy.gxzf.gov.cn）。</w:t>
      </w:r>
    </w:p>
    <w:p>
      <w:pPr>
        <w:adjustRightInd w:val="0"/>
        <w:snapToGrid w:val="0"/>
        <w:spacing w:line="320" w:lineRule="exact"/>
        <w:ind w:firstLine="420" w:firstLineChars="200"/>
        <w:rPr>
          <w:color w:val="auto"/>
          <w:highlight w:val="none"/>
        </w:rPr>
      </w:pPr>
      <w:r>
        <w:rPr>
          <w:rFonts w:hint="eastAsia"/>
          <w:color w:val="auto"/>
          <w:highlight w:val="none"/>
        </w:rPr>
        <w:t>4.其他注意事项</w:t>
      </w:r>
    </w:p>
    <w:p>
      <w:pPr>
        <w:adjustRightInd w:val="0"/>
        <w:snapToGrid w:val="0"/>
        <w:spacing w:line="320" w:lineRule="exact"/>
        <w:ind w:firstLine="420" w:firstLineChars="200"/>
        <w:rPr>
          <w:color w:val="auto"/>
          <w:highlight w:val="none"/>
        </w:rPr>
      </w:pPr>
      <w:r>
        <w:rPr>
          <w:rFonts w:hint="eastAsia"/>
          <w:color w:val="auto"/>
          <w:highlight w:val="none"/>
        </w:rPr>
        <w:t>（1）本项目实行电子投标，供应商应按照本项目招标文件和</w:t>
      </w:r>
      <w:r>
        <w:rPr>
          <w:color w:val="auto"/>
          <w:highlight w:val="none"/>
          <w:lang w:val="en"/>
        </w:rPr>
        <w:t>广西政府采购云平台</w:t>
      </w:r>
      <w:r>
        <w:rPr>
          <w:rFonts w:hint="eastAsia"/>
          <w:color w:val="auto"/>
          <w:highlight w:val="none"/>
        </w:rPr>
        <w:t>的要求编制、加密并提交投标文件。供应商在使用系统参与投标过程中遇到涉及平台使用的任何问题，可致电</w:t>
      </w:r>
      <w:r>
        <w:rPr>
          <w:color w:val="auto"/>
          <w:highlight w:val="none"/>
          <w:lang w:val="en"/>
        </w:rPr>
        <w:t>广西政府采购云平台</w:t>
      </w:r>
      <w:r>
        <w:rPr>
          <w:rFonts w:hint="eastAsia"/>
          <w:color w:val="auto"/>
          <w:highlight w:val="none"/>
        </w:rPr>
        <w:t xml:space="preserve">技术支持热线咨询，联系方式：95763。 </w:t>
      </w:r>
    </w:p>
    <w:p>
      <w:pPr>
        <w:adjustRightInd w:val="0"/>
        <w:snapToGrid w:val="0"/>
        <w:spacing w:line="320" w:lineRule="exact"/>
        <w:ind w:firstLine="420" w:firstLineChars="200"/>
        <w:rPr>
          <w:color w:val="auto"/>
          <w:highlight w:val="none"/>
        </w:rPr>
      </w:pPr>
      <w:r>
        <w:rPr>
          <w:rFonts w:hint="eastAsia"/>
          <w:color w:val="auto"/>
          <w:highlight w:val="none"/>
        </w:rPr>
        <w:t>（2）供应商应及时熟悉掌握电子标系统操作指南（见</w:t>
      </w:r>
      <w:r>
        <w:rPr>
          <w:color w:val="auto"/>
          <w:highlight w:val="none"/>
          <w:lang w:val="en"/>
        </w:rPr>
        <w:t>广西政府采购云</w:t>
      </w:r>
      <w:r>
        <w:rPr>
          <w:rFonts w:hint="eastAsia"/>
          <w:color w:val="auto"/>
          <w:highlight w:val="none"/>
        </w:rPr>
        <w:t>电子卖场首页右上角—服务中心—帮助文档—项目采购）：</w:t>
      </w:r>
      <w:r>
        <w:rPr>
          <w:color w:val="auto"/>
          <w:highlight w:val="none"/>
        </w:rPr>
        <w:fldChar w:fldCharType="begin"/>
      </w:r>
      <w:r>
        <w:rPr>
          <w:color w:val="auto"/>
          <w:highlight w:val="none"/>
        </w:rPr>
        <w:instrText xml:space="preserve"> HYPERLINK "https://service.zcygov.cn/" \l "/knowledges/tree?tag=AG1DtGwBFdiHxlNdhY0r。" </w:instrText>
      </w:r>
      <w:r>
        <w:rPr>
          <w:color w:val="auto"/>
          <w:highlight w:val="none"/>
        </w:rPr>
        <w:fldChar w:fldCharType="separate"/>
      </w:r>
      <w:r>
        <w:rPr>
          <w:rFonts w:hint="eastAsia"/>
          <w:color w:val="auto"/>
          <w:highlight w:val="none"/>
        </w:rPr>
        <w:t>https://service.zcygov.cn/#/knowledges/tree?tag=AG1DtGwBFdiHxlNdhY0r。</w:t>
      </w:r>
      <w:r>
        <w:rPr>
          <w:rFonts w:hint="eastAsia"/>
          <w:color w:val="auto"/>
          <w:highlight w:val="none"/>
        </w:rPr>
        <w:fldChar w:fldCharType="end"/>
      </w:r>
    </w:p>
    <w:p>
      <w:pPr>
        <w:adjustRightInd w:val="0"/>
        <w:snapToGrid w:val="0"/>
        <w:spacing w:line="320" w:lineRule="exact"/>
        <w:ind w:firstLine="420" w:firstLineChars="200"/>
        <w:rPr>
          <w:color w:val="auto"/>
          <w:highlight w:val="none"/>
        </w:rPr>
      </w:pPr>
      <w:r>
        <w:rPr>
          <w:rFonts w:hint="eastAsia"/>
          <w:color w:val="auto"/>
          <w:highlight w:val="none"/>
        </w:rPr>
        <w:t>（3）供应商应及时完成CA申领和绑定（见广西壮族自治区政府采购网—办事服务—下载专区-政采云CA证书办理操作指南）。</w:t>
      </w:r>
    </w:p>
    <w:p>
      <w:pPr>
        <w:adjustRightInd w:val="0"/>
        <w:snapToGrid w:val="0"/>
        <w:spacing w:line="320" w:lineRule="exact"/>
        <w:ind w:firstLine="420" w:firstLineChars="200"/>
        <w:rPr>
          <w:color w:val="auto"/>
          <w:highlight w:val="none"/>
        </w:rPr>
      </w:pPr>
      <w:r>
        <w:rPr>
          <w:rFonts w:hint="eastAsia"/>
          <w:color w:val="auto"/>
          <w:highlight w:val="none"/>
        </w:rPr>
        <w:t>（4）供应商通过</w:t>
      </w:r>
      <w:r>
        <w:rPr>
          <w:color w:val="auto"/>
          <w:highlight w:val="none"/>
          <w:lang w:val="en"/>
        </w:rPr>
        <w:t>广西政府采购云</w:t>
      </w:r>
      <w:r>
        <w:rPr>
          <w:rFonts w:hint="eastAsia"/>
          <w:color w:val="auto"/>
          <w:highlight w:val="none"/>
        </w:rPr>
        <w:t>投标客户端软件制作投标文件，</w:t>
      </w:r>
      <w:r>
        <w:rPr>
          <w:color w:val="auto"/>
          <w:highlight w:val="none"/>
          <w:lang w:val="en"/>
        </w:rPr>
        <w:t>广西政府采购云</w:t>
      </w:r>
      <w:r>
        <w:rPr>
          <w:rFonts w:hint="eastAsia"/>
          <w:color w:val="auto"/>
          <w:highlight w:val="none"/>
        </w:rPr>
        <w:t xml:space="preserve">投标客户端软件请供应商自行前往下载并安装（见广西壮族自治区政府采购网—办事服务—下载专区-广西壮族自治区全流程电子招投标项目管理系统--供应商客户端）。 </w:t>
      </w:r>
    </w:p>
    <w:p>
      <w:pPr>
        <w:adjustRightInd w:val="0"/>
        <w:snapToGrid w:val="0"/>
        <w:spacing w:line="320" w:lineRule="exact"/>
        <w:ind w:firstLine="420" w:firstLineChars="200"/>
        <w:rPr>
          <w:color w:val="auto"/>
          <w:highlight w:val="none"/>
        </w:rPr>
      </w:pPr>
      <w:r>
        <w:rPr>
          <w:rFonts w:hint="eastAsia"/>
          <w:color w:val="auto"/>
          <w:highlight w:val="none"/>
        </w:rPr>
        <w:t>（5）因未注册入库、未办理CA数字证书、CA证书故障、操作不当等原因造成无法投标或投标失败等后果由供应商自行承担。</w:t>
      </w:r>
    </w:p>
    <w:p>
      <w:pPr>
        <w:adjustRightInd w:val="0"/>
        <w:snapToGrid w:val="0"/>
        <w:spacing w:line="320" w:lineRule="exact"/>
        <w:ind w:firstLine="420" w:firstLineChars="200"/>
        <w:rPr>
          <w:color w:val="auto"/>
          <w:highlight w:val="none"/>
        </w:rPr>
      </w:pPr>
      <w:r>
        <w:rPr>
          <w:rFonts w:hint="eastAsia"/>
          <w:color w:val="auto"/>
          <w:highlight w:val="none"/>
        </w:rPr>
        <w:t>（6）投标文件网上提交截止后，</w:t>
      </w:r>
      <w:r>
        <w:rPr>
          <w:color w:val="auto"/>
          <w:highlight w:val="none"/>
          <w:lang w:val="en"/>
        </w:rPr>
        <w:t>广西政府采购云</w:t>
      </w:r>
      <w:r>
        <w:rPr>
          <w:rFonts w:hint="eastAsia"/>
          <w:color w:val="auto"/>
          <w:highlight w:val="none"/>
        </w:rPr>
        <w:t>（电子标系统）自动提取所有投标文件，各供应商须在开标开始后30分钟内对上传</w:t>
      </w:r>
      <w:r>
        <w:rPr>
          <w:color w:val="auto"/>
          <w:highlight w:val="none"/>
          <w:lang w:val="en"/>
        </w:rPr>
        <w:t>广西政府采购云</w:t>
      </w:r>
      <w:r>
        <w:rPr>
          <w:rFonts w:hint="eastAsia"/>
          <w:color w:val="auto"/>
          <w:highlight w:val="none"/>
        </w:rPr>
        <w:t>的投标文件进行解密，所有供应商在规定的解密时限内解密完成或解密时限结束后，我中心开启投标文件；供应商超过解密时限的，系统默认自动放弃。</w:t>
      </w:r>
    </w:p>
    <w:p>
      <w:pPr>
        <w:adjustRightInd w:val="0"/>
        <w:snapToGrid w:val="0"/>
        <w:spacing w:line="320" w:lineRule="exact"/>
        <w:ind w:firstLine="421" w:firstLineChars="200"/>
        <w:rPr>
          <w:b/>
          <w:color w:val="auto"/>
          <w:highlight w:val="none"/>
        </w:rPr>
      </w:pPr>
      <w:r>
        <w:rPr>
          <w:b/>
          <w:color w:val="auto"/>
          <w:highlight w:val="none"/>
        </w:rPr>
        <w:t xml:space="preserve">  </w:t>
      </w:r>
    </w:p>
    <w:p>
      <w:pPr>
        <w:adjustRightInd w:val="0"/>
        <w:snapToGrid w:val="0"/>
        <w:spacing w:line="320" w:lineRule="exact"/>
        <w:ind w:firstLine="421" w:firstLineChars="200"/>
        <w:rPr>
          <w:b/>
          <w:color w:val="auto"/>
          <w:highlight w:val="none"/>
        </w:rPr>
      </w:pPr>
      <w:r>
        <w:rPr>
          <w:rFonts w:hint="eastAsia"/>
          <w:b/>
          <w:color w:val="auto"/>
          <w:highlight w:val="none"/>
        </w:rPr>
        <w:t>七、对本次采购提出询问，请按以下方式联系</w:t>
      </w:r>
    </w:p>
    <w:p>
      <w:pPr>
        <w:adjustRightInd w:val="0"/>
        <w:snapToGrid w:val="0"/>
        <w:spacing w:line="320" w:lineRule="exact"/>
        <w:ind w:firstLine="421" w:firstLineChars="200"/>
        <w:rPr>
          <w:color w:val="auto"/>
          <w:highlight w:val="none"/>
        </w:rPr>
      </w:pPr>
      <w:r>
        <w:rPr>
          <w:rFonts w:hint="eastAsia"/>
          <w:b/>
          <w:color w:val="auto"/>
          <w:highlight w:val="none"/>
        </w:rPr>
        <w:t xml:space="preserve"> </w:t>
      </w:r>
      <w:r>
        <w:rPr>
          <w:rFonts w:hint="eastAsia"/>
          <w:color w:val="auto"/>
          <w:highlight w:val="none"/>
        </w:rPr>
        <w:t xml:space="preserve">   1.采购人信息</w:t>
      </w:r>
    </w:p>
    <w:p>
      <w:pPr>
        <w:adjustRightInd w:val="0"/>
        <w:snapToGrid w:val="0"/>
        <w:spacing w:line="320" w:lineRule="exact"/>
        <w:ind w:firstLine="420" w:firstLineChars="200"/>
        <w:rPr>
          <w:color w:val="auto"/>
          <w:highlight w:val="none"/>
        </w:rPr>
      </w:pPr>
      <w:r>
        <w:rPr>
          <w:rFonts w:hint="eastAsia"/>
          <w:color w:val="auto"/>
          <w:highlight w:val="none"/>
        </w:rPr>
        <w:t xml:space="preserve">    名    称：广西壮族自治区医疗保障局</w:t>
      </w:r>
    </w:p>
    <w:p>
      <w:pPr>
        <w:adjustRightInd w:val="0"/>
        <w:snapToGrid w:val="0"/>
        <w:spacing w:line="320" w:lineRule="exact"/>
        <w:ind w:firstLine="420" w:firstLineChars="200"/>
        <w:rPr>
          <w:color w:val="auto"/>
          <w:highlight w:val="none"/>
        </w:rPr>
      </w:pPr>
      <w:r>
        <w:rPr>
          <w:rFonts w:hint="eastAsia"/>
          <w:color w:val="auto"/>
          <w:highlight w:val="none"/>
        </w:rPr>
        <w:t xml:space="preserve">    地    址：广西壮族自治区星湖路26号</w:t>
      </w:r>
    </w:p>
    <w:p>
      <w:pPr>
        <w:adjustRightInd w:val="0"/>
        <w:snapToGrid w:val="0"/>
        <w:spacing w:line="320" w:lineRule="exact"/>
        <w:ind w:firstLine="420" w:firstLineChars="200"/>
        <w:rPr>
          <w:color w:val="auto"/>
          <w:highlight w:val="none"/>
        </w:rPr>
      </w:pPr>
      <w:r>
        <w:rPr>
          <w:rFonts w:hint="eastAsia"/>
          <w:color w:val="auto"/>
          <w:highlight w:val="none"/>
        </w:rPr>
        <w:t xml:space="preserve">    项目联系人：姜世佳</w:t>
      </w:r>
    </w:p>
    <w:p>
      <w:pPr>
        <w:adjustRightInd w:val="0"/>
        <w:snapToGrid w:val="0"/>
        <w:spacing w:line="320" w:lineRule="exact"/>
        <w:ind w:firstLine="420" w:firstLineChars="200"/>
        <w:rPr>
          <w:color w:val="auto"/>
          <w:highlight w:val="none"/>
        </w:rPr>
      </w:pPr>
      <w:r>
        <w:rPr>
          <w:color w:val="auto"/>
          <w:highlight w:val="none"/>
        </w:rPr>
        <w:t xml:space="preserve">    </w:t>
      </w:r>
      <w:r>
        <w:rPr>
          <w:rFonts w:hint="eastAsia"/>
          <w:color w:val="auto"/>
          <w:highlight w:val="none"/>
        </w:rPr>
        <w:t>项目联系方式：0771-</w:t>
      </w:r>
      <w:r>
        <w:rPr>
          <w:color w:val="auto"/>
          <w:highlight w:val="none"/>
        </w:rPr>
        <w:t>5893831</w:t>
      </w:r>
    </w:p>
    <w:p>
      <w:pPr>
        <w:adjustRightInd w:val="0"/>
        <w:snapToGrid w:val="0"/>
        <w:spacing w:line="320" w:lineRule="exact"/>
        <w:ind w:firstLine="420" w:firstLineChars="200"/>
        <w:rPr>
          <w:color w:val="auto"/>
          <w:highlight w:val="none"/>
        </w:rPr>
      </w:pPr>
      <w:r>
        <w:rPr>
          <w:color w:val="auto"/>
          <w:highlight w:val="none"/>
        </w:rPr>
        <w:t xml:space="preserve">    </w:t>
      </w:r>
      <w:r>
        <w:rPr>
          <w:rFonts w:hint="eastAsia"/>
          <w:color w:val="auto"/>
          <w:highlight w:val="none"/>
        </w:rPr>
        <w:t>2.采购代理机构信息</w:t>
      </w:r>
    </w:p>
    <w:p>
      <w:pPr>
        <w:adjustRightInd w:val="0"/>
        <w:snapToGrid w:val="0"/>
        <w:spacing w:line="320" w:lineRule="exact"/>
        <w:ind w:firstLine="420" w:firstLineChars="200"/>
        <w:rPr>
          <w:color w:val="auto"/>
          <w:highlight w:val="none"/>
        </w:rPr>
      </w:pPr>
      <w:r>
        <w:rPr>
          <w:rFonts w:hint="eastAsia"/>
          <w:color w:val="auto"/>
          <w:highlight w:val="none"/>
        </w:rPr>
        <w:t xml:space="preserve">    名    称：广西壮族自治区政府采购中心  </w:t>
      </w:r>
    </w:p>
    <w:p>
      <w:pPr>
        <w:adjustRightInd w:val="0"/>
        <w:snapToGrid w:val="0"/>
        <w:spacing w:line="320" w:lineRule="exact"/>
        <w:ind w:firstLine="420" w:firstLineChars="200"/>
        <w:rPr>
          <w:color w:val="auto"/>
          <w:highlight w:val="none"/>
        </w:rPr>
      </w:pPr>
      <w:r>
        <w:rPr>
          <w:rFonts w:hint="eastAsia"/>
          <w:color w:val="auto"/>
          <w:highlight w:val="none"/>
        </w:rPr>
        <w:t xml:space="preserve">    地    址：广西南宁市星湖路22号  </w:t>
      </w:r>
    </w:p>
    <w:p>
      <w:pPr>
        <w:adjustRightInd w:val="0"/>
        <w:snapToGrid w:val="0"/>
        <w:spacing w:line="320" w:lineRule="exact"/>
        <w:ind w:firstLine="420" w:firstLineChars="200"/>
        <w:rPr>
          <w:color w:val="auto"/>
          <w:highlight w:val="none"/>
        </w:rPr>
      </w:pPr>
      <w:r>
        <w:rPr>
          <w:rFonts w:hint="eastAsia"/>
          <w:color w:val="auto"/>
          <w:highlight w:val="none"/>
        </w:rPr>
        <w:t xml:space="preserve">    项目联系人：张国铨</w:t>
      </w:r>
    </w:p>
    <w:p>
      <w:pPr>
        <w:adjustRightInd w:val="0"/>
        <w:snapToGrid w:val="0"/>
        <w:spacing w:line="320" w:lineRule="exact"/>
        <w:ind w:firstLine="420" w:firstLineChars="200"/>
        <w:rPr>
          <w:rFonts w:hint="eastAsia" w:ascii="宋体" w:hAnsi="宋体" w:cs="宋体"/>
          <w:color w:val="auto"/>
          <w:highlight w:val="none"/>
        </w:rPr>
      </w:pPr>
      <w:r>
        <w:rPr>
          <w:rFonts w:hint="eastAsia"/>
          <w:color w:val="auto"/>
          <w:highlight w:val="none"/>
        </w:rPr>
        <w:t xml:space="preserve">    项目联系方式：071-8600343 </w:t>
      </w:r>
    </w:p>
    <w:p>
      <w:pPr>
        <w:adjustRightInd w:val="0"/>
        <w:snapToGrid w:val="0"/>
        <w:spacing w:line="320" w:lineRule="exact"/>
        <w:ind w:firstLine="630" w:firstLineChars="300"/>
        <w:rPr>
          <w:rFonts w:hint="eastAsia" w:ascii="宋体" w:hAnsi="宋体" w:cs="宋体"/>
          <w:color w:val="auto"/>
          <w:highlight w:val="none"/>
        </w:rPr>
      </w:pPr>
    </w:p>
    <w:bookmarkEnd w:id="0"/>
    <w:bookmarkEnd w:id="1"/>
    <w:p>
      <w:pPr>
        <w:snapToGrid w:val="0"/>
        <w:spacing w:line="320" w:lineRule="exact"/>
        <w:ind w:left="238"/>
        <w:jc w:val="center"/>
        <w:rPr>
          <w:rFonts w:ascii="宋体" w:cs="宋体"/>
          <w:color w:val="auto"/>
          <w:highlight w:val="none"/>
        </w:rPr>
      </w:pPr>
      <w:r>
        <w:rPr>
          <w:rFonts w:hint="eastAsia" w:ascii="宋体" w:hAnsi="宋体" w:cs="宋体"/>
          <w:color w:val="auto"/>
          <w:highlight w:val="none"/>
        </w:rPr>
        <w:t xml:space="preserve">                                广西壮族自治区政府采购中心</w:t>
      </w:r>
    </w:p>
    <w:p>
      <w:pPr>
        <w:snapToGrid w:val="0"/>
        <w:spacing w:line="320" w:lineRule="exact"/>
        <w:ind w:left="238"/>
        <w:jc w:val="center"/>
        <w:rPr>
          <w:rFonts w:ascii="黑体" w:eastAsia="黑体"/>
          <w:color w:val="auto"/>
          <w:sz w:val="32"/>
          <w:szCs w:val="32"/>
          <w:highlight w:val="none"/>
          <w:lang w:val="en"/>
        </w:rPr>
      </w:pPr>
      <w:r>
        <w:rPr>
          <w:rFonts w:hint="eastAsia" w:ascii="宋体" w:hAnsi="宋体" w:cs="宋体"/>
          <w:color w:val="auto"/>
          <w:highlight w:val="none"/>
        </w:rPr>
        <w:t xml:space="preserve">                                 </w:t>
      </w:r>
      <w:r>
        <w:rPr>
          <w:rFonts w:ascii="宋体" w:hAnsi="宋体" w:cs="宋体"/>
          <w:color w:val="auto"/>
          <w:highlight w:val="none"/>
          <w:lang w:val="en"/>
        </w:rPr>
        <w:t>202</w:t>
      </w:r>
      <w:r>
        <w:rPr>
          <w:rFonts w:hint="eastAsia" w:ascii="宋体" w:hAnsi="宋体" w:cs="宋体"/>
          <w:color w:val="auto"/>
          <w:highlight w:val="none"/>
        </w:rPr>
        <w:t>6</w:t>
      </w:r>
      <w:r>
        <w:rPr>
          <w:rFonts w:ascii="宋体" w:hAnsi="宋体" w:cs="宋体"/>
          <w:color w:val="auto"/>
          <w:highlight w:val="none"/>
          <w:lang w:val="en"/>
        </w:rPr>
        <w:t>年</w:t>
      </w:r>
      <w:r>
        <w:rPr>
          <w:rFonts w:hint="eastAsia" w:ascii="宋体" w:hAnsi="宋体" w:cs="宋体"/>
          <w:color w:val="auto"/>
          <w:highlight w:val="none"/>
          <w:lang w:val="en-US" w:eastAsia="zh-CN"/>
        </w:rPr>
        <w:t>9</w:t>
      </w:r>
      <w:r>
        <w:rPr>
          <w:rFonts w:ascii="宋体" w:hAnsi="宋体" w:cs="宋体"/>
          <w:color w:val="auto"/>
          <w:highlight w:val="none"/>
          <w:lang w:val="en"/>
        </w:rPr>
        <w:t>月</w:t>
      </w:r>
      <w:r>
        <w:rPr>
          <w:rFonts w:hint="eastAsia" w:ascii="宋体" w:hAnsi="宋体" w:cs="宋体"/>
          <w:color w:val="auto"/>
          <w:highlight w:val="none"/>
          <w:lang w:val="en-US" w:eastAsia="zh-CN"/>
        </w:rPr>
        <w:t>2</w:t>
      </w:r>
      <w:r>
        <w:rPr>
          <w:rFonts w:ascii="宋体" w:hAnsi="宋体" w:cs="宋体"/>
          <w:color w:val="auto"/>
          <w:highlight w:val="none"/>
          <w:lang w:val="en"/>
        </w:rPr>
        <w:t>日</w:t>
      </w:r>
    </w:p>
    <w:p>
      <w:pPr>
        <w:snapToGrid w:val="0"/>
        <w:spacing w:before="156" w:beforeLines="50" w:after="156" w:afterLines="50" w:line="340" w:lineRule="exact"/>
        <w:ind w:left="238"/>
        <w:jc w:val="center"/>
        <w:rPr>
          <w:rFonts w:ascii="黑体" w:eastAsia="黑体"/>
          <w:color w:val="auto"/>
          <w:sz w:val="32"/>
          <w:szCs w:val="32"/>
          <w:highlight w:val="none"/>
        </w:rPr>
      </w:pPr>
      <w:r>
        <w:rPr>
          <w:rFonts w:hint="eastAsia" w:ascii="黑体" w:eastAsia="黑体"/>
          <w:color w:val="auto"/>
          <w:sz w:val="32"/>
          <w:szCs w:val="32"/>
          <w:highlight w:val="none"/>
        </w:rPr>
        <w:br w:type="page"/>
      </w:r>
    </w:p>
    <w:p>
      <w:pPr>
        <w:snapToGrid w:val="0"/>
        <w:spacing w:before="156" w:beforeLines="50" w:after="156" w:afterLines="50" w:line="360" w:lineRule="exact"/>
        <w:ind w:left="238"/>
        <w:jc w:val="center"/>
        <w:rPr>
          <w:rFonts w:ascii="黑体" w:eastAsia="黑体"/>
          <w:color w:val="auto"/>
          <w:sz w:val="32"/>
          <w:szCs w:val="32"/>
          <w:highlight w:val="none"/>
        </w:rPr>
      </w:pPr>
    </w:p>
    <w:p>
      <w:pPr>
        <w:snapToGrid w:val="0"/>
        <w:spacing w:before="156" w:beforeLines="50" w:after="156" w:afterLines="50" w:line="360" w:lineRule="exact"/>
        <w:ind w:left="238"/>
        <w:jc w:val="center"/>
        <w:rPr>
          <w:rFonts w:ascii="黑体" w:eastAsia="黑体"/>
          <w:color w:val="auto"/>
          <w:sz w:val="32"/>
          <w:szCs w:val="32"/>
          <w:highlight w:val="none"/>
        </w:rPr>
      </w:pPr>
    </w:p>
    <w:p>
      <w:pPr>
        <w:snapToGrid w:val="0"/>
        <w:spacing w:before="156" w:beforeLines="50" w:after="156" w:afterLines="50" w:line="360" w:lineRule="exact"/>
        <w:ind w:left="238"/>
        <w:jc w:val="center"/>
        <w:rPr>
          <w:rFonts w:ascii="黑体" w:eastAsia="黑体"/>
          <w:color w:val="auto"/>
          <w:sz w:val="32"/>
          <w:szCs w:val="32"/>
          <w:highlight w:val="none"/>
        </w:rPr>
      </w:pPr>
    </w:p>
    <w:p>
      <w:pPr>
        <w:snapToGrid w:val="0"/>
        <w:spacing w:before="156" w:beforeLines="50" w:after="156" w:afterLines="50" w:line="360" w:lineRule="exact"/>
        <w:ind w:left="238"/>
        <w:jc w:val="center"/>
        <w:rPr>
          <w:rFonts w:ascii="黑体" w:eastAsia="黑体"/>
          <w:color w:val="auto"/>
          <w:sz w:val="32"/>
          <w:szCs w:val="32"/>
          <w:highlight w:val="none"/>
        </w:rPr>
      </w:pPr>
    </w:p>
    <w:p>
      <w:pPr>
        <w:snapToGrid w:val="0"/>
        <w:spacing w:before="156" w:beforeLines="50" w:after="156" w:afterLines="50" w:line="360" w:lineRule="exact"/>
        <w:ind w:left="238"/>
        <w:jc w:val="center"/>
        <w:rPr>
          <w:rFonts w:ascii="黑体" w:eastAsia="黑体"/>
          <w:color w:val="auto"/>
          <w:sz w:val="32"/>
          <w:szCs w:val="32"/>
          <w:highlight w:val="none"/>
        </w:rPr>
      </w:pPr>
    </w:p>
    <w:p>
      <w:pPr>
        <w:snapToGrid w:val="0"/>
        <w:spacing w:before="156" w:beforeLines="50" w:after="156" w:afterLines="50" w:line="360" w:lineRule="exact"/>
        <w:ind w:left="238"/>
        <w:jc w:val="center"/>
        <w:rPr>
          <w:rFonts w:ascii="黑体" w:eastAsia="黑体"/>
          <w:color w:val="auto"/>
          <w:sz w:val="32"/>
          <w:szCs w:val="32"/>
          <w:highlight w:val="none"/>
        </w:rPr>
      </w:pPr>
    </w:p>
    <w:p>
      <w:pPr>
        <w:snapToGrid w:val="0"/>
        <w:spacing w:before="156" w:beforeLines="50" w:after="156" w:afterLines="50" w:line="360" w:lineRule="exact"/>
        <w:ind w:left="238"/>
        <w:jc w:val="center"/>
        <w:rPr>
          <w:rFonts w:ascii="黑体" w:eastAsia="黑体"/>
          <w:color w:val="auto"/>
          <w:sz w:val="32"/>
          <w:szCs w:val="32"/>
          <w:highlight w:val="none"/>
        </w:rPr>
      </w:pPr>
    </w:p>
    <w:p>
      <w:pPr>
        <w:pStyle w:val="5"/>
        <w:rPr>
          <w:color w:val="auto"/>
          <w:highlight w:val="none"/>
        </w:rPr>
      </w:pPr>
    </w:p>
    <w:p>
      <w:pPr>
        <w:snapToGrid w:val="0"/>
        <w:spacing w:before="156" w:beforeLines="50" w:after="156" w:afterLines="50" w:line="360" w:lineRule="exact"/>
        <w:ind w:left="238"/>
        <w:jc w:val="center"/>
        <w:rPr>
          <w:rFonts w:ascii="黑体" w:eastAsia="黑体"/>
          <w:color w:val="auto"/>
          <w:sz w:val="32"/>
          <w:szCs w:val="32"/>
          <w:highlight w:val="none"/>
        </w:rPr>
      </w:pPr>
    </w:p>
    <w:p>
      <w:pPr>
        <w:snapToGrid w:val="0"/>
        <w:spacing w:before="156" w:beforeLines="50" w:after="156" w:afterLines="50"/>
        <w:ind w:left="238"/>
        <w:jc w:val="center"/>
        <w:rPr>
          <w:rFonts w:ascii="黑体" w:eastAsia="黑体"/>
          <w:color w:val="auto"/>
          <w:sz w:val="36"/>
          <w:szCs w:val="36"/>
          <w:highlight w:val="none"/>
        </w:rPr>
      </w:pPr>
    </w:p>
    <w:p>
      <w:pPr>
        <w:snapToGrid w:val="0"/>
        <w:spacing w:before="156" w:beforeLines="50" w:after="156" w:afterLines="50"/>
        <w:ind w:left="238"/>
        <w:jc w:val="center"/>
        <w:rPr>
          <w:rFonts w:ascii="黑体" w:eastAsia="黑体"/>
          <w:color w:val="auto"/>
          <w:sz w:val="36"/>
          <w:szCs w:val="36"/>
          <w:highlight w:val="none"/>
        </w:rPr>
      </w:pPr>
      <w:r>
        <w:rPr>
          <w:rFonts w:hint="eastAsia" w:ascii="仿宋_GB2312" w:eastAsia="仿宋_GB2312"/>
          <w:b/>
          <w:color w:val="auto"/>
          <w:sz w:val="36"/>
          <w:szCs w:val="36"/>
          <w:highlight w:val="none"/>
        </w:rPr>
        <w:t xml:space="preserve">第二章  </w:t>
      </w:r>
      <w:r>
        <w:rPr>
          <w:rFonts w:hint="eastAsia" w:ascii="仿宋_GB2312" w:eastAsia="仿宋_GB2312"/>
          <w:b/>
          <w:bCs/>
          <w:color w:val="auto"/>
          <w:sz w:val="36"/>
          <w:szCs w:val="36"/>
          <w:highlight w:val="none"/>
        </w:rPr>
        <w:t>招</w:t>
      </w:r>
      <w:r>
        <w:rPr>
          <w:rFonts w:hint="eastAsia" w:ascii="仿宋_GB2312" w:eastAsia="仿宋_GB2312"/>
          <w:b/>
          <w:color w:val="auto"/>
          <w:sz w:val="36"/>
          <w:szCs w:val="36"/>
          <w:highlight w:val="none"/>
        </w:rPr>
        <w:t>标项目采购需求</w:t>
      </w:r>
    </w:p>
    <w:p>
      <w:pPr>
        <w:jc w:val="center"/>
        <w:rPr>
          <w:rFonts w:hint="eastAsia" w:ascii="宋体" w:hAnsi="宋体"/>
          <w:b/>
          <w:dstrike/>
          <w:color w:val="auto"/>
          <w:sz w:val="36"/>
          <w:szCs w:val="36"/>
          <w:highlight w:val="none"/>
        </w:rPr>
      </w:pPr>
      <w:r>
        <w:rPr>
          <w:color w:val="auto"/>
          <w:highlight w:val="none"/>
        </w:rPr>
        <w:br w:type="page"/>
      </w:r>
    </w:p>
    <w:p>
      <w:pPr>
        <w:spacing w:line="360" w:lineRule="exact"/>
        <w:ind w:left="9" w:leftChars="1" w:hanging="7" w:hangingChars="2"/>
        <w:jc w:val="center"/>
        <w:rPr>
          <w:rFonts w:hint="eastAsia" w:ascii="宋体" w:hAnsi="宋体"/>
          <w:b/>
          <w:dstrike/>
          <w:color w:val="auto"/>
          <w:sz w:val="36"/>
          <w:szCs w:val="36"/>
          <w:highlight w:val="none"/>
        </w:rPr>
      </w:pPr>
      <w:r>
        <w:rPr>
          <w:rFonts w:hint="eastAsia" w:ascii="仿宋_GB2312" w:hAnsi="宋体" w:eastAsia="仿宋_GB2312"/>
          <w:b/>
          <w:bCs/>
          <w:color w:val="auto"/>
          <w:sz w:val="36"/>
          <w:szCs w:val="36"/>
          <w:highlight w:val="none"/>
        </w:rPr>
        <w:t>招</w:t>
      </w:r>
      <w:r>
        <w:rPr>
          <w:rFonts w:hint="eastAsia" w:ascii="仿宋_GB2312" w:hAnsi="宋体" w:eastAsia="仿宋_GB2312"/>
          <w:b/>
          <w:color w:val="auto"/>
          <w:sz w:val="36"/>
          <w:szCs w:val="36"/>
          <w:highlight w:val="none"/>
        </w:rPr>
        <w:t>标项目采购需求</w:t>
      </w:r>
    </w:p>
    <w:p>
      <w:pPr>
        <w:spacing w:line="360" w:lineRule="exact"/>
        <w:ind w:left="6" w:firstLine="431"/>
        <w:rPr>
          <w:rFonts w:hint="eastAsia" w:ascii="宋体" w:hAnsi="宋体"/>
          <w:b/>
          <w:bCs/>
          <w:color w:val="auto"/>
          <w:szCs w:val="21"/>
          <w:highlight w:val="none"/>
        </w:rPr>
      </w:pPr>
    </w:p>
    <w:p>
      <w:pPr>
        <w:spacing w:line="360" w:lineRule="exact"/>
        <w:ind w:left="6" w:firstLine="431"/>
        <w:rPr>
          <w:rFonts w:hint="eastAsia" w:ascii="宋体" w:hAnsi="宋体"/>
          <w:b/>
          <w:bCs/>
          <w:color w:val="auto"/>
          <w:szCs w:val="21"/>
          <w:highlight w:val="none"/>
        </w:rPr>
      </w:pPr>
      <w:r>
        <w:rPr>
          <w:rFonts w:hint="eastAsia" w:ascii="宋体" w:hAnsi="宋体"/>
          <w:b/>
          <w:bCs/>
          <w:color w:val="auto"/>
          <w:szCs w:val="21"/>
          <w:highlight w:val="none"/>
        </w:rPr>
        <w:t>1、本需求的货物品牌型号、技术参数及其性能（配置）仅起参考作用，投标人可选用其他品牌型号替代，但这些替代的产品要实质上相当于或优于参考品牌型号及其技术参数性能（配置）要求。</w:t>
      </w:r>
    </w:p>
    <w:p>
      <w:pPr>
        <w:spacing w:line="360" w:lineRule="exact"/>
        <w:ind w:left="6" w:firstLine="431"/>
        <w:rPr>
          <w:rFonts w:hint="eastAsia" w:ascii="宋体" w:hAnsi="宋体"/>
          <w:b/>
          <w:bCs/>
          <w:color w:val="auto"/>
          <w:szCs w:val="21"/>
          <w:highlight w:val="none"/>
        </w:rPr>
      </w:pPr>
      <w:r>
        <w:rPr>
          <w:rFonts w:hint="eastAsia" w:ascii="宋体" w:hAnsi="宋体"/>
          <w:b/>
          <w:bCs/>
          <w:color w:val="auto"/>
          <w:szCs w:val="21"/>
          <w:highlight w:val="none"/>
        </w:rPr>
        <w:t>2、本需求中参考品牌型号规格及技术参数不明确或有误的，或投标人选用其他品牌型号替代的，请以详细、正确的品牌型号、技术参数（配置）同时填写投标报价明细表和商务、技术响应偏离表。技术响应偏离表须按技术参数及配置要求一一对应响应。</w:t>
      </w:r>
    </w:p>
    <w:p>
      <w:pPr>
        <w:spacing w:line="360" w:lineRule="exact"/>
        <w:ind w:left="6" w:firstLine="431"/>
        <w:rPr>
          <w:rFonts w:hint="eastAsia" w:ascii="宋体" w:hAnsi="宋体"/>
          <w:b/>
          <w:bCs/>
          <w:color w:val="auto"/>
          <w:szCs w:val="21"/>
          <w:highlight w:val="none"/>
        </w:rPr>
      </w:pPr>
      <w:r>
        <w:rPr>
          <w:rFonts w:hint="eastAsia" w:ascii="宋体" w:hAnsi="宋体"/>
          <w:b/>
          <w:bCs/>
          <w:color w:val="auto"/>
          <w:szCs w:val="21"/>
          <w:highlight w:val="none"/>
        </w:rPr>
        <w:t>3、凡在“技术参数及性能（配置）要求”中表述为“标配”或“标准配置”的设备，投标人应在投标报价明细表中将其标配参数详细列明。</w:t>
      </w:r>
    </w:p>
    <w:p>
      <w:pPr>
        <w:snapToGrid w:val="0"/>
        <w:spacing w:line="400" w:lineRule="exact"/>
        <w:ind w:firstLine="421" w:firstLineChars="200"/>
        <w:rPr>
          <w:rFonts w:hint="eastAsia" w:ascii="宋体" w:hAnsi="宋体"/>
          <w:b/>
          <w:bCs/>
          <w:color w:val="auto"/>
          <w:szCs w:val="21"/>
          <w:highlight w:val="none"/>
        </w:rPr>
      </w:pPr>
      <w:r>
        <w:rPr>
          <w:rFonts w:hint="eastAsia" w:ascii="宋体" w:hAnsi="宋体"/>
          <w:b/>
          <w:bCs/>
          <w:color w:val="auto"/>
          <w:szCs w:val="21"/>
          <w:highlight w:val="none"/>
        </w:rPr>
        <w:t>4、招标文件中带“▲”的条款为本次采购的实质性(关键性)的商务、技术或服务要求，投标人须满足或优于，否则，将会被认定为无效投标。</w:t>
      </w:r>
      <w:r>
        <w:rPr>
          <w:rFonts w:hint="eastAsia" w:ascii="宋体" w:hAnsi="宋体" w:cs="宋体"/>
          <w:b/>
          <w:bCs/>
          <w:color w:val="auto"/>
          <w:szCs w:val="21"/>
          <w:highlight w:val="none"/>
        </w:rPr>
        <w:t>标明“</w:t>
      </w:r>
      <w:r>
        <w:rPr>
          <w:rFonts w:hint="eastAsia" w:ascii="宋体" w:hAnsi="宋体" w:cs="宋体"/>
          <w:bCs/>
          <w:color w:val="auto"/>
          <w:szCs w:val="21"/>
          <w:highlight w:val="none"/>
        </w:rPr>
        <w:t>■</w:t>
      </w:r>
      <w:r>
        <w:rPr>
          <w:rFonts w:hint="eastAsia" w:ascii="宋体" w:hAnsi="宋体" w:cs="宋体"/>
          <w:b/>
          <w:bCs/>
          <w:color w:val="auto"/>
          <w:szCs w:val="21"/>
          <w:highlight w:val="none"/>
        </w:rPr>
        <w:t>”号的作为评分项的重要技术参数，其余参数仅为参考要求，不作为判定投标无效的依据。</w:t>
      </w:r>
    </w:p>
    <w:p>
      <w:pPr>
        <w:snapToGrid w:val="0"/>
        <w:spacing w:line="400" w:lineRule="exact"/>
        <w:ind w:firstLine="421" w:firstLineChars="200"/>
        <w:rPr>
          <w:rFonts w:hint="eastAsia" w:ascii="宋体" w:hAnsi="宋体"/>
          <w:b/>
          <w:bCs/>
          <w:color w:val="auto"/>
          <w:szCs w:val="21"/>
          <w:highlight w:val="none"/>
        </w:rPr>
      </w:pPr>
      <w:r>
        <w:rPr>
          <w:rFonts w:hint="eastAsia" w:ascii="宋体" w:hAnsi="宋体"/>
          <w:b/>
          <w:bCs/>
          <w:color w:val="auto"/>
          <w:szCs w:val="21"/>
          <w:highlight w:val="none"/>
        </w:rPr>
        <w:t>5、本项目主要标的所属行业均为：   （二）采购要求”中</w:t>
      </w:r>
      <w:r>
        <w:rPr>
          <w:rFonts w:hint="eastAsia" w:ascii="宋体" w:hAnsi="宋体"/>
          <w:b/>
          <w:bCs/>
          <w:color w:val="auto"/>
          <w:szCs w:val="21"/>
          <w:highlight w:val="none"/>
          <w:u w:val="single"/>
        </w:rPr>
        <w:t>“2、硬件设备”</w:t>
      </w:r>
      <w:r>
        <w:rPr>
          <w:rFonts w:hint="eastAsia" w:ascii="宋体" w:hAnsi="宋体"/>
          <w:b/>
          <w:bCs/>
          <w:color w:val="auto"/>
          <w:szCs w:val="21"/>
          <w:highlight w:val="none"/>
        </w:rPr>
        <w:t>所属行业为：</w:t>
      </w:r>
      <w:r>
        <w:rPr>
          <w:rFonts w:hint="eastAsia" w:ascii="宋体" w:hAnsi="宋体"/>
          <w:b/>
          <w:bCs/>
          <w:color w:val="auto"/>
          <w:szCs w:val="21"/>
          <w:highlight w:val="none"/>
          <w:u w:val="single"/>
        </w:rPr>
        <w:t>工业</w:t>
      </w:r>
      <w:r>
        <w:rPr>
          <w:rFonts w:hint="eastAsia" w:ascii="宋体" w:hAnsi="宋体"/>
          <w:b/>
          <w:bCs/>
          <w:color w:val="auto"/>
          <w:szCs w:val="21"/>
          <w:highlight w:val="none"/>
        </w:rPr>
        <w:t>；</w:t>
      </w:r>
      <w:r>
        <w:rPr>
          <w:rFonts w:hint="eastAsia" w:ascii="宋体" w:hAnsi="宋体"/>
          <w:b/>
          <w:bCs/>
          <w:color w:val="auto"/>
          <w:szCs w:val="21"/>
          <w:highlight w:val="none"/>
          <w:u w:val="single"/>
        </w:rPr>
        <w:t>“3、软件产品”、“4、定制开发软件”和“5、数据中心机柜租赁需求”</w:t>
      </w:r>
      <w:r>
        <w:rPr>
          <w:rFonts w:hint="eastAsia" w:ascii="宋体" w:hAnsi="宋体"/>
          <w:b/>
          <w:bCs/>
          <w:color w:val="auto"/>
          <w:szCs w:val="21"/>
          <w:highlight w:val="none"/>
        </w:rPr>
        <w:t>所属行业均为:</w:t>
      </w:r>
      <w:r>
        <w:rPr>
          <w:rFonts w:hint="eastAsia" w:ascii="宋体" w:hAnsi="宋体"/>
          <w:b/>
          <w:bCs/>
          <w:color w:val="auto"/>
          <w:szCs w:val="21"/>
          <w:highlight w:val="none"/>
          <w:u w:val="single"/>
        </w:rPr>
        <w:t xml:space="preserve">软件和信息技术服务业 </w:t>
      </w:r>
      <w:r>
        <w:rPr>
          <w:rFonts w:hint="eastAsia" w:ascii="宋体" w:hAnsi="宋体"/>
          <w:b/>
          <w:bCs/>
          <w:color w:val="auto"/>
          <w:szCs w:val="21"/>
          <w:highlight w:val="none"/>
        </w:rPr>
        <w:t>；划分依据：《关于印发中小企业划型标准规定的通知》（工信部联企业[2011]300号）。提供设备的厂家及提供服务的服务商均为小微企业方可享受价格优惠政策。</w:t>
      </w:r>
    </w:p>
    <w:p>
      <w:pPr>
        <w:snapToGrid w:val="0"/>
        <w:spacing w:line="400" w:lineRule="exact"/>
        <w:ind w:firstLine="421" w:firstLineChars="200"/>
        <w:rPr>
          <w:rFonts w:hint="eastAsia" w:hAnsi="宋体" w:cs="Arial"/>
          <w:b/>
          <w:bCs/>
          <w:color w:val="auto"/>
          <w:szCs w:val="21"/>
          <w:highlight w:val="none"/>
        </w:rPr>
      </w:pPr>
      <w:r>
        <w:rPr>
          <w:rFonts w:hint="eastAsia" w:ascii="宋体" w:hAnsi="宋体"/>
          <w:b/>
          <w:bCs/>
          <w:color w:val="auto"/>
          <w:kern w:val="0"/>
          <w:szCs w:val="21"/>
          <w:highlight w:val="none"/>
        </w:rPr>
        <w:t>6、本项目采购预算：</w:t>
      </w:r>
      <w:r>
        <w:rPr>
          <w:rFonts w:hint="eastAsia"/>
          <w:color w:val="auto"/>
          <w:highlight w:val="none"/>
          <w:u w:val="single"/>
        </w:rPr>
        <w:t>64850790</w:t>
      </w:r>
      <w:r>
        <w:rPr>
          <w:rFonts w:hint="eastAsia" w:ascii="宋体" w:hAnsi="宋体"/>
          <w:b/>
          <w:bCs/>
          <w:color w:val="auto"/>
          <w:kern w:val="0"/>
          <w:szCs w:val="21"/>
          <w:highlight w:val="none"/>
          <w:u w:val="single"/>
        </w:rPr>
        <w:t>.00</w:t>
      </w:r>
      <w:r>
        <w:rPr>
          <w:rFonts w:hint="eastAsia" w:ascii="宋体" w:hAnsi="宋体"/>
          <w:b/>
          <w:bCs/>
          <w:color w:val="auto"/>
          <w:kern w:val="0"/>
          <w:szCs w:val="21"/>
          <w:highlight w:val="none"/>
        </w:rPr>
        <w:t>元。本项目</w:t>
      </w:r>
      <w:r>
        <w:rPr>
          <w:rFonts w:hint="eastAsia"/>
          <w:color w:val="auto"/>
          <w:highlight w:val="none"/>
        </w:rPr>
        <w:t>最高限价金额</w:t>
      </w:r>
      <w:r>
        <w:rPr>
          <w:rFonts w:hint="eastAsia"/>
          <w:color w:val="auto"/>
          <w:highlight w:val="none"/>
          <w:lang w:eastAsia="zh-CN"/>
        </w:rPr>
        <w:t>：</w:t>
      </w:r>
      <w:r>
        <w:rPr>
          <w:b/>
          <w:bCs/>
          <w:color w:val="auto"/>
          <w:highlight w:val="none"/>
          <w:u w:val="single"/>
        </w:rPr>
        <w:t>64850790.00</w:t>
      </w:r>
      <w:r>
        <w:rPr>
          <w:rFonts w:hint="eastAsia"/>
          <w:b/>
          <w:bCs/>
          <w:color w:val="auto"/>
          <w:highlight w:val="none"/>
          <w:u w:val="single"/>
        </w:rPr>
        <w:t xml:space="preserve"> </w:t>
      </w:r>
      <w:r>
        <w:rPr>
          <w:rFonts w:hint="eastAsia"/>
          <w:b/>
          <w:bCs/>
          <w:color w:val="auto"/>
          <w:highlight w:val="none"/>
        </w:rPr>
        <w:t>元</w:t>
      </w:r>
      <w:r>
        <w:rPr>
          <w:rFonts w:hint="eastAsia"/>
          <w:color w:val="auto"/>
          <w:highlight w:val="none"/>
        </w:rPr>
        <w:t>。其中，硬件设备与软件产品最高限价（含运维、集成服务）</w:t>
      </w:r>
      <w:r>
        <w:rPr>
          <w:rFonts w:hint="eastAsia"/>
          <w:color w:val="auto"/>
          <w:highlight w:val="none"/>
          <w:lang w:val="en" w:eastAsia="zh-CN"/>
        </w:rPr>
        <w:t>：</w:t>
      </w:r>
      <w:r>
        <w:rPr>
          <w:b/>
          <w:bCs/>
          <w:color w:val="auto"/>
          <w:highlight w:val="none"/>
          <w:u w:val="single"/>
        </w:rPr>
        <w:t>61847360.00</w:t>
      </w:r>
      <w:r>
        <w:rPr>
          <w:rFonts w:hint="eastAsia"/>
          <w:b/>
          <w:bCs/>
          <w:color w:val="auto"/>
          <w:highlight w:val="none"/>
        </w:rPr>
        <w:t>元</w:t>
      </w:r>
      <w:r>
        <w:rPr>
          <w:rFonts w:hint="eastAsia"/>
          <w:color w:val="auto"/>
          <w:highlight w:val="none"/>
        </w:rPr>
        <w:t>；定制开发软件最高限价：</w:t>
      </w:r>
      <w:r>
        <w:rPr>
          <w:b/>
          <w:bCs/>
          <w:color w:val="auto"/>
          <w:highlight w:val="none"/>
          <w:u w:val="single"/>
        </w:rPr>
        <w:t>1403430.00</w:t>
      </w:r>
      <w:r>
        <w:rPr>
          <w:rFonts w:hint="eastAsia"/>
          <w:b/>
          <w:bCs/>
          <w:color w:val="auto"/>
          <w:highlight w:val="none"/>
        </w:rPr>
        <w:t>元</w:t>
      </w:r>
      <w:r>
        <w:rPr>
          <w:rFonts w:hint="eastAsia"/>
          <w:color w:val="auto"/>
          <w:highlight w:val="none"/>
        </w:rPr>
        <w:t>；数据中心机柜租赁最高限价</w:t>
      </w:r>
      <w:r>
        <w:rPr>
          <w:rFonts w:hint="eastAsia"/>
          <w:color w:val="auto"/>
          <w:highlight w:val="none"/>
          <w:lang w:eastAsia="zh-CN"/>
        </w:rPr>
        <w:t>：</w:t>
      </w:r>
      <w:r>
        <w:rPr>
          <w:rFonts w:hint="eastAsia"/>
          <w:b/>
          <w:bCs/>
          <w:color w:val="auto"/>
          <w:highlight w:val="none"/>
          <w:u w:val="single"/>
        </w:rPr>
        <w:t>1600000.00</w:t>
      </w:r>
      <w:r>
        <w:rPr>
          <w:rFonts w:hint="eastAsia"/>
          <w:color w:val="auto"/>
          <w:highlight w:val="none"/>
        </w:rPr>
        <w:t>元。</w:t>
      </w:r>
      <w:r>
        <w:rPr>
          <w:rFonts w:hint="eastAsia"/>
          <w:b/>
          <w:bCs/>
          <w:color w:val="auto"/>
          <w:highlight w:val="none"/>
        </w:rPr>
        <w:t>投标人报价超过最高（各项）限价的，作投标无效处理。</w:t>
      </w:r>
    </w:p>
    <w:p>
      <w:pPr>
        <w:spacing w:line="360" w:lineRule="exact"/>
        <w:ind w:left="6" w:firstLine="431"/>
        <w:rPr>
          <w:rFonts w:hint="eastAsia" w:ascii="宋体" w:hAnsi="宋体"/>
          <w:b/>
          <w:bCs/>
          <w:color w:val="auto"/>
          <w:szCs w:val="21"/>
          <w:highlight w:val="none"/>
        </w:rPr>
      </w:pPr>
    </w:p>
    <w:tbl>
      <w:tblPr>
        <w:tblStyle w:val="52"/>
        <w:tblW w:w="9900" w:type="dxa"/>
        <w:tblInd w:w="-17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10"/>
        <w:gridCol w:w="1136"/>
        <w:gridCol w:w="623"/>
        <w:gridCol w:w="554"/>
        <w:gridCol w:w="6877"/>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37" w:hRule="atLeast"/>
        </w:trPr>
        <w:tc>
          <w:tcPr>
            <w:tcW w:w="71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b/>
                <w:bCs/>
                <w:color w:val="auto"/>
                <w:szCs w:val="21"/>
                <w:highlight w:val="none"/>
              </w:rPr>
            </w:pPr>
            <w:r>
              <w:rPr>
                <w:rFonts w:hint="eastAsia" w:ascii="宋体" w:hAnsi="宋体"/>
                <w:b/>
                <w:bCs/>
                <w:color w:val="auto"/>
                <w:szCs w:val="21"/>
                <w:highlight w:val="none"/>
              </w:rPr>
              <w:t>项号</w:t>
            </w:r>
          </w:p>
        </w:tc>
        <w:tc>
          <w:tcPr>
            <w:tcW w:w="1136"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b/>
                <w:bCs/>
                <w:color w:val="auto"/>
                <w:szCs w:val="21"/>
                <w:highlight w:val="none"/>
              </w:rPr>
            </w:pPr>
            <w:r>
              <w:rPr>
                <w:rFonts w:hint="eastAsia" w:ascii="宋体" w:hAnsi="宋体"/>
                <w:b/>
                <w:bCs/>
                <w:color w:val="auto"/>
                <w:szCs w:val="21"/>
                <w:highlight w:val="none"/>
              </w:rPr>
              <w:t>货物名称</w:t>
            </w:r>
          </w:p>
        </w:tc>
        <w:tc>
          <w:tcPr>
            <w:tcW w:w="623"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b/>
                <w:bCs/>
                <w:color w:val="auto"/>
                <w:szCs w:val="21"/>
                <w:highlight w:val="none"/>
              </w:rPr>
            </w:pPr>
            <w:r>
              <w:rPr>
                <w:rFonts w:hint="eastAsia" w:ascii="宋体" w:hAnsi="宋体"/>
                <w:b/>
                <w:bCs/>
                <w:color w:val="auto"/>
                <w:szCs w:val="21"/>
                <w:highlight w:val="none"/>
              </w:rPr>
              <w:t>数 量</w:t>
            </w:r>
          </w:p>
        </w:tc>
        <w:tc>
          <w:tcPr>
            <w:tcW w:w="55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b/>
                <w:bCs/>
                <w:color w:val="auto"/>
                <w:szCs w:val="21"/>
                <w:highlight w:val="none"/>
              </w:rPr>
            </w:pPr>
            <w:r>
              <w:rPr>
                <w:rFonts w:hint="eastAsia" w:ascii="宋体" w:hAnsi="宋体"/>
                <w:b/>
                <w:bCs/>
                <w:color w:val="auto"/>
                <w:szCs w:val="21"/>
                <w:highlight w:val="none"/>
              </w:rPr>
              <w:t>单位</w:t>
            </w:r>
          </w:p>
        </w:tc>
        <w:tc>
          <w:tcPr>
            <w:tcW w:w="6877"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b/>
                <w:bCs/>
                <w:color w:val="auto"/>
                <w:szCs w:val="21"/>
                <w:highlight w:val="none"/>
              </w:rPr>
            </w:pPr>
            <w:r>
              <w:rPr>
                <w:rFonts w:hint="eastAsia" w:ascii="宋体" w:hAnsi="宋体"/>
                <w:b/>
                <w:bCs/>
                <w:color w:val="auto"/>
                <w:szCs w:val="21"/>
                <w:highlight w:val="none"/>
              </w:rPr>
              <w:t>技术参数及性能（配置）要求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37" w:hRule="atLeast"/>
        </w:trPr>
        <w:tc>
          <w:tcPr>
            <w:tcW w:w="71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1136" w:type="dxa"/>
            <w:tcBorders>
              <w:top w:val="single" w:color="auto" w:sz="4" w:space="0"/>
              <w:left w:val="single" w:color="auto" w:sz="4" w:space="0"/>
              <w:bottom w:val="single" w:color="auto" w:sz="4" w:space="0"/>
              <w:right w:val="single" w:color="auto" w:sz="4" w:space="0"/>
            </w:tcBorders>
            <w:vAlign w:val="center"/>
          </w:tcPr>
          <w:p>
            <w:pPr>
              <w:widowControl/>
              <w:textAlignment w:val="center"/>
              <w:rPr>
                <w:color w:val="auto"/>
                <w:highlight w:val="none"/>
              </w:rPr>
            </w:pPr>
            <w:r>
              <w:rPr>
                <w:rFonts w:hint="eastAsia" w:ascii="宋体" w:hAnsi="宋体"/>
                <w:b/>
                <w:bCs/>
                <w:color w:val="auto"/>
                <w:szCs w:val="21"/>
                <w:highlight w:val="none"/>
              </w:rPr>
              <w:t>广西壮族自治区医疗保障信息平台扩容建设（平台建设部分）</w:t>
            </w:r>
          </w:p>
        </w:tc>
        <w:tc>
          <w:tcPr>
            <w:tcW w:w="623" w:type="dxa"/>
            <w:tcBorders>
              <w:top w:val="single" w:color="auto" w:sz="4" w:space="0"/>
              <w:left w:val="single" w:color="auto" w:sz="4" w:space="0"/>
              <w:bottom w:val="single" w:color="auto" w:sz="4" w:space="0"/>
              <w:right w:val="single" w:color="auto" w:sz="4" w:space="0"/>
            </w:tcBorders>
            <w:vAlign w:val="center"/>
          </w:tcPr>
          <w:p>
            <w:pPr>
              <w:spacing w:line="360" w:lineRule="exact"/>
              <w:jc w:val="center"/>
              <w:rPr>
                <w:color w:val="auto"/>
                <w:highlight w:val="none"/>
              </w:rPr>
            </w:pPr>
            <w:r>
              <w:rPr>
                <w:color w:val="auto"/>
                <w:szCs w:val="21"/>
                <w:highlight w:val="none"/>
              </w:rPr>
              <w:t>1</w:t>
            </w:r>
          </w:p>
        </w:tc>
        <w:tc>
          <w:tcPr>
            <w:tcW w:w="554" w:type="dxa"/>
            <w:tcBorders>
              <w:top w:val="single" w:color="auto" w:sz="4" w:space="0"/>
              <w:left w:val="single" w:color="auto" w:sz="4" w:space="0"/>
              <w:bottom w:val="single" w:color="auto" w:sz="4" w:space="0"/>
              <w:right w:val="single" w:color="auto" w:sz="4" w:space="0"/>
            </w:tcBorders>
            <w:vAlign w:val="center"/>
          </w:tcPr>
          <w:p>
            <w:pPr>
              <w:spacing w:line="360" w:lineRule="exact"/>
              <w:jc w:val="center"/>
              <w:rPr>
                <w:color w:val="auto"/>
                <w:highlight w:val="none"/>
              </w:rPr>
            </w:pPr>
            <w:r>
              <w:rPr>
                <w:color w:val="auto"/>
                <w:szCs w:val="21"/>
                <w:highlight w:val="none"/>
              </w:rPr>
              <w:t>项</w:t>
            </w:r>
          </w:p>
        </w:tc>
        <w:tc>
          <w:tcPr>
            <w:tcW w:w="6877" w:type="dxa"/>
            <w:tcBorders>
              <w:top w:val="single" w:color="auto" w:sz="4" w:space="0"/>
              <w:left w:val="single" w:color="auto" w:sz="4" w:space="0"/>
              <w:bottom w:val="single" w:color="auto" w:sz="4" w:space="0"/>
              <w:right w:val="single" w:color="auto" w:sz="4" w:space="0"/>
            </w:tcBorders>
            <w:vAlign w:val="center"/>
          </w:tcPr>
          <w:p>
            <w:pPr>
              <w:spacing w:line="360" w:lineRule="exact"/>
              <w:jc w:val="left"/>
              <w:rPr>
                <w:color w:val="auto"/>
                <w:highlight w:val="none"/>
              </w:rPr>
            </w:pPr>
            <w:r>
              <w:rPr>
                <w:rFonts w:hint="eastAsia"/>
                <w:color w:val="auto"/>
                <w:highlight w:val="none"/>
              </w:rPr>
              <w:t xml:space="preserve">    依据《国家医疗保障局关于进一步深化推进医保信息化标准化工作的通知》（医保发〔2022〕8号）、《医保数据“两结合三赋能”工作方案》（医保办发 〔2023〕18号）等文件要求，投标人</w:t>
            </w:r>
            <w:r>
              <w:rPr>
                <w:rFonts w:hint="eastAsia"/>
                <w:b/>
                <w:bCs/>
                <w:color w:val="auto"/>
                <w:highlight w:val="none"/>
              </w:rPr>
              <w:t>基于招标方的软硬件采购需求及机房等设施系统需求</w:t>
            </w:r>
            <w:r>
              <w:rPr>
                <w:rFonts w:hint="eastAsia"/>
                <w:color w:val="auto"/>
                <w:highlight w:val="none"/>
              </w:rPr>
              <w:t>提供</w:t>
            </w:r>
            <w:r>
              <w:rPr>
                <w:rFonts w:hint="eastAsia"/>
                <w:b/>
                <w:bCs/>
                <w:color w:val="auto"/>
                <w:highlight w:val="none"/>
              </w:rPr>
              <w:t>相应产品与服务</w:t>
            </w:r>
            <w:r>
              <w:rPr>
                <w:rFonts w:hint="eastAsia"/>
                <w:color w:val="auto"/>
                <w:highlight w:val="none"/>
              </w:rPr>
              <w:t>，并结合医保信息平台本次建设内容，提供对</w:t>
            </w:r>
            <w:r>
              <w:rPr>
                <w:rFonts w:hint="eastAsia"/>
                <w:b/>
                <w:bCs/>
                <w:color w:val="auto"/>
                <w:highlight w:val="none"/>
              </w:rPr>
              <w:t>医疗保障信息平台所有软硬件的总体集成和专业技术顾问服务</w:t>
            </w:r>
            <w:r>
              <w:rPr>
                <w:rFonts w:hint="eastAsia"/>
                <w:color w:val="auto"/>
                <w:highlight w:val="none"/>
              </w:rPr>
              <w:t>。</w:t>
            </w:r>
          </w:p>
          <w:p>
            <w:pPr>
              <w:spacing w:line="360" w:lineRule="exact"/>
              <w:jc w:val="left"/>
              <w:rPr>
                <w:color w:val="auto"/>
                <w:highlight w:val="none"/>
              </w:rPr>
            </w:pPr>
            <w:r>
              <w:rPr>
                <w:rFonts w:hint="eastAsia"/>
                <w:color w:val="auto"/>
                <w:highlight w:val="none"/>
              </w:rPr>
              <w:t xml:space="preserve">    1、本项目包括</w:t>
            </w:r>
            <w:r>
              <w:rPr>
                <w:rFonts w:hint="eastAsia"/>
                <w:b/>
                <w:bCs/>
                <w:color w:val="auto"/>
                <w:highlight w:val="none"/>
              </w:rPr>
              <w:t>云平台核心业务区扩容台服务器</w:t>
            </w:r>
            <w:r>
              <w:rPr>
                <w:rFonts w:hint="eastAsia"/>
                <w:color w:val="auto"/>
                <w:highlight w:val="none"/>
              </w:rPr>
              <w:t>、配套</w:t>
            </w:r>
            <w:r>
              <w:rPr>
                <w:rFonts w:hint="eastAsia"/>
                <w:b/>
                <w:bCs/>
                <w:color w:val="auto"/>
                <w:highlight w:val="none"/>
              </w:rPr>
              <w:t>接入网络设备</w:t>
            </w:r>
            <w:r>
              <w:rPr>
                <w:rFonts w:hint="eastAsia"/>
                <w:color w:val="auto"/>
                <w:highlight w:val="none"/>
              </w:rPr>
              <w:t>与云服务授权（如</w:t>
            </w:r>
            <w:r>
              <w:rPr>
                <w:rFonts w:hint="eastAsia"/>
                <w:b/>
                <w:bCs/>
                <w:color w:val="auto"/>
                <w:highlight w:val="none"/>
              </w:rPr>
              <w:t>弹性计算、数据库服务、大数据服务</w:t>
            </w:r>
            <w:r>
              <w:rPr>
                <w:rFonts w:hint="eastAsia"/>
                <w:color w:val="auto"/>
                <w:highlight w:val="none"/>
              </w:rPr>
              <w:t>等），</w:t>
            </w:r>
            <w:r>
              <w:rPr>
                <w:rFonts w:hint="eastAsia"/>
                <w:b/>
                <w:bCs/>
                <w:color w:val="auto"/>
                <w:highlight w:val="none"/>
              </w:rPr>
              <w:t>密码应用建设增加密码软件</w:t>
            </w:r>
            <w:r>
              <w:rPr>
                <w:rFonts w:hint="eastAsia"/>
                <w:color w:val="auto"/>
                <w:highlight w:val="none"/>
              </w:rPr>
              <w:t>（密码服务平台、站点证书）与</w:t>
            </w:r>
            <w:r>
              <w:rPr>
                <w:rFonts w:hint="eastAsia"/>
                <w:b/>
                <w:bCs/>
                <w:color w:val="auto"/>
                <w:highlight w:val="none"/>
              </w:rPr>
              <w:t>密码设备</w:t>
            </w:r>
            <w:r>
              <w:rPr>
                <w:rFonts w:hint="eastAsia"/>
                <w:color w:val="auto"/>
                <w:highlight w:val="none"/>
              </w:rPr>
              <w:t>（云服务器密码机、IPSEC/SSL VPN综合安全网关、SSL VPN网关、数据库加密机），</w:t>
            </w:r>
            <w:r>
              <w:rPr>
                <w:rFonts w:hint="eastAsia"/>
                <w:b/>
                <w:bCs/>
                <w:color w:val="auto"/>
                <w:highlight w:val="none"/>
              </w:rPr>
              <w:t>安全系统升级增加安全软件（</w:t>
            </w:r>
            <w:r>
              <w:rPr>
                <w:rFonts w:hint="eastAsia"/>
                <w:color w:val="auto"/>
                <w:highlight w:val="none"/>
              </w:rPr>
              <w:t>态势感知探针、主机安全防护、数据安全防护）与</w:t>
            </w:r>
            <w:r>
              <w:rPr>
                <w:rFonts w:hint="eastAsia"/>
                <w:b/>
                <w:bCs/>
                <w:color w:val="auto"/>
                <w:highlight w:val="none"/>
              </w:rPr>
              <w:t>安全设备（蜜罐）</w:t>
            </w:r>
            <w:r>
              <w:rPr>
                <w:rFonts w:hint="eastAsia"/>
                <w:color w:val="auto"/>
                <w:highlight w:val="none"/>
              </w:rPr>
              <w:t>。</w:t>
            </w:r>
            <w:r>
              <w:rPr>
                <w:rFonts w:hint="eastAsia"/>
                <w:b/>
                <w:bCs/>
                <w:color w:val="auto"/>
                <w:highlight w:val="none"/>
              </w:rPr>
              <w:t>软件开发</w:t>
            </w:r>
            <w:r>
              <w:rPr>
                <w:rFonts w:hint="eastAsia"/>
                <w:color w:val="auto"/>
                <w:highlight w:val="none"/>
              </w:rPr>
              <w:t>包括两定机构接口数据检测系统与运维系统升级建设。</w:t>
            </w:r>
          </w:p>
          <w:p>
            <w:pPr>
              <w:spacing w:line="360" w:lineRule="exact"/>
              <w:ind w:firstLine="421" w:firstLineChars="200"/>
              <w:jc w:val="left"/>
              <w:rPr>
                <w:color w:val="auto"/>
                <w:highlight w:val="none"/>
              </w:rPr>
            </w:pPr>
            <w:r>
              <w:rPr>
                <w:rFonts w:hint="eastAsia"/>
                <w:b/>
                <w:bCs/>
                <w:color w:val="auto"/>
                <w:highlight w:val="none"/>
              </w:rPr>
              <w:t>2、总体集成服务</w:t>
            </w:r>
            <w:r>
              <w:rPr>
                <w:rFonts w:hint="eastAsia"/>
                <w:color w:val="auto"/>
                <w:highlight w:val="none"/>
              </w:rPr>
              <w:t>主要包括对本采购项目的生产中心与容灾中心的核心业务区软硬件的供货、施工图设计、安装调试、培训及售后服务，并提供对核心业务区云平台、安全系统、密码系统、运维系统、定制开发系统等所有相关的软硬件的总体集成服务，协调并配合本项目所有服务方完成医疗保障信息平台的扩容工作，集成服务须满足医疗保障信息平台各系统和功能区域的使用要求。</w:t>
            </w:r>
          </w:p>
          <w:p>
            <w:pPr>
              <w:spacing w:line="360" w:lineRule="exact"/>
              <w:jc w:val="left"/>
              <w:rPr>
                <w:color w:val="auto"/>
                <w:highlight w:val="none"/>
              </w:rPr>
            </w:pPr>
            <w:r>
              <w:rPr>
                <w:rFonts w:hint="eastAsia"/>
                <w:b/>
                <w:bCs/>
                <w:color w:val="auto"/>
                <w:highlight w:val="none"/>
              </w:rPr>
              <w:t xml:space="preserve">   3、专业技术顾问服务</w:t>
            </w:r>
            <w:r>
              <w:rPr>
                <w:rFonts w:hint="eastAsia"/>
                <w:color w:val="auto"/>
                <w:highlight w:val="none"/>
              </w:rPr>
              <w:t>主要包括为信息化建设和信息化管理工作提供全面、客观的专业化建议和专家咨询服务，包括但不限于总体管控服务模式、总体实施计划，明确项目任务分解、各项任务的实施目标和评审检查计划等。</w:t>
            </w:r>
          </w:p>
          <w:p>
            <w:pPr>
              <w:jc w:val="left"/>
              <w:rPr>
                <w:color w:val="auto"/>
                <w:highlight w:val="none"/>
              </w:rPr>
            </w:pPr>
            <w:r>
              <w:rPr>
                <w:rFonts w:hint="eastAsia"/>
                <w:color w:val="auto"/>
                <w:szCs w:val="21"/>
                <w:highlight w:val="none"/>
              </w:rPr>
              <w:t xml:space="preserve">  </w:t>
            </w:r>
            <w:r>
              <w:rPr>
                <w:rFonts w:hint="eastAsia"/>
                <w:b/>
                <w:bCs/>
                <w:color w:val="auto"/>
                <w:szCs w:val="21"/>
                <w:highlight w:val="none"/>
              </w:rPr>
              <w:t>具体要求详见附件</w:t>
            </w:r>
            <w:r>
              <w:rPr>
                <w:rFonts w:hint="eastAsia"/>
                <w:color w:val="auto"/>
                <w:szCs w:val="21"/>
                <w:highlight w:val="none"/>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37" w:hRule="atLeast"/>
        </w:trPr>
        <w:tc>
          <w:tcPr>
            <w:tcW w:w="9900" w:type="dxa"/>
            <w:gridSpan w:val="5"/>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color w:val="auto"/>
                <w:kern w:val="0"/>
                <w:szCs w:val="21"/>
                <w:highlight w:val="none"/>
                <w:lang w:bidi="ar"/>
              </w:rPr>
            </w:pPr>
            <w:r>
              <w:rPr>
                <w:rFonts w:hint="eastAsia" w:ascii="宋体" w:hAnsi="宋体"/>
                <w:b/>
                <w:color w:val="auto"/>
                <w:szCs w:val="21"/>
                <w:highlight w:val="none"/>
              </w:rPr>
              <w:t>售后服务及其他要求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1846" w:type="dxa"/>
            <w:gridSpan w:val="2"/>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b/>
                <w:color w:val="auto"/>
                <w:szCs w:val="21"/>
                <w:highlight w:val="none"/>
              </w:rPr>
            </w:pPr>
            <w:r>
              <w:rPr>
                <w:rFonts w:hint="eastAsia"/>
                <w:color w:val="auto"/>
                <w:highlight w:val="none"/>
              </w:rPr>
              <w:t>▲</w:t>
            </w:r>
            <w:r>
              <w:rPr>
                <w:rFonts w:hint="eastAsia" w:ascii="宋体" w:hAnsi="宋体"/>
                <w:b/>
                <w:color w:val="auto"/>
                <w:szCs w:val="21"/>
                <w:highlight w:val="none"/>
              </w:rPr>
              <w:t>投标报价及</w:t>
            </w:r>
          </w:p>
          <w:p>
            <w:pPr>
              <w:widowControl/>
              <w:jc w:val="center"/>
              <w:textAlignment w:val="center"/>
              <w:rPr>
                <w:rFonts w:hint="eastAsia" w:ascii="宋体" w:hAnsi="宋体" w:cs="宋体"/>
                <w:color w:val="auto"/>
                <w:kern w:val="0"/>
                <w:szCs w:val="21"/>
                <w:highlight w:val="none"/>
                <w:lang w:bidi="ar"/>
              </w:rPr>
            </w:pPr>
            <w:r>
              <w:rPr>
                <w:rFonts w:hint="eastAsia" w:ascii="宋体" w:hAnsi="宋体"/>
                <w:b/>
                <w:color w:val="auto"/>
                <w:szCs w:val="21"/>
                <w:highlight w:val="none"/>
              </w:rPr>
              <w:t>要求</w:t>
            </w:r>
          </w:p>
        </w:tc>
        <w:tc>
          <w:tcPr>
            <w:tcW w:w="8054" w:type="dxa"/>
            <w:gridSpan w:val="3"/>
            <w:tcBorders>
              <w:top w:val="single" w:color="auto" w:sz="4" w:space="0"/>
              <w:left w:val="single" w:color="auto" w:sz="4" w:space="0"/>
              <w:bottom w:val="single" w:color="auto" w:sz="4" w:space="0"/>
              <w:right w:val="single" w:color="auto" w:sz="4" w:space="0"/>
            </w:tcBorders>
            <w:vAlign w:val="center"/>
          </w:tcPr>
          <w:p>
            <w:pPr>
              <w:numPr>
                <w:ilvl w:val="0"/>
                <w:numId w:val="11"/>
              </w:numPr>
              <w:adjustRightInd w:val="0"/>
              <w:spacing w:line="300" w:lineRule="auto"/>
              <w:textAlignment w:val="baseline"/>
              <w:rPr>
                <w:color w:val="auto"/>
                <w:highlight w:val="none"/>
              </w:rPr>
            </w:pPr>
            <w:r>
              <w:rPr>
                <w:rFonts w:hint="eastAsia"/>
                <w:color w:val="auto"/>
                <w:highlight w:val="none"/>
              </w:rPr>
              <w:t>投标报价必须包含但不限于实施和完成本项目全部定制开发、软硬件购置、安装、集成服务、升级改造工作所需的劳务费、技术服务费、测量、交通、通讯、保险、税费、利润等集成业务有关一切费用。</w:t>
            </w:r>
          </w:p>
          <w:p>
            <w:pPr>
              <w:pStyle w:val="6"/>
              <w:jc w:val="both"/>
              <w:rPr>
                <w:rFonts w:eastAsia="宋体"/>
                <w:color w:val="auto"/>
                <w:highlight w:val="none"/>
              </w:rPr>
            </w:pPr>
            <w:r>
              <w:rPr>
                <w:rFonts w:hint="eastAsia" w:ascii="Times New Roman" w:hAnsi="Times New Roman" w:eastAsia="宋体"/>
                <w:color w:val="auto"/>
                <w:kern w:val="2"/>
                <w:sz w:val="21"/>
                <w:szCs w:val="24"/>
                <w:highlight w:val="none"/>
              </w:rPr>
              <w:t>2、</w:t>
            </w:r>
            <w:r>
              <w:rPr>
                <w:rFonts w:hint="eastAsia" w:ascii="Times New Roman" w:hAnsi="Times New Roman" w:eastAsia="宋体"/>
                <w:b/>
                <w:bCs/>
                <w:color w:val="auto"/>
                <w:kern w:val="2"/>
                <w:sz w:val="21"/>
                <w:szCs w:val="24"/>
                <w:highlight w:val="none"/>
              </w:rPr>
              <w:t>对本项目作出投标总报价，即是合同总报价。同时，投标时须对“硬件设备”、“软件产品”按本章招标项目采购需求中的清单及数量作出明细的投标报价；对“定制开发软件”、“数据中心机柜租赁”分别作出单项的投标报价。未提供报价的，作投标无效处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37" w:hRule="atLeast"/>
        </w:trPr>
        <w:tc>
          <w:tcPr>
            <w:tcW w:w="1846" w:type="dxa"/>
            <w:gridSpan w:val="2"/>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b/>
                <w:bCs/>
                <w:color w:val="auto"/>
                <w:kern w:val="0"/>
                <w:szCs w:val="21"/>
                <w:highlight w:val="none"/>
                <w:lang w:bidi="ar"/>
              </w:rPr>
            </w:pPr>
            <w:r>
              <w:rPr>
                <w:rFonts w:hint="eastAsia" w:ascii="宋体" w:hAnsi="宋体" w:cs="宋体"/>
                <w:b/>
                <w:bCs/>
                <w:color w:val="auto"/>
                <w:kern w:val="0"/>
                <w:szCs w:val="21"/>
                <w:highlight w:val="none"/>
                <w:lang w:bidi="ar"/>
              </w:rPr>
              <w:t>服务期及</w:t>
            </w:r>
          </w:p>
          <w:p>
            <w:pPr>
              <w:widowControl/>
              <w:jc w:val="center"/>
              <w:textAlignment w:val="center"/>
              <w:rPr>
                <w:rFonts w:hint="eastAsia" w:ascii="宋体" w:hAnsi="宋体" w:cs="宋体"/>
                <w:color w:val="auto"/>
                <w:kern w:val="0"/>
                <w:szCs w:val="21"/>
                <w:highlight w:val="none"/>
                <w:lang w:bidi="ar"/>
              </w:rPr>
            </w:pPr>
            <w:r>
              <w:rPr>
                <w:rFonts w:hint="eastAsia" w:ascii="宋体" w:hAnsi="宋体" w:cs="宋体"/>
                <w:b/>
                <w:bCs/>
                <w:color w:val="auto"/>
                <w:kern w:val="0"/>
                <w:szCs w:val="21"/>
                <w:highlight w:val="none"/>
                <w:lang w:bidi="ar"/>
              </w:rPr>
              <w:t>服务地点</w:t>
            </w:r>
          </w:p>
        </w:tc>
        <w:tc>
          <w:tcPr>
            <w:tcW w:w="8054" w:type="dxa"/>
            <w:gridSpan w:val="3"/>
            <w:tcBorders>
              <w:top w:val="single" w:color="auto" w:sz="4" w:space="0"/>
              <w:left w:val="single" w:color="auto" w:sz="4" w:space="0"/>
              <w:bottom w:val="single" w:color="auto" w:sz="4" w:space="0"/>
              <w:right w:val="single" w:color="auto" w:sz="4" w:space="0"/>
            </w:tcBorders>
            <w:vAlign w:val="center"/>
          </w:tcPr>
          <w:p>
            <w:pPr>
              <w:adjustRightInd w:val="0"/>
              <w:spacing w:line="300" w:lineRule="auto"/>
              <w:textAlignment w:val="baseline"/>
              <w:rPr>
                <w:rFonts w:hint="eastAsia" w:ascii="宋体" w:hAnsi="宋体" w:cs="宋体"/>
                <w:color w:val="auto"/>
                <w:szCs w:val="21"/>
                <w:highlight w:val="none"/>
              </w:rPr>
            </w:pPr>
            <w:r>
              <w:rPr>
                <w:rFonts w:hint="eastAsia" w:ascii="宋体" w:hAnsi="宋体" w:cs="宋体"/>
                <w:color w:val="auto"/>
                <w:szCs w:val="21"/>
                <w:highlight w:val="none"/>
              </w:rPr>
              <w:t>1、服务期：自合同签订之日起至项目通过采购人最终验收。</w:t>
            </w:r>
          </w:p>
          <w:p>
            <w:pPr>
              <w:adjustRightInd w:val="0"/>
              <w:spacing w:line="300" w:lineRule="auto"/>
              <w:textAlignment w:val="baseline"/>
              <w:rPr>
                <w:rFonts w:hint="eastAsia" w:ascii="宋体" w:hAnsi="宋体" w:cs="宋体"/>
                <w:color w:val="auto"/>
                <w:kern w:val="0"/>
                <w:szCs w:val="21"/>
                <w:highlight w:val="none"/>
                <w:lang w:bidi="ar"/>
              </w:rPr>
            </w:pPr>
            <w:r>
              <w:rPr>
                <w:rFonts w:hint="eastAsia" w:ascii="宋体" w:hAnsi="宋体" w:cs="宋体"/>
                <w:color w:val="auto"/>
                <w:szCs w:val="21"/>
                <w:highlight w:val="none"/>
              </w:rPr>
              <w:t>2、服务地点：南宁市或采购人指定地点。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37" w:hRule="atLeast"/>
        </w:trPr>
        <w:tc>
          <w:tcPr>
            <w:tcW w:w="1846" w:type="dxa"/>
            <w:gridSpan w:val="2"/>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Cs w:val="21"/>
                <w:highlight w:val="none"/>
                <w:lang w:bidi="ar"/>
              </w:rPr>
            </w:pPr>
            <w:r>
              <w:rPr>
                <w:rFonts w:hint="eastAsia" w:ascii="宋体" w:hAnsi="宋体" w:cs="宋体"/>
                <w:color w:val="auto"/>
                <w:szCs w:val="21"/>
                <w:highlight w:val="none"/>
              </w:rPr>
              <w:t>▲</w:t>
            </w:r>
            <w:r>
              <w:rPr>
                <w:rFonts w:hint="eastAsia" w:ascii="宋体" w:hAnsi="宋体" w:cs="宋体"/>
                <w:b/>
                <w:bCs/>
                <w:color w:val="auto"/>
                <w:szCs w:val="21"/>
                <w:highlight w:val="none"/>
              </w:rPr>
              <w:t>付款方式</w:t>
            </w:r>
          </w:p>
        </w:tc>
        <w:tc>
          <w:tcPr>
            <w:tcW w:w="8054" w:type="dxa"/>
            <w:gridSpan w:val="3"/>
            <w:tcBorders>
              <w:top w:val="single" w:color="auto" w:sz="4" w:space="0"/>
              <w:left w:val="single" w:color="auto" w:sz="4" w:space="0"/>
              <w:bottom w:val="single" w:color="auto" w:sz="4" w:space="0"/>
              <w:right w:val="single" w:color="auto" w:sz="4" w:space="0"/>
            </w:tcBorders>
            <w:vAlign w:val="center"/>
          </w:tcPr>
          <w:p>
            <w:pPr>
              <w:adjustRightInd w:val="0"/>
              <w:spacing w:line="300" w:lineRule="auto"/>
              <w:textAlignment w:val="baseline"/>
              <w:rPr>
                <w:color w:val="auto"/>
                <w:szCs w:val="21"/>
                <w:highlight w:val="none"/>
              </w:rPr>
            </w:pPr>
            <w:bookmarkStart w:id="2" w:name="_Hlk77253734"/>
            <w:r>
              <w:rPr>
                <w:rFonts w:hint="eastAsia"/>
                <w:color w:val="auto"/>
                <w:szCs w:val="21"/>
                <w:highlight w:val="none"/>
              </w:rPr>
              <w:t>1、</w:t>
            </w:r>
            <w:bookmarkStart w:id="3" w:name="_Hlk222924711"/>
            <w:r>
              <w:rPr>
                <w:rFonts w:hint="eastAsia"/>
                <w:color w:val="auto"/>
                <w:szCs w:val="21"/>
                <w:highlight w:val="none"/>
              </w:rPr>
              <w:t>硬件设备与软件产品</w:t>
            </w:r>
            <w:bookmarkEnd w:id="3"/>
            <w:r>
              <w:rPr>
                <w:rFonts w:hint="eastAsia"/>
                <w:color w:val="auto"/>
                <w:szCs w:val="21"/>
                <w:highlight w:val="none"/>
              </w:rPr>
              <w:t>付款：正式签订合同后15个工作日内，支付合同款的30%；全部软硬件到货后15个工作日内，支付合同款的30%；项目通过终验后15个工作日内，支付合同款的30%；通过甲方终验验收合格并且运维期结束后，支付合同款的10%（含运维）。</w:t>
            </w:r>
          </w:p>
          <w:p>
            <w:pPr>
              <w:adjustRightInd w:val="0"/>
              <w:spacing w:line="300" w:lineRule="auto"/>
              <w:textAlignment w:val="baseline"/>
              <w:rPr>
                <w:color w:val="auto"/>
                <w:szCs w:val="21"/>
                <w:highlight w:val="none"/>
              </w:rPr>
            </w:pPr>
            <w:r>
              <w:rPr>
                <w:rFonts w:hint="eastAsia"/>
                <w:color w:val="auto"/>
                <w:szCs w:val="21"/>
                <w:highlight w:val="none"/>
              </w:rPr>
              <w:t>2、</w:t>
            </w:r>
            <w:bookmarkStart w:id="4" w:name="_Hlk222924728"/>
            <w:r>
              <w:rPr>
                <w:rFonts w:hint="eastAsia"/>
                <w:color w:val="auto"/>
                <w:szCs w:val="21"/>
                <w:highlight w:val="none"/>
              </w:rPr>
              <w:t>定制开发软件</w:t>
            </w:r>
            <w:bookmarkEnd w:id="4"/>
            <w:r>
              <w:rPr>
                <w:rFonts w:hint="eastAsia"/>
                <w:color w:val="auto"/>
                <w:szCs w:val="21"/>
                <w:highlight w:val="none"/>
              </w:rPr>
              <w:t>付款：</w:t>
            </w:r>
            <w:bookmarkStart w:id="5" w:name="_Hlk219723115"/>
            <w:r>
              <w:rPr>
                <w:rFonts w:hint="eastAsia"/>
                <w:color w:val="auto"/>
                <w:szCs w:val="21"/>
                <w:highlight w:val="none"/>
              </w:rPr>
              <w:t>正式签订合同后15个工作日内，支付合同款的30%；软件开发完成后15个工作日内，支付合同款的30%；项目通过终验后15个工作日内，支付合同款的30%；通过甲方终验验收合格并且运维期结束后，支付合同款的10%。</w:t>
            </w:r>
            <w:bookmarkEnd w:id="5"/>
          </w:p>
          <w:p>
            <w:pPr>
              <w:adjustRightInd w:val="0"/>
              <w:spacing w:line="300" w:lineRule="auto"/>
              <w:textAlignment w:val="baseline"/>
              <w:rPr>
                <w:color w:val="auto"/>
                <w:szCs w:val="21"/>
                <w:highlight w:val="none"/>
              </w:rPr>
            </w:pPr>
            <w:r>
              <w:rPr>
                <w:rFonts w:hint="eastAsia"/>
                <w:color w:val="auto"/>
                <w:szCs w:val="21"/>
                <w:highlight w:val="none"/>
              </w:rPr>
              <w:t>3、</w:t>
            </w:r>
            <w:bookmarkStart w:id="6" w:name="_Hlk222924740"/>
            <w:r>
              <w:rPr>
                <w:rFonts w:hint="eastAsia"/>
                <w:color w:val="auto"/>
                <w:szCs w:val="21"/>
                <w:highlight w:val="none"/>
              </w:rPr>
              <w:t>数据中心机柜租赁</w:t>
            </w:r>
            <w:bookmarkEnd w:id="6"/>
            <w:r>
              <w:rPr>
                <w:rFonts w:hint="eastAsia"/>
                <w:color w:val="auto"/>
                <w:szCs w:val="21"/>
                <w:highlight w:val="none"/>
              </w:rPr>
              <w:t>付款：正式签订合同后15个工作日内，支付合同款的10%；项目投入试运行后15个工作日内，支付合同款的70%；通过甲方终验验收合格且服务期结束后，支付合同款的20%。</w:t>
            </w:r>
          </w:p>
          <w:p>
            <w:pPr>
              <w:adjustRightInd w:val="0"/>
              <w:spacing w:line="300" w:lineRule="auto"/>
              <w:textAlignment w:val="baseline"/>
              <w:rPr>
                <w:rFonts w:hint="eastAsia" w:ascii="宋体" w:hAnsi="宋体" w:cs="宋体"/>
                <w:color w:val="auto"/>
                <w:kern w:val="0"/>
                <w:szCs w:val="21"/>
                <w:highlight w:val="none"/>
                <w:lang w:bidi="ar"/>
              </w:rPr>
            </w:pPr>
            <w:r>
              <w:rPr>
                <w:rFonts w:hint="eastAsia"/>
                <w:color w:val="auto"/>
                <w:szCs w:val="21"/>
                <w:highlight w:val="none"/>
              </w:rPr>
              <w:t>乙方在每次收到合同款项之日起5个工作日内开具相应金额发票给甲方，否则甲方有权暂不予支付下一阶段款项。</w:t>
            </w:r>
            <w:bookmarkEnd w:id="2"/>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37" w:hRule="atLeast"/>
        </w:trPr>
        <w:tc>
          <w:tcPr>
            <w:tcW w:w="1846" w:type="dxa"/>
            <w:gridSpan w:val="2"/>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kern w:val="0"/>
                <w:szCs w:val="21"/>
                <w:highlight w:val="none"/>
                <w:lang w:bidi="ar"/>
              </w:rPr>
            </w:pPr>
            <w:r>
              <w:rPr>
                <w:rFonts w:hint="eastAsia" w:ascii="宋体" w:hAnsi="宋体" w:cs="宋体"/>
                <w:b/>
                <w:bCs/>
                <w:color w:val="auto"/>
                <w:szCs w:val="21"/>
                <w:highlight w:val="none"/>
              </w:rPr>
              <w:t>服务要求</w:t>
            </w:r>
          </w:p>
        </w:tc>
        <w:tc>
          <w:tcPr>
            <w:tcW w:w="8054" w:type="dxa"/>
            <w:gridSpan w:val="3"/>
            <w:tcBorders>
              <w:top w:val="single" w:color="auto" w:sz="4" w:space="0"/>
              <w:left w:val="single" w:color="auto" w:sz="4" w:space="0"/>
              <w:bottom w:val="single" w:color="auto" w:sz="4" w:space="0"/>
              <w:right w:val="single" w:color="auto" w:sz="4" w:space="0"/>
            </w:tcBorders>
            <w:vAlign w:val="center"/>
          </w:tcPr>
          <w:p>
            <w:pPr>
              <w:pStyle w:val="6"/>
              <w:jc w:val="left"/>
              <w:rPr>
                <w:rFonts w:hint="eastAsia" w:ascii="宋体" w:hAnsi="宋体" w:cs="宋体"/>
                <w:b/>
                <w:bCs/>
                <w:color w:val="auto"/>
                <w:sz w:val="21"/>
                <w:szCs w:val="21"/>
                <w:highlight w:val="none"/>
              </w:rPr>
            </w:pPr>
            <w:r>
              <w:rPr>
                <w:rFonts w:hint="eastAsia" w:ascii="宋体" w:hAnsi="宋体" w:cs="宋体"/>
                <w:color w:val="auto"/>
                <w:sz w:val="21"/>
                <w:szCs w:val="21"/>
                <w:highlight w:val="none"/>
              </w:rPr>
              <w:t>1、进度要求</w:t>
            </w:r>
          </w:p>
          <w:p>
            <w:pPr>
              <w:adjustRightInd w:val="0"/>
              <w:spacing w:line="300" w:lineRule="auto"/>
              <w:ind w:firstLine="420" w:firstLineChars="200"/>
              <w:textAlignment w:val="baseline"/>
              <w:rPr>
                <w:rFonts w:hint="eastAsia" w:ascii="宋体" w:hAnsi="宋体" w:cs="宋体"/>
                <w:color w:val="auto"/>
                <w:szCs w:val="21"/>
                <w:highlight w:val="none"/>
              </w:rPr>
            </w:pPr>
            <w:r>
              <w:rPr>
                <w:rFonts w:hint="eastAsia" w:ascii="宋体" w:hAnsi="宋体" w:cs="宋体"/>
                <w:color w:val="auto"/>
                <w:szCs w:val="21"/>
                <w:highlight w:val="none"/>
              </w:rPr>
              <w:t>签订合同之日起，45天内完成设备到货，60天内完成综合布线和设备与软件安装调试，3个月完成软件定制开发，4个月内完成初验，进入试运行，试运行期6个月，试运行后6个月内具备终验条件。在工程实施全过程中，招标方有对工程质量进行监督控制的职责和权利，中标方应按照项目管理要求进行严格的质量控制，并制定详细合理的沟通计划，至少包括周报、月报和项目例会，应确保双方能及时了解所需的信息。</w:t>
            </w:r>
          </w:p>
          <w:p>
            <w:pPr>
              <w:adjustRightInd w:val="0"/>
              <w:spacing w:line="300" w:lineRule="auto"/>
              <w:ind w:firstLine="420" w:firstLineChars="200"/>
              <w:textAlignment w:val="baseline"/>
              <w:rPr>
                <w:rFonts w:hint="eastAsia" w:ascii="宋体" w:hAnsi="宋体" w:cs="宋体"/>
                <w:color w:val="auto"/>
                <w:szCs w:val="21"/>
                <w:highlight w:val="none"/>
              </w:rPr>
            </w:pPr>
            <w:r>
              <w:rPr>
                <w:rFonts w:hint="eastAsia" w:ascii="宋体" w:hAnsi="宋体" w:cs="宋体"/>
                <w:color w:val="auto"/>
                <w:szCs w:val="21"/>
                <w:highlight w:val="none"/>
              </w:rPr>
              <w:t xml:space="preserve">投标人需提供满足上述进度要求的承诺书并加盖公章（不可使用投标专用章、部门章等其他一切形式的印章代替），若投标人无法按时完成各阶段要求，采购人有权延迟付款、核减合同金额及追究投标人法律责任。 </w:t>
            </w:r>
          </w:p>
          <w:p>
            <w:pPr>
              <w:pStyle w:val="6"/>
              <w:jc w:val="left"/>
              <w:rPr>
                <w:rFonts w:hint="eastAsia" w:ascii="宋体" w:hAnsi="宋体" w:cs="宋体"/>
                <w:color w:val="auto"/>
                <w:sz w:val="21"/>
                <w:szCs w:val="21"/>
                <w:highlight w:val="none"/>
              </w:rPr>
            </w:pPr>
            <w:bookmarkStart w:id="7" w:name="_Hlk77254152"/>
            <w:r>
              <w:rPr>
                <w:rFonts w:hint="eastAsia" w:ascii="宋体" w:hAnsi="宋体" w:cs="宋体"/>
                <w:color w:val="auto"/>
                <w:sz w:val="21"/>
                <w:szCs w:val="21"/>
                <w:highlight w:val="none"/>
              </w:rPr>
              <w:t>2、实施要求</w:t>
            </w:r>
          </w:p>
          <w:p>
            <w:pPr>
              <w:adjustRightInd w:val="0"/>
              <w:spacing w:line="300" w:lineRule="auto"/>
              <w:ind w:firstLine="420" w:firstLineChars="200"/>
              <w:textAlignment w:val="baseline"/>
              <w:rPr>
                <w:rFonts w:hint="eastAsia" w:ascii="宋体" w:hAnsi="宋体" w:cs="宋体"/>
                <w:color w:val="auto"/>
                <w:szCs w:val="21"/>
                <w:highlight w:val="none"/>
              </w:rPr>
            </w:pPr>
            <w:r>
              <w:rPr>
                <w:rFonts w:hint="eastAsia" w:ascii="宋体" w:hAnsi="宋体" w:cs="宋体"/>
                <w:color w:val="auto"/>
                <w:szCs w:val="21"/>
                <w:highlight w:val="none"/>
              </w:rPr>
              <w:t>（1）中标方应向采购方提供全方位、有效而及时的工程技术支持和服务。</w:t>
            </w:r>
          </w:p>
          <w:p>
            <w:pPr>
              <w:adjustRightInd w:val="0"/>
              <w:spacing w:line="300" w:lineRule="auto"/>
              <w:ind w:firstLine="420" w:firstLineChars="200"/>
              <w:textAlignment w:val="baseline"/>
              <w:rPr>
                <w:rFonts w:hint="eastAsia" w:ascii="宋体" w:hAnsi="宋体" w:cs="宋体"/>
                <w:color w:val="auto"/>
                <w:szCs w:val="21"/>
                <w:highlight w:val="none"/>
              </w:rPr>
            </w:pPr>
            <w:r>
              <w:rPr>
                <w:rFonts w:hint="eastAsia" w:ascii="宋体" w:hAnsi="宋体" w:cs="宋体"/>
                <w:color w:val="auto"/>
                <w:szCs w:val="21"/>
                <w:highlight w:val="none"/>
              </w:rPr>
              <w:t>（2）中标方负责所提供硬件的采购、运输、现场安装、调测、上线、验收和开通。</w:t>
            </w:r>
          </w:p>
          <w:p>
            <w:pPr>
              <w:adjustRightInd w:val="0"/>
              <w:spacing w:line="300" w:lineRule="auto"/>
              <w:ind w:firstLine="420" w:firstLineChars="200"/>
              <w:textAlignment w:val="baseline"/>
              <w:rPr>
                <w:rFonts w:hint="eastAsia" w:ascii="宋体" w:hAnsi="宋体" w:cs="宋体"/>
                <w:color w:val="auto"/>
                <w:szCs w:val="21"/>
                <w:highlight w:val="none"/>
              </w:rPr>
            </w:pPr>
            <w:r>
              <w:rPr>
                <w:rFonts w:hint="eastAsia" w:ascii="宋体" w:hAnsi="宋体" w:cs="宋体"/>
                <w:color w:val="auto"/>
                <w:szCs w:val="21"/>
                <w:highlight w:val="none"/>
              </w:rPr>
              <w:t>（3）中标方应负责硬件安装、调测时所需的工具、仪表以及安装材料等。</w:t>
            </w:r>
          </w:p>
          <w:p>
            <w:pPr>
              <w:adjustRightInd w:val="0"/>
              <w:spacing w:line="300" w:lineRule="auto"/>
              <w:ind w:firstLine="420" w:firstLineChars="200"/>
              <w:textAlignment w:val="baseline"/>
              <w:rPr>
                <w:rFonts w:hint="eastAsia" w:ascii="宋体" w:hAnsi="宋体" w:cs="宋体"/>
                <w:color w:val="auto"/>
                <w:szCs w:val="21"/>
                <w:highlight w:val="none"/>
              </w:rPr>
            </w:pPr>
            <w:r>
              <w:rPr>
                <w:rFonts w:hint="eastAsia" w:ascii="宋体" w:hAnsi="宋体" w:cs="宋体"/>
                <w:color w:val="auto"/>
                <w:szCs w:val="21"/>
                <w:highlight w:val="none"/>
              </w:rPr>
              <w:t>（4）系统安装、调试达到技术要求规定的指标并测试通过后，可进行初验；中标方提前1个月提交验收申请及相关验收材料给采购方，初验后启动试运行。当试运行后6个月，所有性能指标达到采购方技术要求，并且系统无出现重大故障时可进行系统终验。</w:t>
            </w:r>
          </w:p>
          <w:bookmarkEnd w:id="7"/>
          <w:p>
            <w:pPr>
              <w:pStyle w:val="6"/>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3、服务要求</w:t>
            </w:r>
          </w:p>
          <w:p>
            <w:pPr>
              <w:adjustRightInd w:val="0"/>
              <w:spacing w:line="300" w:lineRule="auto"/>
              <w:ind w:firstLine="420" w:firstLineChars="200"/>
              <w:textAlignment w:val="baseline"/>
              <w:rPr>
                <w:rFonts w:hint="eastAsia" w:ascii="宋体" w:hAnsi="宋体" w:cs="宋体"/>
                <w:color w:val="auto"/>
                <w:szCs w:val="21"/>
                <w:highlight w:val="none"/>
              </w:rPr>
            </w:pPr>
            <w:r>
              <w:rPr>
                <w:rFonts w:hint="eastAsia" w:ascii="宋体" w:hAnsi="宋体" w:cs="宋体"/>
                <w:color w:val="auto"/>
                <w:szCs w:val="21"/>
                <w:highlight w:val="none"/>
              </w:rPr>
              <w:t>（1）投标方项目管理要求</w:t>
            </w:r>
          </w:p>
          <w:p>
            <w:pPr>
              <w:adjustRightInd w:val="0"/>
              <w:spacing w:line="300" w:lineRule="auto"/>
              <w:ind w:firstLine="420" w:firstLineChars="200"/>
              <w:textAlignment w:val="baseline"/>
              <w:rPr>
                <w:rFonts w:hint="eastAsia" w:ascii="宋体" w:hAnsi="宋体" w:cs="宋体"/>
                <w:color w:val="auto"/>
                <w:szCs w:val="21"/>
                <w:highlight w:val="none"/>
              </w:rPr>
            </w:pPr>
            <w:r>
              <w:rPr>
                <w:rFonts w:hint="eastAsia" w:ascii="宋体" w:hAnsi="宋体" w:cs="宋体"/>
                <w:color w:val="auto"/>
                <w:szCs w:val="21"/>
                <w:highlight w:val="none"/>
              </w:rPr>
              <w:t>投标方需提供本次工程建设的项目管理预案，包括项目人员名单及角色分工、项目实施计划、项目变更管理方案以及项目风险管理方案等。</w:t>
            </w:r>
          </w:p>
          <w:p>
            <w:pPr>
              <w:adjustRightInd w:val="0"/>
              <w:spacing w:line="300" w:lineRule="auto"/>
              <w:ind w:firstLine="420" w:firstLineChars="200"/>
              <w:textAlignment w:val="baseline"/>
              <w:rPr>
                <w:rFonts w:hint="eastAsia" w:ascii="宋体" w:hAnsi="宋体" w:cs="宋体"/>
                <w:color w:val="auto"/>
                <w:szCs w:val="21"/>
                <w:highlight w:val="none"/>
              </w:rPr>
            </w:pPr>
            <w:r>
              <w:rPr>
                <w:rFonts w:hint="eastAsia" w:ascii="宋体" w:hAnsi="宋体" w:cs="宋体"/>
                <w:color w:val="auto"/>
                <w:szCs w:val="21"/>
                <w:highlight w:val="none"/>
              </w:rPr>
              <w:t>投标方应承诺提供现场实施服务，办公场地与采购方协商解决。</w:t>
            </w:r>
          </w:p>
          <w:p>
            <w:pPr>
              <w:adjustRightInd w:val="0"/>
              <w:spacing w:line="300" w:lineRule="auto"/>
              <w:ind w:firstLine="420" w:firstLineChars="200"/>
              <w:textAlignment w:val="baseline"/>
              <w:rPr>
                <w:rFonts w:hint="eastAsia" w:ascii="宋体" w:hAnsi="宋体" w:cs="宋体"/>
                <w:color w:val="auto"/>
                <w:szCs w:val="21"/>
                <w:highlight w:val="none"/>
              </w:rPr>
            </w:pPr>
            <w:r>
              <w:rPr>
                <w:rFonts w:hint="eastAsia" w:ascii="宋体" w:hAnsi="宋体" w:cs="宋体"/>
                <w:color w:val="auto"/>
                <w:szCs w:val="21"/>
                <w:highlight w:val="none"/>
              </w:rPr>
              <w:t>1）项目经理</w:t>
            </w:r>
          </w:p>
          <w:p>
            <w:pPr>
              <w:adjustRightInd w:val="0"/>
              <w:spacing w:line="300" w:lineRule="auto"/>
              <w:ind w:firstLine="420" w:firstLineChars="200"/>
              <w:textAlignment w:val="baseline"/>
              <w:rPr>
                <w:rFonts w:hint="eastAsia" w:ascii="宋体" w:hAnsi="宋体" w:cs="宋体"/>
                <w:color w:val="auto"/>
                <w:szCs w:val="21"/>
                <w:highlight w:val="none"/>
              </w:rPr>
            </w:pPr>
            <w:r>
              <w:rPr>
                <w:rFonts w:hint="eastAsia" w:ascii="宋体" w:hAnsi="宋体" w:cs="宋体"/>
                <w:color w:val="auto"/>
                <w:szCs w:val="21"/>
                <w:highlight w:val="none"/>
              </w:rPr>
              <w:t>具有丰富的信息系统集成经验，具有信息化总体规划能力，有良好的沟通能力、耐性和综合素质。</w:t>
            </w:r>
          </w:p>
          <w:p>
            <w:pPr>
              <w:adjustRightInd w:val="0"/>
              <w:spacing w:line="300" w:lineRule="auto"/>
              <w:ind w:firstLine="420" w:firstLineChars="200"/>
              <w:textAlignment w:val="baseline"/>
              <w:rPr>
                <w:rFonts w:hint="eastAsia" w:ascii="宋体" w:hAnsi="宋体" w:cs="宋体"/>
                <w:color w:val="auto"/>
                <w:szCs w:val="21"/>
                <w:highlight w:val="none"/>
              </w:rPr>
            </w:pPr>
            <w:r>
              <w:rPr>
                <w:rFonts w:hint="eastAsia" w:ascii="宋体" w:hAnsi="宋体" w:cs="宋体"/>
                <w:color w:val="auto"/>
                <w:szCs w:val="21"/>
                <w:highlight w:val="none"/>
              </w:rPr>
              <w:t>2）服务团队</w:t>
            </w:r>
          </w:p>
          <w:p>
            <w:pPr>
              <w:adjustRightInd w:val="0"/>
              <w:spacing w:line="300" w:lineRule="auto"/>
              <w:ind w:firstLine="420" w:firstLineChars="200"/>
              <w:textAlignment w:val="baseline"/>
              <w:rPr>
                <w:rFonts w:hint="eastAsia" w:ascii="宋体" w:hAnsi="宋体" w:cs="宋体"/>
                <w:color w:val="auto"/>
                <w:szCs w:val="21"/>
                <w:highlight w:val="none"/>
              </w:rPr>
            </w:pPr>
            <w:r>
              <w:rPr>
                <w:rFonts w:hint="eastAsia" w:ascii="宋体" w:hAnsi="宋体" w:cs="宋体"/>
                <w:color w:val="auto"/>
                <w:szCs w:val="21"/>
                <w:highlight w:val="none"/>
              </w:rPr>
              <w:t>提供至少8名项目经验丰富的数据中心软硬件等相关专业技术人员参与本项目实施（不含项目经理）。</w:t>
            </w:r>
          </w:p>
          <w:p>
            <w:pPr>
              <w:adjustRightInd w:val="0"/>
              <w:spacing w:line="300" w:lineRule="auto"/>
              <w:ind w:firstLine="420" w:firstLineChars="200"/>
              <w:textAlignment w:val="baseline"/>
              <w:rPr>
                <w:rFonts w:hint="eastAsia" w:ascii="宋体" w:hAnsi="宋体" w:cs="宋体"/>
                <w:color w:val="auto"/>
                <w:szCs w:val="21"/>
                <w:highlight w:val="none"/>
              </w:rPr>
            </w:pPr>
            <w:r>
              <w:rPr>
                <w:rFonts w:hint="eastAsia" w:ascii="宋体" w:hAnsi="宋体" w:cs="宋体"/>
                <w:color w:val="auto"/>
                <w:szCs w:val="21"/>
                <w:highlight w:val="none"/>
              </w:rPr>
              <w:t>提供至少1名深刻理解国家医保信息化整体规划和广西医疗保障信息化现状与规划的技术顾问人员参与本项目实施（不含项目经理）。</w:t>
            </w:r>
          </w:p>
          <w:p>
            <w:pPr>
              <w:adjustRightInd w:val="0"/>
              <w:spacing w:line="300" w:lineRule="auto"/>
              <w:ind w:firstLine="420" w:firstLineChars="200"/>
              <w:textAlignment w:val="baseline"/>
              <w:rPr>
                <w:rFonts w:hint="eastAsia" w:ascii="宋体" w:hAnsi="宋体" w:cs="宋体"/>
                <w:color w:val="auto"/>
                <w:szCs w:val="21"/>
                <w:highlight w:val="none"/>
              </w:rPr>
            </w:pPr>
            <w:r>
              <w:rPr>
                <w:rFonts w:hint="eastAsia" w:ascii="宋体" w:hAnsi="宋体" w:cs="宋体"/>
                <w:color w:val="auto"/>
                <w:szCs w:val="21"/>
                <w:highlight w:val="none"/>
              </w:rPr>
              <w:t>（2）服务内容</w:t>
            </w:r>
          </w:p>
          <w:p>
            <w:pPr>
              <w:adjustRightInd w:val="0"/>
              <w:spacing w:line="300" w:lineRule="auto"/>
              <w:ind w:firstLine="420" w:firstLineChars="200"/>
              <w:textAlignment w:val="baseline"/>
              <w:rPr>
                <w:rFonts w:hint="eastAsia" w:ascii="宋体" w:hAnsi="宋体" w:cs="宋体"/>
                <w:color w:val="auto"/>
                <w:szCs w:val="21"/>
                <w:highlight w:val="none"/>
              </w:rPr>
            </w:pPr>
            <w:r>
              <w:rPr>
                <w:rFonts w:hint="eastAsia" w:ascii="宋体" w:hAnsi="宋体" w:cs="宋体"/>
                <w:color w:val="auto"/>
                <w:szCs w:val="21"/>
                <w:highlight w:val="none"/>
              </w:rPr>
              <w:t>投标方需提供本次工程建设的项目管理预案，包括项目人员名单（未经采购方同意，中标方不得更换人员。若驻场人员不能有效完成采购方工作要求，自采购方提出更换要求日起3日内中标方需更换人员。此外，中标方所安排的实施和驻场人员必须专职于本项目）及角色分工、项目实施计划、项目变更管理。</w:t>
            </w:r>
          </w:p>
          <w:p>
            <w:pPr>
              <w:adjustRightInd w:val="0"/>
              <w:spacing w:line="300" w:lineRule="auto"/>
              <w:ind w:firstLine="420" w:firstLineChars="200"/>
              <w:textAlignment w:val="baseline"/>
              <w:rPr>
                <w:rFonts w:hint="eastAsia" w:ascii="宋体" w:hAnsi="宋体" w:cs="宋体"/>
                <w:color w:val="auto"/>
                <w:szCs w:val="21"/>
                <w:highlight w:val="none"/>
              </w:rPr>
            </w:pPr>
            <w:r>
              <w:rPr>
                <w:rFonts w:hint="eastAsia" w:ascii="宋体" w:hAnsi="宋体" w:cs="宋体"/>
                <w:color w:val="auto"/>
                <w:szCs w:val="21"/>
                <w:highlight w:val="none"/>
              </w:rPr>
              <w:t>1）运维服务</w:t>
            </w:r>
          </w:p>
          <w:p>
            <w:pPr>
              <w:adjustRightInd w:val="0"/>
              <w:spacing w:line="300" w:lineRule="auto"/>
              <w:ind w:firstLine="420" w:firstLineChars="200"/>
              <w:textAlignment w:val="baseline"/>
              <w:rPr>
                <w:rFonts w:hint="eastAsia" w:ascii="宋体" w:hAnsi="宋体" w:cs="宋体"/>
                <w:color w:val="auto"/>
                <w:szCs w:val="21"/>
                <w:highlight w:val="none"/>
              </w:rPr>
            </w:pPr>
            <w:r>
              <w:rPr>
                <w:rFonts w:hint="eastAsia" w:ascii="宋体" w:hAnsi="宋体" w:cs="宋体"/>
                <w:color w:val="auto"/>
                <w:szCs w:val="21"/>
                <w:highlight w:val="none"/>
              </w:rPr>
              <w:t>▲本项目需提供</w:t>
            </w:r>
            <w:r>
              <w:rPr>
                <w:rFonts w:hint="eastAsia" w:ascii="宋体" w:hAnsi="宋体" w:cs="宋体"/>
                <w:b/>
                <w:bCs/>
                <w:color w:val="auto"/>
                <w:szCs w:val="21"/>
                <w:highlight w:val="none"/>
              </w:rPr>
              <w:t>硬件设备五年运维服务</w:t>
            </w:r>
            <w:r>
              <w:rPr>
                <w:rFonts w:hint="eastAsia" w:ascii="宋体" w:hAnsi="宋体" w:cs="宋体"/>
                <w:color w:val="auto"/>
                <w:szCs w:val="21"/>
                <w:highlight w:val="none"/>
              </w:rPr>
              <w:t>，</w:t>
            </w:r>
            <w:r>
              <w:rPr>
                <w:rFonts w:hint="eastAsia" w:ascii="宋体" w:hAnsi="宋体" w:cs="宋体"/>
                <w:b/>
                <w:bCs/>
                <w:color w:val="auto"/>
                <w:szCs w:val="21"/>
                <w:highlight w:val="none"/>
              </w:rPr>
              <w:t>软件产品（含成品软件授权和定制开发软件）三年运维服务</w:t>
            </w:r>
            <w:r>
              <w:rPr>
                <w:rFonts w:hint="eastAsia" w:ascii="宋体" w:hAnsi="宋体" w:cs="宋体"/>
                <w:color w:val="auto"/>
                <w:szCs w:val="21"/>
                <w:highlight w:val="none"/>
              </w:rPr>
              <w:t>。</w:t>
            </w:r>
          </w:p>
          <w:p>
            <w:pPr>
              <w:adjustRightInd w:val="0"/>
              <w:spacing w:line="300" w:lineRule="auto"/>
              <w:ind w:firstLine="420" w:firstLineChars="200"/>
              <w:textAlignment w:val="baseline"/>
              <w:rPr>
                <w:rFonts w:hint="eastAsia" w:ascii="宋体" w:hAnsi="宋体" w:cs="宋体"/>
                <w:color w:val="auto"/>
                <w:szCs w:val="21"/>
                <w:highlight w:val="none"/>
              </w:rPr>
            </w:pPr>
            <w:r>
              <w:rPr>
                <w:rFonts w:hint="eastAsia" w:ascii="宋体" w:hAnsi="宋体" w:cs="宋体"/>
                <w:color w:val="auto"/>
                <w:szCs w:val="21"/>
                <w:highlight w:val="none"/>
              </w:rPr>
              <w:t>本项目运维期内需提供总体协调、云平台、数据专区、运维系统、安全系统、密码系统等方面共3名针对本项目专职长期驻场工程师。未经采购方同意，中标方不得更换人员。若驻场人员不能有效完成采购方工作要求，自采购方提出更换要求日起3日内中标方需更换人员。</w:t>
            </w:r>
          </w:p>
          <w:p>
            <w:pPr>
              <w:adjustRightInd w:val="0"/>
              <w:spacing w:line="300" w:lineRule="auto"/>
              <w:ind w:firstLine="420" w:firstLineChars="200"/>
              <w:textAlignment w:val="baseline"/>
              <w:rPr>
                <w:rFonts w:hint="eastAsia" w:ascii="宋体" w:hAnsi="宋体" w:cs="宋体"/>
                <w:color w:val="auto"/>
                <w:szCs w:val="21"/>
                <w:highlight w:val="none"/>
              </w:rPr>
            </w:pPr>
            <w:r>
              <w:rPr>
                <w:rFonts w:hint="eastAsia" w:ascii="宋体" w:hAnsi="宋体" w:cs="宋体"/>
                <w:color w:val="auto"/>
                <w:szCs w:val="21"/>
                <w:highlight w:val="none"/>
              </w:rPr>
              <w:t>驻场人员提供合同范围内的硬件设备运维驻场服务，包括但不限于硬件日常巡检、问题处理、周报等。</w:t>
            </w:r>
          </w:p>
          <w:p>
            <w:pPr>
              <w:adjustRightInd w:val="0"/>
              <w:spacing w:line="300" w:lineRule="auto"/>
              <w:ind w:firstLine="420" w:firstLineChars="200"/>
              <w:textAlignment w:val="baseline"/>
              <w:rPr>
                <w:rFonts w:hint="eastAsia" w:ascii="宋体" w:hAnsi="宋体" w:cs="宋体"/>
                <w:color w:val="auto"/>
                <w:szCs w:val="21"/>
                <w:highlight w:val="none"/>
              </w:rPr>
            </w:pPr>
            <w:r>
              <w:rPr>
                <w:rFonts w:hint="eastAsia" w:ascii="宋体" w:hAnsi="宋体" w:cs="宋体"/>
                <w:color w:val="auto"/>
                <w:szCs w:val="21"/>
                <w:highlight w:val="none"/>
              </w:rPr>
              <w:t>2）软件升级及许可更新和技术支持服务</w:t>
            </w:r>
          </w:p>
          <w:p>
            <w:pPr>
              <w:adjustRightInd w:val="0"/>
              <w:spacing w:line="300" w:lineRule="auto"/>
              <w:ind w:firstLine="420" w:firstLineChars="200"/>
              <w:textAlignment w:val="baseline"/>
              <w:rPr>
                <w:rFonts w:hint="eastAsia" w:ascii="宋体" w:hAnsi="宋体" w:cs="宋体"/>
                <w:color w:val="auto"/>
                <w:szCs w:val="21"/>
                <w:highlight w:val="none"/>
              </w:rPr>
            </w:pPr>
            <w:r>
              <w:rPr>
                <w:rFonts w:hint="eastAsia" w:ascii="宋体" w:hAnsi="宋体" w:cs="宋体"/>
                <w:color w:val="auto"/>
                <w:szCs w:val="21"/>
                <w:highlight w:val="none"/>
              </w:rPr>
              <w:t>提供所投硬件服务期限内的产品软件升级及许可更新和技术支持，主要修复软件产品问题，提供软件版本的更新。</w:t>
            </w:r>
          </w:p>
          <w:p>
            <w:pPr>
              <w:pStyle w:val="6"/>
              <w:jc w:val="left"/>
              <w:rPr>
                <w:rFonts w:hint="eastAsia" w:ascii="宋体" w:hAnsi="宋体" w:cs="宋体"/>
                <w:color w:val="auto"/>
                <w:sz w:val="21"/>
                <w:szCs w:val="21"/>
                <w:highlight w:val="none"/>
              </w:rPr>
            </w:pPr>
            <w:bookmarkStart w:id="8" w:name="_Hlk77254590"/>
            <w:r>
              <w:rPr>
                <w:rFonts w:hint="eastAsia" w:ascii="宋体" w:hAnsi="宋体" w:cs="宋体"/>
                <w:color w:val="auto"/>
                <w:sz w:val="21"/>
                <w:szCs w:val="21"/>
                <w:highlight w:val="none"/>
              </w:rPr>
              <w:t>4、培训要求</w:t>
            </w:r>
          </w:p>
          <w:p>
            <w:pPr>
              <w:adjustRightInd w:val="0"/>
              <w:spacing w:line="300" w:lineRule="auto"/>
              <w:ind w:firstLine="420" w:firstLineChars="200"/>
              <w:textAlignment w:val="baseline"/>
              <w:rPr>
                <w:rFonts w:hint="eastAsia" w:ascii="宋体" w:hAnsi="宋体" w:cs="宋体"/>
                <w:color w:val="auto"/>
                <w:szCs w:val="21"/>
                <w:highlight w:val="none"/>
              </w:rPr>
            </w:pPr>
            <w:r>
              <w:rPr>
                <w:rFonts w:hint="eastAsia" w:ascii="宋体" w:hAnsi="宋体" w:cs="宋体"/>
                <w:color w:val="auto"/>
                <w:szCs w:val="21"/>
                <w:highlight w:val="none"/>
              </w:rPr>
              <w:t>培训讲师应为原厂服务器、网络、安全、密码、云平台、业务等方面的相关从业专家，提供培训咨询服务。</w:t>
            </w:r>
          </w:p>
          <w:p>
            <w:pPr>
              <w:adjustRightInd w:val="0"/>
              <w:spacing w:line="300" w:lineRule="auto"/>
              <w:ind w:firstLine="420" w:firstLineChars="200"/>
              <w:textAlignment w:val="baseline"/>
              <w:rPr>
                <w:rFonts w:hint="eastAsia" w:ascii="宋体" w:hAnsi="宋体" w:cs="宋体"/>
                <w:color w:val="auto"/>
                <w:szCs w:val="21"/>
                <w:highlight w:val="none"/>
              </w:rPr>
            </w:pPr>
            <w:r>
              <w:rPr>
                <w:rFonts w:hint="eastAsia" w:ascii="宋体" w:hAnsi="宋体" w:cs="宋体"/>
                <w:color w:val="auto"/>
                <w:szCs w:val="21"/>
                <w:highlight w:val="none"/>
              </w:rPr>
              <w:t>培训内容包括用户现场技术培训、不少于10人天的原厂课程培训（包括使用培训、各类软硬件操作技能、业务系统培训等）；提供相关设备说明书、管理和配置指南手册、使用手册和故障定位/排除指南手册。</w:t>
            </w:r>
          </w:p>
          <w:p>
            <w:pPr>
              <w:adjustRightInd w:val="0"/>
              <w:spacing w:line="300" w:lineRule="auto"/>
              <w:ind w:firstLine="420" w:firstLineChars="200"/>
              <w:textAlignment w:val="baseline"/>
              <w:rPr>
                <w:rFonts w:hint="eastAsia" w:ascii="宋体" w:hAnsi="宋体" w:cs="宋体"/>
                <w:color w:val="auto"/>
                <w:szCs w:val="21"/>
                <w:highlight w:val="none"/>
              </w:rPr>
            </w:pPr>
            <w:r>
              <w:rPr>
                <w:rFonts w:hint="eastAsia" w:ascii="宋体" w:hAnsi="宋体" w:cs="宋体"/>
                <w:color w:val="auto"/>
                <w:szCs w:val="21"/>
                <w:highlight w:val="none"/>
              </w:rPr>
              <w:t>投标方须根据本次招标内容提供全面、详细的培训方案和培训计划，提供有经验的授课教师和标准化的培训课程。</w:t>
            </w:r>
            <w:bookmarkEnd w:id="8"/>
          </w:p>
          <w:p>
            <w:pPr>
              <w:pStyle w:val="6"/>
              <w:jc w:val="left"/>
              <w:rPr>
                <w:rFonts w:hint="eastAsia" w:ascii="宋体" w:hAnsi="宋体" w:cs="宋体"/>
                <w:color w:val="auto"/>
                <w:sz w:val="21"/>
                <w:szCs w:val="21"/>
                <w:highlight w:val="none"/>
              </w:rPr>
            </w:pPr>
            <w:bookmarkStart w:id="9" w:name="_Hlk77254639"/>
            <w:r>
              <w:rPr>
                <w:rFonts w:hint="eastAsia" w:ascii="宋体" w:hAnsi="宋体" w:cs="宋体"/>
                <w:color w:val="auto"/>
                <w:sz w:val="21"/>
                <w:szCs w:val="21"/>
                <w:highlight w:val="none"/>
              </w:rPr>
              <w:t>5、验收要求</w:t>
            </w:r>
          </w:p>
          <w:p>
            <w:pPr>
              <w:adjustRightInd w:val="0"/>
              <w:spacing w:line="300" w:lineRule="auto"/>
              <w:ind w:firstLine="420" w:firstLineChars="200"/>
              <w:textAlignment w:val="baseline"/>
              <w:rPr>
                <w:rFonts w:hint="eastAsia" w:ascii="宋体" w:hAnsi="宋体" w:cs="宋体"/>
                <w:color w:val="auto"/>
                <w:szCs w:val="21"/>
                <w:highlight w:val="none"/>
              </w:rPr>
            </w:pPr>
            <w:r>
              <w:rPr>
                <w:rFonts w:hint="eastAsia" w:ascii="宋体" w:hAnsi="宋体" w:cs="宋体"/>
                <w:color w:val="auto"/>
                <w:szCs w:val="21"/>
                <w:highlight w:val="none"/>
              </w:rPr>
              <w:t>（1）验收依据</w:t>
            </w:r>
          </w:p>
          <w:p>
            <w:pPr>
              <w:adjustRightInd w:val="0"/>
              <w:spacing w:line="300" w:lineRule="auto"/>
              <w:ind w:firstLine="420" w:firstLineChars="200"/>
              <w:textAlignment w:val="baseline"/>
              <w:rPr>
                <w:rFonts w:hint="eastAsia" w:ascii="宋体" w:hAnsi="宋体" w:cs="宋体"/>
                <w:color w:val="auto"/>
                <w:szCs w:val="21"/>
                <w:highlight w:val="none"/>
              </w:rPr>
            </w:pPr>
            <w:r>
              <w:rPr>
                <w:rFonts w:hint="eastAsia" w:ascii="宋体" w:hAnsi="宋体" w:cs="宋体"/>
                <w:color w:val="auto"/>
                <w:szCs w:val="21"/>
                <w:highlight w:val="none"/>
              </w:rPr>
              <w:t>政府采购文件、项目合同或协议等文件；国家有关法律法规和国家或行业发布的标准和规范。</w:t>
            </w:r>
          </w:p>
          <w:p>
            <w:pPr>
              <w:adjustRightInd w:val="0"/>
              <w:spacing w:line="300" w:lineRule="auto"/>
              <w:ind w:firstLine="420" w:firstLineChars="200"/>
              <w:textAlignment w:val="baseline"/>
              <w:rPr>
                <w:rFonts w:hint="eastAsia" w:ascii="宋体" w:hAnsi="宋体" w:cs="宋体"/>
                <w:color w:val="auto"/>
                <w:szCs w:val="21"/>
                <w:highlight w:val="none"/>
              </w:rPr>
            </w:pPr>
            <w:r>
              <w:rPr>
                <w:rFonts w:hint="eastAsia" w:ascii="宋体" w:hAnsi="宋体" w:cs="宋体"/>
                <w:color w:val="auto"/>
                <w:szCs w:val="21"/>
                <w:highlight w:val="none"/>
              </w:rPr>
              <w:t>（2）验收条件</w:t>
            </w:r>
          </w:p>
          <w:p>
            <w:pPr>
              <w:adjustRightInd w:val="0"/>
              <w:spacing w:line="300" w:lineRule="auto"/>
              <w:ind w:firstLine="420" w:firstLineChars="200"/>
              <w:textAlignment w:val="baseline"/>
              <w:rPr>
                <w:rFonts w:hint="eastAsia" w:ascii="宋体" w:hAnsi="宋体" w:cs="宋体"/>
                <w:color w:val="auto"/>
                <w:szCs w:val="21"/>
                <w:highlight w:val="none"/>
              </w:rPr>
            </w:pPr>
            <w:r>
              <w:rPr>
                <w:rFonts w:hint="eastAsia" w:ascii="宋体" w:hAnsi="宋体" w:cs="宋体"/>
                <w:color w:val="auto"/>
                <w:szCs w:val="21"/>
                <w:highlight w:val="none"/>
              </w:rPr>
              <w:t>做好项目验收前的准备工作。中标方按照项目合同或协议完成部署,并已经进行了必要的各个阶段的验证、确认、评审；具备完整的项目验收文档；由采购方组织验收组进行验收，验收组可由用户代表、专家等组成。</w:t>
            </w:r>
          </w:p>
          <w:p>
            <w:pPr>
              <w:adjustRightInd w:val="0"/>
              <w:spacing w:line="300" w:lineRule="auto"/>
              <w:ind w:firstLine="420" w:firstLineChars="200"/>
              <w:textAlignment w:val="baseline"/>
              <w:rPr>
                <w:rFonts w:hint="eastAsia" w:ascii="宋体" w:hAnsi="宋体" w:cs="宋体"/>
                <w:color w:val="auto"/>
                <w:szCs w:val="21"/>
                <w:highlight w:val="none"/>
              </w:rPr>
            </w:pPr>
            <w:r>
              <w:rPr>
                <w:rFonts w:hint="eastAsia" w:ascii="宋体" w:hAnsi="宋体" w:cs="宋体"/>
                <w:color w:val="auto"/>
                <w:szCs w:val="21"/>
                <w:highlight w:val="none"/>
              </w:rPr>
              <w:t>（3）验收步骤</w:t>
            </w:r>
          </w:p>
          <w:p>
            <w:pPr>
              <w:adjustRightInd w:val="0"/>
              <w:spacing w:line="300" w:lineRule="auto"/>
              <w:ind w:firstLine="420" w:firstLineChars="200"/>
              <w:textAlignment w:val="baseline"/>
              <w:rPr>
                <w:rFonts w:hint="eastAsia" w:ascii="宋体" w:hAnsi="宋体" w:cs="宋体"/>
                <w:color w:val="auto"/>
                <w:szCs w:val="21"/>
                <w:highlight w:val="none"/>
              </w:rPr>
            </w:pPr>
            <w:r>
              <w:rPr>
                <w:rFonts w:hint="eastAsia" w:ascii="宋体" w:hAnsi="宋体" w:cs="宋体"/>
                <w:color w:val="auto"/>
                <w:szCs w:val="21"/>
                <w:highlight w:val="none"/>
              </w:rPr>
              <w:t>在项目实施完成之后，由采购方、中标方等组成项目验收小组，完成项目验收工作。项目验收应当遵循的基本程序包括：制定项目验收办法，编写项目验收报告等工作。</w:t>
            </w:r>
          </w:p>
          <w:bookmarkEnd w:id="9"/>
          <w:p>
            <w:pPr>
              <w:pStyle w:val="6"/>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6、运维与驻场要求</w:t>
            </w:r>
          </w:p>
          <w:p>
            <w:pPr>
              <w:adjustRightInd w:val="0"/>
              <w:spacing w:line="300" w:lineRule="auto"/>
              <w:ind w:firstLine="420" w:firstLineChars="200"/>
              <w:textAlignment w:val="baseline"/>
              <w:rPr>
                <w:rFonts w:hint="eastAsia" w:ascii="宋体" w:hAnsi="宋体" w:cs="宋体"/>
                <w:color w:val="auto"/>
                <w:szCs w:val="21"/>
                <w:highlight w:val="none"/>
              </w:rPr>
            </w:pPr>
            <w:r>
              <w:rPr>
                <w:rFonts w:hint="eastAsia" w:ascii="宋体" w:hAnsi="宋体" w:cs="宋体"/>
                <w:color w:val="auto"/>
                <w:szCs w:val="21"/>
                <w:highlight w:val="none"/>
              </w:rPr>
              <w:t>（1）中标方须为本项目提供硬件设备5年运维与软件产品3年的运维期内的原厂售后质保服务以及运维人员驻场服务，运维期从终验结束之日开始计算。</w:t>
            </w:r>
          </w:p>
          <w:p>
            <w:pPr>
              <w:adjustRightInd w:val="0"/>
              <w:spacing w:line="300" w:lineRule="auto"/>
              <w:ind w:firstLine="420" w:firstLineChars="200"/>
              <w:textAlignment w:val="baseline"/>
              <w:rPr>
                <w:rFonts w:hint="eastAsia" w:ascii="宋体" w:hAnsi="宋体" w:cs="宋体"/>
                <w:color w:val="auto"/>
                <w:szCs w:val="21"/>
                <w:highlight w:val="none"/>
              </w:rPr>
            </w:pPr>
            <w:r>
              <w:rPr>
                <w:rFonts w:hint="eastAsia" w:ascii="宋体" w:hAnsi="宋体" w:cs="宋体"/>
                <w:color w:val="auto"/>
                <w:szCs w:val="21"/>
                <w:highlight w:val="none"/>
              </w:rPr>
              <w:t>（2）在运维期内，中标方应提供灵活、多样的通信手段（包括但不限于场地、设备及人员、专用服务电话），提供7*24小时的响应服务，保证在任何时候采购方人员都能及时找到中标方的服务人员。如遇现场人员无法解决的问题或采购方认为需要，中标方的技术人员应在12小时内赶到现场支持。</w:t>
            </w:r>
          </w:p>
          <w:p>
            <w:pPr>
              <w:adjustRightInd w:val="0"/>
              <w:spacing w:line="300" w:lineRule="auto"/>
              <w:ind w:firstLine="420" w:firstLineChars="200"/>
              <w:textAlignment w:val="baseline"/>
              <w:rPr>
                <w:rFonts w:hint="eastAsia" w:ascii="宋体" w:hAnsi="宋体" w:cs="宋体"/>
                <w:color w:val="auto"/>
                <w:szCs w:val="21"/>
                <w:highlight w:val="none"/>
              </w:rPr>
            </w:pPr>
            <w:r>
              <w:rPr>
                <w:rFonts w:hint="eastAsia" w:ascii="宋体" w:hAnsi="宋体" w:cs="宋体"/>
                <w:color w:val="auto"/>
                <w:szCs w:val="21"/>
                <w:highlight w:val="none"/>
              </w:rPr>
              <w:t>（3）所供设备出现问题时，其响应时间不超过15分钟，一般故障处理时间不大于2小时；特殊情况下，故障修复时间不大于24小时。</w:t>
            </w:r>
          </w:p>
          <w:p>
            <w:pPr>
              <w:adjustRightInd w:val="0"/>
              <w:spacing w:line="300" w:lineRule="auto"/>
              <w:ind w:firstLine="420" w:firstLineChars="200"/>
              <w:textAlignment w:val="baseline"/>
              <w:rPr>
                <w:rFonts w:hint="eastAsia" w:ascii="宋体" w:hAnsi="宋体" w:cs="宋体"/>
                <w:color w:val="auto"/>
                <w:szCs w:val="21"/>
                <w:highlight w:val="none"/>
              </w:rPr>
            </w:pPr>
            <w:r>
              <w:rPr>
                <w:rFonts w:hint="eastAsia" w:ascii="宋体" w:hAnsi="宋体" w:cs="宋体"/>
                <w:color w:val="auto"/>
                <w:szCs w:val="21"/>
                <w:highlight w:val="none"/>
              </w:rPr>
              <w:t>（4）投标方应提供排除故障响应的具体流程。</w:t>
            </w:r>
          </w:p>
          <w:p>
            <w:pPr>
              <w:adjustRightInd w:val="0"/>
              <w:spacing w:line="300" w:lineRule="auto"/>
              <w:ind w:firstLine="420" w:firstLineChars="200"/>
              <w:textAlignment w:val="baseline"/>
              <w:rPr>
                <w:rFonts w:hint="eastAsia" w:ascii="宋体" w:hAnsi="宋体" w:cs="宋体"/>
                <w:color w:val="auto"/>
                <w:kern w:val="0"/>
                <w:szCs w:val="21"/>
                <w:highlight w:val="none"/>
                <w:lang w:bidi="ar"/>
              </w:rPr>
            </w:pPr>
            <w:r>
              <w:rPr>
                <w:rFonts w:hint="eastAsia" w:ascii="宋体" w:hAnsi="宋体" w:cs="宋体"/>
                <w:color w:val="auto"/>
                <w:szCs w:val="21"/>
                <w:highlight w:val="none"/>
              </w:rPr>
              <w:t>（5）投标方应在技术建议书中说明技术指导和技术支持的范围和程度，投标方应提供技术服务流程，技术服务内容和价格清单。</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37" w:hRule="atLeast"/>
        </w:trPr>
        <w:tc>
          <w:tcPr>
            <w:tcW w:w="1846" w:type="dxa"/>
            <w:gridSpan w:val="2"/>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auto"/>
                <w:szCs w:val="21"/>
                <w:highlight w:val="none"/>
              </w:rPr>
            </w:pPr>
            <w:r>
              <w:rPr>
                <w:rFonts w:hint="eastAsia" w:ascii="宋体" w:hAnsi="宋体" w:cs="宋体"/>
                <w:b/>
                <w:bCs/>
                <w:color w:val="auto"/>
                <w:szCs w:val="21"/>
                <w:highlight w:val="none"/>
              </w:rPr>
              <w:t>实施要求</w:t>
            </w:r>
          </w:p>
        </w:tc>
        <w:tc>
          <w:tcPr>
            <w:tcW w:w="8054" w:type="dxa"/>
            <w:gridSpan w:val="3"/>
            <w:tcBorders>
              <w:top w:val="single" w:color="auto" w:sz="4" w:space="0"/>
              <w:left w:val="single" w:color="auto" w:sz="4" w:space="0"/>
              <w:bottom w:val="single" w:color="auto" w:sz="4" w:space="0"/>
              <w:right w:val="single" w:color="auto" w:sz="4" w:space="0"/>
            </w:tcBorders>
            <w:vAlign w:val="center"/>
          </w:tcPr>
          <w:p>
            <w:pPr>
              <w:adjustRightInd w:val="0"/>
              <w:spacing w:line="300" w:lineRule="auto"/>
              <w:textAlignment w:val="baseline"/>
              <w:rPr>
                <w:rFonts w:hint="eastAsia" w:ascii="宋体" w:hAnsi="宋体" w:cs="宋体"/>
                <w:color w:val="auto"/>
                <w:szCs w:val="21"/>
                <w:highlight w:val="none"/>
              </w:rPr>
            </w:pPr>
            <w:r>
              <w:rPr>
                <w:rFonts w:hint="eastAsia" w:ascii="宋体" w:hAnsi="宋体" w:cs="宋体"/>
                <w:color w:val="auto"/>
                <w:szCs w:val="21"/>
                <w:highlight w:val="none"/>
              </w:rPr>
              <w:t>1、中标方应向采购方提供全方位、有效而及时的工程技术支持和服务。</w:t>
            </w:r>
          </w:p>
          <w:p>
            <w:pPr>
              <w:adjustRightInd w:val="0"/>
              <w:spacing w:line="300" w:lineRule="auto"/>
              <w:textAlignment w:val="baseline"/>
              <w:rPr>
                <w:rFonts w:hint="eastAsia" w:ascii="宋体" w:hAnsi="宋体" w:cs="宋体"/>
                <w:color w:val="auto"/>
                <w:szCs w:val="21"/>
                <w:highlight w:val="none"/>
              </w:rPr>
            </w:pPr>
            <w:r>
              <w:rPr>
                <w:rFonts w:hint="eastAsia" w:ascii="宋体" w:hAnsi="宋体" w:cs="宋体"/>
                <w:color w:val="auto"/>
                <w:szCs w:val="21"/>
                <w:highlight w:val="none"/>
              </w:rPr>
              <w:t>2、中标方负责所提供硬件的采购、运输、现场安装、调测、上线、验收和开通。</w:t>
            </w:r>
          </w:p>
          <w:p>
            <w:pPr>
              <w:adjustRightInd w:val="0"/>
              <w:spacing w:line="300" w:lineRule="auto"/>
              <w:textAlignment w:val="baseline"/>
              <w:rPr>
                <w:rFonts w:hint="eastAsia" w:ascii="宋体" w:hAnsi="宋体" w:cs="宋体"/>
                <w:color w:val="auto"/>
                <w:szCs w:val="21"/>
                <w:highlight w:val="none"/>
              </w:rPr>
            </w:pPr>
            <w:r>
              <w:rPr>
                <w:rFonts w:hint="eastAsia" w:ascii="宋体" w:hAnsi="宋体" w:cs="宋体"/>
                <w:color w:val="auto"/>
                <w:szCs w:val="21"/>
                <w:highlight w:val="none"/>
              </w:rPr>
              <w:t>3、中标方应负责硬件安装、调测时所需的工具、仪表以及安装材料等。</w:t>
            </w:r>
          </w:p>
          <w:p>
            <w:pPr>
              <w:adjustRightInd w:val="0"/>
              <w:spacing w:line="300" w:lineRule="auto"/>
              <w:textAlignment w:val="baseline"/>
              <w:rPr>
                <w:rFonts w:hint="eastAsia" w:ascii="宋体" w:hAnsi="宋体" w:cs="宋体"/>
                <w:color w:val="auto"/>
                <w:szCs w:val="21"/>
                <w:highlight w:val="none"/>
              </w:rPr>
            </w:pPr>
            <w:r>
              <w:rPr>
                <w:rFonts w:hint="eastAsia" w:ascii="宋体" w:hAnsi="宋体" w:cs="宋体"/>
                <w:color w:val="auto"/>
                <w:szCs w:val="21"/>
                <w:highlight w:val="none"/>
              </w:rPr>
              <w:t>4、系统安装、调试达到技术要求规定的指标并测试通过后，可进行初验；中标方提前1个月提交初验验收申请及相关验收材料给采购方，初验后启动试运行。当试运行后6个月，所有性能指标达到采购方技术要求，并且系统无出现重大故障时可进行系统终验。</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37" w:hRule="atLeast"/>
        </w:trPr>
        <w:tc>
          <w:tcPr>
            <w:tcW w:w="1846" w:type="dxa"/>
            <w:gridSpan w:val="2"/>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b/>
                <w:bCs/>
                <w:color w:val="auto"/>
                <w:szCs w:val="21"/>
                <w:highlight w:val="none"/>
              </w:rPr>
            </w:pPr>
            <w:r>
              <w:rPr>
                <w:rFonts w:hint="eastAsia" w:ascii="宋体" w:hAnsi="宋体" w:cs="宋体"/>
                <w:b/>
                <w:bCs/>
                <w:color w:val="auto"/>
                <w:szCs w:val="21"/>
                <w:highlight w:val="none"/>
              </w:rPr>
              <w:t>知识产权要求</w:t>
            </w:r>
          </w:p>
        </w:tc>
        <w:tc>
          <w:tcPr>
            <w:tcW w:w="8054" w:type="dxa"/>
            <w:gridSpan w:val="3"/>
            <w:tcBorders>
              <w:top w:val="single" w:color="auto" w:sz="4" w:space="0"/>
              <w:left w:val="single" w:color="auto" w:sz="4" w:space="0"/>
              <w:bottom w:val="single" w:color="auto" w:sz="4" w:space="0"/>
              <w:right w:val="single" w:color="auto" w:sz="4" w:space="0"/>
            </w:tcBorders>
            <w:vAlign w:val="center"/>
          </w:tcPr>
          <w:p>
            <w:pPr>
              <w:adjustRightInd w:val="0"/>
              <w:spacing w:line="300" w:lineRule="auto"/>
              <w:textAlignment w:val="baseline"/>
              <w:rPr>
                <w:rFonts w:hint="eastAsia" w:ascii="宋体" w:hAnsi="宋体" w:cs="宋体"/>
                <w:color w:val="auto"/>
                <w:szCs w:val="21"/>
                <w:highlight w:val="none"/>
              </w:rPr>
            </w:pPr>
            <w:r>
              <w:rPr>
                <w:rFonts w:hint="eastAsia" w:ascii="宋体" w:hAnsi="宋体" w:cs="宋体"/>
                <w:color w:val="auto"/>
                <w:szCs w:val="21"/>
                <w:highlight w:val="none"/>
              </w:rPr>
              <w:t>1、投标人须保证采购人对投标人所提供的软硬件和文档资料享有合法的使用权。</w:t>
            </w:r>
          </w:p>
          <w:p>
            <w:pPr>
              <w:adjustRightInd w:val="0"/>
              <w:spacing w:line="300" w:lineRule="auto"/>
              <w:textAlignment w:val="baseline"/>
              <w:rPr>
                <w:rFonts w:hint="eastAsia" w:ascii="宋体" w:hAnsi="宋体" w:cs="宋体"/>
                <w:color w:val="auto"/>
                <w:szCs w:val="21"/>
                <w:highlight w:val="none"/>
              </w:rPr>
            </w:pPr>
            <w:r>
              <w:rPr>
                <w:rFonts w:hint="eastAsia" w:ascii="宋体" w:hAnsi="宋体" w:cs="宋体"/>
                <w:color w:val="auto"/>
                <w:szCs w:val="21"/>
                <w:highlight w:val="none"/>
              </w:rPr>
              <w:t>2、投标人须保证采购人在使用过程中不受到第三方关于侵犯专利权等知识产权的指控。任何第三方如果提出指控，投标人须与第三方交涉并承担可能发生的一切法律责任和费用。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37" w:hRule="atLeast"/>
        </w:trPr>
        <w:tc>
          <w:tcPr>
            <w:tcW w:w="1846" w:type="dxa"/>
            <w:gridSpan w:val="2"/>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b/>
                <w:bCs/>
                <w:color w:val="auto"/>
                <w:kern w:val="0"/>
                <w:szCs w:val="21"/>
                <w:highlight w:val="none"/>
                <w:lang w:bidi="ar"/>
              </w:rPr>
            </w:pPr>
            <w:r>
              <w:rPr>
                <w:rFonts w:hint="eastAsia" w:ascii="宋体" w:hAnsi="宋体" w:cs="宋体"/>
                <w:color w:val="auto"/>
                <w:szCs w:val="21"/>
                <w:highlight w:val="none"/>
              </w:rPr>
              <w:t>▲</w:t>
            </w:r>
            <w:r>
              <w:rPr>
                <w:rFonts w:hint="eastAsia" w:ascii="宋体" w:hAnsi="宋体" w:cs="宋体"/>
                <w:b/>
                <w:bCs/>
                <w:color w:val="auto"/>
                <w:szCs w:val="21"/>
                <w:highlight w:val="none"/>
              </w:rPr>
              <w:t>保密要求</w:t>
            </w:r>
          </w:p>
        </w:tc>
        <w:tc>
          <w:tcPr>
            <w:tcW w:w="8054" w:type="dxa"/>
            <w:gridSpan w:val="3"/>
            <w:tcBorders>
              <w:top w:val="single" w:color="auto" w:sz="4" w:space="0"/>
              <w:left w:val="single" w:color="auto" w:sz="4" w:space="0"/>
              <w:bottom w:val="single" w:color="auto" w:sz="4" w:space="0"/>
              <w:right w:val="single" w:color="auto" w:sz="4" w:space="0"/>
            </w:tcBorders>
            <w:vAlign w:val="center"/>
          </w:tcPr>
          <w:p>
            <w:pPr>
              <w:adjustRightInd w:val="0"/>
              <w:spacing w:line="300" w:lineRule="auto"/>
              <w:textAlignment w:val="baseline"/>
              <w:rPr>
                <w:rFonts w:hint="eastAsia" w:ascii="宋体" w:hAnsi="宋体" w:cs="宋体"/>
                <w:color w:val="auto"/>
                <w:szCs w:val="21"/>
                <w:highlight w:val="none"/>
              </w:rPr>
            </w:pPr>
            <w:r>
              <w:rPr>
                <w:rFonts w:hint="eastAsia" w:ascii="宋体" w:hAnsi="宋体" w:cs="宋体"/>
                <w:color w:val="auto"/>
                <w:szCs w:val="21"/>
                <w:highlight w:val="none"/>
              </w:rPr>
              <w:t>1、投标人应承诺遵守知识产权与安全保密有关规定，投标人必须承诺对本项目技术文件以及由采购人提供的所有内部资料、技术文档和信息予以保密；未经采购人书面许可，不得以任何形式向第三方透露本项目标书以及本项目的任何内容；如采购人要求，投标人必须按照采购人的要求签订相关的保密协议。</w:t>
            </w:r>
          </w:p>
          <w:p>
            <w:pPr>
              <w:adjustRightInd w:val="0"/>
              <w:spacing w:line="300" w:lineRule="auto"/>
              <w:textAlignment w:val="baseline"/>
              <w:rPr>
                <w:rFonts w:hint="eastAsia" w:ascii="宋体" w:hAnsi="宋体" w:cs="宋体"/>
                <w:color w:val="auto"/>
                <w:kern w:val="0"/>
                <w:szCs w:val="21"/>
                <w:highlight w:val="none"/>
                <w:lang w:bidi="ar"/>
              </w:rPr>
            </w:pPr>
            <w:r>
              <w:rPr>
                <w:rFonts w:hint="eastAsia" w:ascii="宋体" w:hAnsi="宋体" w:cs="宋体"/>
                <w:color w:val="auto"/>
                <w:szCs w:val="21"/>
                <w:highlight w:val="none"/>
              </w:rPr>
              <w:t>2、投标人应加强本项目资料的保密管控，必须针对本项目全生命周期涉及的纸质、声音、影像、图像、电子等各种形态资料及其载体的保密管控措施，记录资料由生成到销毁整个生命周期内的使用日志，并根据实际工作情况及时对制度进行调整，资料保密管理制度的建立和修订需得到采购人的同意后方可实行。</w:t>
            </w:r>
          </w:p>
        </w:tc>
      </w:tr>
    </w:tbl>
    <w:p>
      <w:pPr>
        <w:spacing w:line="360" w:lineRule="exact"/>
        <w:ind w:left="6" w:firstLine="431"/>
        <w:rPr>
          <w:rFonts w:hint="eastAsia" w:ascii="宋体" w:hAnsi="宋体"/>
          <w:b/>
          <w:bCs/>
          <w:color w:val="auto"/>
          <w:szCs w:val="21"/>
          <w:highlight w:val="none"/>
        </w:rPr>
      </w:pPr>
    </w:p>
    <w:p>
      <w:pPr>
        <w:pStyle w:val="4"/>
        <w:spacing w:before="0" w:after="0"/>
        <w:rPr>
          <w:rFonts w:ascii="Times New Roman" w:hAnsi="Times New Roman"/>
          <w:color w:val="auto"/>
          <w:highlight w:val="none"/>
        </w:rPr>
      </w:pPr>
      <w:r>
        <w:rPr>
          <w:rFonts w:hint="eastAsia" w:ascii="Times New Roman" w:hAnsi="Times New Roman"/>
          <w:color w:val="auto"/>
          <w:highlight w:val="none"/>
        </w:rPr>
        <w:t>附件：</w:t>
      </w:r>
    </w:p>
    <w:p>
      <w:pPr>
        <w:rPr>
          <w:color w:val="auto"/>
          <w:highlight w:val="none"/>
        </w:rPr>
      </w:pPr>
    </w:p>
    <w:p>
      <w:pPr>
        <w:pStyle w:val="4"/>
        <w:spacing w:before="0" w:after="0"/>
        <w:ind w:firstLine="301" w:firstLineChars="10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技术要求</w:t>
      </w:r>
    </w:p>
    <w:p>
      <w:pPr>
        <w:pStyle w:val="211"/>
        <w:rPr>
          <w:rFonts w:hint="eastAsia" w:ascii="宋体" w:hAnsi="宋体" w:cs="宋体"/>
          <w:color w:val="auto"/>
          <w:sz w:val="24"/>
          <w:szCs w:val="24"/>
          <w:highlight w:val="none"/>
        </w:rPr>
      </w:pPr>
      <w:r>
        <w:rPr>
          <w:rFonts w:hint="eastAsia" w:ascii="宋体" w:hAnsi="宋体" w:cs="宋体"/>
          <w:color w:val="auto"/>
          <w:sz w:val="24"/>
          <w:szCs w:val="24"/>
          <w:highlight w:val="none"/>
        </w:rPr>
        <w:t>一、项目背景</w:t>
      </w:r>
    </w:p>
    <w:p>
      <w:pPr>
        <w:adjustRightInd w:val="0"/>
        <w:spacing w:line="300" w:lineRule="auto"/>
        <w:ind w:firstLine="420" w:firstLineChars="200"/>
        <w:textAlignment w:val="baseline"/>
        <w:rPr>
          <w:rFonts w:hint="eastAsia" w:ascii="宋体" w:hAnsi="宋体" w:cs="宋体"/>
          <w:color w:val="auto"/>
          <w:szCs w:val="20"/>
          <w:highlight w:val="none"/>
        </w:rPr>
      </w:pPr>
      <w:r>
        <w:rPr>
          <w:rFonts w:hint="eastAsia" w:ascii="宋体" w:hAnsi="宋体" w:cs="宋体"/>
          <w:color w:val="auto"/>
          <w:szCs w:val="20"/>
          <w:highlight w:val="none"/>
        </w:rPr>
        <w:t>医疗保障信息化是国家医疗保障系列改革的重要落实与支撑之一，2022年2月，国家医疗保障局印发《国家医疗保障局关于进一步深化推进医保信息化标准化工作的通知》（医保发〔2022〕8号），进一步明确了新阶段医保信息化标准化建设的方向，实现医疗保障信息平台全面应用，运维管理体系全面建立，医保数据治理水平全面提升。重点围绕“扎实推进编码动态维护和深化应用、全面深化平台应用、筑牢网络和数据安全防线、完善平台运维管理体系、持续完善信息基础设施建设、稳步提升数据治理效能”等方面开展建设和完善工作。</w:t>
      </w:r>
    </w:p>
    <w:p>
      <w:pPr>
        <w:adjustRightInd w:val="0"/>
        <w:spacing w:line="300" w:lineRule="auto"/>
        <w:ind w:firstLine="420" w:firstLineChars="200"/>
        <w:textAlignment w:val="baseline"/>
        <w:rPr>
          <w:rFonts w:hint="eastAsia" w:ascii="宋体" w:hAnsi="宋体" w:cs="宋体"/>
          <w:color w:val="auto"/>
          <w:szCs w:val="20"/>
          <w:highlight w:val="none"/>
        </w:rPr>
      </w:pPr>
      <w:r>
        <w:rPr>
          <w:rFonts w:hint="eastAsia" w:ascii="宋体" w:hAnsi="宋体" w:cs="宋体"/>
          <w:color w:val="auto"/>
          <w:szCs w:val="20"/>
          <w:highlight w:val="none"/>
        </w:rPr>
        <w:t>2023年6月，国家医疗保障局办公室印发《医保数据“两结合三赋能”工作方案》（医保办发 〔2023〕18号），让医保数据“走出去”与相关数据“走进来”有机结合，加强对医保改革、管理、服务的赋能，充分激发医保大数据价值要求。根据近年国家及省级下发的相关政策文件要求，结合本地的应用创新和精细化管理，并从参保人存在的实际问题出发，规划广西壮族自治区医疗保障信息平台扩容建设项目数据专区建设内容。</w:t>
      </w:r>
    </w:p>
    <w:p>
      <w:pPr>
        <w:adjustRightInd w:val="0"/>
        <w:spacing w:line="300" w:lineRule="auto"/>
        <w:ind w:firstLine="420" w:firstLineChars="200"/>
        <w:textAlignment w:val="baseline"/>
        <w:rPr>
          <w:rFonts w:hint="eastAsia" w:ascii="宋体" w:hAnsi="宋体" w:cs="宋体"/>
          <w:color w:val="auto"/>
          <w:szCs w:val="20"/>
          <w:highlight w:val="none"/>
        </w:rPr>
      </w:pPr>
      <w:r>
        <w:rPr>
          <w:rFonts w:hint="eastAsia" w:ascii="宋体" w:hAnsi="宋体" w:cs="宋体"/>
          <w:color w:val="auto"/>
          <w:szCs w:val="20"/>
          <w:highlight w:val="none"/>
        </w:rPr>
        <w:t>根据国家医疗保障局的文件精神，本项目围绕“扎实推进编码动态维护和深化应用、全面深化平台应用、筑牢网络和数据安全防线、完善平台运维管理体系、持续完善信息基础设施建设、稳步提升数据治理效能”等方面开展建设和完善工作。</w:t>
      </w:r>
    </w:p>
    <w:p>
      <w:pPr>
        <w:adjustRightInd w:val="0"/>
        <w:spacing w:line="300" w:lineRule="auto"/>
        <w:ind w:firstLine="420" w:firstLineChars="200"/>
        <w:textAlignment w:val="baseline"/>
        <w:rPr>
          <w:color w:val="auto"/>
          <w:highlight w:val="none"/>
        </w:rPr>
      </w:pPr>
    </w:p>
    <w:p>
      <w:pPr>
        <w:pStyle w:val="211"/>
        <w:rPr>
          <w:rFonts w:hint="eastAsia" w:ascii="宋体" w:hAnsi="宋体" w:cs="宋体"/>
          <w:b w:val="0"/>
          <w:bCs w:val="0"/>
          <w:color w:val="auto"/>
          <w:sz w:val="24"/>
          <w:szCs w:val="24"/>
          <w:highlight w:val="none"/>
        </w:rPr>
      </w:pPr>
      <w:r>
        <w:rPr>
          <w:rFonts w:hint="eastAsia" w:ascii="宋体" w:hAnsi="宋体" w:cs="宋体"/>
          <w:color w:val="auto"/>
          <w:sz w:val="24"/>
          <w:szCs w:val="24"/>
          <w:highlight w:val="none"/>
        </w:rPr>
        <w:t>二、项目目标</w:t>
      </w:r>
    </w:p>
    <w:p>
      <w:pPr>
        <w:adjustRightInd w:val="0"/>
        <w:spacing w:line="300" w:lineRule="auto"/>
        <w:ind w:firstLine="420" w:firstLineChars="200"/>
        <w:textAlignment w:val="baseline"/>
        <w:rPr>
          <w:rFonts w:hint="eastAsia" w:ascii="宋体" w:hAnsi="宋体" w:cs="宋体"/>
          <w:color w:val="auto"/>
          <w:szCs w:val="20"/>
          <w:highlight w:val="none"/>
        </w:rPr>
      </w:pPr>
      <w:r>
        <w:rPr>
          <w:rFonts w:hint="eastAsia" w:ascii="宋体" w:hAnsi="宋体" w:cs="宋体"/>
          <w:color w:val="auto"/>
          <w:szCs w:val="20"/>
          <w:highlight w:val="none"/>
        </w:rPr>
        <w:t>为进一步贯彻落实国家医疗保障局医疗保障信息化建设总体部署和国家医疗保障局《国家医疗保障局关于进一步深化推进医保信息化标准化工作的通知》（医保发〔2022〕8号）、《关于进一步明确市县级医保部门数据应用模式的通知》（医保发〔2022〕12号）、《国家医疗保障局办公室关于印发医保数据“两结合三赋能”工作方案的通知》（医保办发〔2023〕18号）以及自治区政府的《广西医疗保障“十四五”规划》的要求，广西壮族自治区医疗保障局启动本次医疗保障信息平台扩容建设项目的建设工作，在满足国家医疗保障局业务系统下发规划与自治区医疗保障业务发展需要的同时，通过自建的方式在自治区医保信息平台核心业务区扩容信创设备，满足自治区医疗保障现有业务增长与新业务部署产生的资源需求，提升安全保障能力并进行密码应用建设。</w:t>
      </w:r>
    </w:p>
    <w:p>
      <w:pPr>
        <w:adjustRightInd w:val="0"/>
        <w:spacing w:line="300" w:lineRule="auto"/>
        <w:ind w:firstLine="420" w:firstLineChars="200"/>
        <w:textAlignment w:val="baseline"/>
        <w:rPr>
          <w:rFonts w:hint="eastAsia" w:ascii="宋体" w:hAnsi="宋体" w:cs="宋体"/>
          <w:color w:val="auto"/>
          <w:szCs w:val="20"/>
          <w:highlight w:val="none"/>
          <w:lang w:val="en"/>
        </w:rPr>
      </w:pPr>
      <w:r>
        <w:rPr>
          <w:rFonts w:hint="eastAsia" w:ascii="宋体" w:hAnsi="宋体" w:cs="宋体"/>
          <w:color w:val="auto"/>
          <w:szCs w:val="20"/>
          <w:highlight w:val="none"/>
        </w:rPr>
        <w:t>通过项目建设提升自治区医疗保障信息平台信息化服务能力，助力全面深化医疗保障体制机制改革，支撑待遇保障、筹资运行、医保支付、基金监管等重要机制和医药服务供给、医保管理服务等关键领域的改革任务，推进医疗保障政策规范化、管理精细化、服务便捷化、改革协同化进程。</w:t>
      </w:r>
    </w:p>
    <w:p>
      <w:pPr>
        <w:pStyle w:val="211"/>
        <w:rPr>
          <w:rFonts w:hint="eastAsia" w:ascii="宋体" w:hAnsi="宋体" w:cs="宋体"/>
          <w:b w:val="0"/>
          <w:bCs w:val="0"/>
          <w:color w:val="auto"/>
          <w:sz w:val="24"/>
          <w:szCs w:val="24"/>
          <w:highlight w:val="none"/>
        </w:rPr>
      </w:pPr>
      <w:r>
        <w:rPr>
          <w:rFonts w:hint="eastAsia" w:ascii="宋体" w:hAnsi="宋体" w:cs="宋体"/>
          <w:color w:val="auto"/>
          <w:sz w:val="24"/>
          <w:szCs w:val="24"/>
          <w:highlight w:val="none"/>
        </w:rPr>
        <w:t>三、采购内容和要求</w:t>
      </w:r>
    </w:p>
    <w:p>
      <w:pPr>
        <w:pStyle w:val="6"/>
        <w:rPr>
          <w:rFonts w:hint="eastAsia" w:ascii="宋体" w:hAnsi="宋体" w:cs="宋体"/>
          <w:b/>
          <w:bCs/>
          <w:color w:val="auto"/>
          <w:sz w:val="24"/>
          <w:szCs w:val="18"/>
          <w:highlight w:val="none"/>
        </w:rPr>
      </w:pPr>
      <w:r>
        <w:rPr>
          <w:rFonts w:hint="eastAsia" w:ascii="宋体" w:hAnsi="宋体" w:cs="宋体"/>
          <w:b/>
          <w:bCs/>
          <w:color w:val="auto"/>
          <w:sz w:val="24"/>
          <w:szCs w:val="18"/>
          <w:highlight w:val="none"/>
        </w:rPr>
        <w:t>（一）采购内容</w:t>
      </w:r>
    </w:p>
    <w:p>
      <w:pPr>
        <w:adjustRightInd w:val="0"/>
        <w:spacing w:line="300" w:lineRule="auto"/>
        <w:ind w:firstLine="420" w:firstLineChars="200"/>
        <w:textAlignment w:val="baseline"/>
        <w:rPr>
          <w:rFonts w:hint="eastAsia" w:ascii="宋体" w:hAnsi="宋体" w:cs="宋体"/>
          <w:color w:val="auto"/>
          <w:szCs w:val="20"/>
          <w:highlight w:val="none"/>
        </w:rPr>
      </w:pPr>
      <w:r>
        <w:rPr>
          <w:rFonts w:hint="eastAsia" w:ascii="宋体" w:hAnsi="宋体" w:cs="宋体"/>
          <w:color w:val="auto"/>
          <w:szCs w:val="20"/>
          <w:highlight w:val="none"/>
        </w:rPr>
        <w:t>依据《国家医疗保障局关于进一步深化推进医保信息化标准化工作的通知》（医保发〔2022〕8号）、《医保数据“两结合三赋能”工作方案》（医保办发 〔2023〕18号）等文件要求，投标人基于招标方的软硬件采购需求及机房等设施系统需求提供相应产品与服务，并结合医保信息平台本次建设内容，提供对医疗保障信息平台所有软硬件的总体集成和专业技术顾问服务。</w:t>
      </w:r>
    </w:p>
    <w:p>
      <w:pPr>
        <w:adjustRightInd w:val="0"/>
        <w:spacing w:line="300" w:lineRule="auto"/>
        <w:ind w:firstLine="420" w:firstLineChars="200"/>
        <w:textAlignment w:val="baseline"/>
        <w:rPr>
          <w:rFonts w:hint="eastAsia" w:ascii="宋体" w:hAnsi="宋体" w:cs="宋体"/>
          <w:color w:val="auto"/>
          <w:szCs w:val="20"/>
          <w:highlight w:val="none"/>
        </w:rPr>
      </w:pPr>
      <w:r>
        <w:rPr>
          <w:rFonts w:hint="eastAsia" w:ascii="宋体" w:hAnsi="宋体" w:cs="宋体"/>
          <w:color w:val="auto"/>
          <w:szCs w:val="20"/>
          <w:highlight w:val="none"/>
        </w:rPr>
        <w:t>本项目包括云平台核心业务区</w:t>
      </w:r>
      <w:r>
        <w:rPr>
          <w:rFonts w:hint="eastAsia" w:ascii="宋体" w:hAnsi="宋体" w:cs="宋体"/>
          <w:b/>
          <w:bCs/>
          <w:color w:val="auto"/>
          <w:szCs w:val="20"/>
          <w:highlight w:val="none"/>
        </w:rPr>
        <w:t>扩容台服务器</w:t>
      </w:r>
      <w:r>
        <w:rPr>
          <w:rFonts w:hint="eastAsia" w:ascii="宋体" w:hAnsi="宋体" w:cs="宋体"/>
          <w:color w:val="auto"/>
          <w:szCs w:val="20"/>
          <w:highlight w:val="none"/>
        </w:rPr>
        <w:t>、</w:t>
      </w:r>
      <w:r>
        <w:rPr>
          <w:rFonts w:hint="eastAsia" w:ascii="宋体" w:hAnsi="宋体" w:cs="宋体"/>
          <w:b/>
          <w:bCs/>
          <w:color w:val="auto"/>
          <w:szCs w:val="20"/>
          <w:highlight w:val="none"/>
        </w:rPr>
        <w:t>配套接入网络设备与云服务授权</w:t>
      </w:r>
      <w:r>
        <w:rPr>
          <w:rFonts w:hint="eastAsia" w:ascii="宋体" w:hAnsi="宋体" w:cs="宋体"/>
          <w:color w:val="auto"/>
          <w:szCs w:val="20"/>
          <w:highlight w:val="none"/>
        </w:rPr>
        <w:t>（如弹性计算、数据库服务、大数据服务等），</w:t>
      </w:r>
      <w:r>
        <w:rPr>
          <w:rFonts w:hint="eastAsia" w:ascii="宋体" w:hAnsi="宋体" w:cs="宋体"/>
          <w:b/>
          <w:bCs/>
          <w:color w:val="auto"/>
          <w:szCs w:val="20"/>
          <w:highlight w:val="none"/>
        </w:rPr>
        <w:t>密码应用建设增加密码软件</w:t>
      </w:r>
      <w:r>
        <w:rPr>
          <w:rFonts w:hint="eastAsia" w:ascii="宋体" w:hAnsi="宋体" w:cs="宋体"/>
          <w:color w:val="auto"/>
          <w:szCs w:val="20"/>
          <w:highlight w:val="none"/>
        </w:rPr>
        <w:t>（密码服务平台、站点证书）与</w:t>
      </w:r>
      <w:r>
        <w:rPr>
          <w:rFonts w:hint="eastAsia" w:ascii="宋体" w:hAnsi="宋体" w:cs="宋体"/>
          <w:b/>
          <w:bCs/>
          <w:color w:val="auto"/>
          <w:szCs w:val="20"/>
          <w:highlight w:val="none"/>
        </w:rPr>
        <w:t>密码设备</w:t>
      </w:r>
      <w:r>
        <w:rPr>
          <w:rFonts w:hint="eastAsia" w:ascii="宋体" w:hAnsi="宋体" w:cs="宋体"/>
          <w:color w:val="auto"/>
          <w:szCs w:val="20"/>
          <w:highlight w:val="none"/>
        </w:rPr>
        <w:t>（云服务器密码机、IPSEC/SSL VPN综合安全网关、SSL VPN网关、数据库加密机），</w:t>
      </w:r>
      <w:r>
        <w:rPr>
          <w:rFonts w:hint="eastAsia" w:ascii="宋体" w:hAnsi="宋体" w:cs="宋体"/>
          <w:b/>
          <w:bCs/>
          <w:color w:val="auto"/>
          <w:szCs w:val="20"/>
          <w:highlight w:val="none"/>
        </w:rPr>
        <w:t>安全系统升级增加安全软件</w:t>
      </w:r>
      <w:r>
        <w:rPr>
          <w:rFonts w:hint="eastAsia" w:ascii="宋体" w:hAnsi="宋体" w:cs="宋体"/>
          <w:color w:val="auto"/>
          <w:szCs w:val="20"/>
          <w:highlight w:val="none"/>
        </w:rPr>
        <w:t>（态势感知探针、主机安全防护、数据安全防护）与安全设备（蜜罐）。软件开发包括两定机构接口数据检测系统与运维系统升级建设。</w:t>
      </w:r>
    </w:p>
    <w:p>
      <w:pPr>
        <w:adjustRightInd w:val="0"/>
        <w:spacing w:line="300" w:lineRule="auto"/>
        <w:ind w:firstLine="420" w:firstLineChars="200"/>
        <w:textAlignment w:val="baseline"/>
        <w:rPr>
          <w:rFonts w:hint="eastAsia" w:ascii="宋体" w:hAnsi="宋体" w:cs="宋体"/>
          <w:color w:val="auto"/>
          <w:szCs w:val="20"/>
          <w:highlight w:val="none"/>
        </w:rPr>
      </w:pPr>
      <w:r>
        <w:rPr>
          <w:rFonts w:hint="eastAsia" w:ascii="宋体" w:hAnsi="宋体" w:cs="宋体"/>
          <w:color w:val="auto"/>
          <w:szCs w:val="20"/>
          <w:highlight w:val="none"/>
        </w:rPr>
        <w:t>总体集成服务主要包括对本采购项目的生产中心与容灾中心的核心业务区软硬件的供货、施工图设计、安装调试、培训及售后服务，并提供对核心业务区云平台、安全系统、密码系统、运维系统、定制开发系统等所有相关的软硬件的总体集成服务，协调并配合本项目所有服务方完成医疗保障信息平台的扩容工作，集成服务须满足医疗保障信息平台各系统和功能区域的使用要求。</w:t>
      </w:r>
    </w:p>
    <w:p>
      <w:pPr>
        <w:adjustRightInd w:val="0"/>
        <w:spacing w:line="300" w:lineRule="auto"/>
        <w:ind w:firstLine="420" w:firstLineChars="200"/>
        <w:textAlignment w:val="baseline"/>
        <w:rPr>
          <w:rFonts w:hint="eastAsia" w:ascii="宋体" w:hAnsi="宋体" w:cs="宋体"/>
          <w:color w:val="auto"/>
          <w:szCs w:val="20"/>
          <w:highlight w:val="none"/>
        </w:rPr>
      </w:pPr>
      <w:r>
        <w:rPr>
          <w:rFonts w:hint="eastAsia" w:ascii="宋体" w:hAnsi="宋体" w:cs="宋体"/>
          <w:color w:val="auto"/>
          <w:szCs w:val="20"/>
          <w:highlight w:val="none"/>
        </w:rPr>
        <w:t>专业技术顾问服务主要包括为信息化建设和信息化管理工作提供全面、客观的专业化建议和专家咨询服务，包括但不限于总体管控服务模式、总体实施计划，明确项目任务分解、各项任务的实施目标和评审检查计划等。</w:t>
      </w:r>
    </w:p>
    <w:p>
      <w:pPr>
        <w:adjustRightInd w:val="0"/>
        <w:spacing w:line="300" w:lineRule="auto"/>
        <w:ind w:firstLine="420" w:firstLineChars="200"/>
        <w:textAlignment w:val="baseline"/>
        <w:rPr>
          <w:rFonts w:hint="eastAsia" w:ascii="宋体" w:hAnsi="宋体" w:cs="宋体"/>
          <w:color w:val="auto"/>
          <w:szCs w:val="20"/>
          <w:highlight w:val="none"/>
        </w:rPr>
      </w:pPr>
      <w:r>
        <w:rPr>
          <w:rFonts w:hint="eastAsia" w:ascii="宋体" w:hAnsi="宋体" w:cs="宋体"/>
          <w:color w:val="auto"/>
          <w:szCs w:val="20"/>
          <w:highlight w:val="none"/>
        </w:rPr>
        <w:t>详细采购内容与要求如下：</w:t>
      </w:r>
    </w:p>
    <w:p>
      <w:pPr>
        <w:rPr>
          <w:color w:val="auto"/>
          <w:highlight w:val="none"/>
        </w:rPr>
      </w:pPr>
    </w:p>
    <w:p>
      <w:pPr>
        <w:pStyle w:val="6"/>
        <w:rPr>
          <w:rFonts w:hint="eastAsia" w:ascii="宋体" w:hAnsi="宋体" w:cs="宋体"/>
          <w:b/>
          <w:bCs/>
          <w:color w:val="auto"/>
          <w:sz w:val="24"/>
          <w:szCs w:val="18"/>
          <w:highlight w:val="none"/>
        </w:rPr>
      </w:pPr>
      <w:r>
        <w:rPr>
          <w:rFonts w:hint="eastAsia" w:ascii="宋体" w:hAnsi="宋体" w:cs="宋体"/>
          <w:b/>
          <w:bCs/>
          <w:color w:val="auto"/>
          <w:sz w:val="24"/>
          <w:szCs w:val="18"/>
          <w:highlight w:val="none"/>
        </w:rPr>
        <w:t>（二）采购要求</w:t>
      </w:r>
    </w:p>
    <w:p>
      <w:pPr>
        <w:adjustRightInd w:val="0"/>
        <w:spacing w:line="300" w:lineRule="auto"/>
        <w:ind w:firstLine="420" w:firstLineChars="200"/>
        <w:textAlignment w:val="baseline"/>
        <w:rPr>
          <w:rFonts w:hint="eastAsia" w:ascii="宋体" w:hAnsi="宋体" w:cs="宋体"/>
          <w:color w:val="auto"/>
          <w:szCs w:val="20"/>
          <w:highlight w:val="none"/>
        </w:rPr>
      </w:pPr>
      <w:r>
        <w:rPr>
          <w:rFonts w:hint="eastAsia" w:ascii="宋体" w:hAnsi="宋体" w:cs="宋体"/>
          <w:color w:val="auto"/>
          <w:szCs w:val="20"/>
          <w:highlight w:val="none"/>
        </w:rPr>
        <w:t>▲广西壮族自治区医疗保障信息平台核心业务区</w:t>
      </w:r>
      <w:r>
        <w:rPr>
          <w:rFonts w:hint="eastAsia" w:ascii="宋体" w:hAnsi="宋体" w:cs="宋体"/>
          <w:b/>
          <w:bCs/>
          <w:color w:val="auto"/>
          <w:szCs w:val="20"/>
          <w:highlight w:val="none"/>
        </w:rPr>
        <w:t>现有云平台为阿里云</w:t>
      </w:r>
      <w:r>
        <w:rPr>
          <w:rFonts w:hint="eastAsia" w:ascii="宋体" w:hAnsi="宋体" w:cs="宋体"/>
          <w:color w:val="auto"/>
          <w:szCs w:val="20"/>
          <w:highlight w:val="none"/>
        </w:rPr>
        <w:t>，本项目采购的云平台服务</w:t>
      </w:r>
      <w:r>
        <w:rPr>
          <w:rFonts w:hint="eastAsia" w:ascii="宋体" w:hAnsi="宋体" w:cs="宋体"/>
          <w:b/>
          <w:bCs/>
          <w:color w:val="auto"/>
          <w:szCs w:val="20"/>
          <w:highlight w:val="none"/>
        </w:rPr>
        <w:t>必须与现有云平台无缝对接</w:t>
      </w:r>
      <w:r>
        <w:rPr>
          <w:rFonts w:hint="eastAsia" w:ascii="宋体" w:hAnsi="宋体" w:cs="宋体"/>
          <w:color w:val="auto"/>
          <w:szCs w:val="20"/>
          <w:highlight w:val="none"/>
        </w:rPr>
        <w:t>，同时应当充分考虑</w:t>
      </w:r>
      <w:r>
        <w:rPr>
          <w:rFonts w:hint="eastAsia" w:ascii="宋体" w:hAnsi="宋体" w:cs="宋体"/>
          <w:b/>
          <w:bCs/>
          <w:color w:val="auto"/>
          <w:szCs w:val="20"/>
          <w:highlight w:val="none"/>
        </w:rPr>
        <w:t>底层硬件设备供应链安全，响应信创要求</w:t>
      </w:r>
      <w:r>
        <w:rPr>
          <w:rFonts w:hint="eastAsia" w:ascii="宋体" w:hAnsi="宋体" w:cs="宋体"/>
          <w:color w:val="auto"/>
          <w:szCs w:val="20"/>
          <w:highlight w:val="none"/>
        </w:rPr>
        <w:t>，</w:t>
      </w:r>
      <w:r>
        <w:rPr>
          <w:rFonts w:hint="eastAsia" w:ascii="宋体" w:hAnsi="宋体" w:cs="宋体"/>
          <w:b/>
          <w:bCs/>
          <w:color w:val="auto"/>
          <w:szCs w:val="20"/>
          <w:highlight w:val="none"/>
        </w:rPr>
        <w:t>提供承诺函</w:t>
      </w:r>
      <w:r>
        <w:rPr>
          <w:rFonts w:hint="eastAsia" w:ascii="宋体" w:hAnsi="宋体" w:cs="宋体"/>
          <w:color w:val="auto"/>
          <w:szCs w:val="20"/>
          <w:highlight w:val="none"/>
        </w:rPr>
        <w:t>。</w:t>
      </w:r>
    </w:p>
    <w:p>
      <w:pPr>
        <w:adjustRightInd w:val="0"/>
        <w:spacing w:line="300" w:lineRule="auto"/>
        <w:ind w:firstLine="420" w:firstLineChars="200"/>
        <w:textAlignment w:val="baseline"/>
        <w:rPr>
          <w:rFonts w:hint="eastAsia" w:ascii="宋体" w:hAnsi="宋体" w:cs="宋体"/>
          <w:color w:val="auto"/>
          <w:szCs w:val="20"/>
          <w:highlight w:val="none"/>
        </w:rPr>
      </w:pPr>
      <w:r>
        <w:rPr>
          <w:rFonts w:hint="eastAsia" w:ascii="宋体" w:hAnsi="宋体" w:cs="宋体"/>
          <w:color w:val="auto"/>
          <w:szCs w:val="20"/>
          <w:highlight w:val="none"/>
        </w:rPr>
        <w:t>本次采购为“交钥匙工程”，为达到建设目标，中标人需提供</w:t>
      </w:r>
      <w:r>
        <w:rPr>
          <w:rFonts w:hint="eastAsia" w:ascii="宋体" w:hAnsi="宋体" w:cs="宋体"/>
          <w:b/>
          <w:bCs/>
          <w:color w:val="auto"/>
          <w:szCs w:val="20"/>
          <w:highlight w:val="none"/>
        </w:rPr>
        <w:t>硬件、云组件、机柜、线路</w:t>
      </w:r>
      <w:r>
        <w:rPr>
          <w:rFonts w:hint="eastAsia" w:ascii="宋体" w:hAnsi="宋体" w:cs="宋体"/>
          <w:color w:val="auto"/>
          <w:szCs w:val="20"/>
          <w:highlight w:val="none"/>
        </w:rPr>
        <w:t>变更支持，提供承诺函。</w:t>
      </w:r>
    </w:p>
    <w:p>
      <w:pPr>
        <w:pStyle w:val="7"/>
        <w:ind w:firstLine="421" w:firstLineChars="150"/>
        <w:rPr>
          <w:color w:val="auto"/>
          <w:highlight w:val="none"/>
        </w:rPr>
      </w:pPr>
      <w:r>
        <w:rPr>
          <w:rFonts w:hint="eastAsia"/>
          <w:color w:val="auto"/>
          <w:highlight w:val="none"/>
        </w:rPr>
        <w:t>1、集成服务</w:t>
      </w:r>
    </w:p>
    <w:p>
      <w:pPr>
        <w:adjustRightInd w:val="0"/>
        <w:spacing w:line="300" w:lineRule="auto"/>
        <w:ind w:firstLine="420" w:firstLineChars="200"/>
        <w:textAlignment w:val="baseline"/>
        <w:rPr>
          <w:rFonts w:hint="eastAsia" w:ascii="宋体" w:hAnsi="宋体" w:cs="宋体"/>
          <w:color w:val="auto"/>
          <w:szCs w:val="20"/>
          <w:highlight w:val="none"/>
        </w:rPr>
      </w:pPr>
      <w:r>
        <w:rPr>
          <w:rFonts w:hint="eastAsia" w:ascii="宋体" w:hAnsi="宋体" w:cs="宋体"/>
          <w:color w:val="auto"/>
          <w:szCs w:val="20"/>
          <w:highlight w:val="none"/>
        </w:rPr>
        <w:t>广西壮族自治区医疗保障信息平台建设项目软硬件系统工程庞大，集成服务应包括项目总体协调、管理、各子系统界面划分，项目总体控制和技术顾问等服务，需对国家医疗保障信息平台设计理念有较深的理解，提供高质量的专业技术服务，以保障项目顺利推进，确保项目不偏离设计方向，确保项目作为统一的整体完成验收。</w:t>
      </w:r>
    </w:p>
    <w:tbl>
      <w:tblPr>
        <w:tblStyle w:val="52"/>
        <w:tblW w:w="9385" w:type="dxa"/>
        <w:jc w:val="center"/>
        <w:tblLayout w:type="fixed"/>
        <w:tblCellMar>
          <w:top w:w="0" w:type="dxa"/>
          <w:left w:w="108" w:type="dxa"/>
          <w:bottom w:w="0" w:type="dxa"/>
          <w:right w:w="108" w:type="dxa"/>
        </w:tblCellMar>
      </w:tblPr>
      <w:tblGrid>
        <w:gridCol w:w="1040"/>
        <w:gridCol w:w="3126"/>
        <w:gridCol w:w="1200"/>
        <w:gridCol w:w="4019"/>
      </w:tblGrid>
      <w:tr>
        <w:tblPrEx>
          <w:tblCellMar>
            <w:top w:w="0" w:type="dxa"/>
            <w:left w:w="108" w:type="dxa"/>
            <w:bottom w:w="0" w:type="dxa"/>
            <w:right w:w="108" w:type="dxa"/>
          </w:tblCellMar>
        </w:tblPrEx>
        <w:trPr>
          <w:trHeight w:val="382" w:hRule="atLeast"/>
          <w:jc w:val="center"/>
        </w:trPr>
        <w:tc>
          <w:tcPr>
            <w:tcW w:w="104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b/>
                <w:bCs/>
                <w:color w:val="auto"/>
                <w:szCs w:val="21"/>
                <w:highlight w:val="none"/>
              </w:rPr>
            </w:pPr>
            <w:r>
              <w:rPr>
                <w:rFonts w:hint="eastAsia" w:ascii="宋体" w:hAnsi="宋体" w:cs="宋体"/>
                <w:b/>
                <w:bCs/>
                <w:color w:val="auto"/>
                <w:szCs w:val="21"/>
                <w:highlight w:val="none"/>
              </w:rPr>
              <w:t>序号</w:t>
            </w:r>
          </w:p>
        </w:tc>
        <w:tc>
          <w:tcPr>
            <w:tcW w:w="3126" w:type="dxa"/>
            <w:tcBorders>
              <w:top w:val="single" w:color="auto" w:sz="4" w:space="0"/>
              <w:left w:val="nil"/>
              <w:bottom w:val="single" w:color="auto" w:sz="4" w:space="0"/>
              <w:right w:val="single" w:color="auto" w:sz="4" w:space="0"/>
            </w:tcBorders>
            <w:vAlign w:val="center"/>
          </w:tcPr>
          <w:p>
            <w:pPr>
              <w:jc w:val="center"/>
              <w:rPr>
                <w:rFonts w:hint="eastAsia" w:ascii="宋体" w:hAnsi="宋体" w:cs="宋体"/>
                <w:b/>
                <w:bCs/>
                <w:color w:val="auto"/>
                <w:szCs w:val="21"/>
                <w:highlight w:val="none"/>
              </w:rPr>
            </w:pPr>
            <w:r>
              <w:rPr>
                <w:rFonts w:hint="eastAsia" w:ascii="宋体" w:hAnsi="宋体" w:cs="宋体"/>
                <w:b/>
                <w:bCs/>
                <w:color w:val="auto"/>
                <w:szCs w:val="21"/>
                <w:highlight w:val="none"/>
              </w:rPr>
              <w:t>名称</w:t>
            </w:r>
          </w:p>
        </w:tc>
        <w:tc>
          <w:tcPr>
            <w:tcW w:w="1200" w:type="dxa"/>
            <w:tcBorders>
              <w:top w:val="single" w:color="auto" w:sz="4" w:space="0"/>
              <w:left w:val="nil"/>
              <w:bottom w:val="single" w:color="auto" w:sz="4" w:space="0"/>
              <w:right w:val="single" w:color="auto" w:sz="4" w:space="0"/>
            </w:tcBorders>
            <w:vAlign w:val="center"/>
          </w:tcPr>
          <w:p>
            <w:pPr>
              <w:jc w:val="center"/>
              <w:rPr>
                <w:rFonts w:hint="eastAsia" w:ascii="宋体" w:hAnsi="宋体" w:cs="宋体"/>
                <w:b/>
                <w:bCs/>
                <w:color w:val="auto"/>
                <w:szCs w:val="21"/>
                <w:highlight w:val="none"/>
              </w:rPr>
            </w:pPr>
            <w:r>
              <w:rPr>
                <w:rFonts w:hint="eastAsia" w:ascii="宋体" w:hAnsi="宋体" w:cs="宋体"/>
                <w:b/>
                <w:bCs/>
                <w:color w:val="auto"/>
                <w:szCs w:val="21"/>
                <w:highlight w:val="none"/>
              </w:rPr>
              <w:t>数量</w:t>
            </w:r>
          </w:p>
        </w:tc>
        <w:tc>
          <w:tcPr>
            <w:tcW w:w="4019" w:type="dxa"/>
            <w:tcBorders>
              <w:top w:val="single" w:color="auto" w:sz="4" w:space="0"/>
              <w:left w:val="nil"/>
              <w:bottom w:val="single" w:color="auto" w:sz="4" w:space="0"/>
              <w:right w:val="single" w:color="auto" w:sz="4" w:space="0"/>
            </w:tcBorders>
            <w:vAlign w:val="center"/>
          </w:tcPr>
          <w:p>
            <w:pPr>
              <w:jc w:val="center"/>
              <w:rPr>
                <w:rFonts w:hint="eastAsia" w:ascii="宋体" w:hAnsi="宋体" w:cs="宋体"/>
                <w:b/>
                <w:bCs/>
                <w:color w:val="auto"/>
                <w:szCs w:val="21"/>
                <w:highlight w:val="none"/>
              </w:rPr>
            </w:pPr>
            <w:r>
              <w:rPr>
                <w:rFonts w:hint="eastAsia" w:ascii="宋体" w:hAnsi="宋体" w:cs="宋体"/>
                <w:b/>
                <w:bCs/>
                <w:color w:val="auto"/>
                <w:szCs w:val="21"/>
                <w:highlight w:val="none"/>
              </w:rPr>
              <w:t>备注</w:t>
            </w:r>
          </w:p>
        </w:tc>
      </w:tr>
      <w:tr>
        <w:tblPrEx>
          <w:tblCellMar>
            <w:top w:w="0" w:type="dxa"/>
            <w:left w:w="108" w:type="dxa"/>
            <w:bottom w:w="0" w:type="dxa"/>
            <w:right w:w="108" w:type="dxa"/>
          </w:tblCellMar>
        </w:tblPrEx>
        <w:trPr>
          <w:trHeight w:val="280" w:hRule="atLeast"/>
          <w:jc w:val="center"/>
        </w:trPr>
        <w:tc>
          <w:tcPr>
            <w:tcW w:w="104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3126" w:type="dxa"/>
            <w:tcBorders>
              <w:top w:val="single" w:color="auto" w:sz="4" w:space="0"/>
              <w:left w:val="nil"/>
              <w:bottom w:val="single" w:color="auto" w:sz="4" w:space="0"/>
              <w:right w:val="single" w:color="auto" w:sz="4" w:space="0"/>
            </w:tcBorders>
            <w:vAlign w:val="center"/>
          </w:tcPr>
          <w:p>
            <w:pPr>
              <w:jc w:val="center"/>
              <w:rPr>
                <w:rFonts w:hint="eastAsia" w:ascii="宋体" w:hAnsi="宋体" w:cs="宋体"/>
                <w:color w:val="auto"/>
                <w:szCs w:val="21"/>
                <w:highlight w:val="none"/>
              </w:rPr>
            </w:pPr>
            <w:r>
              <w:rPr>
                <w:rFonts w:hint="eastAsia" w:ascii="宋体" w:hAnsi="宋体" w:cs="宋体"/>
                <w:color w:val="auto"/>
                <w:szCs w:val="21"/>
                <w:highlight w:val="none"/>
              </w:rPr>
              <w:t>软硬件集成服务</w:t>
            </w:r>
          </w:p>
        </w:tc>
        <w:tc>
          <w:tcPr>
            <w:tcW w:w="1200" w:type="dxa"/>
            <w:tcBorders>
              <w:top w:val="single" w:color="auto" w:sz="4" w:space="0"/>
              <w:left w:val="nil"/>
              <w:bottom w:val="single" w:color="auto" w:sz="4" w:space="0"/>
              <w:right w:val="single" w:color="auto" w:sz="4" w:space="0"/>
            </w:tcBorders>
            <w:vAlign w:val="center"/>
          </w:tcPr>
          <w:p>
            <w:pPr>
              <w:jc w:val="center"/>
              <w:rPr>
                <w:rFonts w:hint="eastAsia" w:ascii="宋体" w:hAnsi="宋体" w:cs="宋体"/>
                <w:color w:val="auto"/>
                <w:szCs w:val="21"/>
                <w:highlight w:val="none"/>
              </w:rPr>
            </w:pPr>
            <w:r>
              <w:rPr>
                <w:rFonts w:hint="eastAsia" w:ascii="宋体" w:hAnsi="宋体" w:cs="宋体"/>
                <w:color w:val="auto"/>
                <w:szCs w:val="21"/>
                <w:highlight w:val="none"/>
              </w:rPr>
              <w:t>1项</w:t>
            </w:r>
          </w:p>
        </w:tc>
        <w:tc>
          <w:tcPr>
            <w:tcW w:w="4019" w:type="dxa"/>
            <w:tcBorders>
              <w:top w:val="single" w:color="auto" w:sz="4" w:space="0"/>
              <w:left w:val="nil"/>
              <w:bottom w:val="single" w:color="auto" w:sz="4" w:space="0"/>
              <w:right w:val="single" w:color="auto" w:sz="4" w:space="0"/>
            </w:tcBorders>
          </w:tcPr>
          <w:p>
            <w:pPr>
              <w:rPr>
                <w:rFonts w:hint="eastAsia" w:ascii="宋体" w:hAnsi="宋体" w:cs="宋体"/>
                <w:color w:val="auto"/>
                <w:szCs w:val="21"/>
                <w:highlight w:val="none"/>
              </w:rPr>
            </w:pPr>
            <w:r>
              <w:rPr>
                <w:rFonts w:hint="eastAsia" w:ascii="宋体" w:hAnsi="宋体" w:cs="宋体"/>
                <w:b/>
                <w:bCs/>
                <w:color w:val="auto"/>
                <w:szCs w:val="21"/>
                <w:highlight w:val="none"/>
              </w:rPr>
              <w:t>提供</w:t>
            </w:r>
            <w:r>
              <w:rPr>
                <w:rFonts w:hint="eastAsia" w:ascii="宋体" w:hAnsi="宋体" w:cs="宋体"/>
                <w:color w:val="auto"/>
                <w:szCs w:val="21"/>
                <w:highlight w:val="none"/>
              </w:rPr>
              <w:t>对核心业务区云平台、计算与网络设备、运维系统、安全系统、密码系统等</w:t>
            </w:r>
            <w:r>
              <w:rPr>
                <w:rFonts w:hint="eastAsia" w:ascii="宋体" w:hAnsi="宋体" w:cs="宋体"/>
                <w:b/>
                <w:bCs/>
                <w:color w:val="auto"/>
                <w:szCs w:val="21"/>
                <w:highlight w:val="none"/>
              </w:rPr>
              <w:t>所有软硬件的总体集成服务</w:t>
            </w:r>
          </w:p>
        </w:tc>
      </w:tr>
      <w:tr>
        <w:tblPrEx>
          <w:tblCellMar>
            <w:top w:w="0" w:type="dxa"/>
            <w:left w:w="108" w:type="dxa"/>
            <w:bottom w:w="0" w:type="dxa"/>
            <w:right w:w="108" w:type="dxa"/>
          </w:tblCellMar>
        </w:tblPrEx>
        <w:trPr>
          <w:trHeight w:val="280" w:hRule="atLeast"/>
          <w:jc w:val="center"/>
        </w:trPr>
        <w:tc>
          <w:tcPr>
            <w:tcW w:w="104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color w:val="auto"/>
                <w:szCs w:val="21"/>
                <w:highlight w:val="none"/>
              </w:rPr>
            </w:pPr>
            <w:r>
              <w:rPr>
                <w:rFonts w:hint="eastAsia" w:ascii="宋体" w:hAnsi="宋体" w:cs="宋体"/>
                <w:color w:val="auto"/>
                <w:szCs w:val="21"/>
                <w:highlight w:val="none"/>
              </w:rPr>
              <w:t>2</w:t>
            </w:r>
          </w:p>
        </w:tc>
        <w:tc>
          <w:tcPr>
            <w:tcW w:w="3126" w:type="dxa"/>
            <w:tcBorders>
              <w:top w:val="single" w:color="auto" w:sz="4" w:space="0"/>
              <w:left w:val="nil"/>
              <w:bottom w:val="single" w:color="auto" w:sz="4" w:space="0"/>
              <w:right w:val="single" w:color="auto" w:sz="4" w:space="0"/>
            </w:tcBorders>
            <w:vAlign w:val="center"/>
          </w:tcPr>
          <w:p>
            <w:pPr>
              <w:jc w:val="center"/>
              <w:rPr>
                <w:rFonts w:hint="eastAsia" w:ascii="宋体" w:hAnsi="宋体" w:cs="宋体"/>
                <w:color w:val="auto"/>
                <w:szCs w:val="21"/>
                <w:highlight w:val="none"/>
              </w:rPr>
            </w:pPr>
            <w:r>
              <w:rPr>
                <w:rFonts w:hint="eastAsia" w:ascii="宋体" w:hAnsi="宋体" w:cs="宋体"/>
                <w:color w:val="auto"/>
                <w:szCs w:val="21"/>
                <w:highlight w:val="none"/>
              </w:rPr>
              <w:t>施工图设计服务</w:t>
            </w:r>
          </w:p>
        </w:tc>
        <w:tc>
          <w:tcPr>
            <w:tcW w:w="1200" w:type="dxa"/>
            <w:tcBorders>
              <w:top w:val="single" w:color="auto" w:sz="4" w:space="0"/>
              <w:left w:val="nil"/>
              <w:bottom w:val="single" w:color="auto" w:sz="4" w:space="0"/>
              <w:right w:val="single" w:color="auto" w:sz="4" w:space="0"/>
            </w:tcBorders>
            <w:vAlign w:val="center"/>
          </w:tcPr>
          <w:p>
            <w:pPr>
              <w:jc w:val="center"/>
              <w:rPr>
                <w:rFonts w:hint="eastAsia" w:ascii="宋体" w:hAnsi="宋体" w:cs="宋体"/>
                <w:color w:val="auto"/>
                <w:szCs w:val="21"/>
                <w:highlight w:val="none"/>
              </w:rPr>
            </w:pPr>
            <w:r>
              <w:rPr>
                <w:rFonts w:hint="eastAsia" w:ascii="宋体" w:hAnsi="宋体" w:cs="宋体"/>
                <w:color w:val="auto"/>
                <w:szCs w:val="21"/>
                <w:highlight w:val="none"/>
              </w:rPr>
              <w:t>1项</w:t>
            </w:r>
          </w:p>
        </w:tc>
        <w:tc>
          <w:tcPr>
            <w:tcW w:w="4019" w:type="dxa"/>
            <w:tcBorders>
              <w:top w:val="single" w:color="auto" w:sz="4" w:space="0"/>
              <w:left w:val="nil"/>
              <w:bottom w:val="single" w:color="auto" w:sz="4" w:space="0"/>
              <w:right w:val="single" w:color="auto" w:sz="4" w:space="0"/>
            </w:tcBorders>
          </w:tcPr>
          <w:p>
            <w:pPr>
              <w:rPr>
                <w:rFonts w:hint="eastAsia" w:ascii="宋体" w:hAnsi="宋体" w:cs="宋体"/>
                <w:color w:val="auto"/>
                <w:szCs w:val="21"/>
                <w:highlight w:val="none"/>
              </w:rPr>
            </w:pPr>
            <w:r>
              <w:rPr>
                <w:rFonts w:ascii="宋体" w:hAnsi="宋体" w:cs="宋体"/>
                <w:color w:val="auto"/>
                <w:szCs w:val="21"/>
                <w:highlight w:val="none"/>
              </w:rPr>
              <w:t>基于方案深化，绘制各专业</w:t>
            </w:r>
            <w:r>
              <w:rPr>
                <w:rFonts w:hint="eastAsia" w:ascii="宋体" w:hAnsi="宋体" w:cs="宋体"/>
                <w:color w:val="auto"/>
                <w:szCs w:val="21"/>
                <w:highlight w:val="none"/>
              </w:rPr>
              <w:t>施工图纸</w:t>
            </w:r>
            <w:r>
              <w:rPr>
                <w:rFonts w:ascii="宋体" w:hAnsi="宋体" w:cs="宋体"/>
                <w:color w:val="auto"/>
                <w:szCs w:val="21"/>
                <w:highlight w:val="none"/>
              </w:rPr>
              <w:t>，明确尺寸、材料、工艺等细节，编制节点详图及说明，协调专业冲突，满足施工与规范要求，为现场实施提供精准依据。</w:t>
            </w:r>
          </w:p>
        </w:tc>
      </w:tr>
      <w:tr>
        <w:tblPrEx>
          <w:tblCellMar>
            <w:top w:w="0" w:type="dxa"/>
            <w:left w:w="108" w:type="dxa"/>
            <w:bottom w:w="0" w:type="dxa"/>
            <w:right w:w="108" w:type="dxa"/>
          </w:tblCellMar>
        </w:tblPrEx>
        <w:trPr>
          <w:trHeight w:val="280" w:hRule="atLeast"/>
          <w:jc w:val="center"/>
        </w:trPr>
        <w:tc>
          <w:tcPr>
            <w:tcW w:w="104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color w:val="auto"/>
                <w:szCs w:val="21"/>
                <w:highlight w:val="none"/>
              </w:rPr>
            </w:pPr>
            <w:r>
              <w:rPr>
                <w:rFonts w:hint="eastAsia" w:ascii="宋体" w:hAnsi="宋体" w:cs="宋体"/>
                <w:color w:val="auto"/>
                <w:szCs w:val="21"/>
                <w:highlight w:val="none"/>
              </w:rPr>
              <w:t>3</w:t>
            </w:r>
          </w:p>
        </w:tc>
        <w:tc>
          <w:tcPr>
            <w:tcW w:w="3126" w:type="dxa"/>
            <w:tcBorders>
              <w:top w:val="single" w:color="auto" w:sz="4" w:space="0"/>
              <w:left w:val="nil"/>
              <w:bottom w:val="single" w:color="auto" w:sz="4" w:space="0"/>
              <w:right w:val="single" w:color="auto" w:sz="4" w:space="0"/>
            </w:tcBorders>
            <w:vAlign w:val="center"/>
          </w:tcPr>
          <w:p>
            <w:pPr>
              <w:jc w:val="center"/>
              <w:rPr>
                <w:rFonts w:hint="eastAsia" w:ascii="宋体" w:hAnsi="宋体" w:cs="宋体"/>
                <w:color w:val="auto"/>
                <w:szCs w:val="21"/>
                <w:highlight w:val="none"/>
              </w:rPr>
            </w:pPr>
            <w:r>
              <w:rPr>
                <w:rFonts w:hint="eastAsia" w:ascii="宋体" w:hAnsi="宋体" w:cs="宋体"/>
                <w:color w:val="auto"/>
                <w:szCs w:val="21"/>
                <w:highlight w:val="none"/>
              </w:rPr>
              <w:t>专业技术顾问服务</w:t>
            </w:r>
          </w:p>
        </w:tc>
        <w:tc>
          <w:tcPr>
            <w:tcW w:w="1200" w:type="dxa"/>
            <w:tcBorders>
              <w:top w:val="single" w:color="auto" w:sz="4" w:space="0"/>
              <w:left w:val="nil"/>
              <w:bottom w:val="single" w:color="auto" w:sz="4" w:space="0"/>
              <w:right w:val="single" w:color="auto" w:sz="4" w:space="0"/>
            </w:tcBorders>
            <w:vAlign w:val="center"/>
          </w:tcPr>
          <w:p>
            <w:pPr>
              <w:jc w:val="center"/>
              <w:rPr>
                <w:rFonts w:hint="eastAsia" w:ascii="宋体" w:hAnsi="宋体" w:cs="宋体"/>
                <w:color w:val="auto"/>
                <w:szCs w:val="21"/>
                <w:highlight w:val="none"/>
              </w:rPr>
            </w:pPr>
            <w:r>
              <w:rPr>
                <w:rFonts w:hint="eastAsia" w:ascii="宋体" w:hAnsi="宋体" w:cs="宋体"/>
                <w:color w:val="auto"/>
                <w:szCs w:val="21"/>
                <w:highlight w:val="none"/>
              </w:rPr>
              <w:t>1项</w:t>
            </w:r>
          </w:p>
        </w:tc>
        <w:tc>
          <w:tcPr>
            <w:tcW w:w="4019" w:type="dxa"/>
            <w:tcBorders>
              <w:top w:val="single" w:color="auto" w:sz="4" w:space="0"/>
              <w:left w:val="nil"/>
              <w:bottom w:val="single" w:color="auto" w:sz="4" w:space="0"/>
              <w:right w:val="single" w:color="auto" w:sz="4" w:space="0"/>
            </w:tcBorders>
          </w:tcPr>
          <w:p>
            <w:pPr>
              <w:rPr>
                <w:rFonts w:hint="eastAsia" w:ascii="宋体" w:hAnsi="宋体" w:cs="宋体"/>
                <w:color w:val="auto"/>
                <w:szCs w:val="21"/>
                <w:highlight w:val="none"/>
              </w:rPr>
            </w:pPr>
            <w:r>
              <w:rPr>
                <w:rFonts w:hint="eastAsia" w:ascii="宋体" w:hAnsi="宋体" w:cs="宋体"/>
                <w:color w:val="auto"/>
                <w:szCs w:val="21"/>
                <w:highlight w:val="none"/>
              </w:rPr>
              <w:t>为信息化项目建设和信息化管理工作提供全面、客观的专业化建议和专家咨询服务。包括但不限于总体管控服务模式、总体实施计划，明确项目任务分解、各项任务的实施目标和评审检查计划等。</w:t>
            </w:r>
          </w:p>
        </w:tc>
      </w:tr>
    </w:tbl>
    <w:p>
      <w:pPr>
        <w:pStyle w:val="8"/>
        <w:rPr>
          <w:color w:val="auto"/>
          <w:highlight w:val="none"/>
        </w:rPr>
      </w:pPr>
      <w:r>
        <w:rPr>
          <w:rFonts w:hint="eastAsia"/>
          <w:color w:val="auto"/>
          <w:highlight w:val="none"/>
        </w:rPr>
        <w:t xml:space="preserve">  （1）软硬件集成服务要求</w:t>
      </w:r>
    </w:p>
    <w:p>
      <w:pPr>
        <w:adjustRightInd w:val="0"/>
        <w:spacing w:line="300" w:lineRule="auto"/>
        <w:ind w:firstLine="420" w:firstLineChars="200"/>
        <w:textAlignment w:val="baseline"/>
        <w:rPr>
          <w:rFonts w:hint="eastAsia" w:ascii="宋体" w:hAnsi="宋体" w:cs="宋体"/>
          <w:color w:val="auto"/>
          <w:szCs w:val="20"/>
          <w:highlight w:val="none"/>
        </w:rPr>
      </w:pPr>
      <w:r>
        <w:rPr>
          <w:rFonts w:hint="eastAsia" w:ascii="宋体" w:hAnsi="宋体" w:cs="宋体"/>
          <w:color w:val="auto"/>
          <w:szCs w:val="20"/>
          <w:highlight w:val="none"/>
        </w:rPr>
        <w:t>包括对采购的设备、系统需集成的部分在用户现场进行部署、调试，并将各个分离的设备、功能和数据等集成到相互关联、统一协调、实际可用的系统。深刻理解集成的工作，主要内容应包含但不限于以下内容：</w:t>
      </w:r>
    </w:p>
    <w:p>
      <w:pPr>
        <w:adjustRightInd w:val="0"/>
        <w:spacing w:line="300" w:lineRule="auto"/>
        <w:ind w:firstLine="420" w:firstLineChars="200"/>
        <w:textAlignment w:val="baseline"/>
        <w:rPr>
          <w:rFonts w:hint="eastAsia" w:ascii="宋体" w:hAnsi="宋体" w:cs="宋体"/>
          <w:color w:val="auto"/>
          <w:szCs w:val="20"/>
          <w:highlight w:val="none"/>
        </w:rPr>
      </w:pPr>
      <w:r>
        <w:rPr>
          <w:rFonts w:hint="eastAsia" w:ascii="宋体" w:hAnsi="宋体" w:cs="宋体"/>
          <w:color w:val="auto"/>
          <w:szCs w:val="20"/>
          <w:highlight w:val="none"/>
        </w:rPr>
        <w:t>（1）编制总体集成及实施方案</w:t>
      </w:r>
    </w:p>
    <w:p>
      <w:pPr>
        <w:adjustRightInd w:val="0"/>
        <w:spacing w:line="300" w:lineRule="auto"/>
        <w:ind w:firstLine="420" w:firstLineChars="200"/>
        <w:textAlignment w:val="baseline"/>
        <w:rPr>
          <w:rFonts w:hint="eastAsia" w:ascii="宋体" w:hAnsi="宋体" w:cs="宋体"/>
          <w:color w:val="auto"/>
          <w:szCs w:val="20"/>
          <w:highlight w:val="none"/>
        </w:rPr>
      </w:pPr>
      <w:r>
        <w:rPr>
          <w:rFonts w:hint="eastAsia" w:ascii="宋体" w:hAnsi="宋体" w:cs="宋体"/>
          <w:color w:val="auto"/>
          <w:szCs w:val="20"/>
          <w:highlight w:val="none"/>
        </w:rPr>
        <w:t>1）根据本项目建设内容，编制系统总体集成及实施方案，应包括梳理公共服务区和核心业务区各子系统之间的接口对接，编制本项目总体系统测试方案、试运行方案及总体验收方案等。</w:t>
      </w:r>
    </w:p>
    <w:p>
      <w:pPr>
        <w:adjustRightInd w:val="0"/>
        <w:spacing w:line="300" w:lineRule="auto"/>
        <w:ind w:firstLine="420" w:firstLineChars="200"/>
        <w:textAlignment w:val="baseline"/>
        <w:rPr>
          <w:rFonts w:hint="eastAsia" w:ascii="宋体" w:hAnsi="宋体" w:cs="宋体"/>
          <w:color w:val="auto"/>
          <w:szCs w:val="20"/>
          <w:highlight w:val="none"/>
        </w:rPr>
      </w:pPr>
      <w:r>
        <w:rPr>
          <w:rFonts w:hint="eastAsia" w:ascii="宋体" w:hAnsi="宋体" w:cs="宋体"/>
          <w:color w:val="auto"/>
          <w:szCs w:val="20"/>
          <w:highlight w:val="none"/>
        </w:rPr>
        <w:t>2）编制工程总集成计划：包括但不限于以下五个阶段：项目需求调研及规划设计阶段、项目工程设计及准备阶段、项目总体集成及实施阶段、工程验收阶段、技术支持及售后运维与推广阶段。对各个阶段的工作内容做详细的描述及时间进度规划。合理规划调度各阶段的工作顺序。对项目实施的先后次序、时间安排做出统一规划，建立协调和沟通机制，配合建设单位协调沟通。</w:t>
      </w:r>
    </w:p>
    <w:p>
      <w:pPr>
        <w:adjustRightInd w:val="0"/>
        <w:spacing w:line="300" w:lineRule="auto"/>
        <w:ind w:firstLine="420" w:firstLineChars="200"/>
        <w:textAlignment w:val="baseline"/>
        <w:rPr>
          <w:rFonts w:hint="eastAsia" w:ascii="宋体" w:hAnsi="宋体" w:cs="宋体"/>
          <w:color w:val="auto"/>
          <w:szCs w:val="20"/>
          <w:highlight w:val="none"/>
        </w:rPr>
      </w:pPr>
      <w:r>
        <w:rPr>
          <w:rFonts w:hint="eastAsia" w:ascii="宋体" w:hAnsi="宋体" w:cs="宋体"/>
          <w:color w:val="auto"/>
          <w:szCs w:val="20"/>
          <w:highlight w:val="none"/>
        </w:rPr>
        <w:t>3）编制工程评审验收方案。根据工程的整体进度计划，制定详细的评审方案。</w:t>
      </w:r>
    </w:p>
    <w:p>
      <w:pPr>
        <w:adjustRightInd w:val="0"/>
        <w:spacing w:line="300" w:lineRule="auto"/>
        <w:ind w:firstLine="420" w:firstLineChars="200"/>
        <w:textAlignment w:val="baseline"/>
        <w:rPr>
          <w:rFonts w:hint="eastAsia" w:ascii="宋体" w:hAnsi="宋体" w:cs="宋体"/>
          <w:color w:val="auto"/>
          <w:szCs w:val="20"/>
          <w:highlight w:val="none"/>
        </w:rPr>
      </w:pPr>
      <w:r>
        <w:rPr>
          <w:rFonts w:hint="eastAsia" w:ascii="宋体" w:hAnsi="宋体" w:cs="宋体"/>
          <w:color w:val="auto"/>
          <w:szCs w:val="20"/>
          <w:highlight w:val="none"/>
        </w:rPr>
        <w:t>4）与建设单位、监理单位一起制定工程的详细实施计划、各分项工作的进度安排，如各分项设备的到货期、进场日期，各分项工作的先后顺序和每项工作的开始完成时间。</w:t>
      </w:r>
    </w:p>
    <w:p>
      <w:pPr>
        <w:adjustRightInd w:val="0"/>
        <w:spacing w:line="300" w:lineRule="auto"/>
        <w:ind w:firstLine="420" w:firstLineChars="200"/>
        <w:textAlignment w:val="baseline"/>
        <w:rPr>
          <w:rFonts w:hint="eastAsia" w:ascii="宋体" w:hAnsi="宋体" w:cs="宋体"/>
          <w:color w:val="auto"/>
          <w:szCs w:val="20"/>
          <w:highlight w:val="none"/>
        </w:rPr>
      </w:pPr>
      <w:r>
        <w:rPr>
          <w:rFonts w:hint="eastAsia" w:ascii="宋体" w:hAnsi="宋体" w:cs="宋体"/>
          <w:color w:val="auto"/>
          <w:szCs w:val="20"/>
          <w:highlight w:val="none"/>
        </w:rPr>
        <w:t>5）协助建设单位制定工程实施的职责分工，厂商之间的协调机制和流程。</w:t>
      </w:r>
    </w:p>
    <w:p>
      <w:pPr>
        <w:adjustRightInd w:val="0"/>
        <w:spacing w:line="300" w:lineRule="auto"/>
        <w:ind w:firstLine="420" w:firstLineChars="200"/>
        <w:textAlignment w:val="baseline"/>
        <w:rPr>
          <w:rFonts w:hint="eastAsia" w:ascii="宋体" w:hAnsi="宋体" w:cs="宋体"/>
          <w:color w:val="auto"/>
          <w:szCs w:val="20"/>
          <w:highlight w:val="none"/>
        </w:rPr>
      </w:pPr>
      <w:r>
        <w:rPr>
          <w:rFonts w:hint="eastAsia" w:ascii="宋体" w:hAnsi="宋体" w:cs="宋体"/>
          <w:color w:val="auto"/>
          <w:szCs w:val="20"/>
          <w:highlight w:val="none"/>
        </w:rPr>
        <w:t>6）配合建设单位、监理单位制定工程实施的各项流程、规范和质量标准等。</w:t>
      </w:r>
    </w:p>
    <w:p>
      <w:pPr>
        <w:adjustRightInd w:val="0"/>
        <w:spacing w:line="300" w:lineRule="auto"/>
        <w:ind w:firstLine="420" w:firstLineChars="200"/>
        <w:textAlignment w:val="baseline"/>
        <w:rPr>
          <w:rFonts w:hint="eastAsia" w:ascii="宋体" w:hAnsi="宋体" w:cs="宋体"/>
          <w:color w:val="auto"/>
          <w:szCs w:val="20"/>
          <w:highlight w:val="none"/>
        </w:rPr>
      </w:pPr>
      <w:r>
        <w:rPr>
          <w:rFonts w:hint="eastAsia" w:ascii="宋体" w:hAnsi="宋体" w:cs="宋体"/>
          <w:color w:val="auto"/>
          <w:szCs w:val="20"/>
          <w:highlight w:val="none"/>
        </w:rPr>
        <w:t>7）协助建设单位制定各项工作的测试方案、验收标准、验收流程，协助项目采购人制作测试报告、验收报告的标准模板。</w:t>
      </w:r>
    </w:p>
    <w:p>
      <w:pPr>
        <w:adjustRightInd w:val="0"/>
        <w:spacing w:line="300" w:lineRule="auto"/>
        <w:ind w:firstLine="420" w:firstLineChars="200"/>
        <w:textAlignment w:val="baseline"/>
        <w:rPr>
          <w:rFonts w:hint="eastAsia" w:ascii="宋体" w:hAnsi="宋体" w:cs="宋体"/>
          <w:color w:val="auto"/>
          <w:szCs w:val="20"/>
          <w:highlight w:val="none"/>
        </w:rPr>
      </w:pPr>
      <w:r>
        <w:rPr>
          <w:rFonts w:hint="eastAsia" w:ascii="宋体" w:hAnsi="宋体" w:cs="宋体"/>
          <w:color w:val="auto"/>
          <w:szCs w:val="20"/>
          <w:highlight w:val="none"/>
        </w:rPr>
        <w:t>（2）制定实施制度和技术规范</w:t>
      </w:r>
    </w:p>
    <w:p>
      <w:pPr>
        <w:adjustRightInd w:val="0"/>
        <w:spacing w:line="300" w:lineRule="auto"/>
        <w:ind w:firstLine="420" w:firstLineChars="200"/>
        <w:textAlignment w:val="baseline"/>
        <w:rPr>
          <w:rFonts w:hint="eastAsia" w:ascii="宋体" w:hAnsi="宋体" w:cs="宋体"/>
          <w:color w:val="auto"/>
          <w:szCs w:val="20"/>
          <w:highlight w:val="none"/>
        </w:rPr>
      </w:pPr>
      <w:r>
        <w:rPr>
          <w:rFonts w:hint="eastAsia" w:ascii="宋体" w:hAnsi="宋体" w:cs="宋体"/>
          <w:color w:val="auto"/>
          <w:szCs w:val="20"/>
          <w:highlight w:val="none"/>
        </w:rPr>
        <w:t>1）在建设单位和各涉及项目承建商的配合下，牵头制定项目规范实施的相关制度和流程，包含但不限于：项目章程、实施制度、职责分工、工作机制、进度控制、质量控制、风险控制、需求管理、投资管理、变更管理和沟通制度等。</w:t>
      </w:r>
    </w:p>
    <w:p>
      <w:pPr>
        <w:adjustRightInd w:val="0"/>
        <w:spacing w:line="300" w:lineRule="auto"/>
        <w:ind w:firstLine="420" w:firstLineChars="200"/>
        <w:textAlignment w:val="baseline"/>
        <w:rPr>
          <w:rFonts w:hint="eastAsia" w:ascii="宋体" w:hAnsi="宋体" w:cs="宋体"/>
          <w:color w:val="auto"/>
          <w:szCs w:val="20"/>
          <w:highlight w:val="none"/>
        </w:rPr>
      </w:pPr>
      <w:r>
        <w:rPr>
          <w:rFonts w:hint="eastAsia" w:ascii="宋体" w:hAnsi="宋体" w:cs="宋体"/>
          <w:color w:val="auto"/>
          <w:szCs w:val="20"/>
          <w:highlight w:val="none"/>
        </w:rPr>
        <w:t>2）在建设单位和各涉及项目承建商的配合下，牵头制定与医疗保障信息平台应用系统集成相关的标准规范，包含但不限于：负责制定平台整体技术统筹、技术选型及各项技术规范、业务流程规范、相关规章制度等，明确各子系统使用的软件开发框架、开发语言、开发环境、运行库、中间件、控件、插件的类型和版本等，确定平台的运行及部署环境，建立本项目所建设内容的各项功能性模块的数据标准、性能指标、开发约定和子系统之间的接口要求等，防止各系统之间发生端口冲突、服务冲突等。</w:t>
      </w:r>
    </w:p>
    <w:p>
      <w:pPr>
        <w:adjustRightInd w:val="0"/>
        <w:spacing w:line="300" w:lineRule="auto"/>
        <w:ind w:firstLine="420" w:firstLineChars="200"/>
        <w:textAlignment w:val="baseline"/>
        <w:rPr>
          <w:rFonts w:hint="eastAsia" w:ascii="宋体" w:hAnsi="宋体" w:cs="宋体"/>
          <w:color w:val="auto"/>
          <w:szCs w:val="20"/>
          <w:highlight w:val="none"/>
        </w:rPr>
      </w:pPr>
      <w:r>
        <w:rPr>
          <w:rFonts w:hint="eastAsia" w:ascii="宋体" w:hAnsi="宋体" w:cs="宋体"/>
          <w:color w:val="auto"/>
          <w:szCs w:val="20"/>
          <w:highlight w:val="none"/>
        </w:rPr>
        <w:t>（3）完成系统集成及实施工作</w:t>
      </w:r>
    </w:p>
    <w:p>
      <w:pPr>
        <w:adjustRightInd w:val="0"/>
        <w:spacing w:line="300" w:lineRule="auto"/>
        <w:ind w:firstLine="420" w:firstLineChars="200"/>
        <w:textAlignment w:val="baseline"/>
        <w:rPr>
          <w:rFonts w:hint="eastAsia" w:ascii="宋体" w:hAnsi="宋体" w:cs="宋体"/>
          <w:color w:val="auto"/>
          <w:szCs w:val="20"/>
          <w:highlight w:val="none"/>
        </w:rPr>
      </w:pPr>
      <w:r>
        <w:rPr>
          <w:rFonts w:hint="eastAsia" w:ascii="宋体" w:hAnsi="宋体" w:cs="宋体"/>
          <w:color w:val="auto"/>
          <w:szCs w:val="20"/>
          <w:highlight w:val="none"/>
        </w:rPr>
        <w:t>1）启动阶段。在建设单位和各涉及项目承建商的配合下，确定项目章程，规定项目的实施制度和工作机制等相关制度和流程，组织制定里程碑及项目计划、协调项目各方资源、以及项目建设的关键指标要求和质量要求以及整体集成服务实施进度计划，并组织相关宣贯培训。</w:t>
      </w:r>
    </w:p>
    <w:p>
      <w:pPr>
        <w:adjustRightInd w:val="0"/>
        <w:spacing w:line="300" w:lineRule="auto"/>
        <w:ind w:firstLine="420" w:firstLineChars="200"/>
        <w:textAlignment w:val="baseline"/>
        <w:rPr>
          <w:rFonts w:hint="eastAsia" w:ascii="宋体" w:hAnsi="宋体" w:cs="宋体"/>
          <w:color w:val="auto"/>
          <w:szCs w:val="20"/>
          <w:highlight w:val="none"/>
        </w:rPr>
      </w:pPr>
      <w:r>
        <w:rPr>
          <w:rFonts w:hint="eastAsia" w:ascii="宋体" w:hAnsi="宋体" w:cs="宋体"/>
          <w:color w:val="auto"/>
          <w:szCs w:val="20"/>
          <w:highlight w:val="none"/>
        </w:rPr>
        <w:t>2）实施阶段。应在初设技术方案的基础上，根据建设单位的需求审核各应用子系统的详细设计技术方案；负责实施范围内所有软件的安装调试工作，保证相关的应用系统可以正常运行；按照制定的集成计划调度、督促各项目组按计划实施，确保总体建设目标的达成；</w:t>
      </w:r>
      <w:r>
        <w:rPr>
          <w:rFonts w:hint="eastAsia" w:ascii="宋体" w:hAnsi="宋体" w:cs="宋体"/>
          <w:color w:val="auto"/>
          <w:szCs w:val="20"/>
          <w:highlight w:val="none"/>
        </w:rPr>
        <w:t>根据平台现状和本次采购情况，提供带外管理工具实现设备统一全生命周期管理；</w:t>
      </w:r>
      <w:r>
        <w:rPr>
          <w:rFonts w:hint="eastAsia" w:ascii="宋体" w:hAnsi="宋体" w:cs="宋体"/>
          <w:color w:val="auto"/>
          <w:szCs w:val="20"/>
          <w:highlight w:val="none"/>
        </w:rPr>
        <w:t>按照制定的质量标准检查、督促各项目组的实施质量，做到问题早发现早解决，确保工程质量达到合格要求；配合建设单位协调各承建单位之间、使用单位之间的关系。</w:t>
      </w:r>
    </w:p>
    <w:p>
      <w:pPr>
        <w:adjustRightInd w:val="0"/>
        <w:spacing w:line="300" w:lineRule="auto"/>
        <w:ind w:firstLine="420" w:firstLineChars="200"/>
        <w:textAlignment w:val="baseline"/>
        <w:rPr>
          <w:rFonts w:hint="eastAsia" w:ascii="宋体" w:hAnsi="宋体" w:cs="宋体"/>
          <w:color w:val="auto"/>
          <w:szCs w:val="20"/>
          <w:highlight w:val="none"/>
        </w:rPr>
      </w:pPr>
      <w:r>
        <w:rPr>
          <w:rFonts w:hint="eastAsia" w:ascii="宋体" w:hAnsi="宋体" w:cs="宋体"/>
          <w:color w:val="auto"/>
          <w:szCs w:val="20"/>
          <w:highlight w:val="none"/>
        </w:rPr>
        <w:t>3）验收和维护阶段。发现、协调并组织解决各涉及项目承建商之间的遗留问题，以及工程验收过程中遇到的其它问题。</w:t>
      </w:r>
    </w:p>
    <w:p>
      <w:pPr>
        <w:adjustRightInd w:val="0"/>
        <w:spacing w:line="300" w:lineRule="auto"/>
        <w:ind w:firstLine="420" w:firstLineChars="200"/>
        <w:textAlignment w:val="baseline"/>
        <w:rPr>
          <w:rFonts w:hint="eastAsia" w:ascii="宋体" w:hAnsi="宋体" w:cs="宋体"/>
          <w:color w:val="auto"/>
          <w:szCs w:val="20"/>
          <w:highlight w:val="none"/>
        </w:rPr>
      </w:pPr>
      <w:r>
        <w:rPr>
          <w:rFonts w:hint="eastAsia" w:ascii="宋体" w:hAnsi="宋体" w:cs="宋体"/>
          <w:color w:val="auto"/>
          <w:szCs w:val="20"/>
          <w:highlight w:val="none"/>
        </w:rPr>
        <w:t>4）施工应符合行业规范和采购人工程管理规范，并提供符合建设单位工程管理规范的文档。</w:t>
      </w:r>
    </w:p>
    <w:p>
      <w:pPr>
        <w:adjustRightInd w:val="0"/>
        <w:spacing w:line="300" w:lineRule="auto"/>
        <w:ind w:firstLine="420" w:firstLineChars="200"/>
        <w:textAlignment w:val="baseline"/>
        <w:rPr>
          <w:rFonts w:hint="eastAsia" w:ascii="宋体" w:hAnsi="宋体" w:cs="宋体"/>
          <w:color w:val="auto"/>
          <w:szCs w:val="20"/>
          <w:highlight w:val="none"/>
        </w:rPr>
      </w:pPr>
      <w:r>
        <w:rPr>
          <w:rFonts w:hint="eastAsia" w:ascii="宋体" w:hAnsi="宋体" w:cs="宋体"/>
          <w:color w:val="auto"/>
          <w:szCs w:val="20"/>
          <w:highlight w:val="none"/>
        </w:rPr>
        <w:t>（4）提供技术咨询等其他相关服务</w:t>
      </w:r>
    </w:p>
    <w:p>
      <w:pPr>
        <w:adjustRightInd w:val="0"/>
        <w:spacing w:line="300" w:lineRule="auto"/>
        <w:ind w:firstLine="420" w:firstLineChars="200"/>
        <w:textAlignment w:val="baseline"/>
        <w:rPr>
          <w:rFonts w:hint="eastAsia" w:ascii="宋体" w:hAnsi="宋体" w:cs="宋体"/>
          <w:color w:val="auto"/>
          <w:szCs w:val="20"/>
          <w:highlight w:val="none"/>
        </w:rPr>
      </w:pPr>
      <w:r>
        <w:rPr>
          <w:rFonts w:hint="eastAsia" w:ascii="宋体" w:hAnsi="宋体" w:cs="宋体"/>
          <w:color w:val="auto"/>
          <w:szCs w:val="20"/>
          <w:highlight w:val="none"/>
        </w:rPr>
        <w:t>1）在建设阶段为建设单位和各涉及项目承建商提供相关技术和标准的咨询服务，确保总体建设目标的达成。</w:t>
      </w:r>
    </w:p>
    <w:p>
      <w:pPr>
        <w:adjustRightInd w:val="0"/>
        <w:spacing w:line="300" w:lineRule="auto"/>
        <w:ind w:firstLine="420" w:firstLineChars="200"/>
        <w:textAlignment w:val="baseline"/>
        <w:rPr>
          <w:rFonts w:hint="eastAsia" w:ascii="宋体" w:hAnsi="宋体" w:cs="宋体"/>
          <w:color w:val="auto"/>
          <w:szCs w:val="20"/>
          <w:highlight w:val="none"/>
        </w:rPr>
      </w:pPr>
      <w:r>
        <w:rPr>
          <w:rFonts w:hint="eastAsia" w:ascii="宋体" w:hAnsi="宋体" w:cs="宋体"/>
          <w:color w:val="auto"/>
          <w:szCs w:val="20"/>
          <w:highlight w:val="none"/>
        </w:rPr>
        <w:t>2）在运维阶段为建设单位和各涉及项目承建商提供技术支持，对运行过程中出现的新问题提供建议和解决方案。</w:t>
      </w:r>
    </w:p>
    <w:p>
      <w:pPr>
        <w:adjustRightInd w:val="0"/>
        <w:spacing w:line="300" w:lineRule="auto"/>
        <w:ind w:firstLine="420" w:firstLineChars="200"/>
        <w:textAlignment w:val="baseline"/>
        <w:rPr>
          <w:rFonts w:hint="eastAsia" w:ascii="宋体" w:hAnsi="宋体" w:cs="宋体"/>
          <w:color w:val="auto"/>
          <w:szCs w:val="20"/>
          <w:highlight w:val="none"/>
        </w:rPr>
      </w:pPr>
      <w:r>
        <w:rPr>
          <w:rFonts w:hint="eastAsia" w:ascii="宋体" w:hAnsi="宋体" w:cs="宋体"/>
          <w:color w:val="auto"/>
          <w:szCs w:val="20"/>
          <w:highlight w:val="none"/>
        </w:rPr>
        <w:t>（6）协助建设单位完成各承建单位项目的初验和终验</w:t>
      </w:r>
    </w:p>
    <w:p>
      <w:pPr>
        <w:adjustRightInd w:val="0"/>
        <w:spacing w:line="300" w:lineRule="auto"/>
        <w:ind w:firstLine="420" w:firstLineChars="200"/>
        <w:textAlignment w:val="baseline"/>
        <w:rPr>
          <w:rFonts w:hint="eastAsia" w:ascii="宋体" w:hAnsi="宋体" w:cs="宋体"/>
          <w:color w:val="auto"/>
          <w:szCs w:val="20"/>
          <w:highlight w:val="none"/>
        </w:rPr>
      </w:pPr>
      <w:r>
        <w:rPr>
          <w:rFonts w:hint="eastAsia" w:ascii="宋体" w:hAnsi="宋体" w:cs="宋体"/>
          <w:color w:val="auto"/>
          <w:szCs w:val="20"/>
          <w:highlight w:val="none"/>
        </w:rPr>
        <w:t>1）与建设单位一起对各分包项目、整体项目进行初步验收，协助建设单位对各分包项目的完成情况进行检查验收。</w:t>
      </w:r>
    </w:p>
    <w:p>
      <w:pPr>
        <w:adjustRightInd w:val="0"/>
        <w:spacing w:line="300" w:lineRule="auto"/>
        <w:ind w:firstLine="420" w:firstLineChars="200"/>
        <w:textAlignment w:val="baseline"/>
        <w:rPr>
          <w:rFonts w:hint="eastAsia" w:ascii="宋体" w:hAnsi="宋体" w:cs="宋体"/>
          <w:color w:val="auto"/>
          <w:szCs w:val="20"/>
          <w:highlight w:val="none"/>
        </w:rPr>
      </w:pPr>
      <w:r>
        <w:rPr>
          <w:rFonts w:hint="eastAsia" w:ascii="宋体" w:hAnsi="宋体" w:cs="宋体"/>
          <w:color w:val="auto"/>
          <w:szCs w:val="20"/>
          <w:highlight w:val="none"/>
        </w:rPr>
        <w:t>2）与建设单位一起对各分包项目、整体项目进行最终验收，协助建设单位对各分包项目的完成情况进行检查验收。</w:t>
      </w:r>
    </w:p>
    <w:p>
      <w:pPr>
        <w:adjustRightInd w:val="0"/>
        <w:spacing w:line="300" w:lineRule="auto"/>
        <w:ind w:firstLine="420" w:firstLineChars="200"/>
        <w:textAlignment w:val="baseline"/>
        <w:rPr>
          <w:rFonts w:hint="eastAsia" w:ascii="宋体" w:hAnsi="宋体" w:cs="宋体"/>
          <w:color w:val="auto"/>
          <w:szCs w:val="20"/>
          <w:highlight w:val="none"/>
        </w:rPr>
      </w:pPr>
      <w:r>
        <w:rPr>
          <w:rFonts w:hint="eastAsia" w:ascii="宋体" w:hAnsi="宋体" w:cs="宋体"/>
          <w:color w:val="auto"/>
          <w:szCs w:val="20"/>
          <w:highlight w:val="none"/>
        </w:rPr>
        <w:t>（7）管理服务要求</w:t>
      </w:r>
    </w:p>
    <w:p>
      <w:pPr>
        <w:adjustRightInd w:val="0"/>
        <w:spacing w:line="300" w:lineRule="auto"/>
        <w:ind w:firstLine="420" w:firstLineChars="200"/>
        <w:textAlignment w:val="baseline"/>
        <w:rPr>
          <w:rFonts w:hint="eastAsia" w:ascii="宋体" w:hAnsi="宋体" w:cs="宋体"/>
          <w:color w:val="auto"/>
          <w:szCs w:val="20"/>
          <w:highlight w:val="none"/>
        </w:rPr>
      </w:pPr>
      <w:r>
        <w:rPr>
          <w:rFonts w:hint="eastAsia" w:ascii="宋体" w:hAnsi="宋体" w:cs="宋体"/>
          <w:color w:val="auto"/>
          <w:szCs w:val="20"/>
          <w:highlight w:val="none"/>
        </w:rPr>
        <w:t>1）项目实施过程控制</w:t>
      </w:r>
    </w:p>
    <w:p>
      <w:pPr>
        <w:adjustRightInd w:val="0"/>
        <w:spacing w:line="300" w:lineRule="auto"/>
        <w:ind w:firstLine="420" w:firstLineChars="200"/>
        <w:textAlignment w:val="baseline"/>
        <w:rPr>
          <w:rFonts w:hint="eastAsia" w:ascii="宋体" w:hAnsi="宋体" w:cs="宋体"/>
          <w:color w:val="auto"/>
          <w:szCs w:val="20"/>
          <w:highlight w:val="none"/>
        </w:rPr>
      </w:pPr>
      <w:r>
        <w:rPr>
          <w:rFonts w:hint="eastAsia" w:ascii="宋体" w:hAnsi="宋体" w:cs="宋体"/>
          <w:color w:val="auto"/>
          <w:szCs w:val="20"/>
          <w:highlight w:val="none"/>
        </w:rPr>
        <w:t>组织技术队伍，提供详细的施工计划书，并对硬件及软件进行技术培训；设备到场后严格按照之前制定的施工计划书执行。</w:t>
      </w:r>
    </w:p>
    <w:p>
      <w:pPr>
        <w:adjustRightInd w:val="0"/>
        <w:spacing w:line="300" w:lineRule="auto"/>
        <w:ind w:firstLine="420" w:firstLineChars="200"/>
        <w:textAlignment w:val="baseline"/>
        <w:rPr>
          <w:rFonts w:hint="eastAsia" w:ascii="宋体" w:hAnsi="宋体" w:cs="宋体"/>
          <w:color w:val="auto"/>
          <w:szCs w:val="20"/>
          <w:highlight w:val="none"/>
        </w:rPr>
      </w:pPr>
      <w:r>
        <w:rPr>
          <w:rFonts w:hint="eastAsia" w:ascii="宋体" w:hAnsi="宋体" w:cs="宋体"/>
          <w:color w:val="auto"/>
          <w:szCs w:val="20"/>
          <w:highlight w:val="none"/>
        </w:rPr>
        <w:t>2）项目实施过程文档管理</w:t>
      </w:r>
    </w:p>
    <w:p>
      <w:pPr>
        <w:adjustRightInd w:val="0"/>
        <w:spacing w:line="300" w:lineRule="auto"/>
        <w:ind w:firstLine="420" w:firstLineChars="200"/>
        <w:textAlignment w:val="baseline"/>
        <w:rPr>
          <w:rFonts w:hint="eastAsia" w:ascii="宋体" w:hAnsi="宋体" w:cs="宋体"/>
          <w:color w:val="auto"/>
          <w:szCs w:val="20"/>
          <w:highlight w:val="none"/>
        </w:rPr>
      </w:pPr>
      <w:r>
        <w:rPr>
          <w:rFonts w:hint="eastAsia" w:ascii="宋体" w:hAnsi="宋体" w:cs="宋体"/>
          <w:color w:val="auto"/>
          <w:szCs w:val="20"/>
          <w:highlight w:val="none"/>
        </w:rPr>
        <w:t>在项目实施过程中，由于项目实施的复杂性，多方人员参加以及时间跨度等因素，有关需求、建议、解决方案和结论都必须文档化、标准化，以便查阅和引用。</w:t>
      </w:r>
    </w:p>
    <w:p>
      <w:pPr>
        <w:adjustRightInd w:val="0"/>
        <w:spacing w:line="300" w:lineRule="auto"/>
        <w:ind w:firstLine="420" w:firstLineChars="200"/>
        <w:textAlignment w:val="baseline"/>
        <w:rPr>
          <w:rFonts w:hint="eastAsia" w:ascii="宋体" w:hAnsi="宋体" w:cs="宋体"/>
          <w:color w:val="auto"/>
          <w:szCs w:val="20"/>
          <w:highlight w:val="none"/>
        </w:rPr>
      </w:pPr>
      <w:r>
        <w:rPr>
          <w:rFonts w:hint="eastAsia" w:ascii="宋体" w:hAnsi="宋体" w:cs="宋体"/>
          <w:color w:val="auto"/>
          <w:szCs w:val="20"/>
          <w:highlight w:val="none"/>
        </w:rPr>
        <w:t>3）项目实施组织架构：</w:t>
      </w:r>
    </w:p>
    <w:p>
      <w:pPr>
        <w:adjustRightInd w:val="0"/>
        <w:spacing w:line="300" w:lineRule="auto"/>
        <w:ind w:firstLine="420" w:firstLineChars="200"/>
        <w:textAlignment w:val="baseline"/>
        <w:rPr>
          <w:rFonts w:hint="eastAsia" w:ascii="宋体" w:hAnsi="宋体" w:cs="宋体"/>
          <w:color w:val="auto"/>
          <w:szCs w:val="20"/>
          <w:highlight w:val="none"/>
        </w:rPr>
      </w:pPr>
      <w:r>
        <w:rPr>
          <w:rFonts w:hint="eastAsia" w:ascii="宋体" w:hAnsi="宋体" w:cs="宋体"/>
          <w:color w:val="auto"/>
          <w:szCs w:val="20"/>
          <w:highlight w:val="none"/>
        </w:rPr>
        <w:t>配备具备Windows、linux等主流操作系统、虚拟化管理、网络安全管理技术资质和实施经验的工程师参与工程实施。</w:t>
      </w:r>
    </w:p>
    <w:p>
      <w:pPr>
        <w:adjustRightInd w:val="0"/>
        <w:spacing w:line="300" w:lineRule="auto"/>
        <w:ind w:firstLine="420" w:firstLineChars="200"/>
        <w:textAlignment w:val="baseline"/>
        <w:rPr>
          <w:rFonts w:hint="eastAsia" w:ascii="宋体" w:hAnsi="宋体" w:cs="宋体"/>
          <w:color w:val="auto"/>
          <w:szCs w:val="20"/>
          <w:highlight w:val="none"/>
        </w:rPr>
      </w:pPr>
      <w:r>
        <w:rPr>
          <w:rFonts w:hint="eastAsia" w:ascii="宋体" w:hAnsi="宋体" w:cs="宋体"/>
          <w:color w:val="auto"/>
          <w:szCs w:val="20"/>
          <w:highlight w:val="none"/>
        </w:rPr>
        <w:t>4）项目验收安排</w:t>
      </w:r>
    </w:p>
    <w:p>
      <w:pPr>
        <w:adjustRightInd w:val="0"/>
        <w:spacing w:line="300" w:lineRule="auto"/>
        <w:ind w:firstLine="420" w:firstLineChars="200"/>
        <w:textAlignment w:val="baseline"/>
        <w:rPr>
          <w:rFonts w:hint="eastAsia" w:ascii="宋体" w:hAnsi="宋体" w:cs="宋体"/>
          <w:color w:val="auto"/>
          <w:szCs w:val="20"/>
          <w:highlight w:val="none"/>
        </w:rPr>
      </w:pPr>
      <w:r>
        <w:rPr>
          <w:rFonts w:hint="eastAsia" w:ascii="宋体" w:hAnsi="宋体" w:cs="宋体"/>
          <w:color w:val="auto"/>
          <w:szCs w:val="20"/>
          <w:highlight w:val="none"/>
        </w:rPr>
        <w:t>安装调试完成后提出初验申请，并从初验合格之日起进行试运行，试运行6个月并运行正常后可组织项目终验。</w:t>
      </w:r>
    </w:p>
    <w:p>
      <w:pPr>
        <w:pStyle w:val="8"/>
        <w:rPr>
          <w:color w:val="auto"/>
          <w:highlight w:val="none"/>
        </w:rPr>
      </w:pPr>
      <w:r>
        <w:rPr>
          <w:rFonts w:hint="eastAsia"/>
          <w:color w:val="auto"/>
          <w:highlight w:val="none"/>
        </w:rPr>
        <w:t xml:space="preserve">  （2）施工图设计服务要求</w:t>
      </w:r>
    </w:p>
    <w:p>
      <w:pPr>
        <w:adjustRightInd w:val="0"/>
        <w:spacing w:line="300" w:lineRule="auto"/>
        <w:ind w:firstLine="420" w:firstLineChars="200"/>
        <w:textAlignment w:val="baseline"/>
        <w:rPr>
          <w:rFonts w:hint="eastAsia" w:ascii="宋体" w:hAnsi="宋体" w:cs="宋体"/>
          <w:color w:val="auto"/>
          <w:szCs w:val="20"/>
          <w:highlight w:val="none"/>
        </w:rPr>
      </w:pPr>
      <w:r>
        <w:rPr>
          <w:rFonts w:hint="eastAsia" w:ascii="宋体" w:hAnsi="宋体" w:cs="宋体"/>
          <w:color w:val="auto"/>
          <w:szCs w:val="20"/>
          <w:highlight w:val="none"/>
        </w:rPr>
        <w:t>为保障平台建设的规范、稳定和高质量，需对本项目进行施工图设计，结合广西壮族自治区医疗保障局审核报批的相关流程规范，投标人需承诺委托有相应资质的第三方设计单位提供基础设施的施工图设计方案，施工图设计方案报广西壮族自治区医疗保障局审核及备案后开展实施建设。</w:t>
      </w:r>
    </w:p>
    <w:p>
      <w:pPr>
        <w:adjustRightInd w:val="0"/>
        <w:spacing w:line="300" w:lineRule="auto"/>
        <w:ind w:firstLine="420" w:firstLineChars="200"/>
        <w:textAlignment w:val="baseline"/>
        <w:rPr>
          <w:rFonts w:hint="eastAsia" w:ascii="宋体" w:hAnsi="宋体" w:cs="宋体"/>
          <w:color w:val="auto"/>
          <w:szCs w:val="20"/>
          <w:highlight w:val="none"/>
        </w:rPr>
      </w:pPr>
      <w:r>
        <w:rPr>
          <w:rFonts w:hint="eastAsia" w:ascii="宋体" w:hAnsi="宋体" w:cs="宋体"/>
          <w:color w:val="auto"/>
          <w:szCs w:val="20"/>
          <w:highlight w:val="none"/>
        </w:rPr>
        <w:t>施工图设计方案及服务内容包含但不限于：</w:t>
      </w:r>
    </w:p>
    <w:p>
      <w:pPr>
        <w:adjustRightInd w:val="0"/>
        <w:spacing w:line="300" w:lineRule="auto"/>
        <w:ind w:firstLine="420" w:firstLineChars="200"/>
        <w:textAlignment w:val="baseline"/>
        <w:rPr>
          <w:rFonts w:hint="eastAsia" w:ascii="宋体" w:hAnsi="宋体" w:cs="宋体"/>
          <w:color w:val="auto"/>
          <w:szCs w:val="20"/>
          <w:highlight w:val="none"/>
        </w:rPr>
      </w:pPr>
      <w:r>
        <w:rPr>
          <w:rFonts w:hint="eastAsia" w:ascii="宋体" w:hAnsi="宋体" w:cs="宋体"/>
          <w:color w:val="auto"/>
          <w:szCs w:val="20"/>
          <w:highlight w:val="none"/>
        </w:rPr>
        <w:t>（1）施工图设计方案说明</w:t>
      </w:r>
    </w:p>
    <w:p>
      <w:pPr>
        <w:adjustRightInd w:val="0"/>
        <w:spacing w:line="300" w:lineRule="auto"/>
        <w:ind w:firstLine="420" w:firstLineChars="200"/>
        <w:textAlignment w:val="baseline"/>
        <w:rPr>
          <w:rFonts w:hint="eastAsia" w:ascii="宋体" w:hAnsi="宋体" w:cs="宋体"/>
          <w:color w:val="auto"/>
          <w:szCs w:val="20"/>
          <w:highlight w:val="none"/>
        </w:rPr>
      </w:pPr>
      <w:r>
        <w:rPr>
          <w:rFonts w:hint="eastAsia" w:ascii="宋体" w:hAnsi="宋体" w:cs="宋体"/>
          <w:color w:val="auto"/>
          <w:szCs w:val="20"/>
          <w:highlight w:val="none"/>
        </w:rPr>
        <w:t>（2）设备详细配置及功耗清单</w:t>
      </w:r>
    </w:p>
    <w:p>
      <w:pPr>
        <w:adjustRightInd w:val="0"/>
        <w:spacing w:line="300" w:lineRule="auto"/>
        <w:ind w:firstLine="420" w:firstLineChars="200"/>
        <w:textAlignment w:val="baseline"/>
        <w:rPr>
          <w:rFonts w:hint="eastAsia" w:ascii="宋体" w:hAnsi="宋体" w:cs="宋体"/>
          <w:color w:val="auto"/>
          <w:szCs w:val="20"/>
          <w:highlight w:val="none"/>
        </w:rPr>
      </w:pPr>
      <w:r>
        <w:rPr>
          <w:rFonts w:hint="eastAsia" w:ascii="宋体" w:hAnsi="宋体" w:cs="宋体"/>
          <w:color w:val="auto"/>
          <w:szCs w:val="20"/>
          <w:highlight w:val="none"/>
        </w:rPr>
        <w:t>（3）机房规划</w:t>
      </w:r>
    </w:p>
    <w:p>
      <w:pPr>
        <w:adjustRightInd w:val="0"/>
        <w:spacing w:line="300" w:lineRule="auto"/>
        <w:ind w:firstLine="420" w:firstLineChars="200"/>
        <w:textAlignment w:val="baseline"/>
        <w:rPr>
          <w:rFonts w:hint="eastAsia" w:ascii="宋体" w:hAnsi="宋体" w:cs="宋体"/>
          <w:color w:val="auto"/>
          <w:szCs w:val="20"/>
          <w:highlight w:val="none"/>
        </w:rPr>
      </w:pPr>
      <w:r>
        <w:rPr>
          <w:rFonts w:hint="eastAsia" w:ascii="宋体" w:hAnsi="宋体" w:cs="宋体"/>
          <w:color w:val="auto"/>
          <w:szCs w:val="20"/>
          <w:highlight w:val="none"/>
        </w:rPr>
        <w:t>（4）设备机柜规划</w:t>
      </w:r>
    </w:p>
    <w:p>
      <w:pPr>
        <w:adjustRightInd w:val="0"/>
        <w:spacing w:line="300" w:lineRule="auto"/>
        <w:ind w:firstLine="420" w:firstLineChars="200"/>
        <w:textAlignment w:val="baseline"/>
        <w:rPr>
          <w:rFonts w:hint="eastAsia" w:ascii="宋体" w:hAnsi="宋体" w:cs="宋体"/>
          <w:color w:val="auto"/>
          <w:szCs w:val="20"/>
          <w:highlight w:val="none"/>
        </w:rPr>
      </w:pPr>
      <w:r>
        <w:rPr>
          <w:rFonts w:hint="eastAsia" w:ascii="宋体" w:hAnsi="宋体" w:cs="宋体"/>
          <w:color w:val="auto"/>
          <w:szCs w:val="20"/>
          <w:highlight w:val="none"/>
        </w:rPr>
        <w:t>（5）设备路由布局</w:t>
      </w:r>
    </w:p>
    <w:p>
      <w:pPr>
        <w:adjustRightInd w:val="0"/>
        <w:spacing w:line="300" w:lineRule="auto"/>
        <w:ind w:firstLine="420" w:firstLineChars="200"/>
        <w:textAlignment w:val="baseline"/>
        <w:rPr>
          <w:rFonts w:hint="eastAsia" w:ascii="宋体" w:hAnsi="宋体" w:cs="宋体"/>
          <w:color w:val="auto"/>
          <w:szCs w:val="20"/>
          <w:highlight w:val="none"/>
        </w:rPr>
      </w:pPr>
      <w:r>
        <w:rPr>
          <w:rFonts w:hint="eastAsia" w:ascii="宋体" w:hAnsi="宋体" w:cs="宋体"/>
          <w:color w:val="auto"/>
          <w:szCs w:val="20"/>
          <w:highlight w:val="none"/>
        </w:rPr>
        <w:t>（6）网络拓扑方案</w:t>
      </w:r>
    </w:p>
    <w:p>
      <w:pPr>
        <w:adjustRightInd w:val="0"/>
        <w:spacing w:line="300" w:lineRule="auto"/>
        <w:ind w:firstLine="420" w:firstLineChars="200"/>
        <w:textAlignment w:val="baseline"/>
        <w:rPr>
          <w:rFonts w:hint="eastAsia" w:ascii="宋体" w:hAnsi="宋体" w:cs="宋体"/>
          <w:color w:val="auto"/>
          <w:szCs w:val="20"/>
          <w:highlight w:val="none"/>
        </w:rPr>
      </w:pPr>
      <w:r>
        <w:rPr>
          <w:rFonts w:hint="eastAsia" w:ascii="宋体" w:hAnsi="宋体" w:cs="宋体"/>
          <w:color w:val="auto"/>
          <w:szCs w:val="20"/>
          <w:highlight w:val="none"/>
        </w:rPr>
        <w:t>（7）线缆规划及布放方案</w:t>
      </w:r>
    </w:p>
    <w:p>
      <w:pPr>
        <w:adjustRightInd w:val="0"/>
        <w:spacing w:line="300" w:lineRule="auto"/>
        <w:ind w:firstLine="420" w:firstLineChars="200"/>
        <w:textAlignment w:val="baseline"/>
        <w:rPr>
          <w:rFonts w:hint="eastAsia" w:ascii="宋体" w:hAnsi="宋体" w:cs="宋体"/>
          <w:color w:val="auto"/>
          <w:szCs w:val="20"/>
          <w:highlight w:val="none"/>
        </w:rPr>
      </w:pPr>
      <w:r>
        <w:rPr>
          <w:rFonts w:hint="eastAsia" w:ascii="宋体" w:hAnsi="宋体" w:cs="宋体"/>
          <w:color w:val="auto"/>
          <w:szCs w:val="20"/>
          <w:highlight w:val="none"/>
        </w:rPr>
        <w:t>（8）端口分配连接方案</w:t>
      </w:r>
    </w:p>
    <w:p>
      <w:pPr>
        <w:adjustRightInd w:val="0"/>
        <w:spacing w:line="300" w:lineRule="auto"/>
        <w:ind w:firstLine="420" w:firstLineChars="200"/>
        <w:textAlignment w:val="baseline"/>
        <w:rPr>
          <w:rFonts w:hint="eastAsia" w:ascii="宋体" w:hAnsi="宋体" w:cs="宋体"/>
          <w:color w:val="auto"/>
          <w:szCs w:val="20"/>
          <w:highlight w:val="none"/>
        </w:rPr>
      </w:pPr>
      <w:r>
        <w:rPr>
          <w:rFonts w:hint="eastAsia" w:ascii="宋体" w:hAnsi="宋体" w:cs="宋体"/>
          <w:color w:val="auto"/>
          <w:szCs w:val="20"/>
          <w:highlight w:val="none"/>
        </w:rPr>
        <w:t>（9）施工指导服务</w:t>
      </w:r>
    </w:p>
    <w:p>
      <w:pPr>
        <w:adjustRightInd w:val="0"/>
        <w:spacing w:line="300" w:lineRule="auto"/>
        <w:ind w:firstLine="420" w:firstLineChars="200"/>
        <w:textAlignment w:val="baseline"/>
        <w:rPr>
          <w:rFonts w:hint="eastAsia" w:ascii="宋体" w:hAnsi="宋体" w:cs="宋体"/>
          <w:color w:val="auto"/>
          <w:szCs w:val="20"/>
          <w:highlight w:val="none"/>
        </w:rPr>
      </w:pPr>
      <w:r>
        <w:rPr>
          <w:rFonts w:hint="eastAsia" w:ascii="宋体" w:hAnsi="宋体" w:cs="宋体"/>
          <w:color w:val="auto"/>
          <w:szCs w:val="20"/>
          <w:highlight w:val="none"/>
        </w:rPr>
        <w:t>（10）配合项目验收服务</w:t>
      </w:r>
    </w:p>
    <w:p>
      <w:pPr>
        <w:pStyle w:val="8"/>
        <w:rPr>
          <w:color w:val="auto"/>
          <w:highlight w:val="none"/>
        </w:rPr>
      </w:pPr>
      <w:r>
        <w:rPr>
          <w:rFonts w:hint="eastAsia"/>
          <w:color w:val="auto"/>
          <w:highlight w:val="none"/>
        </w:rPr>
        <w:t xml:space="preserve">   （3）技术顾问服务要求</w:t>
      </w:r>
    </w:p>
    <w:p>
      <w:pPr>
        <w:adjustRightInd w:val="0"/>
        <w:spacing w:line="300" w:lineRule="auto"/>
        <w:ind w:firstLine="420" w:firstLineChars="200"/>
        <w:textAlignment w:val="baseline"/>
        <w:rPr>
          <w:rFonts w:hint="eastAsia" w:ascii="宋体" w:hAnsi="宋体" w:cs="宋体"/>
          <w:color w:val="auto"/>
          <w:szCs w:val="20"/>
          <w:highlight w:val="none"/>
        </w:rPr>
      </w:pPr>
      <w:r>
        <w:rPr>
          <w:rFonts w:hint="eastAsia" w:ascii="宋体" w:hAnsi="宋体" w:cs="宋体"/>
          <w:color w:val="auto"/>
          <w:szCs w:val="20"/>
          <w:highlight w:val="none"/>
        </w:rPr>
        <w:t>本项目为重点建设项目，规模大，影响广，为有效开展该项目的推进及管理，保障该项目总体建设质量及进度，需严格进行总体把控和管理。投标人需承诺委托有相应资质的第三方咨询单位提供总体性的PMC项目管理和技术实施管控服务，并且第三方咨询单位需定期向广西壮族自治区医疗保障局做项目实施情况的阶段性汇报。</w:t>
      </w:r>
    </w:p>
    <w:p>
      <w:pPr>
        <w:adjustRightInd w:val="0"/>
        <w:spacing w:line="300" w:lineRule="auto"/>
        <w:ind w:firstLine="420" w:firstLineChars="200"/>
        <w:textAlignment w:val="baseline"/>
        <w:rPr>
          <w:rFonts w:hint="eastAsia" w:ascii="宋体" w:hAnsi="宋体" w:cs="宋体"/>
          <w:color w:val="auto"/>
          <w:szCs w:val="20"/>
          <w:highlight w:val="none"/>
        </w:rPr>
      </w:pPr>
      <w:r>
        <w:rPr>
          <w:rFonts w:hint="eastAsia" w:ascii="宋体" w:hAnsi="宋体" w:cs="宋体"/>
          <w:color w:val="auto"/>
          <w:szCs w:val="20"/>
          <w:highlight w:val="none"/>
        </w:rPr>
        <w:t>总体PMC项目管理服务主要内容包含但不限于：</w:t>
      </w:r>
    </w:p>
    <w:p>
      <w:pPr>
        <w:adjustRightInd w:val="0"/>
        <w:spacing w:line="300" w:lineRule="auto"/>
        <w:ind w:firstLine="420" w:firstLineChars="200"/>
        <w:textAlignment w:val="baseline"/>
        <w:rPr>
          <w:rFonts w:hint="eastAsia" w:ascii="宋体" w:hAnsi="宋体" w:cs="宋体"/>
          <w:color w:val="auto"/>
          <w:szCs w:val="20"/>
          <w:highlight w:val="none"/>
        </w:rPr>
      </w:pPr>
      <w:r>
        <w:rPr>
          <w:rFonts w:hint="eastAsia" w:ascii="宋体" w:hAnsi="宋体" w:cs="宋体"/>
          <w:color w:val="auto"/>
          <w:szCs w:val="20"/>
          <w:highlight w:val="none"/>
        </w:rPr>
        <w:t>（1）统筹组织相关方对施工图设计等设计成果进行评审；</w:t>
      </w:r>
    </w:p>
    <w:p>
      <w:pPr>
        <w:adjustRightInd w:val="0"/>
        <w:spacing w:line="300" w:lineRule="auto"/>
        <w:ind w:firstLine="420" w:firstLineChars="200"/>
        <w:textAlignment w:val="baseline"/>
        <w:rPr>
          <w:rFonts w:hint="eastAsia" w:ascii="宋体" w:hAnsi="宋体" w:cs="宋体"/>
          <w:color w:val="auto"/>
          <w:szCs w:val="20"/>
          <w:highlight w:val="none"/>
        </w:rPr>
      </w:pPr>
      <w:r>
        <w:rPr>
          <w:rFonts w:hint="eastAsia" w:ascii="宋体" w:hAnsi="宋体" w:cs="宋体"/>
          <w:color w:val="auto"/>
          <w:szCs w:val="20"/>
          <w:highlight w:val="none"/>
        </w:rPr>
        <w:t>（2）对施工图设计等设计过程和设计成果进行管理；</w:t>
      </w:r>
    </w:p>
    <w:p>
      <w:pPr>
        <w:adjustRightInd w:val="0"/>
        <w:spacing w:line="300" w:lineRule="auto"/>
        <w:ind w:firstLine="420" w:firstLineChars="200"/>
        <w:textAlignment w:val="baseline"/>
        <w:rPr>
          <w:rFonts w:hint="eastAsia" w:ascii="宋体" w:hAnsi="宋体" w:cs="宋体"/>
          <w:color w:val="auto"/>
          <w:szCs w:val="20"/>
          <w:highlight w:val="none"/>
        </w:rPr>
      </w:pPr>
      <w:r>
        <w:rPr>
          <w:rFonts w:hint="eastAsia" w:ascii="宋体" w:hAnsi="宋体" w:cs="宋体"/>
          <w:color w:val="auto"/>
          <w:szCs w:val="20"/>
          <w:highlight w:val="none"/>
        </w:rPr>
        <w:t>（3）协助支撑投标人进行项目实施的总体流程管理及进度把控；</w:t>
      </w:r>
    </w:p>
    <w:p>
      <w:pPr>
        <w:adjustRightInd w:val="0"/>
        <w:spacing w:line="300" w:lineRule="auto"/>
        <w:ind w:firstLine="420" w:firstLineChars="200"/>
        <w:textAlignment w:val="baseline"/>
        <w:rPr>
          <w:rFonts w:hint="eastAsia" w:ascii="宋体" w:hAnsi="宋体" w:cs="宋体"/>
          <w:color w:val="auto"/>
          <w:szCs w:val="20"/>
          <w:highlight w:val="none"/>
        </w:rPr>
      </w:pPr>
      <w:r>
        <w:rPr>
          <w:rFonts w:hint="eastAsia" w:ascii="宋体" w:hAnsi="宋体" w:cs="宋体"/>
          <w:color w:val="auto"/>
          <w:szCs w:val="20"/>
          <w:highlight w:val="none"/>
        </w:rPr>
        <w:t>（4）结合深化设计及施工图设计对实施方案进行审核，把控项目实施准确度，及时纠正和预防质量问题；</w:t>
      </w:r>
    </w:p>
    <w:p>
      <w:pPr>
        <w:adjustRightInd w:val="0"/>
        <w:spacing w:line="300" w:lineRule="auto"/>
        <w:ind w:firstLine="420" w:firstLineChars="200"/>
        <w:textAlignment w:val="baseline"/>
        <w:rPr>
          <w:rFonts w:hint="eastAsia" w:ascii="宋体" w:hAnsi="宋体" w:cs="宋体"/>
          <w:color w:val="auto"/>
          <w:szCs w:val="20"/>
          <w:highlight w:val="none"/>
        </w:rPr>
      </w:pPr>
      <w:r>
        <w:rPr>
          <w:rFonts w:hint="eastAsia" w:ascii="宋体" w:hAnsi="宋体" w:cs="宋体"/>
          <w:color w:val="auto"/>
          <w:szCs w:val="20"/>
          <w:highlight w:val="none"/>
        </w:rPr>
        <w:t>（5）协助投标人组织相关方进行系统联调和项目竣工验收工作；</w:t>
      </w:r>
    </w:p>
    <w:p>
      <w:pPr>
        <w:adjustRightInd w:val="0"/>
        <w:spacing w:line="300" w:lineRule="auto"/>
        <w:ind w:firstLine="420" w:firstLineChars="200"/>
        <w:textAlignment w:val="baseline"/>
        <w:rPr>
          <w:rFonts w:hint="eastAsia" w:ascii="宋体" w:hAnsi="宋体" w:cs="宋体"/>
          <w:color w:val="auto"/>
          <w:szCs w:val="20"/>
          <w:highlight w:val="none"/>
        </w:rPr>
      </w:pPr>
      <w:r>
        <w:rPr>
          <w:rFonts w:hint="eastAsia" w:ascii="宋体" w:hAnsi="宋体" w:cs="宋体"/>
          <w:color w:val="auto"/>
          <w:szCs w:val="20"/>
          <w:highlight w:val="none"/>
        </w:rPr>
        <w:t>（6）掌握项目建设过程的实施情况，收集项目建设过程的相关资料并向广西壮族自治区医疗保障局移交。</w:t>
      </w:r>
    </w:p>
    <w:p>
      <w:pPr>
        <w:pStyle w:val="8"/>
        <w:rPr>
          <w:color w:val="auto"/>
          <w:highlight w:val="none"/>
        </w:rPr>
      </w:pPr>
      <w:r>
        <w:rPr>
          <w:rFonts w:hint="eastAsia"/>
          <w:color w:val="auto"/>
          <w:highlight w:val="none"/>
        </w:rPr>
        <w:t>（4）管理服务要求</w:t>
      </w:r>
    </w:p>
    <w:p>
      <w:pPr>
        <w:adjustRightInd w:val="0"/>
        <w:spacing w:line="300" w:lineRule="auto"/>
        <w:ind w:firstLine="420" w:firstLineChars="200"/>
        <w:textAlignment w:val="baseline"/>
        <w:rPr>
          <w:rFonts w:hint="eastAsia" w:ascii="宋体" w:hAnsi="宋体" w:cs="宋体"/>
          <w:color w:val="auto"/>
          <w:szCs w:val="20"/>
          <w:highlight w:val="none"/>
        </w:rPr>
      </w:pPr>
      <w:r>
        <w:rPr>
          <w:rFonts w:hint="eastAsia" w:ascii="宋体" w:hAnsi="宋体" w:cs="宋体"/>
          <w:color w:val="auto"/>
          <w:szCs w:val="20"/>
          <w:highlight w:val="none"/>
        </w:rPr>
        <w:t>1、项目实施过程控制</w:t>
      </w:r>
    </w:p>
    <w:p>
      <w:pPr>
        <w:adjustRightInd w:val="0"/>
        <w:spacing w:line="300" w:lineRule="auto"/>
        <w:ind w:firstLine="420" w:firstLineChars="200"/>
        <w:textAlignment w:val="baseline"/>
        <w:rPr>
          <w:rFonts w:hint="eastAsia" w:ascii="宋体" w:hAnsi="宋体" w:cs="宋体"/>
          <w:color w:val="auto"/>
          <w:szCs w:val="20"/>
          <w:highlight w:val="none"/>
        </w:rPr>
      </w:pPr>
      <w:r>
        <w:rPr>
          <w:rFonts w:hint="eastAsia" w:ascii="宋体" w:hAnsi="宋体" w:cs="宋体"/>
          <w:color w:val="auto"/>
          <w:szCs w:val="20"/>
          <w:highlight w:val="none"/>
        </w:rPr>
        <w:t>由投标人组织技术队伍，提供详细的施工计划书，并对硬件进行技术培训；设备到场后严格按照之前制定的施工计划书执行。</w:t>
      </w:r>
    </w:p>
    <w:p>
      <w:pPr>
        <w:adjustRightInd w:val="0"/>
        <w:spacing w:line="300" w:lineRule="auto"/>
        <w:ind w:firstLine="420" w:firstLineChars="200"/>
        <w:textAlignment w:val="baseline"/>
        <w:rPr>
          <w:rFonts w:hint="eastAsia" w:ascii="宋体" w:hAnsi="宋体" w:cs="宋体"/>
          <w:color w:val="auto"/>
          <w:szCs w:val="20"/>
          <w:highlight w:val="none"/>
        </w:rPr>
      </w:pPr>
      <w:r>
        <w:rPr>
          <w:rFonts w:hint="eastAsia" w:ascii="宋体" w:hAnsi="宋体" w:cs="宋体"/>
          <w:color w:val="auto"/>
          <w:szCs w:val="20"/>
          <w:highlight w:val="none"/>
        </w:rPr>
        <w:t>2、项目实施过程文档管理</w:t>
      </w:r>
    </w:p>
    <w:p>
      <w:pPr>
        <w:adjustRightInd w:val="0"/>
        <w:spacing w:line="300" w:lineRule="auto"/>
        <w:ind w:firstLine="420" w:firstLineChars="200"/>
        <w:textAlignment w:val="baseline"/>
        <w:rPr>
          <w:rFonts w:hint="eastAsia" w:ascii="宋体" w:hAnsi="宋体" w:cs="宋体"/>
          <w:color w:val="auto"/>
          <w:szCs w:val="20"/>
          <w:highlight w:val="none"/>
        </w:rPr>
      </w:pPr>
      <w:r>
        <w:rPr>
          <w:rFonts w:hint="eastAsia" w:ascii="宋体" w:hAnsi="宋体" w:cs="宋体"/>
          <w:color w:val="auto"/>
          <w:szCs w:val="20"/>
          <w:highlight w:val="none"/>
        </w:rPr>
        <w:t>在项目实施过程中，由于项目实施的复杂性，多方人员参加以及时间跨度等因素，所以有关需求、建议、解决方案和结论都必须文档化、标准化，以便查阅和引用。</w:t>
      </w:r>
    </w:p>
    <w:p>
      <w:pPr>
        <w:adjustRightInd w:val="0"/>
        <w:spacing w:line="300" w:lineRule="auto"/>
        <w:ind w:firstLine="420" w:firstLineChars="200"/>
        <w:textAlignment w:val="baseline"/>
        <w:rPr>
          <w:rFonts w:hint="eastAsia" w:ascii="宋体" w:hAnsi="宋体" w:cs="宋体"/>
          <w:color w:val="auto"/>
          <w:szCs w:val="20"/>
          <w:highlight w:val="none"/>
        </w:rPr>
      </w:pPr>
      <w:r>
        <w:rPr>
          <w:rFonts w:hint="eastAsia" w:ascii="宋体" w:hAnsi="宋体" w:cs="宋体"/>
          <w:color w:val="auto"/>
          <w:szCs w:val="20"/>
          <w:highlight w:val="none"/>
        </w:rPr>
        <w:t>3、项目实施组织架构：</w:t>
      </w:r>
    </w:p>
    <w:p>
      <w:pPr>
        <w:adjustRightInd w:val="0"/>
        <w:spacing w:line="300" w:lineRule="auto"/>
        <w:ind w:firstLine="420" w:firstLineChars="200"/>
        <w:textAlignment w:val="baseline"/>
        <w:rPr>
          <w:rFonts w:hint="eastAsia" w:ascii="宋体" w:hAnsi="宋体" w:cs="宋体"/>
          <w:color w:val="auto"/>
          <w:szCs w:val="20"/>
          <w:highlight w:val="none"/>
        </w:rPr>
      </w:pPr>
      <w:r>
        <w:rPr>
          <w:rFonts w:hint="eastAsia" w:ascii="宋体" w:hAnsi="宋体" w:cs="宋体"/>
          <w:color w:val="auto"/>
          <w:szCs w:val="20"/>
          <w:highlight w:val="none"/>
        </w:rPr>
        <w:t>投标人应配备具备网络安全管理技术资质和相应硬件实施经验的工程师参与工程实施。实施团队人员情况须在投标文件中列明，且中标后实施过程中不可变更。</w:t>
      </w:r>
    </w:p>
    <w:p>
      <w:pPr>
        <w:adjustRightInd w:val="0"/>
        <w:spacing w:line="300" w:lineRule="auto"/>
        <w:ind w:firstLine="420" w:firstLineChars="200"/>
        <w:textAlignment w:val="baseline"/>
        <w:rPr>
          <w:rFonts w:hint="eastAsia" w:ascii="宋体" w:hAnsi="宋体" w:cs="宋体"/>
          <w:color w:val="auto"/>
          <w:szCs w:val="20"/>
          <w:highlight w:val="none"/>
        </w:rPr>
      </w:pPr>
      <w:r>
        <w:rPr>
          <w:rFonts w:hint="eastAsia" w:ascii="宋体" w:hAnsi="宋体" w:cs="宋体"/>
          <w:color w:val="auto"/>
          <w:szCs w:val="20"/>
          <w:highlight w:val="none"/>
        </w:rPr>
        <w:t>4、项目验收安排</w:t>
      </w:r>
    </w:p>
    <w:p>
      <w:pPr>
        <w:adjustRightInd w:val="0"/>
        <w:spacing w:line="300" w:lineRule="auto"/>
        <w:ind w:firstLine="420" w:firstLineChars="200"/>
        <w:textAlignment w:val="baseline"/>
        <w:rPr>
          <w:rFonts w:hint="eastAsia" w:ascii="宋体" w:hAnsi="宋体" w:cs="宋体"/>
          <w:color w:val="auto"/>
          <w:highlight w:val="none"/>
        </w:rPr>
      </w:pPr>
      <w:r>
        <w:rPr>
          <w:rFonts w:hint="eastAsia" w:ascii="宋体" w:hAnsi="宋体" w:cs="宋体"/>
          <w:color w:val="auto"/>
          <w:szCs w:val="20"/>
          <w:highlight w:val="none"/>
        </w:rPr>
        <w:t>安装调试完成后由中标人提出初验申请，并从初验合格之日起进行试运行，试运行6个月并运行正常后可组织项目终验。</w:t>
      </w:r>
    </w:p>
    <w:p>
      <w:pPr>
        <w:pStyle w:val="8"/>
        <w:rPr>
          <w:color w:val="auto"/>
          <w:highlight w:val="none"/>
        </w:rPr>
      </w:pPr>
      <w:r>
        <w:rPr>
          <w:rFonts w:hint="eastAsia"/>
          <w:color w:val="auto"/>
          <w:highlight w:val="none"/>
        </w:rPr>
        <w:t>（5）主要工作内容</w:t>
      </w:r>
    </w:p>
    <w:p>
      <w:pPr>
        <w:adjustRightInd w:val="0"/>
        <w:spacing w:line="300" w:lineRule="auto"/>
        <w:ind w:firstLine="420" w:firstLineChars="200"/>
        <w:textAlignment w:val="baseline"/>
        <w:rPr>
          <w:rFonts w:hint="eastAsia" w:ascii="宋体" w:hAnsi="宋体" w:cs="宋体"/>
          <w:color w:val="auto"/>
          <w:szCs w:val="20"/>
          <w:highlight w:val="none"/>
        </w:rPr>
      </w:pPr>
      <w:r>
        <w:rPr>
          <w:rFonts w:hint="eastAsia" w:ascii="宋体" w:hAnsi="宋体" w:cs="宋体"/>
          <w:color w:val="auto"/>
          <w:szCs w:val="20"/>
          <w:highlight w:val="none"/>
        </w:rPr>
        <w:t>投标人应深刻理解国家局和广西医疗保障信息平台整体思路和建设理念，应在投标方案中体现主要集成工作的重点难点，主要内容应包含但不限于以下内容：</w:t>
      </w:r>
    </w:p>
    <w:p>
      <w:pPr>
        <w:adjustRightInd w:val="0"/>
        <w:spacing w:line="300" w:lineRule="auto"/>
        <w:ind w:firstLine="420" w:firstLineChars="200"/>
        <w:textAlignment w:val="baseline"/>
        <w:rPr>
          <w:rFonts w:hint="eastAsia" w:ascii="宋体" w:hAnsi="宋体" w:cs="宋体"/>
          <w:color w:val="auto"/>
          <w:szCs w:val="20"/>
          <w:highlight w:val="none"/>
        </w:rPr>
      </w:pPr>
      <w:r>
        <w:rPr>
          <w:rFonts w:hint="eastAsia" w:ascii="宋体" w:hAnsi="宋体" w:cs="宋体"/>
          <w:color w:val="auto"/>
          <w:szCs w:val="20"/>
          <w:highlight w:val="none"/>
        </w:rPr>
        <w:t>1、编制总体集成及实施方案</w:t>
      </w:r>
    </w:p>
    <w:p>
      <w:pPr>
        <w:adjustRightInd w:val="0"/>
        <w:spacing w:line="300" w:lineRule="auto"/>
        <w:ind w:firstLine="420" w:firstLineChars="200"/>
        <w:textAlignment w:val="baseline"/>
        <w:rPr>
          <w:rFonts w:hint="eastAsia" w:ascii="宋体" w:hAnsi="宋体" w:cs="宋体"/>
          <w:color w:val="auto"/>
          <w:szCs w:val="20"/>
          <w:highlight w:val="none"/>
        </w:rPr>
      </w:pPr>
      <w:r>
        <w:rPr>
          <w:rFonts w:hint="eastAsia" w:ascii="宋体" w:hAnsi="宋体" w:cs="宋体"/>
          <w:color w:val="auto"/>
          <w:szCs w:val="20"/>
          <w:highlight w:val="none"/>
        </w:rPr>
        <w:t>根据本项目建设内容，编制系统总体集成及实施方案，应包括梳理子系统之间的接口对接，编制本项目总体硬件测试方案、试运行方案及总体验收方案等。</w:t>
      </w:r>
    </w:p>
    <w:p>
      <w:pPr>
        <w:adjustRightInd w:val="0"/>
        <w:spacing w:line="300" w:lineRule="auto"/>
        <w:ind w:firstLine="420" w:firstLineChars="200"/>
        <w:textAlignment w:val="baseline"/>
        <w:rPr>
          <w:rFonts w:hint="eastAsia" w:ascii="宋体" w:hAnsi="宋体" w:cs="宋体"/>
          <w:color w:val="auto"/>
          <w:szCs w:val="20"/>
          <w:highlight w:val="none"/>
        </w:rPr>
      </w:pPr>
      <w:r>
        <w:rPr>
          <w:rFonts w:hint="eastAsia" w:ascii="宋体" w:hAnsi="宋体" w:cs="宋体"/>
          <w:color w:val="auto"/>
          <w:szCs w:val="20"/>
          <w:highlight w:val="none"/>
        </w:rPr>
        <w:t>编制工程总集成计划：包括但不限于以下五个阶段：项目需求调研及规划设计阶段、项目工程设计及准备阶段、项目总体集成及实施阶段、工程验收阶段、技术支持及售后运维与推广阶段。投标人须对各个阶段的工作内容做详细的描述及时间进度规划。投标人应该合理的规划调度各阶段的工作顺序。对项目实施的先后次序、时间安排做出统一规划，建立协调和沟通机制，配合采购人协调沟通。</w:t>
      </w:r>
    </w:p>
    <w:p>
      <w:pPr>
        <w:adjustRightInd w:val="0"/>
        <w:spacing w:line="300" w:lineRule="auto"/>
        <w:ind w:firstLine="420" w:firstLineChars="200"/>
        <w:textAlignment w:val="baseline"/>
        <w:rPr>
          <w:rFonts w:hint="eastAsia" w:ascii="宋体" w:hAnsi="宋体" w:cs="宋体"/>
          <w:color w:val="auto"/>
          <w:szCs w:val="20"/>
          <w:highlight w:val="none"/>
        </w:rPr>
      </w:pPr>
      <w:r>
        <w:rPr>
          <w:rFonts w:hint="eastAsia" w:ascii="宋体" w:hAnsi="宋体" w:cs="宋体"/>
          <w:color w:val="auto"/>
          <w:szCs w:val="20"/>
          <w:highlight w:val="none"/>
        </w:rPr>
        <w:t>编制工程评审验收方案。根据工程的整体进度计划，制定详细的评审方案。</w:t>
      </w:r>
    </w:p>
    <w:p>
      <w:pPr>
        <w:adjustRightInd w:val="0"/>
        <w:spacing w:line="300" w:lineRule="auto"/>
        <w:ind w:firstLine="420" w:firstLineChars="200"/>
        <w:textAlignment w:val="baseline"/>
        <w:rPr>
          <w:rFonts w:hint="eastAsia" w:ascii="宋体" w:hAnsi="宋体" w:cs="宋体"/>
          <w:color w:val="auto"/>
          <w:szCs w:val="20"/>
          <w:highlight w:val="none"/>
        </w:rPr>
      </w:pPr>
      <w:r>
        <w:rPr>
          <w:rFonts w:hint="eastAsia" w:ascii="宋体" w:hAnsi="宋体" w:cs="宋体"/>
          <w:color w:val="auto"/>
          <w:szCs w:val="20"/>
          <w:highlight w:val="none"/>
        </w:rPr>
        <w:t>项目采购人、监理单位一起制定工程的详细实施计划、各分项工作的进度安排，如各分项设备的到货期、进场日期，各分项工作的先后顺序和每项工作的开始完成时间。</w:t>
      </w:r>
    </w:p>
    <w:p>
      <w:pPr>
        <w:adjustRightInd w:val="0"/>
        <w:spacing w:line="300" w:lineRule="auto"/>
        <w:ind w:firstLine="420" w:firstLineChars="200"/>
        <w:textAlignment w:val="baseline"/>
        <w:rPr>
          <w:rFonts w:hint="eastAsia" w:ascii="宋体" w:hAnsi="宋体" w:cs="宋体"/>
          <w:color w:val="auto"/>
          <w:szCs w:val="20"/>
          <w:highlight w:val="none"/>
        </w:rPr>
      </w:pPr>
      <w:r>
        <w:rPr>
          <w:rFonts w:hint="eastAsia" w:ascii="宋体" w:hAnsi="宋体" w:cs="宋体"/>
          <w:color w:val="auto"/>
          <w:szCs w:val="20"/>
          <w:highlight w:val="none"/>
        </w:rPr>
        <w:t>协助项目采购人制定工程实施的职责分工，厂商之间的协调机制和流程。</w:t>
      </w:r>
    </w:p>
    <w:p>
      <w:pPr>
        <w:adjustRightInd w:val="0"/>
        <w:spacing w:line="300" w:lineRule="auto"/>
        <w:ind w:firstLine="420" w:firstLineChars="200"/>
        <w:textAlignment w:val="baseline"/>
        <w:rPr>
          <w:rFonts w:hint="eastAsia" w:ascii="宋体" w:hAnsi="宋体" w:cs="宋体"/>
          <w:color w:val="auto"/>
          <w:szCs w:val="20"/>
          <w:highlight w:val="none"/>
        </w:rPr>
      </w:pPr>
      <w:r>
        <w:rPr>
          <w:rFonts w:hint="eastAsia" w:ascii="宋体" w:hAnsi="宋体" w:cs="宋体"/>
          <w:color w:val="auto"/>
          <w:szCs w:val="20"/>
          <w:highlight w:val="none"/>
        </w:rPr>
        <w:t>配合项目采购人、监理单位制定工程实施的各项流程、规范和质量标准等。</w:t>
      </w:r>
    </w:p>
    <w:p>
      <w:pPr>
        <w:adjustRightInd w:val="0"/>
        <w:spacing w:line="300" w:lineRule="auto"/>
        <w:ind w:firstLine="420" w:firstLineChars="200"/>
        <w:textAlignment w:val="baseline"/>
        <w:rPr>
          <w:rFonts w:hint="eastAsia" w:ascii="宋体" w:hAnsi="宋体" w:cs="宋体"/>
          <w:color w:val="auto"/>
          <w:szCs w:val="20"/>
          <w:highlight w:val="none"/>
        </w:rPr>
      </w:pPr>
      <w:r>
        <w:rPr>
          <w:rFonts w:hint="eastAsia" w:ascii="宋体" w:hAnsi="宋体" w:cs="宋体"/>
          <w:color w:val="auto"/>
          <w:szCs w:val="20"/>
          <w:highlight w:val="none"/>
        </w:rPr>
        <w:t>协助项目采购人制定各项工作的测试方案、验收标准、验收流程，协助项目采购人制作测试报告、验收报告的标准模板。</w:t>
      </w:r>
    </w:p>
    <w:p>
      <w:pPr>
        <w:adjustRightInd w:val="0"/>
        <w:spacing w:line="300" w:lineRule="auto"/>
        <w:ind w:firstLine="420" w:firstLineChars="200"/>
        <w:textAlignment w:val="baseline"/>
        <w:rPr>
          <w:rFonts w:hint="eastAsia" w:ascii="宋体" w:hAnsi="宋体" w:cs="宋体"/>
          <w:color w:val="auto"/>
          <w:szCs w:val="20"/>
          <w:highlight w:val="none"/>
        </w:rPr>
      </w:pPr>
      <w:r>
        <w:rPr>
          <w:rFonts w:hint="eastAsia" w:ascii="宋体" w:hAnsi="宋体" w:cs="宋体"/>
          <w:color w:val="auto"/>
          <w:szCs w:val="20"/>
          <w:highlight w:val="none"/>
        </w:rPr>
        <w:t>2、制定实施制度</w:t>
      </w:r>
    </w:p>
    <w:p>
      <w:pPr>
        <w:adjustRightInd w:val="0"/>
        <w:spacing w:line="300" w:lineRule="auto"/>
        <w:ind w:firstLine="420" w:firstLineChars="200"/>
        <w:textAlignment w:val="baseline"/>
        <w:rPr>
          <w:rFonts w:hint="eastAsia" w:ascii="宋体" w:hAnsi="宋体" w:cs="宋体"/>
          <w:color w:val="auto"/>
          <w:szCs w:val="20"/>
          <w:highlight w:val="none"/>
        </w:rPr>
      </w:pPr>
      <w:r>
        <w:rPr>
          <w:rFonts w:hint="eastAsia" w:ascii="宋体" w:hAnsi="宋体" w:cs="宋体"/>
          <w:color w:val="auto"/>
          <w:szCs w:val="20"/>
          <w:highlight w:val="none"/>
        </w:rPr>
        <w:t>在采购人和各涉及项目供应商的配合下，牵头制定项目规范实施的相关制度和流程，包含但不限于：项目章程、实施制度、职责分工、工作机制、进度控制、质量控制、风险控制、需求管理、投资管理、变更管理和沟通制度等。</w:t>
      </w:r>
    </w:p>
    <w:p>
      <w:pPr>
        <w:adjustRightInd w:val="0"/>
        <w:spacing w:line="300" w:lineRule="auto"/>
        <w:ind w:firstLine="420" w:firstLineChars="200"/>
        <w:textAlignment w:val="baseline"/>
        <w:rPr>
          <w:rFonts w:hint="eastAsia" w:ascii="宋体" w:hAnsi="宋体" w:cs="宋体"/>
          <w:color w:val="auto"/>
          <w:szCs w:val="20"/>
          <w:highlight w:val="none"/>
        </w:rPr>
      </w:pPr>
      <w:r>
        <w:rPr>
          <w:rFonts w:hint="eastAsia" w:ascii="宋体" w:hAnsi="宋体" w:cs="宋体"/>
          <w:color w:val="auto"/>
          <w:szCs w:val="20"/>
          <w:highlight w:val="none"/>
        </w:rPr>
        <w:t>在采购人和各涉及项目供应商的配合下，牵头制定与医疗保障信息平台硬件系统集成相关的标准规范，包含但不限于：负责制定整体技术统筹、各项技术规范、业务流程规范、相关规章制度等，明确各硬件设备的类型和版本等，确定设备的运行及部署环境，建立本项目所建设内容的接口要求，防止各硬件之间发生端口冲突、服务冲突等。</w:t>
      </w:r>
    </w:p>
    <w:p>
      <w:pPr>
        <w:adjustRightInd w:val="0"/>
        <w:spacing w:line="300" w:lineRule="auto"/>
        <w:ind w:firstLine="420" w:firstLineChars="200"/>
        <w:textAlignment w:val="baseline"/>
        <w:rPr>
          <w:rFonts w:hint="eastAsia" w:ascii="宋体" w:hAnsi="宋体" w:cs="宋体"/>
          <w:color w:val="auto"/>
          <w:szCs w:val="20"/>
          <w:highlight w:val="none"/>
        </w:rPr>
      </w:pPr>
      <w:r>
        <w:rPr>
          <w:rFonts w:hint="eastAsia" w:ascii="宋体" w:hAnsi="宋体" w:cs="宋体"/>
          <w:color w:val="auto"/>
          <w:szCs w:val="20"/>
          <w:highlight w:val="none"/>
        </w:rPr>
        <w:t>3、完成系统集成及实施工作</w:t>
      </w:r>
    </w:p>
    <w:p>
      <w:pPr>
        <w:adjustRightInd w:val="0"/>
        <w:spacing w:line="300" w:lineRule="auto"/>
        <w:ind w:firstLine="420" w:firstLineChars="200"/>
        <w:textAlignment w:val="baseline"/>
        <w:rPr>
          <w:rFonts w:hint="eastAsia" w:ascii="宋体" w:hAnsi="宋体" w:cs="宋体"/>
          <w:color w:val="auto"/>
          <w:szCs w:val="20"/>
          <w:highlight w:val="none"/>
        </w:rPr>
      </w:pPr>
      <w:r>
        <w:rPr>
          <w:rFonts w:hint="eastAsia" w:ascii="宋体" w:hAnsi="宋体" w:cs="宋体"/>
          <w:color w:val="auto"/>
          <w:szCs w:val="20"/>
          <w:highlight w:val="none"/>
        </w:rPr>
        <w:t>启动阶段。在采购人和各涉及项目承建商的配合下，确定项目章程，规定项目的实施制度和工作机制等相关制度和流程，组织制定里程碑及项目计划、协调项目各方资源、以及项目建设的关键指标要求和质量要求以及整体集成服务实施进度计划，并组织相关宣贯培训。</w:t>
      </w:r>
    </w:p>
    <w:p>
      <w:pPr>
        <w:adjustRightInd w:val="0"/>
        <w:spacing w:line="300" w:lineRule="auto"/>
        <w:ind w:firstLine="420" w:firstLineChars="200"/>
        <w:textAlignment w:val="baseline"/>
        <w:rPr>
          <w:rFonts w:hint="eastAsia" w:ascii="宋体" w:hAnsi="宋体" w:cs="宋体"/>
          <w:color w:val="auto"/>
          <w:szCs w:val="20"/>
          <w:highlight w:val="none"/>
        </w:rPr>
      </w:pPr>
      <w:r>
        <w:rPr>
          <w:rFonts w:hint="eastAsia" w:ascii="宋体" w:hAnsi="宋体" w:cs="宋体"/>
          <w:color w:val="auto"/>
          <w:szCs w:val="20"/>
          <w:highlight w:val="none"/>
        </w:rPr>
        <w:t>实施阶段。应在初设技术方案的基础上，根据采购人的需求审核服务器、网络设备、存储设备的详细设计技术方案；负责实施范围内所有硬件的安装调试工作，保证相关的应用系统可以正常运行；按照制定的集成计划调度、督促各项目组按计划实施，确保总体建设目标的达成；按照制定的质量标准检查、督促各项目组的实施质量，做到问题早发现早解决，确保工程质量达到合格要求；配合采购人协调各承建单位之间、使用单位之间的关系。</w:t>
      </w:r>
    </w:p>
    <w:p>
      <w:pPr>
        <w:adjustRightInd w:val="0"/>
        <w:spacing w:line="300" w:lineRule="auto"/>
        <w:ind w:firstLine="420" w:firstLineChars="200"/>
        <w:textAlignment w:val="baseline"/>
        <w:rPr>
          <w:rFonts w:hint="eastAsia" w:ascii="宋体" w:hAnsi="宋体" w:cs="宋体"/>
          <w:color w:val="auto"/>
          <w:szCs w:val="20"/>
          <w:highlight w:val="none"/>
        </w:rPr>
      </w:pPr>
      <w:r>
        <w:rPr>
          <w:rFonts w:hint="eastAsia" w:ascii="宋体" w:hAnsi="宋体" w:cs="宋体"/>
          <w:color w:val="auto"/>
          <w:szCs w:val="20"/>
          <w:highlight w:val="none"/>
        </w:rPr>
        <w:t>验收和维护阶段。发现、协调并组织解决各涉及项目承建商之间的遗留问题，以及工程验收过程中遇到的其它问题。</w:t>
      </w:r>
    </w:p>
    <w:p>
      <w:pPr>
        <w:adjustRightInd w:val="0"/>
        <w:spacing w:line="300" w:lineRule="auto"/>
        <w:ind w:firstLine="420" w:firstLineChars="200"/>
        <w:textAlignment w:val="baseline"/>
        <w:rPr>
          <w:rFonts w:hint="eastAsia" w:ascii="宋体" w:hAnsi="宋体" w:cs="宋体"/>
          <w:color w:val="auto"/>
          <w:szCs w:val="20"/>
          <w:highlight w:val="none"/>
        </w:rPr>
      </w:pPr>
      <w:r>
        <w:rPr>
          <w:rFonts w:hint="eastAsia" w:ascii="宋体" w:hAnsi="宋体" w:cs="宋体"/>
          <w:color w:val="auto"/>
          <w:szCs w:val="20"/>
          <w:highlight w:val="none"/>
        </w:rPr>
        <w:t>中标人施工应符合行业规范和采购人工程管理规范，并提供符合采购人工程管理规范的文档。</w:t>
      </w:r>
    </w:p>
    <w:p>
      <w:pPr>
        <w:adjustRightInd w:val="0"/>
        <w:spacing w:line="300" w:lineRule="auto"/>
        <w:ind w:firstLine="420" w:firstLineChars="200"/>
        <w:textAlignment w:val="baseline"/>
        <w:rPr>
          <w:rFonts w:hint="eastAsia" w:ascii="宋体" w:hAnsi="宋体" w:cs="宋体"/>
          <w:color w:val="auto"/>
          <w:szCs w:val="20"/>
          <w:highlight w:val="none"/>
        </w:rPr>
      </w:pPr>
      <w:r>
        <w:rPr>
          <w:rFonts w:hint="eastAsia" w:ascii="宋体" w:hAnsi="宋体" w:cs="宋体"/>
          <w:color w:val="auto"/>
          <w:szCs w:val="20"/>
          <w:highlight w:val="none"/>
        </w:rPr>
        <w:t>4、提供专业的技术顾问服务</w:t>
      </w:r>
    </w:p>
    <w:p>
      <w:pPr>
        <w:adjustRightInd w:val="0"/>
        <w:spacing w:line="300" w:lineRule="auto"/>
        <w:ind w:firstLine="420" w:firstLineChars="200"/>
        <w:textAlignment w:val="baseline"/>
        <w:rPr>
          <w:rFonts w:hint="eastAsia" w:ascii="宋体" w:hAnsi="宋体" w:cs="宋体"/>
          <w:color w:val="auto"/>
          <w:szCs w:val="20"/>
          <w:highlight w:val="none"/>
        </w:rPr>
      </w:pPr>
      <w:r>
        <w:rPr>
          <w:rFonts w:hint="eastAsia" w:ascii="宋体" w:hAnsi="宋体" w:cs="宋体"/>
          <w:color w:val="auto"/>
          <w:szCs w:val="20"/>
          <w:highlight w:val="none"/>
        </w:rPr>
        <w:t>根据建设单位的要求，为信息化项目建设和信息化管理工作提供全面、客观的专业化建议和专家咨询服务。</w:t>
      </w:r>
    </w:p>
    <w:p>
      <w:pPr>
        <w:adjustRightInd w:val="0"/>
        <w:spacing w:line="300" w:lineRule="auto"/>
        <w:ind w:firstLine="420" w:firstLineChars="200"/>
        <w:textAlignment w:val="baseline"/>
        <w:rPr>
          <w:rFonts w:hint="eastAsia" w:ascii="宋体" w:hAnsi="宋体" w:cs="宋体"/>
          <w:color w:val="auto"/>
          <w:szCs w:val="20"/>
          <w:highlight w:val="none"/>
        </w:rPr>
      </w:pPr>
      <w:r>
        <w:rPr>
          <w:rFonts w:hint="eastAsia" w:ascii="宋体" w:hAnsi="宋体" w:cs="宋体"/>
          <w:color w:val="auto"/>
          <w:szCs w:val="20"/>
          <w:highlight w:val="none"/>
        </w:rPr>
        <w:t>需能够深刻理解国家局整体规划建设和广西医疗保障平台信息化建设规划的技术咨询服务。</w:t>
      </w:r>
    </w:p>
    <w:p>
      <w:pPr>
        <w:adjustRightInd w:val="0"/>
        <w:spacing w:line="300" w:lineRule="auto"/>
        <w:ind w:firstLine="420" w:firstLineChars="200"/>
        <w:textAlignment w:val="baseline"/>
        <w:rPr>
          <w:rFonts w:hint="eastAsia" w:ascii="宋体" w:hAnsi="宋体" w:cs="宋体"/>
          <w:color w:val="auto"/>
          <w:szCs w:val="20"/>
          <w:highlight w:val="none"/>
        </w:rPr>
      </w:pPr>
      <w:r>
        <w:rPr>
          <w:rFonts w:hint="eastAsia" w:ascii="宋体" w:hAnsi="宋体" w:cs="宋体"/>
          <w:color w:val="auto"/>
          <w:szCs w:val="20"/>
          <w:highlight w:val="none"/>
        </w:rPr>
        <w:t>在运维阶段为采购人和各涉及项目供应商之间提供技术支持，对运行过程中出现的新问题提供建议和解决方案。</w:t>
      </w:r>
    </w:p>
    <w:p>
      <w:pPr>
        <w:adjustRightInd w:val="0"/>
        <w:spacing w:line="300" w:lineRule="auto"/>
        <w:ind w:firstLine="420" w:firstLineChars="200"/>
        <w:textAlignment w:val="baseline"/>
        <w:rPr>
          <w:rFonts w:hint="eastAsia" w:ascii="宋体" w:hAnsi="宋体" w:cs="宋体"/>
          <w:color w:val="auto"/>
          <w:szCs w:val="20"/>
          <w:highlight w:val="none"/>
        </w:rPr>
      </w:pPr>
      <w:r>
        <w:rPr>
          <w:rFonts w:hint="eastAsia" w:ascii="宋体" w:hAnsi="宋体" w:cs="宋体"/>
          <w:color w:val="auto"/>
          <w:szCs w:val="20"/>
          <w:highlight w:val="none"/>
        </w:rPr>
        <w:t>提供与工程相关的其他技术咨询服务。</w:t>
      </w:r>
    </w:p>
    <w:p>
      <w:pPr>
        <w:adjustRightInd w:val="0"/>
        <w:spacing w:line="300" w:lineRule="auto"/>
        <w:ind w:firstLine="420" w:firstLineChars="200"/>
        <w:textAlignment w:val="baseline"/>
        <w:rPr>
          <w:rFonts w:hint="eastAsia" w:ascii="宋体" w:hAnsi="宋体" w:cs="宋体"/>
          <w:color w:val="auto"/>
          <w:szCs w:val="20"/>
          <w:highlight w:val="none"/>
        </w:rPr>
      </w:pPr>
      <w:r>
        <w:rPr>
          <w:rFonts w:hint="eastAsia" w:ascii="宋体" w:hAnsi="宋体" w:cs="宋体"/>
          <w:color w:val="auto"/>
          <w:szCs w:val="20"/>
          <w:highlight w:val="none"/>
        </w:rPr>
        <w:t>5、编制培训方案并组织相关培训</w:t>
      </w:r>
    </w:p>
    <w:p>
      <w:pPr>
        <w:adjustRightInd w:val="0"/>
        <w:spacing w:line="300" w:lineRule="auto"/>
        <w:ind w:firstLine="420" w:firstLineChars="200"/>
        <w:textAlignment w:val="baseline"/>
        <w:rPr>
          <w:rFonts w:hint="eastAsia" w:ascii="宋体" w:hAnsi="宋体" w:cs="宋体"/>
          <w:color w:val="auto"/>
          <w:szCs w:val="20"/>
          <w:highlight w:val="none"/>
        </w:rPr>
      </w:pPr>
      <w:r>
        <w:rPr>
          <w:rFonts w:hint="eastAsia" w:ascii="宋体" w:hAnsi="宋体" w:cs="宋体"/>
          <w:color w:val="auto"/>
          <w:szCs w:val="20"/>
          <w:highlight w:val="none"/>
        </w:rPr>
        <w:t>协助采购人制定培训计划及方案；指导和调度各硬件供应商按采购人要求进行组织。</w:t>
      </w:r>
    </w:p>
    <w:p>
      <w:pPr>
        <w:adjustRightInd w:val="0"/>
        <w:spacing w:line="300" w:lineRule="auto"/>
        <w:ind w:firstLine="420" w:firstLineChars="200"/>
        <w:textAlignment w:val="baseline"/>
        <w:rPr>
          <w:rFonts w:hint="eastAsia" w:ascii="宋体" w:hAnsi="宋体" w:cs="宋体"/>
          <w:color w:val="auto"/>
          <w:szCs w:val="20"/>
          <w:highlight w:val="none"/>
        </w:rPr>
      </w:pPr>
      <w:r>
        <w:rPr>
          <w:rFonts w:hint="eastAsia" w:ascii="宋体" w:hAnsi="宋体" w:cs="宋体"/>
          <w:color w:val="auto"/>
          <w:szCs w:val="20"/>
          <w:highlight w:val="none"/>
        </w:rPr>
        <w:t>审核各承建单位的培训教材。</w:t>
      </w:r>
    </w:p>
    <w:p>
      <w:pPr>
        <w:adjustRightInd w:val="0"/>
        <w:spacing w:line="300" w:lineRule="auto"/>
        <w:ind w:firstLine="420" w:firstLineChars="200"/>
        <w:textAlignment w:val="baseline"/>
        <w:rPr>
          <w:rFonts w:hint="eastAsia" w:ascii="宋体" w:hAnsi="宋体" w:cs="宋体"/>
          <w:color w:val="auto"/>
          <w:szCs w:val="20"/>
          <w:highlight w:val="none"/>
        </w:rPr>
      </w:pPr>
      <w:r>
        <w:rPr>
          <w:rFonts w:hint="eastAsia" w:ascii="宋体" w:hAnsi="宋体" w:cs="宋体"/>
          <w:color w:val="auto"/>
          <w:szCs w:val="20"/>
          <w:highlight w:val="none"/>
        </w:rPr>
        <w:t>组织项目相关内容的培训工作。</w:t>
      </w:r>
    </w:p>
    <w:p>
      <w:pPr>
        <w:adjustRightInd w:val="0"/>
        <w:spacing w:line="300" w:lineRule="auto"/>
        <w:ind w:firstLine="420" w:firstLineChars="200"/>
        <w:textAlignment w:val="baseline"/>
        <w:rPr>
          <w:rFonts w:hint="eastAsia" w:ascii="宋体" w:hAnsi="宋体" w:cs="宋体"/>
          <w:color w:val="auto"/>
          <w:szCs w:val="20"/>
          <w:highlight w:val="none"/>
        </w:rPr>
      </w:pPr>
      <w:r>
        <w:rPr>
          <w:rFonts w:hint="eastAsia" w:ascii="宋体" w:hAnsi="宋体" w:cs="宋体"/>
          <w:color w:val="auto"/>
          <w:szCs w:val="20"/>
          <w:highlight w:val="none"/>
        </w:rPr>
        <w:t>6、协助项目采购人完成各承建单位项目的初验和终验</w:t>
      </w:r>
    </w:p>
    <w:p>
      <w:pPr>
        <w:adjustRightInd w:val="0"/>
        <w:spacing w:line="300" w:lineRule="auto"/>
        <w:ind w:firstLine="420" w:firstLineChars="200"/>
        <w:textAlignment w:val="baseline"/>
        <w:rPr>
          <w:rFonts w:hint="eastAsia" w:ascii="宋体" w:hAnsi="宋体" w:cs="宋体"/>
          <w:color w:val="auto"/>
          <w:szCs w:val="20"/>
          <w:highlight w:val="none"/>
        </w:rPr>
      </w:pPr>
      <w:r>
        <w:rPr>
          <w:rFonts w:hint="eastAsia" w:ascii="宋体" w:hAnsi="宋体" w:cs="宋体"/>
          <w:color w:val="auto"/>
          <w:szCs w:val="20"/>
          <w:highlight w:val="none"/>
        </w:rPr>
        <w:t>与项目采购人一起对各分包项目、整体项目进行初步验收，协助项目采购人对各分包项目的完成情况进行检查验收。</w:t>
      </w:r>
    </w:p>
    <w:p>
      <w:pPr>
        <w:adjustRightInd w:val="0"/>
        <w:spacing w:line="300" w:lineRule="auto"/>
        <w:ind w:firstLine="420" w:firstLineChars="200"/>
        <w:textAlignment w:val="baseline"/>
        <w:rPr>
          <w:rFonts w:hint="eastAsia" w:ascii="宋体" w:hAnsi="宋体" w:cs="宋体"/>
          <w:color w:val="auto"/>
          <w:szCs w:val="20"/>
          <w:highlight w:val="none"/>
        </w:rPr>
      </w:pPr>
      <w:r>
        <w:rPr>
          <w:rFonts w:hint="eastAsia" w:ascii="宋体" w:hAnsi="宋体" w:cs="宋体"/>
          <w:color w:val="auto"/>
          <w:szCs w:val="20"/>
          <w:highlight w:val="none"/>
        </w:rPr>
        <w:t>与项目采购人一起对各分包项目、整体项目进行最终验收，协助项目采购人对各分包项目的完成情况进行检查验收。</w:t>
      </w:r>
    </w:p>
    <w:p>
      <w:pPr>
        <w:adjustRightInd w:val="0"/>
        <w:spacing w:line="300" w:lineRule="auto"/>
        <w:ind w:firstLine="420" w:firstLineChars="200"/>
        <w:textAlignment w:val="baseline"/>
        <w:rPr>
          <w:color w:val="auto"/>
          <w:highlight w:val="none"/>
        </w:rPr>
      </w:pPr>
    </w:p>
    <w:p>
      <w:pPr>
        <w:pStyle w:val="7"/>
        <w:rPr>
          <w:color w:val="auto"/>
          <w:highlight w:val="none"/>
        </w:rPr>
      </w:pPr>
      <w:r>
        <w:rPr>
          <w:rFonts w:hint="eastAsia"/>
          <w:color w:val="auto"/>
          <w:highlight w:val="none"/>
        </w:rPr>
        <w:t>2、硬件设备（清单）</w:t>
      </w:r>
    </w:p>
    <w:p>
      <w:pPr>
        <w:rPr>
          <w:color w:val="auto"/>
          <w:highlight w:val="none"/>
        </w:rPr>
      </w:pPr>
      <w:r>
        <w:rPr>
          <w:rFonts w:hint="eastAsia"/>
          <w:color w:val="auto"/>
          <w:highlight w:val="none"/>
        </w:rPr>
        <w:t xml:space="preserve">    ▲本项目硬件设备如涉及与现有平台及产品对接与管理需求的需满足兼容性要求，能对接现有与本次升级平台及产品的对接或管理。</w:t>
      </w:r>
    </w:p>
    <w:p>
      <w:pPr>
        <w:rPr>
          <w:color w:val="auto"/>
          <w:highlight w:val="none"/>
        </w:rPr>
      </w:pPr>
      <w:r>
        <w:rPr>
          <w:rFonts w:hint="eastAsia"/>
          <w:color w:val="auto"/>
          <w:highlight w:val="none"/>
        </w:rPr>
        <w:t xml:space="preserve">  ▲本项目硬件设备包含五年运维服务。</w:t>
      </w:r>
    </w:p>
    <w:p>
      <w:pPr>
        <w:pStyle w:val="8"/>
        <w:rPr>
          <w:color w:val="auto"/>
          <w:highlight w:val="none"/>
        </w:rPr>
      </w:pPr>
      <w:r>
        <w:rPr>
          <w:rFonts w:hint="eastAsia"/>
          <w:color w:val="auto"/>
          <w:highlight w:val="none"/>
        </w:rPr>
        <w:t xml:space="preserve"> （1）服务器</w:t>
      </w:r>
    </w:p>
    <w:p>
      <w:pPr>
        <w:rPr>
          <w:color w:val="auto"/>
          <w:highlight w:val="none"/>
        </w:rPr>
      </w:pPr>
      <w:bookmarkStart w:id="10" w:name="_Hlk219686031"/>
      <w:r>
        <w:rPr>
          <w:rFonts w:hint="eastAsia"/>
          <w:color w:val="auto"/>
          <w:highlight w:val="none"/>
        </w:rPr>
        <w:t>▲本项目服务器采用通过安全可靠测评结果公告（2023年第1号）及后续更新的测评结果公告中的处理器</w:t>
      </w:r>
      <w:bookmarkEnd w:id="10"/>
      <w:r>
        <w:rPr>
          <w:rFonts w:hint="eastAsia"/>
          <w:color w:val="auto"/>
          <w:highlight w:val="none"/>
        </w:rPr>
        <w:t>，承诺所投设备所配备的</w:t>
      </w:r>
      <w:r>
        <w:rPr>
          <w:color w:val="auto"/>
          <w:highlight w:val="none"/>
        </w:rPr>
        <w:t>CPU</w:t>
      </w:r>
      <w:r>
        <w:rPr>
          <w:rFonts w:hint="eastAsia"/>
          <w:color w:val="auto"/>
          <w:highlight w:val="none"/>
        </w:rPr>
        <w:t>原厂出具的可信执行环境（</w:t>
      </w:r>
      <w:r>
        <w:rPr>
          <w:color w:val="auto"/>
          <w:highlight w:val="none"/>
        </w:rPr>
        <w:t>TEE</w:t>
      </w:r>
      <w:r>
        <w:rPr>
          <w:rFonts w:hint="eastAsia"/>
          <w:color w:val="auto"/>
          <w:highlight w:val="none"/>
        </w:rPr>
        <w:t>）功能企业站点级许可，并在交付时提交证明。</w:t>
      </w:r>
    </w:p>
    <w:tbl>
      <w:tblPr>
        <w:tblStyle w:val="52"/>
        <w:tblW w:w="9605" w:type="dxa"/>
        <w:tblInd w:w="0" w:type="dxa"/>
        <w:tblLayout w:type="fixed"/>
        <w:tblCellMar>
          <w:top w:w="0" w:type="dxa"/>
          <w:left w:w="0" w:type="dxa"/>
          <w:bottom w:w="0" w:type="dxa"/>
          <w:right w:w="0" w:type="dxa"/>
        </w:tblCellMar>
      </w:tblPr>
      <w:tblGrid>
        <w:gridCol w:w="770"/>
        <w:gridCol w:w="2340"/>
        <w:gridCol w:w="5790"/>
        <w:gridCol w:w="705"/>
      </w:tblGrid>
      <w:tr>
        <w:tblPrEx>
          <w:tblCellMar>
            <w:top w:w="0" w:type="dxa"/>
            <w:left w:w="0" w:type="dxa"/>
            <w:bottom w:w="0" w:type="dxa"/>
            <w:right w:w="0" w:type="dxa"/>
          </w:tblCellMar>
        </w:tblPrEx>
        <w:trPr>
          <w:trHeight w:val="363" w:hRule="atLeast"/>
          <w:tblHeader/>
        </w:trPr>
        <w:tc>
          <w:tcPr>
            <w:tcW w:w="77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b/>
                <w:color w:val="auto"/>
                <w:highlight w:val="none"/>
              </w:rPr>
            </w:pPr>
            <w:r>
              <w:rPr>
                <w:rFonts w:hint="eastAsia"/>
                <w:b/>
                <w:color w:val="auto"/>
                <w:highlight w:val="none"/>
              </w:rPr>
              <w:t>序号</w:t>
            </w:r>
          </w:p>
        </w:tc>
        <w:tc>
          <w:tcPr>
            <w:tcW w:w="234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b/>
                <w:color w:val="auto"/>
                <w:highlight w:val="none"/>
              </w:rPr>
            </w:pPr>
            <w:r>
              <w:rPr>
                <w:rFonts w:hint="eastAsia"/>
                <w:b/>
                <w:color w:val="auto"/>
                <w:highlight w:val="none"/>
              </w:rPr>
              <w:t>设备名称</w:t>
            </w:r>
          </w:p>
        </w:tc>
        <w:tc>
          <w:tcPr>
            <w:tcW w:w="579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b/>
                <w:color w:val="auto"/>
                <w:highlight w:val="none"/>
              </w:rPr>
            </w:pPr>
            <w:r>
              <w:rPr>
                <w:rFonts w:hint="eastAsia"/>
                <w:b/>
                <w:color w:val="auto"/>
                <w:highlight w:val="none"/>
              </w:rPr>
              <w:t>性能参数</w:t>
            </w:r>
          </w:p>
        </w:tc>
        <w:tc>
          <w:tcPr>
            <w:tcW w:w="70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b/>
                <w:color w:val="auto"/>
                <w:highlight w:val="none"/>
              </w:rPr>
            </w:pPr>
            <w:r>
              <w:rPr>
                <w:rFonts w:hint="eastAsia"/>
                <w:b/>
                <w:color w:val="auto"/>
                <w:highlight w:val="none"/>
              </w:rPr>
              <w:t>数量（台）</w:t>
            </w:r>
          </w:p>
        </w:tc>
      </w:tr>
      <w:tr>
        <w:tblPrEx>
          <w:tblCellMar>
            <w:top w:w="0" w:type="dxa"/>
            <w:left w:w="0" w:type="dxa"/>
            <w:bottom w:w="0" w:type="dxa"/>
            <w:right w:w="0" w:type="dxa"/>
          </w:tblCellMar>
        </w:tblPrEx>
        <w:trPr>
          <w:trHeight w:val="360" w:hRule="atLeast"/>
        </w:trPr>
        <w:tc>
          <w:tcPr>
            <w:tcW w:w="77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b/>
                <w:color w:val="auto"/>
                <w:highlight w:val="none"/>
              </w:rPr>
            </w:pPr>
            <w:r>
              <w:rPr>
                <w:rFonts w:hint="eastAsia"/>
                <w:b/>
                <w:color w:val="auto"/>
                <w:highlight w:val="none"/>
              </w:rPr>
              <w:t>1</w:t>
            </w:r>
          </w:p>
        </w:tc>
        <w:tc>
          <w:tcPr>
            <w:tcW w:w="234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b/>
                <w:color w:val="auto"/>
                <w:highlight w:val="none"/>
              </w:rPr>
            </w:pPr>
            <w:r>
              <w:rPr>
                <w:rFonts w:hint="eastAsia"/>
                <w:b/>
                <w:color w:val="auto"/>
                <w:highlight w:val="none"/>
              </w:rPr>
              <w:t>云平台核心业务区扩容</w:t>
            </w:r>
          </w:p>
        </w:tc>
        <w:tc>
          <w:tcPr>
            <w:tcW w:w="579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b/>
                <w:color w:val="auto"/>
                <w:highlight w:val="none"/>
              </w:rPr>
            </w:pPr>
          </w:p>
        </w:tc>
        <w:tc>
          <w:tcPr>
            <w:tcW w:w="70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rPr>
                <w:b/>
                <w:color w:val="auto"/>
                <w:highlight w:val="none"/>
              </w:rPr>
            </w:pPr>
          </w:p>
        </w:tc>
      </w:tr>
      <w:tr>
        <w:tblPrEx>
          <w:tblCellMar>
            <w:top w:w="0" w:type="dxa"/>
            <w:left w:w="0" w:type="dxa"/>
            <w:bottom w:w="0" w:type="dxa"/>
            <w:right w:w="0" w:type="dxa"/>
          </w:tblCellMar>
        </w:tblPrEx>
        <w:trPr>
          <w:trHeight w:val="260" w:hRule="atLeast"/>
        </w:trPr>
        <w:tc>
          <w:tcPr>
            <w:tcW w:w="77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1.1</w:t>
            </w:r>
          </w:p>
        </w:tc>
        <w:tc>
          <w:tcPr>
            <w:tcW w:w="234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集中式关系型数据库</w:t>
            </w:r>
          </w:p>
          <w:p>
            <w:pPr>
              <w:jc w:val="center"/>
              <w:rPr>
                <w:color w:val="auto"/>
                <w:highlight w:val="none"/>
              </w:rPr>
            </w:pPr>
            <w:r>
              <w:rPr>
                <w:rFonts w:hint="eastAsia"/>
                <w:color w:val="auto"/>
                <w:highlight w:val="none"/>
              </w:rPr>
              <w:t>服务器</w:t>
            </w:r>
          </w:p>
        </w:tc>
        <w:tc>
          <w:tcPr>
            <w:tcW w:w="579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ascii="宋体" w:hAnsi="宋体" w:cs="宋体"/>
                <w:bCs/>
                <w:color w:val="auto"/>
                <w:szCs w:val="21"/>
                <w:highlight w:val="none"/>
              </w:rPr>
              <w:t>▲</w:t>
            </w:r>
            <w:r>
              <w:rPr>
                <w:rFonts w:hint="eastAsia"/>
                <w:color w:val="auto"/>
                <w:highlight w:val="none"/>
              </w:rPr>
              <w:t>CPU规格: 芯片*2，支持物理机或虚拟机层面在写入内存数据时自动加密、读取内存数据时自动解密，本次授权CPU数量≥2</w:t>
            </w:r>
            <w:r>
              <w:rPr>
                <w:rFonts w:hint="eastAsia" w:ascii="宋体" w:hAnsi="宋体" w:cs="宋体"/>
                <w:color w:val="auto"/>
                <w:sz w:val="24"/>
                <w:highlight w:val="none"/>
              </w:rPr>
              <w:br w:type="textWrapping"/>
            </w:r>
            <w:r>
              <w:rPr>
                <w:rFonts w:hint="eastAsia" w:ascii="宋体" w:hAnsi="宋体" w:cs="宋体"/>
                <w:bCs/>
                <w:color w:val="auto"/>
                <w:szCs w:val="21"/>
                <w:highlight w:val="none"/>
              </w:rPr>
              <w:t>▲</w:t>
            </w:r>
            <w:r>
              <w:rPr>
                <w:rFonts w:hint="eastAsia"/>
                <w:color w:val="auto"/>
                <w:highlight w:val="none"/>
              </w:rPr>
              <w:t>CPU核数: [32]*2</w:t>
            </w:r>
            <w:r>
              <w:rPr>
                <w:rFonts w:hint="eastAsia"/>
                <w:color w:val="auto"/>
                <w:highlight w:val="none"/>
              </w:rPr>
              <w:br w:type="textWrapping"/>
            </w:r>
            <w:r>
              <w:rPr>
                <w:rFonts w:hint="eastAsia" w:ascii="宋体" w:hAnsi="宋体" w:cs="宋体"/>
                <w:bCs/>
                <w:color w:val="auto"/>
                <w:szCs w:val="21"/>
                <w:highlight w:val="none"/>
              </w:rPr>
              <w:t>▲</w:t>
            </w:r>
            <w:r>
              <w:rPr>
                <w:rFonts w:hint="eastAsia"/>
                <w:color w:val="auto"/>
                <w:highlight w:val="none"/>
              </w:rPr>
              <w:t>CPU主频: 2.2 GHz</w:t>
            </w:r>
            <w:r>
              <w:rPr>
                <w:rFonts w:hint="eastAsia"/>
                <w:color w:val="auto"/>
                <w:highlight w:val="none"/>
              </w:rPr>
              <w:br w:type="textWrapping"/>
            </w:r>
            <w:r>
              <w:rPr>
                <w:rFonts w:hint="eastAsia" w:ascii="宋体" w:hAnsi="宋体" w:cs="宋体"/>
                <w:bCs/>
                <w:color w:val="auto"/>
                <w:szCs w:val="21"/>
                <w:highlight w:val="none"/>
              </w:rPr>
              <w:t>▲</w:t>
            </w:r>
            <w:r>
              <w:rPr>
                <w:rFonts w:hint="eastAsia"/>
                <w:color w:val="auto"/>
                <w:highlight w:val="none"/>
              </w:rPr>
              <w:t>CPU架构: C86</w:t>
            </w:r>
            <w:r>
              <w:rPr>
                <w:rFonts w:hint="eastAsia"/>
                <w:color w:val="auto"/>
                <w:highlight w:val="none"/>
              </w:rPr>
              <w:br w:type="textWrapping"/>
            </w:r>
            <w:r>
              <w:rPr>
                <w:rFonts w:hint="eastAsia" w:ascii="宋体" w:hAnsi="宋体" w:cs="宋体"/>
                <w:bCs/>
                <w:color w:val="auto"/>
                <w:szCs w:val="21"/>
                <w:highlight w:val="none"/>
              </w:rPr>
              <w:t>▲</w:t>
            </w:r>
            <w:r>
              <w:rPr>
                <w:rFonts w:hint="eastAsia"/>
                <w:color w:val="auto"/>
                <w:highlight w:val="none"/>
              </w:rPr>
              <w:t>内存(GB): 1024</w:t>
            </w:r>
            <w:r>
              <w:rPr>
                <w:rFonts w:hint="eastAsia"/>
                <w:color w:val="auto"/>
                <w:highlight w:val="none"/>
              </w:rPr>
              <w:br w:type="textWrapping"/>
            </w:r>
            <w:r>
              <w:rPr>
                <w:rFonts w:hint="eastAsia" w:ascii="宋体" w:hAnsi="宋体" w:cs="宋体"/>
                <w:bCs/>
                <w:color w:val="auto"/>
                <w:szCs w:val="21"/>
                <w:highlight w:val="none"/>
              </w:rPr>
              <w:t>▲</w:t>
            </w:r>
            <w:r>
              <w:rPr>
                <w:rFonts w:hint="eastAsia"/>
                <w:color w:val="auto"/>
                <w:highlight w:val="none"/>
              </w:rPr>
              <w:t>内存规格: ECC DDR4/DDR5 RDIMM 频率 ≥3200MHz</w:t>
            </w:r>
            <w:r>
              <w:rPr>
                <w:rFonts w:hint="eastAsia"/>
                <w:color w:val="auto"/>
                <w:highlight w:val="none"/>
              </w:rPr>
              <w:br w:type="textWrapping"/>
            </w:r>
            <w:r>
              <w:rPr>
                <w:rFonts w:hint="eastAsia" w:ascii="宋体" w:hAnsi="宋体" w:cs="宋体"/>
                <w:bCs/>
                <w:color w:val="auto"/>
                <w:szCs w:val="21"/>
                <w:highlight w:val="none"/>
              </w:rPr>
              <w:t>▲</w:t>
            </w:r>
            <w:r>
              <w:rPr>
                <w:rFonts w:hint="eastAsia"/>
                <w:color w:val="auto"/>
                <w:highlight w:val="none"/>
              </w:rPr>
              <w:t>内置硬盘: 480G[480G_sata_ssd]*1</w:t>
            </w:r>
            <w:r>
              <w:rPr>
                <w:rFonts w:hint="eastAsia"/>
                <w:color w:val="auto"/>
                <w:highlight w:val="none"/>
              </w:rPr>
              <w:br w:type="textWrapping"/>
            </w:r>
            <w:r>
              <w:rPr>
                <w:rFonts w:hint="eastAsia"/>
                <w:color w:val="auto"/>
                <w:highlight w:val="none"/>
              </w:rPr>
              <w:t>3840G[3840G_nvme_ssd]*4</w:t>
            </w:r>
            <w:r>
              <w:rPr>
                <w:rFonts w:hint="eastAsia"/>
                <w:color w:val="auto"/>
                <w:highlight w:val="none"/>
              </w:rPr>
              <w:br w:type="textWrapping"/>
            </w:r>
            <w:r>
              <w:rPr>
                <w:rFonts w:hint="eastAsia"/>
                <w:color w:val="auto"/>
                <w:highlight w:val="none"/>
              </w:rPr>
              <w:t>网卡要求: 10GE:双端口10G光口独立网卡，并满配兼容多模模块（SFP+），支持PXE，支持DPDK应用（兼容2.2版本），支持SRIOV  技术，支持特定五元组（源IP地址，源端口，目的IP地址，目的端口和传输层协议）分流到SRIOV VF；</w:t>
            </w:r>
            <w:r>
              <w:rPr>
                <w:rFonts w:hint="eastAsia"/>
                <w:color w:val="auto"/>
                <w:highlight w:val="none"/>
              </w:rPr>
              <w:br w:type="textWrapping"/>
            </w:r>
            <w:r>
              <w:rPr>
                <w:rFonts w:hint="eastAsia"/>
                <w:color w:val="auto"/>
                <w:highlight w:val="none"/>
              </w:rPr>
              <w:t>网口数量: 10GE*2</w:t>
            </w:r>
            <w:r>
              <w:rPr>
                <w:rFonts w:hint="eastAsia"/>
                <w:color w:val="auto"/>
                <w:highlight w:val="none"/>
              </w:rPr>
              <w:br w:type="textWrapping"/>
            </w:r>
            <w:r>
              <w:rPr>
                <w:rFonts w:hint="eastAsia"/>
                <w:color w:val="auto"/>
                <w:highlight w:val="none"/>
              </w:rPr>
              <w:t>双电源</w:t>
            </w:r>
          </w:p>
          <w:p>
            <w:pPr>
              <w:jc w:val="left"/>
              <w:rPr>
                <w:color w:val="auto"/>
                <w:highlight w:val="none"/>
              </w:rPr>
            </w:pPr>
            <w:r>
              <w:rPr>
                <w:rFonts w:hint="eastAsia"/>
                <w:color w:val="auto"/>
                <w:highlight w:val="none"/>
              </w:rPr>
              <w:t>管理要求：配置服务器管理软件，实现服务器全生命健康数据管理，具备故障预警与检测、统一监控告警、自定义监控规则、消息通知、升级提醒与自动升级等功能。</w:t>
            </w:r>
          </w:p>
          <w:p>
            <w:pPr>
              <w:jc w:val="left"/>
              <w:rPr>
                <w:color w:val="auto"/>
                <w:highlight w:val="none"/>
              </w:rPr>
            </w:pPr>
            <w:r>
              <w:rPr>
                <w:rFonts w:hint="eastAsia"/>
                <w:color w:val="auto"/>
                <w:highlight w:val="none"/>
              </w:rPr>
              <w:t>稳定性要求：MTBF时间≥15万小时</w:t>
            </w:r>
          </w:p>
          <w:p>
            <w:pPr>
              <w:jc w:val="left"/>
              <w:rPr>
                <w:color w:val="auto"/>
                <w:highlight w:val="none"/>
              </w:rPr>
            </w:pPr>
            <w:r>
              <w:rPr>
                <w:rFonts w:hint="eastAsia" w:ascii="宋体" w:hAnsi="宋体" w:cs="宋体"/>
                <w:bCs/>
                <w:color w:val="auto"/>
                <w:szCs w:val="21"/>
                <w:highlight w:val="none"/>
              </w:rPr>
              <w:t>▲</w:t>
            </w:r>
            <w:r>
              <w:rPr>
                <w:rFonts w:hint="eastAsia"/>
                <w:color w:val="auto"/>
                <w:highlight w:val="none"/>
              </w:rPr>
              <w:t>服务要求：原厂五年免费上门维保服务</w:t>
            </w:r>
          </w:p>
        </w:tc>
        <w:tc>
          <w:tcPr>
            <w:tcW w:w="70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30台</w:t>
            </w:r>
          </w:p>
        </w:tc>
      </w:tr>
      <w:tr>
        <w:tblPrEx>
          <w:tblCellMar>
            <w:top w:w="0" w:type="dxa"/>
            <w:left w:w="0" w:type="dxa"/>
            <w:bottom w:w="0" w:type="dxa"/>
            <w:right w:w="0" w:type="dxa"/>
          </w:tblCellMar>
        </w:tblPrEx>
        <w:trPr>
          <w:trHeight w:val="320" w:hRule="atLeast"/>
        </w:trPr>
        <w:tc>
          <w:tcPr>
            <w:tcW w:w="77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1.2</w:t>
            </w:r>
          </w:p>
        </w:tc>
        <w:tc>
          <w:tcPr>
            <w:tcW w:w="234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分布式关系型数据库</w:t>
            </w:r>
          </w:p>
          <w:p>
            <w:pPr>
              <w:jc w:val="center"/>
              <w:rPr>
                <w:color w:val="auto"/>
                <w:highlight w:val="none"/>
              </w:rPr>
            </w:pPr>
            <w:r>
              <w:rPr>
                <w:rFonts w:hint="eastAsia"/>
                <w:color w:val="auto"/>
                <w:highlight w:val="none"/>
              </w:rPr>
              <w:t>服务器</w:t>
            </w:r>
          </w:p>
        </w:tc>
        <w:tc>
          <w:tcPr>
            <w:tcW w:w="579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ascii="宋体" w:hAnsi="宋体" w:cs="宋体"/>
                <w:bCs/>
                <w:color w:val="auto"/>
                <w:szCs w:val="21"/>
                <w:highlight w:val="none"/>
              </w:rPr>
              <w:t>▲</w:t>
            </w:r>
            <w:r>
              <w:rPr>
                <w:rFonts w:hint="eastAsia"/>
                <w:color w:val="auto"/>
                <w:highlight w:val="none"/>
              </w:rPr>
              <w:t>CPU规格: 芯片*2，支持物理机或虚拟机层面在写入内存数据时自动加密、读取内存数据时自动解密，本次授权CPU数量≥2</w:t>
            </w:r>
            <w:r>
              <w:rPr>
                <w:rFonts w:hint="eastAsia"/>
                <w:color w:val="auto"/>
                <w:highlight w:val="none"/>
              </w:rPr>
              <w:br w:type="textWrapping"/>
            </w:r>
            <w:r>
              <w:rPr>
                <w:rFonts w:hint="eastAsia" w:ascii="宋体" w:hAnsi="宋体" w:cs="宋体"/>
                <w:bCs/>
                <w:color w:val="auto"/>
                <w:szCs w:val="21"/>
                <w:highlight w:val="none"/>
              </w:rPr>
              <w:t>▲</w:t>
            </w:r>
            <w:r>
              <w:rPr>
                <w:rFonts w:hint="eastAsia"/>
                <w:color w:val="auto"/>
                <w:highlight w:val="none"/>
              </w:rPr>
              <w:t>CPU核数: [24]*2</w:t>
            </w:r>
            <w:r>
              <w:rPr>
                <w:rFonts w:hint="eastAsia"/>
                <w:color w:val="auto"/>
                <w:highlight w:val="none"/>
              </w:rPr>
              <w:br w:type="textWrapping"/>
            </w:r>
            <w:r>
              <w:rPr>
                <w:rFonts w:hint="eastAsia" w:ascii="宋体" w:hAnsi="宋体" w:cs="宋体"/>
                <w:bCs/>
                <w:color w:val="auto"/>
                <w:szCs w:val="21"/>
                <w:highlight w:val="none"/>
              </w:rPr>
              <w:t>▲</w:t>
            </w:r>
            <w:r>
              <w:rPr>
                <w:rFonts w:hint="eastAsia"/>
                <w:color w:val="auto"/>
                <w:highlight w:val="none"/>
              </w:rPr>
              <w:t>CPU主频: 2.2 GHz</w:t>
            </w:r>
            <w:r>
              <w:rPr>
                <w:rFonts w:hint="eastAsia"/>
                <w:color w:val="auto"/>
                <w:highlight w:val="none"/>
              </w:rPr>
              <w:br w:type="textWrapping"/>
            </w:r>
            <w:r>
              <w:rPr>
                <w:rFonts w:hint="eastAsia" w:ascii="宋体" w:hAnsi="宋体" w:cs="宋体"/>
                <w:bCs/>
                <w:color w:val="auto"/>
                <w:szCs w:val="21"/>
                <w:highlight w:val="none"/>
              </w:rPr>
              <w:t>▲</w:t>
            </w:r>
            <w:r>
              <w:rPr>
                <w:rFonts w:hint="eastAsia"/>
                <w:color w:val="auto"/>
                <w:highlight w:val="none"/>
              </w:rPr>
              <w:t>CPU架构: C86</w:t>
            </w:r>
            <w:r>
              <w:rPr>
                <w:rFonts w:hint="eastAsia"/>
                <w:color w:val="auto"/>
                <w:highlight w:val="none"/>
              </w:rPr>
              <w:br w:type="textWrapping"/>
            </w:r>
            <w:r>
              <w:rPr>
                <w:rFonts w:hint="eastAsia" w:ascii="宋体" w:hAnsi="宋体" w:cs="宋体"/>
                <w:bCs/>
                <w:color w:val="auto"/>
                <w:szCs w:val="21"/>
                <w:highlight w:val="none"/>
              </w:rPr>
              <w:t>▲</w:t>
            </w:r>
            <w:r>
              <w:rPr>
                <w:rFonts w:hint="eastAsia"/>
                <w:color w:val="auto"/>
                <w:highlight w:val="none"/>
              </w:rPr>
              <w:t>内存(GB): 512</w:t>
            </w:r>
            <w:r>
              <w:rPr>
                <w:rFonts w:hint="eastAsia"/>
                <w:color w:val="auto"/>
                <w:highlight w:val="none"/>
              </w:rPr>
              <w:br w:type="textWrapping"/>
            </w:r>
            <w:r>
              <w:rPr>
                <w:rFonts w:hint="eastAsia" w:ascii="宋体" w:hAnsi="宋体" w:cs="宋体"/>
                <w:bCs/>
                <w:color w:val="auto"/>
                <w:szCs w:val="21"/>
                <w:highlight w:val="none"/>
              </w:rPr>
              <w:t>▲</w:t>
            </w:r>
            <w:r>
              <w:rPr>
                <w:rFonts w:hint="eastAsia"/>
                <w:color w:val="auto"/>
                <w:highlight w:val="none"/>
              </w:rPr>
              <w:t>内存规格: ECC DDR4/DDR5 RDIMM 频率 ≥3200MHz</w:t>
            </w:r>
            <w:r>
              <w:rPr>
                <w:rFonts w:hint="eastAsia"/>
                <w:color w:val="auto"/>
                <w:highlight w:val="none"/>
              </w:rPr>
              <w:br w:type="textWrapping"/>
            </w:r>
            <w:r>
              <w:rPr>
                <w:rFonts w:hint="eastAsia" w:ascii="宋体" w:hAnsi="宋体" w:cs="宋体"/>
                <w:bCs/>
                <w:color w:val="auto"/>
                <w:szCs w:val="21"/>
                <w:highlight w:val="none"/>
              </w:rPr>
              <w:t>▲</w:t>
            </w:r>
            <w:r>
              <w:rPr>
                <w:rFonts w:hint="eastAsia"/>
                <w:color w:val="auto"/>
                <w:highlight w:val="none"/>
              </w:rPr>
              <w:t>内置硬盘: 480G[480G_sata_ssd]*1</w:t>
            </w:r>
            <w:r>
              <w:rPr>
                <w:rFonts w:hint="eastAsia"/>
                <w:color w:val="auto"/>
                <w:highlight w:val="none"/>
              </w:rPr>
              <w:br w:type="textWrapping"/>
            </w:r>
            <w:r>
              <w:rPr>
                <w:rFonts w:hint="eastAsia"/>
                <w:color w:val="auto"/>
                <w:highlight w:val="none"/>
              </w:rPr>
              <w:t>3840G[3840G_nvme_ssd]*2</w:t>
            </w:r>
            <w:r>
              <w:rPr>
                <w:rFonts w:hint="eastAsia"/>
                <w:color w:val="auto"/>
                <w:highlight w:val="none"/>
              </w:rPr>
              <w:br w:type="textWrapping"/>
            </w:r>
            <w:r>
              <w:rPr>
                <w:rFonts w:hint="eastAsia"/>
                <w:color w:val="auto"/>
                <w:highlight w:val="none"/>
              </w:rPr>
              <w:t>网卡要求: 10GE:双端口10G光口独立网卡，并满配兼容多模模块（SFP+），支持PXE，支持DPDK应用（兼容2.2版本），支持SRIOV  技术，支持特定五元组（源IP地址，源端口，目的IP地址，目的端口和传输层协议）分流到SRIOV VF；</w:t>
            </w:r>
            <w:r>
              <w:rPr>
                <w:rFonts w:hint="eastAsia"/>
                <w:color w:val="auto"/>
                <w:highlight w:val="none"/>
              </w:rPr>
              <w:br w:type="textWrapping"/>
            </w:r>
            <w:r>
              <w:rPr>
                <w:rFonts w:hint="eastAsia"/>
                <w:color w:val="auto"/>
                <w:highlight w:val="none"/>
              </w:rPr>
              <w:t>网口数量: 10GE*2</w:t>
            </w:r>
            <w:r>
              <w:rPr>
                <w:rFonts w:hint="eastAsia"/>
                <w:color w:val="auto"/>
                <w:highlight w:val="none"/>
              </w:rPr>
              <w:br w:type="textWrapping"/>
            </w:r>
            <w:r>
              <w:rPr>
                <w:rFonts w:hint="eastAsia"/>
                <w:color w:val="auto"/>
                <w:highlight w:val="none"/>
              </w:rPr>
              <w:t>双电源</w:t>
            </w:r>
          </w:p>
          <w:p>
            <w:pPr>
              <w:jc w:val="left"/>
              <w:rPr>
                <w:color w:val="auto"/>
                <w:highlight w:val="none"/>
              </w:rPr>
            </w:pPr>
            <w:r>
              <w:rPr>
                <w:rFonts w:hint="eastAsia"/>
                <w:color w:val="auto"/>
                <w:highlight w:val="none"/>
              </w:rPr>
              <w:t>管理要求：配置服务器管理软件，实现服务器全生命健康数据管理，具备故障预警与检测、统一监控告警、自定义监控规则、消息通知、升级提醒与自动升级等功能。</w:t>
            </w:r>
          </w:p>
          <w:p>
            <w:pPr>
              <w:jc w:val="left"/>
              <w:rPr>
                <w:color w:val="auto"/>
                <w:highlight w:val="none"/>
              </w:rPr>
            </w:pPr>
            <w:r>
              <w:rPr>
                <w:rFonts w:hint="eastAsia"/>
                <w:color w:val="auto"/>
                <w:highlight w:val="none"/>
              </w:rPr>
              <w:t>稳定性要求：MTBF时间≥15万小时</w:t>
            </w:r>
          </w:p>
          <w:p>
            <w:pPr>
              <w:jc w:val="left"/>
              <w:rPr>
                <w:color w:val="auto"/>
                <w:highlight w:val="none"/>
              </w:rPr>
            </w:pPr>
            <w:r>
              <w:rPr>
                <w:rFonts w:hint="eastAsia" w:ascii="宋体" w:hAnsi="宋体" w:cs="宋体"/>
                <w:bCs/>
                <w:color w:val="auto"/>
                <w:szCs w:val="21"/>
                <w:highlight w:val="none"/>
              </w:rPr>
              <w:t>▲</w:t>
            </w:r>
            <w:r>
              <w:rPr>
                <w:rFonts w:hint="eastAsia"/>
                <w:color w:val="auto"/>
                <w:highlight w:val="none"/>
              </w:rPr>
              <w:t>服务要求：原厂五年免费上门维保服务</w:t>
            </w:r>
          </w:p>
        </w:tc>
        <w:tc>
          <w:tcPr>
            <w:tcW w:w="70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9台</w:t>
            </w:r>
          </w:p>
        </w:tc>
      </w:tr>
      <w:tr>
        <w:tblPrEx>
          <w:tblCellMar>
            <w:top w:w="0" w:type="dxa"/>
            <w:left w:w="0" w:type="dxa"/>
            <w:bottom w:w="0" w:type="dxa"/>
            <w:right w:w="0" w:type="dxa"/>
          </w:tblCellMar>
        </w:tblPrEx>
        <w:trPr>
          <w:trHeight w:val="260" w:hRule="atLeast"/>
        </w:trPr>
        <w:tc>
          <w:tcPr>
            <w:tcW w:w="77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1.3</w:t>
            </w:r>
          </w:p>
        </w:tc>
        <w:tc>
          <w:tcPr>
            <w:tcW w:w="234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云平台管控节点服务器1</w:t>
            </w:r>
          </w:p>
        </w:tc>
        <w:tc>
          <w:tcPr>
            <w:tcW w:w="579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ascii="宋体" w:hAnsi="宋体" w:cs="宋体"/>
                <w:bCs/>
                <w:color w:val="auto"/>
                <w:szCs w:val="21"/>
                <w:highlight w:val="none"/>
              </w:rPr>
              <w:t>▲</w:t>
            </w:r>
            <w:r>
              <w:rPr>
                <w:rFonts w:hint="eastAsia"/>
                <w:color w:val="auto"/>
                <w:highlight w:val="none"/>
              </w:rPr>
              <w:t>CPU规格: 芯片*2，支持物理机或虚拟机层面在写入内存数据时自动加密、读取内存数据时自动解密，本次授权CPU数量≥2</w:t>
            </w:r>
            <w:r>
              <w:rPr>
                <w:rFonts w:hint="eastAsia"/>
                <w:color w:val="auto"/>
                <w:highlight w:val="none"/>
              </w:rPr>
              <w:br w:type="textWrapping"/>
            </w:r>
            <w:r>
              <w:rPr>
                <w:rFonts w:hint="eastAsia" w:ascii="宋体" w:hAnsi="宋体" w:cs="宋体"/>
                <w:bCs/>
                <w:color w:val="auto"/>
                <w:szCs w:val="21"/>
                <w:highlight w:val="none"/>
              </w:rPr>
              <w:t>▲</w:t>
            </w:r>
            <w:r>
              <w:rPr>
                <w:rFonts w:hint="eastAsia"/>
                <w:color w:val="auto"/>
                <w:highlight w:val="none"/>
              </w:rPr>
              <w:t>CPU核数: [24]*2</w:t>
            </w:r>
            <w:r>
              <w:rPr>
                <w:rFonts w:hint="eastAsia"/>
                <w:color w:val="auto"/>
                <w:highlight w:val="none"/>
              </w:rPr>
              <w:br w:type="textWrapping"/>
            </w:r>
            <w:r>
              <w:rPr>
                <w:rFonts w:hint="eastAsia" w:ascii="宋体" w:hAnsi="宋体" w:cs="宋体"/>
                <w:bCs/>
                <w:color w:val="auto"/>
                <w:szCs w:val="21"/>
                <w:highlight w:val="none"/>
              </w:rPr>
              <w:t>▲</w:t>
            </w:r>
            <w:r>
              <w:rPr>
                <w:rFonts w:hint="eastAsia"/>
                <w:color w:val="auto"/>
                <w:highlight w:val="none"/>
              </w:rPr>
              <w:t>CPU主频: 2.2 GHz</w:t>
            </w:r>
            <w:r>
              <w:rPr>
                <w:rFonts w:hint="eastAsia"/>
                <w:color w:val="auto"/>
                <w:highlight w:val="none"/>
              </w:rPr>
              <w:br w:type="textWrapping"/>
            </w:r>
            <w:r>
              <w:rPr>
                <w:rFonts w:hint="eastAsia" w:ascii="宋体" w:hAnsi="宋体" w:cs="宋体"/>
                <w:bCs/>
                <w:color w:val="auto"/>
                <w:szCs w:val="21"/>
                <w:highlight w:val="none"/>
              </w:rPr>
              <w:t>▲</w:t>
            </w:r>
            <w:r>
              <w:rPr>
                <w:rFonts w:hint="eastAsia"/>
                <w:color w:val="auto"/>
                <w:highlight w:val="none"/>
              </w:rPr>
              <w:t>CPU架构: C86</w:t>
            </w:r>
            <w:r>
              <w:rPr>
                <w:rFonts w:hint="eastAsia"/>
                <w:color w:val="auto"/>
                <w:highlight w:val="none"/>
              </w:rPr>
              <w:br w:type="textWrapping"/>
            </w:r>
            <w:r>
              <w:rPr>
                <w:rFonts w:hint="eastAsia" w:ascii="宋体" w:hAnsi="宋体" w:cs="宋体"/>
                <w:bCs/>
                <w:color w:val="auto"/>
                <w:szCs w:val="21"/>
                <w:highlight w:val="none"/>
              </w:rPr>
              <w:t>▲</w:t>
            </w:r>
            <w:r>
              <w:rPr>
                <w:rFonts w:hint="eastAsia"/>
                <w:color w:val="auto"/>
                <w:highlight w:val="none"/>
              </w:rPr>
              <w:t>内存(GB): 512</w:t>
            </w:r>
            <w:r>
              <w:rPr>
                <w:rFonts w:hint="eastAsia"/>
                <w:color w:val="auto"/>
                <w:highlight w:val="none"/>
              </w:rPr>
              <w:br w:type="textWrapping"/>
            </w:r>
            <w:r>
              <w:rPr>
                <w:rFonts w:hint="eastAsia" w:ascii="宋体" w:hAnsi="宋体" w:cs="宋体"/>
                <w:bCs/>
                <w:color w:val="auto"/>
                <w:szCs w:val="21"/>
                <w:highlight w:val="none"/>
              </w:rPr>
              <w:t>▲</w:t>
            </w:r>
            <w:r>
              <w:rPr>
                <w:rFonts w:hint="eastAsia"/>
                <w:color w:val="auto"/>
                <w:highlight w:val="none"/>
              </w:rPr>
              <w:t>内存规格: ECC DDR4/DDR5 RDIMM 频率 ≥3200MHz</w:t>
            </w:r>
            <w:r>
              <w:rPr>
                <w:rFonts w:hint="eastAsia"/>
                <w:color w:val="auto"/>
                <w:highlight w:val="none"/>
              </w:rPr>
              <w:br w:type="textWrapping"/>
            </w:r>
            <w:r>
              <w:rPr>
                <w:rFonts w:hint="eastAsia" w:ascii="宋体" w:hAnsi="宋体" w:cs="宋体"/>
                <w:bCs/>
                <w:color w:val="auto"/>
                <w:szCs w:val="21"/>
                <w:highlight w:val="none"/>
              </w:rPr>
              <w:t>▲</w:t>
            </w:r>
            <w:r>
              <w:rPr>
                <w:rFonts w:hint="eastAsia"/>
                <w:color w:val="auto"/>
                <w:highlight w:val="none"/>
              </w:rPr>
              <w:t>内置硬盘: 480G[480G_sata_ssd]*2</w:t>
            </w:r>
            <w:r>
              <w:rPr>
                <w:rFonts w:hint="eastAsia"/>
                <w:color w:val="auto"/>
                <w:highlight w:val="none"/>
              </w:rPr>
              <w:br w:type="textWrapping"/>
            </w:r>
            <w:r>
              <w:rPr>
                <w:rFonts w:hint="eastAsia"/>
                <w:color w:val="auto"/>
                <w:highlight w:val="none"/>
              </w:rPr>
              <w:t>3840G[3840G_nvme_ssd]*12</w:t>
            </w:r>
            <w:r>
              <w:rPr>
                <w:rFonts w:hint="eastAsia"/>
                <w:color w:val="auto"/>
                <w:highlight w:val="none"/>
              </w:rPr>
              <w:br w:type="textWrapping"/>
            </w:r>
            <w:r>
              <w:rPr>
                <w:rFonts w:hint="eastAsia"/>
                <w:color w:val="auto"/>
                <w:highlight w:val="none"/>
              </w:rPr>
              <w:t>网卡要求: 10GE:双端口10G光口独立网卡，并满配兼容多模模块（SFP+），支持PXE，支持DPDK应用（兼容2.2版本），支持SRIOV  技术，支持特定五元组（源IP地址，源端口，目的IP地址，目的端口和传输层协议）分流到SRIOV VF；</w:t>
            </w:r>
            <w:r>
              <w:rPr>
                <w:rFonts w:hint="eastAsia"/>
                <w:color w:val="auto"/>
                <w:highlight w:val="none"/>
              </w:rPr>
              <w:br w:type="textWrapping"/>
            </w:r>
            <w:r>
              <w:rPr>
                <w:rFonts w:hint="eastAsia"/>
                <w:color w:val="auto"/>
                <w:highlight w:val="none"/>
              </w:rPr>
              <w:t>网口数量: 10GE*2</w:t>
            </w:r>
            <w:r>
              <w:rPr>
                <w:rFonts w:hint="eastAsia"/>
                <w:color w:val="auto"/>
                <w:highlight w:val="none"/>
              </w:rPr>
              <w:br w:type="textWrapping"/>
            </w:r>
            <w:r>
              <w:rPr>
                <w:rFonts w:hint="eastAsia"/>
                <w:color w:val="auto"/>
                <w:highlight w:val="none"/>
              </w:rPr>
              <w:t>双电源</w:t>
            </w:r>
          </w:p>
          <w:p>
            <w:pPr>
              <w:jc w:val="left"/>
              <w:rPr>
                <w:color w:val="auto"/>
                <w:highlight w:val="none"/>
              </w:rPr>
            </w:pPr>
            <w:r>
              <w:rPr>
                <w:rFonts w:hint="eastAsia"/>
                <w:color w:val="auto"/>
                <w:highlight w:val="none"/>
              </w:rPr>
              <w:t>管理要求：配置服务器管理软件，实现服务器全生命健康数据管理，具备故障预警与检测、统一监控告警、自定义监控规则、消息通知、升级提醒与自动升级等功能。</w:t>
            </w:r>
          </w:p>
          <w:p>
            <w:pPr>
              <w:jc w:val="left"/>
              <w:rPr>
                <w:color w:val="auto"/>
                <w:highlight w:val="none"/>
              </w:rPr>
            </w:pPr>
            <w:r>
              <w:rPr>
                <w:rFonts w:hint="eastAsia"/>
                <w:color w:val="auto"/>
                <w:highlight w:val="none"/>
              </w:rPr>
              <w:t>稳定性要求：MTBF时间≥15万小时</w:t>
            </w:r>
          </w:p>
          <w:p>
            <w:pPr>
              <w:jc w:val="left"/>
              <w:rPr>
                <w:color w:val="auto"/>
                <w:highlight w:val="none"/>
              </w:rPr>
            </w:pPr>
            <w:r>
              <w:rPr>
                <w:rFonts w:hint="eastAsia" w:ascii="宋体" w:hAnsi="宋体" w:cs="宋体"/>
                <w:bCs/>
                <w:color w:val="auto"/>
                <w:szCs w:val="21"/>
                <w:highlight w:val="none"/>
              </w:rPr>
              <w:t>▲</w:t>
            </w:r>
            <w:r>
              <w:rPr>
                <w:rFonts w:hint="eastAsia"/>
                <w:color w:val="auto"/>
                <w:highlight w:val="none"/>
              </w:rPr>
              <w:t>服务要求：原厂五年免费上门维保服务</w:t>
            </w:r>
          </w:p>
        </w:tc>
        <w:tc>
          <w:tcPr>
            <w:tcW w:w="70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1台</w:t>
            </w:r>
          </w:p>
        </w:tc>
      </w:tr>
      <w:tr>
        <w:tblPrEx>
          <w:tblCellMar>
            <w:top w:w="0" w:type="dxa"/>
            <w:left w:w="0" w:type="dxa"/>
            <w:bottom w:w="0" w:type="dxa"/>
            <w:right w:w="0" w:type="dxa"/>
          </w:tblCellMar>
        </w:tblPrEx>
        <w:trPr>
          <w:trHeight w:val="260" w:hRule="atLeast"/>
        </w:trPr>
        <w:tc>
          <w:tcPr>
            <w:tcW w:w="77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1.4</w:t>
            </w:r>
          </w:p>
        </w:tc>
        <w:tc>
          <w:tcPr>
            <w:tcW w:w="234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大数据实时计算服务器</w:t>
            </w:r>
          </w:p>
        </w:tc>
        <w:tc>
          <w:tcPr>
            <w:tcW w:w="579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ascii="宋体" w:hAnsi="宋体" w:cs="宋体"/>
                <w:bCs/>
                <w:color w:val="auto"/>
                <w:szCs w:val="21"/>
                <w:highlight w:val="none"/>
              </w:rPr>
              <w:t>▲</w:t>
            </w:r>
            <w:r>
              <w:rPr>
                <w:rFonts w:hint="eastAsia"/>
                <w:color w:val="auto"/>
                <w:highlight w:val="none"/>
              </w:rPr>
              <w:t>CPU规格: 芯片*2，支持物理机或虚拟机层面在写入内存数据时自动加密、读取内存数据时自动解密，本次授权CPU数量≥2</w:t>
            </w:r>
            <w:r>
              <w:rPr>
                <w:rFonts w:hint="eastAsia"/>
                <w:color w:val="auto"/>
                <w:highlight w:val="none"/>
              </w:rPr>
              <w:br w:type="textWrapping"/>
            </w:r>
            <w:r>
              <w:rPr>
                <w:rFonts w:hint="eastAsia" w:ascii="宋体" w:hAnsi="宋体" w:cs="宋体"/>
                <w:bCs/>
                <w:color w:val="auto"/>
                <w:szCs w:val="21"/>
                <w:highlight w:val="none"/>
              </w:rPr>
              <w:t>▲</w:t>
            </w:r>
            <w:r>
              <w:rPr>
                <w:rFonts w:hint="eastAsia"/>
                <w:color w:val="auto"/>
                <w:highlight w:val="none"/>
              </w:rPr>
              <w:t>CPU核数: [32]*2</w:t>
            </w:r>
            <w:r>
              <w:rPr>
                <w:rFonts w:hint="eastAsia"/>
                <w:color w:val="auto"/>
                <w:highlight w:val="none"/>
              </w:rPr>
              <w:br w:type="textWrapping"/>
            </w:r>
            <w:r>
              <w:rPr>
                <w:rFonts w:hint="eastAsia" w:ascii="宋体" w:hAnsi="宋体" w:cs="宋体"/>
                <w:bCs/>
                <w:color w:val="auto"/>
                <w:szCs w:val="21"/>
                <w:highlight w:val="none"/>
              </w:rPr>
              <w:t>▲</w:t>
            </w:r>
            <w:r>
              <w:rPr>
                <w:rFonts w:hint="eastAsia"/>
                <w:color w:val="auto"/>
                <w:highlight w:val="none"/>
              </w:rPr>
              <w:t>CPU主频: 2.2 GHz</w:t>
            </w:r>
            <w:r>
              <w:rPr>
                <w:rFonts w:hint="eastAsia"/>
                <w:color w:val="auto"/>
                <w:highlight w:val="none"/>
              </w:rPr>
              <w:br w:type="textWrapping"/>
            </w:r>
            <w:r>
              <w:rPr>
                <w:rFonts w:hint="eastAsia" w:ascii="宋体" w:hAnsi="宋体" w:cs="宋体"/>
                <w:bCs/>
                <w:color w:val="auto"/>
                <w:szCs w:val="21"/>
                <w:highlight w:val="none"/>
              </w:rPr>
              <w:t>▲</w:t>
            </w:r>
            <w:r>
              <w:rPr>
                <w:rFonts w:hint="eastAsia"/>
                <w:color w:val="auto"/>
                <w:highlight w:val="none"/>
              </w:rPr>
              <w:t>CPU架构: C86</w:t>
            </w:r>
            <w:r>
              <w:rPr>
                <w:rFonts w:hint="eastAsia"/>
                <w:color w:val="auto"/>
                <w:highlight w:val="none"/>
              </w:rPr>
              <w:br w:type="textWrapping"/>
            </w:r>
            <w:r>
              <w:rPr>
                <w:rFonts w:hint="eastAsia" w:ascii="宋体" w:hAnsi="宋体" w:cs="宋体"/>
                <w:bCs/>
                <w:color w:val="auto"/>
                <w:szCs w:val="21"/>
                <w:highlight w:val="none"/>
              </w:rPr>
              <w:t>▲</w:t>
            </w:r>
            <w:r>
              <w:rPr>
                <w:rFonts w:hint="eastAsia"/>
                <w:color w:val="auto"/>
                <w:highlight w:val="none"/>
              </w:rPr>
              <w:t>内存(GB): 1024</w:t>
            </w:r>
            <w:r>
              <w:rPr>
                <w:rFonts w:hint="eastAsia"/>
                <w:color w:val="auto"/>
                <w:highlight w:val="none"/>
              </w:rPr>
              <w:br w:type="textWrapping"/>
            </w:r>
            <w:r>
              <w:rPr>
                <w:rFonts w:hint="eastAsia" w:ascii="宋体" w:hAnsi="宋体" w:cs="宋体"/>
                <w:bCs/>
                <w:color w:val="auto"/>
                <w:szCs w:val="21"/>
                <w:highlight w:val="none"/>
              </w:rPr>
              <w:t>▲</w:t>
            </w:r>
            <w:r>
              <w:rPr>
                <w:rFonts w:hint="eastAsia"/>
                <w:color w:val="auto"/>
                <w:highlight w:val="none"/>
              </w:rPr>
              <w:t>内存规格: ECC DDR4/DDR5 RDIMM 频率 ≥3200MHz</w:t>
            </w:r>
            <w:r>
              <w:rPr>
                <w:rFonts w:hint="eastAsia"/>
                <w:color w:val="auto"/>
                <w:highlight w:val="none"/>
              </w:rPr>
              <w:br w:type="textWrapping"/>
            </w:r>
            <w:r>
              <w:rPr>
                <w:rFonts w:hint="eastAsia" w:ascii="宋体" w:hAnsi="宋体" w:cs="宋体"/>
                <w:bCs/>
                <w:color w:val="auto"/>
                <w:szCs w:val="21"/>
                <w:highlight w:val="none"/>
              </w:rPr>
              <w:t>▲</w:t>
            </w:r>
            <w:r>
              <w:rPr>
                <w:rFonts w:hint="eastAsia"/>
                <w:color w:val="auto"/>
                <w:highlight w:val="none"/>
              </w:rPr>
              <w:t>内置硬盘: 480G[480G_sata_ssd]*1</w:t>
            </w:r>
            <w:r>
              <w:rPr>
                <w:rFonts w:hint="eastAsia"/>
                <w:color w:val="auto"/>
                <w:highlight w:val="none"/>
              </w:rPr>
              <w:br w:type="textWrapping"/>
            </w:r>
            <w:r>
              <w:rPr>
                <w:rFonts w:hint="eastAsia"/>
                <w:color w:val="auto"/>
                <w:highlight w:val="none"/>
              </w:rPr>
              <w:t>3840G[3840G_nvme_ssd]*8</w:t>
            </w:r>
            <w:r>
              <w:rPr>
                <w:rFonts w:hint="eastAsia"/>
                <w:color w:val="auto"/>
                <w:highlight w:val="none"/>
              </w:rPr>
              <w:br w:type="textWrapping"/>
            </w:r>
            <w:r>
              <w:rPr>
                <w:rFonts w:hint="eastAsia"/>
                <w:color w:val="auto"/>
                <w:highlight w:val="none"/>
              </w:rPr>
              <w:t>网卡要求: 10GE:双端口10G光口独立网卡，并满配兼容多模模块（SFP+），支持PXE，支持DPDK应用（兼容2.2版本），支持SRIOV  技术，支持特定五元组（源IP地址，源端口，目的IP地址，目的端口和传输层协议）分流到SRIOV VF；</w:t>
            </w:r>
            <w:r>
              <w:rPr>
                <w:rFonts w:hint="eastAsia"/>
                <w:color w:val="auto"/>
                <w:highlight w:val="none"/>
              </w:rPr>
              <w:br w:type="textWrapping"/>
            </w:r>
            <w:r>
              <w:rPr>
                <w:rFonts w:hint="eastAsia"/>
                <w:color w:val="auto"/>
                <w:highlight w:val="none"/>
              </w:rPr>
              <w:t>网口数量: 10GE*2</w:t>
            </w:r>
            <w:r>
              <w:rPr>
                <w:rFonts w:hint="eastAsia"/>
                <w:color w:val="auto"/>
                <w:highlight w:val="none"/>
              </w:rPr>
              <w:br w:type="textWrapping"/>
            </w:r>
            <w:r>
              <w:rPr>
                <w:rFonts w:hint="eastAsia"/>
                <w:color w:val="auto"/>
                <w:highlight w:val="none"/>
              </w:rPr>
              <w:t>双电源</w:t>
            </w:r>
          </w:p>
          <w:p>
            <w:pPr>
              <w:jc w:val="left"/>
              <w:rPr>
                <w:color w:val="auto"/>
                <w:highlight w:val="none"/>
              </w:rPr>
            </w:pPr>
            <w:r>
              <w:rPr>
                <w:rFonts w:hint="eastAsia"/>
                <w:color w:val="auto"/>
                <w:highlight w:val="none"/>
              </w:rPr>
              <w:t>管理要求：配置服务器管理软件，实现服务器全生命健康数据管理，具备故障预警与检测、统一监控告警、自定义监控规则、消息通知、升级提醒与自动升级等功能。</w:t>
            </w:r>
          </w:p>
          <w:p>
            <w:pPr>
              <w:jc w:val="left"/>
              <w:rPr>
                <w:color w:val="auto"/>
                <w:highlight w:val="none"/>
              </w:rPr>
            </w:pPr>
            <w:r>
              <w:rPr>
                <w:rFonts w:hint="eastAsia"/>
                <w:color w:val="auto"/>
                <w:highlight w:val="none"/>
              </w:rPr>
              <w:t>稳定性要求：MTBF时间≥15万小时</w:t>
            </w:r>
          </w:p>
          <w:p>
            <w:pPr>
              <w:jc w:val="left"/>
              <w:rPr>
                <w:color w:val="auto"/>
                <w:highlight w:val="none"/>
              </w:rPr>
            </w:pPr>
            <w:r>
              <w:rPr>
                <w:rFonts w:hint="eastAsia" w:ascii="宋体" w:hAnsi="宋体" w:cs="宋体"/>
                <w:bCs/>
                <w:color w:val="auto"/>
                <w:szCs w:val="21"/>
                <w:highlight w:val="none"/>
              </w:rPr>
              <w:t>▲</w:t>
            </w:r>
            <w:r>
              <w:rPr>
                <w:rFonts w:hint="eastAsia"/>
                <w:color w:val="auto"/>
                <w:highlight w:val="none"/>
              </w:rPr>
              <w:t>服务要求：原厂五年免费上门维保服务。</w:t>
            </w:r>
          </w:p>
        </w:tc>
        <w:tc>
          <w:tcPr>
            <w:tcW w:w="70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22台</w:t>
            </w:r>
          </w:p>
        </w:tc>
      </w:tr>
      <w:tr>
        <w:tblPrEx>
          <w:tblCellMar>
            <w:top w:w="0" w:type="dxa"/>
            <w:left w:w="0" w:type="dxa"/>
            <w:bottom w:w="0" w:type="dxa"/>
            <w:right w:w="0" w:type="dxa"/>
          </w:tblCellMar>
        </w:tblPrEx>
        <w:trPr>
          <w:trHeight w:val="260" w:hRule="atLeast"/>
        </w:trPr>
        <w:tc>
          <w:tcPr>
            <w:tcW w:w="77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1.5</w:t>
            </w:r>
          </w:p>
        </w:tc>
        <w:tc>
          <w:tcPr>
            <w:tcW w:w="234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应用实时监控服务中间件服务器</w:t>
            </w:r>
          </w:p>
        </w:tc>
        <w:tc>
          <w:tcPr>
            <w:tcW w:w="579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▲CPU规格: 芯片*2，支持物理机或虚拟机层面在写入内存数据时自动加密、读取内存数据时自动解密，本次授权CPU数量≥2</w:t>
            </w:r>
            <w:r>
              <w:rPr>
                <w:rFonts w:hint="eastAsia"/>
                <w:color w:val="auto"/>
                <w:highlight w:val="none"/>
              </w:rPr>
              <w:br w:type="textWrapping"/>
            </w:r>
            <w:r>
              <w:rPr>
                <w:rFonts w:hint="eastAsia"/>
                <w:color w:val="auto"/>
                <w:highlight w:val="none"/>
              </w:rPr>
              <w:t>▲CPU核数: [24]*2</w:t>
            </w:r>
            <w:r>
              <w:rPr>
                <w:rFonts w:hint="eastAsia"/>
                <w:color w:val="auto"/>
                <w:highlight w:val="none"/>
              </w:rPr>
              <w:br w:type="textWrapping"/>
            </w:r>
            <w:r>
              <w:rPr>
                <w:rFonts w:hint="eastAsia"/>
                <w:color w:val="auto"/>
                <w:highlight w:val="none"/>
              </w:rPr>
              <w:t>▲CPU主频: 2.2 GHz</w:t>
            </w:r>
            <w:r>
              <w:rPr>
                <w:rFonts w:hint="eastAsia"/>
                <w:color w:val="auto"/>
                <w:highlight w:val="none"/>
              </w:rPr>
              <w:br w:type="textWrapping"/>
            </w:r>
            <w:r>
              <w:rPr>
                <w:rFonts w:hint="eastAsia"/>
                <w:color w:val="auto"/>
                <w:highlight w:val="none"/>
              </w:rPr>
              <w:t>▲CPU架构: C86</w:t>
            </w:r>
            <w:r>
              <w:rPr>
                <w:rFonts w:hint="eastAsia"/>
                <w:color w:val="auto"/>
                <w:highlight w:val="none"/>
              </w:rPr>
              <w:br w:type="textWrapping"/>
            </w:r>
            <w:r>
              <w:rPr>
                <w:rFonts w:hint="eastAsia"/>
                <w:color w:val="auto"/>
                <w:highlight w:val="none"/>
              </w:rPr>
              <w:t>▲内存(GB): 512</w:t>
            </w:r>
            <w:r>
              <w:rPr>
                <w:rFonts w:hint="eastAsia"/>
                <w:color w:val="auto"/>
                <w:highlight w:val="none"/>
              </w:rPr>
              <w:br w:type="textWrapping"/>
            </w:r>
            <w:r>
              <w:rPr>
                <w:rFonts w:hint="eastAsia"/>
                <w:color w:val="auto"/>
                <w:highlight w:val="none"/>
              </w:rPr>
              <w:t>▲内存规格: ECC DDR4/DDR5 RDIMM 频率 ≥3200MHz</w:t>
            </w:r>
            <w:r>
              <w:rPr>
                <w:rFonts w:hint="eastAsia"/>
                <w:color w:val="auto"/>
                <w:highlight w:val="none"/>
              </w:rPr>
              <w:br w:type="textWrapping"/>
            </w:r>
            <w:r>
              <w:rPr>
                <w:rFonts w:hint="eastAsia"/>
                <w:color w:val="auto"/>
                <w:highlight w:val="none"/>
              </w:rPr>
              <w:t>▲内置硬盘: 480G[480G_sata_ssd]*2</w:t>
            </w:r>
            <w:r>
              <w:rPr>
                <w:rFonts w:hint="eastAsia"/>
                <w:color w:val="auto"/>
                <w:highlight w:val="none"/>
              </w:rPr>
              <w:br w:type="textWrapping"/>
            </w:r>
            <w:r>
              <w:rPr>
                <w:rFonts w:hint="eastAsia"/>
                <w:color w:val="auto"/>
                <w:highlight w:val="none"/>
              </w:rPr>
              <w:t>12000G[12T_sata_hdd]*12</w:t>
            </w:r>
            <w:r>
              <w:rPr>
                <w:rFonts w:hint="eastAsia"/>
                <w:color w:val="auto"/>
                <w:highlight w:val="none"/>
              </w:rPr>
              <w:br w:type="textWrapping"/>
            </w:r>
            <w:r>
              <w:rPr>
                <w:rFonts w:hint="eastAsia"/>
                <w:color w:val="auto"/>
                <w:highlight w:val="none"/>
              </w:rPr>
              <w:t>3840G[3840G_nvme_ssd]*2</w:t>
            </w:r>
            <w:r>
              <w:rPr>
                <w:rFonts w:hint="eastAsia"/>
                <w:color w:val="auto"/>
                <w:highlight w:val="none"/>
              </w:rPr>
              <w:br w:type="textWrapping"/>
            </w:r>
            <w:r>
              <w:rPr>
                <w:rFonts w:hint="eastAsia"/>
                <w:color w:val="auto"/>
                <w:highlight w:val="none"/>
              </w:rPr>
              <w:t>网卡要求: 10GE:双端口10G光口独立网卡，并满配兼容多模模块（SFP+），支持PXE，支持DPDK应用（兼容2.2版本），支持SRIOV  技术，支持特定五元组（源IP地址，源端口，目的IP地址，目的端口和传输层协议）分流到SRIOV VF；</w:t>
            </w:r>
            <w:r>
              <w:rPr>
                <w:rFonts w:hint="eastAsia"/>
                <w:color w:val="auto"/>
                <w:highlight w:val="none"/>
              </w:rPr>
              <w:br w:type="textWrapping"/>
            </w:r>
            <w:r>
              <w:rPr>
                <w:rFonts w:hint="eastAsia"/>
                <w:color w:val="auto"/>
                <w:highlight w:val="none"/>
              </w:rPr>
              <w:t>网口数量: 10GE*2</w:t>
            </w:r>
            <w:r>
              <w:rPr>
                <w:rFonts w:hint="eastAsia"/>
                <w:color w:val="auto"/>
                <w:highlight w:val="none"/>
              </w:rPr>
              <w:br w:type="textWrapping"/>
            </w:r>
            <w:r>
              <w:rPr>
                <w:rFonts w:hint="eastAsia"/>
                <w:color w:val="auto"/>
                <w:highlight w:val="none"/>
              </w:rPr>
              <w:t>双电源</w:t>
            </w:r>
          </w:p>
          <w:p>
            <w:pPr>
              <w:jc w:val="left"/>
              <w:rPr>
                <w:color w:val="auto"/>
                <w:highlight w:val="none"/>
              </w:rPr>
            </w:pPr>
            <w:r>
              <w:rPr>
                <w:rFonts w:hint="eastAsia"/>
                <w:color w:val="auto"/>
                <w:highlight w:val="none"/>
              </w:rPr>
              <w:t>管理要求：配置服务器管理软件，实现服务器全生命健康数据管理，具备故障预警与检测、统一监控告警、自定义监控规则、消息通知、升级提醒与自动升级等功能。</w:t>
            </w:r>
          </w:p>
          <w:p>
            <w:pPr>
              <w:jc w:val="left"/>
              <w:rPr>
                <w:color w:val="auto"/>
                <w:highlight w:val="none"/>
              </w:rPr>
            </w:pPr>
            <w:r>
              <w:rPr>
                <w:rFonts w:hint="eastAsia"/>
                <w:color w:val="auto"/>
                <w:highlight w:val="none"/>
              </w:rPr>
              <w:t>稳定性要求：MTBF时间≥15万小时</w:t>
            </w:r>
          </w:p>
          <w:p>
            <w:pPr>
              <w:jc w:val="left"/>
              <w:rPr>
                <w:color w:val="auto"/>
                <w:highlight w:val="none"/>
              </w:rPr>
            </w:pPr>
            <w:r>
              <w:rPr>
                <w:rFonts w:hint="eastAsia" w:ascii="宋体" w:hAnsi="宋体" w:cs="宋体"/>
                <w:bCs/>
                <w:color w:val="auto"/>
                <w:szCs w:val="21"/>
                <w:highlight w:val="none"/>
              </w:rPr>
              <w:t>▲</w:t>
            </w:r>
            <w:r>
              <w:rPr>
                <w:rFonts w:hint="eastAsia"/>
                <w:color w:val="auto"/>
                <w:highlight w:val="none"/>
              </w:rPr>
              <w:t>服务要求：原厂五年免费上门维保服务。</w:t>
            </w:r>
          </w:p>
        </w:tc>
        <w:tc>
          <w:tcPr>
            <w:tcW w:w="70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2台</w:t>
            </w:r>
          </w:p>
        </w:tc>
      </w:tr>
      <w:tr>
        <w:tblPrEx>
          <w:tblCellMar>
            <w:top w:w="0" w:type="dxa"/>
            <w:left w:w="0" w:type="dxa"/>
            <w:bottom w:w="0" w:type="dxa"/>
            <w:right w:w="0" w:type="dxa"/>
          </w:tblCellMar>
        </w:tblPrEx>
        <w:trPr>
          <w:trHeight w:val="260" w:hRule="atLeast"/>
        </w:trPr>
        <w:tc>
          <w:tcPr>
            <w:tcW w:w="77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1.6</w:t>
            </w:r>
          </w:p>
        </w:tc>
        <w:tc>
          <w:tcPr>
            <w:tcW w:w="234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大数据离线计算服务器</w:t>
            </w:r>
          </w:p>
        </w:tc>
        <w:tc>
          <w:tcPr>
            <w:tcW w:w="579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▲CPU规格: 芯片*2，支持物理机或虚拟机层面在写入内存数据时自动加密、读取内存数据时自动解密，本次授权CPU数量≥2</w:t>
            </w:r>
            <w:r>
              <w:rPr>
                <w:rFonts w:hint="eastAsia"/>
                <w:color w:val="auto"/>
                <w:highlight w:val="none"/>
              </w:rPr>
              <w:br w:type="textWrapping"/>
            </w:r>
            <w:r>
              <w:rPr>
                <w:rFonts w:hint="eastAsia"/>
                <w:color w:val="auto"/>
                <w:highlight w:val="none"/>
              </w:rPr>
              <w:t>▲CPU核数: [24]*2</w:t>
            </w:r>
            <w:r>
              <w:rPr>
                <w:rFonts w:hint="eastAsia"/>
                <w:color w:val="auto"/>
                <w:highlight w:val="none"/>
              </w:rPr>
              <w:br w:type="textWrapping"/>
            </w:r>
            <w:r>
              <w:rPr>
                <w:rFonts w:hint="eastAsia"/>
                <w:color w:val="auto"/>
                <w:highlight w:val="none"/>
              </w:rPr>
              <w:t>▲CPU主频: 2.2 GHz</w:t>
            </w:r>
            <w:r>
              <w:rPr>
                <w:rFonts w:hint="eastAsia"/>
                <w:color w:val="auto"/>
                <w:highlight w:val="none"/>
              </w:rPr>
              <w:br w:type="textWrapping"/>
            </w:r>
            <w:r>
              <w:rPr>
                <w:rFonts w:hint="eastAsia"/>
                <w:color w:val="auto"/>
                <w:highlight w:val="none"/>
              </w:rPr>
              <w:t>▲CPU架构: C86</w:t>
            </w:r>
            <w:r>
              <w:rPr>
                <w:rFonts w:hint="eastAsia"/>
                <w:color w:val="auto"/>
                <w:highlight w:val="none"/>
              </w:rPr>
              <w:br w:type="textWrapping"/>
            </w:r>
            <w:r>
              <w:rPr>
                <w:rFonts w:hint="eastAsia"/>
                <w:color w:val="auto"/>
                <w:highlight w:val="none"/>
              </w:rPr>
              <w:t>▲内存(GB): 512</w:t>
            </w:r>
            <w:r>
              <w:rPr>
                <w:rFonts w:hint="eastAsia"/>
                <w:color w:val="auto"/>
                <w:highlight w:val="none"/>
              </w:rPr>
              <w:br w:type="textWrapping"/>
            </w:r>
            <w:r>
              <w:rPr>
                <w:rFonts w:hint="eastAsia"/>
                <w:color w:val="auto"/>
                <w:highlight w:val="none"/>
              </w:rPr>
              <w:t>▲内存规格: ECC DDR4/DDR5 RDIMM 频率 ≥3200MHz</w:t>
            </w:r>
            <w:r>
              <w:rPr>
                <w:rFonts w:hint="eastAsia"/>
                <w:color w:val="auto"/>
                <w:highlight w:val="none"/>
              </w:rPr>
              <w:br w:type="textWrapping"/>
            </w:r>
            <w:r>
              <w:rPr>
                <w:rFonts w:hint="eastAsia"/>
                <w:color w:val="auto"/>
                <w:highlight w:val="none"/>
              </w:rPr>
              <w:t>▲内置硬盘: 480G[480G_sata_ssd]*2</w:t>
            </w:r>
            <w:r>
              <w:rPr>
                <w:rFonts w:hint="eastAsia"/>
                <w:color w:val="auto"/>
                <w:highlight w:val="none"/>
              </w:rPr>
              <w:br w:type="textWrapping"/>
            </w:r>
            <w:r>
              <w:rPr>
                <w:rFonts w:hint="eastAsia"/>
                <w:color w:val="auto"/>
                <w:highlight w:val="none"/>
              </w:rPr>
              <w:t>12000G[12T_sata_hdd]*12</w:t>
            </w:r>
            <w:r>
              <w:rPr>
                <w:rFonts w:hint="eastAsia"/>
                <w:color w:val="auto"/>
                <w:highlight w:val="none"/>
              </w:rPr>
              <w:br w:type="textWrapping"/>
            </w:r>
            <w:r>
              <w:rPr>
                <w:rFonts w:hint="eastAsia"/>
                <w:color w:val="auto"/>
                <w:highlight w:val="none"/>
              </w:rPr>
              <w:t>3840G[3840G_nvme_ssd]*2</w:t>
            </w:r>
            <w:r>
              <w:rPr>
                <w:rFonts w:hint="eastAsia"/>
                <w:color w:val="auto"/>
                <w:highlight w:val="none"/>
              </w:rPr>
              <w:br w:type="textWrapping"/>
            </w:r>
            <w:r>
              <w:rPr>
                <w:rFonts w:hint="eastAsia"/>
                <w:color w:val="auto"/>
                <w:highlight w:val="none"/>
              </w:rPr>
              <w:t>网卡要求: 10GE:双端口10G光口独立网卡，并满配兼容多模模块（SFP+），支持PXE，支持DPDK应用（兼容2.2版本），支持SRIOV  技术，支持特定五元组（源IP地址，源端口，目的IP地址，目的端口和传输层协议）分流到SRIOV VF；</w:t>
            </w:r>
            <w:r>
              <w:rPr>
                <w:rFonts w:hint="eastAsia"/>
                <w:color w:val="auto"/>
                <w:highlight w:val="none"/>
              </w:rPr>
              <w:br w:type="textWrapping"/>
            </w:r>
            <w:r>
              <w:rPr>
                <w:rFonts w:hint="eastAsia"/>
                <w:color w:val="auto"/>
                <w:highlight w:val="none"/>
              </w:rPr>
              <w:t>网口数量: 10GE*2</w:t>
            </w:r>
            <w:r>
              <w:rPr>
                <w:rFonts w:hint="eastAsia"/>
                <w:color w:val="auto"/>
                <w:highlight w:val="none"/>
              </w:rPr>
              <w:br w:type="textWrapping"/>
            </w:r>
            <w:r>
              <w:rPr>
                <w:rFonts w:hint="eastAsia"/>
                <w:color w:val="auto"/>
                <w:highlight w:val="none"/>
              </w:rPr>
              <w:t>双电源</w:t>
            </w:r>
          </w:p>
          <w:p>
            <w:pPr>
              <w:jc w:val="left"/>
              <w:rPr>
                <w:color w:val="auto"/>
                <w:highlight w:val="none"/>
              </w:rPr>
            </w:pPr>
            <w:r>
              <w:rPr>
                <w:rFonts w:hint="eastAsia"/>
                <w:color w:val="auto"/>
                <w:highlight w:val="none"/>
              </w:rPr>
              <w:t>管理要求：配置服务器管理软件，实现服务器全生命健康数据管理，具备故障预警与检测、统一监控告警、自定义监控规则、消息通知、升级提醒与自动升级等功能。</w:t>
            </w:r>
          </w:p>
          <w:p>
            <w:pPr>
              <w:jc w:val="left"/>
              <w:rPr>
                <w:color w:val="auto"/>
                <w:highlight w:val="none"/>
              </w:rPr>
            </w:pPr>
            <w:r>
              <w:rPr>
                <w:rFonts w:hint="eastAsia"/>
                <w:color w:val="auto"/>
                <w:highlight w:val="none"/>
              </w:rPr>
              <w:t>稳定性要求：MTBF时间≥15万小时</w:t>
            </w:r>
          </w:p>
          <w:p>
            <w:pPr>
              <w:jc w:val="left"/>
              <w:rPr>
                <w:color w:val="auto"/>
                <w:highlight w:val="none"/>
              </w:rPr>
            </w:pPr>
            <w:r>
              <w:rPr>
                <w:rFonts w:hint="eastAsia" w:ascii="宋体" w:hAnsi="宋体" w:cs="宋体"/>
                <w:bCs/>
                <w:color w:val="auto"/>
                <w:szCs w:val="21"/>
                <w:highlight w:val="none"/>
              </w:rPr>
              <w:t>▲</w:t>
            </w:r>
            <w:r>
              <w:rPr>
                <w:rFonts w:hint="eastAsia"/>
                <w:color w:val="auto"/>
                <w:highlight w:val="none"/>
              </w:rPr>
              <w:t>服务要求：原厂五年免费上门维保服务。</w:t>
            </w:r>
          </w:p>
        </w:tc>
        <w:tc>
          <w:tcPr>
            <w:tcW w:w="70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14台</w:t>
            </w:r>
          </w:p>
        </w:tc>
      </w:tr>
      <w:tr>
        <w:tblPrEx>
          <w:tblCellMar>
            <w:top w:w="0" w:type="dxa"/>
            <w:left w:w="0" w:type="dxa"/>
            <w:bottom w:w="0" w:type="dxa"/>
            <w:right w:w="0" w:type="dxa"/>
          </w:tblCellMar>
        </w:tblPrEx>
        <w:trPr>
          <w:trHeight w:val="260" w:hRule="atLeast"/>
        </w:trPr>
        <w:tc>
          <w:tcPr>
            <w:tcW w:w="77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1.7</w:t>
            </w:r>
          </w:p>
        </w:tc>
        <w:tc>
          <w:tcPr>
            <w:tcW w:w="234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大数据实时计算智能诊断平台服务器</w:t>
            </w:r>
          </w:p>
        </w:tc>
        <w:tc>
          <w:tcPr>
            <w:tcW w:w="579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▲CPU规格: 芯片*2，支持物理机或虚拟机层面在写入内存数据时自动加密、读取内存数据时自动解密，本次授权CPU数量≥2</w:t>
            </w:r>
            <w:r>
              <w:rPr>
                <w:rFonts w:hint="eastAsia"/>
                <w:color w:val="auto"/>
                <w:highlight w:val="none"/>
              </w:rPr>
              <w:br w:type="textWrapping"/>
            </w:r>
            <w:r>
              <w:rPr>
                <w:rFonts w:hint="eastAsia"/>
                <w:color w:val="auto"/>
                <w:highlight w:val="none"/>
              </w:rPr>
              <w:t>▲CPU核数: [32]*2</w:t>
            </w:r>
            <w:r>
              <w:rPr>
                <w:rFonts w:hint="eastAsia"/>
                <w:color w:val="auto"/>
                <w:highlight w:val="none"/>
              </w:rPr>
              <w:br w:type="textWrapping"/>
            </w:r>
            <w:r>
              <w:rPr>
                <w:rFonts w:hint="eastAsia"/>
                <w:color w:val="auto"/>
                <w:highlight w:val="none"/>
              </w:rPr>
              <w:t>▲CPU主频: 2.2 GHz</w:t>
            </w:r>
            <w:r>
              <w:rPr>
                <w:rFonts w:hint="eastAsia"/>
                <w:color w:val="auto"/>
                <w:highlight w:val="none"/>
              </w:rPr>
              <w:br w:type="textWrapping"/>
            </w:r>
            <w:r>
              <w:rPr>
                <w:rFonts w:hint="eastAsia"/>
                <w:color w:val="auto"/>
                <w:highlight w:val="none"/>
              </w:rPr>
              <w:t>▲CPU架构: C86</w:t>
            </w:r>
            <w:r>
              <w:rPr>
                <w:rFonts w:hint="eastAsia"/>
                <w:color w:val="auto"/>
                <w:highlight w:val="none"/>
              </w:rPr>
              <w:br w:type="textWrapping"/>
            </w:r>
            <w:r>
              <w:rPr>
                <w:rFonts w:hint="eastAsia"/>
                <w:color w:val="auto"/>
                <w:highlight w:val="none"/>
              </w:rPr>
              <w:t>▲内存(GB): 1024</w:t>
            </w:r>
            <w:r>
              <w:rPr>
                <w:rFonts w:hint="eastAsia"/>
                <w:color w:val="auto"/>
                <w:highlight w:val="none"/>
              </w:rPr>
              <w:br w:type="textWrapping"/>
            </w:r>
            <w:r>
              <w:rPr>
                <w:rFonts w:hint="eastAsia"/>
                <w:color w:val="auto"/>
                <w:highlight w:val="none"/>
              </w:rPr>
              <w:t>▲内存规格: ECC DDR4/DDR5 RDIMM 频率 ≥3200MHz</w:t>
            </w:r>
            <w:r>
              <w:rPr>
                <w:rFonts w:hint="eastAsia"/>
                <w:color w:val="auto"/>
                <w:highlight w:val="none"/>
              </w:rPr>
              <w:br w:type="textWrapping"/>
            </w:r>
            <w:r>
              <w:rPr>
                <w:rFonts w:hint="eastAsia"/>
                <w:color w:val="auto"/>
                <w:highlight w:val="none"/>
              </w:rPr>
              <w:t>▲内置硬盘: 480G[480G_sata_ssd]*1</w:t>
            </w:r>
            <w:r>
              <w:rPr>
                <w:rFonts w:hint="eastAsia"/>
                <w:color w:val="auto"/>
                <w:highlight w:val="none"/>
              </w:rPr>
              <w:br w:type="textWrapping"/>
            </w:r>
            <w:r>
              <w:rPr>
                <w:rFonts w:hint="eastAsia"/>
                <w:color w:val="auto"/>
                <w:highlight w:val="none"/>
              </w:rPr>
              <w:t>3840G[3840G_nvme_ssd]*4</w:t>
            </w:r>
            <w:r>
              <w:rPr>
                <w:rFonts w:hint="eastAsia"/>
                <w:color w:val="auto"/>
                <w:highlight w:val="none"/>
              </w:rPr>
              <w:br w:type="textWrapping"/>
            </w:r>
            <w:r>
              <w:rPr>
                <w:rFonts w:hint="eastAsia"/>
                <w:color w:val="auto"/>
                <w:highlight w:val="none"/>
              </w:rPr>
              <w:t>网卡要求: 10GE:双端口10G光口独立网卡，并满配兼容多模模块（SFP+），支持PXE，支持DPDK应用（兼容2.2版本），支持SRIOV  技术，支持特定五元组（源IP地址，源端口，目的IP地址，目的端口和传输层协议）分流到SRIOV VF；</w:t>
            </w:r>
            <w:r>
              <w:rPr>
                <w:rFonts w:hint="eastAsia"/>
                <w:color w:val="auto"/>
                <w:highlight w:val="none"/>
              </w:rPr>
              <w:br w:type="textWrapping"/>
            </w:r>
            <w:r>
              <w:rPr>
                <w:rFonts w:hint="eastAsia"/>
                <w:color w:val="auto"/>
                <w:highlight w:val="none"/>
              </w:rPr>
              <w:t>网口数量: 10GE*2</w:t>
            </w:r>
            <w:r>
              <w:rPr>
                <w:rFonts w:hint="eastAsia"/>
                <w:color w:val="auto"/>
                <w:highlight w:val="none"/>
              </w:rPr>
              <w:br w:type="textWrapping"/>
            </w:r>
            <w:r>
              <w:rPr>
                <w:rFonts w:hint="eastAsia"/>
                <w:color w:val="auto"/>
                <w:highlight w:val="none"/>
              </w:rPr>
              <w:t>双电源</w:t>
            </w:r>
          </w:p>
          <w:p>
            <w:pPr>
              <w:jc w:val="left"/>
              <w:rPr>
                <w:color w:val="auto"/>
                <w:highlight w:val="none"/>
              </w:rPr>
            </w:pPr>
            <w:r>
              <w:rPr>
                <w:rFonts w:hint="eastAsia"/>
                <w:color w:val="auto"/>
                <w:highlight w:val="none"/>
              </w:rPr>
              <w:t>管理要求：配置服务器管理软件，实现服务器全生命健康数据管理，具备故障预警与检测、统一监控告警、自定义监控规则、消息通知、升级提醒与自动升级等功能。</w:t>
            </w:r>
          </w:p>
          <w:p>
            <w:pPr>
              <w:jc w:val="left"/>
              <w:rPr>
                <w:color w:val="auto"/>
                <w:highlight w:val="none"/>
              </w:rPr>
            </w:pPr>
            <w:r>
              <w:rPr>
                <w:rFonts w:hint="eastAsia"/>
                <w:color w:val="auto"/>
                <w:highlight w:val="none"/>
              </w:rPr>
              <w:t>稳定性要求：MTBF时间≥15万小时</w:t>
            </w:r>
          </w:p>
          <w:p>
            <w:pPr>
              <w:jc w:val="left"/>
              <w:rPr>
                <w:color w:val="auto"/>
                <w:highlight w:val="none"/>
              </w:rPr>
            </w:pPr>
            <w:r>
              <w:rPr>
                <w:rFonts w:hint="eastAsia" w:ascii="宋体" w:hAnsi="宋体" w:cs="宋体"/>
                <w:bCs/>
                <w:color w:val="auto"/>
                <w:szCs w:val="21"/>
                <w:highlight w:val="none"/>
              </w:rPr>
              <w:t>▲</w:t>
            </w:r>
            <w:r>
              <w:rPr>
                <w:rFonts w:hint="eastAsia"/>
                <w:color w:val="auto"/>
                <w:highlight w:val="none"/>
              </w:rPr>
              <w:t>服务要求：原厂五年免费上门维保服务。</w:t>
            </w:r>
          </w:p>
        </w:tc>
        <w:tc>
          <w:tcPr>
            <w:tcW w:w="70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1台</w:t>
            </w:r>
          </w:p>
        </w:tc>
      </w:tr>
      <w:tr>
        <w:tblPrEx>
          <w:tblCellMar>
            <w:top w:w="0" w:type="dxa"/>
            <w:left w:w="0" w:type="dxa"/>
            <w:bottom w:w="0" w:type="dxa"/>
            <w:right w:w="0" w:type="dxa"/>
          </w:tblCellMar>
        </w:tblPrEx>
        <w:trPr>
          <w:trHeight w:val="400" w:hRule="atLeast"/>
        </w:trPr>
        <w:tc>
          <w:tcPr>
            <w:tcW w:w="77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1.8</w:t>
            </w:r>
          </w:p>
        </w:tc>
        <w:tc>
          <w:tcPr>
            <w:tcW w:w="234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ECS弹性计算服务器</w:t>
            </w:r>
          </w:p>
        </w:tc>
        <w:tc>
          <w:tcPr>
            <w:tcW w:w="579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▲CPU规格: 芯片*2，支持物理机或虚拟机层面在写入内存数据时自动加密、读取内存数据时自动解密，本次授权CPU数量≥2</w:t>
            </w:r>
            <w:r>
              <w:rPr>
                <w:rFonts w:hint="eastAsia"/>
                <w:color w:val="auto"/>
                <w:highlight w:val="none"/>
              </w:rPr>
              <w:br w:type="textWrapping"/>
            </w:r>
            <w:r>
              <w:rPr>
                <w:rFonts w:hint="eastAsia"/>
                <w:color w:val="auto"/>
                <w:highlight w:val="none"/>
              </w:rPr>
              <w:t>▲CPU核数: [32]*2</w:t>
            </w:r>
            <w:r>
              <w:rPr>
                <w:rFonts w:hint="eastAsia"/>
                <w:color w:val="auto"/>
                <w:highlight w:val="none"/>
              </w:rPr>
              <w:br w:type="textWrapping"/>
            </w:r>
            <w:r>
              <w:rPr>
                <w:rFonts w:hint="eastAsia"/>
                <w:color w:val="auto"/>
                <w:highlight w:val="none"/>
              </w:rPr>
              <w:t>▲CPU主频: 2.2 GHz</w:t>
            </w:r>
            <w:r>
              <w:rPr>
                <w:rFonts w:hint="eastAsia"/>
                <w:color w:val="auto"/>
                <w:highlight w:val="none"/>
              </w:rPr>
              <w:br w:type="textWrapping"/>
            </w:r>
            <w:r>
              <w:rPr>
                <w:rFonts w:hint="eastAsia"/>
                <w:color w:val="auto"/>
                <w:highlight w:val="none"/>
              </w:rPr>
              <w:t>▲CPU架构: C86</w:t>
            </w:r>
            <w:r>
              <w:rPr>
                <w:rFonts w:hint="eastAsia"/>
                <w:color w:val="auto"/>
                <w:highlight w:val="none"/>
              </w:rPr>
              <w:br w:type="textWrapping"/>
            </w:r>
            <w:r>
              <w:rPr>
                <w:rFonts w:hint="eastAsia"/>
                <w:color w:val="auto"/>
                <w:highlight w:val="none"/>
              </w:rPr>
              <w:t>▲内存(GB): 1024</w:t>
            </w:r>
            <w:r>
              <w:rPr>
                <w:rFonts w:hint="eastAsia"/>
                <w:color w:val="auto"/>
                <w:highlight w:val="none"/>
              </w:rPr>
              <w:br w:type="textWrapping"/>
            </w:r>
            <w:r>
              <w:rPr>
                <w:rFonts w:hint="eastAsia"/>
                <w:color w:val="auto"/>
                <w:highlight w:val="none"/>
              </w:rPr>
              <w:t>▲内存规格: ECC DDR4/DDR5 RDIMM 频率 ≥3200MHz</w:t>
            </w:r>
            <w:r>
              <w:rPr>
                <w:rFonts w:hint="eastAsia"/>
                <w:color w:val="auto"/>
                <w:highlight w:val="none"/>
              </w:rPr>
              <w:br w:type="textWrapping"/>
            </w:r>
            <w:r>
              <w:rPr>
                <w:rFonts w:hint="eastAsia"/>
                <w:color w:val="auto"/>
                <w:highlight w:val="none"/>
              </w:rPr>
              <w:t>▲内置硬盘: 480G[480G_sata_ssd]*1</w:t>
            </w:r>
            <w:r>
              <w:rPr>
                <w:rFonts w:hint="eastAsia"/>
                <w:color w:val="auto"/>
                <w:highlight w:val="none"/>
              </w:rPr>
              <w:br w:type="textWrapping"/>
            </w:r>
            <w:r>
              <w:rPr>
                <w:rFonts w:hint="eastAsia"/>
                <w:color w:val="auto"/>
                <w:highlight w:val="none"/>
              </w:rPr>
              <w:t>1920G[1920G_nvme_ssd]*1</w:t>
            </w:r>
            <w:r>
              <w:rPr>
                <w:rFonts w:hint="eastAsia"/>
                <w:color w:val="auto"/>
                <w:highlight w:val="none"/>
              </w:rPr>
              <w:br w:type="textWrapping"/>
            </w:r>
            <w:r>
              <w:rPr>
                <w:rFonts w:hint="eastAsia"/>
                <w:color w:val="auto"/>
                <w:highlight w:val="none"/>
              </w:rPr>
              <w:t>网卡要求: 10GE:双端口10G光口独立网卡，并满配兼容多模模块（SFP+），支持PXE，支持DPDK应用（兼容2.2版本），支持SRIOV  技术，支持特定五元组（源IP地址，源端口，目的IP地址，目的端口和传输层协议）分流到SRIOV VF；</w:t>
            </w:r>
            <w:r>
              <w:rPr>
                <w:rFonts w:hint="eastAsia"/>
                <w:color w:val="auto"/>
                <w:highlight w:val="none"/>
              </w:rPr>
              <w:br w:type="textWrapping"/>
            </w:r>
            <w:r>
              <w:rPr>
                <w:rFonts w:hint="eastAsia"/>
                <w:color w:val="auto"/>
                <w:highlight w:val="none"/>
              </w:rPr>
              <w:t>网口数量: 10GE*2</w:t>
            </w:r>
            <w:r>
              <w:rPr>
                <w:rFonts w:hint="eastAsia"/>
                <w:color w:val="auto"/>
                <w:highlight w:val="none"/>
              </w:rPr>
              <w:br w:type="textWrapping"/>
            </w:r>
            <w:r>
              <w:rPr>
                <w:rFonts w:hint="eastAsia"/>
                <w:color w:val="auto"/>
                <w:highlight w:val="none"/>
              </w:rPr>
              <w:t>双电源</w:t>
            </w:r>
          </w:p>
          <w:p>
            <w:pPr>
              <w:jc w:val="left"/>
              <w:rPr>
                <w:color w:val="auto"/>
                <w:highlight w:val="none"/>
              </w:rPr>
            </w:pPr>
            <w:r>
              <w:rPr>
                <w:rFonts w:hint="eastAsia"/>
                <w:color w:val="auto"/>
                <w:highlight w:val="none"/>
              </w:rPr>
              <w:t>管理要求：配置服务器管理软件，实现服务器全生命健康数据管理，具备故障预警与检测、统一监控告警、自定义监控规则、消息通知、升级提醒与自动升级等功能。</w:t>
            </w:r>
          </w:p>
          <w:p>
            <w:pPr>
              <w:jc w:val="left"/>
              <w:rPr>
                <w:color w:val="auto"/>
                <w:highlight w:val="none"/>
              </w:rPr>
            </w:pPr>
            <w:r>
              <w:rPr>
                <w:rFonts w:hint="eastAsia"/>
                <w:color w:val="auto"/>
                <w:highlight w:val="none"/>
              </w:rPr>
              <w:t>稳定性要求：MTBF时间≥15万小时</w:t>
            </w:r>
          </w:p>
          <w:p>
            <w:pPr>
              <w:jc w:val="left"/>
              <w:rPr>
                <w:color w:val="auto"/>
                <w:highlight w:val="none"/>
              </w:rPr>
            </w:pPr>
            <w:r>
              <w:rPr>
                <w:rFonts w:hint="eastAsia" w:ascii="宋体" w:hAnsi="宋体" w:cs="宋体"/>
                <w:bCs/>
                <w:color w:val="auto"/>
                <w:szCs w:val="21"/>
                <w:highlight w:val="none"/>
              </w:rPr>
              <w:t>▲</w:t>
            </w:r>
            <w:r>
              <w:rPr>
                <w:rFonts w:hint="eastAsia"/>
                <w:color w:val="auto"/>
                <w:highlight w:val="none"/>
              </w:rPr>
              <w:t>服务要求：原厂五年免费上门维保服务。</w:t>
            </w:r>
          </w:p>
        </w:tc>
        <w:tc>
          <w:tcPr>
            <w:tcW w:w="70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12台</w:t>
            </w:r>
          </w:p>
        </w:tc>
      </w:tr>
      <w:tr>
        <w:tblPrEx>
          <w:tblCellMar>
            <w:top w:w="0" w:type="dxa"/>
            <w:left w:w="0" w:type="dxa"/>
            <w:bottom w:w="0" w:type="dxa"/>
            <w:right w:w="0" w:type="dxa"/>
          </w:tblCellMar>
        </w:tblPrEx>
        <w:trPr>
          <w:trHeight w:val="380" w:hRule="atLeast"/>
        </w:trPr>
        <w:tc>
          <w:tcPr>
            <w:tcW w:w="77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1.9</w:t>
            </w:r>
          </w:p>
        </w:tc>
        <w:tc>
          <w:tcPr>
            <w:tcW w:w="234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块存储服务器</w:t>
            </w:r>
          </w:p>
        </w:tc>
        <w:tc>
          <w:tcPr>
            <w:tcW w:w="579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▲CPU规格: 芯片*2，支持物理机或虚拟机层面在写入内存数据时自动加密、读取内存数据时自动解密，本次授权CPU数量≥2</w:t>
            </w:r>
            <w:r>
              <w:rPr>
                <w:rFonts w:hint="eastAsia"/>
                <w:color w:val="auto"/>
                <w:highlight w:val="none"/>
              </w:rPr>
              <w:br w:type="textWrapping"/>
            </w:r>
            <w:r>
              <w:rPr>
                <w:rFonts w:hint="eastAsia"/>
                <w:color w:val="auto"/>
                <w:highlight w:val="none"/>
              </w:rPr>
              <w:t>▲CPU核数: [24]*2</w:t>
            </w:r>
            <w:r>
              <w:rPr>
                <w:rFonts w:hint="eastAsia"/>
                <w:color w:val="auto"/>
                <w:highlight w:val="none"/>
              </w:rPr>
              <w:br w:type="textWrapping"/>
            </w:r>
            <w:r>
              <w:rPr>
                <w:rFonts w:hint="eastAsia"/>
                <w:color w:val="auto"/>
                <w:highlight w:val="none"/>
              </w:rPr>
              <w:t>▲CPU主频: 2.2 GHz</w:t>
            </w:r>
            <w:r>
              <w:rPr>
                <w:rFonts w:hint="eastAsia"/>
                <w:color w:val="auto"/>
                <w:highlight w:val="none"/>
              </w:rPr>
              <w:br w:type="textWrapping"/>
            </w:r>
            <w:r>
              <w:rPr>
                <w:rFonts w:hint="eastAsia"/>
                <w:color w:val="auto"/>
                <w:highlight w:val="none"/>
              </w:rPr>
              <w:t>▲CPU架构: C86</w:t>
            </w:r>
            <w:r>
              <w:rPr>
                <w:rFonts w:hint="eastAsia"/>
                <w:color w:val="auto"/>
                <w:highlight w:val="none"/>
              </w:rPr>
              <w:br w:type="textWrapping"/>
            </w:r>
            <w:r>
              <w:rPr>
                <w:rFonts w:hint="eastAsia"/>
                <w:color w:val="auto"/>
                <w:highlight w:val="none"/>
              </w:rPr>
              <w:t>▲内存(GB): 256</w:t>
            </w:r>
            <w:r>
              <w:rPr>
                <w:rFonts w:hint="eastAsia"/>
                <w:color w:val="auto"/>
                <w:highlight w:val="none"/>
              </w:rPr>
              <w:br w:type="textWrapping"/>
            </w:r>
            <w:r>
              <w:rPr>
                <w:rFonts w:hint="eastAsia"/>
                <w:color w:val="auto"/>
                <w:highlight w:val="none"/>
              </w:rPr>
              <w:t>▲内存规格: ECC DDR4/DDR5 RDIMM 频率 ≥3200MHz</w:t>
            </w:r>
            <w:r>
              <w:rPr>
                <w:rFonts w:hint="eastAsia"/>
                <w:color w:val="auto"/>
                <w:highlight w:val="none"/>
              </w:rPr>
              <w:br w:type="textWrapping"/>
            </w:r>
            <w:r>
              <w:rPr>
                <w:rFonts w:hint="eastAsia"/>
                <w:color w:val="auto"/>
                <w:highlight w:val="none"/>
              </w:rPr>
              <w:t>▲内置硬盘: 480G[480G_sata_ssd]*2</w:t>
            </w:r>
            <w:r>
              <w:rPr>
                <w:rFonts w:hint="eastAsia"/>
                <w:color w:val="auto"/>
                <w:highlight w:val="none"/>
              </w:rPr>
              <w:br w:type="textWrapping"/>
            </w:r>
            <w:r>
              <w:rPr>
                <w:rFonts w:hint="eastAsia"/>
                <w:color w:val="auto"/>
                <w:highlight w:val="none"/>
              </w:rPr>
              <w:t>12000G[12T_sata_hdd]*12</w:t>
            </w:r>
            <w:r>
              <w:rPr>
                <w:rFonts w:hint="eastAsia"/>
                <w:color w:val="auto"/>
                <w:highlight w:val="none"/>
              </w:rPr>
              <w:br w:type="textWrapping"/>
            </w:r>
            <w:r>
              <w:rPr>
                <w:rFonts w:hint="eastAsia"/>
                <w:color w:val="auto"/>
                <w:highlight w:val="none"/>
              </w:rPr>
              <w:t>3840G[3840G_nvme_ssd]*2</w:t>
            </w:r>
            <w:r>
              <w:rPr>
                <w:rFonts w:hint="eastAsia"/>
                <w:color w:val="auto"/>
                <w:highlight w:val="none"/>
              </w:rPr>
              <w:br w:type="textWrapping"/>
            </w:r>
            <w:r>
              <w:rPr>
                <w:rFonts w:hint="eastAsia"/>
                <w:color w:val="auto"/>
                <w:highlight w:val="none"/>
              </w:rPr>
              <w:t>网卡要求: 10GE:双端口10G光口独立网卡，并满配兼容多模模块（SFP+），支持PXE，支持DPDK应用（兼容2.2版本），支持SRIOV  技术，支持特定五元组（源IP地址，源端口，目的IP地址，目的端口和传输层协议）分流到SRIOV VF；</w:t>
            </w:r>
            <w:r>
              <w:rPr>
                <w:rFonts w:hint="eastAsia"/>
                <w:color w:val="auto"/>
                <w:highlight w:val="none"/>
              </w:rPr>
              <w:br w:type="textWrapping"/>
            </w:r>
            <w:r>
              <w:rPr>
                <w:rFonts w:hint="eastAsia"/>
                <w:color w:val="auto"/>
                <w:highlight w:val="none"/>
              </w:rPr>
              <w:t>网口数量: 10GE*2</w:t>
            </w:r>
            <w:r>
              <w:rPr>
                <w:rFonts w:hint="eastAsia"/>
                <w:color w:val="auto"/>
                <w:highlight w:val="none"/>
              </w:rPr>
              <w:br w:type="textWrapping"/>
            </w:r>
            <w:r>
              <w:rPr>
                <w:rFonts w:hint="eastAsia"/>
                <w:color w:val="auto"/>
                <w:highlight w:val="none"/>
              </w:rPr>
              <w:t>双电源</w:t>
            </w:r>
          </w:p>
          <w:p>
            <w:pPr>
              <w:jc w:val="left"/>
              <w:rPr>
                <w:color w:val="auto"/>
                <w:highlight w:val="none"/>
              </w:rPr>
            </w:pPr>
            <w:r>
              <w:rPr>
                <w:rFonts w:hint="eastAsia"/>
                <w:color w:val="auto"/>
                <w:highlight w:val="none"/>
              </w:rPr>
              <w:t>管理要求：配置服务器管理软件，实现服务器全生命健康数据管理，具备故障预警与检测、统一监控告警、自定义监控规则、消息通知、升级提醒与自动升级等功能。</w:t>
            </w:r>
          </w:p>
          <w:p>
            <w:pPr>
              <w:jc w:val="left"/>
              <w:rPr>
                <w:color w:val="auto"/>
                <w:highlight w:val="none"/>
              </w:rPr>
            </w:pPr>
            <w:r>
              <w:rPr>
                <w:rFonts w:hint="eastAsia"/>
                <w:color w:val="auto"/>
                <w:highlight w:val="none"/>
              </w:rPr>
              <w:t>稳定性要求：MTBF时间≥15万小时</w:t>
            </w:r>
          </w:p>
          <w:p>
            <w:pPr>
              <w:jc w:val="left"/>
              <w:rPr>
                <w:color w:val="auto"/>
                <w:highlight w:val="none"/>
              </w:rPr>
            </w:pPr>
            <w:r>
              <w:rPr>
                <w:rFonts w:hint="eastAsia" w:ascii="宋体" w:hAnsi="宋体" w:cs="宋体"/>
                <w:bCs/>
                <w:color w:val="auto"/>
                <w:szCs w:val="21"/>
                <w:highlight w:val="none"/>
              </w:rPr>
              <w:t>▲</w:t>
            </w:r>
            <w:r>
              <w:rPr>
                <w:rFonts w:hint="eastAsia"/>
                <w:color w:val="auto"/>
                <w:highlight w:val="none"/>
              </w:rPr>
              <w:t>服务要求：原厂五年免费上门维保服务。</w:t>
            </w:r>
          </w:p>
        </w:tc>
        <w:tc>
          <w:tcPr>
            <w:tcW w:w="70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6台</w:t>
            </w:r>
          </w:p>
        </w:tc>
      </w:tr>
      <w:tr>
        <w:tblPrEx>
          <w:tblCellMar>
            <w:top w:w="0" w:type="dxa"/>
            <w:left w:w="0" w:type="dxa"/>
            <w:bottom w:w="0" w:type="dxa"/>
            <w:right w:w="0" w:type="dxa"/>
          </w:tblCellMar>
        </w:tblPrEx>
        <w:trPr>
          <w:trHeight w:val="400" w:hRule="atLeast"/>
        </w:trPr>
        <w:tc>
          <w:tcPr>
            <w:tcW w:w="77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1.10</w:t>
            </w:r>
          </w:p>
        </w:tc>
        <w:tc>
          <w:tcPr>
            <w:tcW w:w="234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对象存储服务器</w:t>
            </w:r>
          </w:p>
        </w:tc>
        <w:tc>
          <w:tcPr>
            <w:tcW w:w="579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▲CPU规格: 芯片*2，支持物理机或虚拟机层面在写入内存数据时自动加密、读取内存数据时自动解密，本次授权CPU数量≥2</w:t>
            </w:r>
            <w:r>
              <w:rPr>
                <w:rFonts w:hint="eastAsia"/>
                <w:color w:val="auto"/>
                <w:highlight w:val="none"/>
              </w:rPr>
              <w:br w:type="textWrapping"/>
            </w:r>
            <w:r>
              <w:rPr>
                <w:rFonts w:hint="eastAsia"/>
                <w:color w:val="auto"/>
                <w:highlight w:val="none"/>
              </w:rPr>
              <w:t>▲CPU核数: [24]*2</w:t>
            </w:r>
            <w:r>
              <w:rPr>
                <w:rFonts w:hint="eastAsia"/>
                <w:color w:val="auto"/>
                <w:highlight w:val="none"/>
              </w:rPr>
              <w:br w:type="textWrapping"/>
            </w:r>
            <w:r>
              <w:rPr>
                <w:rFonts w:hint="eastAsia"/>
                <w:color w:val="auto"/>
                <w:highlight w:val="none"/>
              </w:rPr>
              <w:t>▲CPU主频: 2.2 GHz</w:t>
            </w:r>
            <w:r>
              <w:rPr>
                <w:rFonts w:hint="eastAsia"/>
                <w:color w:val="auto"/>
                <w:highlight w:val="none"/>
              </w:rPr>
              <w:br w:type="textWrapping"/>
            </w:r>
            <w:r>
              <w:rPr>
                <w:rFonts w:hint="eastAsia"/>
                <w:color w:val="auto"/>
                <w:highlight w:val="none"/>
              </w:rPr>
              <w:t>▲CPU架构: C86</w:t>
            </w:r>
            <w:r>
              <w:rPr>
                <w:rFonts w:hint="eastAsia"/>
                <w:color w:val="auto"/>
                <w:highlight w:val="none"/>
              </w:rPr>
              <w:br w:type="textWrapping"/>
            </w:r>
            <w:r>
              <w:rPr>
                <w:rFonts w:hint="eastAsia"/>
                <w:color w:val="auto"/>
                <w:highlight w:val="none"/>
              </w:rPr>
              <w:t>▲内存(GB): 384</w:t>
            </w:r>
            <w:r>
              <w:rPr>
                <w:rFonts w:hint="eastAsia"/>
                <w:color w:val="auto"/>
                <w:highlight w:val="none"/>
              </w:rPr>
              <w:br w:type="textWrapping"/>
            </w:r>
            <w:r>
              <w:rPr>
                <w:rFonts w:hint="eastAsia"/>
                <w:color w:val="auto"/>
                <w:highlight w:val="none"/>
              </w:rPr>
              <w:t>▲内存规格: ECC DDR4/DDR5 RDIMM 频率 ≥3200MHz</w:t>
            </w:r>
            <w:r>
              <w:rPr>
                <w:rFonts w:hint="eastAsia"/>
                <w:color w:val="auto"/>
                <w:highlight w:val="none"/>
              </w:rPr>
              <w:br w:type="textWrapping"/>
            </w:r>
            <w:r>
              <w:rPr>
                <w:rFonts w:hint="eastAsia"/>
                <w:color w:val="auto"/>
                <w:highlight w:val="none"/>
              </w:rPr>
              <w:t>▲内置硬盘: 480G[480G_sata_ssd]*2</w:t>
            </w:r>
            <w:r>
              <w:rPr>
                <w:rFonts w:hint="eastAsia"/>
                <w:color w:val="auto"/>
                <w:highlight w:val="none"/>
              </w:rPr>
              <w:br w:type="textWrapping"/>
            </w:r>
            <w:r>
              <w:rPr>
                <w:rFonts w:hint="eastAsia"/>
                <w:color w:val="auto"/>
                <w:highlight w:val="none"/>
              </w:rPr>
              <w:t>12000G[12T_sata_hdd]*12</w:t>
            </w:r>
            <w:r>
              <w:rPr>
                <w:rFonts w:hint="eastAsia"/>
                <w:color w:val="auto"/>
                <w:highlight w:val="none"/>
              </w:rPr>
              <w:br w:type="textWrapping"/>
            </w:r>
            <w:r>
              <w:rPr>
                <w:rFonts w:hint="eastAsia"/>
                <w:color w:val="auto"/>
                <w:highlight w:val="none"/>
              </w:rPr>
              <w:t>3840G[3840G_nvme_ssd]*2</w:t>
            </w:r>
            <w:r>
              <w:rPr>
                <w:rFonts w:hint="eastAsia"/>
                <w:color w:val="auto"/>
                <w:highlight w:val="none"/>
              </w:rPr>
              <w:br w:type="textWrapping"/>
            </w:r>
            <w:r>
              <w:rPr>
                <w:rFonts w:hint="eastAsia"/>
                <w:color w:val="auto"/>
                <w:highlight w:val="none"/>
              </w:rPr>
              <w:t>网卡要求: 10GE:双端口10G光口独立网卡，并满配兼容多模模块（SFP+），支持PXE，支持DPDK应用（兼容2.2版本），支持SRIOV  技术，支持特定五元组（源IP地址，源端口，目的IP地址，目的端口和传输层协议）分流到SRIOV VF；</w:t>
            </w:r>
            <w:r>
              <w:rPr>
                <w:rFonts w:hint="eastAsia"/>
                <w:color w:val="auto"/>
                <w:highlight w:val="none"/>
              </w:rPr>
              <w:br w:type="textWrapping"/>
            </w:r>
            <w:r>
              <w:rPr>
                <w:rFonts w:hint="eastAsia"/>
                <w:color w:val="auto"/>
                <w:highlight w:val="none"/>
              </w:rPr>
              <w:t>网口数量: 10GE*2</w:t>
            </w:r>
            <w:r>
              <w:rPr>
                <w:rFonts w:hint="eastAsia"/>
                <w:color w:val="auto"/>
                <w:highlight w:val="none"/>
              </w:rPr>
              <w:br w:type="textWrapping"/>
            </w:r>
            <w:r>
              <w:rPr>
                <w:rFonts w:hint="eastAsia"/>
                <w:color w:val="auto"/>
                <w:highlight w:val="none"/>
              </w:rPr>
              <w:t>双电源</w:t>
            </w:r>
          </w:p>
          <w:p>
            <w:pPr>
              <w:jc w:val="left"/>
              <w:rPr>
                <w:color w:val="auto"/>
                <w:highlight w:val="none"/>
              </w:rPr>
            </w:pPr>
            <w:r>
              <w:rPr>
                <w:rFonts w:hint="eastAsia"/>
                <w:color w:val="auto"/>
                <w:highlight w:val="none"/>
              </w:rPr>
              <w:t>管理要求：配置服务器管理软件，实现服务器全生命健康数据管理，具备故障预警与检测、统一监控告警、自定义监控规则、消息通知、升级提醒与自动升级等功能。</w:t>
            </w:r>
          </w:p>
          <w:p>
            <w:pPr>
              <w:jc w:val="left"/>
              <w:rPr>
                <w:color w:val="auto"/>
                <w:highlight w:val="none"/>
              </w:rPr>
            </w:pPr>
            <w:r>
              <w:rPr>
                <w:rFonts w:hint="eastAsia"/>
                <w:color w:val="auto"/>
                <w:highlight w:val="none"/>
              </w:rPr>
              <w:t>稳定性要求：MTBF时间≥15万小时</w:t>
            </w:r>
          </w:p>
          <w:p>
            <w:pPr>
              <w:jc w:val="left"/>
              <w:rPr>
                <w:color w:val="auto"/>
                <w:highlight w:val="none"/>
              </w:rPr>
            </w:pPr>
            <w:r>
              <w:rPr>
                <w:rFonts w:hint="eastAsia"/>
                <w:color w:val="auto"/>
                <w:highlight w:val="none"/>
              </w:rPr>
              <w:t>服务要求：原厂五年免费上门维保服务</w:t>
            </w:r>
          </w:p>
          <w:p>
            <w:pPr>
              <w:jc w:val="left"/>
              <w:rPr>
                <w:color w:val="auto"/>
                <w:highlight w:val="none"/>
              </w:rPr>
            </w:pPr>
          </w:p>
        </w:tc>
        <w:tc>
          <w:tcPr>
            <w:tcW w:w="70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6台</w:t>
            </w:r>
          </w:p>
        </w:tc>
      </w:tr>
      <w:tr>
        <w:tblPrEx>
          <w:tblCellMar>
            <w:top w:w="0" w:type="dxa"/>
            <w:left w:w="0" w:type="dxa"/>
            <w:bottom w:w="0" w:type="dxa"/>
            <w:right w:w="0" w:type="dxa"/>
          </w:tblCellMar>
        </w:tblPrEx>
        <w:trPr>
          <w:trHeight w:val="400" w:hRule="atLeast"/>
        </w:trPr>
        <w:tc>
          <w:tcPr>
            <w:tcW w:w="77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1.11</w:t>
            </w:r>
          </w:p>
        </w:tc>
        <w:tc>
          <w:tcPr>
            <w:tcW w:w="234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数据集成组件服务器</w:t>
            </w:r>
          </w:p>
        </w:tc>
        <w:tc>
          <w:tcPr>
            <w:tcW w:w="579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▲CPU规格: 芯片*2，支持物理机或虚拟机层面在写入内存数据时自动加密、读取内存数据时自动解密，本次授权CPU数量≥2</w:t>
            </w:r>
            <w:r>
              <w:rPr>
                <w:rFonts w:hint="eastAsia"/>
                <w:color w:val="auto"/>
                <w:highlight w:val="none"/>
              </w:rPr>
              <w:br w:type="textWrapping"/>
            </w:r>
            <w:r>
              <w:rPr>
                <w:rFonts w:hint="eastAsia"/>
                <w:color w:val="auto"/>
                <w:highlight w:val="none"/>
              </w:rPr>
              <w:t>▲CPU核数: [32]*2</w:t>
            </w:r>
            <w:r>
              <w:rPr>
                <w:rFonts w:hint="eastAsia"/>
                <w:color w:val="auto"/>
                <w:highlight w:val="none"/>
              </w:rPr>
              <w:br w:type="textWrapping"/>
            </w:r>
            <w:r>
              <w:rPr>
                <w:rFonts w:hint="eastAsia"/>
                <w:color w:val="auto"/>
                <w:highlight w:val="none"/>
              </w:rPr>
              <w:t>▲CPU主频: 2.2 GHz</w:t>
            </w:r>
            <w:r>
              <w:rPr>
                <w:rFonts w:hint="eastAsia"/>
                <w:color w:val="auto"/>
                <w:highlight w:val="none"/>
              </w:rPr>
              <w:br w:type="textWrapping"/>
            </w:r>
            <w:r>
              <w:rPr>
                <w:rFonts w:hint="eastAsia"/>
                <w:color w:val="auto"/>
                <w:highlight w:val="none"/>
              </w:rPr>
              <w:t>▲CPU架构: C86</w:t>
            </w:r>
            <w:r>
              <w:rPr>
                <w:rFonts w:hint="eastAsia"/>
                <w:color w:val="auto"/>
                <w:highlight w:val="none"/>
              </w:rPr>
              <w:br w:type="textWrapping"/>
            </w:r>
            <w:r>
              <w:rPr>
                <w:rFonts w:hint="eastAsia"/>
                <w:color w:val="auto"/>
                <w:highlight w:val="none"/>
              </w:rPr>
              <w:t>▲内存(GB): 512</w:t>
            </w:r>
            <w:r>
              <w:rPr>
                <w:rFonts w:hint="eastAsia"/>
                <w:color w:val="auto"/>
                <w:highlight w:val="none"/>
              </w:rPr>
              <w:br w:type="textWrapping"/>
            </w:r>
            <w:r>
              <w:rPr>
                <w:rFonts w:hint="eastAsia"/>
                <w:color w:val="auto"/>
                <w:highlight w:val="none"/>
              </w:rPr>
              <w:t>▲内存规格: ECC DDR4/DDR5 RDIMM 频率 ≥3200MHz</w:t>
            </w:r>
            <w:r>
              <w:rPr>
                <w:rFonts w:hint="eastAsia"/>
                <w:color w:val="auto"/>
                <w:highlight w:val="none"/>
              </w:rPr>
              <w:br w:type="textWrapping"/>
            </w:r>
            <w:r>
              <w:rPr>
                <w:rFonts w:hint="eastAsia"/>
                <w:color w:val="auto"/>
                <w:highlight w:val="none"/>
              </w:rPr>
              <w:t>▲内置硬盘: 480G[480G_sata_ssd]*1</w:t>
            </w:r>
            <w:r>
              <w:rPr>
                <w:rFonts w:hint="eastAsia"/>
                <w:color w:val="auto"/>
                <w:highlight w:val="none"/>
              </w:rPr>
              <w:br w:type="textWrapping"/>
            </w:r>
            <w:r>
              <w:rPr>
                <w:rFonts w:hint="eastAsia"/>
                <w:color w:val="auto"/>
                <w:highlight w:val="none"/>
              </w:rPr>
              <w:t>1920G[1920G_nvme_ssd]*1</w:t>
            </w:r>
            <w:r>
              <w:rPr>
                <w:rFonts w:hint="eastAsia"/>
                <w:color w:val="auto"/>
                <w:highlight w:val="none"/>
              </w:rPr>
              <w:br w:type="textWrapping"/>
            </w:r>
            <w:r>
              <w:rPr>
                <w:rFonts w:hint="eastAsia"/>
                <w:color w:val="auto"/>
                <w:highlight w:val="none"/>
              </w:rPr>
              <w:t>网卡要求: 10GE:双端口10G光口独立网卡，并满配兼容多模模块（SFP+），支持PXE，支持DPDK应用（兼容2.2版本），支持SRIOV  技术，支持特定五元组（源IP地址，源端口，目的IP地址，目的端口和传输层协议）分流到SRIOV VF；</w:t>
            </w:r>
            <w:r>
              <w:rPr>
                <w:rFonts w:hint="eastAsia"/>
                <w:color w:val="auto"/>
                <w:highlight w:val="none"/>
              </w:rPr>
              <w:br w:type="textWrapping"/>
            </w:r>
            <w:r>
              <w:rPr>
                <w:rFonts w:hint="eastAsia"/>
                <w:color w:val="auto"/>
                <w:highlight w:val="none"/>
              </w:rPr>
              <w:t>网口数量: 10GE*2</w:t>
            </w:r>
            <w:r>
              <w:rPr>
                <w:rFonts w:hint="eastAsia"/>
                <w:color w:val="auto"/>
                <w:highlight w:val="none"/>
              </w:rPr>
              <w:br w:type="textWrapping"/>
            </w:r>
            <w:r>
              <w:rPr>
                <w:rFonts w:hint="eastAsia"/>
                <w:color w:val="auto"/>
                <w:highlight w:val="none"/>
              </w:rPr>
              <w:t>双电源</w:t>
            </w:r>
          </w:p>
          <w:p>
            <w:pPr>
              <w:jc w:val="left"/>
              <w:rPr>
                <w:color w:val="auto"/>
                <w:highlight w:val="none"/>
              </w:rPr>
            </w:pPr>
            <w:r>
              <w:rPr>
                <w:rFonts w:hint="eastAsia"/>
                <w:color w:val="auto"/>
                <w:highlight w:val="none"/>
              </w:rPr>
              <w:t>管理要求：配置服务器管理软件，实现服务器全生命健康数据管理，具备故障预警与检测、统一监控告警、自定义监控规则、消息通知、升级提醒与自动升级等功能。</w:t>
            </w:r>
          </w:p>
          <w:p>
            <w:pPr>
              <w:jc w:val="left"/>
              <w:rPr>
                <w:color w:val="auto"/>
                <w:highlight w:val="none"/>
              </w:rPr>
            </w:pPr>
            <w:r>
              <w:rPr>
                <w:rFonts w:hint="eastAsia"/>
                <w:color w:val="auto"/>
                <w:highlight w:val="none"/>
              </w:rPr>
              <w:t>稳定性要求：MTBF时间≥15万小时</w:t>
            </w:r>
          </w:p>
          <w:p>
            <w:pPr>
              <w:jc w:val="left"/>
              <w:rPr>
                <w:color w:val="auto"/>
                <w:highlight w:val="none"/>
              </w:rPr>
            </w:pPr>
            <w:r>
              <w:rPr>
                <w:rFonts w:hint="eastAsia" w:ascii="宋体" w:hAnsi="宋体" w:cs="宋体"/>
                <w:bCs/>
                <w:color w:val="auto"/>
                <w:szCs w:val="21"/>
                <w:highlight w:val="none"/>
              </w:rPr>
              <w:t>▲</w:t>
            </w:r>
            <w:r>
              <w:rPr>
                <w:rFonts w:hint="eastAsia"/>
                <w:color w:val="auto"/>
                <w:highlight w:val="none"/>
              </w:rPr>
              <w:t>服务要求：原厂五年免费上门维保服务。</w:t>
            </w:r>
          </w:p>
        </w:tc>
        <w:tc>
          <w:tcPr>
            <w:tcW w:w="70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3台</w:t>
            </w:r>
          </w:p>
        </w:tc>
      </w:tr>
      <w:tr>
        <w:tblPrEx>
          <w:tblCellMar>
            <w:top w:w="0" w:type="dxa"/>
            <w:left w:w="0" w:type="dxa"/>
            <w:bottom w:w="0" w:type="dxa"/>
            <w:right w:w="0" w:type="dxa"/>
          </w:tblCellMar>
        </w:tblPrEx>
        <w:trPr>
          <w:trHeight w:val="360" w:hRule="atLeast"/>
        </w:trPr>
        <w:tc>
          <w:tcPr>
            <w:tcW w:w="77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1.12</w:t>
            </w:r>
          </w:p>
        </w:tc>
        <w:tc>
          <w:tcPr>
            <w:tcW w:w="234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云平台管控节点服务器2</w:t>
            </w:r>
          </w:p>
        </w:tc>
        <w:tc>
          <w:tcPr>
            <w:tcW w:w="579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▲CPU规格: 芯片*2，支持物理机或虚拟机层面在写入内存数据时自动加密、读取内存数据时自动解密，本次授权CPU数量≥2</w:t>
            </w:r>
            <w:r>
              <w:rPr>
                <w:rFonts w:hint="eastAsia"/>
                <w:color w:val="auto"/>
                <w:highlight w:val="none"/>
              </w:rPr>
              <w:br w:type="textWrapping"/>
            </w:r>
            <w:r>
              <w:rPr>
                <w:rFonts w:hint="eastAsia"/>
                <w:color w:val="auto"/>
                <w:highlight w:val="none"/>
              </w:rPr>
              <w:t>▲CPU核数: [24]*2</w:t>
            </w:r>
            <w:r>
              <w:rPr>
                <w:rFonts w:hint="eastAsia"/>
                <w:color w:val="auto"/>
                <w:highlight w:val="none"/>
              </w:rPr>
              <w:br w:type="textWrapping"/>
            </w:r>
            <w:r>
              <w:rPr>
                <w:rFonts w:hint="eastAsia"/>
                <w:color w:val="auto"/>
                <w:highlight w:val="none"/>
              </w:rPr>
              <w:t>▲CPU主频: 2.2 GHz</w:t>
            </w:r>
            <w:r>
              <w:rPr>
                <w:rFonts w:hint="eastAsia"/>
                <w:color w:val="auto"/>
                <w:highlight w:val="none"/>
              </w:rPr>
              <w:br w:type="textWrapping"/>
            </w:r>
            <w:r>
              <w:rPr>
                <w:rFonts w:hint="eastAsia"/>
                <w:color w:val="auto"/>
                <w:highlight w:val="none"/>
              </w:rPr>
              <w:t>▲CPU架构: C86</w:t>
            </w:r>
            <w:r>
              <w:rPr>
                <w:rFonts w:hint="eastAsia"/>
                <w:color w:val="auto"/>
                <w:highlight w:val="none"/>
              </w:rPr>
              <w:br w:type="textWrapping"/>
            </w:r>
            <w:r>
              <w:rPr>
                <w:rFonts w:hint="eastAsia"/>
                <w:color w:val="auto"/>
                <w:highlight w:val="none"/>
              </w:rPr>
              <w:t>▲内存(GB): 512</w:t>
            </w:r>
            <w:r>
              <w:rPr>
                <w:rFonts w:hint="eastAsia"/>
                <w:color w:val="auto"/>
                <w:highlight w:val="none"/>
              </w:rPr>
              <w:br w:type="textWrapping"/>
            </w:r>
            <w:r>
              <w:rPr>
                <w:rFonts w:hint="eastAsia"/>
                <w:color w:val="auto"/>
                <w:highlight w:val="none"/>
              </w:rPr>
              <w:t>▲内存规格: ECC DDR4/DDR5 RDIMM 频率 ≥3200MHz</w:t>
            </w:r>
            <w:r>
              <w:rPr>
                <w:rFonts w:hint="eastAsia"/>
                <w:color w:val="auto"/>
                <w:highlight w:val="none"/>
              </w:rPr>
              <w:br w:type="textWrapping"/>
            </w:r>
            <w:r>
              <w:rPr>
                <w:rFonts w:hint="eastAsia"/>
                <w:color w:val="auto"/>
                <w:highlight w:val="none"/>
              </w:rPr>
              <w:t>▲内置硬盘: 480G[480G_sata_ssd]*1</w:t>
            </w:r>
            <w:r>
              <w:rPr>
                <w:rFonts w:hint="eastAsia"/>
                <w:color w:val="auto"/>
                <w:highlight w:val="none"/>
              </w:rPr>
              <w:br w:type="textWrapping"/>
            </w:r>
            <w:r>
              <w:rPr>
                <w:rFonts w:hint="eastAsia"/>
                <w:color w:val="auto"/>
                <w:highlight w:val="none"/>
              </w:rPr>
              <w:t>8000G[8T_sata_hdd]*12</w:t>
            </w:r>
            <w:r>
              <w:rPr>
                <w:rFonts w:hint="eastAsia"/>
                <w:color w:val="auto"/>
                <w:highlight w:val="none"/>
              </w:rPr>
              <w:br w:type="textWrapping"/>
            </w:r>
            <w:r>
              <w:rPr>
                <w:rFonts w:hint="eastAsia"/>
                <w:color w:val="auto"/>
                <w:highlight w:val="none"/>
              </w:rPr>
              <w:t>1920G[1920G_nvme_ssd]*2</w:t>
            </w:r>
            <w:r>
              <w:rPr>
                <w:rFonts w:hint="eastAsia"/>
                <w:color w:val="auto"/>
                <w:highlight w:val="none"/>
              </w:rPr>
              <w:br w:type="textWrapping"/>
            </w:r>
            <w:r>
              <w:rPr>
                <w:rFonts w:hint="eastAsia"/>
                <w:color w:val="auto"/>
                <w:highlight w:val="none"/>
              </w:rPr>
              <w:t>3840G[3840G_nvme_ssd]*2</w:t>
            </w:r>
            <w:r>
              <w:rPr>
                <w:rFonts w:hint="eastAsia"/>
                <w:color w:val="auto"/>
                <w:highlight w:val="none"/>
              </w:rPr>
              <w:br w:type="textWrapping"/>
            </w:r>
            <w:r>
              <w:rPr>
                <w:rFonts w:hint="eastAsia"/>
                <w:color w:val="auto"/>
                <w:highlight w:val="none"/>
              </w:rPr>
              <w:t>网卡要求: 1GE：物理网口10/100/1000Mbps，支持PXE，支持虚拟化应用；</w:t>
            </w:r>
            <w:r>
              <w:rPr>
                <w:rFonts w:hint="eastAsia"/>
                <w:color w:val="auto"/>
                <w:highlight w:val="none"/>
              </w:rPr>
              <w:br w:type="textWrapping"/>
            </w:r>
            <w:r>
              <w:rPr>
                <w:rFonts w:hint="eastAsia"/>
                <w:color w:val="auto"/>
                <w:highlight w:val="none"/>
              </w:rPr>
              <w:t>10GE:双端口10G光口独立网卡，并满配兼容多模模块（SFP+），支持PXE，支持DPDK应用（兼容2.2版本），支持SRIOV  技术，支持特定五元组（源IP地址，源端口，目的IP地址，目的端口和传输层协议）分流到SRIOV VF。</w:t>
            </w:r>
            <w:r>
              <w:rPr>
                <w:rFonts w:hint="eastAsia"/>
                <w:color w:val="auto"/>
                <w:highlight w:val="none"/>
              </w:rPr>
              <w:br w:type="textWrapping"/>
            </w:r>
            <w:r>
              <w:rPr>
                <w:rFonts w:hint="eastAsia"/>
                <w:color w:val="auto"/>
                <w:highlight w:val="none"/>
              </w:rPr>
              <w:t>网口数量: 1GE*2|10GE*2</w:t>
            </w:r>
            <w:r>
              <w:rPr>
                <w:rFonts w:hint="eastAsia"/>
                <w:color w:val="auto"/>
                <w:highlight w:val="none"/>
              </w:rPr>
              <w:br w:type="textWrapping"/>
            </w:r>
            <w:r>
              <w:rPr>
                <w:rFonts w:hint="eastAsia"/>
                <w:color w:val="auto"/>
                <w:highlight w:val="none"/>
              </w:rPr>
              <w:t>双电源</w:t>
            </w:r>
          </w:p>
          <w:p>
            <w:pPr>
              <w:jc w:val="left"/>
              <w:rPr>
                <w:color w:val="auto"/>
                <w:highlight w:val="none"/>
              </w:rPr>
            </w:pPr>
            <w:r>
              <w:rPr>
                <w:rFonts w:hint="eastAsia"/>
                <w:color w:val="auto"/>
                <w:highlight w:val="none"/>
              </w:rPr>
              <w:t>管理要求：配置服务器管理软件，实现服务器全生命健康数据管理，具备故障预警与检测、统一监控告警、自定义监控规则、消息通知、升级提醒与自动升级等功能。</w:t>
            </w:r>
          </w:p>
          <w:p>
            <w:pPr>
              <w:jc w:val="left"/>
              <w:rPr>
                <w:color w:val="auto"/>
                <w:highlight w:val="none"/>
              </w:rPr>
            </w:pPr>
            <w:r>
              <w:rPr>
                <w:rFonts w:hint="eastAsia"/>
                <w:color w:val="auto"/>
                <w:highlight w:val="none"/>
              </w:rPr>
              <w:t>稳定性要求：MTBF时间≥15万小时</w:t>
            </w:r>
          </w:p>
          <w:p>
            <w:pPr>
              <w:jc w:val="left"/>
              <w:rPr>
                <w:color w:val="auto"/>
                <w:highlight w:val="none"/>
              </w:rPr>
            </w:pPr>
            <w:r>
              <w:rPr>
                <w:rFonts w:hint="eastAsia" w:ascii="宋体" w:hAnsi="宋体" w:cs="宋体"/>
                <w:bCs/>
                <w:color w:val="auto"/>
                <w:szCs w:val="21"/>
                <w:highlight w:val="none"/>
              </w:rPr>
              <w:t>▲</w:t>
            </w:r>
            <w:r>
              <w:rPr>
                <w:rFonts w:hint="eastAsia"/>
                <w:color w:val="auto"/>
                <w:highlight w:val="none"/>
              </w:rPr>
              <w:t>服务要求：原厂五年免费上门维保服务。</w:t>
            </w:r>
          </w:p>
        </w:tc>
        <w:tc>
          <w:tcPr>
            <w:tcW w:w="70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4台</w:t>
            </w:r>
          </w:p>
        </w:tc>
      </w:tr>
      <w:tr>
        <w:tblPrEx>
          <w:tblCellMar>
            <w:top w:w="0" w:type="dxa"/>
            <w:left w:w="0" w:type="dxa"/>
            <w:bottom w:w="0" w:type="dxa"/>
            <w:right w:w="0" w:type="dxa"/>
          </w:tblCellMar>
        </w:tblPrEx>
        <w:trPr>
          <w:trHeight w:val="360" w:hRule="atLeast"/>
        </w:trPr>
        <w:tc>
          <w:tcPr>
            <w:tcW w:w="77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1.13</w:t>
            </w:r>
          </w:p>
        </w:tc>
        <w:tc>
          <w:tcPr>
            <w:tcW w:w="234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集中式关系型数据库服务器</w:t>
            </w:r>
          </w:p>
        </w:tc>
        <w:tc>
          <w:tcPr>
            <w:tcW w:w="579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▲CPU规格: 芯片*2，支持物理机或虚拟机层面在写入内存数据时自动加密、读取内存数据时自动解密，本次授权CPU数量≥2</w:t>
            </w:r>
            <w:r>
              <w:rPr>
                <w:rFonts w:hint="eastAsia"/>
                <w:color w:val="auto"/>
                <w:highlight w:val="none"/>
              </w:rPr>
              <w:br w:type="textWrapping"/>
            </w:r>
            <w:r>
              <w:rPr>
                <w:rFonts w:hint="eastAsia"/>
                <w:color w:val="auto"/>
                <w:highlight w:val="none"/>
              </w:rPr>
              <w:t>▲CPU核数: [32]*2</w:t>
            </w:r>
            <w:r>
              <w:rPr>
                <w:rFonts w:hint="eastAsia"/>
                <w:color w:val="auto"/>
                <w:highlight w:val="none"/>
              </w:rPr>
              <w:br w:type="textWrapping"/>
            </w:r>
            <w:r>
              <w:rPr>
                <w:rFonts w:hint="eastAsia"/>
                <w:color w:val="auto"/>
                <w:highlight w:val="none"/>
              </w:rPr>
              <w:t>▲CPU主频: 2.2 GHz</w:t>
            </w:r>
            <w:r>
              <w:rPr>
                <w:rFonts w:hint="eastAsia"/>
                <w:color w:val="auto"/>
                <w:highlight w:val="none"/>
              </w:rPr>
              <w:br w:type="textWrapping"/>
            </w:r>
            <w:r>
              <w:rPr>
                <w:rFonts w:hint="eastAsia"/>
                <w:color w:val="auto"/>
                <w:highlight w:val="none"/>
              </w:rPr>
              <w:t>▲CPU架构: C86</w:t>
            </w:r>
            <w:r>
              <w:rPr>
                <w:rFonts w:hint="eastAsia"/>
                <w:color w:val="auto"/>
                <w:highlight w:val="none"/>
              </w:rPr>
              <w:br w:type="textWrapping"/>
            </w:r>
            <w:r>
              <w:rPr>
                <w:rFonts w:hint="eastAsia"/>
                <w:color w:val="auto"/>
                <w:highlight w:val="none"/>
              </w:rPr>
              <w:t>▲内存(GB): 1024</w:t>
            </w:r>
            <w:r>
              <w:rPr>
                <w:rFonts w:hint="eastAsia"/>
                <w:color w:val="auto"/>
                <w:highlight w:val="none"/>
              </w:rPr>
              <w:br w:type="textWrapping"/>
            </w:r>
            <w:r>
              <w:rPr>
                <w:rFonts w:hint="eastAsia"/>
                <w:color w:val="auto"/>
                <w:highlight w:val="none"/>
              </w:rPr>
              <w:t>▲内存规格: ECC DDR4/DDR5 RDIMM 频率 ≥3200MHz</w:t>
            </w:r>
            <w:r>
              <w:rPr>
                <w:rFonts w:hint="eastAsia"/>
                <w:color w:val="auto"/>
                <w:highlight w:val="none"/>
              </w:rPr>
              <w:br w:type="textWrapping"/>
            </w:r>
            <w:r>
              <w:rPr>
                <w:rFonts w:hint="eastAsia"/>
                <w:color w:val="auto"/>
                <w:highlight w:val="none"/>
              </w:rPr>
              <w:t>▲内置硬盘: 480G[480G_sata_ssd]*1</w:t>
            </w:r>
            <w:r>
              <w:rPr>
                <w:rFonts w:hint="eastAsia"/>
                <w:color w:val="auto"/>
                <w:highlight w:val="none"/>
              </w:rPr>
              <w:br w:type="textWrapping"/>
            </w:r>
            <w:r>
              <w:rPr>
                <w:rFonts w:hint="eastAsia"/>
                <w:color w:val="auto"/>
                <w:highlight w:val="none"/>
              </w:rPr>
              <w:t>3840G[3840G_nvme_ssd]*4</w:t>
            </w:r>
            <w:r>
              <w:rPr>
                <w:rFonts w:hint="eastAsia"/>
                <w:color w:val="auto"/>
                <w:highlight w:val="none"/>
              </w:rPr>
              <w:br w:type="textWrapping"/>
            </w:r>
            <w:r>
              <w:rPr>
                <w:rFonts w:hint="eastAsia"/>
                <w:color w:val="auto"/>
                <w:highlight w:val="none"/>
              </w:rPr>
              <w:t>网卡要求: 10GE:双端口10G光口独立网卡，并满配兼容多模模块（SFP+），支持PXE，支持DPDK应用（兼容2.2版本），支持SRIOV  技术，支持特定五元组（源IP地址，源端口，目的IP地址，目的端口和传输层协议）分流到SRIOV VF；</w:t>
            </w:r>
            <w:r>
              <w:rPr>
                <w:rFonts w:hint="eastAsia"/>
                <w:color w:val="auto"/>
                <w:highlight w:val="none"/>
              </w:rPr>
              <w:br w:type="textWrapping"/>
            </w:r>
            <w:r>
              <w:rPr>
                <w:rFonts w:hint="eastAsia"/>
                <w:color w:val="auto"/>
                <w:highlight w:val="none"/>
              </w:rPr>
              <w:t>网口数量: 10GE*2</w:t>
            </w:r>
            <w:r>
              <w:rPr>
                <w:rFonts w:hint="eastAsia"/>
                <w:color w:val="auto"/>
                <w:highlight w:val="none"/>
              </w:rPr>
              <w:br w:type="textWrapping"/>
            </w:r>
            <w:r>
              <w:rPr>
                <w:rFonts w:hint="eastAsia"/>
                <w:color w:val="auto"/>
                <w:highlight w:val="none"/>
              </w:rPr>
              <w:t>双电源</w:t>
            </w:r>
          </w:p>
          <w:p>
            <w:pPr>
              <w:jc w:val="left"/>
              <w:rPr>
                <w:color w:val="auto"/>
                <w:highlight w:val="none"/>
              </w:rPr>
            </w:pPr>
            <w:r>
              <w:rPr>
                <w:rFonts w:hint="eastAsia"/>
                <w:color w:val="auto"/>
                <w:highlight w:val="none"/>
              </w:rPr>
              <w:t>管理要求：配置服务器管理软件，实现服务器全生命健康数据管理，具备故障预警与检测、统一监控告警、自定义监控规则、消息通知、升级提醒与自动升级等功能。</w:t>
            </w:r>
          </w:p>
          <w:p>
            <w:pPr>
              <w:jc w:val="left"/>
              <w:rPr>
                <w:color w:val="auto"/>
                <w:highlight w:val="none"/>
              </w:rPr>
            </w:pPr>
            <w:r>
              <w:rPr>
                <w:rFonts w:hint="eastAsia"/>
                <w:color w:val="auto"/>
                <w:highlight w:val="none"/>
              </w:rPr>
              <w:t>稳定性要求：MTBF时间≥15万小时</w:t>
            </w:r>
          </w:p>
          <w:p>
            <w:pPr>
              <w:jc w:val="left"/>
              <w:rPr>
                <w:color w:val="auto"/>
                <w:highlight w:val="none"/>
              </w:rPr>
            </w:pPr>
            <w:r>
              <w:rPr>
                <w:rFonts w:hint="eastAsia"/>
                <w:color w:val="auto"/>
                <w:highlight w:val="none"/>
              </w:rPr>
              <w:t>服务要求：原厂五年免费上门维保服务。</w:t>
            </w:r>
          </w:p>
        </w:tc>
        <w:tc>
          <w:tcPr>
            <w:tcW w:w="70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30台</w:t>
            </w:r>
          </w:p>
        </w:tc>
      </w:tr>
      <w:tr>
        <w:tblPrEx>
          <w:tblCellMar>
            <w:top w:w="0" w:type="dxa"/>
            <w:left w:w="0" w:type="dxa"/>
            <w:bottom w:w="0" w:type="dxa"/>
            <w:right w:w="0" w:type="dxa"/>
          </w:tblCellMar>
        </w:tblPrEx>
        <w:trPr>
          <w:trHeight w:val="360" w:hRule="atLeast"/>
        </w:trPr>
        <w:tc>
          <w:tcPr>
            <w:tcW w:w="77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1.14</w:t>
            </w:r>
          </w:p>
        </w:tc>
        <w:tc>
          <w:tcPr>
            <w:tcW w:w="234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分布式关系型数据库服务器</w:t>
            </w:r>
          </w:p>
        </w:tc>
        <w:tc>
          <w:tcPr>
            <w:tcW w:w="579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▲CPU规格: 芯片*2，支持物理机或虚拟机层面在写入内存数据时自动加密、读取内存数据时自动解密，本次授权CPU数量≥2</w:t>
            </w:r>
            <w:r>
              <w:rPr>
                <w:rFonts w:hint="eastAsia"/>
                <w:color w:val="auto"/>
                <w:highlight w:val="none"/>
              </w:rPr>
              <w:br w:type="textWrapping"/>
            </w:r>
            <w:r>
              <w:rPr>
                <w:rFonts w:hint="eastAsia"/>
                <w:color w:val="auto"/>
                <w:highlight w:val="none"/>
              </w:rPr>
              <w:t>▲CPU核数: [24]*2</w:t>
            </w:r>
            <w:r>
              <w:rPr>
                <w:rFonts w:hint="eastAsia"/>
                <w:color w:val="auto"/>
                <w:highlight w:val="none"/>
              </w:rPr>
              <w:br w:type="textWrapping"/>
            </w:r>
            <w:r>
              <w:rPr>
                <w:rFonts w:hint="eastAsia"/>
                <w:color w:val="auto"/>
                <w:highlight w:val="none"/>
              </w:rPr>
              <w:t>▲CPU主频: 2.2 GHz</w:t>
            </w:r>
            <w:r>
              <w:rPr>
                <w:rFonts w:hint="eastAsia"/>
                <w:color w:val="auto"/>
                <w:highlight w:val="none"/>
              </w:rPr>
              <w:br w:type="textWrapping"/>
            </w:r>
            <w:r>
              <w:rPr>
                <w:rFonts w:hint="eastAsia"/>
                <w:color w:val="auto"/>
                <w:highlight w:val="none"/>
              </w:rPr>
              <w:t>▲CPU架构: C86</w:t>
            </w:r>
            <w:r>
              <w:rPr>
                <w:rFonts w:hint="eastAsia"/>
                <w:color w:val="auto"/>
                <w:highlight w:val="none"/>
              </w:rPr>
              <w:br w:type="textWrapping"/>
            </w:r>
            <w:r>
              <w:rPr>
                <w:rFonts w:hint="eastAsia"/>
                <w:color w:val="auto"/>
                <w:highlight w:val="none"/>
              </w:rPr>
              <w:t>▲内存(GB): 512</w:t>
            </w:r>
            <w:r>
              <w:rPr>
                <w:rFonts w:hint="eastAsia"/>
                <w:color w:val="auto"/>
                <w:highlight w:val="none"/>
              </w:rPr>
              <w:br w:type="textWrapping"/>
            </w:r>
            <w:r>
              <w:rPr>
                <w:rFonts w:hint="eastAsia"/>
                <w:color w:val="auto"/>
                <w:highlight w:val="none"/>
              </w:rPr>
              <w:t>▲内存规格: ECC DDR4/DDR5 RDIMM 频率 ≥3200MHz</w:t>
            </w:r>
            <w:r>
              <w:rPr>
                <w:rFonts w:hint="eastAsia"/>
                <w:color w:val="auto"/>
                <w:highlight w:val="none"/>
              </w:rPr>
              <w:br w:type="textWrapping"/>
            </w:r>
            <w:r>
              <w:rPr>
                <w:rFonts w:hint="eastAsia"/>
                <w:color w:val="auto"/>
                <w:highlight w:val="none"/>
              </w:rPr>
              <w:t>▲内置硬盘: 480G[480G_sata_ssd]*1</w:t>
            </w:r>
            <w:r>
              <w:rPr>
                <w:rFonts w:hint="eastAsia"/>
                <w:color w:val="auto"/>
                <w:highlight w:val="none"/>
              </w:rPr>
              <w:br w:type="textWrapping"/>
            </w:r>
            <w:r>
              <w:rPr>
                <w:rFonts w:hint="eastAsia"/>
                <w:color w:val="auto"/>
                <w:highlight w:val="none"/>
              </w:rPr>
              <w:t>3840G[3840G_nvme_ssd]*2</w:t>
            </w:r>
            <w:r>
              <w:rPr>
                <w:rFonts w:hint="eastAsia"/>
                <w:color w:val="auto"/>
                <w:highlight w:val="none"/>
              </w:rPr>
              <w:br w:type="textWrapping"/>
            </w:r>
            <w:r>
              <w:rPr>
                <w:rFonts w:hint="eastAsia"/>
                <w:color w:val="auto"/>
                <w:highlight w:val="none"/>
              </w:rPr>
              <w:t>网卡要求: 10GE:双端口10G光口独立网卡，并满配兼容多模模块（SFP+），支持PXE，支持DPDK应用（兼容2.2版本），支持SRIOV  技术，支持特定五元组（源IP地址，源端口，目的IP地址，目的端口和传输层协议）分流到SRIOV VF；</w:t>
            </w:r>
            <w:r>
              <w:rPr>
                <w:rFonts w:hint="eastAsia"/>
                <w:color w:val="auto"/>
                <w:highlight w:val="none"/>
              </w:rPr>
              <w:br w:type="textWrapping"/>
            </w:r>
            <w:r>
              <w:rPr>
                <w:rFonts w:hint="eastAsia"/>
                <w:color w:val="auto"/>
                <w:highlight w:val="none"/>
              </w:rPr>
              <w:t>网口数量: 10GE*2</w:t>
            </w:r>
            <w:r>
              <w:rPr>
                <w:rFonts w:hint="eastAsia"/>
                <w:color w:val="auto"/>
                <w:highlight w:val="none"/>
              </w:rPr>
              <w:br w:type="textWrapping"/>
            </w:r>
            <w:r>
              <w:rPr>
                <w:rFonts w:hint="eastAsia"/>
                <w:color w:val="auto"/>
                <w:highlight w:val="none"/>
              </w:rPr>
              <w:t>双电源</w:t>
            </w:r>
          </w:p>
          <w:p>
            <w:pPr>
              <w:jc w:val="left"/>
              <w:rPr>
                <w:color w:val="auto"/>
                <w:highlight w:val="none"/>
              </w:rPr>
            </w:pPr>
            <w:r>
              <w:rPr>
                <w:rFonts w:hint="eastAsia"/>
                <w:color w:val="auto"/>
                <w:highlight w:val="none"/>
              </w:rPr>
              <w:t>管理要求：配置服务器管理软件，实现服务器全生命健康数据管理，具备故障预警与检测、统一监控告警、自定义监控规则、消息通知、升级提醒与自动升级等功能。</w:t>
            </w:r>
          </w:p>
          <w:p>
            <w:pPr>
              <w:jc w:val="left"/>
              <w:rPr>
                <w:color w:val="auto"/>
                <w:highlight w:val="none"/>
              </w:rPr>
            </w:pPr>
            <w:r>
              <w:rPr>
                <w:rFonts w:hint="eastAsia"/>
                <w:color w:val="auto"/>
                <w:highlight w:val="none"/>
              </w:rPr>
              <w:t>稳定性要求：MTBF时间≥15万小时</w:t>
            </w:r>
          </w:p>
          <w:p>
            <w:pPr>
              <w:jc w:val="left"/>
              <w:rPr>
                <w:color w:val="auto"/>
                <w:highlight w:val="none"/>
              </w:rPr>
            </w:pPr>
            <w:r>
              <w:rPr>
                <w:rFonts w:hint="eastAsia" w:ascii="宋体" w:hAnsi="宋体" w:cs="宋体"/>
                <w:bCs/>
                <w:color w:val="auto"/>
                <w:szCs w:val="21"/>
                <w:highlight w:val="none"/>
              </w:rPr>
              <w:t>▲</w:t>
            </w:r>
            <w:r>
              <w:rPr>
                <w:rFonts w:hint="eastAsia"/>
                <w:color w:val="auto"/>
                <w:highlight w:val="none"/>
              </w:rPr>
              <w:t>服务要求：原厂五年免费上门维保服务。</w:t>
            </w:r>
          </w:p>
        </w:tc>
        <w:tc>
          <w:tcPr>
            <w:tcW w:w="70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9台</w:t>
            </w:r>
          </w:p>
        </w:tc>
      </w:tr>
      <w:tr>
        <w:tblPrEx>
          <w:tblCellMar>
            <w:top w:w="0" w:type="dxa"/>
            <w:left w:w="0" w:type="dxa"/>
            <w:bottom w:w="0" w:type="dxa"/>
            <w:right w:w="0" w:type="dxa"/>
          </w:tblCellMar>
        </w:tblPrEx>
        <w:trPr>
          <w:trHeight w:val="360" w:hRule="atLeast"/>
        </w:trPr>
        <w:tc>
          <w:tcPr>
            <w:tcW w:w="77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1.15</w:t>
            </w:r>
          </w:p>
        </w:tc>
        <w:tc>
          <w:tcPr>
            <w:tcW w:w="234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块存储服务器</w:t>
            </w:r>
          </w:p>
        </w:tc>
        <w:tc>
          <w:tcPr>
            <w:tcW w:w="579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▲CPU规格: 芯片*2，支持物理机或虚拟机层面在写入内存数据时自动加密、读取内存数据时自动解密，本次授权CPU数量≥2</w:t>
            </w:r>
            <w:r>
              <w:rPr>
                <w:rFonts w:hint="eastAsia"/>
                <w:color w:val="auto"/>
                <w:highlight w:val="none"/>
              </w:rPr>
              <w:br w:type="textWrapping"/>
            </w:r>
            <w:r>
              <w:rPr>
                <w:rFonts w:hint="eastAsia"/>
                <w:color w:val="auto"/>
                <w:highlight w:val="none"/>
              </w:rPr>
              <w:t>▲CPU核数: [24]*2</w:t>
            </w:r>
            <w:r>
              <w:rPr>
                <w:rFonts w:hint="eastAsia"/>
                <w:color w:val="auto"/>
                <w:highlight w:val="none"/>
              </w:rPr>
              <w:br w:type="textWrapping"/>
            </w:r>
            <w:r>
              <w:rPr>
                <w:rFonts w:hint="eastAsia"/>
                <w:color w:val="auto"/>
                <w:highlight w:val="none"/>
              </w:rPr>
              <w:t>▲CPU主频: 2.2 GHz</w:t>
            </w:r>
            <w:r>
              <w:rPr>
                <w:rFonts w:hint="eastAsia"/>
                <w:color w:val="auto"/>
                <w:highlight w:val="none"/>
              </w:rPr>
              <w:br w:type="textWrapping"/>
            </w:r>
            <w:r>
              <w:rPr>
                <w:rFonts w:hint="eastAsia"/>
                <w:color w:val="auto"/>
                <w:highlight w:val="none"/>
              </w:rPr>
              <w:t>▲CPU架构: C86</w:t>
            </w:r>
            <w:r>
              <w:rPr>
                <w:rFonts w:hint="eastAsia"/>
                <w:color w:val="auto"/>
                <w:highlight w:val="none"/>
              </w:rPr>
              <w:br w:type="textWrapping"/>
            </w:r>
            <w:r>
              <w:rPr>
                <w:rFonts w:hint="eastAsia"/>
                <w:color w:val="auto"/>
                <w:highlight w:val="none"/>
              </w:rPr>
              <w:t>▲内存(GB): 256</w:t>
            </w:r>
            <w:r>
              <w:rPr>
                <w:rFonts w:hint="eastAsia"/>
                <w:color w:val="auto"/>
                <w:highlight w:val="none"/>
              </w:rPr>
              <w:br w:type="textWrapping"/>
            </w:r>
            <w:r>
              <w:rPr>
                <w:rFonts w:hint="eastAsia"/>
                <w:color w:val="auto"/>
                <w:highlight w:val="none"/>
              </w:rPr>
              <w:t>▲内存规格: ECC DDR4/DDR5 RDIMM 频率 ≥3200MHz</w:t>
            </w:r>
            <w:r>
              <w:rPr>
                <w:rFonts w:hint="eastAsia"/>
                <w:color w:val="auto"/>
                <w:highlight w:val="none"/>
              </w:rPr>
              <w:br w:type="textWrapping"/>
            </w:r>
            <w:r>
              <w:rPr>
                <w:rFonts w:hint="eastAsia"/>
                <w:color w:val="auto"/>
                <w:highlight w:val="none"/>
              </w:rPr>
              <w:t>▲内置硬盘: 480G[480G_sata_ssd]*2</w:t>
            </w:r>
            <w:r>
              <w:rPr>
                <w:rFonts w:hint="eastAsia"/>
                <w:color w:val="auto"/>
                <w:highlight w:val="none"/>
              </w:rPr>
              <w:br w:type="textWrapping"/>
            </w:r>
            <w:r>
              <w:rPr>
                <w:rFonts w:hint="eastAsia"/>
                <w:color w:val="auto"/>
                <w:highlight w:val="none"/>
              </w:rPr>
              <w:t>12000G[12T_sata_hdd]*12</w:t>
            </w:r>
            <w:r>
              <w:rPr>
                <w:rFonts w:hint="eastAsia"/>
                <w:color w:val="auto"/>
                <w:highlight w:val="none"/>
              </w:rPr>
              <w:br w:type="textWrapping"/>
            </w:r>
            <w:r>
              <w:rPr>
                <w:rFonts w:hint="eastAsia"/>
                <w:color w:val="auto"/>
                <w:highlight w:val="none"/>
              </w:rPr>
              <w:t>3840G[3840G_nvme_ssd]*2</w:t>
            </w:r>
            <w:r>
              <w:rPr>
                <w:rFonts w:hint="eastAsia"/>
                <w:color w:val="auto"/>
                <w:highlight w:val="none"/>
              </w:rPr>
              <w:br w:type="textWrapping"/>
            </w:r>
            <w:r>
              <w:rPr>
                <w:rFonts w:hint="eastAsia"/>
                <w:color w:val="auto"/>
                <w:highlight w:val="none"/>
              </w:rPr>
              <w:t>网卡要求: 10GE:双端口10G光口独立网卡，并满配兼容多模模块（SFP+），支持PXE，支持DPDK应用（兼容2.2版本），支持SRIOV  技术，支持特定五元组（源IP地址，源端口，目的IP地址，目的端口和传输层协议）分流到SRIOV VF；</w:t>
            </w:r>
            <w:r>
              <w:rPr>
                <w:rFonts w:hint="eastAsia"/>
                <w:color w:val="auto"/>
                <w:highlight w:val="none"/>
              </w:rPr>
              <w:br w:type="textWrapping"/>
            </w:r>
            <w:r>
              <w:rPr>
                <w:rFonts w:hint="eastAsia"/>
                <w:color w:val="auto"/>
                <w:highlight w:val="none"/>
              </w:rPr>
              <w:t>网口数量: 10GE*2</w:t>
            </w:r>
            <w:r>
              <w:rPr>
                <w:rFonts w:hint="eastAsia"/>
                <w:color w:val="auto"/>
                <w:highlight w:val="none"/>
              </w:rPr>
              <w:br w:type="textWrapping"/>
            </w:r>
            <w:r>
              <w:rPr>
                <w:rFonts w:hint="eastAsia"/>
                <w:color w:val="auto"/>
                <w:highlight w:val="none"/>
              </w:rPr>
              <w:t>双电源</w:t>
            </w:r>
          </w:p>
          <w:p>
            <w:pPr>
              <w:jc w:val="left"/>
              <w:rPr>
                <w:color w:val="auto"/>
                <w:highlight w:val="none"/>
              </w:rPr>
            </w:pPr>
            <w:r>
              <w:rPr>
                <w:rFonts w:hint="eastAsia"/>
                <w:color w:val="auto"/>
                <w:highlight w:val="none"/>
              </w:rPr>
              <w:t>管理要求：配置服务器管理软件，实现服务器全生命健康数据管理，具备故障预警与检测、统一监控告警、自定义监控规则、消息通知、升级提醒与自动升级等功能。</w:t>
            </w:r>
          </w:p>
          <w:p>
            <w:pPr>
              <w:jc w:val="left"/>
              <w:rPr>
                <w:color w:val="auto"/>
                <w:highlight w:val="none"/>
              </w:rPr>
            </w:pPr>
            <w:r>
              <w:rPr>
                <w:rFonts w:hint="eastAsia"/>
                <w:color w:val="auto"/>
                <w:highlight w:val="none"/>
              </w:rPr>
              <w:t>稳定性要求：MTBF时间≥15万小时</w:t>
            </w:r>
          </w:p>
          <w:p>
            <w:pPr>
              <w:jc w:val="left"/>
              <w:rPr>
                <w:color w:val="auto"/>
                <w:highlight w:val="none"/>
              </w:rPr>
            </w:pPr>
            <w:r>
              <w:rPr>
                <w:rFonts w:hint="eastAsia" w:ascii="宋体" w:hAnsi="宋体" w:cs="宋体"/>
                <w:bCs/>
                <w:color w:val="auto"/>
                <w:szCs w:val="21"/>
                <w:highlight w:val="none"/>
              </w:rPr>
              <w:t>▲</w:t>
            </w:r>
            <w:r>
              <w:rPr>
                <w:rFonts w:hint="eastAsia"/>
                <w:color w:val="auto"/>
                <w:highlight w:val="none"/>
              </w:rPr>
              <w:t>服务要求：原厂五年免费上门维保服务。</w:t>
            </w:r>
          </w:p>
        </w:tc>
        <w:tc>
          <w:tcPr>
            <w:tcW w:w="70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6台</w:t>
            </w:r>
          </w:p>
        </w:tc>
      </w:tr>
      <w:tr>
        <w:tblPrEx>
          <w:tblCellMar>
            <w:top w:w="0" w:type="dxa"/>
            <w:left w:w="0" w:type="dxa"/>
            <w:bottom w:w="0" w:type="dxa"/>
            <w:right w:w="0" w:type="dxa"/>
          </w:tblCellMar>
        </w:tblPrEx>
        <w:trPr>
          <w:trHeight w:val="360" w:hRule="atLeast"/>
        </w:trPr>
        <w:tc>
          <w:tcPr>
            <w:tcW w:w="77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1.16</w:t>
            </w:r>
          </w:p>
        </w:tc>
        <w:tc>
          <w:tcPr>
            <w:tcW w:w="234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对象存储服务器</w:t>
            </w:r>
          </w:p>
        </w:tc>
        <w:tc>
          <w:tcPr>
            <w:tcW w:w="579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▲CPU规格: 芯片*2，支持物理机或虚拟机层面在写入内存数据时自动加密、读取内存数据时自动解密，本次授权CPU数量≥2</w:t>
            </w:r>
            <w:r>
              <w:rPr>
                <w:rFonts w:hint="eastAsia"/>
                <w:color w:val="auto"/>
                <w:highlight w:val="none"/>
              </w:rPr>
              <w:br w:type="textWrapping"/>
            </w:r>
            <w:r>
              <w:rPr>
                <w:rFonts w:hint="eastAsia"/>
                <w:color w:val="auto"/>
                <w:highlight w:val="none"/>
              </w:rPr>
              <w:t>▲CPU核数: [24]*2</w:t>
            </w:r>
            <w:r>
              <w:rPr>
                <w:rFonts w:hint="eastAsia"/>
                <w:color w:val="auto"/>
                <w:highlight w:val="none"/>
              </w:rPr>
              <w:br w:type="textWrapping"/>
            </w:r>
            <w:r>
              <w:rPr>
                <w:rFonts w:hint="eastAsia"/>
                <w:color w:val="auto"/>
                <w:highlight w:val="none"/>
              </w:rPr>
              <w:t>▲CPU主频: 2.2 GHz</w:t>
            </w:r>
            <w:r>
              <w:rPr>
                <w:rFonts w:hint="eastAsia"/>
                <w:color w:val="auto"/>
                <w:highlight w:val="none"/>
              </w:rPr>
              <w:br w:type="textWrapping"/>
            </w:r>
            <w:r>
              <w:rPr>
                <w:rFonts w:hint="eastAsia"/>
                <w:color w:val="auto"/>
                <w:highlight w:val="none"/>
              </w:rPr>
              <w:t>▲CPU架构: C86</w:t>
            </w:r>
            <w:r>
              <w:rPr>
                <w:rFonts w:hint="eastAsia"/>
                <w:color w:val="auto"/>
                <w:highlight w:val="none"/>
              </w:rPr>
              <w:br w:type="textWrapping"/>
            </w:r>
            <w:r>
              <w:rPr>
                <w:rFonts w:hint="eastAsia"/>
                <w:color w:val="auto"/>
                <w:highlight w:val="none"/>
              </w:rPr>
              <w:t>▲内存(GB): 384</w:t>
            </w:r>
            <w:r>
              <w:rPr>
                <w:rFonts w:hint="eastAsia"/>
                <w:color w:val="auto"/>
                <w:highlight w:val="none"/>
              </w:rPr>
              <w:br w:type="textWrapping"/>
            </w:r>
            <w:r>
              <w:rPr>
                <w:rFonts w:hint="eastAsia"/>
                <w:color w:val="auto"/>
                <w:highlight w:val="none"/>
              </w:rPr>
              <w:t>▲内存规格: ECC DDR4/DDR5 RDIMM 频率 ≥3200MHz</w:t>
            </w:r>
            <w:r>
              <w:rPr>
                <w:rFonts w:hint="eastAsia"/>
                <w:color w:val="auto"/>
                <w:highlight w:val="none"/>
              </w:rPr>
              <w:br w:type="textWrapping"/>
            </w:r>
            <w:r>
              <w:rPr>
                <w:rFonts w:hint="eastAsia"/>
                <w:color w:val="auto"/>
                <w:highlight w:val="none"/>
              </w:rPr>
              <w:t>▲内置硬盘: 480G[480G_sata_ssd]*2</w:t>
            </w:r>
            <w:r>
              <w:rPr>
                <w:rFonts w:hint="eastAsia"/>
                <w:color w:val="auto"/>
                <w:highlight w:val="none"/>
              </w:rPr>
              <w:br w:type="textWrapping"/>
            </w:r>
            <w:r>
              <w:rPr>
                <w:rFonts w:hint="eastAsia"/>
                <w:color w:val="auto"/>
                <w:highlight w:val="none"/>
              </w:rPr>
              <w:t>12000G[12T_sata_hdd]*12</w:t>
            </w:r>
            <w:r>
              <w:rPr>
                <w:rFonts w:hint="eastAsia"/>
                <w:color w:val="auto"/>
                <w:highlight w:val="none"/>
              </w:rPr>
              <w:br w:type="textWrapping"/>
            </w:r>
            <w:r>
              <w:rPr>
                <w:rFonts w:hint="eastAsia"/>
                <w:color w:val="auto"/>
                <w:highlight w:val="none"/>
              </w:rPr>
              <w:t>3840G[3840G_nvme_ssd]*2</w:t>
            </w:r>
            <w:r>
              <w:rPr>
                <w:rFonts w:hint="eastAsia"/>
                <w:color w:val="auto"/>
                <w:highlight w:val="none"/>
              </w:rPr>
              <w:br w:type="textWrapping"/>
            </w:r>
            <w:r>
              <w:rPr>
                <w:rFonts w:hint="eastAsia"/>
                <w:color w:val="auto"/>
                <w:highlight w:val="none"/>
              </w:rPr>
              <w:t>网卡要求: 10GE:双端口10G光口独立网卡，并满配兼容多模模块（SFP+），支持PXE，支持DPDK应用（兼容2.2版本），支持SRIOV  技术，支持特定五元组（源IP地址，源端口，目的IP地址，目的端口和传输层协议）分流到SRIOV VF；</w:t>
            </w:r>
            <w:r>
              <w:rPr>
                <w:rFonts w:hint="eastAsia"/>
                <w:color w:val="auto"/>
                <w:highlight w:val="none"/>
              </w:rPr>
              <w:br w:type="textWrapping"/>
            </w:r>
            <w:r>
              <w:rPr>
                <w:rFonts w:hint="eastAsia"/>
                <w:color w:val="auto"/>
                <w:highlight w:val="none"/>
              </w:rPr>
              <w:t>网口数量: 10GE*2</w:t>
            </w:r>
            <w:r>
              <w:rPr>
                <w:rFonts w:hint="eastAsia"/>
                <w:color w:val="auto"/>
                <w:highlight w:val="none"/>
              </w:rPr>
              <w:br w:type="textWrapping"/>
            </w:r>
            <w:r>
              <w:rPr>
                <w:rFonts w:hint="eastAsia"/>
                <w:color w:val="auto"/>
                <w:highlight w:val="none"/>
              </w:rPr>
              <w:t>双电源</w:t>
            </w:r>
          </w:p>
          <w:p>
            <w:pPr>
              <w:jc w:val="left"/>
              <w:rPr>
                <w:color w:val="auto"/>
                <w:highlight w:val="none"/>
              </w:rPr>
            </w:pPr>
            <w:r>
              <w:rPr>
                <w:rFonts w:hint="eastAsia"/>
                <w:color w:val="auto"/>
                <w:highlight w:val="none"/>
              </w:rPr>
              <w:t>管理要求：配置服务器管理软件，实现服务器全生命健康数据管理，具备故障预警与检测、统一监控告警、自定义监控规则、消息通知、升级提醒与自动升级等功能。</w:t>
            </w:r>
          </w:p>
          <w:p>
            <w:pPr>
              <w:jc w:val="left"/>
              <w:rPr>
                <w:color w:val="auto"/>
                <w:highlight w:val="none"/>
              </w:rPr>
            </w:pPr>
            <w:r>
              <w:rPr>
                <w:rFonts w:hint="eastAsia"/>
                <w:color w:val="auto"/>
                <w:highlight w:val="none"/>
              </w:rPr>
              <w:t>稳定性要求：MTBF时间≥15万小时</w:t>
            </w:r>
          </w:p>
          <w:p>
            <w:pPr>
              <w:jc w:val="left"/>
              <w:rPr>
                <w:color w:val="auto"/>
                <w:highlight w:val="none"/>
              </w:rPr>
            </w:pPr>
            <w:r>
              <w:rPr>
                <w:rFonts w:hint="eastAsia" w:ascii="宋体" w:hAnsi="宋体" w:cs="宋体"/>
                <w:bCs/>
                <w:color w:val="auto"/>
                <w:szCs w:val="21"/>
                <w:highlight w:val="none"/>
              </w:rPr>
              <w:t>▲</w:t>
            </w:r>
            <w:r>
              <w:rPr>
                <w:rFonts w:hint="eastAsia"/>
                <w:color w:val="auto"/>
                <w:highlight w:val="none"/>
              </w:rPr>
              <w:t>服务要求：原厂五年免费上门维保服务。</w:t>
            </w:r>
          </w:p>
        </w:tc>
        <w:tc>
          <w:tcPr>
            <w:tcW w:w="70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rPr>
                <w:color w:val="auto"/>
                <w:highlight w:val="none"/>
              </w:rPr>
            </w:pPr>
            <w:r>
              <w:rPr>
                <w:rFonts w:hint="eastAsia"/>
                <w:color w:val="auto"/>
                <w:highlight w:val="none"/>
              </w:rPr>
              <w:t>4</w:t>
            </w:r>
          </w:p>
        </w:tc>
      </w:tr>
      <w:tr>
        <w:tblPrEx>
          <w:tblCellMar>
            <w:top w:w="0" w:type="dxa"/>
            <w:left w:w="0" w:type="dxa"/>
            <w:bottom w:w="0" w:type="dxa"/>
            <w:right w:w="0" w:type="dxa"/>
          </w:tblCellMar>
        </w:tblPrEx>
        <w:trPr>
          <w:trHeight w:val="360" w:hRule="atLeast"/>
        </w:trPr>
        <w:tc>
          <w:tcPr>
            <w:tcW w:w="77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1.17</w:t>
            </w:r>
          </w:p>
        </w:tc>
        <w:tc>
          <w:tcPr>
            <w:tcW w:w="234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ECS弹性计算服务器</w:t>
            </w:r>
          </w:p>
        </w:tc>
        <w:tc>
          <w:tcPr>
            <w:tcW w:w="579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▲CPU规格: 芯片*2，支持物理机或虚拟机层面在写入内存数据时自动加密、读取内存数据时自动解密，本次授权CPU数量≥2</w:t>
            </w:r>
            <w:r>
              <w:rPr>
                <w:rFonts w:hint="eastAsia"/>
                <w:color w:val="auto"/>
                <w:highlight w:val="none"/>
              </w:rPr>
              <w:br w:type="textWrapping"/>
            </w:r>
            <w:r>
              <w:rPr>
                <w:rFonts w:hint="eastAsia"/>
                <w:color w:val="auto"/>
                <w:highlight w:val="none"/>
              </w:rPr>
              <w:t>▲CPU核数: [32]*2</w:t>
            </w:r>
            <w:r>
              <w:rPr>
                <w:rFonts w:hint="eastAsia"/>
                <w:color w:val="auto"/>
                <w:highlight w:val="none"/>
              </w:rPr>
              <w:br w:type="textWrapping"/>
            </w:r>
            <w:r>
              <w:rPr>
                <w:rFonts w:hint="eastAsia"/>
                <w:color w:val="auto"/>
                <w:highlight w:val="none"/>
              </w:rPr>
              <w:t>▲CPU主频: 2.2 GHz</w:t>
            </w:r>
            <w:r>
              <w:rPr>
                <w:rFonts w:hint="eastAsia"/>
                <w:color w:val="auto"/>
                <w:highlight w:val="none"/>
              </w:rPr>
              <w:br w:type="textWrapping"/>
            </w:r>
            <w:r>
              <w:rPr>
                <w:rFonts w:hint="eastAsia"/>
                <w:color w:val="auto"/>
                <w:highlight w:val="none"/>
              </w:rPr>
              <w:t>▲CPU架构: C86</w:t>
            </w:r>
            <w:r>
              <w:rPr>
                <w:rFonts w:hint="eastAsia"/>
                <w:color w:val="auto"/>
                <w:highlight w:val="none"/>
              </w:rPr>
              <w:br w:type="textWrapping"/>
            </w:r>
            <w:r>
              <w:rPr>
                <w:rFonts w:hint="eastAsia"/>
                <w:color w:val="auto"/>
                <w:highlight w:val="none"/>
              </w:rPr>
              <w:t>▲内存(GB): 1024</w:t>
            </w:r>
            <w:r>
              <w:rPr>
                <w:rFonts w:hint="eastAsia"/>
                <w:color w:val="auto"/>
                <w:highlight w:val="none"/>
              </w:rPr>
              <w:br w:type="textWrapping"/>
            </w:r>
            <w:r>
              <w:rPr>
                <w:rFonts w:hint="eastAsia"/>
                <w:color w:val="auto"/>
                <w:highlight w:val="none"/>
              </w:rPr>
              <w:t>▲内存规格: ECC DDR4/DDR5 RDIMM 频率 ≥3200MHz</w:t>
            </w:r>
            <w:r>
              <w:rPr>
                <w:rFonts w:hint="eastAsia"/>
                <w:color w:val="auto"/>
                <w:highlight w:val="none"/>
              </w:rPr>
              <w:br w:type="textWrapping"/>
            </w:r>
            <w:r>
              <w:rPr>
                <w:rFonts w:hint="eastAsia"/>
                <w:color w:val="auto"/>
                <w:highlight w:val="none"/>
              </w:rPr>
              <w:t>▲内置硬盘: 480G[480G_sata_ssd]*1</w:t>
            </w:r>
            <w:r>
              <w:rPr>
                <w:rFonts w:hint="eastAsia"/>
                <w:color w:val="auto"/>
                <w:highlight w:val="none"/>
              </w:rPr>
              <w:br w:type="textWrapping"/>
            </w:r>
            <w:r>
              <w:rPr>
                <w:rFonts w:hint="eastAsia"/>
                <w:color w:val="auto"/>
                <w:highlight w:val="none"/>
              </w:rPr>
              <w:t>1920G[1920G_nvme_ssd]*1</w:t>
            </w:r>
            <w:r>
              <w:rPr>
                <w:rFonts w:hint="eastAsia"/>
                <w:color w:val="auto"/>
                <w:highlight w:val="none"/>
              </w:rPr>
              <w:br w:type="textWrapping"/>
            </w:r>
            <w:r>
              <w:rPr>
                <w:rFonts w:hint="eastAsia"/>
                <w:color w:val="auto"/>
                <w:highlight w:val="none"/>
              </w:rPr>
              <w:t>网卡要求: 10GE:双端口10G光口独立网卡，并满配兼容多模模块（SFP+），支持PXE，支持DPDK应用（兼容2.2版本），支持SRIOV  技术，支持特定五元组（源IP地址，源端口，目的IP地址，目的端口和传输层协议）分流到SRIOV VF；</w:t>
            </w:r>
            <w:r>
              <w:rPr>
                <w:rFonts w:hint="eastAsia"/>
                <w:color w:val="auto"/>
                <w:highlight w:val="none"/>
              </w:rPr>
              <w:br w:type="textWrapping"/>
            </w:r>
            <w:r>
              <w:rPr>
                <w:rFonts w:hint="eastAsia"/>
                <w:color w:val="auto"/>
                <w:highlight w:val="none"/>
              </w:rPr>
              <w:t>网口数量: 10GE*2</w:t>
            </w:r>
            <w:r>
              <w:rPr>
                <w:rFonts w:hint="eastAsia"/>
                <w:color w:val="auto"/>
                <w:highlight w:val="none"/>
              </w:rPr>
              <w:br w:type="textWrapping"/>
            </w:r>
            <w:r>
              <w:rPr>
                <w:rFonts w:hint="eastAsia"/>
                <w:color w:val="auto"/>
                <w:highlight w:val="none"/>
              </w:rPr>
              <w:t>双电源</w:t>
            </w:r>
          </w:p>
          <w:p>
            <w:pPr>
              <w:jc w:val="left"/>
              <w:rPr>
                <w:color w:val="auto"/>
                <w:highlight w:val="none"/>
              </w:rPr>
            </w:pPr>
            <w:r>
              <w:rPr>
                <w:rFonts w:hint="eastAsia"/>
                <w:color w:val="auto"/>
                <w:highlight w:val="none"/>
              </w:rPr>
              <w:t>管理要求：配置服务器管理软件，实现服务器全生命健康数据管理，具备故障预警与检测、统一监控告警、自定义监控规则、消息通知、升级提醒与自动升级等功能。</w:t>
            </w:r>
          </w:p>
          <w:p>
            <w:pPr>
              <w:jc w:val="left"/>
              <w:rPr>
                <w:color w:val="auto"/>
                <w:highlight w:val="none"/>
              </w:rPr>
            </w:pPr>
            <w:r>
              <w:rPr>
                <w:rFonts w:hint="eastAsia"/>
                <w:color w:val="auto"/>
                <w:highlight w:val="none"/>
              </w:rPr>
              <w:t>稳定性要求：MTBF时间≥15万小时</w:t>
            </w:r>
          </w:p>
          <w:p>
            <w:pPr>
              <w:jc w:val="left"/>
              <w:rPr>
                <w:color w:val="auto"/>
                <w:highlight w:val="none"/>
              </w:rPr>
            </w:pPr>
            <w:r>
              <w:rPr>
                <w:rFonts w:hint="eastAsia" w:ascii="宋体" w:hAnsi="宋体" w:cs="宋体"/>
                <w:bCs/>
                <w:color w:val="auto"/>
                <w:szCs w:val="21"/>
                <w:highlight w:val="none"/>
              </w:rPr>
              <w:t>▲</w:t>
            </w:r>
            <w:r>
              <w:rPr>
                <w:rFonts w:hint="eastAsia"/>
                <w:color w:val="auto"/>
                <w:highlight w:val="none"/>
              </w:rPr>
              <w:t>服务要求：原厂五年免费上门维保服务。</w:t>
            </w:r>
          </w:p>
        </w:tc>
        <w:tc>
          <w:tcPr>
            <w:tcW w:w="70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10台</w:t>
            </w:r>
          </w:p>
        </w:tc>
      </w:tr>
      <w:tr>
        <w:tblPrEx>
          <w:tblCellMar>
            <w:top w:w="0" w:type="dxa"/>
            <w:left w:w="0" w:type="dxa"/>
            <w:bottom w:w="0" w:type="dxa"/>
            <w:right w:w="0" w:type="dxa"/>
          </w:tblCellMar>
        </w:tblPrEx>
        <w:trPr>
          <w:trHeight w:val="360" w:hRule="atLeast"/>
        </w:trPr>
        <w:tc>
          <w:tcPr>
            <w:tcW w:w="77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1.18</w:t>
            </w:r>
          </w:p>
        </w:tc>
        <w:tc>
          <w:tcPr>
            <w:tcW w:w="234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应用实时监控服务中间件服务器</w:t>
            </w:r>
          </w:p>
        </w:tc>
        <w:tc>
          <w:tcPr>
            <w:tcW w:w="579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▲CPU规格: 芯片*2，支持物理机或虚拟机层面在写入内存数据时自动加密、读取内存数据时自动解密，本次授权CPU数量≥2</w:t>
            </w:r>
            <w:r>
              <w:rPr>
                <w:rFonts w:hint="eastAsia"/>
                <w:color w:val="auto"/>
                <w:highlight w:val="none"/>
              </w:rPr>
              <w:br w:type="textWrapping"/>
            </w:r>
            <w:r>
              <w:rPr>
                <w:rFonts w:hint="eastAsia"/>
                <w:color w:val="auto"/>
                <w:highlight w:val="none"/>
              </w:rPr>
              <w:t>▲CPU核数: [24]*2</w:t>
            </w:r>
            <w:r>
              <w:rPr>
                <w:rFonts w:hint="eastAsia"/>
                <w:color w:val="auto"/>
                <w:highlight w:val="none"/>
              </w:rPr>
              <w:br w:type="textWrapping"/>
            </w:r>
            <w:r>
              <w:rPr>
                <w:rFonts w:hint="eastAsia"/>
                <w:color w:val="auto"/>
                <w:highlight w:val="none"/>
              </w:rPr>
              <w:t>▲CPU主频: 2.2 GHz</w:t>
            </w:r>
            <w:r>
              <w:rPr>
                <w:rFonts w:hint="eastAsia"/>
                <w:color w:val="auto"/>
                <w:highlight w:val="none"/>
              </w:rPr>
              <w:br w:type="textWrapping"/>
            </w:r>
            <w:r>
              <w:rPr>
                <w:rFonts w:hint="eastAsia"/>
                <w:color w:val="auto"/>
                <w:highlight w:val="none"/>
              </w:rPr>
              <w:t>▲CPU架构: C86</w:t>
            </w:r>
            <w:r>
              <w:rPr>
                <w:rFonts w:hint="eastAsia"/>
                <w:color w:val="auto"/>
                <w:highlight w:val="none"/>
              </w:rPr>
              <w:br w:type="textWrapping"/>
            </w:r>
            <w:r>
              <w:rPr>
                <w:rFonts w:hint="eastAsia"/>
                <w:color w:val="auto"/>
                <w:highlight w:val="none"/>
              </w:rPr>
              <w:t>▲内存(GB): 512</w:t>
            </w:r>
            <w:r>
              <w:rPr>
                <w:rFonts w:hint="eastAsia"/>
                <w:color w:val="auto"/>
                <w:highlight w:val="none"/>
              </w:rPr>
              <w:br w:type="textWrapping"/>
            </w:r>
            <w:r>
              <w:rPr>
                <w:rFonts w:hint="eastAsia"/>
                <w:color w:val="auto"/>
                <w:highlight w:val="none"/>
              </w:rPr>
              <w:t>▲内存规格: ECC DDR4/DDR5 RDIMM 频率 ≥3200MHz</w:t>
            </w:r>
            <w:r>
              <w:rPr>
                <w:rFonts w:hint="eastAsia"/>
                <w:color w:val="auto"/>
                <w:highlight w:val="none"/>
              </w:rPr>
              <w:br w:type="textWrapping"/>
            </w:r>
            <w:r>
              <w:rPr>
                <w:rFonts w:hint="eastAsia"/>
                <w:color w:val="auto"/>
                <w:highlight w:val="none"/>
              </w:rPr>
              <w:t>▲内置硬盘: 480G[480G_sata_ssd]*2</w:t>
            </w:r>
            <w:r>
              <w:rPr>
                <w:rFonts w:hint="eastAsia"/>
                <w:color w:val="auto"/>
                <w:highlight w:val="none"/>
              </w:rPr>
              <w:br w:type="textWrapping"/>
            </w:r>
            <w:r>
              <w:rPr>
                <w:rFonts w:hint="eastAsia"/>
                <w:color w:val="auto"/>
                <w:highlight w:val="none"/>
              </w:rPr>
              <w:t>12000G[12T_sata_hdd]*12</w:t>
            </w:r>
            <w:r>
              <w:rPr>
                <w:rFonts w:hint="eastAsia"/>
                <w:color w:val="auto"/>
                <w:highlight w:val="none"/>
              </w:rPr>
              <w:br w:type="textWrapping"/>
            </w:r>
            <w:r>
              <w:rPr>
                <w:rFonts w:hint="eastAsia"/>
                <w:color w:val="auto"/>
                <w:highlight w:val="none"/>
              </w:rPr>
              <w:t>3840G[3840G_nvme_ssd]*2</w:t>
            </w:r>
            <w:r>
              <w:rPr>
                <w:rFonts w:hint="eastAsia"/>
                <w:color w:val="auto"/>
                <w:highlight w:val="none"/>
              </w:rPr>
              <w:br w:type="textWrapping"/>
            </w:r>
            <w:r>
              <w:rPr>
                <w:rFonts w:hint="eastAsia"/>
                <w:color w:val="auto"/>
                <w:highlight w:val="none"/>
              </w:rPr>
              <w:t>网卡要求: 10GE:双端口10G光口独立网卡，并满配兼容多模模块（SFP+），支持PXE，支持DPDK应用（兼容2.2版本），支持SRIOV  技术，支持特定五元组（源IP地址，源端口，目的IP地址，目的端口和传输层协议）分流到SRIOV VF；</w:t>
            </w:r>
            <w:r>
              <w:rPr>
                <w:rFonts w:hint="eastAsia"/>
                <w:color w:val="auto"/>
                <w:highlight w:val="none"/>
              </w:rPr>
              <w:br w:type="textWrapping"/>
            </w:r>
            <w:r>
              <w:rPr>
                <w:rFonts w:hint="eastAsia"/>
                <w:color w:val="auto"/>
                <w:highlight w:val="none"/>
              </w:rPr>
              <w:t>网口数量: 10GE*2</w:t>
            </w:r>
            <w:r>
              <w:rPr>
                <w:rFonts w:hint="eastAsia"/>
                <w:color w:val="auto"/>
                <w:highlight w:val="none"/>
              </w:rPr>
              <w:br w:type="textWrapping"/>
            </w:r>
            <w:r>
              <w:rPr>
                <w:rFonts w:hint="eastAsia"/>
                <w:color w:val="auto"/>
                <w:highlight w:val="none"/>
              </w:rPr>
              <w:t>双电源</w:t>
            </w:r>
          </w:p>
          <w:p>
            <w:pPr>
              <w:jc w:val="left"/>
              <w:rPr>
                <w:color w:val="auto"/>
                <w:highlight w:val="none"/>
              </w:rPr>
            </w:pPr>
            <w:r>
              <w:rPr>
                <w:rFonts w:hint="eastAsia"/>
                <w:color w:val="auto"/>
                <w:highlight w:val="none"/>
              </w:rPr>
              <w:t>管理要求：配置服务器管理软件，实现服务器全生命健康数据管理，具备故障预警与检测、统一监控告警、自定义监控规则、消息通知、升级提醒与自动升级等功能。</w:t>
            </w:r>
          </w:p>
          <w:p>
            <w:pPr>
              <w:jc w:val="left"/>
              <w:rPr>
                <w:color w:val="auto"/>
                <w:highlight w:val="none"/>
              </w:rPr>
            </w:pPr>
            <w:r>
              <w:rPr>
                <w:rFonts w:hint="eastAsia"/>
                <w:color w:val="auto"/>
                <w:highlight w:val="none"/>
              </w:rPr>
              <w:t>稳定性要求：MTBF时间≥15万小时</w:t>
            </w:r>
          </w:p>
          <w:p>
            <w:pPr>
              <w:jc w:val="left"/>
              <w:rPr>
                <w:color w:val="auto"/>
                <w:highlight w:val="none"/>
              </w:rPr>
            </w:pPr>
            <w:r>
              <w:rPr>
                <w:rFonts w:hint="eastAsia" w:ascii="宋体" w:hAnsi="宋体" w:cs="宋体"/>
                <w:bCs/>
                <w:color w:val="auto"/>
                <w:szCs w:val="21"/>
                <w:highlight w:val="none"/>
              </w:rPr>
              <w:t>▲</w:t>
            </w:r>
            <w:r>
              <w:rPr>
                <w:rFonts w:hint="eastAsia"/>
                <w:color w:val="auto"/>
                <w:highlight w:val="none"/>
              </w:rPr>
              <w:t>服务要求：原厂五年免费上门维保服务。</w:t>
            </w:r>
          </w:p>
        </w:tc>
        <w:tc>
          <w:tcPr>
            <w:tcW w:w="70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2台</w:t>
            </w:r>
          </w:p>
        </w:tc>
      </w:tr>
      <w:tr>
        <w:tblPrEx>
          <w:tblCellMar>
            <w:top w:w="0" w:type="dxa"/>
            <w:left w:w="0" w:type="dxa"/>
            <w:bottom w:w="0" w:type="dxa"/>
            <w:right w:w="0" w:type="dxa"/>
          </w:tblCellMar>
        </w:tblPrEx>
        <w:trPr>
          <w:trHeight w:val="520" w:hRule="atLeast"/>
        </w:trPr>
        <w:tc>
          <w:tcPr>
            <w:tcW w:w="77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1.19</w:t>
            </w:r>
          </w:p>
        </w:tc>
        <w:tc>
          <w:tcPr>
            <w:tcW w:w="234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云平台管控节点服务器1</w:t>
            </w:r>
          </w:p>
        </w:tc>
        <w:tc>
          <w:tcPr>
            <w:tcW w:w="579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▲CPU规格: 芯片*2，支持物理机或虚拟机层面在写入内存数据时自动加密、读取内存数据时自动解密，本次授权CPU数量≥2</w:t>
            </w:r>
            <w:r>
              <w:rPr>
                <w:rFonts w:hint="eastAsia"/>
                <w:color w:val="auto"/>
                <w:highlight w:val="none"/>
              </w:rPr>
              <w:br w:type="textWrapping"/>
            </w:r>
            <w:r>
              <w:rPr>
                <w:rFonts w:hint="eastAsia"/>
                <w:color w:val="auto"/>
                <w:highlight w:val="none"/>
              </w:rPr>
              <w:t>▲CPU核数: [24]*2</w:t>
            </w:r>
            <w:r>
              <w:rPr>
                <w:rFonts w:hint="eastAsia"/>
                <w:color w:val="auto"/>
                <w:highlight w:val="none"/>
              </w:rPr>
              <w:br w:type="textWrapping"/>
            </w:r>
            <w:r>
              <w:rPr>
                <w:rFonts w:hint="eastAsia"/>
                <w:color w:val="auto"/>
                <w:highlight w:val="none"/>
              </w:rPr>
              <w:t>▲CPU主频: 2.2 GHz</w:t>
            </w:r>
            <w:r>
              <w:rPr>
                <w:rFonts w:hint="eastAsia"/>
                <w:color w:val="auto"/>
                <w:highlight w:val="none"/>
              </w:rPr>
              <w:br w:type="textWrapping"/>
            </w:r>
            <w:r>
              <w:rPr>
                <w:rFonts w:hint="eastAsia"/>
                <w:color w:val="auto"/>
                <w:highlight w:val="none"/>
              </w:rPr>
              <w:t>▲CPU架构: C86</w:t>
            </w:r>
            <w:r>
              <w:rPr>
                <w:rFonts w:hint="eastAsia"/>
                <w:color w:val="auto"/>
                <w:highlight w:val="none"/>
              </w:rPr>
              <w:br w:type="textWrapping"/>
            </w:r>
            <w:r>
              <w:rPr>
                <w:rFonts w:hint="eastAsia"/>
                <w:color w:val="auto"/>
                <w:highlight w:val="none"/>
              </w:rPr>
              <w:t>▲内存(GB): 512</w:t>
            </w:r>
            <w:r>
              <w:rPr>
                <w:rFonts w:hint="eastAsia"/>
                <w:color w:val="auto"/>
                <w:highlight w:val="none"/>
              </w:rPr>
              <w:br w:type="textWrapping"/>
            </w:r>
            <w:r>
              <w:rPr>
                <w:rFonts w:hint="eastAsia"/>
                <w:color w:val="auto"/>
                <w:highlight w:val="none"/>
              </w:rPr>
              <w:t>▲内存规格: ECC DDR4/DDR5 RDIMM 频率 ≥3200MHz</w:t>
            </w:r>
            <w:r>
              <w:rPr>
                <w:rFonts w:hint="eastAsia"/>
                <w:color w:val="auto"/>
                <w:highlight w:val="none"/>
              </w:rPr>
              <w:br w:type="textWrapping"/>
            </w:r>
            <w:r>
              <w:rPr>
                <w:rFonts w:hint="eastAsia"/>
                <w:color w:val="auto"/>
                <w:highlight w:val="none"/>
              </w:rPr>
              <w:t>▲内置硬盘: 480G[480G_sata_ssd]*1</w:t>
            </w:r>
            <w:r>
              <w:rPr>
                <w:rFonts w:hint="eastAsia"/>
                <w:color w:val="auto"/>
                <w:highlight w:val="none"/>
              </w:rPr>
              <w:br w:type="textWrapping"/>
            </w:r>
            <w:r>
              <w:rPr>
                <w:rFonts w:hint="eastAsia"/>
                <w:color w:val="auto"/>
                <w:highlight w:val="none"/>
              </w:rPr>
              <w:t>8000G[8T_sata_hdd]*12</w:t>
            </w:r>
            <w:r>
              <w:rPr>
                <w:rFonts w:hint="eastAsia"/>
                <w:color w:val="auto"/>
                <w:highlight w:val="none"/>
              </w:rPr>
              <w:br w:type="textWrapping"/>
            </w:r>
            <w:r>
              <w:rPr>
                <w:rFonts w:hint="eastAsia"/>
                <w:color w:val="auto"/>
                <w:highlight w:val="none"/>
              </w:rPr>
              <w:t>1920G[1920G_nvme_ssd]*2</w:t>
            </w:r>
            <w:r>
              <w:rPr>
                <w:rFonts w:hint="eastAsia"/>
                <w:color w:val="auto"/>
                <w:highlight w:val="none"/>
              </w:rPr>
              <w:br w:type="textWrapping"/>
            </w:r>
            <w:r>
              <w:rPr>
                <w:rFonts w:hint="eastAsia"/>
                <w:color w:val="auto"/>
                <w:highlight w:val="none"/>
              </w:rPr>
              <w:t>3840G[3840G_nvme_ssd]*2</w:t>
            </w:r>
            <w:r>
              <w:rPr>
                <w:rFonts w:hint="eastAsia"/>
                <w:color w:val="auto"/>
                <w:highlight w:val="none"/>
              </w:rPr>
              <w:br w:type="textWrapping"/>
            </w:r>
            <w:r>
              <w:rPr>
                <w:rFonts w:hint="eastAsia"/>
                <w:color w:val="auto"/>
                <w:highlight w:val="none"/>
              </w:rPr>
              <w:t>网卡要求: 1GE：物理网口10/100/1000Mbps，支持PXE，支持虚拟化应用；</w:t>
            </w:r>
            <w:r>
              <w:rPr>
                <w:rFonts w:hint="eastAsia"/>
                <w:color w:val="auto"/>
                <w:highlight w:val="none"/>
              </w:rPr>
              <w:br w:type="textWrapping"/>
            </w:r>
            <w:r>
              <w:rPr>
                <w:rFonts w:hint="eastAsia"/>
                <w:color w:val="auto"/>
                <w:highlight w:val="none"/>
              </w:rPr>
              <w:t>10GE:双端口10G光口独立网卡，并满配兼容多模模块（SFP+），支持PXE，支持DPDK应用（兼容2.2版本），支持SRIOV  技术，支持特定五元组（源IP地址，源端口，目的IP地址，目的端口和传输层协议）分流到SRIOV VF。</w:t>
            </w:r>
            <w:r>
              <w:rPr>
                <w:rFonts w:hint="eastAsia"/>
                <w:color w:val="auto"/>
                <w:highlight w:val="none"/>
              </w:rPr>
              <w:br w:type="textWrapping"/>
            </w:r>
            <w:r>
              <w:rPr>
                <w:rFonts w:hint="eastAsia"/>
                <w:color w:val="auto"/>
                <w:highlight w:val="none"/>
              </w:rPr>
              <w:t>网口数量: 1GE*2|10GE*2</w:t>
            </w:r>
            <w:r>
              <w:rPr>
                <w:rFonts w:hint="eastAsia"/>
                <w:color w:val="auto"/>
                <w:highlight w:val="none"/>
              </w:rPr>
              <w:br w:type="textWrapping"/>
            </w:r>
            <w:r>
              <w:rPr>
                <w:rFonts w:hint="eastAsia"/>
                <w:color w:val="auto"/>
                <w:highlight w:val="none"/>
              </w:rPr>
              <w:t>双电源</w:t>
            </w:r>
          </w:p>
          <w:p>
            <w:pPr>
              <w:jc w:val="left"/>
              <w:rPr>
                <w:color w:val="auto"/>
                <w:highlight w:val="none"/>
              </w:rPr>
            </w:pPr>
            <w:r>
              <w:rPr>
                <w:rFonts w:hint="eastAsia"/>
                <w:color w:val="auto"/>
                <w:highlight w:val="none"/>
              </w:rPr>
              <w:t>管理要求：配置服务器管理软件，实现服务器全生命健康数据管理，具备故障预警与检测、统一监控告警、自定义监控规则、消息通知、升级提醒与自动升级等功能。</w:t>
            </w:r>
          </w:p>
          <w:p>
            <w:pPr>
              <w:jc w:val="left"/>
              <w:rPr>
                <w:color w:val="auto"/>
                <w:highlight w:val="none"/>
              </w:rPr>
            </w:pPr>
            <w:r>
              <w:rPr>
                <w:rFonts w:hint="eastAsia"/>
                <w:color w:val="auto"/>
                <w:highlight w:val="none"/>
              </w:rPr>
              <w:t>稳定性要求：MTBF时间≥15万小时</w:t>
            </w:r>
          </w:p>
          <w:p>
            <w:pPr>
              <w:jc w:val="left"/>
              <w:rPr>
                <w:color w:val="auto"/>
                <w:highlight w:val="none"/>
              </w:rPr>
            </w:pPr>
            <w:r>
              <w:rPr>
                <w:rFonts w:hint="eastAsia" w:ascii="宋体" w:hAnsi="宋体" w:cs="宋体"/>
                <w:bCs/>
                <w:color w:val="auto"/>
                <w:szCs w:val="21"/>
                <w:highlight w:val="none"/>
              </w:rPr>
              <w:t>▲</w:t>
            </w:r>
            <w:r>
              <w:rPr>
                <w:rFonts w:hint="eastAsia"/>
                <w:color w:val="auto"/>
                <w:highlight w:val="none"/>
              </w:rPr>
              <w:t>服务要求：原厂五年免费上门维保服务。</w:t>
            </w:r>
          </w:p>
        </w:tc>
        <w:tc>
          <w:tcPr>
            <w:tcW w:w="70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4台</w:t>
            </w:r>
          </w:p>
        </w:tc>
      </w:tr>
      <w:tr>
        <w:tblPrEx>
          <w:tblCellMar>
            <w:top w:w="0" w:type="dxa"/>
            <w:left w:w="0" w:type="dxa"/>
            <w:bottom w:w="0" w:type="dxa"/>
            <w:right w:w="0" w:type="dxa"/>
          </w:tblCellMar>
        </w:tblPrEx>
        <w:trPr>
          <w:trHeight w:val="360" w:hRule="atLeast"/>
        </w:trPr>
        <w:tc>
          <w:tcPr>
            <w:tcW w:w="77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b/>
                <w:color w:val="auto"/>
                <w:highlight w:val="none"/>
              </w:rPr>
            </w:pPr>
            <w:r>
              <w:rPr>
                <w:rFonts w:hint="eastAsia"/>
                <w:b/>
                <w:color w:val="auto"/>
                <w:highlight w:val="none"/>
              </w:rPr>
              <w:t>2</w:t>
            </w:r>
          </w:p>
        </w:tc>
        <w:tc>
          <w:tcPr>
            <w:tcW w:w="234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b/>
                <w:color w:val="auto"/>
                <w:highlight w:val="none"/>
              </w:rPr>
            </w:pPr>
            <w:r>
              <w:rPr>
                <w:rFonts w:hint="eastAsia"/>
                <w:b/>
                <w:color w:val="auto"/>
                <w:highlight w:val="none"/>
              </w:rPr>
              <w:t>数据专区建设</w:t>
            </w:r>
          </w:p>
        </w:tc>
        <w:tc>
          <w:tcPr>
            <w:tcW w:w="579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b/>
                <w:color w:val="auto"/>
                <w:highlight w:val="none"/>
              </w:rPr>
            </w:pPr>
          </w:p>
        </w:tc>
        <w:tc>
          <w:tcPr>
            <w:tcW w:w="70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rPr>
                <w:b/>
                <w:color w:val="auto"/>
                <w:highlight w:val="none"/>
              </w:rPr>
            </w:pPr>
          </w:p>
        </w:tc>
      </w:tr>
      <w:tr>
        <w:tblPrEx>
          <w:tblCellMar>
            <w:top w:w="0" w:type="dxa"/>
            <w:left w:w="0" w:type="dxa"/>
            <w:bottom w:w="0" w:type="dxa"/>
            <w:right w:w="0" w:type="dxa"/>
          </w:tblCellMar>
        </w:tblPrEx>
        <w:trPr>
          <w:trHeight w:val="400" w:hRule="atLeast"/>
        </w:trPr>
        <w:tc>
          <w:tcPr>
            <w:tcW w:w="77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2.1</w:t>
            </w:r>
          </w:p>
        </w:tc>
        <w:tc>
          <w:tcPr>
            <w:tcW w:w="234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离线大数据计算引擎服务器</w:t>
            </w:r>
          </w:p>
        </w:tc>
        <w:tc>
          <w:tcPr>
            <w:tcW w:w="579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▲CPU规格: 芯片*2，支持物理机或虚拟机层面在写入内存数据时自动加密、读取内存数据时自动解密，本次授权CPU数量≥2</w:t>
            </w:r>
            <w:r>
              <w:rPr>
                <w:rFonts w:hint="eastAsia"/>
                <w:color w:val="auto"/>
                <w:highlight w:val="none"/>
              </w:rPr>
              <w:br w:type="textWrapping"/>
            </w:r>
            <w:r>
              <w:rPr>
                <w:rFonts w:hint="eastAsia"/>
                <w:color w:val="auto"/>
                <w:highlight w:val="none"/>
              </w:rPr>
              <w:t>▲CPU核数: [24]*2</w:t>
            </w:r>
            <w:r>
              <w:rPr>
                <w:rFonts w:hint="eastAsia"/>
                <w:color w:val="auto"/>
                <w:highlight w:val="none"/>
              </w:rPr>
              <w:br w:type="textWrapping"/>
            </w:r>
            <w:r>
              <w:rPr>
                <w:rFonts w:hint="eastAsia"/>
                <w:color w:val="auto"/>
                <w:highlight w:val="none"/>
              </w:rPr>
              <w:t>▲CPU主频: 2.2 GHz</w:t>
            </w:r>
            <w:r>
              <w:rPr>
                <w:rFonts w:hint="eastAsia"/>
                <w:color w:val="auto"/>
                <w:highlight w:val="none"/>
              </w:rPr>
              <w:br w:type="textWrapping"/>
            </w:r>
            <w:r>
              <w:rPr>
                <w:rFonts w:hint="eastAsia"/>
                <w:color w:val="auto"/>
                <w:highlight w:val="none"/>
              </w:rPr>
              <w:t>▲CPU架构: C86</w:t>
            </w:r>
            <w:r>
              <w:rPr>
                <w:rFonts w:hint="eastAsia"/>
                <w:color w:val="auto"/>
                <w:highlight w:val="none"/>
              </w:rPr>
              <w:br w:type="textWrapping"/>
            </w:r>
            <w:r>
              <w:rPr>
                <w:rFonts w:hint="eastAsia"/>
                <w:color w:val="auto"/>
                <w:highlight w:val="none"/>
              </w:rPr>
              <w:t>▲内存(GB): 512</w:t>
            </w:r>
            <w:r>
              <w:rPr>
                <w:rFonts w:hint="eastAsia"/>
                <w:color w:val="auto"/>
                <w:highlight w:val="none"/>
              </w:rPr>
              <w:br w:type="textWrapping"/>
            </w:r>
            <w:r>
              <w:rPr>
                <w:rFonts w:hint="eastAsia"/>
                <w:color w:val="auto"/>
                <w:highlight w:val="none"/>
              </w:rPr>
              <w:t>▲内存规格: ECC DDR4/DDR5 RDIMM 频率 ≥3200MHz</w:t>
            </w:r>
            <w:r>
              <w:rPr>
                <w:rFonts w:hint="eastAsia"/>
                <w:color w:val="auto"/>
                <w:highlight w:val="none"/>
              </w:rPr>
              <w:br w:type="textWrapping"/>
            </w:r>
            <w:r>
              <w:rPr>
                <w:rFonts w:hint="eastAsia"/>
                <w:color w:val="auto"/>
                <w:highlight w:val="none"/>
              </w:rPr>
              <w:t>▲内置硬盘: 480G[480G_sata_ssd]*2</w:t>
            </w:r>
            <w:r>
              <w:rPr>
                <w:rFonts w:hint="eastAsia"/>
                <w:color w:val="auto"/>
                <w:highlight w:val="none"/>
              </w:rPr>
              <w:br w:type="textWrapping"/>
            </w:r>
            <w:r>
              <w:rPr>
                <w:rFonts w:hint="eastAsia"/>
                <w:color w:val="auto"/>
                <w:highlight w:val="none"/>
              </w:rPr>
              <w:t>12000G[12T_sata_hdd]*12</w:t>
            </w:r>
            <w:r>
              <w:rPr>
                <w:rFonts w:hint="eastAsia"/>
                <w:color w:val="auto"/>
                <w:highlight w:val="none"/>
              </w:rPr>
              <w:br w:type="textWrapping"/>
            </w:r>
            <w:r>
              <w:rPr>
                <w:rFonts w:hint="eastAsia"/>
                <w:color w:val="auto"/>
                <w:highlight w:val="none"/>
              </w:rPr>
              <w:t>3840G[3840G_nvme_ssd]*2</w:t>
            </w:r>
            <w:r>
              <w:rPr>
                <w:rFonts w:hint="eastAsia"/>
                <w:color w:val="auto"/>
                <w:highlight w:val="none"/>
              </w:rPr>
              <w:br w:type="textWrapping"/>
            </w:r>
            <w:r>
              <w:rPr>
                <w:rFonts w:hint="eastAsia"/>
                <w:color w:val="auto"/>
                <w:highlight w:val="none"/>
              </w:rPr>
              <w:t>网卡要求: 10GE:双端口10G光口独立网卡，并满配兼容多模模块（SFP+），支持PXE，支持DPDK应用（兼容2.2版本），支持SRIOV  技术，支持特定五元组（源IP地址，源端口，目的IP地址，目的端口和传输层协议）分流到SRIOV VF；</w:t>
            </w:r>
            <w:r>
              <w:rPr>
                <w:rFonts w:hint="eastAsia"/>
                <w:color w:val="auto"/>
                <w:highlight w:val="none"/>
              </w:rPr>
              <w:br w:type="textWrapping"/>
            </w:r>
            <w:r>
              <w:rPr>
                <w:rFonts w:hint="eastAsia"/>
                <w:color w:val="auto"/>
                <w:highlight w:val="none"/>
              </w:rPr>
              <w:t>网口数量: 10GE*2</w:t>
            </w:r>
            <w:r>
              <w:rPr>
                <w:rFonts w:hint="eastAsia"/>
                <w:color w:val="auto"/>
                <w:highlight w:val="none"/>
              </w:rPr>
              <w:br w:type="textWrapping"/>
            </w:r>
            <w:r>
              <w:rPr>
                <w:rFonts w:hint="eastAsia"/>
                <w:color w:val="auto"/>
                <w:highlight w:val="none"/>
              </w:rPr>
              <w:t>双电源</w:t>
            </w:r>
          </w:p>
          <w:p>
            <w:pPr>
              <w:jc w:val="left"/>
              <w:rPr>
                <w:color w:val="auto"/>
                <w:highlight w:val="none"/>
              </w:rPr>
            </w:pPr>
            <w:r>
              <w:rPr>
                <w:rFonts w:hint="eastAsia"/>
                <w:color w:val="auto"/>
                <w:highlight w:val="none"/>
              </w:rPr>
              <w:t>管理要求：配置服务器管理软件，实现服务器全生命健康数据管理，具备故障预警与检测、统一监控告警、自定义监控规则、消息通知、升级提醒与自动升级等功能。</w:t>
            </w:r>
          </w:p>
          <w:p>
            <w:pPr>
              <w:jc w:val="left"/>
              <w:rPr>
                <w:color w:val="auto"/>
                <w:highlight w:val="none"/>
              </w:rPr>
            </w:pPr>
            <w:r>
              <w:rPr>
                <w:rFonts w:hint="eastAsia"/>
                <w:color w:val="auto"/>
                <w:highlight w:val="none"/>
              </w:rPr>
              <w:t>稳定性要求：MTBF时间≥15万小时</w:t>
            </w:r>
          </w:p>
          <w:p>
            <w:pPr>
              <w:jc w:val="left"/>
              <w:rPr>
                <w:color w:val="auto"/>
                <w:highlight w:val="none"/>
              </w:rPr>
            </w:pPr>
            <w:r>
              <w:rPr>
                <w:rFonts w:hint="eastAsia" w:ascii="宋体" w:hAnsi="宋体" w:cs="宋体"/>
                <w:bCs/>
                <w:color w:val="auto"/>
                <w:szCs w:val="21"/>
                <w:highlight w:val="none"/>
              </w:rPr>
              <w:t>▲</w:t>
            </w:r>
            <w:r>
              <w:rPr>
                <w:rFonts w:hint="eastAsia"/>
                <w:color w:val="auto"/>
                <w:highlight w:val="none"/>
              </w:rPr>
              <w:t>服务要求：原厂五年免费上门维保服务。</w:t>
            </w:r>
          </w:p>
        </w:tc>
        <w:tc>
          <w:tcPr>
            <w:tcW w:w="70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10台</w:t>
            </w:r>
          </w:p>
        </w:tc>
      </w:tr>
      <w:tr>
        <w:tblPrEx>
          <w:tblCellMar>
            <w:top w:w="0" w:type="dxa"/>
            <w:left w:w="0" w:type="dxa"/>
            <w:bottom w:w="0" w:type="dxa"/>
            <w:right w:w="0" w:type="dxa"/>
          </w:tblCellMar>
        </w:tblPrEx>
        <w:trPr>
          <w:trHeight w:val="360" w:hRule="atLeast"/>
        </w:trPr>
        <w:tc>
          <w:tcPr>
            <w:tcW w:w="77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b/>
                <w:color w:val="auto"/>
                <w:highlight w:val="none"/>
              </w:rPr>
            </w:pPr>
            <w:r>
              <w:rPr>
                <w:rFonts w:hint="eastAsia"/>
                <w:b/>
                <w:color w:val="auto"/>
                <w:highlight w:val="none"/>
              </w:rPr>
              <w:t>3</w:t>
            </w:r>
          </w:p>
        </w:tc>
        <w:tc>
          <w:tcPr>
            <w:tcW w:w="234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b/>
                <w:color w:val="auto"/>
                <w:highlight w:val="none"/>
              </w:rPr>
            </w:pPr>
            <w:r>
              <w:rPr>
                <w:rFonts w:hint="eastAsia"/>
                <w:b/>
                <w:color w:val="auto"/>
                <w:highlight w:val="none"/>
              </w:rPr>
              <w:t>运维系统升级</w:t>
            </w:r>
          </w:p>
        </w:tc>
        <w:tc>
          <w:tcPr>
            <w:tcW w:w="579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b/>
                <w:color w:val="auto"/>
                <w:highlight w:val="none"/>
              </w:rPr>
            </w:pPr>
          </w:p>
        </w:tc>
        <w:tc>
          <w:tcPr>
            <w:tcW w:w="70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rPr>
                <w:b/>
                <w:color w:val="auto"/>
                <w:highlight w:val="none"/>
              </w:rPr>
            </w:pPr>
          </w:p>
        </w:tc>
      </w:tr>
      <w:tr>
        <w:tblPrEx>
          <w:tblCellMar>
            <w:top w:w="0" w:type="dxa"/>
            <w:left w:w="0" w:type="dxa"/>
            <w:bottom w:w="0" w:type="dxa"/>
            <w:right w:w="0" w:type="dxa"/>
          </w:tblCellMar>
        </w:tblPrEx>
        <w:trPr>
          <w:trHeight w:val="440" w:hRule="atLeast"/>
        </w:trPr>
        <w:tc>
          <w:tcPr>
            <w:tcW w:w="77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3.1</w:t>
            </w:r>
          </w:p>
        </w:tc>
        <w:tc>
          <w:tcPr>
            <w:tcW w:w="234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运维服务器</w:t>
            </w:r>
          </w:p>
        </w:tc>
        <w:tc>
          <w:tcPr>
            <w:tcW w:w="579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▲CPU规格: 芯片*2，支持物理机或虚拟机层面在写入内存数据时自动加密、读取内存数据时自动解密，本次授权CPU数量≥2</w:t>
            </w:r>
            <w:r>
              <w:rPr>
                <w:rFonts w:hint="eastAsia"/>
                <w:color w:val="auto"/>
                <w:highlight w:val="none"/>
              </w:rPr>
              <w:br w:type="textWrapping"/>
            </w:r>
            <w:r>
              <w:rPr>
                <w:rFonts w:hint="eastAsia"/>
                <w:color w:val="auto"/>
                <w:highlight w:val="none"/>
              </w:rPr>
              <w:t>▲CPU核数: [24]*2</w:t>
            </w:r>
            <w:r>
              <w:rPr>
                <w:rFonts w:hint="eastAsia"/>
                <w:color w:val="auto"/>
                <w:highlight w:val="none"/>
              </w:rPr>
              <w:br w:type="textWrapping"/>
            </w:r>
            <w:r>
              <w:rPr>
                <w:rFonts w:hint="eastAsia"/>
                <w:color w:val="auto"/>
                <w:highlight w:val="none"/>
              </w:rPr>
              <w:t>▲CPU主频: 2.2 GHz</w:t>
            </w:r>
            <w:r>
              <w:rPr>
                <w:rFonts w:hint="eastAsia"/>
                <w:color w:val="auto"/>
                <w:highlight w:val="none"/>
              </w:rPr>
              <w:br w:type="textWrapping"/>
            </w:r>
            <w:r>
              <w:rPr>
                <w:rFonts w:hint="eastAsia"/>
                <w:color w:val="auto"/>
                <w:highlight w:val="none"/>
              </w:rPr>
              <w:t>▲CPU架构: C86</w:t>
            </w:r>
            <w:r>
              <w:rPr>
                <w:rFonts w:hint="eastAsia"/>
                <w:color w:val="auto"/>
                <w:highlight w:val="none"/>
              </w:rPr>
              <w:br w:type="textWrapping"/>
            </w:r>
            <w:r>
              <w:rPr>
                <w:rFonts w:hint="eastAsia"/>
                <w:color w:val="auto"/>
                <w:highlight w:val="none"/>
              </w:rPr>
              <w:t>▲内存(GB): 512</w:t>
            </w:r>
            <w:r>
              <w:rPr>
                <w:rFonts w:hint="eastAsia"/>
                <w:color w:val="auto"/>
                <w:highlight w:val="none"/>
              </w:rPr>
              <w:br w:type="textWrapping"/>
            </w:r>
            <w:r>
              <w:rPr>
                <w:rFonts w:hint="eastAsia"/>
                <w:color w:val="auto"/>
                <w:highlight w:val="none"/>
              </w:rPr>
              <w:t>▲内存规格: ECC DDR4/DDR5 RDIMM 频率 ≥3200MHz</w:t>
            </w:r>
            <w:r>
              <w:rPr>
                <w:rFonts w:hint="eastAsia"/>
                <w:color w:val="auto"/>
                <w:highlight w:val="none"/>
              </w:rPr>
              <w:br w:type="textWrapping"/>
            </w:r>
            <w:r>
              <w:rPr>
                <w:rFonts w:hint="eastAsia"/>
                <w:color w:val="auto"/>
                <w:highlight w:val="none"/>
              </w:rPr>
              <w:t>▲内置硬盘: 480G[480G_sata_ssd]*1</w:t>
            </w:r>
            <w:r>
              <w:rPr>
                <w:rFonts w:hint="eastAsia"/>
                <w:color w:val="auto"/>
                <w:highlight w:val="none"/>
              </w:rPr>
              <w:br w:type="textWrapping"/>
            </w:r>
            <w:r>
              <w:rPr>
                <w:rFonts w:hint="eastAsia"/>
                <w:color w:val="auto"/>
                <w:highlight w:val="none"/>
              </w:rPr>
              <w:t>8000G[8T_sata_hdd]*12</w:t>
            </w:r>
            <w:r>
              <w:rPr>
                <w:rFonts w:hint="eastAsia"/>
                <w:color w:val="auto"/>
                <w:highlight w:val="none"/>
              </w:rPr>
              <w:br w:type="textWrapping"/>
            </w:r>
            <w:r>
              <w:rPr>
                <w:rFonts w:hint="eastAsia"/>
                <w:color w:val="auto"/>
                <w:highlight w:val="none"/>
              </w:rPr>
              <w:t>1920G[1920G_nvme_ssd]*2</w:t>
            </w:r>
            <w:r>
              <w:rPr>
                <w:rFonts w:hint="eastAsia"/>
                <w:color w:val="auto"/>
                <w:highlight w:val="none"/>
              </w:rPr>
              <w:br w:type="textWrapping"/>
            </w:r>
            <w:r>
              <w:rPr>
                <w:rFonts w:hint="eastAsia"/>
                <w:color w:val="auto"/>
                <w:highlight w:val="none"/>
              </w:rPr>
              <w:t>3840G[3840G_nvme_ssd]*2</w:t>
            </w:r>
            <w:r>
              <w:rPr>
                <w:rFonts w:hint="eastAsia"/>
                <w:color w:val="auto"/>
                <w:highlight w:val="none"/>
              </w:rPr>
              <w:br w:type="textWrapping"/>
            </w:r>
            <w:r>
              <w:rPr>
                <w:rFonts w:hint="eastAsia"/>
                <w:color w:val="auto"/>
                <w:highlight w:val="none"/>
              </w:rPr>
              <w:t>网卡要求: 1GE：物理网口10/100/1000Mbps，支持PXE，支持虚拟化应用；</w:t>
            </w:r>
            <w:r>
              <w:rPr>
                <w:rFonts w:hint="eastAsia"/>
                <w:color w:val="auto"/>
                <w:highlight w:val="none"/>
              </w:rPr>
              <w:br w:type="textWrapping"/>
            </w:r>
            <w:r>
              <w:rPr>
                <w:rFonts w:hint="eastAsia"/>
                <w:color w:val="auto"/>
                <w:highlight w:val="none"/>
              </w:rPr>
              <w:t>10GE:双端口10G光口独立网卡，并满配兼容多模模块（SFP+），支持PXE，支持DPDK应用（兼容2.2版本），支持SRIOV  技术，支持特定五元组（源IP地址，源端口，目的IP地址，目的端口和传输层协议）分流到SRIOV VF。</w:t>
            </w:r>
            <w:r>
              <w:rPr>
                <w:rFonts w:hint="eastAsia"/>
                <w:color w:val="auto"/>
                <w:highlight w:val="none"/>
              </w:rPr>
              <w:br w:type="textWrapping"/>
            </w:r>
            <w:r>
              <w:rPr>
                <w:rFonts w:hint="eastAsia"/>
                <w:color w:val="auto"/>
                <w:highlight w:val="none"/>
              </w:rPr>
              <w:t>网口数量: 1GE*2|10GE*2</w:t>
            </w:r>
            <w:r>
              <w:rPr>
                <w:rFonts w:hint="eastAsia"/>
                <w:color w:val="auto"/>
                <w:highlight w:val="none"/>
              </w:rPr>
              <w:br w:type="textWrapping"/>
            </w:r>
            <w:r>
              <w:rPr>
                <w:rFonts w:hint="eastAsia"/>
                <w:color w:val="auto"/>
                <w:highlight w:val="none"/>
              </w:rPr>
              <w:t>双电源</w:t>
            </w:r>
          </w:p>
          <w:p>
            <w:pPr>
              <w:jc w:val="left"/>
              <w:rPr>
                <w:color w:val="auto"/>
                <w:highlight w:val="none"/>
              </w:rPr>
            </w:pPr>
            <w:r>
              <w:rPr>
                <w:rFonts w:hint="eastAsia"/>
                <w:color w:val="auto"/>
                <w:highlight w:val="none"/>
              </w:rPr>
              <w:t>管理要求：配置服务器管理软件，实现服务器全生命健康数据管理，具备故障预警与检测、统一监控告警、自定义监控规则、消息通知、升级提醒与自动升级等功能。</w:t>
            </w:r>
          </w:p>
          <w:p>
            <w:pPr>
              <w:jc w:val="left"/>
              <w:rPr>
                <w:color w:val="auto"/>
                <w:highlight w:val="none"/>
              </w:rPr>
            </w:pPr>
            <w:r>
              <w:rPr>
                <w:rFonts w:hint="eastAsia"/>
                <w:color w:val="auto"/>
                <w:highlight w:val="none"/>
              </w:rPr>
              <w:t>稳定性要求：MTBF时间≥15万小时</w:t>
            </w:r>
          </w:p>
          <w:p>
            <w:pPr>
              <w:jc w:val="left"/>
              <w:rPr>
                <w:color w:val="auto"/>
                <w:highlight w:val="none"/>
              </w:rPr>
            </w:pPr>
            <w:r>
              <w:rPr>
                <w:rFonts w:hint="eastAsia" w:ascii="宋体" w:hAnsi="宋体" w:cs="宋体"/>
                <w:bCs/>
                <w:color w:val="auto"/>
                <w:szCs w:val="21"/>
                <w:highlight w:val="none"/>
              </w:rPr>
              <w:t>▲</w:t>
            </w:r>
            <w:r>
              <w:rPr>
                <w:rFonts w:hint="eastAsia"/>
                <w:color w:val="auto"/>
                <w:highlight w:val="none"/>
              </w:rPr>
              <w:t>服务要求：原厂五年免费上门维保服务。</w:t>
            </w:r>
          </w:p>
        </w:tc>
        <w:tc>
          <w:tcPr>
            <w:tcW w:w="70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6台</w:t>
            </w:r>
          </w:p>
        </w:tc>
      </w:tr>
    </w:tbl>
    <w:p>
      <w:pPr>
        <w:pStyle w:val="8"/>
        <w:rPr>
          <w:color w:val="auto"/>
          <w:highlight w:val="none"/>
        </w:rPr>
      </w:pPr>
      <w:r>
        <w:rPr>
          <w:rFonts w:hint="eastAsia"/>
          <w:color w:val="auto"/>
          <w:highlight w:val="none"/>
        </w:rPr>
        <w:t>（2）网络设备</w:t>
      </w:r>
    </w:p>
    <w:tbl>
      <w:tblPr>
        <w:tblStyle w:val="52"/>
        <w:tblW w:w="9605" w:type="dxa"/>
        <w:tblInd w:w="0" w:type="dxa"/>
        <w:tblLayout w:type="fixed"/>
        <w:tblCellMar>
          <w:top w:w="0" w:type="dxa"/>
          <w:left w:w="0" w:type="dxa"/>
          <w:bottom w:w="0" w:type="dxa"/>
          <w:right w:w="0" w:type="dxa"/>
        </w:tblCellMar>
      </w:tblPr>
      <w:tblGrid>
        <w:gridCol w:w="770"/>
        <w:gridCol w:w="2340"/>
        <w:gridCol w:w="5790"/>
        <w:gridCol w:w="705"/>
      </w:tblGrid>
      <w:tr>
        <w:tblPrEx>
          <w:tblCellMar>
            <w:top w:w="0" w:type="dxa"/>
            <w:left w:w="0" w:type="dxa"/>
            <w:bottom w:w="0" w:type="dxa"/>
            <w:right w:w="0" w:type="dxa"/>
          </w:tblCellMar>
        </w:tblPrEx>
        <w:trPr>
          <w:trHeight w:val="360" w:hRule="atLeast"/>
        </w:trPr>
        <w:tc>
          <w:tcPr>
            <w:tcW w:w="77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序号</w:t>
            </w:r>
          </w:p>
        </w:tc>
        <w:tc>
          <w:tcPr>
            <w:tcW w:w="234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设备名称</w:t>
            </w:r>
          </w:p>
        </w:tc>
        <w:tc>
          <w:tcPr>
            <w:tcW w:w="579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性能参数</w:t>
            </w:r>
          </w:p>
        </w:tc>
        <w:tc>
          <w:tcPr>
            <w:tcW w:w="70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数量</w:t>
            </w:r>
          </w:p>
        </w:tc>
      </w:tr>
      <w:tr>
        <w:tblPrEx>
          <w:tblCellMar>
            <w:top w:w="0" w:type="dxa"/>
            <w:left w:w="0" w:type="dxa"/>
            <w:bottom w:w="0" w:type="dxa"/>
            <w:right w:w="0" w:type="dxa"/>
          </w:tblCellMar>
        </w:tblPrEx>
        <w:trPr>
          <w:trHeight w:val="360" w:hRule="atLeast"/>
        </w:trPr>
        <w:tc>
          <w:tcPr>
            <w:tcW w:w="77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1</w:t>
            </w:r>
          </w:p>
        </w:tc>
        <w:tc>
          <w:tcPr>
            <w:tcW w:w="234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云平台核心业务区扩容</w:t>
            </w:r>
          </w:p>
        </w:tc>
        <w:tc>
          <w:tcPr>
            <w:tcW w:w="579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p>
        </w:tc>
        <w:tc>
          <w:tcPr>
            <w:tcW w:w="70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p>
        </w:tc>
      </w:tr>
      <w:tr>
        <w:tblPrEx>
          <w:tblCellMar>
            <w:top w:w="0" w:type="dxa"/>
            <w:left w:w="0" w:type="dxa"/>
            <w:bottom w:w="0" w:type="dxa"/>
            <w:right w:w="0" w:type="dxa"/>
          </w:tblCellMar>
        </w:tblPrEx>
        <w:trPr>
          <w:trHeight w:val="360" w:hRule="atLeast"/>
        </w:trPr>
        <w:tc>
          <w:tcPr>
            <w:tcW w:w="77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1.1</w:t>
            </w:r>
          </w:p>
        </w:tc>
        <w:tc>
          <w:tcPr>
            <w:tcW w:w="234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核心交换机配件扩容</w:t>
            </w:r>
          </w:p>
        </w:tc>
        <w:tc>
          <w:tcPr>
            <w:tcW w:w="579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40GBase-iSR4光模块-QSFP+-40G-多模模块(850nm,0.15km,MPO)</w:t>
            </w:r>
          </w:p>
        </w:tc>
        <w:tc>
          <w:tcPr>
            <w:tcW w:w="70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24块</w:t>
            </w:r>
          </w:p>
        </w:tc>
      </w:tr>
      <w:tr>
        <w:tblPrEx>
          <w:tblCellMar>
            <w:top w:w="0" w:type="dxa"/>
            <w:left w:w="0" w:type="dxa"/>
            <w:bottom w:w="0" w:type="dxa"/>
            <w:right w:w="0" w:type="dxa"/>
          </w:tblCellMar>
        </w:tblPrEx>
        <w:trPr>
          <w:trHeight w:val="360" w:hRule="atLeast"/>
        </w:trPr>
        <w:tc>
          <w:tcPr>
            <w:tcW w:w="77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1.2</w:t>
            </w:r>
          </w:p>
        </w:tc>
        <w:tc>
          <w:tcPr>
            <w:tcW w:w="234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万兆接入交换机</w:t>
            </w:r>
          </w:p>
        </w:tc>
        <w:tc>
          <w:tcPr>
            <w:tcW w:w="579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1、交换容量≥4.6Tbps，包转发率≥1800Mpps；</w:t>
            </w:r>
          </w:p>
          <w:p>
            <w:pPr>
              <w:jc w:val="left"/>
              <w:rPr>
                <w:color w:val="auto"/>
                <w:highlight w:val="none"/>
              </w:rPr>
            </w:pPr>
            <w:r>
              <w:rPr>
                <w:rFonts w:hint="eastAsia"/>
                <w:color w:val="auto"/>
                <w:highlight w:val="none"/>
              </w:rPr>
              <w:t>■2、10GE全线速SFP+光口≥48个(含40个万兆多模光模块)，100GE/40GE全线速 QSFP+光口≥6个(含4个40GE多模光模块) ，1根40G QSFP+有源光缆;冗余电源、风扇；</w:t>
            </w:r>
          </w:p>
          <w:p>
            <w:pPr>
              <w:jc w:val="left"/>
              <w:rPr>
                <w:color w:val="auto"/>
                <w:highlight w:val="none"/>
              </w:rPr>
            </w:pPr>
            <w:r>
              <w:rPr>
                <w:rFonts w:hint="eastAsia"/>
                <w:color w:val="auto"/>
                <w:highlight w:val="none"/>
              </w:rPr>
              <w:t>3、支持IPv6、VXLAN；</w:t>
            </w:r>
          </w:p>
          <w:p>
            <w:pPr>
              <w:jc w:val="left"/>
              <w:rPr>
                <w:color w:val="auto"/>
                <w:highlight w:val="none"/>
              </w:rPr>
            </w:pPr>
            <w:r>
              <w:rPr>
                <w:rFonts w:hint="eastAsia"/>
                <w:color w:val="auto"/>
                <w:highlight w:val="none"/>
              </w:rPr>
              <w:t>4、支持主流IPv4/IPv6协议；</w:t>
            </w:r>
          </w:p>
          <w:p>
            <w:pPr>
              <w:jc w:val="left"/>
              <w:rPr>
                <w:color w:val="auto"/>
                <w:highlight w:val="none"/>
              </w:rPr>
            </w:pPr>
            <w:r>
              <w:rPr>
                <w:rFonts w:hint="eastAsia"/>
                <w:color w:val="auto"/>
                <w:highlight w:val="none"/>
              </w:rPr>
              <w:t>5、为满足（医保）业务安全性和可靠性，要求设备CPU、交换芯片使用国产芯片；</w:t>
            </w:r>
          </w:p>
        </w:tc>
        <w:tc>
          <w:tcPr>
            <w:tcW w:w="70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6台</w:t>
            </w:r>
          </w:p>
        </w:tc>
      </w:tr>
      <w:tr>
        <w:tblPrEx>
          <w:tblCellMar>
            <w:top w:w="0" w:type="dxa"/>
            <w:left w:w="0" w:type="dxa"/>
            <w:bottom w:w="0" w:type="dxa"/>
            <w:right w:w="0" w:type="dxa"/>
          </w:tblCellMar>
        </w:tblPrEx>
        <w:trPr>
          <w:trHeight w:val="360" w:hRule="atLeast"/>
        </w:trPr>
        <w:tc>
          <w:tcPr>
            <w:tcW w:w="77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1.3</w:t>
            </w:r>
          </w:p>
        </w:tc>
        <w:tc>
          <w:tcPr>
            <w:tcW w:w="234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25G接入交换机</w:t>
            </w:r>
          </w:p>
        </w:tc>
        <w:tc>
          <w:tcPr>
            <w:tcW w:w="579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1、交换容量≥4.6Tbps，包转发率≥1800Mpps；</w:t>
            </w:r>
          </w:p>
          <w:p>
            <w:pPr>
              <w:jc w:val="left"/>
              <w:rPr>
                <w:color w:val="auto"/>
                <w:highlight w:val="none"/>
              </w:rPr>
            </w:pPr>
            <w:r>
              <w:rPr>
                <w:rFonts w:hint="eastAsia"/>
                <w:color w:val="auto"/>
                <w:highlight w:val="none"/>
              </w:rPr>
              <w:t>■2、10/25GE全线速SFP+光口≥48个(含16个25G多模光模块,4个万兆多模光模块)，100GE/40GE全线速 QSFP+光口≥8个(含4个40GE多模光模块) ，1根40G QSFP+有源光缆;冗余电源、风扇；</w:t>
            </w:r>
          </w:p>
          <w:p>
            <w:pPr>
              <w:jc w:val="left"/>
              <w:rPr>
                <w:color w:val="auto"/>
                <w:highlight w:val="none"/>
              </w:rPr>
            </w:pPr>
            <w:r>
              <w:rPr>
                <w:rFonts w:hint="eastAsia"/>
                <w:color w:val="auto"/>
                <w:highlight w:val="none"/>
              </w:rPr>
              <w:t>3、支持IPv6、VXLAN；</w:t>
            </w:r>
          </w:p>
          <w:p>
            <w:pPr>
              <w:jc w:val="left"/>
              <w:rPr>
                <w:color w:val="auto"/>
                <w:highlight w:val="none"/>
              </w:rPr>
            </w:pPr>
            <w:r>
              <w:rPr>
                <w:rFonts w:hint="eastAsia"/>
                <w:color w:val="auto"/>
                <w:highlight w:val="none"/>
              </w:rPr>
              <w:t>4、支持主流IPv4/IPv6协议；</w:t>
            </w:r>
          </w:p>
          <w:p>
            <w:pPr>
              <w:jc w:val="left"/>
              <w:rPr>
                <w:color w:val="auto"/>
                <w:highlight w:val="none"/>
              </w:rPr>
            </w:pPr>
            <w:r>
              <w:rPr>
                <w:rFonts w:hint="eastAsia"/>
                <w:color w:val="auto"/>
                <w:highlight w:val="none"/>
              </w:rPr>
              <w:t>5、为满足（医保）业务安全性和可靠性，要求设备CPU、交换芯片使用国产芯片；</w:t>
            </w:r>
          </w:p>
        </w:tc>
        <w:tc>
          <w:tcPr>
            <w:tcW w:w="70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2台</w:t>
            </w:r>
          </w:p>
        </w:tc>
      </w:tr>
      <w:tr>
        <w:tblPrEx>
          <w:tblCellMar>
            <w:top w:w="0" w:type="dxa"/>
            <w:left w:w="0" w:type="dxa"/>
            <w:bottom w:w="0" w:type="dxa"/>
            <w:right w:w="0" w:type="dxa"/>
          </w:tblCellMar>
        </w:tblPrEx>
        <w:trPr>
          <w:trHeight w:val="360" w:hRule="atLeast"/>
        </w:trPr>
        <w:tc>
          <w:tcPr>
            <w:tcW w:w="77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1.4</w:t>
            </w:r>
          </w:p>
        </w:tc>
        <w:tc>
          <w:tcPr>
            <w:tcW w:w="234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综合接入交换机配件扩容</w:t>
            </w:r>
          </w:p>
        </w:tc>
        <w:tc>
          <w:tcPr>
            <w:tcW w:w="579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光模块-SFP+-10G-多模模块(850nm,0.3km,LC)</w:t>
            </w:r>
          </w:p>
        </w:tc>
        <w:tc>
          <w:tcPr>
            <w:tcW w:w="70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8块</w:t>
            </w:r>
          </w:p>
        </w:tc>
      </w:tr>
      <w:tr>
        <w:tblPrEx>
          <w:tblCellMar>
            <w:top w:w="0" w:type="dxa"/>
            <w:left w:w="0" w:type="dxa"/>
            <w:bottom w:w="0" w:type="dxa"/>
            <w:right w:w="0" w:type="dxa"/>
          </w:tblCellMar>
        </w:tblPrEx>
        <w:trPr>
          <w:trHeight w:val="360" w:hRule="atLeast"/>
        </w:trPr>
        <w:tc>
          <w:tcPr>
            <w:tcW w:w="77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1.5</w:t>
            </w:r>
          </w:p>
        </w:tc>
        <w:tc>
          <w:tcPr>
            <w:tcW w:w="234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带外接入交换机</w:t>
            </w:r>
          </w:p>
        </w:tc>
        <w:tc>
          <w:tcPr>
            <w:tcW w:w="579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1、交换容量≥600G Gbps, 转发性能≥200Mpps；</w:t>
            </w:r>
          </w:p>
          <w:p>
            <w:pPr>
              <w:jc w:val="left"/>
              <w:rPr>
                <w:color w:val="auto"/>
                <w:highlight w:val="none"/>
              </w:rPr>
            </w:pPr>
            <w:r>
              <w:rPr>
                <w:rFonts w:hint="eastAsia"/>
                <w:color w:val="auto"/>
                <w:highlight w:val="none"/>
              </w:rPr>
              <w:t>■2、提供千兆电口≥48个，万兆SFP+光口≥6个(含6个万兆多模光模块)；冗余电源、风扇；</w:t>
            </w:r>
          </w:p>
          <w:p>
            <w:pPr>
              <w:jc w:val="left"/>
              <w:rPr>
                <w:color w:val="auto"/>
                <w:highlight w:val="none"/>
              </w:rPr>
            </w:pPr>
            <w:r>
              <w:rPr>
                <w:rFonts w:hint="eastAsia"/>
                <w:color w:val="auto"/>
                <w:highlight w:val="none"/>
              </w:rPr>
              <w:t>3、线速转发，支持IPV4和IPv6；</w:t>
            </w:r>
          </w:p>
        </w:tc>
        <w:tc>
          <w:tcPr>
            <w:tcW w:w="70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4台</w:t>
            </w:r>
          </w:p>
        </w:tc>
      </w:tr>
      <w:tr>
        <w:tblPrEx>
          <w:tblCellMar>
            <w:top w:w="0" w:type="dxa"/>
            <w:left w:w="0" w:type="dxa"/>
            <w:bottom w:w="0" w:type="dxa"/>
            <w:right w:w="0" w:type="dxa"/>
          </w:tblCellMar>
        </w:tblPrEx>
        <w:trPr>
          <w:trHeight w:val="360" w:hRule="atLeast"/>
        </w:trPr>
        <w:tc>
          <w:tcPr>
            <w:tcW w:w="77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1.6</w:t>
            </w:r>
          </w:p>
        </w:tc>
        <w:tc>
          <w:tcPr>
            <w:tcW w:w="234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核心交换机配件扩容</w:t>
            </w:r>
          </w:p>
        </w:tc>
        <w:tc>
          <w:tcPr>
            <w:tcW w:w="579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40GBase-iSR4光模块-QSFP+-40G-多模模块(850nm,0.15km,MPO)</w:t>
            </w:r>
          </w:p>
        </w:tc>
        <w:tc>
          <w:tcPr>
            <w:tcW w:w="70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16块</w:t>
            </w:r>
          </w:p>
        </w:tc>
      </w:tr>
      <w:tr>
        <w:tblPrEx>
          <w:tblCellMar>
            <w:top w:w="0" w:type="dxa"/>
            <w:left w:w="0" w:type="dxa"/>
            <w:bottom w:w="0" w:type="dxa"/>
            <w:right w:w="0" w:type="dxa"/>
          </w:tblCellMar>
        </w:tblPrEx>
        <w:trPr>
          <w:trHeight w:val="360" w:hRule="atLeast"/>
        </w:trPr>
        <w:tc>
          <w:tcPr>
            <w:tcW w:w="77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1.7</w:t>
            </w:r>
          </w:p>
        </w:tc>
        <w:tc>
          <w:tcPr>
            <w:tcW w:w="234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万兆接入交换机</w:t>
            </w:r>
          </w:p>
        </w:tc>
        <w:tc>
          <w:tcPr>
            <w:tcW w:w="579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1、交换容量≥4.6Tbps，包转发率≥1800Mpps；</w:t>
            </w:r>
          </w:p>
          <w:p>
            <w:pPr>
              <w:jc w:val="left"/>
              <w:rPr>
                <w:color w:val="auto"/>
                <w:highlight w:val="none"/>
              </w:rPr>
            </w:pPr>
            <w:r>
              <w:rPr>
                <w:rFonts w:hint="eastAsia"/>
                <w:color w:val="auto"/>
                <w:highlight w:val="none"/>
              </w:rPr>
              <w:t>■2、10GE全线速SFP+光口≥48个(含33个万兆多模光模块)，100GE/40GE全线速 QSFP+光口≥6个(含4个40GE多模光模块) ，1根40G QSFP+有源光缆;冗余电源、风扇；</w:t>
            </w:r>
          </w:p>
          <w:p>
            <w:pPr>
              <w:jc w:val="left"/>
              <w:rPr>
                <w:color w:val="auto"/>
                <w:highlight w:val="none"/>
              </w:rPr>
            </w:pPr>
            <w:r>
              <w:rPr>
                <w:rFonts w:hint="eastAsia"/>
                <w:color w:val="auto"/>
                <w:highlight w:val="none"/>
              </w:rPr>
              <w:t>3、支持IPv6、VXLAN；</w:t>
            </w:r>
          </w:p>
          <w:p>
            <w:pPr>
              <w:jc w:val="left"/>
              <w:rPr>
                <w:color w:val="auto"/>
                <w:highlight w:val="none"/>
              </w:rPr>
            </w:pPr>
            <w:r>
              <w:rPr>
                <w:rFonts w:hint="eastAsia"/>
                <w:color w:val="auto"/>
                <w:highlight w:val="none"/>
              </w:rPr>
              <w:t>4、支持主流IPv4/IPv6协议；</w:t>
            </w:r>
          </w:p>
          <w:p>
            <w:pPr>
              <w:jc w:val="left"/>
              <w:rPr>
                <w:color w:val="auto"/>
                <w:highlight w:val="none"/>
              </w:rPr>
            </w:pPr>
            <w:r>
              <w:rPr>
                <w:rFonts w:hint="eastAsia"/>
                <w:color w:val="auto"/>
                <w:highlight w:val="none"/>
              </w:rPr>
              <w:t>5、为满足（医保）业务安全性和可靠性，要求设备CPU、交换芯片使用国产芯片；</w:t>
            </w:r>
          </w:p>
        </w:tc>
        <w:tc>
          <w:tcPr>
            <w:tcW w:w="70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4台</w:t>
            </w:r>
          </w:p>
        </w:tc>
      </w:tr>
      <w:tr>
        <w:tblPrEx>
          <w:tblCellMar>
            <w:top w:w="0" w:type="dxa"/>
            <w:left w:w="0" w:type="dxa"/>
            <w:bottom w:w="0" w:type="dxa"/>
            <w:right w:w="0" w:type="dxa"/>
          </w:tblCellMar>
        </w:tblPrEx>
        <w:trPr>
          <w:trHeight w:val="360" w:hRule="atLeast"/>
        </w:trPr>
        <w:tc>
          <w:tcPr>
            <w:tcW w:w="77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1.8</w:t>
            </w:r>
          </w:p>
        </w:tc>
        <w:tc>
          <w:tcPr>
            <w:tcW w:w="234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接入交换机配件扩容</w:t>
            </w:r>
          </w:p>
        </w:tc>
        <w:tc>
          <w:tcPr>
            <w:tcW w:w="579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光模块-SFP+-10G-多模模块(850nm,0.3km,LC)</w:t>
            </w:r>
          </w:p>
        </w:tc>
        <w:tc>
          <w:tcPr>
            <w:tcW w:w="70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8块</w:t>
            </w:r>
          </w:p>
        </w:tc>
      </w:tr>
      <w:tr>
        <w:tblPrEx>
          <w:tblCellMar>
            <w:top w:w="0" w:type="dxa"/>
            <w:left w:w="0" w:type="dxa"/>
            <w:bottom w:w="0" w:type="dxa"/>
            <w:right w:w="0" w:type="dxa"/>
          </w:tblCellMar>
        </w:tblPrEx>
        <w:trPr>
          <w:trHeight w:val="360" w:hRule="atLeast"/>
        </w:trPr>
        <w:tc>
          <w:tcPr>
            <w:tcW w:w="77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1.9</w:t>
            </w:r>
          </w:p>
        </w:tc>
        <w:tc>
          <w:tcPr>
            <w:tcW w:w="234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带外接入交换机</w:t>
            </w:r>
          </w:p>
        </w:tc>
        <w:tc>
          <w:tcPr>
            <w:tcW w:w="579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1、交换容量≥600G Gbps, 转发性能≥200Mpps；</w:t>
            </w:r>
          </w:p>
          <w:p>
            <w:pPr>
              <w:jc w:val="left"/>
              <w:rPr>
                <w:color w:val="auto"/>
                <w:highlight w:val="none"/>
              </w:rPr>
            </w:pPr>
            <w:r>
              <w:rPr>
                <w:rFonts w:hint="eastAsia"/>
                <w:color w:val="auto"/>
                <w:highlight w:val="none"/>
              </w:rPr>
              <w:t>■2、提供千兆电口≥48个，万兆SFP+光口≥6个(含6个万兆多模光模块)；冗余电源、风扇；</w:t>
            </w:r>
          </w:p>
          <w:p>
            <w:pPr>
              <w:jc w:val="left"/>
              <w:rPr>
                <w:color w:val="auto"/>
                <w:highlight w:val="none"/>
              </w:rPr>
            </w:pPr>
            <w:r>
              <w:rPr>
                <w:rFonts w:hint="eastAsia"/>
                <w:color w:val="auto"/>
                <w:highlight w:val="none"/>
              </w:rPr>
              <w:t>3、线速转发，支持IPV4和IPv6；</w:t>
            </w:r>
          </w:p>
        </w:tc>
        <w:tc>
          <w:tcPr>
            <w:tcW w:w="70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2台</w:t>
            </w:r>
          </w:p>
        </w:tc>
      </w:tr>
      <w:tr>
        <w:tblPrEx>
          <w:tblCellMar>
            <w:top w:w="0" w:type="dxa"/>
            <w:left w:w="0" w:type="dxa"/>
            <w:bottom w:w="0" w:type="dxa"/>
            <w:right w:w="0" w:type="dxa"/>
          </w:tblCellMar>
        </w:tblPrEx>
        <w:trPr>
          <w:trHeight w:val="360" w:hRule="atLeast"/>
        </w:trPr>
        <w:tc>
          <w:tcPr>
            <w:tcW w:w="77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1.10</w:t>
            </w:r>
          </w:p>
        </w:tc>
        <w:tc>
          <w:tcPr>
            <w:tcW w:w="234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带外管理设备</w:t>
            </w:r>
          </w:p>
        </w:tc>
        <w:tc>
          <w:tcPr>
            <w:tcW w:w="579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1、1U盒式设备</w:t>
            </w:r>
            <w:r>
              <w:rPr>
                <w:rFonts w:hint="eastAsia"/>
                <w:color w:val="auto"/>
                <w:highlight w:val="none"/>
              </w:rPr>
              <w:br w:type="textWrapping"/>
            </w:r>
            <w:r>
              <w:rPr>
                <w:rFonts w:hint="eastAsia"/>
                <w:color w:val="auto"/>
                <w:highlight w:val="none"/>
              </w:rPr>
              <w:t>2、32个RJ45端口，支持全部串口速率(1200、2400、4800、9600、19200、38400、57600、115200等)</w:t>
            </w:r>
            <w:r>
              <w:rPr>
                <w:rFonts w:hint="eastAsia"/>
                <w:color w:val="auto"/>
                <w:highlight w:val="none"/>
              </w:rPr>
              <w:br w:type="textWrapping"/>
            </w:r>
            <w:r>
              <w:rPr>
                <w:rFonts w:hint="eastAsia"/>
                <w:color w:val="auto"/>
                <w:highlight w:val="none"/>
              </w:rPr>
              <w:t>3、必须支持命令行配置，WEB界面配置可选</w:t>
            </w:r>
            <w:r>
              <w:rPr>
                <w:rFonts w:hint="eastAsia"/>
                <w:color w:val="auto"/>
                <w:highlight w:val="none"/>
              </w:rPr>
              <w:br w:type="textWrapping"/>
            </w:r>
            <w:r>
              <w:rPr>
                <w:rFonts w:hint="eastAsia"/>
                <w:color w:val="auto"/>
                <w:highlight w:val="none"/>
              </w:rPr>
              <w:t>4、支持不少于4个不同用户同时登入同一个串口</w:t>
            </w:r>
          </w:p>
        </w:tc>
        <w:tc>
          <w:tcPr>
            <w:tcW w:w="70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1台</w:t>
            </w:r>
          </w:p>
        </w:tc>
      </w:tr>
    </w:tbl>
    <w:p>
      <w:pPr>
        <w:rPr>
          <w:rFonts w:hint="eastAsia" w:ascii="宋体" w:hAnsi="宋体" w:cs="宋体"/>
          <w:color w:val="auto"/>
          <w:highlight w:val="none"/>
        </w:rPr>
      </w:pPr>
    </w:p>
    <w:p>
      <w:pPr>
        <w:pStyle w:val="8"/>
        <w:rPr>
          <w:color w:val="auto"/>
          <w:highlight w:val="none"/>
        </w:rPr>
      </w:pPr>
      <w:r>
        <w:rPr>
          <w:rFonts w:hint="eastAsia"/>
          <w:color w:val="auto"/>
          <w:highlight w:val="none"/>
        </w:rPr>
        <w:t>（3）安全设备</w:t>
      </w:r>
    </w:p>
    <w:p>
      <w:pPr>
        <w:rPr>
          <w:color w:val="auto"/>
          <w:highlight w:val="none"/>
        </w:rPr>
      </w:pPr>
      <w:r>
        <w:rPr>
          <w:rFonts w:hint="eastAsia"/>
          <w:color w:val="auto"/>
          <w:highlight w:val="none"/>
        </w:rPr>
        <w:t>本项目安全设备CPU、操作系统、数据库等需采用通过安全可靠测评结果公告（2023年第1号）及后续更新的测评结果公告中的产品。</w:t>
      </w:r>
    </w:p>
    <w:tbl>
      <w:tblPr>
        <w:tblStyle w:val="52"/>
        <w:tblW w:w="9605" w:type="dxa"/>
        <w:tblInd w:w="0" w:type="dxa"/>
        <w:tblLayout w:type="fixed"/>
        <w:tblCellMar>
          <w:top w:w="0" w:type="dxa"/>
          <w:left w:w="0" w:type="dxa"/>
          <w:bottom w:w="0" w:type="dxa"/>
          <w:right w:w="0" w:type="dxa"/>
        </w:tblCellMar>
      </w:tblPr>
      <w:tblGrid>
        <w:gridCol w:w="770"/>
        <w:gridCol w:w="2340"/>
        <w:gridCol w:w="5790"/>
        <w:gridCol w:w="705"/>
      </w:tblGrid>
      <w:tr>
        <w:tblPrEx>
          <w:tblCellMar>
            <w:top w:w="0" w:type="dxa"/>
            <w:left w:w="0" w:type="dxa"/>
            <w:bottom w:w="0" w:type="dxa"/>
            <w:right w:w="0" w:type="dxa"/>
          </w:tblCellMar>
        </w:tblPrEx>
        <w:trPr>
          <w:trHeight w:val="363" w:hRule="atLeast"/>
          <w:tblHeader/>
        </w:trPr>
        <w:tc>
          <w:tcPr>
            <w:tcW w:w="77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b/>
                <w:color w:val="auto"/>
                <w:highlight w:val="none"/>
              </w:rPr>
            </w:pPr>
            <w:r>
              <w:rPr>
                <w:rFonts w:hint="eastAsia"/>
                <w:b/>
                <w:color w:val="auto"/>
                <w:highlight w:val="none"/>
              </w:rPr>
              <w:t>序号</w:t>
            </w:r>
          </w:p>
        </w:tc>
        <w:tc>
          <w:tcPr>
            <w:tcW w:w="234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b/>
                <w:color w:val="auto"/>
                <w:highlight w:val="none"/>
              </w:rPr>
            </w:pPr>
            <w:r>
              <w:rPr>
                <w:rFonts w:hint="eastAsia"/>
                <w:b/>
                <w:color w:val="auto"/>
                <w:highlight w:val="none"/>
              </w:rPr>
              <w:t>设备名称</w:t>
            </w:r>
          </w:p>
        </w:tc>
        <w:tc>
          <w:tcPr>
            <w:tcW w:w="579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b/>
                <w:color w:val="auto"/>
                <w:highlight w:val="none"/>
              </w:rPr>
            </w:pPr>
            <w:r>
              <w:rPr>
                <w:rFonts w:hint="eastAsia"/>
                <w:b/>
                <w:color w:val="auto"/>
                <w:highlight w:val="none"/>
              </w:rPr>
              <w:t>性能参数</w:t>
            </w:r>
          </w:p>
        </w:tc>
        <w:tc>
          <w:tcPr>
            <w:tcW w:w="70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b/>
                <w:color w:val="auto"/>
                <w:highlight w:val="none"/>
              </w:rPr>
            </w:pPr>
            <w:r>
              <w:rPr>
                <w:rFonts w:hint="eastAsia"/>
                <w:b/>
                <w:color w:val="auto"/>
                <w:highlight w:val="none"/>
              </w:rPr>
              <w:t>数量</w:t>
            </w:r>
          </w:p>
        </w:tc>
      </w:tr>
      <w:tr>
        <w:tblPrEx>
          <w:tblCellMar>
            <w:top w:w="0" w:type="dxa"/>
            <w:left w:w="0" w:type="dxa"/>
            <w:bottom w:w="0" w:type="dxa"/>
            <w:right w:w="0" w:type="dxa"/>
          </w:tblCellMar>
        </w:tblPrEx>
        <w:trPr>
          <w:trHeight w:val="360" w:hRule="atLeast"/>
        </w:trPr>
        <w:tc>
          <w:tcPr>
            <w:tcW w:w="77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b/>
                <w:color w:val="auto"/>
                <w:highlight w:val="none"/>
              </w:rPr>
            </w:pPr>
            <w:r>
              <w:rPr>
                <w:rFonts w:hint="eastAsia"/>
                <w:b/>
                <w:color w:val="auto"/>
                <w:highlight w:val="none"/>
              </w:rPr>
              <w:t>1</w:t>
            </w:r>
          </w:p>
        </w:tc>
        <w:tc>
          <w:tcPr>
            <w:tcW w:w="234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b/>
                <w:color w:val="auto"/>
                <w:highlight w:val="none"/>
              </w:rPr>
            </w:pPr>
            <w:r>
              <w:rPr>
                <w:rFonts w:hint="eastAsia"/>
                <w:b/>
                <w:color w:val="auto"/>
                <w:highlight w:val="none"/>
              </w:rPr>
              <w:t>安全系统升级</w:t>
            </w:r>
          </w:p>
        </w:tc>
        <w:tc>
          <w:tcPr>
            <w:tcW w:w="579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b/>
                <w:color w:val="auto"/>
                <w:highlight w:val="none"/>
              </w:rPr>
            </w:pPr>
          </w:p>
        </w:tc>
        <w:tc>
          <w:tcPr>
            <w:tcW w:w="70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b/>
                <w:color w:val="auto"/>
                <w:highlight w:val="none"/>
              </w:rPr>
            </w:pPr>
          </w:p>
        </w:tc>
      </w:tr>
      <w:tr>
        <w:tblPrEx>
          <w:tblCellMar>
            <w:top w:w="0" w:type="dxa"/>
            <w:left w:w="0" w:type="dxa"/>
            <w:bottom w:w="0" w:type="dxa"/>
            <w:right w:w="0" w:type="dxa"/>
          </w:tblCellMar>
        </w:tblPrEx>
        <w:trPr>
          <w:trHeight w:val="360" w:hRule="atLeast"/>
        </w:trPr>
        <w:tc>
          <w:tcPr>
            <w:tcW w:w="77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1.1</w:t>
            </w:r>
          </w:p>
        </w:tc>
        <w:tc>
          <w:tcPr>
            <w:tcW w:w="234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蜜罐</w:t>
            </w:r>
          </w:p>
        </w:tc>
        <w:tc>
          <w:tcPr>
            <w:tcW w:w="579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1、机架式设备，内存≥64G，冗余电源，硬盘≥2T，千兆电口≥4，千兆光口≥4个，扩展槽≥2。</w:t>
            </w:r>
          </w:p>
          <w:p>
            <w:pPr>
              <w:jc w:val="left"/>
              <w:rPr>
                <w:color w:val="auto"/>
                <w:highlight w:val="none"/>
              </w:rPr>
            </w:pPr>
            <w:r>
              <w:rPr>
                <w:rFonts w:hint="eastAsia"/>
                <w:color w:val="auto"/>
                <w:highlight w:val="none"/>
              </w:rPr>
              <w:t>2、在攻击者视角及攻击路径上，通过业务仿真、诱饵设置、探针部署等方式进行攻击捕获和行为监控分析，并对攻击者设备指纹及各类属性信息进行自动化反向溯源，精准感知内部安全风险，防御APT、高级攻击渗透等攻击行为。</w:t>
            </w:r>
            <w:r>
              <w:rPr>
                <w:rFonts w:hint="eastAsia"/>
                <w:color w:val="auto"/>
                <w:highlight w:val="none"/>
              </w:rPr>
              <w:br w:type="textWrapping"/>
            </w:r>
            <w:r>
              <w:rPr>
                <w:rFonts w:hint="eastAsia"/>
                <w:color w:val="auto"/>
                <w:highlight w:val="none"/>
              </w:rPr>
              <w:t>3、支持同时运行35个蜜罐实例。支持通过模板的方式导入实例的定制蜜罐模板。</w:t>
            </w:r>
            <w:r>
              <w:rPr>
                <w:rFonts w:hint="eastAsia"/>
                <w:color w:val="auto"/>
                <w:highlight w:val="none"/>
              </w:rPr>
              <w:br w:type="textWrapping"/>
            </w:r>
            <w:r>
              <w:rPr>
                <w:rFonts w:hint="eastAsia"/>
                <w:color w:val="auto"/>
                <w:highlight w:val="none"/>
              </w:rPr>
              <w:t>4、支持展示ATT&amp;CK模型构建的攻击者行为链。</w:t>
            </w:r>
            <w:r>
              <w:rPr>
                <w:rFonts w:hint="eastAsia"/>
                <w:color w:val="auto"/>
                <w:highlight w:val="none"/>
              </w:rPr>
              <w:br w:type="textWrapping"/>
            </w:r>
            <w:r>
              <w:rPr>
                <w:rFonts w:hint="eastAsia"/>
                <w:color w:val="auto"/>
                <w:highlight w:val="none"/>
              </w:rPr>
              <w:t>5、支持新增快照，将当前状态的蜜罐实例保存为快照，进行下载、删除和恢复等操作。</w:t>
            </w:r>
            <w:r>
              <w:rPr>
                <w:rFonts w:hint="eastAsia"/>
                <w:color w:val="auto"/>
                <w:highlight w:val="none"/>
              </w:rPr>
              <w:br w:type="textWrapping"/>
            </w:r>
            <w:r>
              <w:rPr>
                <w:rFonts w:hint="eastAsia"/>
                <w:color w:val="auto"/>
                <w:highlight w:val="none"/>
              </w:rPr>
              <w:t>6、支持用户自定义创建报表模板，从威胁级别、攻击IP、受害IP等多个维度设置报表模板。</w:t>
            </w:r>
            <w:r>
              <w:rPr>
                <w:rFonts w:hint="eastAsia"/>
                <w:color w:val="auto"/>
                <w:highlight w:val="none"/>
              </w:rPr>
              <w:br w:type="textWrapping"/>
            </w:r>
            <w:r>
              <w:rPr>
                <w:rFonts w:hint="eastAsia"/>
                <w:color w:val="auto"/>
                <w:highlight w:val="none"/>
              </w:rPr>
              <w:t>7、支持通过页面对设备进行设备关机、设备重启、恢复出厂、服务自检等操作。</w:t>
            </w:r>
          </w:p>
          <w:p>
            <w:pPr>
              <w:jc w:val="left"/>
              <w:rPr>
                <w:color w:val="auto"/>
                <w:highlight w:val="none"/>
              </w:rPr>
            </w:pPr>
            <w:r>
              <w:rPr>
                <w:rFonts w:hint="eastAsia"/>
                <w:color w:val="auto"/>
                <w:highlight w:val="none"/>
              </w:rPr>
              <w:t>8、支持国产化操作系统和数据库蜜罐，包括但不限于：统信UOS、麒麟V10、TIDB蜜罐。</w:t>
            </w:r>
          </w:p>
        </w:tc>
        <w:tc>
          <w:tcPr>
            <w:tcW w:w="70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4套</w:t>
            </w:r>
          </w:p>
        </w:tc>
      </w:tr>
    </w:tbl>
    <w:p>
      <w:pPr>
        <w:rPr>
          <w:color w:val="auto"/>
          <w:highlight w:val="none"/>
        </w:rPr>
      </w:pPr>
    </w:p>
    <w:p>
      <w:pPr>
        <w:pStyle w:val="8"/>
        <w:rPr>
          <w:color w:val="auto"/>
          <w:highlight w:val="none"/>
        </w:rPr>
      </w:pPr>
      <w:r>
        <w:rPr>
          <w:rFonts w:hint="eastAsia"/>
          <w:color w:val="auto"/>
          <w:highlight w:val="none"/>
        </w:rPr>
        <w:t>（4）密码设备</w:t>
      </w:r>
    </w:p>
    <w:tbl>
      <w:tblPr>
        <w:tblStyle w:val="52"/>
        <w:tblW w:w="9605" w:type="dxa"/>
        <w:tblInd w:w="0" w:type="dxa"/>
        <w:tblLayout w:type="fixed"/>
        <w:tblCellMar>
          <w:top w:w="0" w:type="dxa"/>
          <w:left w:w="0" w:type="dxa"/>
          <w:bottom w:w="0" w:type="dxa"/>
          <w:right w:w="0" w:type="dxa"/>
        </w:tblCellMar>
      </w:tblPr>
      <w:tblGrid>
        <w:gridCol w:w="770"/>
        <w:gridCol w:w="2340"/>
        <w:gridCol w:w="5790"/>
        <w:gridCol w:w="705"/>
      </w:tblGrid>
      <w:tr>
        <w:tblPrEx>
          <w:tblCellMar>
            <w:top w:w="0" w:type="dxa"/>
            <w:left w:w="0" w:type="dxa"/>
            <w:bottom w:w="0" w:type="dxa"/>
            <w:right w:w="0" w:type="dxa"/>
          </w:tblCellMar>
        </w:tblPrEx>
        <w:trPr>
          <w:trHeight w:val="363" w:hRule="atLeast"/>
          <w:tblHeader/>
        </w:trPr>
        <w:tc>
          <w:tcPr>
            <w:tcW w:w="77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b/>
                <w:color w:val="auto"/>
                <w:highlight w:val="none"/>
              </w:rPr>
            </w:pPr>
            <w:r>
              <w:rPr>
                <w:rFonts w:hint="eastAsia"/>
                <w:b/>
                <w:color w:val="auto"/>
                <w:highlight w:val="none"/>
              </w:rPr>
              <w:t>序号</w:t>
            </w:r>
          </w:p>
        </w:tc>
        <w:tc>
          <w:tcPr>
            <w:tcW w:w="234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b/>
                <w:color w:val="auto"/>
                <w:highlight w:val="none"/>
              </w:rPr>
            </w:pPr>
            <w:r>
              <w:rPr>
                <w:rFonts w:hint="eastAsia"/>
                <w:b/>
                <w:color w:val="auto"/>
                <w:highlight w:val="none"/>
              </w:rPr>
              <w:t>设备名称</w:t>
            </w:r>
          </w:p>
        </w:tc>
        <w:tc>
          <w:tcPr>
            <w:tcW w:w="579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b/>
                <w:color w:val="auto"/>
                <w:highlight w:val="none"/>
              </w:rPr>
            </w:pPr>
            <w:r>
              <w:rPr>
                <w:rFonts w:hint="eastAsia"/>
                <w:b/>
                <w:color w:val="auto"/>
                <w:highlight w:val="none"/>
              </w:rPr>
              <w:t>性能参数</w:t>
            </w:r>
          </w:p>
        </w:tc>
        <w:tc>
          <w:tcPr>
            <w:tcW w:w="70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b/>
                <w:color w:val="auto"/>
                <w:highlight w:val="none"/>
              </w:rPr>
            </w:pPr>
            <w:r>
              <w:rPr>
                <w:rFonts w:hint="eastAsia"/>
                <w:b/>
                <w:color w:val="auto"/>
                <w:highlight w:val="none"/>
              </w:rPr>
              <w:t>数量</w:t>
            </w:r>
          </w:p>
        </w:tc>
      </w:tr>
      <w:tr>
        <w:tblPrEx>
          <w:tblCellMar>
            <w:top w:w="0" w:type="dxa"/>
            <w:left w:w="0" w:type="dxa"/>
            <w:bottom w:w="0" w:type="dxa"/>
            <w:right w:w="0" w:type="dxa"/>
          </w:tblCellMar>
        </w:tblPrEx>
        <w:trPr>
          <w:trHeight w:val="360" w:hRule="atLeast"/>
        </w:trPr>
        <w:tc>
          <w:tcPr>
            <w:tcW w:w="77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b/>
                <w:color w:val="auto"/>
                <w:highlight w:val="none"/>
              </w:rPr>
            </w:pPr>
            <w:r>
              <w:rPr>
                <w:rFonts w:hint="eastAsia"/>
                <w:b/>
                <w:color w:val="auto"/>
                <w:highlight w:val="none"/>
              </w:rPr>
              <w:t>1</w:t>
            </w:r>
          </w:p>
        </w:tc>
        <w:tc>
          <w:tcPr>
            <w:tcW w:w="234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b/>
                <w:color w:val="auto"/>
                <w:highlight w:val="none"/>
              </w:rPr>
            </w:pPr>
            <w:r>
              <w:rPr>
                <w:rFonts w:hint="eastAsia"/>
                <w:b/>
                <w:color w:val="auto"/>
                <w:highlight w:val="none"/>
              </w:rPr>
              <w:t>密码应用建设</w:t>
            </w:r>
          </w:p>
        </w:tc>
        <w:tc>
          <w:tcPr>
            <w:tcW w:w="579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b/>
                <w:color w:val="auto"/>
                <w:highlight w:val="none"/>
              </w:rPr>
            </w:pPr>
          </w:p>
        </w:tc>
        <w:tc>
          <w:tcPr>
            <w:tcW w:w="70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rPr>
                <w:b/>
                <w:color w:val="auto"/>
                <w:highlight w:val="none"/>
              </w:rPr>
            </w:pPr>
          </w:p>
        </w:tc>
      </w:tr>
      <w:tr>
        <w:tblPrEx>
          <w:tblCellMar>
            <w:top w:w="0" w:type="dxa"/>
            <w:left w:w="0" w:type="dxa"/>
            <w:bottom w:w="0" w:type="dxa"/>
            <w:right w:w="0" w:type="dxa"/>
          </w:tblCellMar>
        </w:tblPrEx>
        <w:trPr>
          <w:trHeight w:val="360" w:hRule="atLeast"/>
        </w:trPr>
        <w:tc>
          <w:tcPr>
            <w:tcW w:w="77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1.1</w:t>
            </w:r>
          </w:p>
        </w:tc>
        <w:tc>
          <w:tcPr>
            <w:tcW w:w="234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云服务器密码机</w:t>
            </w:r>
          </w:p>
        </w:tc>
        <w:tc>
          <w:tcPr>
            <w:tcW w:w="579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numPr>
                <w:ilvl w:val="0"/>
                <w:numId w:val="12"/>
              </w:numPr>
              <w:jc w:val="left"/>
              <w:rPr>
                <w:color w:val="auto"/>
                <w:highlight w:val="none"/>
              </w:rPr>
            </w:pPr>
            <w:r>
              <w:rPr>
                <w:rFonts w:hint="eastAsia"/>
                <w:color w:val="auto"/>
                <w:highlight w:val="none"/>
              </w:rPr>
              <w:t>≤2U设备,核数≥8个，内存≥64G，硬盘存储≥960G;网络端口≥2个;虚机数量≥16台；</w:t>
            </w:r>
            <w:r>
              <w:rPr>
                <w:rFonts w:hint="eastAsia"/>
                <w:color w:val="auto"/>
                <w:highlight w:val="none"/>
              </w:rPr>
              <w:br w:type="textWrapping"/>
            </w:r>
            <w:r>
              <w:rPr>
                <w:rFonts w:hint="eastAsia"/>
                <w:color w:val="auto"/>
                <w:highlight w:val="none"/>
              </w:rPr>
              <w:t>2.支持SM1、SM4等对称算法；支持SM2等非对称算法；支持SM3等摘要算法；</w:t>
            </w:r>
            <w:r>
              <w:rPr>
                <w:rFonts w:hint="eastAsia"/>
                <w:color w:val="auto"/>
                <w:highlight w:val="none"/>
              </w:rPr>
              <w:br w:type="textWrapping"/>
            </w:r>
            <w:r>
              <w:rPr>
                <w:rFonts w:hint="eastAsia"/>
                <w:color w:val="auto"/>
                <w:highlight w:val="none"/>
              </w:rPr>
              <w:t>3.支持符合GM/T0018《密码设备应用接口规范》和GM/T0019《通用密码服务接口》规范；支持PKCS#11、JCE等标准接口；</w:t>
            </w:r>
            <w:r>
              <w:rPr>
                <w:rFonts w:hint="eastAsia"/>
                <w:color w:val="auto"/>
                <w:highlight w:val="none"/>
              </w:rPr>
              <w:br w:type="textWrapping"/>
            </w:r>
            <w:r>
              <w:rPr>
                <w:rFonts w:hint="eastAsia"/>
                <w:color w:val="auto"/>
                <w:highlight w:val="none"/>
              </w:rPr>
              <w:t>4.支持通过管理平台实现远程、集中地安全管理；通过连接密码和白名单的支持，实现密码机对应用服务器的授权认证；</w:t>
            </w:r>
            <w:r>
              <w:rPr>
                <w:rFonts w:hint="eastAsia"/>
                <w:color w:val="auto"/>
                <w:highlight w:val="none"/>
              </w:rPr>
              <w:br w:type="textWrapping"/>
            </w:r>
            <w:r>
              <w:rPr>
                <w:rFonts w:hint="eastAsia"/>
                <w:color w:val="auto"/>
                <w:highlight w:val="none"/>
              </w:rPr>
              <w:t>5.支持网络双活配置；支持IPV6；</w:t>
            </w:r>
            <w:r>
              <w:rPr>
                <w:rFonts w:hint="eastAsia"/>
                <w:color w:val="auto"/>
                <w:highlight w:val="none"/>
              </w:rPr>
              <w:br w:type="textWrapping"/>
            </w:r>
            <w:r>
              <w:rPr>
                <w:rFonts w:hint="eastAsia"/>
                <w:color w:val="auto"/>
                <w:highlight w:val="none"/>
              </w:rPr>
              <w:t>6.支持云密码机虚机设备管理配置，支持用户多台虚拟化密码机的集群管理，可统一管理用户所有的虚拟密码机资源；支持网络虚拟化能力，可实现对虚拟交换机的集中管控，并提供虚拟密码机、虚拟交换机及物理网络接口间拓扑关系的可视化功能，支持动态呈现网络架构与连接状态，便于管理员实施高效运维管理与实时监控；</w:t>
            </w:r>
            <w:r>
              <w:rPr>
                <w:rFonts w:hint="eastAsia"/>
                <w:color w:val="auto"/>
                <w:highlight w:val="none"/>
              </w:rPr>
              <w:br w:type="textWrapping"/>
            </w:r>
            <w:r>
              <w:rPr>
                <w:rFonts w:hint="eastAsia"/>
                <w:color w:val="auto"/>
                <w:highlight w:val="none"/>
              </w:rPr>
              <w:t>7.支持虚拟密码机的创建/启动/停止/销毁；</w:t>
            </w:r>
            <w:r>
              <w:rPr>
                <w:rFonts w:hint="eastAsia"/>
                <w:color w:val="auto"/>
                <w:highlight w:val="none"/>
              </w:rPr>
              <w:br w:type="textWrapping"/>
            </w:r>
            <w:r>
              <w:rPr>
                <w:rFonts w:hint="eastAsia"/>
                <w:color w:val="auto"/>
                <w:highlight w:val="none"/>
              </w:rPr>
              <w:t>8.支持各虚拟化密码机之间的基于SR-IOV的硬件级安全隔离；</w:t>
            </w:r>
            <w:r>
              <w:rPr>
                <w:rFonts w:hint="eastAsia"/>
                <w:color w:val="auto"/>
                <w:highlight w:val="none"/>
              </w:rPr>
              <w:br w:type="textWrapping"/>
            </w:r>
            <w:r>
              <w:rPr>
                <w:rFonts w:hint="eastAsia"/>
                <w:color w:val="auto"/>
                <w:highlight w:val="none"/>
              </w:rPr>
              <w:t>9.支持对虚拟密码机内的资源结合业务需求动态分配设置；</w:t>
            </w:r>
            <w:r>
              <w:rPr>
                <w:rFonts w:hint="eastAsia"/>
                <w:color w:val="auto"/>
                <w:highlight w:val="none"/>
              </w:rPr>
              <w:br w:type="textWrapping"/>
            </w:r>
            <w:r>
              <w:rPr>
                <w:rFonts w:hint="eastAsia"/>
                <w:color w:val="auto"/>
                <w:highlight w:val="none"/>
              </w:rPr>
              <w:t>10.云密码机虚机支持通过VXLAN、地址映射等方式与租户VPC打通；</w:t>
            </w:r>
            <w:r>
              <w:rPr>
                <w:rFonts w:hint="eastAsia"/>
                <w:color w:val="auto"/>
                <w:highlight w:val="none"/>
              </w:rPr>
              <w:br w:type="textWrapping"/>
            </w:r>
            <w:r>
              <w:rPr>
                <w:rFonts w:hint="eastAsia"/>
                <w:color w:val="auto"/>
                <w:highlight w:val="none"/>
              </w:rPr>
              <w:t>11.安全密钥存储，采用硬件密码模块实现密钥的存储；支持密钥多级保护的体系结构逐级保护；</w:t>
            </w:r>
            <w:r>
              <w:rPr>
                <w:rFonts w:hint="eastAsia"/>
                <w:color w:val="auto"/>
                <w:highlight w:val="none"/>
              </w:rPr>
              <w:br w:type="textWrapping"/>
            </w:r>
            <w:r>
              <w:rPr>
                <w:rFonts w:hint="eastAsia"/>
                <w:color w:val="auto"/>
                <w:highlight w:val="none"/>
              </w:rPr>
              <w:t>12.支持对用户登录操作进行视图展示，对设备管理操作等行为进行审计；</w:t>
            </w:r>
            <w:r>
              <w:rPr>
                <w:rFonts w:hint="eastAsia"/>
                <w:color w:val="auto"/>
                <w:highlight w:val="none"/>
              </w:rPr>
              <w:br w:type="textWrapping"/>
            </w:r>
            <w:r>
              <w:rPr>
                <w:rFonts w:hint="eastAsia"/>
                <w:color w:val="auto"/>
                <w:highlight w:val="none"/>
              </w:rPr>
              <w:t>13.支持用户登录行为的可视化展示；支持云密码机用户数量、故障设备数量等信息统计分析，支持对虚拟化设备和实体设备的占比、设备分配情况、设备运行状态等统计分析信息；</w:t>
            </w:r>
            <w:r>
              <w:rPr>
                <w:rFonts w:hint="eastAsia"/>
                <w:color w:val="auto"/>
                <w:highlight w:val="none"/>
              </w:rPr>
              <w:br w:type="textWrapping"/>
            </w:r>
            <w:r>
              <w:rPr>
                <w:rFonts w:hint="eastAsia"/>
                <w:color w:val="auto"/>
                <w:highlight w:val="none"/>
              </w:rPr>
              <w:t>14.提供日志查看及导出功能，提供主机管理日志下载功能，支持管理日志和业务日志的下载功能；支持Web界面中实现网络抓包，可设置抓包个数、tcpdump命令，并具有实时显示窗口，展示数据包列表；支持Web界面中DNS查询、Ping、Traceroute、Curl工具，并提供实时显示窗口；</w:t>
            </w:r>
          </w:p>
          <w:p>
            <w:pPr>
              <w:jc w:val="left"/>
              <w:rPr>
                <w:color w:val="auto"/>
                <w:highlight w:val="none"/>
              </w:rPr>
            </w:pPr>
            <w:r>
              <w:rPr>
                <w:rFonts w:hint="eastAsia"/>
                <w:color w:val="auto"/>
                <w:highlight w:val="none"/>
              </w:rPr>
              <w:t>15. 256位SM2密钥对生成≧100000对/秒；SM2数字签名≧120000次/秒；SM2数字签名验证≧48000次/秒；SM2加密速率（32KB包）≧450Mbps；SM2解密速率（32KB包）≧450Mbps；SM3运算速率≧2500Mbps；SM4运算速率≧4000Mbps；</w:t>
            </w:r>
          </w:p>
        </w:tc>
        <w:tc>
          <w:tcPr>
            <w:tcW w:w="70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2套</w:t>
            </w:r>
          </w:p>
        </w:tc>
      </w:tr>
      <w:tr>
        <w:tblPrEx>
          <w:tblCellMar>
            <w:top w:w="0" w:type="dxa"/>
            <w:left w:w="0" w:type="dxa"/>
            <w:bottom w:w="0" w:type="dxa"/>
            <w:right w:w="0" w:type="dxa"/>
          </w:tblCellMar>
        </w:tblPrEx>
        <w:trPr>
          <w:trHeight w:val="420" w:hRule="atLeast"/>
        </w:trPr>
        <w:tc>
          <w:tcPr>
            <w:tcW w:w="77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1.2</w:t>
            </w:r>
          </w:p>
        </w:tc>
        <w:tc>
          <w:tcPr>
            <w:tcW w:w="234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IPSEC/SSL VPN综合安全网关</w:t>
            </w:r>
          </w:p>
        </w:tc>
        <w:tc>
          <w:tcPr>
            <w:tcW w:w="579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numPr>
                <w:ilvl w:val="0"/>
                <w:numId w:val="13"/>
              </w:numPr>
              <w:jc w:val="left"/>
              <w:rPr>
                <w:color w:val="auto"/>
                <w:highlight w:val="none"/>
              </w:rPr>
            </w:pPr>
            <w:r>
              <w:rPr>
                <w:rFonts w:hint="eastAsia"/>
                <w:color w:val="auto"/>
                <w:highlight w:val="none"/>
              </w:rPr>
              <w:t>≤2U设备,核数≥8个，内存≥16G，硬盘SSD存储≥128G;支持交直流电源输入;网络端口≥10个；</w:t>
            </w:r>
            <w:r>
              <w:rPr>
                <w:rFonts w:hint="eastAsia"/>
                <w:color w:val="auto"/>
                <w:highlight w:val="none"/>
              </w:rPr>
              <w:br w:type="textWrapping"/>
            </w:r>
            <w:r>
              <w:rPr>
                <w:rFonts w:hint="eastAsia"/>
                <w:color w:val="auto"/>
                <w:highlight w:val="none"/>
              </w:rPr>
              <w:t>2.支持SM2、SM3 、SM4等国密算法</w:t>
            </w:r>
            <w:r>
              <w:rPr>
                <w:rFonts w:hint="eastAsia"/>
                <w:color w:val="auto"/>
                <w:highlight w:val="none"/>
              </w:rPr>
              <w:br w:type="textWrapping"/>
            </w:r>
            <w:r>
              <w:rPr>
                <w:rFonts w:hint="eastAsia"/>
                <w:color w:val="auto"/>
                <w:highlight w:val="none"/>
              </w:rPr>
              <w:t>3.支持SSL、IPSec安全协议；</w:t>
            </w:r>
            <w:r>
              <w:rPr>
                <w:rFonts w:hint="eastAsia"/>
                <w:color w:val="auto"/>
                <w:highlight w:val="none"/>
              </w:rPr>
              <w:br w:type="textWrapping"/>
            </w:r>
            <w:r>
              <w:rPr>
                <w:rFonts w:hint="eastAsia"/>
                <w:color w:val="auto"/>
                <w:highlight w:val="none"/>
              </w:rPr>
              <w:t>4.网关新建连接数≥10000次/秒，设备吞吐量≥7Gbps；设备并发用户数≥2万;</w:t>
            </w:r>
            <w:r>
              <w:rPr>
                <w:rFonts w:hint="eastAsia"/>
                <w:color w:val="auto"/>
                <w:highlight w:val="none"/>
              </w:rPr>
              <w:br w:type="textWrapping"/>
            </w:r>
            <w:r>
              <w:rPr>
                <w:rFonts w:hint="eastAsia"/>
                <w:color w:val="auto"/>
                <w:highlight w:val="none"/>
              </w:rPr>
              <w:t>5.支持国密、国际算法套件，支持SSL3.0、TLSv1.0/v1.1/v1.2/v1.3</w:t>
            </w:r>
            <w:r>
              <w:rPr>
                <w:rFonts w:hint="eastAsia"/>
                <w:color w:val="auto"/>
                <w:highlight w:val="none"/>
              </w:rPr>
              <w:br w:type="textWrapping"/>
            </w:r>
            <w:r>
              <w:rPr>
                <w:rFonts w:hint="eastAsia"/>
                <w:color w:val="auto"/>
                <w:highlight w:val="none"/>
              </w:rPr>
              <w:t>6.对用户连接数、系统资源占用等信息进行详细统计；</w:t>
            </w:r>
            <w:r>
              <w:rPr>
                <w:rFonts w:hint="eastAsia"/>
                <w:color w:val="auto"/>
                <w:highlight w:val="none"/>
              </w:rPr>
              <w:br w:type="textWrapping"/>
            </w:r>
            <w:r>
              <w:rPr>
                <w:rFonts w:hint="eastAsia"/>
                <w:color w:val="auto"/>
                <w:highlight w:val="none"/>
              </w:rPr>
              <w:t>7.支持国密浏览器配合网关产品直接进行业务访问， 可通过抑制、加密、替换、散列等脱敏方式实现用户侧敏感数据脱敏，内置多种脱敏算法，如身份证、日期、Email地址等。</w:t>
            </w:r>
            <w:r>
              <w:rPr>
                <w:rFonts w:hint="eastAsia"/>
                <w:color w:val="auto"/>
                <w:highlight w:val="none"/>
              </w:rPr>
              <w:br w:type="textWrapping"/>
            </w:r>
            <w:r>
              <w:rPr>
                <w:rFonts w:hint="eastAsia"/>
                <w:color w:val="auto"/>
                <w:highlight w:val="none"/>
              </w:rPr>
              <w:t>8.支持对CPU、内存、磁盘容量、连接数等资源情况进行实时展示</w:t>
            </w:r>
            <w:r>
              <w:rPr>
                <w:rFonts w:hint="eastAsia"/>
                <w:color w:val="auto"/>
                <w:highlight w:val="none"/>
              </w:rPr>
              <w:br w:type="textWrapping"/>
            </w:r>
            <w:r>
              <w:rPr>
                <w:rFonts w:hint="eastAsia"/>
                <w:color w:val="auto"/>
                <w:highlight w:val="none"/>
              </w:rPr>
              <w:t>9.支持基于IP 的B/S C/S网络应用；</w:t>
            </w:r>
            <w:r>
              <w:rPr>
                <w:rFonts w:hint="eastAsia"/>
                <w:color w:val="auto"/>
                <w:highlight w:val="none"/>
              </w:rPr>
              <w:br w:type="textWrapping"/>
            </w:r>
            <w:r>
              <w:rPr>
                <w:rFonts w:hint="eastAsia"/>
                <w:color w:val="auto"/>
                <w:highlight w:val="none"/>
              </w:rPr>
              <w:t>10.支持根证书管理：自签证书、导入第三方根证书，支持根证书链管理。</w:t>
            </w:r>
            <w:r>
              <w:rPr>
                <w:rFonts w:hint="eastAsia"/>
                <w:color w:val="auto"/>
                <w:highlight w:val="none"/>
              </w:rPr>
              <w:br w:type="textWrapping"/>
            </w:r>
            <w:r>
              <w:rPr>
                <w:rFonts w:hint="eastAsia"/>
                <w:color w:val="auto"/>
                <w:highlight w:val="none"/>
              </w:rPr>
              <w:t>11.支持配置IP 级访问控制。</w:t>
            </w:r>
            <w:r>
              <w:rPr>
                <w:rFonts w:hint="eastAsia"/>
                <w:color w:val="auto"/>
                <w:highlight w:val="none"/>
              </w:rPr>
              <w:br w:type="textWrapping"/>
            </w:r>
            <w:r>
              <w:rPr>
                <w:rFonts w:hint="eastAsia"/>
                <w:color w:val="auto"/>
                <w:highlight w:val="none"/>
              </w:rPr>
              <w:t>12.支持多个证书、国际/国密证书策略配置。</w:t>
            </w:r>
            <w:r>
              <w:rPr>
                <w:rFonts w:hint="eastAsia"/>
                <w:color w:val="auto"/>
                <w:highlight w:val="none"/>
              </w:rPr>
              <w:br w:type="textWrapping"/>
            </w:r>
            <w:r>
              <w:rPr>
                <w:rFonts w:hint="eastAsia"/>
                <w:color w:val="auto"/>
                <w:highlight w:val="none"/>
              </w:rPr>
              <w:t>13.网关支持Web方式的系统远程升级。支持双分区、四分区一键版本升级与切换功能，管理员可一键切换至任意版本，无需重新配置</w:t>
            </w:r>
            <w:r>
              <w:rPr>
                <w:rFonts w:hint="eastAsia"/>
                <w:color w:val="auto"/>
                <w:highlight w:val="none"/>
              </w:rPr>
              <w:br w:type="textWrapping"/>
            </w:r>
            <w:r>
              <w:rPr>
                <w:rFonts w:hint="eastAsia"/>
                <w:color w:val="auto"/>
                <w:highlight w:val="none"/>
              </w:rPr>
              <w:t>14.支持用户管理：根据三权分立原则划分用户角色及权限，包括系统管理员、系统操作员、系统审计员</w:t>
            </w:r>
          </w:p>
        </w:tc>
        <w:tc>
          <w:tcPr>
            <w:tcW w:w="70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2套</w:t>
            </w:r>
          </w:p>
        </w:tc>
      </w:tr>
    </w:tbl>
    <w:p>
      <w:pPr>
        <w:rPr>
          <w:color w:val="auto"/>
          <w:highlight w:val="none"/>
        </w:rPr>
      </w:pPr>
    </w:p>
    <w:tbl>
      <w:tblPr>
        <w:tblStyle w:val="52"/>
        <w:tblW w:w="9605" w:type="dxa"/>
        <w:tblInd w:w="0" w:type="dxa"/>
        <w:tblLayout w:type="fixed"/>
        <w:tblCellMar>
          <w:top w:w="0" w:type="dxa"/>
          <w:left w:w="0" w:type="dxa"/>
          <w:bottom w:w="0" w:type="dxa"/>
          <w:right w:w="0" w:type="dxa"/>
        </w:tblCellMar>
      </w:tblPr>
      <w:tblGrid>
        <w:gridCol w:w="770"/>
        <w:gridCol w:w="2340"/>
        <w:gridCol w:w="5790"/>
        <w:gridCol w:w="705"/>
      </w:tblGrid>
      <w:tr>
        <w:tblPrEx>
          <w:tblCellMar>
            <w:top w:w="0" w:type="dxa"/>
            <w:left w:w="0" w:type="dxa"/>
            <w:bottom w:w="0" w:type="dxa"/>
            <w:right w:w="0" w:type="dxa"/>
          </w:tblCellMar>
        </w:tblPrEx>
        <w:trPr>
          <w:trHeight w:val="420" w:hRule="atLeast"/>
        </w:trPr>
        <w:tc>
          <w:tcPr>
            <w:tcW w:w="77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1.3</w:t>
            </w:r>
          </w:p>
        </w:tc>
        <w:tc>
          <w:tcPr>
            <w:tcW w:w="234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rPr>
                <w:color w:val="auto"/>
                <w:highlight w:val="none"/>
              </w:rPr>
            </w:pPr>
            <w:r>
              <w:rPr>
                <w:rFonts w:hint="eastAsia"/>
                <w:color w:val="auto"/>
                <w:highlight w:val="none"/>
              </w:rPr>
              <w:t>SSL VPN网关</w:t>
            </w:r>
          </w:p>
        </w:tc>
        <w:tc>
          <w:tcPr>
            <w:tcW w:w="579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numPr>
                <w:ilvl w:val="0"/>
                <w:numId w:val="14"/>
              </w:numPr>
              <w:jc w:val="left"/>
              <w:rPr>
                <w:color w:val="auto"/>
                <w:highlight w:val="none"/>
              </w:rPr>
            </w:pPr>
            <w:r>
              <w:rPr>
                <w:rFonts w:hint="eastAsia"/>
                <w:color w:val="auto"/>
                <w:highlight w:val="none"/>
              </w:rPr>
              <w:t>≤2U设备,核数≥8个，内存≥16G，硬盘SSD存储≥128G;支持交直流电源输入;网络端口≥10个；</w:t>
            </w:r>
            <w:r>
              <w:rPr>
                <w:rFonts w:hint="eastAsia"/>
                <w:color w:val="auto"/>
                <w:highlight w:val="none"/>
              </w:rPr>
              <w:br w:type="textWrapping"/>
            </w:r>
            <w:r>
              <w:rPr>
                <w:rFonts w:hint="eastAsia"/>
                <w:color w:val="auto"/>
                <w:highlight w:val="none"/>
              </w:rPr>
              <w:t>2.支持SM2、SM3 、SM4等国密算法</w:t>
            </w:r>
            <w:r>
              <w:rPr>
                <w:rFonts w:hint="eastAsia"/>
                <w:color w:val="auto"/>
                <w:highlight w:val="none"/>
              </w:rPr>
              <w:br w:type="textWrapping"/>
            </w:r>
            <w:r>
              <w:rPr>
                <w:rFonts w:hint="eastAsia"/>
                <w:color w:val="auto"/>
                <w:highlight w:val="none"/>
              </w:rPr>
              <w:t>3.支持SSL、IPSec安全协议；</w:t>
            </w:r>
            <w:r>
              <w:rPr>
                <w:rFonts w:hint="eastAsia"/>
                <w:color w:val="auto"/>
                <w:highlight w:val="none"/>
              </w:rPr>
              <w:br w:type="textWrapping"/>
            </w:r>
            <w:r>
              <w:rPr>
                <w:rFonts w:hint="eastAsia"/>
                <w:color w:val="auto"/>
                <w:highlight w:val="none"/>
              </w:rPr>
              <w:t>4.网关新建连接数≥10000次/秒，设备吞吐量≥7Gbps；设备并发用户数≥2万;</w:t>
            </w:r>
            <w:r>
              <w:rPr>
                <w:rFonts w:hint="eastAsia"/>
                <w:color w:val="auto"/>
                <w:highlight w:val="none"/>
              </w:rPr>
              <w:br w:type="textWrapping"/>
            </w:r>
            <w:r>
              <w:rPr>
                <w:rFonts w:hint="eastAsia"/>
                <w:color w:val="auto"/>
                <w:highlight w:val="none"/>
              </w:rPr>
              <w:t>5.支持国密、国际算法套件，支持SSL3.0、TLSv1.0/v1.1/v1.2/v1.3</w:t>
            </w:r>
            <w:r>
              <w:rPr>
                <w:rFonts w:hint="eastAsia"/>
                <w:color w:val="auto"/>
                <w:highlight w:val="none"/>
              </w:rPr>
              <w:br w:type="textWrapping"/>
            </w:r>
            <w:r>
              <w:rPr>
                <w:rFonts w:hint="eastAsia"/>
                <w:color w:val="auto"/>
                <w:highlight w:val="none"/>
              </w:rPr>
              <w:t>6.对用户连接数、系统资源占用等信息进行详细统计；</w:t>
            </w:r>
            <w:r>
              <w:rPr>
                <w:rFonts w:hint="eastAsia"/>
                <w:color w:val="auto"/>
                <w:highlight w:val="none"/>
              </w:rPr>
              <w:br w:type="textWrapping"/>
            </w:r>
            <w:r>
              <w:rPr>
                <w:rFonts w:hint="eastAsia"/>
                <w:color w:val="auto"/>
                <w:highlight w:val="none"/>
              </w:rPr>
              <w:t>7.支持国密浏览器配合网关产品直接进行业务访问，可在应用无改造的情况下，基于OAuth、SAML、LDAP、Radius等方式的安全认证代理实现虚拟服务对应客户端的身份认证与单点登录功能</w:t>
            </w:r>
            <w:r>
              <w:rPr>
                <w:rFonts w:hint="eastAsia"/>
                <w:color w:val="auto"/>
                <w:highlight w:val="none"/>
              </w:rPr>
              <w:br w:type="textWrapping"/>
            </w:r>
            <w:r>
              <w:rPr>
                <w:rFonts w:hint="eastAsia"/>
                <w:color w:val="auto"/>
                <w:highlight w:val="none"/>
              </w:rPr>
              <w:t>8.支持对CPU、内存、磁盘容量、连接数等资源情况进行实时展示</w:t>
            </w:r>
            <w:r>
              <w:rPr>
                <w:rFonts w:hint="eastAsia"/>
                <w:color w:val="auto"/>
                <w:highlight w:val="none"/>
              </w:rPr>
              <w:br w:type="textWrapping"/>
            </w:r>
            <w:r>
              <w:rPr>
                <w:rFonts w:hint="eastAsia"/>
                <w:color w:val="auto"/>
                <w:highlight w:val="none"/>
              </w:rPr>
              <w:t>9.支持基于IP 的B/S C/S网络应用；</w:t>
            </w:r>
            <w:r>
              <w:rPr>
                <w:rFonts w:hint="eastAsia"/>
                <w:color w:val="auto"/>
                <w:highlight w:val="none"/>
              </w:rPr>
              <w:br w:type="textWrapping"/>
            </w:r>
            <w:r>
              <w:rPr>
                <w:rFonts w:hint="eastAsia"/>
                <w:color w:val="auto"/>
                <w:highlight w:val="none"/>
              </w:rPr>
              <w:t>10.支持根证书管理：自签证书、导入第三方根证书，支持根证书链管理。</w:t>
            </w:r>
            <w:r>
              <w:rPr>
                <w:rFonts w:hint="eastAsia"/>
                <w:color w:val="auto"/>
                <w:highlight w:val="none"/>
              </w:rPr>
              <w:br w:type="textWrapping"/>
            </w:r>
            <w:r>
              <w:rPr>
                <w:rFonts w:hint="eastAsia"/>
                <w:color w:val="auto"/>
                <w:highlight w:val="none"/>
              </w:rPr>
              <w:t>11.支持配置IP 级访问控制，无需逻辑编程，通过配置虚链接功能即可实现不同负载均衡方法的多级嵌套。</w:t>
            </w:r>
            <w:r>
              <w:rPr>
                <w:rFonts w:hint="eastAsia"/>
                <w:color w:val="auto"/>
                <w:highlight w:val="none"/>
              </w:rPr>
              <w:br w:type="textWrapping"/>
            </w:r>
            <w:r>
              <w:rPr>
                <w:rFonts w:hint="eastAsia"/>
                <w:color w:val="auto"/>
                <w:highlight w:val="none"/>
              </w:rPr>
              <w:t>12.支持多个证书、国际/国密证书策略配置。</w:t>
            </w:r>
            <w:r>
              <w:rPr>
                <w:rFonts w:hint="eastAsia"/>
                <w:color w:val="auto"/>
                <w:highlight w:val="none"/>
              </w:rPr>
              <w:br w:type="textWrapping"/>
            </w:r>
            <w:r>
              <w:rPr>
                <w:rFonts w:hint="eastAsia"/>
                <w:color w:val="auto"/>
                <w:highlight w:val="none"/>
              </w:rPr>
              <w:t>13.网关支持Web方式的系统远程升级。</w:t>
            </w:r>
            <w:r>
              <w:rPr>
                <w:rFonts w:hint="eastAsia"/>
                <w:color w:val="auto"/>
                <w:highlight w:val="none"/>
              </w:rPr>
              <w:br w:type="textWrapping"/>
            </w:r>
            <w:r>
              <w:rPr>
                <w:rFonts w:hint="eastAsia"/>
                <w:color w:val="auto"/>
                <w:highlight w:val="none"/>
              </w:rPr>
              <w:t>14.支持用户管理：根据三权分立原则划分用户角色及权限，包括系统管理员、系统操作员、系统审计员。</w:t>
            </w:r>
          </w:p>
        </w:tc>
        <w:tc>
          <w:tcPr>
            <w:tcW w:w="70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1套</w:t>
            </w:r>
          </w:p>
        </w:tc>
      </w:tr>
      <w:tr>
        <w:tblPrEx>
          <w:tblCellMar>
            <w:top w:w="0" w:type="dxa"/>
            <w:left w:w="0" w:type="dxa"/>
            <w:bottom w:w="0" w:type="dxa"/>
            <w:right w:w="0" w:type="dxa"/>
          </w:tblCellMar>
        </w:tblPrEx>
        <w:trPr>
          <w:trHeight w:val="360" w:hRule="atLeast"/>
        </w:trPr>
        <w:tc>
          <w:tcPr>
            <w:tcW w:w="77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1.4</w:t>
            </w:r>
          </w:p>
        </w:tc>
        <w:tc>
          <w:tcPr>
            <w:tcW w:w="234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数据库加密机</w:t>
            </w:r>
          </w:p>
        </w:tc>
        <w:tc>
          <w:tcPr>
            <w:tcW w:w="579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1.≤2U设备,核数≥8个，内存≥16G，硬盘存储≥1T;网络端口≥2个;</w:t>
            </w:r>
            <w:r>
              <w:rPr>
                <w:rFonts w:hint="eastAsia"/>
                <w:color w:val="auto"/>
                <w:highlight w:val="none"/>
              </w:rPr>
              <w:br w:type="textWrapping"/>
            </w:r>
            <w:r>
              <w:rPr>
                <w:rFonts w:hint="eastAsia"/>
                <w:color w:val="auto"/>
                <w:highlight w:val="none"/>
              </w:rPr>
              <w:t>2.采用驱动级透明加密技术，在数据存储时加密，数据查询过程中解密，加密和解密过程对用户和应用透明，不改变用户已有架构和使用方式；支持数据库字段级、数据库文件级数据透明加密，确保数据机密性；支持脏数据处理，跳跃迁移、随机生成、置空等方式处理脏数据，支持按全表、行数方式进行迁移脱敏; 脱敏任务运行报告支持统计表待脱敏行数、成功表数、失败表数、总表数、成功率、执行时长等数据；</w:t>
            </w:r>
            <w:r>
              <w:rPr>
                <w:rFonts w:hint="eastAsia"/>
                <w:color w:val="auto"/>
                <w:highlight w:val="none"/>
              </w:rPr>
              <w:br w:type="textWrapping"/>
            </w:r>
            <w:r>
              <w:rPr>
                <w:color w:val="auto"/>
                <w:highlight w:val="none"/>
              </w:rPr>
              <w:t>3.</w:t>
            </w:r>
            <w:r>
              <w:rPr>
                <w:rFonts w:hint="eastAsia"/>
                <w:color w:val="auto"/>
                <w:highlight w:val="none"/>
              </w:rPr>
              <w:t>在操作系统权限之上，设计一套权限控制机制，可设置操作系统用户和应用程序对加密文件的访问权限，可控制用户和进程对加密文件的权限；同时支持对数据库账号进行访问控制，依据数据库账号类型，将访问划分为未授权访问、授权访问，其中授权访问可查看数据明文，非授权访问仅可查看数据密文；</w:t>
            </w:r>
            <w:r>
              <w:rPr>
                <w:rFonts w:hint="eastAsia"/>
                <w:color w:val="auto"/>
                <w:highlight w:val="none"/>
              </w:rPr>
              <w:br w:type="textWrapping"/>
            </w:r>
            <w:r>
              <w:rPr>
                <w:rFonts w:hint="eastAsia"/>
                <w:color w:val="auto"/>
                <w:highlight w:val="none"/>
              </w:rPr>
              <w:t>4.采用两级密钥机制：数据密钥和主密钥。数据密钥用于加密文件内容，主密钥用于加密数据密钥，增强密钥安全性，提高对敏感数据的管理能力；</w:t>
            </w:r>
            <w:r>
              <w:rPr>
                <w:rFonts w:hint="eastAsia"/>
                <w:color w:val="auto"/>
                <w:highlight w:val="none"/>
              </w:rPr>
              <w:br w:type="textWrapping"/>
            </w:r>
            <w:r>
              <w:rPr>
                <w:rFonts w:hint="eastAsia"/>
                <w:color w:val="auto"/>
                <w:highlight w:val="none"/>
              </w:rPr>
              <w:t>5.管理界面进行集中的策略管理，对服务器上文件进行集中加密和权限配置；</w:t>
            </w:r>
            <w:r>
              <w:rPr>
                <w:rFonts w:hint="eastAsia"/>
                <w:color w:val="auto"/>
                <w:highlight w:val="none"/>
              </w:rPr>
              <w:br w:type="textWrapping"/>
            </w:r>
            <w:r>
              <w:rPr>
                <w:rFonts w:hint="eastAsia"/>
                <w:color w:val="auto"/>
                <w:highlight w:val="none"/>
              </w:rPr>
              <w:t>6.支持采用基于数字证书的硬件智能密码钥匙（USBKEY）“双因子”认证方式实现管理人员的身份鉴别；</w:t>
            </w:r>
            <w:r>
              <w:rPr>
                <w:rFonts w:hint="eastAsia"/>
                <w:color w:val="auto"/>
                <w:highlight w:val="none"/>
              </w:rPr>
              <w:br w:type="textWrapping"/>
            </w:r>
            <w:r>
              <w:rPr>
                <w:rFonts w:hint="eastAsia"/>
                <w:color w:val="auto"/>
                <w:highlight w:val="none"/>
              </w:rPr>
              <w:t>7.支持多种数据库加密，包括MySQL、PostgreSQL、达梦、翰高、人大金仓、海量等数据库；支持将应用系统、数据库用户名口令、AK/SK、SSH Key等凭据进行统一管理的凭据管理能力，凭据状态支持启用、禁用、计划删除</w:t>
            </w:r>
            <w:r>
              <w:rPr>
                <w:rFonts w:hint="eastAsia"/>
                <w:color w:val="auto"/>
                <w:highlight w:val="none"/>
              </w:rPr>
              <w:br w:type="textWrapping"/>
            </w:r>
            <w:r>
              <w:rPr>
                <w:rFonts w:hint="eastAsia"/>
                <w:color w:val="auto"/>
                <w:highlight w:val="none"/>
              </w:rPr>
              <w:t>8.支持系统用户管理：支持根据三权分立原则划分用户角色及权限，包括管理员、审计员、操作员；</w:t>
            </w:r>
          </w:p>
        </w:tc>
        <w:tc>
          <w:tcPr>
            <w:tcW w:w="70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2套</w:t>
            </w:r>
          </w:p>
        </w:tc>
      </w:tr>
    </w:tbl>
    <w:p>
      <w:pPr>
        <w:rPr>
          <w:color w:val="auto"/>
          <w:highlight w:val="none"/>
        </w:rPr>
      </w:pPr>
    </w:p>
    <w:p>
      <w:pPr>
        <w:pStyle w:val="7"/>
        <w:rPr>
          <w:color w:val="auto"/>
          <w:highlight w:val="none"/>
        </w:rPr>
      </w:pPr>
      <w:r>
        <w:rPr>
          <w:rFonts w:hint="eastAsia"/>
          <w:color w:val="auto"/>
          <w:highlight w:val="none"/>
        </w:rPr>
        <w:t>3、软件产品（清单）</w:t>
      </w:r>
    </w:p>
    <w:p>
      <w:pPr>
        <w:rPr>
          <w:color w:val="auto"/>
          <w:highlight w:val="none"/>
        </w:rPr>
      </w:pPr>
      <w:r>
        <w:rPr>
          <w:rFonts w:hint="eastAsia"/>
          <w:color w:val="auto"/>
          <w:highlight w:val="none"/>
        </w:rPr>
        <w:t>▲本项目软件产品如涉及与现有平台及产品对接与管理需求的需满足兼容性要求，能对接现有与本次升级平台及产品的对接或纳管。</w:t>
      </w:r>
    </w:p>
    <w:p>
      <w:pPr>
        <w:rPr>
          <w:color w:val="auto"/>
          <w:highlight w:val="none"/>
        </w:rPr>
      </w:pPr>
      <w:r>
        <w:rPr>
          <w:rFonts w:hint="eastAsia"/>
          <w:color w:val="auto"/>
          <w:highlight w:val="none"/>
        </w:rPr>
        <w:t>▲本项目软件产品包含三年运维服务。</w:t>
      </w:r>
    </w:p>
    <w:p>
      <w:pPr>
        <w:pStyle w:val="8"/>
        <w:rPr>
          <w:color w:val="auto"/>
          <w:highlight w:val="none"/>
        </w:rPr>
      </w:pPr>
      <w:r>
        <w:rPr>
          <w:rFonts w:hint="eastAsia"/>
          <w:color w:val="auto"/>
          <w:highlight w:val="none"/>
        </w:rPr>
        <w:t>（1）云平台扩容</w:t>
      </w:r>
    </w:p>
    <w:p>
      <w:pPr>
        <w:rPr>
          <w:color w:val="auto"/>
          <w:highlight w:val="none"/>
        </w:rPr>
      </w:pPr>
      <w:r>
        <w:rPr>
          <w:rFonts w:hint="eastAsia"/>
          <w:color w:val="auto"/>
          <w:highlight w:val="none"/>
        </w:rPr>
        <w:t>▲核心业务区云平台为</w:t>
      </w:r>
      <w:r>
        <w:rPr>
          <w:rFonts w:hint="eastAsia"/>
          <w:b/>
          <w:bCs/>
          <w:color w:val="auto"/>
          <w:highlight w:val="none"/>
        </w:rPr>
        <w:t>阿里云</w:t>
      </w:r>
      <w:r>
        <w:rPr>
          <w:rFonts w:hint="eastAsia"/>
          <w:color w:val="auto"/>
          <w:highlight w:val="none"/>
        </w:rPr>
        <w:t>，本次扩容需承诺所投云平台产品可</w:t>
      </w:r>
      <w:r>
        <w:rPr>
          <w:rFonts w:hint="eastAsia"/>
          <w:b/>
          <w:bCs/>
          <w:color w:val="auto"/>
          <w:highlight w:val="none"/>
        </w:rPr>
        <w:t>与现有平台无缝对接与兼容，并在交付时提供兼容证明</w:t>
      </w:r>
      <w:r>
        <w:rPr>
          <w:rFonts w:hint="eastAsia"/>
          <w:color w:val="auto"/>
          <w:highlight w:val="none"/>
        </w:rPr>
        <w:t>。</w:t>
      </w:r>
    </w:p>
    <w:tbl>
      <w:tblPr>
        <w:tblStyle w:val="52"/>
        <w:tblW w:w="4997" w:type="pct"/>
        <w:tblInd w:w="0" w:type="dxa"/>
        <w:tblLayout w:type="autofit"/>
        <w:tblCellMar>
          <w:top w:w="0" w:type="dxa"/>
          <w:left w:w="0" w:type="dxa"/>
          <w:bottom w:w="0" w:type="dxa"/>
          <w:right w:w="0" w:type="dxa"/>
        </w:tblCellMar>
      </w:tblPr>
      <w:tblGrid>
        <w:gridCol w:w="398"/>
        <w:gridCol w:w="794"/>
        <w:gridCol w:w="7581"/>
        <w:gridCol w:w="663"/>
      </w:tblGrid>
      <w:tr>
        <w:tblPrEx>
          <w:tblCellMar>
            <w:top w:w="0" w:type="dxa"/>
            <w:left w:w="0" w:type="dxa"/>
            <w:bottom w:w="0" w:type="dxa"/>
            <w:right w:w="0" w:type="dxa"/>
          </w:tblCellMar>
        </w:tblPrEx>
        <w:trPr>
          <w:trHeight w:val="363" w:hRule="atLeast"/>
          <w:tblHeader/>
        </w:trPr>
        <w:tc>
          <w:tcPr>
            <w:tcW w:w="210"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b/>
                <w:color w:val="auto"/>
                <w:highlight w:val="none"/>
              </w:rPr>
            </w:pPr>
            <w:r>
              <w:rPr>
                <w:rFonts w:hint="eastAsia"/>
                <w:b/>
                <w:color w:val="auto"/>
                <w:highlight w:val="none"/>
              </w:rPr>
              <w:t>序号</w:t>
            </w:r>
          </w:p>
        </w:tc>
        <w:tc>
          <w:tcPr>
            <w:tcW w:w="421"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b/>
                <w:color w:val="auto"/>
                <w:highlight w:val="none"/>
              </w:rPr>
            </w:pPr>
            <w:r>
              <w:rPr>
                <w:rFonts w:hint="eastAsia"/>
                <w:b/>
                <w:color w:val="auto"/>
                <w:highlight w:val="none"/>
              </w:rPr>
              <w:t>软件</w:t>
            </w:r>
          </w:p>
          <w:p>
            <w:pPr>
              <w:jc w:val="center"/>
              <w:rPr>
                <w:b/>
                <w:color w:val="auto"/>
                <w:highlight w:val="none"/>
              </w:rPr>
            </w:pPr>
            <w:r>
              <w:rPr>
                <w:rFonts w:hint="eastAsia"/>
                <w:b/>
                <w:color w:val="auto"/>
                <w:highlight w:val="none"/>
              </w:rPr>
              <w:t>产品</w:t>
            </w:r>
          </w:p>
        </w:tc>
        <w:tc>
          <w:tcPr>
            <w:tcW w:w="4016"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b/>
                <w:color w:val="auto"/>
                <w:highlight w:val="none"/>
              </w:rPr>
            </w:pPr>
            <w:r>
              <w:rPr>
                <w:rFonts w:hint="eastAsia"/>
                <w:b/>
                <w:color w:val="auto"/>
                <w:highlight w:val="none"/>
              </w:rPr>
              <w:t>性能参数</w:t>
            </w:r>
          </w:p>
        </w:tc>
        <w:tc>
          <w:tcPr>
            <w:tcW w:w="351"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rPr>
                <w:b/>
                <w:color w:val="auto"/>
                <w:highlight w:val="none"/>
              </w:rPr>
            </w:pPr>
            <w:r>
              <w:rPr>
                <w:rFonts w:hint="eastAsia"/>
                <w:b/>
                <w:color w:val="auto"/>
                <w:highlight w:val="none"/>
              </w:rPr>
              <w:t>数量（套）</w:t>
            </w:r>
          </w:p>
        </w:tc>
      </w:tr>
      <w:tr>
        <w:tblPrEx>
          <w:tblCellMar>
            <w:top w:w="0" w:type="dxa"/>
            <w:left w:w="0" w:type="dxa"/>
            <w:bottom w:w="0" w:type="dxa"/>
            <w:right w:w="0" w:type="dxa"/>
          </w:tblCellMar>
        </w:tblPrEx>
        <w:trPr>
          <w:trHeight w:val="360" w:hRule="atLeast"/>
        </w:trPr>
        <w:tc>
          <w:tcPr>
            <w:tcW w:w="210"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rPr>
                <w:b/>
                <w:color w:val="auto"/>
                <w:highlight w:val="none"/>
              </w:rPr>
            </w:pPr>
            <w:r>
              <w:rPr>
                <w:rFonts w:hint="eastAsia"/>
                <w:b/>
                <w:color w:val="auto"/>
                <w:highlight w:val="none"/>
              </w:rPr>
              <w:t>1</w:t>
            </w:r>
          </w:p>
        </w:tc>
        <w:tc>
          <w:tcPr>
            <w:tcW w:w="4437" w:type="pct"/>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rPr>
                <w:b/>
                <w:color w:val="auto"/>
                <w:highlight w:val="none"/>
              </w:rPr>
            </w:pPr>
            <w:r>
              <w:rPr>
                <w:rFonts w:hint="eastAsia"/>
                <w:b/>
                <w:color w:val="auto"/>
                <w:highlight w:val="none"/>
              </w:rPr>
              <w:t>核心业务区扩容</w:t>
            </w:r>
          </w:p>
        </w:tc>
        <w:tc>
          <w:tcPr>
            <w:tcW w:w="351"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rPr>
                <w:b/>
                <w:color w:val="auto"/>
                <w:highlight w:val="none"/>
              </w:rPr>
            </w:pPr>
          </w:p>
        </w:tc>
      </w:tr>
      <w:tr>
        <w:tblPrEx>
          <w:tblCellMar>
            <w:top w:w="0" w:type="dxa"/>
            <w:left w:w="0" w:type="dxa"/>
            <w:bottom w:w="0" w:type="dxa"/>
            <w:right w:w="0" w:type="dxa"/>
          </w:tblCellMar>
        </w:tblPrEx>
        <w:trPr>
          <w:trHeight w:val="360" w:hRule="atLeast"/>
        </w:trPr>
        <w:tc>
          <w:tcPr>
            <w:tcW w:w="210"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rPr>
                <w:color w:val="auto"/>
                <w:highlight w:val="none"/>
              </w:rPr>
            </w:pPr>
            <w:r>
              <w:rPr>
                <w:rFonts w:hint="eastAsia"/>
                <w:color w:val="auto"/>
                <w:highlight w:val="none"/>
              </w:rPr>
              <w:t>1.1</w:t>
            </w:r>
          </w:p>
        </w:tc>
        <w:tc>
          <w:tcPr>
            <w:tcW w:w="421"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rPr>
                <w:color w:val="auto"/>
                <w:highlight w:val="none"/>
              </w:rPr>
            </w:pPr>
            <w:r>
              <w:rPr>
                <w:rFonts w:hint="eastAsia"/>
                <w:color w:val="auto"/>
                <w:highlight w:val="none"/>
              </w:rPr>
              <w:t>企业级分布式应用服务软件授权采购</w:t>
            </w:r>
          </w:p>
        </w:tc>
        <w:tc>
          <w:tcPr>
            <w:tcW w:w="4016"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▲满足项目需求，采购200vCPU软件授权，提供永久使用授权和三年软件质保服务，质保服务内容包括软件故障解决、软件漏洞修复和软件版本更新。</w:t>
            </w:r>
            <w:r>
              <w:rPr>
                <w:rFonts w:hint="eastAsia"/>
                <w:color w:val="auto"/>
                <w:highlight w:val="none"/>
              </w:rPr>
              <w:br w:type="textWrapping"/>
            </w:r>
            <w:r>
              <w:rPr>
                <w:rFonts w:hint="eastAsia"/>
                <w:color w:val="auto"/>
                <w:highlight w:val="none"/>
              </w:rPr>
              <w:t>1）生命周期管理能力：支持对服务进行全生命周期管理，包括应用的创建、部署、启动、扩容、停止和下线等全生命周期管理功能；提供rpc、restful等通用协议进行服务间通信，满足业务中台和业务子系统的应用。提供自动化的服务注册，服务自动发现，服务检查能力，提供Web界面形式的运维管控平台。</w:t>
            </w:r>
            <w:r>
              <w:rPr>
                <w:rFonts w:hint="eastAsia"/>
                <w:color w:val="auto"/>
                <w:highlight w:val="none"/>
              </w:rPr>
              <w:br w:type="textWrapping"/>
            </w:r>
            <w:r>
              <w:rPr>
                <w:rFonts w:hint="eastAsia"/>
                <w:color w:val="auto"/>
                <w:highlight w:val="none"/>
              </w:rPr>
              <w:t>2）弹性伸缩能力：创建和维护自动弹性伸缩规则。当规则被触发时将自动进行弹性扩容或缩容。支持CPU、响应时间和负载等触发指标。</w:t>
            </w:r>
            <w:r>
              <w:rPr>
                <w:rFonts w:hint="eastAsia"/>
                <w:color w:val="auto"/>
                <w:highlight w:val="none"/>
              </w:rPr>
              <w:br w:type="textWrapping"/>
            </w:r>
            <w:r>
              <w:rPr>
                <w:rFonts w:hint="eastAsia"/>
                <w:color w:val="auto"/>
                <w:highlight w:val="none"/>
              </w:rPr>
              <w:t>3）安全隔离能力微服务面向多个业务子中心，多个用户受众，需要支持命名空间隔离，支持服务分组的功能；通过完整的多用户隔离机制，保障用户数据的私密性；通过完善的主子账号体系，能够实现同一个主账号将自己的资源按需分配给多个子账号。</w:t>
            </w:r>
            <w:r>
              <w:rPr>
                <w:rFonts w:hint="eastAsia"/>
                <w:color w:val="auto"/>
                <w:highlight w:val="none"/>
              </w:rPr>
              <w:br w:type="textWrapping"/>
            </w:r>
            <w:r>
              <w:rPr>
                <w:rFonts w:hint="eastAsia"/>
                <w:color w:val="auto"/>
                <w:highlight w:val="none"/>
              </w:rPr>
              <w:t>4）链路跟踪故障诊断能力微服务管理复杂错综，支持扩展分布式服务对服务调用链进行追踪的功能，实现Web界面可视化的调用链路的跟踪展示。</w:t>
            </w:r>
            <w:r>
              <w:rPr>
                <w:rFonts w:hint="eastAsia"/>
                <w:color w:val="auto"/>
                <w:highlight w:val="none"/>
              </w:rPr>
              <w:br w:type="textWrapping"/>
            </w:r>
            <w:r>
              <w:rPr>
                <w:rFonts w:hint="eastAsia"/>
                <w:color w:val="auto"/>
                <w:highlight w:val="none"/>
              </w:rPr>
              <w:t>5）灰度发布能力医保信息平台作为全新平台，访问量大，社会敏感度高，分布式服务需要支持一个应用的多个版本并存，对节点进行分组升级，控制流量比例，确保业务平稳升级。</w:t>
            </w:r>
          </w:p>
        </w:tc>
        <w:tc>
          <w:tcPr>
            <w:tcW w:w="351"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1套</w:t>
            </w:r>
          </w:p>
        </w:tc>
      </w:tr>
      <w:tr>
        <w:tblPrEx>
          <w:tblCellMar>
            <w:top w:w="0" w:type="dxa"/>
            <w:left w:w="0" w:type="dxa"/>
            <w:bottom w:w="0" w:type="dxa"/>
            <w:right w:w="0" w:type="dxa"/>
          </w:tblCellMar>
        </w:tblPrEx>
        <w:trPr>
          <w:trHeight w:val="360" w:hRule="atLeast"/>
        </w:trPr>
        <w:tc>
          <w:tcPr>
            <w:tcW w:w="210"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1.2</w:t>
            </w:r>
          </w:p>
        </w:tc>
        <w:tc>
          <w:tcPr>
            <w:tcW w:w="421"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应用实时监控软件授权采购</w:t>
            </w:r>
          </w:p>
        </w:tc>
        <w:tc>
          <w:tcPr>
            <w:tcW w:w="4016"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▲满足项目需求，采购200vCPU软件授权，提供永久使用授权和三年软件质保服务，质保服务内容包括软件故障解决、软件漏洞修复和软件版本更新。</w:t>
            </w:r>
            <w:r>
              <w:rPr>
                <w:rFonts w:hint="eastAsia"/>
                <w:color w:val="auto"/>
                <w:highlight w:val="none"/>
              </w:rPr>
              <w:br w:type="textWrapping"/>
            </w:r>
            <w:r>
              <w:rPr>
                <w:rFonts w:hint="eastAsia"/>
                <w:color w:val="auto"/>
                <w:highlight w:val="none"/>
              </w:rPr>
              <w:t>1）一键接入：通过与企业级分布式应用服务集成，在企业级分布式应用服务中部署的应用可以一键接入进行监控，无需下载部署探针。</w:t>
            </w:r>
            <w:r>
              <w:rPr>
                <w:rFonts w:hint="eastAsia"/>
                <w:color w:val="auto"/>
                <w:highlight w:val="none"/>
              </w:rPr>
              <w:br w:type="textWrapping"/>
            </w:r>
            <w:r>
              <w:rPr>
                <w:rFonts w:hint="eastAsia"/>
                <w:color w:val="auto"/>
                <w:highlight w:val="none"/>
              </w:rPr>
              <w:t>2）应用主动诊断能力：支持慢调用、慢SQL、异常、CPU使用率过高、内存溢出、线程Dump等多种典型问题的根因定位能力。</w:t>
            </w:r>
            <w:r>
              <w:rPr>
                <w:rFonts w:hint="eastAsia"/>
                <w:color w:val="auto"/>
                <w:highlight w:val="none"/>
              </w:rPr>
              <w:br w:type="textWrapping"/>
            </w:r>
            <w:r>
              <w:rPr>
                <w:rFonts w:hint="eastAsia"/>
                <w:color w:val="auto"/>
                <w:highlight w:val="none"/>
              </w:rPr>
              <w:t>3）无损统计：应用监控整体流程符合流式计算。应用程序通过集成应用监控的客户端Agent上报服务调用数据，数据流入数据通道进行统一管理和缓存，从数据通道流入实时计算引擎进行实时计算，实时计算的结果流入持久化存储进行统一管理。</w:t>
            </w:r>
            <w:r>
              <w:rPr>
                <w:rFonts w:hint="eastAsia"/>
                <w:color w:val="auto"/>
                <w:highlight w:val="none"/>
              </w:rPr>
              <w:br w:type="textWrapping"/>
            </w:r>
            <w:r>
              <w:rPr>
                <w:rFonts w:hint="eastAsia"/>
                <w:color w:val="auto"/>
                <w:highlight w:val="none"/>
              </w:rPr>
              <w:t>4）动态配置下发：应用监控服务Agent支持调用链采样率、自定义慢阈值、Agent开关等多种参数进行白屏配置，配置自动下发到Agent端，无需重启应用即可生效。</w:t>
            </w:r>
            <w:r>
              <w:rPr>
                <w:rFonts w:hint="eastAsia"/>
                <w:color w:val="auto"/>
                <w:highlight w:val="none"/>
              </w:rPr>
              <w:br w:type="textWrapping"/>
            </w:r>
            <w:r>
              <w:rPr>
                <w:rFonts w:hint="eastAsia"/>
                <w:color w:val="auto"/>
                <w:highlight w:val="none"/>
              </w:rPr>
              <w:t>5）丰富的性能分析指标：应用监控服务以应用为中心，包含应用、JVM、主机、异常分析、SQL分析、接口快照等多种维度的性能分析和监控能力。</w:t>
            </w:r>
          </w:p>
        </w:tc>
        <w:tc>
          <w:tcPr>
            <w:tcW w:w="351"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1套</w:t>
            </w:r>
          </w:p>
        </w:tc>
      </w:tr>
      <w:tr>
        <w:tblPrEx>
          <w:tblCellMar>
            <w:top w:w="0" w:type="dxa"/>
            <w:left w:w="0" w:type="dxa"/>
            <w:bottom w:w="0" w:type="dxa"/>
            <w:right w:w="0" w:type="dxa"/>
          </w:tblCellMar>
        </w:tblPrEx>
        <w:trPr>
          <w:trHeight w:val="360" w:hRule="atLeast"/>
        </w:trPr>
        <w:tc>
          <w:tcPr>
            <w:tcW w:w="210"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1.3</w:t>
            </w:r>
          </w:p>
        </w:tc>
        <w:tc>
          <w:tcPr>
            <w:tcW w:w="421"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数据集成组件授权采购</w:t>
            </w:r>
          </w:p>
        </w:tc>
        <w:tc>
          <w:tcPr>
            <w:tcW w:w="4016"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▲采购调度/数据集成资源组192core软件授权，承载数据集成离线调度任务，提供永久使用授权和三年软件质保服务，质保服务内容包括软件故障解决、软件漏洞修复和软件版本更新。</w:t>
            </w:r>
            <w:r>
              <w:rPr>
                <w:rFonts w:hint="eastAsia"/>
                <w:color w:val="auto"/>
                <w:highlight w:val="none"/>
              </w:rPr>
              <w:br w:type="textWrapping"/>
            </w:r>
            <w:r>
              <w:rPr>
                <w:rFonts w:hint="eastAsia"/>
                <w:color w:val="auto"/>
                <w:highlight w:val="none"/>
              </w:rPr>
              <w:t>1.支持复杂调度能力，如：分支、循环、赋值等调度能力，支持异构计算引擎任务的混合编排。</w:t>
            </w:r>
            <w:r>
              <w:rPr>
                <w:rFonts w:hint="eastAsia"/>
                <w:color w:val="auto"/>
                <w:highlight w:val="none"/>
              </w:rPr>
              <w:br w:type="textWrapping"/>
            </w:r>
            <w:r>
              <w:rPr>
                <w:rFonts w:hint="eastAsia"/>
                <w:color w:val="auto"/>
                <w:highlight w:val="none"/>
              </w:rPr>
              <w:t>2.支持海量任务的调度能力，可支撑每日调度千万的任务实例，并支持按需扩容。</w:t>
            </w:r>
            <w:r>
              <w:rPr>
                <w:rFonts w:hint="eastAsia"/>
                <w:color w:val="auto"/>
                <w:highlight w:val="none"/>
              </w:rPr>
              <w:br w:type="textWrapping"/>
            </w:r>
            <w:r>
              <w:rPr>
                <w:rFonts w:hint="eastAsia"/>
                <w:color w:val="auto"/>
                <w:highlight w:val="none"/>
              </w:rPr>
              <w:t>3.支持灵活的数据回刷能力，支持海量任务、任意日期的补数据能力。</w:t>
            </w:r>
          </w:p>
        </w:tc>
        <w:tc>
          <w:tcPr>
            <w:tcW w:w="351"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1套</w:t>
            </w:r>
          </w:p>
        </w:tc>
      </w:tr>
      <w:tr>
        <w:tblPrEx>
          <w:tblCellMar>
            <w:top w:w="0" w:type="dxa"/>
            <w:left w:w="0" w:type="dxa"/>
            <w:bottom w:w="0" w:type="dxa"/>
            <w:right w:w="0" w:type="dxa"/>
          </w:tblCellMar>
        </w:tblPrEx>
        <w:trPr>
          <w:trHeight w:val="360" w:hRule="atLeast"/>
        </w:trPr>
        <w:tc>
          <w:tcPr>
            <w:tcW w:w="210"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1.4</w:t>
            </w:r>
          </w:p>
        </w:tc>
        <w:tc>
          <w:tcPr>
            <w:tcW w:w="421"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大数据离线计算软件授权采购</w:t>
            </w:r>
          </w:p>
        </w:tc>
        <w:tc>
          <w:tcPr>
            <w:tcW w:w="4016"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▲采购离线大数据计算672core软件授权，含跨集群查询、跨域数据复制，跨集群调度，跨域管理能力，提供永久使用授权和三年软件质保服务，质保服务内容包括软件故障解决、软件漏洞修复和软件版本更新。</w:t>
            </w:r>
            <w:r>
              <w:rPr>
                <w:rFonts w:hint="eastAsia"/>
                <w:color w:val="auto"/>
                <w:highlight w:val="none"/>
              </w:rPr>
              <w:br w:type="textWrapping"/>
            </w:r>
            <w:r>
              <w:rPr>
                <w:rFonts w:hint="eastAsia"/>
                <w:color w:val="auto"/>
                <w:highlight w:val="none"/>
              </w:rPr>
              <w:t>（1）支持结构化及非结构化存储；</w:t>
            </w:r>
            <w:r>
              <w:rPr>
                <w:rFonts w:hint="eastAsia"/>
                <w:color w:val="auto"/>
                <w:highlight w:val="none"/>
              </w:rPr>
              <w:br w:type="textWrapping"/>
            </w:r>
            <w:r>
              <w:rPr>
                <w:rFonts w:hint="eastAsia"/>
                <w:color w:val="auto"/>
                <w:highlight w:val="none"/>
              </w:rPr>
              <w:t>（2）支持 DAG（有向无环图）模式的并行作业模式；</w:t>
            </w:r>
            <w:r>
              <w:rPr>
                <w:rFonts w:hint="eastAsia"/>
                <w:color w:val="auto"/>
                <w:highlight w:val="none"/>
              </w:rPr>
              <w:br w:type="textWrapping"/>
            </w:r>
            <w:r>
              <w:rPr>
                <w:rFonts w:hint="eastAsia"/>
                <w:color w:val="auto"/>
                <w:highlight w:val="none"/>
              </w:rPr>
              <w:t>（3）支持标准SQL和分布式计算框架的功能扩展；</w:t>
            </w:r>
            <w:r>
              <w:rPr>
                <w:rFonts w:hint="eastAsia"/>
                <w:color w:val="auto"/>
                <w:highlight w:val="none"/>
              </w:rPr>
              <w:br w:type="textWrapping"/>
            </w:r>
            <w:r>
              <w:rPr>
                <w:rFonts w:hint="eastAsia"/>
                <w:color w:val="auto"/>
                <w:highlight w:val="none"/>
              </w:rPr>
              <w:t>（4）支持基于图计算编程框架的功能扩展；</w:t>
            </w:r>
            <w:r>
              <w:rPr>
                <w:rFonts w:hint="eastAsia"/>
                <w:color w:val="auto"/>
                <w:highlight w:val="none"/>
              </w:rPr>
              <w:br w:type="textWrapping"/>
            </w:r>
            <w:r>
              <w:rPr>
                <w:rFonts w:hint="eastAsia"/>
                <w:color w:val="auto"/>
                <w:highlight w:val="none"/>
              </w:rPr>
              <w:t>（5）支持不同用户之间的资源隔离，确保用户任务的SLA；支持用户空间保护与跨用户空间访问授权，多个用户可以协同完成数据分析工作；</w:t>
            </w:r>
            <w:r>
              <w:rPr>
                <w:rFonts w:hint="eastAsia"/>
                <w:color w:val="auto"/>
                <w:highlight w:val="none"/>
              </w:rPr>
              <w:br w:type="textWrapping"/>
            </w:r>
            <w:r>
              <w:rPr>
                <w:rFonts w:hint="eastAsia"/>
                <w:color w:val="auto"/>
                <w:highlight w:val="none"/>
              </w:rPr>
              <w:t>（6）具备完善的权限认证与隔离机制，支持读写鉴权，充分保障用户数据的私密性，杜绝数据泄漏；</w:t>
            </w:r>
            <w:r>
              <w:rPr>
                <w:rFonts w:hint="eastAsia"/>
                <w:color w:val="auto"/>
                <w:highlight w:val="none"/>
              </w:rPr>
              <w:br w:type="textWrapping"/>
            </w:r>
            <w:r>
              <w:rPr>
                <w:rFonts w:hint="eastAsia"/>
                <w:color w:val="auto"/>
                <w:highlight w:val="none"/>
              </w:rPr>
              <w:t>（7）支持多级安全沙箱，允许通过配置设置用户代码对于I/O、网络、进程等资源的访问；</w:t>
            </w:r>
            <w:r>
              <w:rPr>
                <w:rFonts w:hint="eastAsia"/>
                <w:color w:val="auto"/>
                <w:highlight w:val="none"/>
              </w:rPr>
              <w:br w:type="textWrapping"/>
            </w:r>
            <w:r>
              <w:rPr>
                <w:rFonts w:hint="eastAsia"/>
                <w:color w:val="auto"/>
                <w:highlight w:val="none"/>
              </w:rPr>
              <w:t>（8）支持租户级作业优先级，可支持9级优先级设置，高优先级的作业会优先获取资源使用权；</w:t>
            </w:r>
            <w:r>
              <w:rPr>
                <w:rFonts w:hint="eastAsia"/>
                <w:color w:val="auto"/>
                <w:highlight w:val="none"/>
              </w:rPr>
              <w:br w:type="textWrapping"/>
            </w:r>
            <w:r>
              <w:rPr>
                <w:rFonts w:hint="eastAsia"/>
                <w:color w:val="auto"/>
                <w:highlight w:val="none"/>
              </w:rPr>
              <w:t>（9）支持小作业优化功能，有针对小作业的预拉起资源、缓存和执行机制；</w:t>
            </w:r>
            <w:r>
              <w:rPr>
                <w:rFonts w:hint="eastAsia"/>
                <w:color w:val="auto"/>
                <w:highlight w:val="none"/>
              </w:rPr>
              <w:br w:type="textWrapping"/>
            </w:r>
            <w:r>
              <w:rPr>
                <w:rFonts w:hint="eastAsia"/>
                <w:color w:val="auto"/>
                <w:highlight w:val="none"/>
              </w:rPr>
              <w:t>（10）支持动态资源配额功能，允许集群在不同时段为不同租户动态提供资源配额；</w:t>
            </w:r>
            <w:r>
              <w:rPr>
                <w:rFonts w:hint="eastAsia"/>
                <w:color w:val="auto"/>
                <w:highlight w:val="none"/>
              </w:rPr>
              <w:br w:type="textWrapping"/>
            </w:r>
            <w:r>
              <w:rPr>
                <w:rFonts w:hint="eastAsia"/>
                <w:color w:val="auto"/>
                <w:highlight w:val="none"/>
              </w:rPr>
              <w:t>（11）支持所有接口提供详细错误返回说明，接口支持JAVA及C++。</w:t>
            </w:r>
            <w:r>
              <w:rPr>
                <w:rFonts w:hint="eastAsia"/>
                <w:color w:val="auto"/>
                <w:highlight w:val="none"/>
              </w:rPr>
              <w:br w:type="textWrapping"/>
            </w:r>
            <w:r>
              <w:rPr>
                <w:rFonts w:hint="eastAsia"/>
                <w:color w:val="auto"/>
                <w:highlight w:val="none"/>
              </w:rPr>
              <w:t>（12）支持全冗余架构，无单点故障；</w:t>
            </w:r>
            <w:r>
              <w:rPr>
                <w:rFonts w:hint="eastAsia"/>
                <w:color w:val="auto"/>
                <w:highlight w:val="none"/>
              </w:rPr>
              <w:br w:type="textWrapping"/>
            </w:r>
            <w:r>
              <w:rPr>
                <w:rFonts w:hint="eastAsia"/>
                <w:color w:val="auto"/>
                <w:highlight w:val="none"/>
              </w:rPr>
              <w:t>（13）支持在线平滑升级，计算能力、存储容量和总 IO 带宽可实现同步线性扩容；</w:t>
            </w:r>
            <w:r>
              <w:rPr>
                <w:rFonts w:hint="eastAsia"/>
                <w:color w:val="auto"/>
                <w:highlight w:val="none"/>
              </w:rPr>
              <w:br w:type="textWrapping"/>
            </w:r>
            <w:r>
              <w:rPr>
                <w:rFonts w:hint="eastAsia"/>
                <w:color w:val="auto"/>
                <w:highlight w:val="none"/>
              </w:rPr>
              <w:t>（14）支持高并发、高吞吐量的大规模数据上传下载；</w:t>
            </w:r>
            <w:r>
              <w:rPr>
                <w:rFonts w:hint="eastAsia"/>
                <w:color w:val="auto"/>
                <w:highlight w:val="none"/>
              </w:rPr>
              <w:br w:type="textWrapping"/>
            </w:r>
            <w:r>
              <w:rPr>
                <w:rFonts w:hint="eastAsia"/>
                <w:color w:val="auto"/>
                <w:highlight w:val="none"/>
              </w:rPr>
              <w:t>（15）支持三副本技术，并将数据副本文件保存在不同机架上；</w:t>
            </w:r>
            <w:r>
              <w:rPr>
                <w:rFonts w:hint="eastAsia"/>
                <w:color w:val="auto"/>
                <w:highlight w:val="none"/>
              </w:rPr>
              <w:br w:type="textWrapping"/>
            </w:r>
            <w:r>
              <w:rPr>
                <w:rFonts w:hint="eastAsia" w:ascii="宋体" w:hAnsi="宋体" w:cs="宋体"/>
                <w:bCs/>
                <w:color w:val="auto"/>
                <w:szCs w:val="21"/>
                <w:highlight w:val="none"/>
              </w:rPr>
              <w:t>■</w:t>
            </w:r>
            <w:r>
              <w:rPr>
                <w:rFonts w:hint="eastAsia"/>
                <w:color w:val="auto"/>
                <w:highlight w:val="none"/>
              </w:rPr>
              <w:t>（16）在多集群部署情况下，支持统一元数据、统一数据视图、全局的计算调度；</w:t>
            </w:r>
            <w:r>
              <w:rPr>
                <w:rFonts w:hint="eastAsia"/>
                <w:color w:val="auto"/>
                <w:highlight w:val="none"/>
              </w:rPr>
              <w:br w:type="textWrapping"/>
            </w:r>
            <w:r>
              <w:rPr>
                <w:rFonts w:hint="eastAsia"/>
                <w:color w:val="auto"/>
                <w:highlight w:val="none"/>
              </w:rPr>
              <w:t>（17）支持任务跨集群计算：无需在多个集群之间预先复制数据，平台能够根据计算任务的需要，调度多个集群的计算、数据、存储资源，自动实现跨集群的全量数据分析；</w:t>
            </w:r>
            <w:r>
              <w:rPr>
                <w:rFonts w:hint="eastAsia"/>
                <w:color w:val="auto"/>
                <w:highlight w:val="none"/>
              </w:rPr>
              <w:br w:type="textWrapping"/>
            </w:r>
            <w:r>
              <w:rPr>
                <w:rFonts w:hint="eastAsia"/>
                <w:color w:val="auto"/>
                <w:highlight w:val="none"/>
              </w:rPr>
              <w:t>（18）支持跨集群直读、直写；</w:t>
            </w:r>
            <w:r>
              <w:rPr>
                <w:rFonts w:hint="eastAsia"/>
                <w:color w:val="auto"/>
                <w:highlight w:val="none"/>
              </w:rPr>
              <w:br w:type="textWrapping"/>
            </w:r>
            <w:r>
              <w:rPr>
                <w:rFonts w:hint="eastAsia"/>
                <w:color w:val="auto"/>
                <w:highlight w:val="none"/>
              </w:rPr>
              <w:t>（19）支持跨集群数据智能自动复制；</w:t>
            </w:r>
            <w:r>
              <w:rPr>
                <w:rFonts w:hint="eastAsia"/>
                <w:color w:val="auto"/>
                <w:highlight w:val="none"/>
              </w:rPr>
              <w:br w:type="textWrapping"/>
            </w:r>
            <w:r>
              <w:rPr>
                <w:rFonts w:hint="eastAsia"/>
                <w:color w:val="auto"/>
                <w:highlight w:val="none"/>
              </w:rPr>
              <w:t>（20）可运行SQL、MR、机器学习等多种类型作业；</w:t>
            </w:r>
            <w:r>
              <w:rPr>
                <w:rFonts w:hint="eastAsia"/>
                <w:color w:val="auto"/>
                <w:highlight w:val="none"/>
              </w:rPr>
              <w:br w:type="textWrapping"/>
            </w:r>
            <w:r>
              <w:rPr>
                <w:rFonts w:hint="eastAsia"/>
                <w:color w:val="auto"/>
                <w:highlight w:val="none"/>
              </w:rPr>
              <w:t>（21）提供离线任务监控告警的功能，监控告警是调度任务的监控保障系统，支持基线告警和自定义告警两种方式。当任务出现错误或者延迟产出的时候，系统会通过预定义的方式告知用户任务状态。用户可以按照自己定义的规则来配置告警规则；</w:t>
            </w:r>
          </w:p>
        </w:tc>
        <w:tc>
          <w:tcPr>
            <w:tcW w:w="351"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1套</w:t>
            </w:r>
          </w:p>
        </w:tc>
      </w:tr>
      <w:tr>
        <w:tblPrEx>
          <w:tblCellMar>
            <w:top w:w="0" w:type="dxa"/>
            <w:left w:w="0" w:type="dxa"/>
            <w:bottom w:w="0" w:type="dxa"/>
            <w:right w:w="0" w:type="dxa"/>
          </w:tblCellMar>
        </w:tblPrEx>
        <w:trPr>
          <w:trHeight w:val="360" w:hRule="atLeast"/>
        </w:trPr>
        <w:tc>
          <w:tcPr>
            <w:tcW w:w="210"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1.5</w:t>
            </w:r>
          </w:p>
        </w:tc>
        <w:tc>
          <w:tcPr>
            <w:tcW w:w="421"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对象存储软件授权采购</w:t>
            </w:r>
          </w:p>
        </w:tc>
        <w:tc>
          <w:tcPr>
            <w:tcW w:w="4016"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▲采购对象存储864TB软件授权，提供永久使用授权和三年软件质保服务，质保服务内容包括软件故障解决、软件漏洞修复和软件版本更新。满足以下功能需求：</w:t>
            </w:r>
            <w:r>
              <w:rPr>
                <w:rFonts w:hint="eastAsia"/>
                <w:color w:val="auto"/>
                <w:highlight w:val="none"/>
              </w:rPr>
              <w:br w:type="textWrapping"/>
            </w:r>
            <w:r>
              <w:rPr>
                <w:rFonts w:hint="eastAsia"/>
                <w:color w:val="auto"/>
                <w:highlight w:val="none"/>
              </w:rPr>
              <w:t>（1）提供 API 接口，应用系统能实现数据的上传下载和管理功能；</w:t>
            </w:r>
            <w:r>
              <w:rPr>
                <w:rFonts w:hint="eastAsia"/>
                <w:color w:val="auto"/>
                <w:highlight w:val="none"/>
              </w:rPr>
              <w:br w:type="textWrapping"/>
            </w:r>
            <w:r>
              <w:rPr>
                <w:rFonts w:hint="eastAsia"/>
                <w:color w:val="auto"/>
                <w:highlight w:val="none"/>
              </w:rPr>
              <w:t>（2）支持多用户隔离机制，保障用户数据的私密性；</w:t>
            </w:r>
            <w:r>
              <w:rPr>
                <w:rFonts w:hint="eastAsia"/>
                <w:color w:val="auto"/>
                <w:highlight w:val="none"/>
              </w:rPr>
              <w:br w:type="textWrapping"/>
            </w:r>
            <w:r>
              <w:rPr>
                <w:rFonts w:hint="eastAsia"/>
                <w:color w:val="auto"/>
                <w:highlight w:val="none"/>
              </w:rPr>
              <w:t>（3）支持日志记录功能，可追查访问来源，并提供多维度的统计分析功能；</w:t>
            </w:r>
            <w:r>
              <w:rPr>
                <w:rFonts w:hint="eastAsia"/>
                <w:color w:val="auto"/>
                <w:highlight w:val="none"/>
              </w:rPr>
              <w:br w:type="textWrapping"/>
            </w:r>
            <w:r>
              <w:rPr>
                <w:rFonts w:hint="eastAsia"/>
                <w:color w:val="auto"/>
                <w:highlight w:val="none"/>
              </w:rPr>
              <w:t>（4）支持全冗余架构，无单点故障；</w:t>
            </w:r>
            <w:r>
              <w:rPr>
                <w:rFonts w:hint="eastAsia"/>
                <w:color w:val="auto"/>
                <w:highlight w:val="none"/>
              </w:rPr>
              <w:br w:type="textWrapping"/>
            </w:r>
            <w:r>
              <w:rPr>
                <w:rFonts w:hint="eastAsia"/>
                <w:color w:val="auto"/>
                <w:highlight w:val="none"/>
              </w:rPr>
              <w:t>（5）支持基于三副本和EC校验模式的数据多重冗余备份；三副本模式下，数据三副本支持分布在3个机柜或3对接入交换机上；</w:t>
            </w:r>
            <w:r>
              <w:rPr>
                <w:rFonts w:hint="eastAsia"/>
                <w:color w:val="auto"/>
                <w:highlight w:val="none"/>
              </w:rPr>
              <w:br w:type="textWrapping"/>
            </w:r>
            <w:r>
              <w:rPr>
                <w:rFonts w:hint="eastAsia"/>
                <w:color w:val="auto"/>
                <w:highlight w:val="none"/>
              </w:rPr>
              <w:t>（6）支持同一地域内跨机房的数据容灾。</w:t>
            </w:r>
            <w:r>
              <w:rPr>
                <w:rFonts w:hint="eastAsia"/>
                <w:color w:val="auto"/>
                <w:highlight w:val="none"/>
              </w:rPr>
              <w:br w:type="textWrapping"/>
            </w:r>
            <w:r>
              <w:rPr>
                <w:rFonts w:hint="eastAsia"/>
                <w:color w:val="auto"/>
                <w:highlight w:val="none"/>
              </w:rPr>
              <w:t>（7）支持大文件的分片并发上传和下载，支持断点续传。</w:t>
            </w:r>
          </w:p>
        </w:tc>
        <w:tc>
          <w:tcPr>
            <w:tcW w:w="351"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1套</w:t>
            </w:r>
          </w:p>
        </w:tc>
      </w:tr>
      <w:tr>
        <w:tblPrEx>
          <w:tblCellMar>
            <w:top w:w="0" w:type="dxa"/>
            <w:left w:w="0" w:type="dxa"/>
            <w:bottom w:w="0" w:type="dxa"/>
            <w:right w:w="0" w:type="dxa"/>
          </w:tblCellMar>
        </w:tblPrEx>
        <w:trPr>
          <w:trHeight w:val="360" w:hRule="atLeast"/>
        </w:trPr>
        <w:tc>
          <w:tcPr>
            <w:tcW w:w="210"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1.6</w:t>
            </w:r>
          </w:p>
        </w:tc>
        <w:tc>
          <w:tcPr>
            <w:tcW w:w="421"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ECS弹性计算软件授权采购</w:t>
            </w:r>
          </w:p>
        </w:tc>
        <w:tc>
          <w:tcPr>
            <w:tcW w:w="4016"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▲采购768core软件授权，提供永久使用授权和三年软件质保服务，质保服务内容包括软件故障解决、软件漏洞修复和软件版本更新。</w:t>
            </w:r>
            <w:r>
              <w:rPr>
                <w:rFonts w:hint="eastAsia"/>
                <w:color w:val="auto"/>
                <w:highlight w:val="none"/>
              </w:rPr>
              <w:br w:type="textWrapping"/>
            </w:r>
            <w:r>
              <w:rPr>
                <w:rFonts w:hint="eastAsia"/>
                <w:color w:val="auto"/>
                <w:highlight w:val="none"/>
              </w:rPr>
              <w:t>1.支持云主机生命周期管理和维护，包括但不限于创建、启动、关闭、重启、更换操作系统，其中创建、启动、关闭、重启应支持批量操作，提升管理员操作效率。</w:t>
            </w:r>
            <w:r>
              <w:rPr>
                <w:rFonts w:hint="eastAsia"/>
                <w:color w:val="auto"/>
                <w:highlight w:val="none"/>
              </w:rPr>
              <w:br w:type="textWrapping"/>
            </w:r>
            <w:r>
              <w:rPr>
                <w:rFonts w:hint="eastAsia"/>
                <w:color w:val="auto"/>
                <w:highlight w:val="none"/>
              </w:rPr>
              <w:t>2.支持为云服务器指定IP地址创建云主机，方便运维人员进行IP的统筹管理,支持配置IPv6/IPv4双栈网络,云主机实例可自动获取IPv6地址进行内网通信。</w:t>
            </w:r>
            <w:r>
              <w:rPr>
                <w:rFonts w:hint="eastAsia"/>
                <w:color w:val="auto"/>
                <w:highlight w:val="none"/>
              </w:rPr>
              <w:br w:type="textWrapping"/>
            </w:r>
            <w:r>
              <w:rPr>
                <w:rFonts w:hint="eastAsia"/>
                <w:color w:val="auto"/>
                <w:highlight w:val="none"/>
              </w:rPr>
              <w:t>3.支持对云主机的系统盘和数据盘创建整机镜像模板，创建的镜像包含用户的业务数据，可用于快速发放包含用户业务数据的新云主机。</w:t>
            </w:r>
            <w:r>
              <w:rPr>
                <w:rFonts w:hint="eastAsia"/>
                <w:color w:val="auto"/>
                <w:highlight w:val="none"/>
              </w:rPr>
              <w:br w:type="textWrapping"/>
            </w:r>
            <w:r>
              <w:rPr>
                <w:rFonts w:hint="eastAsia"/>
                <w:color w:val="auto"/>
                <w:highlight w:val="none"/>
              </w:rPr>
              <w:t>4.支持对云主机CPU、内存、硬盘等基础指标进行监控，同时支持对云主机系统中的各进程CPU、内存、打开文件数进行监控，为用户提供系统级、主动式、细粒度监控服务。</w:t>
            </w:r>
            <w:r>
              <w:rPr>
                <w:rFonts w:hint="eastAsia"/>
                <w:color w:val="auto"/>
                <w:highlight w:val="none"/>
              </w:rPr>
              <w:br w:type="textWrapping"/>
            </w:r>
            <w:r>
              <w:rPr>
                <w:rFonts w:hint="eastAsia"/>
                <w:color w:val="auto"/>
                <w:highlight w:val="none"/>
              </w:rPr>
              <w:t>5.支持云主机在线扩容CPU/内存等，无需重启即可生效，保证业务系统计算资源可以进行垂直扩容。</w:t>
            </w:r>
            <w:r>
              <w:rPr>
                <w:rFonts w:hint="eastAsia"/>
                <w:color w:val="auto"/>
                <w:highlight w:val="none"/>
              </w:rPr>
              <w:br w:type="textWrapping"/>
            </w:r>
            <w:r>
              <w:rPr>
                <w:rFonts w:hint="eastAsia"/>
                <w:color w:val="auto"/>
                <w:highlight w:val="none"/>
              </w:rPr>
              <w:t>6.支持对云主机实例设置标签，辅助管理员可以按照业务语义进行实例的分类管理，同时支持管理员根据云主机名称、私有IP、弹性IP、ID、运行状态、标签等条件快速过滤查找目标云主机。</w:t>
            </w:r>
            <w:r>
              <w:rPr>
                <w:rFonts w:hint="eastAsia"/>
                <w:color w:val="auto"/>
                <w:highlight w:val="none"/>
              </w:rPr>
              <w:br w:type="textWrapping"/>
            </w:r>
            <w:r>
              <w:rPr>
                <w:rFonts w:hint="eastAsia"/>
                <w:color w:val="auto"/>
                <w:highlight w:val="none"/>
              </w:rPr>
              <w:t>7.支持资源编排功能：</w:t>
            </w:r>
            <w:r>
              <w:rPr>
                <w:rFonts w:hint="eastAsia"/>
                <w:color w:val="auto"/>
                <w:highlight w:val="none"/>
              </w:rPr>
              <w:br w:type="textWrapping"/>
            </w:r>
            <w:r>
              <w:rPr>
                <w:rFonts w:hint="eastAsia"/>
                <w:color w:val="auto"/>
                <w:highlight w:val="none"/>
              </w:rPr>
              <w:t>（1）可按照模版规范编写资源栈模版。在模板中可以定义所需资源间的依赖关系、资源配置等，如云主机实例、 云数据库实例、负载均衡实例等。</w:t>
            </w:r>
            <w:r>
              <w:rPr>
                <w:rFonts w:hint="eastAsia"/>
                <w:color w:val="auto"/>
                <w:highlight w:val="none"/>
              </w:rPr>
              <w:br w:type="textWrapping"/>
            </w:r>
            <w:r>
              <w:rPr>
                <w:rFonts w:hint="eastAsia"/>
                <w:color w:val="auto"/>
                <w:highlight w:val="none"/>
              </w:rPr>
              <w:t>（2）通过资源栈逻辑集合来统一管理一组云资源，可以对云资源进行创建、删除、重新创建等操作。</w:t>
            </w:r>
            <w:r>
              <w:rPr>
                <w:rFonts w:hint="eastAsia"/>
                <w:color w:val="auto"/>
                <w:highlight w:val="none"/>
              </w:rPr>
              <w:br w:type="textWrapping"/>
            </w:r>
            <w:r>
              <w:rPr>
                <w:rFonts w:hint="eastAsia"/>
                <w:color w:val="auto"/>
                <w:highlight w:val="none"/>
              </w:rPr>
              <w:t>（3）支持JSON格式的资源模板，并通过此模板创建资源栈。</w:t>
            </w:r>
            <w:r>
              <w:rPr>
                <w:rFonts w:hint="eastAsia"/>
                <w:color w:val="auto"/>
                <w:highlight w:val="none"/>
              </w:rPr>
              <w:br w:type="textWrapping"/>
            </w:r>
            <w:r>
              <w:rPr>
                <w:rFonts w:hint="eastAsia"/>
                <w:color w:val="auto"/>
                <w:highlight w:val="none"/>
              </w:rPr>
              <w:t>（4）支持在线查看资源编排服务支持的资源类型及各资源类型详情。</w:t>
            </w:r>
            <w:r>
              <w:rPr>
                <w:rFonts w:hint="eastAsia"/>
                <w:color w:val="auto"/>
                <w:highlight w:val="none"/>
              </w:rPr>
              <w:br w:type="textWrapping"/>
            </w:r>
            <w:r>
              <w:rPr>
                <w:rFonts w:hint="eastAsia"/>
                <w:color w:val="auto"/>
                <w:highlight w:val="none"/>
              </w:rPr>
              <w:t>8.云主机支持严格分散、尽量分散两种分散部署策略；同一组云主机支持基于不同宿主机，不同机架、不同交换机打散部署。</w:t>
            </w:r>
            <w:r>
              <w:rPr>
                <w:rFonts w:hint="eastAsia"/>
                <w:color w:val="auto"/>
                <w:highlight w:val="none"/>
              </w:rPr>
              <w:br w:type="textWrapping"/>
            </w:r>
            <w:r>
              <w:rPr>
                <w:rFonts w:hint="eastAsia"/>
                <w:color w:val="auto"/>
                <w:highlight w:val="none"/>
              </w:rPr>
              <w:t>9.支持云主机热迁移，运维人员可以手工指定迁移任务的带宽限制，降低迁移流量对正常业务的干扰。</w:t>
            </w:r>
            <w:r>
              <w:rPr>
                <w:rFonts w:hint="eastAsia"/>
                <w:color w:val="auto"/>
                <w:highlight w:val="none"/>
              </w:rPr>
              <w:br w:type="textWrapping"/>
            </w:r>
            <w:r>
              <w:rPr>
                <w:rFonts w:hint="eastAsia"/>
                <w:color w:val="auto"/>
                <w:highlight w:val="none"/>
              </w:rPr>
              <w:t>10.支持云主机高可用（宕机迁移），当某台物理节点发生意外故障，在其上运行的云主机能够在其他正常的物理节点上重新启动，保障业务的连续性。</w:t>
            </w:r>
            <w:r>
              <w:rPr>
                <w:rFonts w:hint="eastAsia"/>
                <w:color w:val="auto"/>
                <w:highlight w:val="none"/>
              </w:rPr>
              <w:br w:type="textWrapping"/>
            </w:r>
            <w:r>
              <w:rPr>
                <w:rFonts w:hint="eastAsia"/>
                <w:color w:val="auto"/>
                <w:highlight w:val="none"/>
              </w:rPr>
              <w:t>11.支持弹性伸缩功能：</w:t>
            </w:r>
            <w:r>
              <w:rPr>
                <w:rFonts w:hint="eastAsia"/>
                <w:color w:val="auto"/>
                <w:highlight w:val="none"/>
              </w:rPr>
              <w:br w:type="textWrapping"/>
            </w:r>
            <w:r>
              <w:rPr>
                <w:rFonts w:hint="eastAsia"/>
                <w:color w:val="auto"/>
                <w:highlight w:val="none"/>
              </w:rPr>
              <w:t>（1）根据业务的需求和策略，自动调整计算资源大小，在业务需求增长时，自动增加云主机实例，在业务需求下降时自动减少云主机实例。</w:t>
            </w:r>
            <w:r>
              <w:rPr>
                <w:rFonts w:hint="eastAsia"/>
                <w:color w:val="auto"/>
                <w:highlight w:val="none"/>
              </w:rPr>
              <w:br w:type="textWrapping"/>
            </w:r>
            <w:r>
              <w:rPr>
                <w:rFonts w:hint="eastAsia"/>
                <w:color w:val="auto"/>
                <w:highlight w:val="none"/>
              </w:rPr>
              <w:t>（2）支持根据配置的伸缩规则弹性扩张云主机实例，能够自动将云主机实例添加到负载均衡实例的后端服务器组和自动关联云数据库实例。</w:t>
            </w:r>
            <w:r>
              <w:rPr>
                <w:rFonts w:hint="eastAsia"/>
                <w:color w:val="auto"/>
                <w:highlight w:val="none"/>
              </w:rPr>
              <w:br w:type="textWrapping"/>
            </w:r>
            <w:r>
              <w:rPr>
                <w:rFonts w:hint="eastAsia"/>
                <w:color w:val="auto"/>
                <w:highlight w:val="none"/>
              </w:rPr>
              <w:t>（3）支持指定待伸缩云主机实例的配置信息，包括但不限于实例规格、镜像类型、系统盘、数据盘、自定义数据等。</w:t>
            </w:r>
            <w:r>
              <w:rPr>
                <w:rFonts w:hint="eastAsia"/>
                <w:color w:val="auto"/>
                <w:highlight w:val="none"/>
              </w:rPr>
              <w:br w:type="textWrapping"/>
            </w:r>
            <w:r>
              <w:rPr>
                <w:rFonts w:hint="eastAsia"/>
                <w:color w:val="auto"/>
                <w:highlight w:val="none"/>
              </w:rPr>
              <w:t>（4）支持用户定时执行伸缩规则，从而实现自动扩张或者收缩计算资源，满足业务需求的同时又能控制成本。</w:t>
            </w:r>
            <w:r>
              <w:rPr>
                <w:rFonts w:hint="eastAsia"/>
                <w:color w:val="auto"/>
                <w:highlight w:val="none"/>
              </w:rPr>
              <w:br w:type="textWrapping"/>
            </w:r>
            <w:r>
              <w:rPr>
                <w:rFonts w:hint="eastAsia"/>
                <w:color w:val="auto"/>
                <w:highlight w:val="none"/>
              </w:rPr>
              <w:t>（5）支持实时统计伸缩组内指标数据，并在统计值满足告警条件时触发告警，自动执行伸缩规则，动态调整伸缩组内的云主机的实例数量，监控指标包括但不限于CPU使用率、内存使用率、内网出流量、内网入流量等。</w:t>
            </w:r>
            <w:r>
              <w:rPr>
                <w:rFonts w:hint="eastAsia"/>
                <w:color w:val="auto"/>
                <w:highlight w:val="none"/>
              </w:rPr>
              <w:br w:type="textWrapping"/>
            </w:r>
            <w:r>
              <w:rPr>
                <w:rFonts w:hint="eastAsia"/>
                <w:color w:val="auto"/>
                <w:highlight w:val="none"/>
              </w:rPr>
              <w:t>12.支持用户通过快照对云主机的数据进行备份，通过快照进行云服务器的数据恢复。</w:t>
            </w:r>
            <w:r>
              <w:rPr>
                <w:rFonts w:hint="eastAsia"/>
                <w:color w:val="auto"/>
                <w:highlight w:val="none"/>
              </w:rPr>
              <w:br w:type="textWrapping"/>
            </w:r>
            <w:r>
              <w:rPr>
                <w:rFonts w:hint="eastAsia"/>
                <w:color w:val="auto"/>
                <w:highlight w:val="none"/>
              </w:rPr>
              <w:t>13.支持云主机网络防ARP欺骗，云平台应阻止用户非法修改IP地址和MAC地址后发出的数据包，提升安全性。</w:t>
            </w:r>
            <w:r>
              <w:rPr>
                <w:rFonts w:hint="eastAsia"/>
                <w:color w:val="auto"/>
                <w:highlight w:val="none"/>
              </w:rPr>
              <w:br w:type="textWrapping"/>
            </w:r>
            <w:r>
              <w:rPr>
                <w:rFonts w:hint="eastAsia" w:ascii="宋体" w:hAnsi="宋体" w:cs="宋体"/>
                <w:bCs/>
                <w:color w:val="auto"/>
                <w:szCs w:val="21"/>
                <w:highlight w:val="none"/>
              </w:rPr>
              <w:t>■</w:t>
            </w:r>
            <w:r>
              <w:rPr>
                <w:rFonts w:hint="eastAsia"/>
                <w:color w:val="auto"/>
                <w:highlight w:val="none"/>
              </w:rPr>
              <w:t>14.支持用户通过VNC方式远程访问云主机，同时支持用户设置云主机VNC密码（非系统密码），并能在用户VNC访问时进行VNC密码认证，保证终端用户对云主机的安全访问。</w:t>
            </w:r>
            <w:r>
              <w:rPr>
                <w:rFonts w:hint="eastAsia"/>
                <w:color w:val="auto"/>
                <w:highlight w:val="none"/>
              </w:rPr>
              <w:br w:type="textWrapping"/>
            </w:r>
            <w:r>
              <w:rPr>
                <w:rFonts w:hint="eastAsia"/>
                <w:color w:val="auto"/>
                <w:highlight w:val="none"/>
              </w:rPr>
              <w:t>15.支持设置自动快照策略，可自定义快照时间点、重复日期以及保留时长。</w:t>
            </w:r>
            <w:r>
              <w:rPr>
                <w:rFonts w:hint="eastAsia"/>
                <w:color w:val="auto"/>
                <w:highlight w:val="none"/>
              </w:rPr>
              <w:br w:type="textWrapping"/>
            </w:r>
            <w:r>
              <w:rPr>
                <w:rFonts w:hint="eastAsia"/>
                <w:color w:val="auto"/>
                <w:highlight w:val="none"/>
              </w:rPr>
              <w:t>16.云平台出厂内置面向租户服务的公共镜像支持主流的WINDOWS、LINUX等操作系统，如： Windows Server 、CentOS 、Debian 、FreeBSD 、OpenSUSE 、SUSE Linux Enterprise Server 、Ubuntu、Anolis OS等，其中信创芯片至少支持Kylin、UOS、CentOS、Anolis OS等，同时支持用户自定义方式上传客户自制的操作系统镜像。</w:t>
            </w:r>
          </w:p>
        </w:tc>
        <w:tc>
          <w:tcPr>
            <w:tcW w:w="351"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1套</w:t>
            </w:r>
          </w:p>
        </w:tc>
      </w:tr>
      <w:tr>
        <w:tblPrEx>
          <w:tblCellMar>
            <w:top w:w="0" w:type="dxa"/>
            <w:left w:w="0" w:type="dxa"/>
            <w:bottom w:w="0" w:type="dxa"/>
            <w:right w:w="0" w:type="dxa"/>
          </w:tblCellMar>
        </w:tblPrEx>
        <w:trPr>
          <w:trHeight w:val="360" w:hRule="atLeast"/>
        </w:trPr>
        <w:tc>
          <w:tcPr>
            <w:tcW w:w="210"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1.7</w:t>
            </w:r>
          </w:p>
        </w:tc>
        <w:tc>
          <w:tcPr>
            <w:tcW w:w="421"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块存储软件授权采购</w:t>
            </w:r>
          </w:p>
        </w:tc>
        <w:tc>
          <w:tcPr>
            <w:tcW w:w="4016"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▲计算存储分离架构下的块存储集群，采用hdd + ssd的混合存储架构, 采购块存储864TB软件授权，提供永久使用授权和三年软件质保服务，质保服务内容包括软件故障解决、软件漏洞修复和软件版本更新。</w:t>
            </w:r>
            <w:r>
              <w:rPr>
                <w:rFonts w:hint="eastAsia"/>
                <w:color w:val="auto"/>
                <w:highlight w:val="none"/>
              </w:rPr>
              <w:br w:type="textWrapping"/>
            </w:r>
            <w:r>
              <w:rPr>
                <w:rFonts w:hint="eastAsia"/>
                <w:color w:val="auto"/>
                <w:highlight w:val="none"/>
              </w:rPr>
              <w:t>1.为云主机提供的低时延、持久性、高可靠性的数据块级存储设备。</w:t>
            </w:r>
            <w:r>
              <w:rPr>
                <w:rFonts w:hint="eastAsia"/>
                <w:color w:val="auto"/>
                <w:highlight w:val="none"/>
              </w:rPr>
              <w:br w:type="textWrapping"/>
            </w:r>
            <w:r>
              <w:rPr>
                <w:rFonts w:hint="eastAsia"/>
                <w:color w:val="auto"/>
                <w:highlight w:val="none"/>
              </w:rPr>
              <w:t>2.支持在线扩展容量，扩容期间无需关闭虚拟机，无需卸载云盘；系统盘在线扩容不停业务。</w:t>
            </w:r>
            <w:r>
              <w:rPr>
                <w:rFonts w:hint="eastAsia"/>
                <w:color w:val="auto"/>
                <w:highlight w:val="none"/>
              </w:rPr>
              <w:br w:type="textWrapping"/>
            </w:r>
            <w:r>
              <w:rPr>
                <w:rFonts w:hint="eastAsia"/>
                <w:color w:val="auto"/>
                <w:highlight w:val="none"/>
              </w:rPr>
              <w:t>3.支持磁盘的创建、删除、卸载、扩容、挂载、查询、初始化等功能。</w:t>
            </w:r>
            <w:r>
              <w:rPr>
                <w:rFonts w:hint="eastAsia"/>
                <w:color w:val="auto"/>
                <w:highlight w:val="none"/>
              </w:rPr>
              <w:br w:type="textWrapping"/>
            </w:r>
            <w:r>
              <w:rPr>
                <w:rFonts w:hint="eastAsia"/>
                <w:color w:val="auto"/>
                <w:highlight w:val="none"/>
              </w:rPr>
              <w:t>4.支持块存储快照自动上传至对象存储，支持快照回滚恢复时自动从对象存储恢复到块存储，支持云盘创建时自动从对象存储恢复到块存储。</w:t>
            </w:r>
            <w:r>
              <w:rPr>
                <w:rFonts w:hint="eastAsia"/>
                <w:color w:val="auto"/>
                <w:highlight w:val="none"/>
              </w:rPr>
              <w:br w:type="textWrapping"/>
            </w:r>
            <w:r>
              <w:rPr>
                <w:rFonts w:hint="eastAsia" w:ascii="宋体" w:hAnsi="宋体" w:cs="宋体"/>
                <w:bCs/>
                <w:color w:val="auto"/>
                <w:szCs w:val="21"/>
                <w:highlight w:val="none"/>
              </w:rPr>
              <w:t>■</w:t>
            </w:r>
            <w:r>
              <w:rPr>
                <w:rFonts w:hint="eastAsia"/>
                <w:color w:val="auto"/>
                <w:highlight w:val="none"/>
              </w:rPr>
              <w:t>5.支持分布式EC和三副本数据冗余保护；三副本模式下，数据三副本支持分布在3个机柜或3对接入交换机上。</w:t>
            </w:r>
          </w:p>
        </w:tc>
        <w:tc>
          <w:tcPr>
            <w:tcW w:w="351"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1套</w:t>
            </w:r>
          </w:p>
        </w:tc>
      </w:tr>
      <w:tr>
        <w:tblPrEx>
          <w:tblCellMar>
            <w:top w:w="0" w:type="dxa"/>
            <w:left w:w="0" w:type="dxa"/>
            <w:bottom w:w="0" w:type="dxa"/>
            <w:right w:w="0" w:type="dxa"/>
          </w:tblCellMar>
        </w:tblPrEx>
        <w:trPr>
          <w:trHeight w:val="360" w:hRule="atLeast"/>
        </w:trPr>
        <w:tc>
          <w:tcPr>
            <w:tcW w:w="210"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1.8</w:t>
            </w:r>
          </w:p>
        </w:tc>
        <w:tc>
          <w:tcPr>
            <w:tcW w:w="421"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分布式关系型数据库软件授权采购</w:t>
            </w:r>
          </w:p>
        </w:tc>
        <w:tc>
          <w:tcPr>
            <w:tcW w:w="4016"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▲采购432core软件授权，提供永久使用授权和三年软件质保服务，质保服务内容包括软件故障解决、软件漏洞修复和软件版本更新。</w:t>
            </w:r>
            <w:r>
              <w:rPr>
                <w:rFonts w:hint="eastAsia"/>
                <w:color w:val="auto"/>
                <w:highlight w:val="none"/>
              </w:rPr>
              <w:br w:type="textWrapping"/>
            </w:r>
            <w:r>
              <w:rPr>
                <w:rFonts w:hint="eastAsia"/>
                <w:color w:val="auto"/>
                <w:highlight w:val="none"/>
              </w:rPr>
              <w:t>（1）分布式架构支持数据的水平拆分以及单一服务的集群化部署，实现高可扩展性。</w:t>
            </w:r>
            <w:r>
              <w:rPr>
                <w:rFonts w:hint="eastAsia"/>
                <w:color w:val="auto"/>
                <w:highlight w:val="none"/>
              </w:rPr>
              <w:br w:type="textWrapping"/>
            </w:r>
            <w:r>
              <w:rPr>
                <w:rFonts w:hint="eastAsia"/>
                <w:color w:val="auto"/>
                <w:highlight w:val="none"/>
              </w:rPr>
              <w:t>（2）审计日志支持审计日志自动存储到日志存储服务中，通过日志存储服务下载日志，可以长期存储、管理审计日志信息。</w:t>
            </w:r>
            <w:r>
              <w:rPr>
                <w:rFonts w:hint="eastAsia"/>
                <w:color w:val="auto"/>
                <w:highlight w:val="none"/>
              </w:rPr>
              <w:br w:type="textWrapping"/>
            </w:r>
            <w:r>
              <w:rPr>
                <w:rFonts w:hint="eastAsia"/>
                <w:color w:val="auto"/>
                <w:highlight w:val="none"/>
              </w:rPr>
              <w:t>（3）弹性伸缩支持分布式数据库实例以及数据存储的动态水平扩展升降配。支持集群节点的线性扩展，整体性能随节点数量的扩展而线性增长。</w:t>
            </w:r>
            <w:r>
              <w:rPr>
                <w:rFonts w:hint="eastAsia"/>
                <w:color w:val="auto"/>
                <w:highlight w:val="none"/>
              </w:rPr>
              <w:br w:type="textWrapping"/>
            </w:r>
            <w:r>
              <w:rPr>
                <w:rFonts w:hint="eastAsia"/>
                <w:color w:val="auto"/>
                <w:highlight w:val="none"/>
              </w:rPr>
              <w:t>（4）集群高可用采用多节点集群架构，平台内各组件管理节点需实现高可用机制，运维管理节点故障不影响业务正常运行。支持集群内某个业务节点故障时，不影响整体服务实例运行，并提供集群的自适应性负载能力，在高并发、高负载请求场景下无需调整集群参数保证业务运行。</w:t>
            </w:r>
            <w:r>
              <w:rPr>
                <w:rFonts w:hint="eastAsia"/>
                <w:color w:val="auto"/>
                <w:highlight w:val="none"/>
              </w:rPr>
              <w:br w:type="textWrapping"/>
            </w:r>
            <w:r>
              <w:rPr>
                <w:rFonts w:hint="eastAsia"/>
                <w:color w:val="auto"/>
                <w:highlight w:val="none"/>
              </w:rPr>
              <w:t>（5）容灾元数据库支持快速切换容灾，单节点故障对服务无影响，整体服务故障时间为0。</w:t>
            </w:r>
            <w:r>
              <w:rPr>
                <w:rFonts w:hint="eastAsia"/>
                <w:color w:val="auto"/>
                <w:highlight w:val="none"/>
              </w:rPr>
              <w:br w:type="textWrapping"/>
            </w:r>
            <w:r>
              <w:rPr>
                <w:rFonts w:hint="eastAsia"/>
                <w:color w:val="auto"/>
                <w:highlight w:val="none"/>
              </w:rPr>
              <w:t>（6）安全可控分布式数据库支持类关系型数据库的账号权限体系，并且提供IP白名单、高风险SQL默认禁止等实用功能。</w:t>
            </w:r>
            <w:r>
              <w:rPr>
                <w:rFonts w:hint="eastAsia"/>
                <w:color w:val="auto"/>
                <w:highlight w:val="none"/>
              </w:rPr>
              <w:br w:type="textWrapping"/>
            </w:r>
            <w:r>
              <w:rPr>
                <w:rFonts w:hint="eastAsia"/>
                <w:color w:val="auto"/>
                <w:highlight w:val="none"/>
              </w:rPr>
              <w:t>（7）隔离支持云平台集群下多租户并行执行，租户任务提交到不同的实例下的队列执行。</w:t>
            </w:r>
            <w:r>
              <w:rPr>
                <w:rFonts w:hint="eastAsia"/>
                <w:color w:val="auto"/>
                <w:highlight w:val="none"/>
              </w:rPr>
              <w:br w:type="textWrapping"/>
            </w:r>
            <w:r>
              <w:rPr>
                <w:rFonts w:hint="eastAsia"/>
                <w:color w:val="auto"/>
                <w:highlight w:val="none"/>
              </w:rPr>
              <w:t>（8）权限级别支持数据库级别权限和表级别权限。高级别权限的授予会覆盖低级别权限，移除高级别权限的同时也会移除低级别权限。支持权限管理和细粒度用户操作审计。支持完善的权限认证，保障用户数据的私密性。支持通过多租户模式实现资源隔离。</w:t>
            </w:r>
            <w:r>
              <w:rPr>
                <w:rFonts w:hint="eastAsia"/>
                <w:color w:val="auto"/>
                <w:highlight w:val="none"/>
              </w:rPr>
              <w:br w:type="textWrapping"/>
            </w:r>
            <w:r>
              <w:rPr>
                <w:rFonts w:hint="eastAsia"/>
                <w:color w:val="auto"/>
                <w:highlight w:val="none"/>
              </w:rPr>
              <w:t>▲（9）兼容 MySQL 协议和语法，支持分库分表。</w:t>
            </w:r>
            <w:r>
              <w:rPr>
                <w:rFonts w:hint="eastAsia"/>
                <w:color w:val="auto"/>
                <w:highlight w:val="none"/>
              </w:rPr>
              <w:br w:type="textWrapping"/>
            </w:r>
            <w:r>
              <w:rPr>
                <w:rFonts w:hint="eastAsia"/>
                <w:color w:val="auto"/>
                <w:highlight w:val="none"/>
              </w:rPr>
              <w:t>（10）提供分布式数据库的全局增量日志服务，解决分布式数据库多个节点增量日志的同步问题。</w:t>
            </w:r>
          </w:p>
        </w:tc>
        <w:tc>
          <w:tcPr>
            <w:tcW w:w="351"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1套</w:t>
            </w:r>
          </w:p>
        </w:tc>
      </w:tr>
      <w:tr>
        <w:tblPrEx>
          <w:tblCellMar>
            <w:top w:w="0" w:type="dxa"/>
            <w:left w:w="0" w:type="dxa"/>
            <w:bottom w:w="0" w:type="dxa"/>
            <w:right w:w="0" w:type="dxa"/>
          </w:tblCellMar>
        </w:tblPrEx>
        <w:trPr>
          <w:trHeight w:val="360" w:hRule="atLeast"/>
        </w:trPr>
        <w:tc>
          <w:tcPr>
            <w:tcW w:w="210"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1.9</w:t>
            </w:r>
          </w:p>
        </w:tc>
        <w:tc>
          <w:tcPr>
            <w:tcW w:w="421"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大数据实时计算软件授权采购</w:t>
            </w:r>
          </w:p>
        </w:tc>
        <w:tc>
          <w:tcPr>
            <w:tcW w:w="4016"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▲采购1408core软件授权，提供永久使用授权和三年软件质保服务，质保服务内容包括软件故障解决、软件漏洞修复和软件版本更新。</w:t>
            </w:r>
            <w:r>
              <w:rPr>
                <w:rFonts w:hint="eastAsia"/>
                <w:color w:val="auto"/>
                <w:highlight w:val="none"/>
              </w:rPr>
              <w:br w:type="textWrapping"/>
            </w:r>
            <w:r>
              <w:rPr>
                <w:rFonts w:hint="eastAsia"/>
                <w:color w:val="auto"/>
                <w:highlight w:val="none"/>
              </w:rPr>
              <w:t>（1）基础功能</w:t>
            </w:r>
            <w:r>
              <w:rPr>
                <w:rFonts w:hint="eastAsia"/>
                <w:color w:val="auto"/>
                <w:highlight w:val="none"/>
              </w:rPr>
              <w:br w:type="textWrapping"/>
            </w:r>
            <w:r>
              <w:rPr>
                <w:rFonts w:hint="eastAsia"/>
                <w:color w:val="auto"/>
                <w:highlight w:val="none"/>
              </w:rPr>
              <w:t>1）支持行列混存功能，实现最优化的查询性能。</w:t>
            </w:r>
            <w:r>
              <w:rPr>
                <w:rFonts w:hint="eastAsia"/>
                <w:color w:val="auto"/>
                <w:highlight w:val="none"/>
              </w:rPr>
              <w:br w:type="textWrapping"/>
            </w:r>
            <w:r>
              <w:rPr>
                <w:rFonts w:hint="eastAsia"/>
                <w:color w:val="auto"/>
                <w:highlight w:val="none"/>
              </w:rPr>
              <w:t>2）支持SQL优先级功能，支持超级、高、中、低四个等级；支持以查询query粒度，设定查询优先级，保证高优先级应用高可用。</w:t>
            </w:r>
            <w:r>
              <w:rPr>
                <w:rFonts w:hint="eastAsia"/>
                <w:color w:val="auto"/>
                <w:highlight w:val="none"/>
              </w:rPr>
              <w:br w:type="textWrapping"/>
            </w:r>
            <w:r>
              <w:rPr>
                <w:rFonts w:hint="eastAsia"/>
                <w:color w:val="auto"/>
                <w:highlight w:val="none"/>
              </w:rPr>
              <w:t>3）支持单可用区多副本，每个数据库实例都同时有多副本工作，提高查询性能及高可用性。</w:t>
            </w:r>
            <w:r>
              <w:rPr>
                <w:rFonts w:hint="eastAsia"/>
                <w:color w:val="auto"/>
                <w:highlight w:val="none"/>
              </w:rPr>
              <w:br w:type="textWrapping"/>
            </w:r>
            <w:r>
              <w:rPr>
                <w:rFonts w:hint="eastAsia"/>
                <w:color w:val="auto"/>
                <w:highlight w:val="none"/>
              </w:rPr>
              <w:t>4）支持分布式多节点MPP+BSP计算模式，支持交互式计算和跑批任务。</w:t>
            </w:r>
            <w:r>
              <w:rPr>
                <w:rFonts w:hint="eastAsia"/>
                <w:color w:val="auto"/>
                <w:highlight w:val="none"/>
              </w:rPr>
              <w:br w:type="textWrapping"/>
            </w:r>
            <w:r>
              <w:rPr>
                <w:rFonts w:hint="eastAsia"/>
                <w:color w:val="auto"/>
                <w:highlight w:val="none"/>
              </w:rPr>
              <w:t>5）支持精细化使用控制，对数据库连接、查询query、实时写入进行控制。</w:t>
            </w:r>
            <w:r>
              <w:rPr>
                <w:rFonts w:hint="eastAsia"/>
                <w:color w:val="auto"/>
                <w:highlight w:val="none"/>
              </w:rPr>
              <w:br w:type="textWrapping"/>
            </w:r>
            <w:r>
              <w:rPr>
                <w:rFonts w:hint="eastAsia"/>
                <w:color w:val="auto"/>
                <w:highlight w:val="none"/>
              </w:rPr>
              <w:t>6）支持智能全索引，默认针对任意列都建索引；同时提供disable index功能。</w:t>
            </w:r>
            <w:r>
              <w:rPr>
                <w:rFonts w:hint="eastAsia"/>
                <w:color w:val="auto"/>
                <w:highlight w:val="none"/>
              </w:rPr>
              <w:br w:type="textWrapping"/>
            </w:r>
            <w:r>
              <w:rPr>
                <w:rFonts w:hint="eastAsia"/>
                <w:color w:val="auto"/>
                <w:highlight w:val="none"/>
              </w:rPr>
              <w:t>7）支持资源组配置，保证查询与写入资源隔离，增加系统稳定性。</w:t>
            </w:r>
            <w:r>
              <w:rPr>
                <w:rFonts w:hint="eastAsia"/>
                <w:color w:val="auto"/>
                <w:highlight w:val="none"/>
              </w:rPr>
              <w:br w:type="textWrapping"/>
            </w:r>
            <w:r>
              <w:rPr>
                <w:rFonts w:hint="eastAsia"/>
                <w:color w:val="auto"/>
                <w:highlight w:val="none"/>
              </w:rPr>
              <w:t>8）提供大数据运维控制台，提供完善的监控功能及巡检功能。</w:t>
            </w:r>
            <w:r>
              <w:rPr>
                <w:rFonts w:hint="eastAsia"/>
                <w:color w:val="auto"/>
                <w:highlight w:val="none"/>
              </w:rPr>
              <w:br w:type="textWrapping"/>
            </w:r>
            <w:r>
              <w:rPr>
                <w:rFonts w:hint="eastAsia"/>
                <w:color w:val="auto"/>
                <w:highlight w:val="none"/>
              </w:rPr>
              <w:t>（2）实时计算采用分布式计算框架提供实时计算服务，可按需扩容，可扩容支持PB级别数据的存储、计算能力。采用分布式计算技术，拥有强大的实时计算能力，使得使用者可以根据自己的想法在海量数据中自由的进行探索，而不是根据预先设定好的逻辑查看已有的数据报表。采用数据高度预分布方式存储与计算框架，计算基本无shuffle，数据复用率高。</w:t>
            </w:r>
            <w:r>
              <w:rPr>
                <w:rFonts w:hint="eastAsia"/>
                <w:color w:val="auto"/>
                <w:highlight w:val="none"/>
              </w:rPr>
              <w:br w:type="textWrapping"/>
            </w:r>
            <w:r>
              <w:rPr>
                <w:rFonts w:hint="eastAsia"/>
                <w:color w:val="auto"/>
                <w:highlight w:val="none"/>
              </w:rPr>
              <w:t>（3）监控分析支持细粒度的运行监控，包括CPU平均使用率、集群连接数、查询QPS、查询响应时间、查询等待总耗时、写入响应时间、写入吞吐量、写入TPS、磁盘IO吞吐、磁盘IOPS、磁盘使用量。</w:t>
            </w:r>
            <w:r>
              <w:rPr>
                <w:rFonts w:hint="eastAsia"/>
                <w:color w:val="auto"/>
                <w:highlight w:val="none"/>
              </w:rPr>
              <w:br w:type="textWrapping"/>
            </w:r>
            <w:r>
              <w:rPr>
                <w:rFonts w:hint="eastAsia"/>
                <w:color w:val="auto"/>
                <w:highlight w:val="none"/>
              </w:rPr>
              <w:t>（4）标准 SQL 支持 SQL 标准语法对数据进行多维分析、数据透视、数据筛选，能够对 任意字段进行组合查询，无需预先进行数据建模。SELECT语句支持表达式、函数、列等多种列投射形态；支持子查询、表之间的左右连接；过滤条件(where)中支持任意的and和or的组合，between..and..、is、in等多种逻辑判断；支持group by、having、order by等SQL语法块；支持标准MySQL协议连接数据库进行查询和管理操作，兼容MySQL的常见的标准元数据表。</w:t>
            </w:r>
            <w:r>
              <w:rPr>
                <w:rFonts w:hint="eastAsia"/>
                <w:color w:val="auto"/>
                <w:highlight w:val="none"/>
              </w:rPr>
              <w:br w:type="textWrapping"/>
            </w:r>
            <w:r>
              <w:rPr>
                <w:rFonts w:hint="eastAsia"/>
                <w:color w:val="auto"/>
                <w:highlight w:val="none"/>
              </w:rPr>
              <w:t>（5）多维查询提供面向海量数据进行任意维度的密集计算与关联分析的能力，支持维度表、分布、分区等特性，支持大事实表间的关联、事实表与维度表的高自由度关联。</w:t>
            </w:r>
            <w:r>
              <w:rPr>
                <w:rFonts w:hint="eastAsia"/>
                <w:color w:val="auto"/>
                <w:highlight w:val="none"/>
              </w:rPr>
              <w:br w:type="textWrapping"/>
            </w:r>
            <w:r>
              <w:rPr>
                <w:rFonts w:hint="eastAsia"/>
                <w:color w:val="auto"/>
                <w:highlight w:val="none"/>
              </w:rPr>
              <w:t>（6）权限控制具备完善的权限认证，保障用户数据的私密性。提供帐号和多租户能力，支持云帐号体系，支持Access Key模式的登录鉴权，支持按照DB进行租户隔离，保障用户数据的私密性；可以对数据库、表、视图、列四个级别进行ACL授权；支持查看、管理用户权限的SQL命令；</w:t>
            </w:r>
            <w:r>
              <w:rPr>
                <w:rFonts w:hint="eastAsia"/>
                <w:color w:val="auto"/>
                <w:highlight w:val="none"/>
              </w:rPr>
              <w:br w:type="textWrapping"/>
            </w:r>
            <w:r>
              <w:rPr>
                <w:rFonts w:hint="eastAsia"/>
                <w:color w:val="auto"/>
                <w:highlight w:val="none"/>
              </w:rPr>
              <w:t>（7）调试及优化工具提供标准的SQL接口，并可兼容MySQL客户端直连，为SQL调优提供了丰富的调优工具，如Debug，Analyze，Explain等工具，能帮助开发、运维人员优化应用程序。</w:t>
            </w:r>
            <w:r>
              <w:rPr>
                <w:rFonts w:hint="eastAsia"/>
                <w:color w:val="auto"/>
                <w:highlight w:val="none"/>
              </w:rPr>
              <w:br w:type="textWrapping"/>
            </w:r>
            <w:r>
              <w:rPr>
                <w:rFonts w:hint="eastAsia"/>
                <w:color w:val="auto"/>
                <w:highlight w:val="none"/>
              </w:rPr>
              <w:t>（8）高效数据装载支持至少两种数据装载/插入方式：分布式数据装载技术；支持单条数据的直接插入/删除。在对外部系统的交互上，能够从大数据离线计算服务批量导入数据，并且可以快速批量导出海量数据到大数据离线计算服务；可以实时的将云数据库中的数据同步到大数据实时计算服务中；可以从对象存储服务拉取数据，并支持快速批量导出海量数据到对象存储服务。支持高并发环境下的SQL Insert与Delete操作。</w:t>
            </w:r>
            <w:r>
              <w:rPr>
                <w:rFonts w:hint="eastAsia"/>
                <w:color w:val="auto"/>
                <w:highlight w:val="none"/>
              </w:rPr>
              <w:br w:type="textWrapping"/>
            </w:r>
            <w:r>
              <w:rPr>
                <w:rFonts w:hint="eastAsia"/>
                <w:color w:val="auto"/>
                <w:highlight w:val="none"/>
              </w:rPr>
              <w:t>（9）实时数据写入支持的实时写入语句包括：INSERT INTO、REPLACE INTO、UPDATE和DELETE 。实时写入模式的表支持分区表，可存储更大的单表数据量，实现数据生命周期管理。实时数据通常在INSERT语句执行成功后，立即可查。</w:t>
            </w:r>
          </w:p>
        </w:tc>
        <w:tc>
          <w:tcPr>
            <w:tcW w:w="351"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1套</w:t>
            </w:r>
          </w:p>
        </w:tc>
      </w:tr>
      <w:tr>
        <w:tblPrEx>
          <w:tblCellMar>
            <w:top w:w="0" w:type="dxa"/>
            <w:left w:w="0" w:type="dxa"/>
            <w:bottom w:w="0" w:type="dxa"/>
            <w:right w:w="0" w:type="dxa"/>
          </w:tblCellMar>
        </w:tblPrEx>
        <w:trPr>
          <w:trHeight w:val="360" w:hRule="atLeast"/>
        </w:trPr>
        <w:tc>
          <w:tcPr>
            <w:tcW w:w="210"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 xml:space="preserve">1.10 </w:t>
            </w:r>
          </w:p>
        </w:tc>
        <w:tc>
          <w:tcPr>
            <w:tcW w:w="421"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数据库自治服务软件授权采购</w:t>
            </w:r>
          </w:p>
        </w:tc>
        <w:tc>
          <w:tcPr>
            <w:tcW w:w="4016"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▲采购430个数据库实例管理授权，提供永久使用授权和三年软件质保服务，质保服务内容包括软件故障解决、软件漏洞修复和软件版本更新。</w:t>
            </w:r>
            <w:r>
              <w:rPr>
                <w:rFonts w:hint="eastAsia"/>
                <w:color w:val="auto"/>
                <w:highlight w:val="none"/>
              </w:rPr>
              <w:br w:type="textWrapping"/>
            </w:r>
            <w:r>
              <w:rPr>
                <w:rFonts w:hint="eastAsia"/>
                <w:color w:val="auto"/>
                <w:highlight w:val="none"/>
              </w:rPr>
              <w:t>（1）统一管理对多种类数据库进行集中管理，统一监控，节省管理成本，显著减少因人为误操作导致故障的概率。</w:t>
            </w:r>
            <w:r>
              <w:rPr>
                <w:rFonts w:hint="eastAsia"/>
                <w:color w:val="auto"/>
                <w:highlight w:val="none"/>
              </w:rPr>
              <w:br w:type="textWrapping"/>
            </w:r>
            <w:r>
              <w:rPr>
                <w:rFonts w:hint="eastAsia"/>
                <w:color w:val="auto"/>
                <w:highlight w:val="none"/>
              </w:rPr>
              <w:t>（2）统一监控支持查看所有环境、所有集群、所有实例的性能趋势情况和实时性能情况。</w:t>
            </w:r>
            <w:r>
              <w:rPr>
                <w:rFonts w:hint="eastAsia"/>
                <w:color w:val="auto"/>
                <w:highlight w:val="none"/>
              </w:rPr>
              <w:br w:type="textWrapping"/>
            </w:r>
            <w:r>
              <w:rPr>
                <w:rFonts w:hint="eastAsia"/>
                <w:color w:val="auto"/>
                <w:highlight w:val="none"/>
              </w:rPr>
              <w:t>（3）统一告警支持自定义告警规则的触发条件和告警信息的发送人等。</w:t>
            </w:r>
            <w:r>
              <w:rPr>
                <w:rFonts w:hint="eastAsia"/>
                <w:color w:val="auto"/>
                <w:highlight w:val="none"/>
              </w:rPr>
              <w:br w:type="textWrapping"/>
            </w:r>
            <w:r>
              <w:rPr>
                <w:rFonts w:hint="eastAsia"/>
                <w:color w:val="auto"/>
                <w:highlight w:val="none"/>
              </w:rPr>
              <w:t>（4）智能诊断和优化可扩展支持基于机器学习和细粒度的监控数据，能够提供7*24小时的异常检测，支持自动SQL限流、异常快照、自动SQL 诊断和优化、存储空间自动扩展、计算资源自动扩展等服务。通过异常发现、根因分析、进行止损或优化、效果跟踪、回滚或沉淀知识库等手段，实现诊断流程的闭环和优化效果的可量化，确保数据库的持续可用。</w:t>
            </w:r>
            <w:r>
              <w:rPr>
                <w:rFonts w:hint="eastAsia"/>
                <w:color w:val="auto"/>
                <w:highlight w:val="none"/>
              </w:rPr>
              <w:br w:type="textWrapping"/>
            </w:r>
            <w:r>
              <w:rPr>
                <w:rFonts w:hint="eastAsia"/>
                <w:color w:val="auto"/>
                <w:highlight w:val="none"/>
              </w:rPr>
              <w:t>（5）多环境、多集群管理满足管理多套环境多套集群的需求，支持环境级别、集群级别的性能监控指标的聚合和下钻，贴近企业级管理视角。</w:t>
            </w:r>
            <w:r>
              <w:rPr>
                <w:rFonts w:hint="eastAsia"/>
                <w:color w:val="auto"/>
                <w:highlight w:val="none"/>
              </w:rPr>
              <w:br w:type="textWrapping"/>
            </w:r>
            <w:r>
              <w:rPr>
                <w:rFonts w:hint="eastAsia"/>
                <w:color w:val="auto"/>
                <w:highlight w:val="none"/>
              </w:rPr>
              <w:t>（6）巡检评分支持巡检评分，自动对接入服务的数据库实例进行巡检，包括基础巡检以及SQL、容量、性能等，并给出健康评分，一目了然地确认数据库运行情况。</w:t>
            </w:r>
          </w:p>
        </w:tc>
        <w:tc>
          <w:tcPr>
            <w:tcW w:w="351"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1套</w:t>
            </w:r>
          </w:p>
        </w:tc>
      </w:tr>
      <w:tr>
        <w:tblPrEx>
          <w:tblCellMar>
            <w:top w:w="0" w:type="dxa"/>
            <w:left w:w="0" w:type="dxa"/>
            <w:bottom w:w="0" w:type="dxa"/>
            <w:right w:w="0" w:type="dxa"/>
          </w:tblCellMar>
        </w:tblPrEx>
        <w:trPr>
          <w:trHeight w:val="360" w:hRule="atLeast"/>
        </w:trPr>
        <w:tc>
          <w:tcPr>
            <w:tcW w:w="210"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1.11</w:t>
            </w:r>
          </w:p>
        </w:tc>
        <w:tc>
          <w:tcPr>
            <w:tcW w:w="421"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集中式关系型数据库软件授权采购</w:t>
            </w:r>
          </w:p>
        </w:tc>
        <w:tc>
          <w:tcPr>
            <w:tcW w:w="4016"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▲采购关系型数据库1920core软件授权，提供永久使用授权和三年软件质保服务，质保服务内容包括软件故障解决、软件漏洞修复和软件版本更新。</w:t>
            </w:r>
            <w:r>
              <w:rPr>
                <w:rFonts w:hint="eastAsia"/>
                <w:color w:val="auto"/>
                <w:highlight w:val="none"/>
              </w:rPr>
              <w:br w:type="textWrapping"/>
            </w:r>
            <w:r>
              <w:rPr>
                <w:rFonts w:hint="eastAsia"/>
                <w:color w:val="auto"/>
                <w:highlight w:val="none"/>
              </w:rPr>
              <w:t>（1）云数据库代理：支持短连接优化、事务拆分和读写分离的功能；</w:t>
            </w:r>
            <w:r>
              <w:rPr>
                <w:rFonts w:hint="eastAsia"/>
                <w:color w:val="auto"/>
                <w:highlight w:val="none"/>
              </w:rPr>
              <w:br w:type="textWrapping"/>
            </w:r>
            <w:r>
              <w:rPr>
                <w:rFonts w:hint="eastAsia"/>
                <w:color w:val="auto"/>
                <w:highlight w:val="none"/>
              </w:rPr>
              <w:t>1）提供短连接优化功能，有效解决短连接业务频繁建立新连接导致实例负载过高的问题；</w:t>
            </w:r>
            <w:r>
              <w:rPr>
                <w:rFonts w:hint="eastAsia"/>
                <w:color w:val="auto"/>
                <w:highlight w:val="none"/>
              </w:rPr>
              <w:br w:type="textWrapping"/>
            </w:r>
            <w:r>
              <w:rPr>
                <w:rFonts w:hint="eastAsia"/>
                <w:color w:val="auto"/>
                <w:highlight w:val="none"/>
              </w:rPr>
              <w:t>2）提供事务拆分功能，能够将事务内写操作之前的读请求转发到只读实例，降低主实例负载；</w:t>
            </w:r>
            <w:r>
              <w:rPr>
                <w:rFonts w:hint="eastAsia"/>
                <w:color w:val="auto"/>
                <w:highlight w:val="none"/>
              </w:rPr>
              <w:br w:type="textWrapping"/>
            </w:r>
            <w:r>
              <w:rPr>
                <w:rFonts w:hint="eastAsia"/>
                <w:color w:val="auto"/>
                <w:highlight w:val="none"/>
              </w:rPr>
              <w:t>3）提供读写分离功能，实现写请求自动转发到主实例，读请求自动转发到各个只读实例。</w:t>
            </w:r>
            <w:r>
              <w:rPr>
                <w:rFonts w:hint="eastAsia"/>
                <w:color w:val="auto"/>
                <w:highlight w:val="none"/>
              </w:rPr>
              <w:br w:type="textWrapping"/>
            </w:r>
            <w:r>
              <w:rPr>
                <w:rFonts w:hint="eastAsia"/>
                <w:color w:val="auto"/>
                <w:highlight w:val="none"/>
              </w:rPr>
              <w:t>（2）数据链路服务：本组件主要负责用户访问实例时，提供数据链路服务；DNS模块负责DNS的解析功能；LVS模块负责IP映射和端口转发，并提供网络防护、流量控制等功能。</w:t>
            </w:r>
            <w:r>
              <w:rPr>
                <w:rFonts w:hint="eastAsia"/>
                <w:color w:val="auto"/>
                <w:highlight w:val="none"/>
              </w:rPr>
              <w:br w:type="textWrapping"/>
            </w:r>
            <w:r>
              <w:rPr>
                <w:rFonts w:hint="eastAsia"/>
                <w:color w:val="auto"/>
                <w:highlight w:val="none"/>
              </w:rPr>
              <w:t>（3）调度系统：全面负责整个系统中所有任务的调度以及各大组件之间的协调工作；提供资源调配服务，负责底层资源的分配和整合。用户通过控制台或者通过API进行数据库实例创建、删除、内外切换时，调度系统以任务的形式进行调度，可对实例所有操作进行跟踪和展示。</w:t>
            </w:r>
            <w:r>
              <w:rPr>
                <w:rFonts w:hint="eastAsia"/>
                <w:color w:val="auto"/>
                <w:highlight w:val="none"/>
              </w:rPr>
              <w:br w:type="textWrapping"/>
            </w:r>
            <w:r>
              <w:rPr>
                <w:rFonts w:hint="eastAsia"/>
                <w:color w:val="auto"/>
                <w:highlight w:val="none"/>
              </w:rPr>
              <w:t>（4）备份系统：主要负责所有集群内所有实例数据的备份 ，并进行集中存储；提供完善的备份、恢复机制，支持手工备份和自动备份，支持物理备份和逻辑备份、逻辑备份支持库级备份，备份文件支持恢复到指定时间点。</w:t>
            </w:r>
            <w:r>
              <w:rPr>
                <w:rFonts w:hint="eastAsia"/>
                <w:color w:val="auto"/>
                <w:highlight w:val="none"/>
              </w:rPr>
              <w:br w:type="textWrapping"/>
            </w:r>
            <w:r>
              <w:rPr>
                <w:rFonts w:hint="eastAsia" w:ascii="宋体" w:hAnsi="宋体" w:cs="宋体"/>
                <w:bCs/>
                <w:color w:val="auto"/>
                <w:szCs w:val="21"/>
                <w:highlight w:val="none"/>
              </w:rPr>
              <w:t>■</w:t>
            </w:r>
            <w:r>
              <w:rPr>
                <w:rFonts w:hint="eastAsia"/>
                <w:color w:val="auto"/>
                <w:highlight w:val="none"/>
              </w:rPr>
              <w:t>（5）高可用控制系统：负责所有实例主备之间的健康检查以及实时切换。同时对于集群扩展，新节点会自动探测压力大的节点，并接管任务。支持同城主备双中心架构部署，单中心故障不影响业务可用，支持跨数据中心云数据库自动同步功能。</w:t>
            </w:r>
            <w:r>
              <w:rPr>
                <w:rFonts w:hint="eastAsia"/>
                <w:color w:val="auto"/>
                <w:highlight w:val="none"/>
              </w:rPr>
              <w:br w:type="textWrapping"/>
            </w:r>
            <w:r>
              <w:rPr>
                <w:rFonts w:hint="eastAsia"/>
                <w:color w:val="auto"/>
                <w:highlight w:val="none"/>
              </w:rPr>
              <w:t>（6）在线迁移系统：在线迁移系统主要负责实例在不同主机之间的迁移工作，触发迁移作业的常见原因是物理机已接近饱和时，为保障用户使用，支持在关系型数据库服务后台将部分实例进行手工迁移。如果用户主动发起数据库扩容申请，当所在设备的物理资源不满足需求时，将会自动触发迁移工作，将数据库迁移到资源充裕的设备节点。</w:t>
            </w:r>
            <w:r>
              <w:rPr>
                <w:rFonts w:hint="eastAsia"/>
                <w:color w:val="auto"/>
                <w:highlight w:val="none"/>
              </w:rPr>
              <w:br w:type="textWrapping"/>
            </w:r>
            <w:r>
              <w:rPr>
                <w:rFonts w:hint="eastAsia"/>
                <w:color w:val="auto"/>
                <w:highlight w:val="none"/>
              </w:rPr>
              <w:t>（7）监控系统：负责系统正常运转的检查，以及实例相关状态和性能数据收集；如服务监控、物理资源监控、实例使用资源监控、网络监控及报警功能。</w:t>
            </w:r>
            <w:r>
              <w:rPr>
                <w:rFonts w:hint="eastAsia"/>
                <w:color w:val="auto"/>
                <w:highlight w:val="none"/>
              </w:rPr>
              <w:br w:type="textWrapping"/>
            </w:r>
            <w:r>
              <w:rPr>
                <w:rFonts w:hint="eastAsia"/>
                <w:color w:val="auto"/>
                <w:highlight w:val="none"/>
              </w:rPr>
              <w:t>（8）租户隔离：支持基于云多租户的方式分配管理数据库实例。</w:t>
            </w:r>
            <w:r>
              <w:rPr>
                <w:rFonts w:hint="eastAsia"/>
                <w:color w:val="auto"/>
                <w:highlight w:val="none"/>
              </w:rPr>
              <w:br w:type="textWrapping"/>
            </w:r>
            <w:r>
              <w:rPr>
                <w:rFonts w:hint="eastAsia"/>
                <w:color w:val="auto"/>
                <w:highlight w:val="none"/>
              </w:rPr>
              <w:t>（9）提供用户自服务门户和API接口：用户可自行创建不同规格的关系型数据库实例，并提供关系型数据库实例的在线扩容、备份、恢复、性能监控、异常告警、日志管理等功能。</w:t>
            </w:r>
            <w:r>
              <w:rPr>
                <w:rFonts w:hint="eastAsia"/>
                <w:color w:val="auto"/>
                <w:highlight w:val="none"/>
              </w:rPr>
              <w:br w:type="textWrapping"/>
            </w:r>
            <w:r>
              <w:rPr>
                <w:rFonts w:hint="eastAsia" w:ascii="宋体" w:hAnsi="宋体" w:cs="宋体"/>
                <w:bCs/>
                <w:color w:val="auto"/>
                <w:szCs w:val="21"/>
                <w:highlight w:val="none"/>
              </w:rPr>
              <w:t>■</w:t>
            </w:r>
            <w:r>
              <w:rPr>
                <w:rFonts w:hint="eastAsia"/>
                <w:color w:val="auto"/>
                <w:highlight w:val="none"/>
              </w:rPr>
              <w:t>（10）提供用户可独有CPU资源选择的独享型规格，提供用户可独有整台物理机器的独占型规格。</w:t>
            </w:r>
            <w:r>
              <w:rPr>
                <w:rFonts w:hint="eastAsia"/>
                <w:color w:val="auto"/>
                <w:highlight w:val="none"/>
              </w:rPr>
              <w:br w:type="textWrapping"/>
            </w:r>
            <w:r>
              <w:rPr>
                <w:rFonts w:hint="eastAsia"/>
                <w:color w:val="auto"/>
                <w:highlight w:val="none"/>
              </w:rPr>
              <w:t>（11）支持虚拟专有网络和经典网络，可支持指定虚拟网络创建数据库实例。</w:t>
            </w:r>
            <w:r>
              <w:rPr>
                <w:rFonts w:hint="eastAsia"/>
                <w:color w:val="auto"/>
                <w:highlight w:val="none"/>
              </w:rPr>
              <w:br w:type="textWrapping"/>
            </w:r>
            <w:r>
              <w:rPr>
                <w:rFonts w:hint="eastAsia"/>
                <w:color w:val="auto"/>
                <w:highlight w:val="none"/>
              </w:rPr>
              <w:t>（12）支持业务无中断在线方式升级数据库规格及存储空间。</w:t>
            </w:r>
            <w:r>
              <w:rPr>
                <w:rFonts w:hint="eastAsia"/>
                <w:color w:val="auto"/>
                <w:highlight w:val="none"/>
              </w:rPr>
              <w:br w:type="textWrapping"/>
            </w:r>
            <w:r>
              <w:rPr>
                <w:rFonts w:hint="eastAsia"/>
                <w:color w:val="auto"/>
                <w:highlight w:val="none"/>
              </w:rPr>
              <w:t>（13）支持对MySQL可视化日志管理，包括慢日志、错误日志、数据库主备切换日志等。</w:t>
            </w:r>
            <w:r>
              <w:rPr>
                <w:rFonts w:hint="eastAsia"/>
                <w:color w:val="auto"/>
                <w:highlight w:val="none"/>
              </w:rPr>
              <w:br w:type="textWrapping"/>
            </w:r>
            <w:r>
              <w:rPr>
                <w:rFonts w:hint="eastAsia"/>
                <w:color w:val="auto"/>
                <w:highlight w:val="none"/>
              </w:rPr>
              <w:t>（14）具备完善的安全防护措施：支持白名单设置、SQL审计等功能；支持数据SSL传输加密、透明数据加密。</w:t>
            </w:r>
            <w:r>
              <w:rPr>
                <w:rFonts w:hint="eastAsia"/>
                <w:color w:val="auto"/>
                <w:highlight w:val="none"/>
              </w:rPr>
              <w:br w:type="textWrapping"/>
            </w:r>
            <w:r>
              <w:rPr>
                <w:rFonts w:hint="eastAsia"/>
                <w:color w:val="auto"/>
                <w:highlight w:val="none"/>
              </w:rPr>
              <w:t>（15）支持GUI、web管理界面、管理工具等多种管理方式。</w:t>
            </w:r>
          </w:p>
        </w:tc>
        <w:tc>
          <w:tcPr>
            <w:tcW w:w="351"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1套</w:t>
            </w:r>
          </w:p>
        </w:tc>
      </w:tr>
      <w:tr>
        <w:tblPrEx>
          <w:tblCellMar>
            <w:top w:w="0" w:type="dxa"/>
            <w:left w:w="0" w:type="dxa"/>
            <w:bottom w:w="0" w:type="dxa"/>
            <w:right w:w="0" w:type="dxa"/>
          </w:tblCellMar>
        </w:tblPrEx>
        <w:trPr>
          <w:trHeight w:val="360" w:hRule="atLeast"/>
        </w:trPr>
        <w:tc>
          <w:tcPr>
            <w:tcW w:w="210"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1.12</w:t>
            </w:r>
          </w:p>
        </w:tc>
        <w:tc>
          <w:tcPr>
            <w:tcW w:w="421"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云管理平台软件授权采购</w:t>
            </w:r>
          </w:p>
        </w:tc>
        <w:tc>
          <w:tcPr>
            <w:tcW w:w="4016"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▲采购150节点管理授权，提供永久使用授权和三年软件质保服务，质保服务内容包括软件故障解决、软件漏洞修复和软件版本更新。</w:t>
            </w:r>
            <w:r>
              <w:rPr>
                <w:rFonts w:hint="eastAsia"/>
                <w:color w:val="auto"/>
                <w:highlight w:val="none"/>
              </w:rPr>
              <w:br w:type="textWrapping"/>
            </w:r>
            <w:r>
              <w:rPr>
                <w:rFonts w:hint="eastAsia"/>
                <w:color w:val="auto"/>
                <w:highlight w:val="none"/>
              </w:rPr>
              <w:t>1、自动化运维</w:t>
            </w:r>
            <w:r>
              <w:rPr>
                <w:rFonts w:hint="eastAsia"/>
                <w:color w:val="auto"/>
                <w:highlight w:val="none"/>
              </w:rPr>
              <w:br w:type="textWrapping"/>
            </w:r>
            <w:r>
              <w:rPr>
                <w:rFonts w:hint="eastAsia"/>
                <w:color w:val="auto"/>
                <w:highlight w:val="none"/>
              </w:rPr>
              <w:t>（1）实现资源监控自动化，可对医保云平台实施主动式监控，包括基础设施、操作系统、云服务等；</w:t>
            </w:r>
            <w:r>
              <w:rPr>
                <w:rFonts w:hint="eastAsia"/>
                <w:color w:val="auto"/>
                <w:highlight w:val="none"/>
              </w:rPr>
              <w:br w:type="textWrapping"/>
            </w:r>
            <w:r>
              <w:rPr>
                <w:rFonts w:hint="eastAsia"/>
                <w:color w:val="auto"/>
                <w:highlight w:val="none"/>
              </w:rPr>
              <w:t>（2）实现维护事件提醒自动化：通过对医保云平台资源的实时监控，自动在第一时间将异常事件通知相关责任人；</w:t>
            </w:r>
            <w:r>
              <w:rPr>
                <w:rFonts w:hint="eastAsia"/>
                <w:color w:val="auto"/>
                <w:highlight w:val="none"/>
              </w:rPr>
              <w:br w:type="textWrapping"/>
            </w:r>
            <w:r>
              <w:rPr>
                <w:rFonts w:hint="eastAsia"/>
                <w:color w:val="auto"/>
                <w:highlight w:val="none"/>
              </w:rPr>
              <w:t>（3）实现系统健康检测自动化，定期自动地对医保云平台资源和应用系统进行健康巡检，并能形成健康报告；</w:t>
            </w:r>
            <w:r>
              <w:rPr>
                <w:rFonts w:hint="eastAsia"/>
                <w:color w:val="auto"/>
                <w:highlight w:val="none"/>
              </w:rPr>
              <w:br w:type="textWrapping"/>
            </w:r>
            <w:r>
              <w:rPr>
                <w:rFonts w:hint="eastAsia"/>
                <w:color w:val="auto"/>
                <w:highlight w:val="none"/>
              </w:rPr>
              <w:t>（4）实现巡检报告生成自动化，支持全产品通用巡检、物理机巡检、网络巡检和OS巡检4种巡检场景，可以查看近期巡检状态、数据总览、巡检项的异常分布与总体趋势、巡检任务记录、巡检问题、最新巡检报告；</w:t>
            </w:r>
            <w:r>
              <w:rPr>
                <w:rFonts w:hint="eastAsia"/>
                <w:color w:val="auto"/>
                <w:highlight w:val="none"/>
              </w:rPr>
              <w:br w:type="textWrapping"/>
            </w:r>
            <w:r>
              <w:rPr>
                <w:rFonts w:hint="eastAsia"/>
                <w:color w:val="auto"/>
                <w:highlight w:val="none"/>
              </w:rPr>
              <w:t>（5）实现自动化任务机制，支持通过创建任务独立完成一项运维任务，实现自动化运维；运维任务包含软件分发、补丁升级、程序更新等。</w:t>
            </w:r>
            <w:r>
              <w:rPr>
                <w:rFonts w:hint="eastAsia"/>
                <w:color w:val="auto"/>
                <w:highlight w:val="none"/>
              </w:rPr>
              <w:br w:type="textWrapping"/>
            </w:r>
            <w:r>
              <w:rPr>
                <w:rFonts w:hint="eastAsia"/>
                <w:color w:val="auto"/>
                <w:highlight w:val="none"/>
              </w:rPr>
              <w:t xml:space="preserve">a)在运行面板区域，查看当前系统中等待介入、运行中、失败和已完成任务数量的统计信息；单击各统计数值，会跳转到对应的任务页面。 </w:t>
            </w:r>
            <w:r>
              <w:rPr>
                <w:rFonts w:hint="eastAsia"/>
                <w:color w:val="auto"/>
                <w:highlight w:val="none"/>
              </w:rPr>
              <w:br w:type="textWrapping"/>
            </w:r>
            <w:r>
              <w:rPr>
                <w:rFonts w:hint="eastAsia"/>
                <w:color w:val="auto"/>
                <w:highlight w:val="none"/>
              </w:rPr>
              <w:t xml:space="preserve">b)在运行中的任务区域，查看最近24小时内正在运行中的任务。 </w:t>
            </w:r>
            <w:r>
              <w:rPr>
                <w:rFonts w:hint="eastAsia"/>
                <w:color w:val="auto"/>
                <w:highlight w:val="none"/>
              </w:rPr>
              <w:br w:type="textWrapping"/>
            </w:r>
            <w:r>
              <w:rPr>
                <w:rFonts w:hint="eastAsia"/>
                <w:color w:val="auto"/>
                <w:highlight w:val="none"/>
              </w:rPr>
              <w:t xml:space="preserve">c)在脚本创建 区域，支持可以通过单击或拖拽方式快速创建脚本。支持上传shell以及python脚本。 </w:t>
            </w:r>
            <w:r>
              <w:rPr>
                <w:rFonts w:hint="eastAsia"/>
                <w:color w:val="auto"/>
                <w:highlight w:val="none"/>
              </w:rPr>
              <w:br w:type="textWrapping"/>
            </w:r>
            <w:r>
              <w:rPr>
                <w:rFonts w:hint="eastAsia"/>
                <w:color w:val="auto"/>
                <w:highlight w:val="none"/>
              </w:rPr>
              <w:t>d)在最近7天运行情况 区域，查看最近7天任务的运行趋势。</w:t>
            </w:r>
            <w:r>
              <w:rPr>
                <w:rFonts w:hint="eastAsia"/>
                <w:color w:val="auto"/>
                <w:highlight w:val="none"/>
              </w:rPr>
              <w:br w:type="textWrapping"/>
            </w:r>
            <w:r>
              <w:rPr>
                <w:rFonts w:hint="eastAsia"/>
                <w:color w:val="auto"/>
                <w:highlight w:val="none"/>
              </w:rPr>
              <w:t xml:space="preserve">e)支持修改任务的灰度策略即调整机器的执行批次。 </w:t>
            </w:r>
            <w:r>
              <w:rPr>
                <w:rFonts w:hint="eastAsia"/>
                <w:color w:val="auto"/>
                <w:highlight w:val="none"/>
              </w:rPr>
              <w:br w:type="textWrapping"/>
            </w:r>
            <w:r>
              <w:rPr>
                <w:rFonts w:hint="eastAsia"/>
                <w:color w:val="auto"/>
                <w:highlight w:val="none"/>
              </w:rPr>
              <w:t xml:space="preserve">f)支持删除不再使用的任务 </w:t>
            </w:r>
            <w:r>
              <w:rPr>
                <w:rFonts w:hint="eastAsia"/>
                <w:color w:val="auto"/>
                <w:highlight w:val="none"/>
              </w:rPr>
              <w:br w:type="textWrapping"/>
            </w:r>
            <w:r>
              <w:rPr>
                <w:rFonts w:hint="eastAsia"/>
                <w:color w:val="auto"/>
                <w:highlight w:val="none"/>
              </w:rPr>
              <w:t xml:space="preserve">g)支持手动执行方式，在任务创建成功后，按照手动启动该任务。 </w:t>
            </w:r>
            <w:r>
              <w:rPr>
                <w:rFonts w:hint="eastAsia"/>
                <w:color w:val="auto"/>
                <w:highlight w:val="none"/>
              </w:rPr>
              <w:br w:type="textWrapping"/>
            </w:r>
            <w:r>
              <w:rPr>
                <w:rFonts w:hint="eastAsia"/>
                <w:color w:val="auto"/>
                <w:highlight w:val="none"/>
              </w:rPr>
              <w:t xml:space="preserve">h)支持当任务中存在断点并运行到断点时，任务将暂停等待人工确认，只有人工确认后任务才能继续执行。 </w:t>
            </w:r>
            <w:r>
              <w:rPr>
                <w:rFonts w:hint="eastAsia"/>
                <w:color w:val="auto"/>
                <w:highlight w:val="none"/>
              </w:rPr>
              <w:br w:type="textWrapping"/>
            </w:r>
            <w:r>
              <w:rPr>
                <w:rFonts w:hint="eastAsia"/>
                <w:color w:val="auto"/>
                <w:highlight w:val="none"/>
              </w:rPr>
              <w:t>支持查看任务的执行情况。</w:t>
            </w:r>
            <w:r>
              <w:rPr>
                <w:rFonts w:hint="eastAsia"/>
                <w:color w:val="auto"/>
                <w:highlight w:val="none"/>
              </w:rPr>
              <w:br w:type="textWrapping"/>
            </w:r>
            <w:r>
              <w:rPr>
                <w:rFonts w:hint="eastAsia"/>
                <w:color w:val="auto"/>
                <w:highlight w:val="none"/>
              </w:rPr>
              <w:t>（6）告警管理：</w:t>
            </w:r>
            <w:r>
              <w:rPr>
                <w:rFonts w:hint="eastAsia"/>
                <w:color w:val="auto"/>
                <w:highlight w:val="none"/>
              </w:rPr>
              <w:br w:type="textWrapping"/>
            </w:r>
            <w:r>
              <w:rPr>
                <w:rFonts w:hint="eastAsia"/>
                <w:color w:val="auto"/>
                <w:highlight w:val="none"/>
              </w:rPr>
              <w:t xml:space="preserve">a) 支持导出历史告警列表。 </w:t>
            </w:r>
            <w:r>
              <w:rPr>
                <w:rFonts w:hint="eastAsia"/>
                <w:color w:val="auto"/>
                <w:highlight w:val="none"/>
              </w:rPr>
              <w:br w:type="textWrapping"/>
            </w:r>
            <w:r>
              <w:rPr>
                <w:rFonts w:hint="eastAsia"/>
                <w:color w:val="auto"/>
                <w:highlight w:val="none"/>
              </w:rPr>
              <w:t>b) 支持查看告警源详情。如告警说明、参考信息、影响范围及处理步骤等</w:t>
            </w:r>
            <w:r>
              <w:rPr>
                <w:rFonts w:hint="eastAsia"/>
                <w:color w:val="auto"/>
                <w:highlight w:val="none"/>
              </w:rPr>
              <w:br w:type="textWrapping"/>
            </w:r>
            <w:r>
              <w:rPr>
                <w:rFonts w:hint="eastAsia"/>
                <w:color w:val="auto"/>
                <w:highlight w:val="none"/>
              </w:rPr>
              <w:t>c) 支持根据监控项类型、产品、服务、等级、状态、开始日期、结束日期及过滤内容来进行过滤查询</w:t>
            </w:r>
            <w:r>
              <w:rPr>
                <w:rFonts w:hint="eastAsia"/>
                <w:color w:val="auto"/>
                <w:highlight w:val="none"/>
              </w:rPr>
              <w:br w:type="textWrapping"/>
            </w:r>
            <w:r>
              <w:rPr>
                <w:rFonts w:hint="eastAsia"/>
                <w:color w:val="auto"/>
                <w:highlight w:val="none"/>
              </w:rPr>
              <w:t xml:space="preserve">d) 支持告警处理（如 处理、处理完成、事件跟踪、上报ITIL等） </w:t>
            </w:r>
            <w:r>
              <w:rPr>
                <w:rFonts w:hint="eastAsia"/>
                <w:color w:val="auto"/>
                <w:highlight w:val="none"/>
              </w:rPr>
              <w:br w:type="textWrapping"/>
            </w:r>
            <w:r>
              <w:rPr>
                <w:rFonts w:hint="eastAsia"/>
                <w:color w:val="auto"/>
                <w:highlight w:val="none"/>
              </w:rPr>
              <w:t>e) 支持告警屏蔽，在告警屏蔽的添加页面，配置需要屏蔽的告警筛选项。</w:t>
            </w:r>
            <w:r>
              <w:rPr>
                <w:rFonts w:hint="eastAsia"/>
                <w:color w:val="auto"/>
                <w:highlight w:val="none"/>
              </w:rPr>
              <w:br w:type="textWrapping"/>
            </w:r>
            <w:r>
              <w:rPr>
                <w:rFonts w:hint="eastAsia"/>
                <w:color w:val="auto"/>
                <w:highlight w:val="none"/>
              </w:rPr>
              <w:t xml:space="preserve">f) 支持为已屏蔽的告警解除屏蔽。 </w:t>
            </w:r>
            <w:r>
              <w:rPr>
                <w:rFonts w:hint="eastAsia"/>
                <w:color w:val="auto"/>
                <w:highlight w:val="none"/>
              </w:rPr>
              <w:br w:type="textWrapping"/>
            </w:r>
            <w:r>
              <w:rPr>
                <w:rFonts w:hint="eastAsia"/>
                <w:color w:val="auto"/>
                <w:highlight w:val="none"/>
              </w:rPr>
              <w:t>g) 支持搜索关键字查询，如集群、产品、服务、等级、状态、监控项名称等，单击查询，可查询到相应的告警事件。单击各色块可跳转至对应的告警事件页面。</w:t>
            </w:r>
            <w:r>
              <w:rPr>
                <w:rFonts w:hint="eastAsia"/>
                <w:color w:val="auto"/>
                <w:highlight w:val="none"/>
              </w:rPr>
              <w:br w:type="textWrapping"/>
            </w:r>
            <w:r>
              <w:rPr>
                <w:rFonts w:hint="eastAsia"/>
                <w:color w:val="auto"/>
                <w:highlight w:val="none"/>
              </w:rPr>
              <w:t>h) 可以根据业务需要，查询、添加、修改以及删除告警联系人和联系人组。</w:t>
            </w:r>
            <w:r>
              <w:rPr>
                <w:rFonts w:hint="eastAsia"/>
                <w:color w:val="auto"/>
                <w:highlight w:val="none"/>
              </w:rPr>
              <w:br w:type="textWrapping"/>
            </w:r>
            <w:r>
              <w:rPr>
                <w:rFonts w:hint="eastAsia"/>
                <w:color w:val="auto"/>
                <w:highlight w:val="none"/>
              </w:rPr>
              <w:t>（7）库存管理：</w:t>
            </w:r>
            <w:r>
              <w:rPr>
                <w:rFonts w:hint="eastAsia"/>
                <w:color w:val="auto"/>
                <w:highlight w:val="none"/>
              </w:rPr>
              <w:br w:type="textWrapping"/>
            </w:r>
            <w:r>
              <w:rPr>
                <w:rFonts w:hint="eastAsia"/>
                <w:color w:val="auto"/>
                <w:highlight w:val="none"/>
              </w:rPr>
              <w:t>a) 支持云主机库存情况查看，云主机库存详情中提供按区域、实例类型和日期分页查询某类实例在某个日期的库存情况。</w:t>
            </w:r>
            <w:r>
              <w:rPr>
                <w:rFonts w:hint="eastAsia"/>
                <w:color w:val="auto"/>
                <w:highlight w:val="none"/>
              </w:rPr>
              <w:br w:type="textWrapping"/>
            </w:r>
            <w:r>
              <w:rPr>
                <w:rFonts w:hint="eastAsia"/>
                <w:color w:val="auto"/>
                <w:highlight w:val="none"/>
              </w:rPr>
              <w:t xml:space="preserve">b) 支持块存储、NAS、对象存储、表格存储库存情况查看：包括历史可用库存（TB）显示近五天存储的库存可用情况；当前已用库存（TB）显示当前存储已用库存和百分比；存储库存详情中可按日期分页查询存储库存详情。 </w:t>
            </w:r>
            <w:r>
              <w:rPr>
                <w:rFonts w:hint="eastAsia"/>
                <w:color w:val="auto"/>
                <w:highlight w:val="none"/>
              </w:rPr>
              <w:br w:type="textWrapping"/>
            </w:r>
            <w:r>
              <w:rPr>
                <w:rFonts w:hint="eastAsia"/>
                <w:color w:val="auto"/>
                <w:highlight w:val="none"/>
              </w:rPr>
              <w:t>c) 支出RDS数据库实例库存：包括近期库存显示不同类型的RDS近五天内库存情况。其中，不同的颜色代表不同RDS类型；库存详情中可按引擎、日期分页查询RDS的库存详情。</w:t>
            </w:r>
            <w:r>
              <w:rPr>
                <w:rFonts w:hint="eastAsia"/>
                <w:color w:val="auto"/>
                <w:highlight w:val="none"/>
              </w:rPr>
              <w:br w:type="textWrapping"/>
            </w:r>
            <w:r>
              <w:rPr>
                <w:rFonts w:hint="eastAsia"/>
                <w:color w:val="auto"/>
                <w:highlight w:val="none"/>
              </w:rPr>
              <w:t>d) 支持负载均衡服务库存情况查看。</w:t>
            </w:r>
            <w:r>
              <w:rPr>
                <w:rFonts w:hint="eastAsia"/>
                <w:color w:val="auto"/>
                <w:highlight w:val="none"/>
              </w:rPr>
              <w:br w:type="textWrapping"/>
            </w:r>
            <w:r>
              <w:rPr>
                <w:rFonts w:hint="eastAsia"/>
                <w:color w:val="auto"/>
                <w:highlight w:val="none"/>
              </w:rPr>
              <w:t>（8）系统管理：支持用户管理、用户组管理、双因素认证、角色管理、部门管理、菜单管理、云操作系统日志、操作日志。</w:t>
            </w:r>
            <w:r>
              <w:rPr>
                <w:rFonts w:hint="eastAsia"/>
                <w:color w:val="auto"/>
                <w:highlight w:val="none"/>
              </w:rPr>
              <w:br w:type="textWrapping"/>
            </w:r>
            <w:r>
              <w:rPr>
                <w:rFonts w:hint="eastAsia" w:ascii="宋体" w:hAnsi="宋体" w:cs="宋体"/>
                <w:bCs/>
                <w:color w:val="auto"/>
                <w:szCs w:val="21"/>
                <w:highlight w:val="none"/>
              </w:rPr>
              <w:t>■</w:t>
            </w:r>
            <w:r>
              <w:rPr>
                <w:rFonts w:hint="eastAsia"/>
                <w:color w:val="auto"/>
                <w:highlight w:val="none"/>
              </w:rPr>
              <w:t>（9）支持统一账号管理及角色权限管理：只需要登录到云平台运维系统中，就能实现对云平台所有的组件进行运维或者免登录跳转运维。</w:t>
            </w:r>
            <w:r>
              <w:rPr>
                <w:rFonts w:hint="eastAsia"/>
                <w:color w:val="auto"/>
                <w:highlight w:val="none"/>
              </w:rPr>
              <w:br w:type="textWrapping"/>
            </w:r>
            <w:r>
              <w:rPr>
                <w:rFonts w:hint="eastAsia"/>
                <w:color w:val="auto"/>
                <w:highlight w:val="none"/>
              </w:rPr>
              <w:t>2、集群监控</w:t>
            </w:r>
            <w:r>
              <w:rPr>
                <w:rFonts w:hint="eastAsia"/>
                <w:color w:val="auto"/>
                <w:highlight w:val="none"/>
              </w:rPr>
              <w:br w:type="textWrapping"/>
            </w:r>
            <w:r>
              <w:rPr>
                <w:rFonts w:hint="eastAsia"/>
                <w:color w:val="auto"/>
                <w:highlight w:val="none"/>
              </w:rPr>
              <w:t>集群监控负责信息的收集、监控和诊断，对集群的实时运行状态进行分析和评估。</w:t>
            </w:r>
            <w:r>
              <w:rPr>
                <w:rFonts w:hint="eastAsia"/>
                <w:color w:val="auto"/>
                <w:highlight w:val="none"/>
              </w:rPr>
              <w:br w:type="textWrapping"/>
            </w:r>
            <w:r>
              <w:rPr>
                <w:rFonts w:hint="eastAsia"/>
                <w:color w:val="auto"/>
                <w:highlight w:val="none"/>
              </w:rPr>
              <w:t>（1）提供面向医保云平台设备、资源及服务的运行监控；</w:t>
            </w:r>
            <w:r>
              <w:rPr>
                <w:rFonts w:hint="eastAsia"/>
                <w:color w:val="auto"/>
                <w:highlight w:val="none"/>
              </w:rPr>
              <w:br w:type="textWrapping"/>
            </w:r>
            <w:r>
              <w:rPr>
                <w:rFonts w:hint="eastAsia"/>
                <w:color w:val="auto"/>
                <w:highlight w:val="none"/>
              </w:rPr>
              <w:t>（2）提供数据收集功能，采集医保云平台设备、资源及服务的状态信息；</w:t>
            </w:r>
            <w:r>
              <w:rPr>
                <w:rFonts w:hint="eastAsia"/>
                <w:color w:val="auto"/>
                <w:highlight w:val="none"/>
              </w:rPr>
              <w:br w:type="textWrapping"/>
            </w:r>
            <w:r>
              <w:rPr>
                <w:rFonts w:hint="eastAsia"/>
                <w:color w:val="auto"/>
                <w:highlight w:val="none"/>
              </w:rPr>
              <w:t>（3）提供数据分析能力，对收集的日志进行聚合后进行分析，并对外提供计算结果；</w:t>
            </w:r>
            <w:r>
              <w:rPr>
                <w:rFonts w:hint="eastAsia"/>
                <w:color w:val="auto"/>
                <w:highlight w:val="none"/>
              </w:rPr>
              <w:br w:type="textWrapping"/>
            </w:r>
            <w:r>
              <w:rPr>
                <w:rFonts w:hint="eastAsia"/>
                <w:color w:val="auto"/>
                <w:highlight w:val="none"/>
              </w:rPr>
              <w:t>3、运维管理系统</w:t>
            </w:r>
            <w:r>
              <w:rPr>
                <w:rFonts w:hint="eastAsia"/>
                <w:color w:val="auto"/>
                <w:highlight w:val="none"/>
              </w:rPr>
              <w:br w:type="textWrapping"/>
            </w:r>
            <w:r>
              <w:rPr>
                <w:rFonts w:hint="eastAsia"/>
                <w:color w:val="auto"/>
                <w:highlight w:val="none"/>
              </w:rPr>
              <w:t>（1）实现运维服务台，接收医保云平台的各类使用问题请求；</w:t>
            </w:r>
            <w:r>
              <w:rPr>
                <w:rFonts w:hint="eastAsia"/>
                <w:color w:val="auto"/>
                <w:highlight w:val="none"/>
              </w:rPr>
              <w:br w:type="textWrapping"/>
            </w:r>
            <w:r>
              <w:rPr>
                <w:rFonts w:hint="eastAsia"/>
                <w:color w:val="auto"/>
                <w:highlight w:val="none"/>
              </w:rPr>
              <w:t>（2）实现对医保云平台的配置管理功能；</w:t>
            </w:r>
            <w:r>
              <w:rPr>
                <w:rFonts w:hint="eastAsia"/>
                <w:color w:val="auto"/>
                <w:highlight w:val="none"/>
              </w:rPr>
              <w:br w:type="textWrapping"/>
            </w:r>
            <w:r>
              <w:rPr>
                <w:rFonts w:hint="eastAsia"/>
                <w:color w:val="auto"/>
                <w:highlight w:val="none"/>
              </w:rPr>
              <w:t>（3）实现对医保云平台物理设备的监控、检测的可视化展现；</w:t>
            </w:r>
            <w:r>
              <w:rPr>
                <w:rFonts w:hint="eastAsia"/>
                <w:color w:val="auto"/>
                <w:highlight w:val="none"/>
              </w:rPr>
              <w:br w:type="textWrapping"/>
            </w:r>
            <w:r>
              <w:rPr>
                <w:rFonts w:hint="eastAsia"/>
                <w:color w:val="auto"/>
                <w:highlight w:val="none"/>
              </w:rPr>
              <w:t>（4）实现对医保云平台操作系统的监控、检测的可视化展现；</w:t>
            </w:r>
            <w:r>
              <w:rPr>
                <w:rFonts w:hint="eastAsia"/>
                <w:color w:val="auto"/>
                <w:highlight w:val="none"/>
              </w:rPr>
              <w:br w:type="textWrapping"/>
            </w:r>
            <w:r>
              <w:rPr>
                <w:rFonts w:hint="eastAsia"/>
                <w:color w:val="auto"/>
                <w:highlight w:val="none"/>
              </w:rPr>
              <w:t>（5）实现对医保云平台云服务的监控、检测的可视化展现；</w:t>
            </w:r>
            <w:r>
              <w:rPr>
                <w:rFonts w:hint="eastAsia"/>
                <w:color w:val="auto"/>
                <w:highlight w:val="none"/>
              </w:rPr>
              <w:br w:type="textWrapping"/>
            </w:r>
            <w:r>
              <w:rPr>
                <w:rFonts w:hint="eastAsia"/>
                <w:color w:val="auto"/>
                <w:highlight w:val="none"/>
              </w:rPr>
              <w:t>（6）实现对医保云平台使用率及分配情况的可视化展现；</w:t>
            </w:r>
            <w:r>
              <w:rPr>
                <w:rFonts w:hint="eastAsia"/>
                <w:color w:val="auto"/>
                <w:highlight w:val="none"/>
              </w:rPr>
              <w:br w:type="textWrapping"/>
            </w:r>
            <w:r>
              <w:rPr>
                <w:rFonts w:hint="eastAsia"/>
                <w:color w:val="auto"/>
                <w:highlight w:val="none"/>
              </w:rPr>
              <w:t>（7）实现对集群发布部署、扩容缩容等变更管理；</w:t>
            </w:r>
            <w:r>
              <w:rPr>
                <w:rFonts w:hint="eastAsia"/>
                <w:color w:val="auto"/>
                <w:highlight w:val="none"/>
              </w:rPr>
              <w:br w:type="textWrapping"/>
            </w:r>
            <w:r>
              <w:rPr>
                <w:rFonts w:hint="eastAsia"/>
                <w:color w:val="auto"/>
                <w:highlight w:val="none"/>
              </w:rPr>
              <w:t>（8）支持医保云平台安全的事件管理。</w:t>
            </w:r>
            <w:r>
              <w:rPr>
                <w:rFonts w:hint="eastAsia"/>
                <w:color w:val="auto"/>
                <w:highlight w:val="none"/>
              </w:rPr>
              <w:br w:type="textWrapping"/>
            </w:r>
            <w:r>
              <w:rPr>
                <w:rFonts w:hint="eastAsia"/>
                <w:color w:val="auto"/>
                <w:highlight w:val="none"/>
              </w:rPr>
              <w:t>4、自助服务门户</w:t>
            </w:r>
            <w:r>
              <w:rPr>
                <w:rFonts w:hint="eastAsia"/>
                <w:color w:val="auto"/>
                <w:highlight w:val="none"/>
              </w:rPr>
              <w:br w:type="textWrapping"/>
            </w:r>
            <w:r>
              <w:rPr>
                <w:rFonts w:hint="eastAsia"/>
                <w:color w:val="auto"/>
                <w:highlight w:val="none"/>
              </w:rPr>
              <w:t>（1）提供图形化管理界面；</w:t>
            </w:r>
            <w:r>
              <w:rPr>
                <w:rFonts w:hint="eastAsia"/>
                <w:color w:val="auto"/>
                <w:highlight w:val="none"/>
              </w:rPr>
              <w:br w:type="textWrapping"/>
            </w:r>
            <w:r>
              <w:rPr>
                <w:rFonts w:hint="eastAsia"/>
                <w:color w:val="auto"/>
                <w:highlight w:val="none"/>
              </w:rPr>
              <w:t>（2）提供面向云服务资源的管理控制台，允许操作人员自助开通、释放云服务资源；</w:t>
            </w:r>
            <w:r>
              <w:rPr>
                <w:rFonts w:hint="eastAsia"/>
                <w:color w:val="auto"/>
                <w:highlight w:val="none"/>
              </w:rPr>
              <w:br w:type="textWrapping"/>
            </w:r>
            <w:r>
              <w:rPr>
                <w:rFonts w:hint="eastAsia"/>
                <w:color w:val="auto"/>
                <w:highlight w:val="none"/>
              </w:rPr>
              <w:t>（3）提供面向大数据计算服务的管理控制台，允许操作人员自助调度及编排大数据计算任务；</w:t>
            </w:r>
            <w:r>
              <w:rPr>
                <w:rFonts w:hint="eastAsia"/>
                <w:color w:val="auto"/>
                <w:highlight w:val="none"/>
              </w:rPr>
              <w:br w:type="textWrapping"/>
            </w:r>
            <w:r>
              <w:rPr>
                <w:rFonts w:hint="eastAsia"/>
                <w:color w:val="auto"/>
                <w:highlight w:val="none"/>
              </w:rPr>
              <w:t>（4）支持双因子认证方式增加安全性。</w:t>
            </w:r>
            <w:r>
              <w:rPr>
                <w:rFonts w:hint="eastAsia"/>
                <w:color w:val="auto"/>
                <w:highlight w:val="none"/>
              </w:rPr>
              <w:br w:type="textWrapping"/>
            </w:r>
            <w:r>
              <w:rPr>
                <w:rFonts w:hint="eastAsia"/>
                <w:color w:val="auto"/>
                <w:highlight w:val="none"/>
              </w:rPr>
              <w:t>（5）系统管理：支持用户管理、用户组管理、组织管理和角色管理。</w:t>
            </w:r>
            <w:r>
              <w:rPr>
                <w:rFonts w:hint="eastAsia"/>
                <w:color w:val="auto"/>
                <w:highlight w:val="none"/>
              </w:rPr>
              <w:br w:type="textWrapping"/>
            </w:r>
            <w:r>
              <w:rPr>
                <w:rFonts w:hint="eastAsia"/>
                <w:color w:val="auto"/>
                <w:highlight w:val="none"/>
              </w:rPr>
              <w:t>（6）资源池配置：支持将云服务资源映射到具体的组织，实现只有映射配置了的组织，才能看到并使用相应的云服务资源。</w:t>
            </w:r>
            <w:r>
              <w:rPr>
                <w:rFonts w:hint="eastAsia"/>
                <w:color w:val="auto"/>
                <w:highlight w:val="none"/>
              </w:rPr>
              <w:br w:type="textWrapping"/>
            </w:r>
            <w:r>
              <w:rPr>
                <w:rFonts w:hint="eastAsia"/>
                <w:color w:val="auto"/>
                <w:highlight w:val="none"/>
              </w:rPr>
              <w:t>（7）规格管理：支持云服务资源的可用规格的录入/禁用/启用/查看管理。</w:t>
            </w:r>
            <w:r>
              <w:rPr>
                <w:rFonts w:hint="eastAsia"/>
                <w:color w:val="auto"/>
                <w:highlight w:val="none"/>
              </w:rPr>
              <w:br w:type="textWrapping"/>
            </w:r>
            <w:r>
              <w:rPr>
                <w:rFonts w:hint="eastAsia"/>
                <w:color w:val="auto"/>
                <w:highlight w:val="none"/>
              </w:rPr>
              <w:t>（8）计量管理：支持按时间/按组织维度计量、计量报表查询、计量报表导出。</w:t>
            </w:r>
            <w:r>
              <w:rPr>
                <w:rFonts w:hint="eastAsia"/>
                <w:color w:val="auto"/>
                <w:highlight w:val="none"/>
              </w:rPr>
              <w:br w:type="textWrapping"/>
            </w:r>
            <w:r>
              <w:rPr>
                <w:rFonts w:hint="eastAsia"/>
                <w:color w:val="auto"/>
                <w:highlight w:val="none"/>
              </w:rPr>
              <w:t>（9）配额管理：支持配置不同组织可以使用的云产品的配额总量；配额管理支持新增、编辑、删除、查看告警规则；当配额触发告警规则后，生成配额告警信息。</w:t>
            </w:r>
            <w:r>
              <w:rPr>
                <w:rFonts w:hint="eastAsia"/>
                <w:color w:val="auto"/>
                <w:highlight w:val="none"/>
              </w:rPr>
              <w:br w:type="textWrapping"/>
            </w:r>
            <w:r>
              <w:rPr>
                <w:rFonts w:hint="eastAsia"/>
                <w:color w:val="auto"/>
                <w:highlight w:val="none"/>
              </w:rPr>
              <w:t>（10）菜单管理：支持创建、自定义、删除、启用、删除自定义菜单功能。</w:t>
            </w:r>
            <w:r>
              <w:rPr>
                <w:rFonts w:hint="eastAsia"/>
                <w:color w:val="auto"/>
                <w:highlight w:val="none"/>
              </w:rPr>
              <w:br w:type="textWrapping"/>
            </w:r>
            <w:r>
              <w:rPr>
                <w:rFonts w:hint="eastAsia" w:ascii="宋体" w:hAnsi="宋体" w:cs="宋体"/>
                <w:bCs/>
                <w:color w:val="auto"/>
                <w:szCs w:val="21"/>
                <w:highlight w:val="none"/>
              </w:rPr>
              <w:t>▲</w:t>
            </w:r>
            <w:r>
              <w:rPr>
                <w:rFonts w:hint="eastAsia"/>
                <w:color w:val="auto"/>
                <w:highlight w:val="none"/>
              </w:rPr>
              <w:t>5.确保能够与现网云平台完全兼容，整合为统一云平台（非多云纳管形式），实现统一身份认证、统一服务目录、统一组织管理、统一服务流程、统一配额、统一计量、统一资源中心、统一运维监控、统一告警监控、统一日志管理等，并且不能改变和影响医保局原有系统的功能、技术状态以及用户的使用习惯 。</w:t>
            </w:r>
          </w:p>
        </w:tc>
        <w:tc>
          <w:tcPr>
            <w:tcW w:w="351"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1套</w:t>
            </w:r>
          </w:p>
        </w:tc>
      </w:tr>
      <w:tr>
        <w:tblPrEx>
          <w:tblCellMar>
            <w:top w:w="0" w:type="dxa"/>
            <w:left w:w="0" w:type="dxa"/>
            <w:bottom w:w="0" w:type="dxa"/>
            <w:right w:w="0" w:type="dxa"/>
          </w:tblCellMar>
        </w:tblPrEx>
        <w:trPr>
          <w:trHeight w:val="360" w:hRule="atLeast"/>
        </w:trPr>
        <w:tc>
          <w:tcPr>
            <w:tcW w:w="210"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1.13</w:t>
            </w:r>
          </w:p>
        </w:tc>
        <w:tc>
          <w:tcPr>
            <w:tcW w:w="421"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负载均衡软件授权采购</w:t>
            </w:r>
          </w:p>
        </w:tc>
        <w:tc>
          <w:tcPr>
            <w:tcW w:w="4016"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▲提供永久使用授权和三年软件质保服务，质保服务内容包括软件故障解决、软件漏洞修复和软件版本更新。</w:t>
            </w:r>
            <w:r>
              <w:rPr>
                <w:rFonts w:hint="eastAsia"/>
                <w:color w:val="auto"/>
                <w:highlight w:val="none"/>
              </w:rPr>
              <w:br w:type="textWrapping"/>
            </w:r>
            <w:r>
              <w:rPr>
                <w:rFonts w:hint="eastAsia"/>
                <w:color w:val="auto"/>
                <w:highlight w:val="none"/>
              </w:rPr>
              <w:t>（1）资源弹性。支持与云主机实例联动，根据配置的伸缩规则进行弹性扩张或收缩，能够自动从负载均衡实例的后端服务器组中将云主机实例进行添加或者移除；</w:t>
            </w:r>
            <w:r>
              <w:rPr>
                <w:rFonts w:hint="eastAsia"/>
                <w:color w:val="auto"/>
                <w:highlight w:val="none"/>
              </w:rPr>
              <w:br w:type="textWrapping"/>
            </w:r>
            <w:r>
              <w:rPr>
                <w:rFonts w:hint="eastAsia"/>
                <w:color w:val="auto"/>
                <w:highlight w:val="none"/>
              </w:rPr>
              <w:t>（2）避免单点故障。四层负载均衡支持集群内节点之间的session同步，在单机故障或者升级过程中，TCP长连接无影响。；</w:t>
            </w:r>
            <w:r>
              <w:rPr>
                <w:rFonts w:hint="eastAsia"/>
                <w:color w:val="auto"/>
                <w:highlight w:val="none"/>
              </w:rPr>
              <w:br w:type="textWrapping"/>
            </w:r>
            <w:r>
              <w:rPr>
                <w:rFonts w:hint="eastAsia"/>
                <w:color w:val="auto"/>
                <w:highlight w:val="none"/>
              </w:rPr>
              <w:t>（3）配置灵活，服务之间互不影响。负载均衡可以适用于不同的服务，如web访问，邮件收发，以及用户自定义的服务类型。</w:t>
            </w:r>
            <w:r>
              <w:rPr>
                <w:rFonts w:hint="eastAsia"/>
                <w:color w:val="auto"/>
                <w:highlight w:val="none"/>
              </w:rPr>
              <w:br w:type="textWrapping"/>
            </w:r>
            <w:r>
              <w:rPr>
                <w:rFonts w:hint="eastAsia"/>
                <w:color w:val="auto"/>
                <w:highlight w:val="none"/>
              </w:rPr>
              <w:t>（4）可靠性。负载均衡系统能够提高可靠性，规避单点故障；</w:t>
            </w:r>
            <w:r>
              <w:rPr>
                <w:rFonts w:hint="eastAsia"/>
                <w:color w:val="auto"/>
                <w:highlight w:val="none"/>
              </w:rPr>
              <w:br w:type="textWrapping"/>
            </w:r>
            <w:r>
              <w:rPr>
                <w:rFonts w:hint="eastAsia"/>
                <w:color w:val="auto"/>
                <w:highlight w:val="none"/>
              </w:rPr>
              <w:t>（5）用户免运维。负载均衡构架于云平台之上，可以实现用户免运维。</w:t>
            </w:r>
            <w:r>
              <w:rPr>
                <w:rFonts w:hint="eastAsia"/>
                <w:color w:val="auto"/>
                <w:highlight w:val="none"/>
              </w:rPr>
              <w:br w:type="textWrapping"/>
            </w:r>
            <w:r>
              <w:rPr>
                <w:rFonts w:hint="eastAsia"/>
                <w:color w:val="auto"/>
                <w:highlight w:val="none"/>
              </w:rPr>
              <w:t>（6）负载均衡采用集群部署，各机器之间会话同步，从而支持热升级，机器故障和集群维护对用户完全透明；支持多可用区部署，实现同城容灾；结合DNS使用支持全局负载均衡，实现跨地域容灾。</w:t>
            </w:r>
            <w:r>
              <w:rPr>
                <w:rFonts w:hint="eastAsia"/>
                <w:color w:val="auto"/>
                <w:highlight w:val="none"/>
              </w:rPr>
              <w:br w:type="textWrapping"/>
            </w:r>
            <w:r>
              <w:rPr>
                <w:rFonts w:hint="eastAsia"/>
                <w:color w:val="auto"/>
                <w:highlight w:val="none"/>
              </w:rPr>
              <w:t>（7）负载均衡支持包含TCP协议和UDP协议的四层负载均衡，支持包含HTTP协议和HTTPS协议的七层负载均衡，并针对HTTPS协议提供集中化的证书管理系统，满足用户的可靠传输、快速传输与安全传输等多样化需求。</w:t>
            </w:r>
          </w:p>
        </w:tc>
        <w:tc>
          <w:tcPr>
            <w:tcW w:w="351"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1套</w:t>
            </w:r>
          </w:p>
        </w:tc>
      </w:tr>
      <w:tr>
        <w:tblPrEx>
          <w:tblCellMar>
            <w:top w:w="0" w:type="dxa"/>
            <w:left w:w="0" w:type="dxa"/>
            <w:bottom w:w="0" w:type="dxa"/>
            <w:right w:w="0" w:type="dxa"/>
          </w:tblCellMar>
        </w:tblPrEx>
        <w:trPr>
          <w:trHeight w:val="360" w:hRule="atLeast"/>
        </w:trPr>
        <w:tc>
          <w:tcPr>
            <w:tcW w:w="210"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1.14</w:t>
            </w:r>
          </w:p>
        </w:tc>
        <w:tc>
          <w:tcPr>
            <w:tcW w:w="421"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专有网络软件授权采购</w:t>
            </w:r>
          </w:p>
        </w:tc>
        <w:tc>
          <w:tcPr>
            <w:tcW w:w="4016"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▲采购专有网络1248core软件授权，提供永久使用授权和三年软件质保服务，质保服务内容包括软件故障解决、软件漏洞修复和软件版本更新。</w:t>
            </w:r>
            <w:r>
              <w:rPr>
                <w:rFonts w:hint="eastAsia"/>
                <w:color w:val="auto"/>
                <w:highlight w:val="none"/>
              </w:rPr>
              <w:br w:type="textWrapping"/>
            </w:r>
            <w:r>
              <w:rPr>
                <w:rFonts w:hint="eastAsia"/>
                <w:color w:val="auto"/>
                <w:highlight w:val="none"/>
              </w:rPr>
              <w:t>（1）基于网络虚拟化，实现二层网络隔离，并能将虚拟主机、虚拟负载均衡、虚拟数据库等云服务部署在一个虚拟私有云内，并能以一个独立的二层安全域的形式提供服务。</w:t>
            </w:r>
            <w:r>
              <w:rPr>
                <w:rFonts w:hint="eastAsia"/>
                <w:color w:val="auto"/>
                <w:highlight w:val="none"/>
              </w:rPr>
              <w:br w:type="textWrapping"/>
            </w:r>
            <w:r>
              <w:rPr>
                <w:rFonts w:hint="eastAsia"/>
                <w:color w:val="auto"/>
                <w:highlight w:val="none"/>
              </w:rPr>
              <w:t>（2）支持软件定义网络。按需配置网络设置，管理操作实时生效。</w:t>
            </w:r>
            <w:r>
              <w:rPr>
                <w:rFonts w:hint="eastAsia"/>
                <w:color w:val="auto"/>
                <w:highlight w:val="none"/>
              </w:rPr>
              <w:br w:type="textWrapping"/>
            </w:r>
            <w:r>
              <w:rPr>
                <w:rFonts w:hint="eastAsia"/>
                <w:color w:val="auto"/>
                <w:highlight w:val="none"/>
              </w:rPr>
              <w:t>（3）支持自定义虚拟交换机、虚拟路由器。</w:t>
            </w:r>
            <w:r>
              <w:rPr>
                <w:rFonts w:hint="eastAsia"/>
                <w:color w:val="auto"/>
                <w:highlight w:val="none"/>
              </w:rPr>
              <w:br w:type="textWrapping"/>
            </w:r>
            <w:r>
              <w:rPr>
                <w:rFonts w:hint="eastAsia"/>
                <w:color w:val="auto"/>
                <w:highlight w:val="none"/>
              </w:rPr>
              <w:t>（4）支持虚拟交换机能将专有网络的私有 IP 地址划分成一个或多个子网。</w:t>
            </w:r>
            <w:r>
              <w:rPr>
                <w:rFonts w:hint="eastAsia"/>
                <w:color w:val="auto"/>
                <w:highlight w:val="none"/>
              </w:rPr>
              <w:br w:type="textWrapping"/>
            </w:r>
            <w:r>
              <w:rPr>
                <w:rFonts w:hint="eastAsia"/>
                <w:color w:val="auto"/>
                <w:highlight w:val="none"/>
              </w:rPr>
              <w:t>（5）支持根据业务需求配置虚拟路由器的路由规则，管理专有网络流量的转发路径。</w:t>
            </w:r>
            <w:r>
              <w:rPr>
                <w:rFonts w:hint="eastAsia"/>
                <w:color w:val="auto"/>
                <w:highlight w:val="none"/>
              </w:rPr>
              <w:br w:type="textWrapping"/>
            </w:r>
            <w:r>
              <w:rPr>
                <w:rFonts w:hint="eastAsia"/>
                <w:color w:val="auto"/>
                <w:highlight w:val="none"/>
              </w:rPr>
              <w:t>（6）使用安全组功能，支持将专有虚拟网络中的云服务实例划分成不同的安全域，实施逻辑隔离，能提供类似传统网络安全域划分的安全控制手段，并为每个安全域定义不同的访问控制规则。</w:t>
            </w:r>
            <w:r>
              <w:rPr>
                <w:rFonts w:hint="eastAsia"/>
                <w:color w:val="auto"/>
                <w:highlight w:val="none"/>
              </w:rPr>
              <w:br w:type="textWrapping"/>
            </w:r>
            <w:r>
              <w:rPr>
                <w:rFonts w:hint="eastAsia"/>
                <w:color w:val="auto"/>
                <w:highlight w:val="none"/>
              </w:rPr>
              <w:t>（7）采用X86/C86服务器全冗余架构，无单点故障。</w:t>
            </w:r>
            <w:r>
              <w:rPr>
                <w:rFonts w:hint="eastAsia"/>
                <w:color w:val="auto"/>
                <w:highlight w:val="none"/>
              </w:rPr>
              <w:br w:type="textWrapping"/>
            </w:r>
            <w:r>
              <w:rPr>
                <w:rFonts w:hint="eastAsia"/>
                <w:color w:val="auto"/>
                <w:highlight w:val="none"/>
              </w:rPr>
              <w:t>（8）支持在线平滑升级。</w:t>
            </w:r>
            <w:r>
              <w:rPr>
                <w:rFonts w:hint="eastAsia"/>
                <w:color w:val="auto"/>
                <w:highlight w:val="none"/>
              </w:rPr>
              <w:br w:type="textWrapping"/>
            </w:r>
            <w:r>
              <w:rPr>
                <w:rFonts w:hint="eastAsia"/>
                <w:color w:val="auto"/>
                <w:highlight w:val="none"/>
              </w:rPr>
              <w:t>（9）虚拟专有网络允许用户部署一个隔离的私有网络。在VPC内，用户可定义一个非常类似传统网络的虚拟网络拓扑，且对该虚拟网络环境拥有完全的控制权，包括定义IP地址范围等。</w:t>
            </w:r>
          </w:p>
        </w:tc>
        <w:tc>
          <w:tcPr>
            <w:tcW w:w="351"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1套</w:t>
            </w:r>
          </w:p>
        </w:tc>
      </w:tr>
      <w:tr>
        <w:tblPrEx>
          <w:tblCellMar>
            <w:top w:w="0" w:type="dxa"/>
            <w:left w:w="0" w:type="dxa"/>
            <w:bottom w:w="0" w:type="dxa"/>
            <w:right w:w="0" w:type="dxa"/>
          </w:tblCellMar>
        </w:tblPrEx>
        <w:trPr>
          <w:trHeight w:val="360" w:hRule="atLeast"/>
        </w:trPr>
        <w:tc>
          <w:tcPr>
            <w:tcW w:w="210"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1.15</w:t>
            </w:r>
          </w:p>
        </w:tc>
        <w:tc>
          <w:tcPr>
            <w:tcW w:w="421"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表格存储软件授权采购</w:t>
            </w:r>
          </w:p>
        </w:tc>
        <w:tc>
          <w:tcPr>
            <w:tcW w:w="4016"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▲采购表格存储256core软件授权，提供永久使用授权和三年软件质保服务，质保服务内容包括软件故障解决、软件漏洞修复和软件版本更新。</w:t>
            </w:r>
            <w:r>
              <w:rPr>
                <w:rFonts w:hint="eastAsia"/>
                <w:color w:val="auto"/>
                <w:highlight w:val="none"/>
              </w:rPr>
              <w:br w:type="textWrapping"/>
            </w:r>
            <w:r>
              <w:rPr>
                <w:rFonts w:hint="eastAsia"/>
                <w:color w:val="auto"/>
                <w:highlight w:val="none"/>
              </w:rPr>
              <w:t>（1）表格存储列式数据库服务提供海量结构化数据的存储和实时访问。以实例和表的形式组织数据，通过数据分片和负载均衡技术，达到规模的无缝扩展。</w:t>
            </w:r>
            <w:r>
              <w:rPr>
                <w:rFonts w:hint="eastAsia"/>
                <w:color w:val="auto"/>
                <w:highlight w:val="none"/>
              </w:rPr>
              <w:br w:type="textWrapping"/>
            </w:r>
            <w:r>
              <w:rPr>
                <w:rFonts w:hint="eastAsia"/>
                <w:color w:val="auto"/>
                <w:highlight w:val="none"/>
              </w:rPr>
              <w:t>（2）表格存储列式数据库服务通过将数据表进行分区并且将数据分区调度到不同的节点上进行服务，从而提供可扩展的能力。在单机的硬件出问题时，表格存储服务通过心跳机制快速发现有问题的节点，并且把该节点上数据分区快速迁移到健康的节点上继续服务，从而达到服务的快速恢复能力。</w:t>
            </w:r>
            <w:r>
              <w:rPr>
                <w:rFonts w:hint="eastAsia"/>
                <w:color w:val="auto"/>
                <w:highlight w:val="none"/>
              </w:rPr>
              <w:br w:type="textWrapping"/>
            </w:r>
            <w:r>
              <w:rPr>
                <w:rFonts w:hint="eastAsia"/>
                <w:color w:val="auto"/>
                <w:highlight w:val="none"/>
              </w:rPr>
              <w:t>（3）支持每个属性列级别数据多版本数据，每个版本对应一个版本号。支持配置最大版本数</w:t>
            </w:r>
            <w:r>
              <w:rPr>
                <w:rFonts w:hint="eastAsia"/>
                <w:color w:val="auto"/>
                <w:highlight w:val="none"/>
              </w:rPr>
              <w:br w:type="textWrapping"/>
            </w:r>
            <w:r>
              <w:rPr>
                <w:rFonts w:hint="eastAsia"/>
                <w:color w:val="auto"/>
                <w:highlight w:val="none"/>
              </w:rPr>
              <w:t>（4）支持数据按照时间进行数据与多个版本的数据清理，支持宽行模型，表中属性列可以动态横向扩展。</w:t>
            </w:r>
            <w:r>
              <w:rPr>
                <w:rFonts w:hint="eastAsia"/>
                <w:color w:val="auto"/>
                <w:highlight w:val="none"/>
              </w:rPr>
              <w:br w:type="textWrapping"/>
            </w:r>
            <w:r>
              <w:rPr>
                <w:rFonts w:hint="eastAsia"/>
                <w:color w:val="auto"/>
                <w:highlight w:val="none"/>
              </w:rPr>
              <w:t>（5）能够通过接口实时的订阅更新记录。分区内数据变化保续，分区间可并行消费。</w:t>
            </w:r>
            <w:r>
              <w:rPr>
                <w:rFonts w:hint="eastAsia"/>
                <w:color w:val="auto"/>
                <w:highlight w:val="none"/>
              </w:rPr>
              <w:br w:type="textWrapping"/>
            </w:r>
            <w:r>
              <w:rPr>
                <w:rFonts w:hint="eastAsia"/>
                <w:color w:val="auto"/>
                <w:highlight w:val="none"/>
              </w:rPr>
              <w:t>（6）支持基于分区键的事务。</w:t>
            </w:r>
            <w:r>
              <w:rPr>
                <w:rFonts w:hint="eastAsia"/>
                <w:color w:val="auto"/>
                <w:highlight w:val="none"/>
              </w:rPr>
              <w:br w:type="textWrapping"/>
            </w:r>
            <w:r>
              <w:rPr>
                <w:rFonts w:hint="eastAsia"/>
                <w:color w:val="auto"/>
                <w:highlight w:val="none"/>
              </w:rPr>
              <w:t>（7）支持单列索引及组合索引。</w:t>
            </w:r>
            <w:r>
              <w:rPr>
                <w:rFonts w:hint="eastAsia"/>
                <w:color w:val="auto"/>
                <w:highlight w:val="none"/>
              </w:rPr>
              <w:br w:type="textWrapping"/>
            </w:r>
            <w:r>
              <w:rPr>
                <w:rFonts w:hint="eastAsia"/>
                <w:color w:val="auto"/>
                <w:highlight w:val="none"/>
              </w:rPr>
              <w:t>（8）支持创建、删除二级索引。</w:t>
            </w:r>
            <w:r>
              <w:rPr>
                <w:rFonts w:hint="eastAsia"/>
                <w:color w:val="auto"/>
                <w:highlight w:val="none"/>
              </w:rPr>
              <w:br w:type="textWrapping"/>
            </w:r>
            <w:r>
              <w:rPr>
                <w:rFonts w:hint="eastAsia"/>
                <w:color w:val="auto"/>
                <w:highlight w:val="none"/>
              </w:rPr>
              <w:t>（9）支持根据索引的数据进行数据查询，可以按照索引中的主键进行范围或者点查。</w:t>
            </w:r>
            <w:r>
              <w:rPr>
                <w:rFonts w:hint="eastAsia"/>
                <w:color w:val="auto"/>
                <w:highlight w:val="none"/>
              </w:rPr>
              <w:br w:type="textWrapping"/>
            </w:r>
            <w:r>
              <w:rPr>
                <w:rFonts w:hint="eastAsia"/>
                <w:color w:val="auto"/>
                <w:highlight w:val="none"/>
              </w:rPr>
              <w:t>（10）支持资源与API级别权限管理。支持IP限制、HTTPS、MFA（多因素认证）、访问时间限制等多种鉴权条件。支持临时授权访问。</w:t>
            </w:r>
            <w:r>
              <w:rPr>
                <w:rFonts w:hint="eastAsia"/>
                <w:color w:val="auto"/>
                <w:highlight w:val="none"/>
              </w:rPr>
              <w:br w:type="textWrapping"/>
            </w:r>
            <w:r>
              <w:rPr>
                <w:rFonts w:hint="eastAsia"/>
                <w:color w:val="auto"/>
                <w:highlight w:val="none"/>
              </w:rPr>
              <w:t>（11）支持同城双机房容灾，数据异步复制，一键切换。</w:t>
            </w:r>
          </w:p>
        </w:tc>
        <w:tc>
          <w:tcPr>
            <w:tcW w:w="351"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1套</w:t>
            </w:r>
          </w:p>
        </w:tc>
      </w:tr>
      <w:tr>
        <w:tblPrEx>
          <w:tblCellMar>
            <w:top w:w="0" w:type="dxa"/>
            <w:left w:w="0" w:type="dxa"/>
            <w:bottom w:w="0" w:type="dxa"/>
            <w:right w:w="0" w:type="dxa"/>
          </w:tblCellMar>
        </w:tblPrEx>
        <w:trPr>
          <w:trHeight w:val="360" w:hRule="atLeast"/>
        </w:trPr>
        <w:tc>
          <w:tcPr>
            <w:tcW w:w="210"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1.16</w:t>
            </w:r>
          </w:p>
        </w:tc>
        <w:tc>
          <w:tcPr>
            <w:tcW w:w="421"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GPU弹性计算软件授权采购</w:t>
            </w:r>
          </w:p>
        </w:tc>
        <w:tc>
          <w:tcPr>
            <w:tcW w:w="4016"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▲采购384core软件授权+24 GPU软件授权，提供永久使用授权和三年软件质保服务，质保服务内容包括软件故障解决、软件漏洞修复和软件版本更新。</w:t>
            </w:r>
            <w:r>
              <w:rPr>
                <w:rFonts w:hint="eastAsia"/>
                <w:color w:val="auto"/>
                <w:highlight w:val="none"/>
              </w:rPr>
              <w:br w:type="textWrapping"/>
            </w:r>
            <w:r>
              <w:rPr>
                <w:rFonts w:hint="eastAsia"/>
                <w:color w:val="auto"/>
                <w:highlight w:val="none"/>
              </w:rPr>
              <w:t>1、支持类似普通云主机完整的生命周期管理和维护，包括但不限于创建、启动、关闭、重启、更换操作系统，其中创建、启动、关闭、重启应支持批量操作，提升管理员操作效率。</w:t>
            </w:r>
            <w:r>
              <w:rPr>
                <w:rFonts w:hint="eastAsia"/>
                <w:color w:val="auto"/>
                <w:highlight w:val="none"/>
              </w:rPr>
              <w:br w:type="textWrapping"/>
            </w:r>
            <w:r>
              <w:rPr>
                <w:rFonts w:hint="eastAsia"/>
                <w:color w:val="auto"/>
                <w:highlight w:val="none"/>
              </w:rPr>
              <w:t>2、支持GPU直通技术，允许将物理主机中的GPU设备直接分配给云主机，使云主机可以完全控制该GPU，从</w:t>
            </w:r>
            <w:r>
              <w:rPr>
                <w:rFonts w:hint="eastAsia" w:ascii="微软雅黑" w:hAnsi="微软雅黑" w:eastAsia="微软雅黑" w:cs="微软雅黑"/>
                <w:color w:val="auto"/>
                <w:highlight w:val="none"/>
              </w:rPr>
              <w:t>⽽</w:t>
            </w:r>
            <w:r>
              <w:rPr>
                <w:rFonts w:hint="eastAsia" w:ascii="宋体" w:hAnsi="宋体" w:cs="宋体"/>
                <w:color w:val="auto"/>
                <w:highlight w:val="none"/>
              </w:rPr>
              <w:t>在虚拟环境中运</w:t>
            </w:r>
            <w:r>
              <w:rPr>
                <w:rFonts w:hint="eastAsia" w:ascii="微软雅黑" w:hAnsi="微软雅黑" w:eastAsia="微软雅黑" w:cs="微软雅黑"/>
                <w:color w:val="auto"/>
                <w:highlight w:val="none"/>
              </w:rPr>
              <w:t>⾏</w:t>
            </w:r>
            <w:r>
              <w:rPr>
                <w:rFonts w:hint="eastAsia" w:ascii="宋体" w:hAnsi="宋体" w:cs="宋体"/>
                <w:color w:val="auto"/>
                <w:highlight w:val="none"/>
              </w:rPr>
              <w:t>高性能计算任务或图形密集型应</w:t>
            </w:r>
            <w:r>
              <w:rPr>
                <w:rFonts w:hint="eastAsia" w:ascii="微软雅黑" w:hAnsi="微软雅黑" w:eastAsia="微软雅黑" w:cs="微软雅黑"/>
                <w:color w:val="auto"/>
                <w:highlight w:val="none"/>
              </w:rPr>
              <w:t>⽤</w:t>
            </w:r>
            <w:r>
              <w:rPr>
                <w:rFonts w:hint="eastAsia" w:ascii="宋体" w:hAnsi="宋体" w:cs="宋体"/>
                <w:color w:val="auto"/>
                <w:highlight w:val="none"/>
              </w:rPr>
              <w:t>。</w:t>
            </w:r>
            <w:r>
              <w:rPr>
                <w:rFonts w:hint="eastAsia"/>
                <w:color w:val="auto"/>
                <w:highlight w:val="none"/>
              </w:rPr>
              <w:br w:type="textWrapping"/>
            </w:r>
            <w:r>
              <w:rPr>
                <w:rFonts w:hint="eastAsia"/>
                <w:color w:val="auto"/>
                <w:highlight w:val="none"/>
              </w:rPr>
              <w:t>3、支持GPU云主机高可用（宕机迁移），当某台物理节点发生意外故障，在其上运行的云主机能够在其他正常的物理节点上重新启动，保障业务的连续性。</w:t>
            </w:r>
            <w:r>
              <w:rPr>
                <w:rFonts w:hint="eastAsia"/>
                <w:color w:val="auto"/>
                <w:highlight w:val="none"/>
              </w:rPr>
              <w:br w:type="textWrapping"/>
            </w:r>
            <w:r>
              <w:rPr>
                <w:rFonts w:hint="eastAsia"/>
                <w:color w:val="auto"/>
                <w:highlight w:val="none"/>
              </w:rPr>
              <w:t>4、支持为云服务器指定IP地址创建云主机，方便运维人员进行IP的统筹管理,支持配置IPv6/IPv4双栈网络,云主机实例可自动获取IPv6地址进行内网通信。</w:t>
            </w:r>
            <w:r>
              <w:rPr>
                <w:rFonts w:hint="eastAsia"/>
                <w:color w:val="auto"/>
                <w:highlight w:val="none"/>
              </w:rPr>
              <w:br w:type="textWrapping"/>
            </w:r>
            <w:r>
              <w:rPr>
                <w:rFonts w:hint="eastAsia"/>
                <w:color w:val="auto"/>
                <w:highlight w:val="none"/>
              </w:rPr>
              <w:t>5、支持对云主机的系统盘和数据盘创建整机镜像模板，创建的镜像包含用户的业务数据，可用于快速发放包含用户业务数据的新云主机。</w:t>
            </w:r>
            <w:r>
              <w:rPr>
                <w:rFonts w:hint="eastAsia"/>
                <w:color w:val="auto"/>
                <w:highlight w:val="none"/>
              </w:rPr>
              <w:br w:type="textWrapping"/>
            </w:r>
            <w:r>
              <w:rPr>
                <w:rFonts w:hint="eastAsia"/>
                <w:color w:val="auto"/>
                <w:highlight w:val="none"/>
              </w:rPr>
              <w:t>6、支持对云主机CPU、内存、硬盘等基础指标进行监控，同时支持对云主机系统中的各进程CPU、内存、打开文件数进行监控，为用户提供系统级、主动式、细粒度监控服务。</w:t>
            </w:r>
            <w:r>
              <w:rPr>
                <w:rFonts w:hint="eastAsia"/>
                <w:color w:val="auto"/>
                <w:highlight w:val="none"/>
              </w:rPr>
              <w:br w:type="textWrapping"/>
            </w:r>
            <w:r>
              <w:rPr>
                <w:rFonts w:hint="eastAsia"/>
                <w:color w:val="auto"/>
                <w:highlight w:val="none"/>
              </w:rPr>
              <w:t>7、支持云主机在线扩容CPU/内存等，无需重启即可生效，保证业务系统计算资源可以进行垂直扩容。</w:t>
            </w:r>
            <w:r>
              <w:rPr>
                <w:rFonts w:hint="eastAsia"/>
                <w:color w:val="auto"/>
                <w:highlight w:val="none"/>
              </w:rPr>
              <w:br w:type="textWrapping"/>
            </w:r>
            <w:r>
              <w:rPr>
                <w:rFonts w:hint="eastAsia"/>
                <w:color w:val="auto"/>
                <w:highlight w:val="none"/>
              </w:rPr>
              <w:t>8、支持对云主机实例设置标签，辅助管理员可以按照业务语义进行实例的分类管理，同时支持管理员根据云主机名称、私有IP、弹性IP、ID、运行状态、标签等条件快速过滤查找目标云主机。</w:t>
            </w:r>
            <w:r>
              <w:rPr>
                <w:rFonts w:hint="eastAsia"/>
                <w:color w:val="auto"/>
                <w:highlight w:val="none"/>
              </w:rPr>
              <w:br w:type="textWrapping"/>
            </w:r>
            <w:r>
              <w:rPr>
                <w:rFonts w:hint="eastAsia"/>
                <w:color w:val="auto"/>
                <w:highlight w:val="none"/>
              </w:rPr>
              <w:t>9、支持用户通过快照对云主机的数据进行备份，通过快照进行云服务器的数据恢复；</w:t>
            </w:r>
            <w:r>
              <w:rPr>
                <w:rFonts w:hint="eastAsia"/>
                <w:color w:val="auto"/>
                <w:highlight w:val="none"/>
              </w:rPr>
              <w:br w:type="textWrapping"/>
            </w:r>
            <w:r>
              <w:rPr>
                <w:rFonts w:hint="eastAsia"/>
                <w:color w:val="auto"/>
                <w:highlight w:val="none"/>
              </w:rPr>
              <w:t>10、支持云主机网络防ARP欺骗，云平台应阻止用户非法修改IP地址和MAC地址后发出的数据包，提升安全性。</w:t>
            </w:r>
            <w:r>
              <w:rPr>
                <w:rFonts w:hint="eastAsia"/>
                <w:color w:val="auto"/>
                <w:highlight w:val="none"/>
              </w:rPr>
              <w:br w:type="textWrapping"/>
            </w:r>
            <w:r>
              <w:rPr>
                <w:rFonts w:hint="eastAsia"/>
                <w:color w:val="auto"/>
                <w:highlight w:val="none"/>
              </w:rPr>
              <w:t>11、支持用户通过VNC方式远程访问云主机，同时支持用户设置云主机VNC密码（非系统密码），并能在用户VNC访问时进行VNC密码认证，保证终端用户对云主机的安全访问。</w:t>
            </w:r>
            <w:r>
              <w:rPr>
                <w:rFonts w:hint="eastAsia"/>
                <w:color w:val="auto"/>
                <w:highlight w:val="none"/>
              </w:rPr>
              <w:br w:type="textWrapping"/>
            </w:r>
            <w:r>
              <w:rPr>
                <w:rFonts w:hint="eastAsia"/>
                <w:color w:val="auto"/>
                <w:highlight w:val="none"/>
              </w:rPr>
              <w:t>12、支持云主机磁盘国密算法加密，能够对云盘中的数据、云盘和实例间传输的数据、云盘创建的所有快照进行加密处理，保障数据的安全性。</w:t>
            </w:r>
            <w:r>
              <w:rPr>
                <w:rFonts w:hint="eastAsia"/>
                <w:color w:val="auto"/>
                <w:highlight w:val="none"/>
              </w:rPr>
              <w:br w:type="textWrapping"/>
            </w:r>
            <w:r>
              <w:rPr>
                <w:rFonts w:hint="eastAsia"/>
                <w:color w:val="auto"/>
                <w:highlight w:val="none"/>
              </w:rPr>
              <w:t>13、支持设置自动快照策略，可自定义快照时间点、重复日期以及保留时长。</w:t>
            </w:r>
            <w:r>
              <w:rPr>
                <w:rFonts w:hint="eastAsia"/>
                <w:color w:val="auto"/>
                <w:highlight w:val="none"/>
              </w:rPr>
              <w:br w:type="textWrapping"/>
            </w:r>
            <w:r>
              <w:rPr>
                <w:rFonts w:hint="eastAsia"/>
                <w:color w:val="auto"/>
                <w:highlight w:val="none"/>
              </w:rPr>
              <w:t>14、云平台出厂内置面向租户服务的公共镜像支持主流的WINDOWS、LINUX等操作系统，如： Windows Server 、CentOS 、Debian 、FreeBSD 、OpenSUSE 、SUSE Linux Enterprise Server 、Ubuntu、Anolis OS等，其中信创芯片至少支持Kylin、UOS、CentOS、Anolis OS等，同时支持用户自定义方式上传客户自制的操作系统镜像。</w:t>
            </w:r>
          </w:p>
        </w:tc>
        <w:tc>
          <w:tcPr>
            <w:tcW w:w="351"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1套</w:t>
            </w:r>
          </w:p>
        </w:tc>
      </w:tr>
      <w:tr>
        <w:tblPrEx>
          <w:tblCellMar>
            <w:top w:w="0" w:type="dxa"/>
            <w:left w:w="0" w:type="dxa"/>
            <w:bottom w:w="0" w:type="dxa"/>
            <w:right w:w="0" w:type="dxa"/>
          </w:tblCellMar>
        </w:tblPrEx>
        <w:trPr>
          <w:trHeight w:val="360" w:hRule="atLeast"/>
        </w:trPr>
        <w:tc>
          <w:tcPr>
            <w:tcW w:w="210"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1.17</w:t>
            </w:r>
          </w:p>
        </w:tc>
        <w:tc>
          <w:tcPr>
            <w:tcW w:w="421"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企业级分布式应用服务软件授权采购</w:t>
            </w:r>
          </w:p>
        </w:tc>
        <w:tc>
          <w:tcPr>
            <w:tcW w:w="4016"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▲满足项目需求，采购200vCPU软件授权，提供永久使用授权和三年软件质保服务，质保服务内容包括软件故障解决、软件漏洞修复和软件版本更新。</w:t>
            </w:r>
            <w:r>
              <w:rPr>
                <w:rFonts w:hint="eastAsia"/>
                <w:color w:val="auto"/>
                <w:highlight w:val="none"/>
              </w:rPr>
              <w:br w:type="textWrapping"/>
            </w:r>
            <w:r>
              <w:rPr>
                <w:rFonts w:hint="eastAsia"/>
                <w:color w:val="auto"/>
                <w:highlight w:val="none"/>
              </w:rPr>
              <w:t>1）生命周期管理能力：支持对服务进行全生命周期管理，包括应用的创建、部署、启动、扩容、停止和下线等全生命周期管理功能；提供rpc、restful等通用协议进行服务间通信，满足业务中台和业务子系统的应用。提供自动化的服务注册，服务自动发现，服务检查能力，提供Web界面形式的运维管控平台。</w:t>
            </w:r>
            <w:r>
              <w:rPr>
                <w:rFonts w:hint="eastAsia"/>
                <w:color w:val="auto"/>
                <w:highlight w:val="none"/>
              </w:rPr>
              <w:br w:type="textWrapping"/>
            </w:r>
            <w:r>
              <w:rPr>
                <w:rFonts w:hint="eastAsia"/>
                <w:color w:val="auto"/>
                <w:highlight w:val="none"/>
              </w:rPr>
              <w:t>2）弹性伸缩能力：创建和维护自动弹性伸缩规则。当规则被触发时将自动进行弹性扩容或缩容。支持CPU、响应时间和负载等触发指标。</w:t>
            </w:r>
            <w:r>
              <w:rPr>
                <w:rFonts w:hint="eastAsia"/>
                <w:color w:val="auto"/>
                <w:highlight w:val="none"/>
              </w:rPr>
              <w:br w:type="textWrapping"/>
            </w:r>
            <w:r>
              <w:rPr>
                <w:rFonts w:hint="eastAsia"/>
                <w:color w:val="auto"/>
                <w:highlight w:val="none"/>
              </w:rPr>
              <w:t>3）安全隔离能力微服务面向多个业务子中心，多个用户受众，需要支持命名空间隔离，支持服务分组的功能；通过完整的多用户隔离机制，保障用户数据的私密性；通过完善的主子账号体系，能够实现同一个主账号将自己的资源按需分配给多个子账号。</w:t>
            </w:r>
            <w:r>
              <w:rPr>
                <w:rFonts w:hint="eastAsia"/>
                <w:color w:val="auto"/>
                <w:highlight w:val="none"/>
              </w:rPr>
              <w:br w:type="textWrapping"/>
            </w:r>
            <w:r>
              <w:rPr>
                <w:rFonts w:hint="eastAsia"/>
                <w:color w:val="auto"/>
                <w:highlight w:val="none"/>
              </w:rPr>
              <w:t>4）链路跟踪故障诊断能力微服务管理复杂错综，支持扩展分布式服务对服务调用链进行追踪的功能，实现Web界面可视化的调用链路的跟踪展示。</w:t>
            </w:r>
            <w:r>
              <w:rPr>
                <w:rFonts w:hint="eastAsia"/>
                <w:color w:val="auto"/>
                <w:highlight w:val="none"/>
              </w:rPr>
              <w:br w:type="textWrapping"/>
            </w:r>
            <w:r>
              <w:rPr>
                <w:rFonts w:hint="eastAsia"/>
                <w:color w:val="auto"/>
                <w:highlight w:val="none"/>
              </w:rPr>
              <w:t>5）灰度发布能力医保信息平台作为全新平台，访问量大，社会敏感度高，分布式服务需要支持一个应用的多个版本并存，对节点进行分组升级，控制流量比例，确保业务平稳升级。</w:t>
            </w:r>
          </w:p>
        </w:tc>
        <w:tc>
          <w:tcPr>
            <w:tcW w:w="351"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1套</w:t>
            </w:r>
          </w:p>
        </w:tc>
      </w:tr>
      <w:tr>
        <w:tblPrEx>
          <w:tblCellMar>
            <w:top w:w="0" w:type="dxa"/>
            <w:left w:w="0" w:type="dxa"/>
            <w:bottom w:w="0" w:type="dxa"/>
            <w:right w:w="0" w:type="dxa"/>
          </w:tblCellMar>
        </w:tblPrEx>
        <w:trPr>
          <w:trHeight w:val="360" w:hRule="atLeast"/>
        </w:trPr>
        <w:tc>
          <w:tcPr>
            <w:tcW w:w="210"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1.18</w:t>
            </w:r>
          </w:p>
        </w:tc>
        <w:tc>
          <w:tcPr>
            <w:tcW w:w="421"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应用实时监控软件授权采购</w:t>
            </w:r>
          </w:p>
        </w:tc>
        <w:tc>
          <w:tcPr>
            <w:tcW w:w="4016"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▲满足项目需求，采购200vCPU软件授权，提供永久使用授权和三年软件质保服务，质保服务内容包括软件故障解决、软件漏洞修复和软件版本更新。</w:t>
            </w:r>
            <w:r>
              <w:rPr>
                <w:rFonts w:hint="eastAsia"/>
                <w:color w:val="auto"/>
                <w:highlight w:val="none"/>
              </w:rPr>
              <w:br w:type="textWrapping"/>
            </w:r>
            <w:r>
              <w:rPr>
                <w:rFonts w:hint="eastAsia"/>
                <w:color w:val="auto"/>
                <w:highlight w:val="none"/>
              </w:rPr>
              <w:t>1）一键接入：通过与分布式服务集成，在分布式服务中部署的应用可以一键接入进行监控，无需下载部署探针。</w:t>
            </w:r>
            <w:r>
              <w:rPr>
                <w:rFonts w:hint="eastAsia"/>
                <w:color w:val="auto"/>
                <w:highlight w:val="none"/>
              </w:rPr>
              <w:br w:type="textWrapping"/>
            </w:r>
            <w:r>
              <w:rPr>
                <w:rFonts w:hint="eastAsia"/>
                <w:color w:val="auto"/>
                <w:highlight w:val="none"/>
              </w:rPr>
              <w:t>2）应用主动诊断能力：支持慢调用、慢SQL、异常、CPU使用率过高、内存溢出、线程Dump等多种典型问题的根因定位能力。</w:t>
            </w:r>
            <w:r>
              <w:rPr>
                <w:rFonts w:hint="eastAsia"/>
                <w:color w:val="auto"/>
                <w:highlight w:val="none"/>
              </w:rPr>
              <w:br w:type="textWrapping"/>
            </w:r>
            <w:r>
              <w:rPr>
                <w:rFonts w:hint="eastAsia"/>
                <w:color w:val="auto"/>
                <w:highlight w:val="none"/>
              </w:rPr>
              <w:t>3）无损统计：应用监控整体流程符合流式计算的流程。应用程序通过集成应用监控的客户端Agent上报服务调用数据，数据流入数据通道进行统一管理和缓存，从数据通道流入实时计算引擎进行实时计算，实时计算的结果流入持久化存储进行统一管理。</w:t>
            </w:r>
            <w:r>
              <w:rPr>
                <w:rFonts w:hint="eastAsia"/>
                <w:color w:val="auto"/>
                <w:highlight w:val="none"/>
              </w:rPr>
              <w:br w:type="textWrapping"/>
            </w:r>
            <w:r>
              <w:rPr>
                <w:rFonts w:hint="eastAsia"/>
                <w:color w:val="auto"/>
                <w:highlight w:val="none"/>
              </w:rPr>
              <w:t>4）动态配置下发：应用监控服务Agent支持调用链采样率、自定义慢阈值、Agent开关等多种参数进行白屏配置，配置自动下发到Agent端，无需重启应用即可生效。</w:t>
            </w:r>
            <w:r>
              <w:rPr>
                <w:rFonts w:hint="eastAsia"/>
                <w:color w:val="auto"/>
                <w:highlight w:val="none"/>
              </w:rPr>
              <w:br w:type="textWrapping"/>
            </w:r>
            <w:r>
              <w:rPr>
                <w:rFonts w:hint="eastAsia"/>
                <w:color w:val="auto"/>
                <w:highlight w:val="none"/>
              </w:rPr>
              <w:t>5丰富的性能分析指标：应用监控服务以应用为中心，包含应用、JVM、主机、异常分析、SQL分析、接口快照等多种维度的性能分析和监控能力。</w:t>
            </w:r>
          </w:p>
        </w:tc>
        <w:tc>
          <w:tcPr>
            <w:tcW w:w="351"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1套</w:t>
            </w:r>
          </w:p>
        </w:tc>
      </w:tr>
      <w:tr>
        <w:tblPrEx>
          <w:tblCellMar>
            <w:top w:w="0" w:type="dxa"/>
            <w:left w:w="0" w:type="dxa"/>
            <w:bottom w:w="0" w:type="dxa"/>
            <w:right w:w="0" w:type="dxa"/>
          </w:tblCellMar>
        </w:tblPrEx>
        <w:trPr>
          <w:trHeight w:val="360" w:hRule="atLeast"/>
        </w:trPr>
        <w:tc>
          <w:tcPr>
            <w:tcW w:w="210"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1.19</w:t>
            </w:r>
          </w:p>
        </w:tc>
        <w:tc>
          <w:tcPr>
            <w:tcW w:w="421"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对象存储软件授权采购</w:t>
            </w:r>
          </w:p>
        </w:tc>
        <w:tc>
          <w:tcPr>
            <w:tcW w:w="4016"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▲采购对象存储服务576TB软件授权，提供永久使用授权和三年软件质保服务，质保服务内容包括软件故障解决、软件漏洞修复和软件版本更新。满足以下功能需求：</w:t>
            </w:r>
            <w:r>
              <w:rPr>
                <w:rFonts w:hint="eastAsia"/>
                <w:color w:val="auto"/>
                <w:highlight w:val="none"/>
              </w:rPr>
              <w:br w:type="textWrapping"/>
            </w:r>
            <w:r>
              <w:rPr>
                <w:rFonts w:hint="eastAsia"/>
                <w:color w:val="auto"/>
                <w:highlight w:val="none"/>
              </w:rPr>
              <w:t>（1）提供 API 接口，应用系统能实现数据的上传下载和管理功能；</w:t>
            </w:r>
            <w:r>
              <w:rPr>
                <w:rFonts w:hint="eastAsia"/>
                <w:color w:val="auto"/>
                <w:highlight w:val="none"/>
              </w:rPr>
              <w:br w:type="textWrapping"/>
            </w:r>
            <w:r>
              <w:rPr>
                <w:rFonts w:hint="eastAsia"/>
                <w:color w:val="auto"/>
                <w:highlight w:val="none"/>
              </w:rPr>
              <w:t>（2）支持多用户隔离机制，保障用户数据的私密性；</w:t>
            </w:r>
            <w:r>
              <w:rPr>
                <w:rFonts w:hint="eastAsia"/>
                <w:color w:val="auto"/>
                <w:highlight w:val="none"/>
              </w:rPr>
              <w:br w:type="textWrapping"/>
            </w:r>
            <w:r>
              <w:rPr>
                <w:rFonts w:hint="eastAsia"/>
                <w:color w:val="auto"/>
                <w:highlight w:val="none"/>
              </w:rPr>
              <w:t>（3）支持日志记录功能，可追查访问来源，并提供多维度的统计分析功能；</w:t>
            </w:r>
            <w:r>
              <w:rPr>
                <w:rFonts w:hint="eastAsia"/>
                <w:color w:val="auto"/>
                <w:highlight w:val="none"/>
              </w:rPr>
              <w:br w:type="textWrapping"/>
            </w:r>
            <w:r>
              <w:rPr>
                <w:rFonts w:hint="eastAsia"/>
                <w:color w:val="auto"/>
                <w:highlight w:val="none"/>
              </w:rPr>
              <w:t>（4）支持全冗余架构，无单点故障；</w:t>
            </w:r>
            <w:r>
              <w:rPr>
                <w:rFonts w:hint="eastAsia"/>
                <w:color w:val="auto"/>
                <w:highlight w:val="none"/>
              </w:rPr>
              <w:br w:type="textWrapping"/>
            </w:r>
            <w:r>
              <w:rPr>
                <w:rFonts w:hint="eastAsia"/>
                <w:color w:val="auto"/>
                <w:highlight w:val="none"/>
              </w:rPr>
              <w:t>（5）支持基于三副本和EC校验模式的数据多重冗余备份；三副本模式下，数据三副本支持分布在3个机柜或3对接入交换机上；</w:t>
            </w:r>
            <w:r>
              <w:rPr>
                <w:rFonts w:hint="eastAsia"/>
                <w:color w:val="auto"/>
                <w:highlight w:val="none"/>
              </w:rPr>
              <w:br w:type="textWrapping"/>
            </w:r>
            <w:r>
              <w:rPr>
                <w:rFonts w:hint="eastAsia"/>
                <w:color w:val="auto"/>
                <w:highlight w:val="none"/>
              </w:rPr>
              <w:t>（6）支持同一地域内跨机房的数据容灾。</w:t>
            </w:r>
            <w:r>
              <w:rPr>
                <w:rFonts w:hint="eastAsia"/>
                <w:color w:val="auto"/>
                <w:highlight w:val="none"/>
              </w:rPr>
              <w:br w:type="textWrapping"/>
            </w:r>
            <w:r>
              <w:rPr>
                <w:rFonts w:hint="eastAsia"/>
                <w:color w:val="auto"/>
                <w:highlight w:val="none"/>
              </w:rPr>
              <w:t>（7）支持大文件的分片并发上传和下载，支持断点续传。</w:t>
            </w:r>
          </w:p>
        </w:tc>
        <w:tc>
          <w:tcPr>
            <w:tcW w:w="351"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1套</w:t>
            </w:r>
          </w:p>
        </w:tc>
      </w:tr>
      <w:tr>
        <w:tblPrEx>
          <w:tblCellMar>
            <w:top w:w="0" w:type="dxa"/>
            <w:left w:w="0" w:type="dxa"/>
            <w:bottom w:w="0" w:type="dxa"/>
            <w:right w:w="0" w:type="dxa"/>
          </w:tblCellMar>
        </w:tblPrEx>
        <w:trPr>
          <w:trHeight w:val="360" w:hRule="atLeast"/>
        </w:trPr>
        <w:tc>
          <w:tcPr>
            <w:tcW w:w="210"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 xml:space="preserve">1.20 </w:t>
            </w:r>
          </w:p>
        </w:tc>
        <w:tc>
          <w:tcPr>
            <w:tcW w:w="421"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ECS弹性计算软件授权采购</w:t>
            </w:r>
          </w:p>
        </w:tc>
        <w:tc>
          <w:tcPr>
            <w:tcW w:w="4016"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▲采购640core软件授权，提供永久使用授权和三年软件质保服务，质保服务内容包括软件故障解决、软件漏洞修复和软件版本更新。</w:t>
            </w:r>
            <w:r>
              <w:rPr>
                <w:rFonts w:hint="eastAsia"/>
                <w:color w:val="auto"/>
                <w:highlight w:val="none"/>
              </w:rPr>
              <w:br w:type="textWrapping"/>
            </w:r>
            <w:r>
              <w:rPr>
                <w:rFonts w:hint="eastAsia"/>
                <w:color w:val="auto"/>
                <w:highlight w:val="none"/>
              </w:rPr>
              <w:t>1.支持云主机生命周期管理和维护，包括但不限于创建、启动、关闭、重启、更换操作系统，其中创建、启动、关闭、重启应支持批量操作，提升管理员操作效率。</w:t>
            </w:r>
            <w:r>
              <w:rPr>
                <w:rFonts w:hint="eastAsia"/>
                <w:color w:val="auto"/>
                <w:highlight w:val="none"/>
              </w:rPr>
              <w:br w:type="textWrapping"/>
            </w:r>
            <w:r>
              <w:rPr>
                <w:rFonts w:hint="eastAsia"/>
                <w:color w:val="auto"/>
                <w:highlight w:val="none"/>
              </w:rPr>
              <w:t>2.支持为云服务器指定IP地址创建云主机，方便运维人员进行IP的统筹管理,支持配置IPv6/IPv4双栈网络,云主机实例可自动获取IPv6地址进行内网通信。</w:t>
            </w:r>
            <w:r>
              <w:rPr>
                <w:rFonts w:hint="eastAsia"/>
                <w:color w:val="auto"/>
                <w:highlight w:val="none"/>
              </w:rPr>
              <w:br w:type="textWrapping"/>
            </w:r>
            <w:r>
              <w:rPr>
                <w:rFonts w:hint="eastAsia"/>
                <w:color w:val="auto"/>
                <w:highlight w:val="none"/>
              </w:rPr>
              <w:t>3.支持对云主机的系统盘和数据盘创建整机镜像模板，创建的镜像包含用户的业务数据，可用于快速发放包含用户业务数据的新云主机。</w:t>
            </w:r>
            <w:r>
              <w:rPr>
                <w:rFonts w:hint="eastAsia"/>
                <w:color w:val="auto"/>
                <w:highlight w:val="none"/>
              </w:rPr>
              <w:br w:type="textWrapping"/>
            </w:r>
            <w:r>
              <w:rPr>
                <w:rFonts w:hint="eastAsia"/>
                <w:color w:val="auto"/>
                <w:highlight w:val="none"/>
              </w:rPr>
              <w:t>4.支持对云主机CPU、内存、硬盘等基础指标进行监控，同时支持对云主机系统中的各进程CPU、内存、打开文件数进行监控，为用户提供系统级、主动式、细粒度监控服务。</w:t>
            </w:r>
            <w:r>
              <w:rPr>
                <w:rFonts w:hint="eastAsia"/>
                <w:color w:val="auto"/>
                <w:highlight w:val="none"/>
              </w:rPr>
              <w:br w:type="textWrapping"/>
            </w:r>
            <w:r>
              <w:rPr>
                <w:rFonts w:hint="eastAsia"/>
                <w:color w:val="auto"/>
                <w:highlight w:val="none"/>
              </w:rPr>
              <w:t>5.支持云主机在线扩容CPU/内存等，无需重启即可生效，保证业务系统计算资源可以进行垂直扩容。</w:t>
            </w:r>
            <w:r>
              <w:rPr>
                <w:rFonts w:hint="eastAsia"/>
                <w:color w:val="auto"/>
                <w:highlight w:val="none"/>
              </w:rPr>
              <w:br w:type="textWrapping"/>
            </w:r>
            <w:r>
              <w:rPr>
                <w:rFonts w:hint="eastAsia"/>
                <w:color w:val="auto"/>
                <w:highlight w:val="none"/>
              </w:rPr>
              <w:t>6.支持对云主机实例设置标签，辅助管理员可以按照业务语义进行实例的分类管理，同时支持管理员根据云主机名称、私有IP、弹性IP、ID、运行状态、标签等条件快速过滤查找目标云主机。</w:t>
            </w:r>
            <w:r>
              <w:rPr>
                <w:rFonts w:hint="eastAsia"/>
                <w:color w:val="auto"/>
                <w:highlight w:val="none"/>
              </w:rPr>
              <w:br w:type="textWrapping"/>
            </w:r>
            <w:r>
              <w:rPr>
                <w:rFonts w:hint="eastAsia"/>
                <w:color w:val="auto"/>
                <w:highlight w:val="none"/>
              </w:rPr>
              <w:t>7.支持资源编排功能：</w:t>
            </w:r>
            <w:r>
              <w:rPr>
                <w:rFonts w:hint="eastAsia"/>
                <w:color w:val="auto"/>
                <w:highlight w:val="none"/>
              </w:rPr>
              <w:br w:type="textWrapping"/>
            </w:r>
            <w:r>
              <w:rPr>
                <w:rFonts w:hint="eastAsia"/>
                <w:color w:val="auto"/>
                <w:highlight w:val="none"/>
              </w:rPr>
              <w:t>（1）可按照模版规范编写资源栈模版。在模板中可以定义所需资源间的依赖关系、资源配置等，如云主机实例、 云数据库实例、负载均衡实例等。</w:t>
            </w:r>
            <w:r>
              <w:rPr>
                <w:rFonts w:hint="eastAsia"/>
                <w:color w:val="auto"/>
                <w:highlight w:val="none"/>
              </w:rPr>
              <w:br w:type="textWrapping"/>
            </w:r>
            <w:r>
              <w:rPr>
                <w:rFonts w:hint="eastAsia"/>
                <w:color w:val="auto"/>
                <w:highlight w:val="none"/>
              </w:rPr>
              <w:t>（2）通过资源栈逻辑集合来统一管理一组云资源，可以对云资源进行创建、删除、重新创建等操作。</w:t>
            </w:r>
            <w:r>
              <w:rPr>
                <w:rFonts w:hint="eastAsia"/>
                <w:color w:val="auto"/>
                <w:highlight w:val="none"/>
              </w:rPr>
              <w:br w:type="textWrapping"/>
            </w:r>
            <w:r>
              <w:rPr>
                <w:rFonts w:hint="eastAsia"/>
                <w:color w:val="auto"/>
                <w:highlight w:val="none"/>
              </w:rPr>
              <w:t>（3）支持JSON格式的资源模板，并通过此模板创建资源栈。</w:t>
            </w:r>
            <w:r>
              <w:rPr>
                <w:rFonts w:hint="eastAsia"/>
                <w:color w:val="auto"/>
                <w:highlight w:val="none"/>
              </w:rPr>
              <w:br w:type="textWrapping"/>
            </w:r>
            <w:r>
              <w:rPr>
                <w:rFonts w:hint="eastAsia"/>
                <w:color w:val="auto"/>
                <w:highlight w:val="none"/>
              </w:rPr>
              <w:t>（4）支持在线查看资源编排服务支持的资源类型及各资源类型详情。</w:t>
            </w:r>
            <w:r>
              <w:rPr>
                <w:rFonts w:hint="eastAsia"/>
                <w:color w:val="auto"/>
                <w:highlight w:val="none"/>
              </w:rPr>
              <w:br w:type="textWrapping"/>
            </w:r>
            <w:r>
              <w:rPr>
                <w:rFonts w:hint="eastAsia"/>
                <w:color w:val="auto"/>
                <w:highlight w:val="none"/>
              </w:rPr>
              <w:t>8.云主机支持严格分散、尽量分散两种分散部署策略；同一组云主机支持基于不同宿主机，不同机架、不同交换机打散部署。</w:t>
            </w:r>
            <w:r>
              <w:rPr>
                <w:rFonts w:hint="eastAsia"/>
                <w:color w:val="auto"/>
                <w:highlight w:val="none"/>
              </w:rPr>
              <w:br w:type="textWrapping"/>
            </w:r>
            <w:r>
              <w:rPr>
                <w:rFonts w:hint="eastAsia"/>
                <w:color w:val="auto"/>
                <w:highlight w:val="none"/>
              </w:rPr>
              <w:t>9.支持云主机热迁移，运维人员可以手工指定迁移任务的带宽限制，降低迁移流量对正常业务的干扰。</w:t>
            </w:r>
            <w:r>
              <w:rPr>
                <w:rFonts w:hint="eastAsia"/>
                <w:color w:val="auto"/>
                <w:highlight w:val="none"/>
              </w:rPr>
              <w:br w:type="textWrapping"/>
            </w:r>
            <w:r>
              <w:rPr>
                <w:rFonts w:hint="eastAsia"/>
                <w:color w:val="auto"/>
                <w:highlight w:val="none"/>
              </w:rPr>
              <w:t>10.支持云主机高可用（宕机迁移），当某台物理节点发生意外故障，在其上运行的云主机能够在其他正常的物理节点上重新启动，保障业务的连续性。</w:t>
            </w:r>
            <w:r>
              <w:rPr>
                <w:rFonts w:hint="eastAsia"/>
                <w:color w:val="auto"/>
                <w:highlight w:val="none"/>
              </w:rPr>
              <w:br w:type="textWrapping"/>
            </w:r>
            <w:r>
              <w:rPr>
                <w:rFonts w:hint="eastAsia"/>
                <w:color w:val="auto"/>
                <w:highlight w:val="none"/>
              </w:rPr>
              <w:t>11.支持弹性伸缩功能：</w:t>
            </w:r>
            <w:r>
              <w:rPr>
                <w:rFonts w:hint="eastAsia"/>
                <w:color w:val="auto"/>
                <w:highlight w:val="none"/>
              </w:rPr>
              <w:br w:type="textWrapping"/>
            </w:r>
            <w:r>
              <w:rPr>
                <w:rFonts w:hint="eastAsia"/>
                <w:color w:val="auto"/>
                <w:highlight w:val="none"/>
              </w:rPr>
              <w:t>（1）根据业务的需求和策略，自动调整计算资源大小，在业务需求增长时，自动增加云主机实例，在业务需求下降时自动减少云主机实例。</w:t>
            </w:r>
            <w:r>
              <w:rPr>
                <w:rFonts w:hint="eastAsia"/>
                <w:color w:val="auto"/>
                <w:highlight w:val="none"/>
              </w:rPr>
              <w:br w:type="textWrapping"/>
            </w:r>
            <w:r>
              <w:rPr>
                <w:rFonts w:hint="eastAsia"/>
                <w:color w:val="auto"/>
                <w:highlight w:val="none"/>
              </w:rPr>
              <w:t>（2）支持根据配置的伸缩规则弹性扩张云主机实例，能够自动将云主机实例添加到负载均衡实例的后端服务器组和自动关联云数据库实例。</w:t>
            </w:r>
            <w:r>
              <w:rPr>
                <w:rFonts w:hint="eastAsia"/>
                <w:color w:val="auto"/>
                <w:highlight w:val="none"/>
              </w:rPr>
              <w:br w:type="textWrapping"/>
            </w:r>
            <w:r>
              <w:rPr>
                <w:rFonts w:hint="eastAsia"/>
                <w:color w:val="auto"/>
                <w:highlight w:val="none"/>
              </w:rPr>
              <w:t>（3）支持指定待伸缩云主机实例的配置信息，包括但不限于实例规格、镜像类型、系统盘、数据盘、自定义数据等。</w:t>
            </w:r>
            <w:r>
              <w:rPr>
                <w:rFonts w:hint="eastAsia"/>
                <w:color w:val="auto"/>
                <w:highlight w:val="none"/>
              </w:rPr>
              <w:br w:type="textWrapping"/>
            </w:r>
            <w:r>
              <w:rPr>
                <w:rFonts w:hint="eastAsia"/>
                <w:color w:val="auto"/>
                <w:highlight w:val="none"/>
              </w:rPr>
              <w:t>（4）支持用户定时执行伸缩规则，从而实现自动扩张或者收缩计算资源，满足业务需求的同时又能控制成本。</w:t>
            </w:r>
            <w:r>
              <w:rPr>
                <w:rFonts w:hint="eastAsia"/>
                <w:color w:val="auto"/>
                <w:highlight w:val="none"/>
              </w:rPr>
              <w:br w:type="textWrapping"/>
            </w:r>
            <w:r>
              <w:rPr>
                <w:rFonts w:hint="eastAsia"/>
                <w:color w:val="auto"/>
                <w:highlight w:val="none"/>
              </w:rPr>
              <w:t>（5）支持实时统计伸缩组内指标数据，并在统计值满足告警条件时触发告警，自动执行伸缩规则，动态调整伸缩组内的云主机的实例数量，监控指标包括但不限于CPU使用率、内存使用率、内网出流量、内网入流量等。</w:t>
            </w:r>
            <w:r>
              <w:rPr>
                <w:rFonts w:hint="eastAsia"/>
                <w:color w:val="auto"/>
                <w:highlight w:val="none"/>
              </w:rPr>
              <w:br w:type="textWrapping"/>
            </w:r>
            <w:r>
              <w:rPr>
                <w:rFonts w:hint="eastAsia"/>
                <w:color w:val="auto"/>
                <w:highlight w:val="none"/>
              </w:rPr>
              <w:t>12.支持用户通过快照对云主机的数据进行备份，通过快照进行云服务器的数据恢复。</w:t>
            </w:r>
            <w:r>
              <w:rPr>
                <w:rFonts w:hint="eastAsia"/>
                <w:color w:val="auto"/>
                <w:highlight w:val="none"/>
              </w:rPr>
              <w:br w:type="textWrapping"/>
            </w:r>
            <w:r>
              <w:rPr>
                <w:rFonts w:hint="eastAsia"/>
                <w:color w:val="auto"/>
                <w:highlight w:val="none"/>
              </w:rPr>
              <w:t>13.支持云主机网络防ARP欺骗，云平台应阻止用户非法修改IP地址和MAC地址后发出的数据包，提升安全性。</w:t>
            </w:r>
            <w:r>
              <w:rPr>
                <w:rFonts w:hint="eastAsia"/>
                <w:color w:val="auto"/>
                <w:highlight w:val="none"/>
              </w:rPr>
              <w:br w:type="textWrapping"/>
            </w:r>
            <w:r>
              <w:rPr>
                <w:rFonts w:hint="eastAsia"/>
                <w:color w:val="auto"/>
                <w:highlight w:val="none"/>
              </w:rPr>
              <w:t>14.支持用户通过VNC方式远程访问云主机，同时支持用户设置云主机VNC密码（非系统密码），并能在用户VNC访问时进行VNC密码认证，保证终端用户对云主机的安全访问。</w:t>
            </w:r>
            <w:r>
              <w:rPr>
                <w:rFonts w:hint="eastAsia"/>
                <w:color w:val="auto"/>
                <w:highlight w:val="none"/>
              </w:rPr>
              <w:br w:type="textWrapping"/>
            </w:r>
            <w:r>
              <w:rPr>
                <w:rFonts w:hint="eastAsia"/>
                <w:color w:val="auto"/>
                <w:highlight w:val="none"/>
              </w:rPr>
              <w:t>15.支持设置自动快照策略，可自定义快照时间点、重复日期以及保留时长。</w:t>
            </w:r>
            <w:r>
              <w:rPr>
                <w:rFonts w:hint="eastAsia"/>
                <w:color w:val="auto"/>
                <w:highlight w:val="none"/>
              </w:rPr>
              <w:br w:type="textWrapping"/>
            </w:r>
            <w:r>
              <w:rPr>
                <w:rFonts w:hint="eastAsia"/>
                <w:color w:val="auto"/>
                <w:highlight w:val="none"/>
              </w:rPr>
              <w:t>16.云平台出厂内置面向租户服务的公共镜像支持主流的WINDOWS、LINUX等操作系统，如： Windows Server 、CentOS 、Debian 、FreeBSD 、OpenSUSE 、SUSE Linux Enterprise Server 、Ubuntu、Anolis OS等，其中信创芯片至少支持Kylin、UOS、CentOS、Anolis OS等，同时支持用户自定义方式上传客户自制的操作系统镜像。</w:t>
            </w:r>
          </w:p>
        </w:tc>
        <w:tc>
          <w:tcPr>
            <w:tcW w:w="351"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1</w:t>
            </w:r>
          </w:p>
        </w:tc>
      </w:tr>
      <w:tr>
        <w:tblPrEx>
          <w:tblCellMar>
            <w:top w:w="0" w:type="dxa"/>
            <w:left w:w="0" w:type="dxa"/>
            <w:bottom w:w="0" w:type="dxa"/>
            <w:right w:w="0" w:type="dxa"/>
          </w:tblCellMar>
        </w:tblPrEx>
        <w:trPr>
          <w:trHeight w:val="360" w:hRule="atLeast"/>
        </w:trPr>
        <w:tc>
          <w:tcPr>
            <w:tcW w:w="210"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1.21</w:t>
            </w:r>
          </w:p>
        </w:tc>
        <w:tc>
          <w:tcPr>
            <w:tcW w:w="421"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块存储软件授权采购</w:t>
            </w:r>
          </w:p>
        </w:tc>
        <w:tc>
          <w:tcPr>
            <w:tcW w:w="4016"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▲计算存储分离架构下的块存储集群，采用hdd + ssd的混合存储架构，采购块存储864TB软件授权，提供永久使用授权和三年软件质保服务，质保服务内容包括软件故障解决、软件漏洞修复和软件版本更新。</w:t>
            </w:r>
            <w:r>
              <w:rPr>
                <w:rFonts w:hint="eastAsia"/>
                <w:color w:val="auto"/>
                <w:highlight w:val="none"/>
              </w:rPr>
              <w:br w:type="textWrapping"/>
            </w:r>
            <w:r>
              <w:rPr>
                <w:rFonts w:hint="eastAsia"/>
                <w:color w:val="auto"/>
                <w:highlight w:val="none"/>
              </w:rPr>
              <w:t>1.为云主机提供的低时延、持久性、高可靠性的数据块级存储设备。</w:t>
            </w:r>
            <w:r>
              <w:rPr>
                <w:rFonts w:hint="eastAsia"/>
                <w:color w:val="auto"/>
                <w:highlight w:val="none"/>
              </w:rPr>
              <w:br w:type="textWrapping"/>
            </w:r>
            <w:r>
              <w:rPr>
                <w:rFonts w:hint="eastAsia"/>
                <w:color w:val="auto"/>
                <w:highlight w:val="none"/>
              </w:rPr>
              <w:t>2.支持在线扩展容量，扩容期间无需关闭虚拟机，无需卸载云盘；系统盘在线扩容不停业务。</w:t>
            </w:r>
            <w:r>
              <w:rPr>
                <w:rFonts w:hint="eastAsia"/>
                <w:color w:val="auto"/>
                <w:highlight w:val="none"/>
              </w:rPr>
              <w:br w:type="textWrapping"/>
            </w:r>
            <w:r>
              <w:rPr>
                <w:rFonts w:hint="eastAsia"/>
                <w:color w:val="auto"/>
                <w:highlight w:val="none"/>
              </w:rPr>
              <w:t>3.支持磁盘的创建、删除、卸载、扩容、挂载、查询、初始化等功能。</w:t>
            </w:r>
            <w:r>
              <w:rPr>
                <w:rFonts w:hint="eastAsia"/>
                <w:color w:val="auto"/>
                <w:highlight w:val="none"/>
              </w:rPr>
              <w:br w:type="textWrapping"/>
            </w:r>
            <w:r>
              <w:rPr>
                <w:rFonts w:hint="eastAsia"/>
                <w:color w:val="auto"/>
                <w:highlight w:val="none"/>
              </w:rPr>
              <w:t>4.支持块存储快照自动上传至对象存储，支持快照回滚恢复时自动从对象存储恢复到块存储，支持云盘创建时自动从对象存储恢复到块存储。</w:t>
            </w:r>
            <w:r>
              <w:rPr>
                <w:rFonts w:hint="eastAsia"/>
                <w:color w:val="auto"/>
                <w:highlight w:val="none"/>
              </w:rPr>
              <w:br w:type="textWrapping"/>
            </w:r>
            <w:r>
              <w:rPr>
                <w:rFonts w:hint="eastAsia" w:ascii="宋体" w:hAnsi="宋体" w:cs="宋体"/>
                <w:bCs/>
                <w:color w:val="auto"/>
                <w:szCs w:val="21"/>
                <w:highlight w:val="none"/>
              </w:rPr>
              <w:t>■</w:t>
            </w:r>
            <w:r>
              <w:rPr>
                <w:rFonts w:hint="eastAsia"/>
                <w:color w:val="auto"/>
                <w:highlight w:val="none"/>
              </w:rPr>
              <w:t>5.支持分布式EC和三副本数据冗余保护；三副本模式下，数据三副本支持分布在3个机柜或3对接入交换机上。</w:t>
            </w:r>
          </w:p>
        </w:tc>
        <w:tc>
          <w:tcPr>
            <w:tcW w:w="351"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1套</w:t>
            </w:r>
          </w:p>
        </w:tc>
      </w:tr>
      <w:tr>
        <w:tblPrEx>
          <w:tblCellMar>
            <w:top w:w="0" w:type="dxa"/>
            <w:left w:w="0" w:type="dxa"/>
            <w:bottom w:w="0" w:type="dxa"/>
            <w:right w:w="0" w:type="dxa"/>
          </w:tblCellMar>
        </w:tblPrEx>
        <w:trPr>
          <w:trHeight w:val="360" w:hRule="atLeast"/>
        </w:trPr>
        <w:tc>
          <w:tcPr>
            <w:tcW w:w="210"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1.22</w:t>
            </w:r>
          </w:p>
        </w:tc>
        <w:tc>
          <w:tcPr>
            <w:tcW w:w="421"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分布式关系型数据库软件授权采购</w:t>
            </w:r>
          </w:p>
        </w:tc>
        <w:tc>
          <w:tcPr>
            <w:tcW w:w="4016"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▲采购432core软件授权，提供永久使用授权和三年软件质保服务，质保服务内容包括软件故障解决、软件漏洞修复和软件版本更新。</w:t>
            </w:r>
            <w:r>
              <w:rPr>
                <w:rFonts w:hint="eastAsia"/>
                <w:color w:val="auto"/>
                <w:highlight w:val="none"/>
              </w:rPr>
              <w:br w:type="textWrapping"/>
            </w:r>
            <w:r>
              <w:rPr>
                <w:rFonts w:hint="eastAsia"/>
                <w:color w:val="auto"/>
                <w:highlight w:val="none"/>
              </w:rPr>
              <w:t>（1）分布式架构</w:t>
            </w:r>
            <w:r>
              <w:rPr>
                <w:rFonts w:hint="eastAsia"/>
                <w:color w:val="auto"/>
                <w:highlight w:val="none"/>
              </w:rPr>
              <w:br w:type="textWrapping"/>
            </w:r>
            <w:r>
              <w:rPr>
                <w:rFonts w:hint="eastAsia"/>
                <w:color w:val="auto"/>
                <w:highlight w:val="none"/>
              </w:rPr>
              <w:t>支持数据的水平拆分以及单一服务的集群化部署，实现高可扩展性。</w:t>
            </w:r>
            <w:r>
              <w:rPr>
                <w:rFonts w:hint="eastAsia"/>
                <w:color w:val="auto"/>
                <w:highlight w:val="none"/>
              </w:rPr>
              <w:br w:type="textWrapping"/>
            </w:r>
            <w:r>
              <w:rPr>
                <w:rFonts w:hint="eastAsia"/>
                <w:color w:val="auto"/>
                <w:highlight w:val="none"/>
              </w:rPr>
              <w:t>（2）审计日志</w:t>
            </w:r>
            <w:r>
              <w:rPr>
                <w:rFonts w:hint="eastAsia"/>
                <w:color w:val="auto"/>
                <w:highlight w:val="none"/>
              </w:rPr>
              <w:br w:type="textWrapping"/>
            </w:r>
            <w:r>
              <w:rPr>
                <w:rFonts w:hint="eastAsia"/>
                <w:color w:val="auto"/>
                <w:highlight w:val="none"/>
              </w:rPr>
              <w:t>支持审计日志自动存储到日志存储服务中，通过日志存储服务下载日志，可以长期存储、管理审计日志信息。</w:t>
            </w:r>
            <w:r>
              <w:rPr>
                <w:rFonts w:hint="eastAsia"/>
                <w:color w:val="auto"/>
                <w:highlight w:val="none"/>
              </w:rPr>
              <w:br w:type="textWrapping"/>
            </w:r>
            <w:r>
              <w:rPr>
                <w:rFonts w:hint="eastAsia"/>
                <w:color w:val="auto"/>
                <w:highlight w:val="none"/>
              </w:rPr>
              <w:t>（3）弹性伸缩</w:t>
            </w:r>
            <w:r>
              <w:rPr>
                <w:rFonts w:hint="eastAsia"/>
                <w:color w:val="auto"/>
                <w:highlight w:val="none"/>
              </w:rPr>
              <w:br w:type="textWrapping"/>
            </w:r>
            <w:r>
              <w:rPr>
                <w:rFonts w:hint="eastAsia"/>
                <w:color w:val="auto"/>
                <w:highlight w:val="none"/>
              </w:rPr>
              <w:t>支持分布式数据库实例以及数据存储的动态水平扩展升降配。</w:t>
            </w:r>
            <w:r>
              <w:rPr>
                <w:rFonts w:hint="eastAsia"/>
                <w:color w:val="auto"/>
                <w:highlight w:val="none"/>
              </w:rPr>
              <w:br w:type="textWrapping"/>
            </w:r>
            <w:r>
              <w:rPr>
                <w:rFonts w:hint="eastAsia"/>
                <w:color w:val="auto"/>
                <w:highlight w:val="none"/>
              </w:rPr>
              <w:t>支持集群节点的线性扩展，整体性能随节点数量的扩展而线性增长。</w:t>
            </w:r>
            <w:r>
              <w:rPr>
                <w:rFonts w:hint="eastAsia"/>
                <w:color w:val="auto"/>
                <w:highlight w:val="none"/>
              </w:rPr>
              <w:br w:type="textWrapping"/>
            </w:r>
            <w:r>
              <w:rPr>
                <w:rFonts w:hint="eastAsia"/>
                <w:color w:val="auto"/>
                <w:highlight w:val="none"/>
              </w:rPr>
              <w:t>（4）集群高可用</w:t>
            </w:r>
            <w:r>
              <w:rPr>
                <w:rFonts w:hint="eastAsia"/>
                <w:color w:val="auto"/>
                <w:highlight w:val="none"/>
              </w:rPr>
              <w:br w:type="textWrapping"/>
            </w:r>
            <w:r>
              <w:rPr>
                <w:rFonts w:hint="eastAsia"/>
                <w:color w:val="auto"/>
                <w:highlight w:val="none"/>
              </w:rPr>
              <w:t>采用多节点集群架构，平台内各组件管理节点需实现高可用机制，运维管理节点故障不影响业务正常运行。支持集群内某个业务节点故障时，不影响整体服务实例运行，并提供集群的自适应性负载能力，在高并发、高负载请求场景下无需调整集群参数保证业务运行。</w:t>
            </w:r>
            <w:r>
              <w:rPr>
                <w:rFonts w:hint="eastAsia"/>
                <w:color w:val="auto"/>
                <w:highlight w:val="none"/>
              </w:rPr>
              <w:br w:type="textWrapping"/>
            </w:r>
            <w:r>
              <w:rPr>
                <w:rFonts w:hint="eastAsia"/>
                <w:color w:val="auto"/>
                <w:highlight w:val="none"/>
              </w:rPr>
              <w:t>（5）容灾</w:t>
            </w:r>
            <w:r>
              <w:rPr>
                <w:rFonts w:hint="eastAsia"/>
                <w:color w:val="auto"/>
                <w:highlight w:val="none"/>
              </w:rPr>
              <w:br w:type="textWrapping"/>
            </w:r>
            <w:r>
              <w:rPr>
                <w:rFonts w:hint="eastAsia"/>
                <w:color w:val="auto"/>
                <w:highlight w:val="none"/>
              </w:rPr>
              <w:t>元数据库支持快速切换容灾，单节点故障对服务无影响，整体服务故障时间为0。</w:t>
            </w:r>
            <w:r>
              <w:rPr>
                <w:rFonts w:hint="eastAsia"/>
                <w:color w:val="auto"/>
                <w:highlight w:val="none"/>
              </w:rPr>
              <w:br w:type="textWrapping"/>
            </w:r>
            <w:r>
              <w:rPr>
                <w:rFonts w:hint="eastAsia"/>
                <w:color w:val="auto"/>
                <w:highlight w:val="none"/>
              </w:rPr>
              <w:t>（6）安全可控</w:t>
            </w:r>
            <w:r>
              <w:rPr>
                <w:rFonts w:hint="eastAsia"/>
                <w:color w:val="auto"/>
                <w:highlight w:val="none"/>
              </w:rPr>
              <w:br w:type="textWrapping"/>
            </w:r>
            <w:r>
              <w:rPr>
                <w:rFonts w:hint="eastAsia"/>
                <w:color w:val="auto"/>
                <w:highlight w:val="none"/>
              </w:rPr>
              <w:t>分布式数据库支持类关系型数据库的账号权限体系，并且提供IP白名单、高风险SQL默认禁止等实用功能。</w:t>
            </w:r>
            <w:r>
              <w:rPr>
                <w:rFonts w:hint="eastAsia"/>
                <w:color w:val="auto"/>
                <w:highlight w:val="none"/>
              </w:rPr>
              <w:br w:type="textWrapping"/>
            </w:r>
            <w:r>
              <w:rPr>
                <w:rFonts w:hint="eastAsia"/>
                <w:color w:val="auto"/>
                <w:highlight w:val="none"/>
              </w:rPr>
              <w:t>（7）隔离</w:t>
            </w:r>
            <w:r>
              <w:rPr>
                <w:rFonts w:hint="eastAsia"/>
                <w:color w:val="auto"/>
                <w:highlight w:val="none"/>
              </w:rPr>
              <w:br w:type="textWrapping"/>
            </w:r>
            <w:r>
              <w:rPr>
                <w:rFonts w:hint="eastAsia"/>
                <w:color w:val="auto"/>
                <w:highlight w:val="none"/>
              </w:rPr>
              <w:t>支持云平台集群下多租户并行执行，租户任务提交到不同的实例下的队列执行。</w:t>
            </w:r>
            <w:r>
              <w:rPr>
                <w:rFonts w:hint="eastAsia"/>
                <w:color w:val="auto"/>
                <w:highlight w:val="none"/>
              </w:rPr>
              <w:br w:type="textWrapping"/>
            </w:r>
            <w:r>
              <w:rPr>
                <w:rFonts w:hint="eastAsia"/>
                <w:color w:val="auto"/>
                <w:highlight w:val="none"/>
              </w:rPr>
              <w:t>（8）权限</w:t>
            </w:r>
            <w:r>
              <w:rPr>
                <w:rFonts w:hint="eastAsia"/>
                <w:color w:val="auto"/>
                <w:highlight w:val="none"/>
              </w:rPr>
              <w:br w:type="textWrapping"/>
            </w:r>
            <w:r>
              <w:rPr>
                <w:rFonts w:hint="eastAsia"/>
                <w:color w:val="auto"/>
                <w:highlight w:val="none"/>
              </w:rPr>
              <w:t>权限级别支持数据库级别权限和表级别权限。高级别权限的授予会覆盖低级别权限，移除高级别权限的同时也会移除低级别权限。</w:t>
            </w:r>
            <w:r>
              <w:rPr>
                <w:rFonts w:hint="eastAsia"/>
                <w:color w:val="auto"/>
                <w:highlight w:val="none"/>
              </w:rPr>
              <w:br w:type="textWrapping"/>
            </w:r>
            <w:r>
              <w:rPr>
                <w:rFonts w:hint="eastAsia"/>
                <w:color w:val="auto"/>
                <w:highlight w:val="none"/>
              </w:rPr>
              <w:t>支持权限管理和细粒度用户操作审计。</w:t>
            </w:r>
            <w:r>
              <w:rPr>
                <w:rFonts w:hint="eastAsia"/>
                <w:color w:val="auto"/>
                <w:highlight w:val="none"/>
              </w:rPr>
              <w:br w:type="textWrapping"/>
            </w:r>
            <w:r>
              <w:rPr>
                <w:rFonts w:hint="eastAsia"/>
                <w:color w:val="auto"/>
                <w:highlight w:val="none"/>
              </w:rPr>
              <w:t>支持完善的权限认证，保障用户数据的私密性。</w:t>
            </w:r>
            <w:r>
              <w:rPr>
                <w:rFonts w:hint="eastAsia"/>
                <w:color w:val="auto"/>
                <w:highlight w:val="none"/>
              </w:rPr>
              <w:br w:type="textWrapping"/>
            </w:r>
            <w:r>
              <w:rPr>
                <w:rFonts w:hint="eastAsia"/>
                <w:color w:val="auto"/>
                <w:highlight w:val="none"/>
              </w:rPr>
              <w:t>支持通过多租户模式实现资源隔离。</w:t>
            </w:r>
            <w:r>
              <w:rPr>
                <w:rFonts w:hint="eastAsia"/>
                <w:color w:val="auto"/>
                <w:highlight w:val="none"/>
              </w:rPr>
              <w:br w:type="textWrapping"/>
            </w:r>
            <w:r>
              <w:rPr>
                <w:rFonts w:hint="eastAsia"/>
                <w:color w:val="auto"/>
                <w:highlight w:val="none"/>
              </w:rPr>
              <w:t>▲（9）兼容 MySQL 协议和语法，支持分库分表。</w:t>
            </w:r>
            <w:r>
              <w:rPr>
                <w:rFonts w:hint="eastAsia"/>
                <w:color w:val="auto"/>
                <w:highlight w:val="none"/>
              </w:rPr>
              <w:br w:type="textWrapping"/>
            </w:r>
            <w:r>
              <w:rPr>
                <w:rFonts w:hint="eastAsia"/>
                <w:color w:val="auto"/>
                <w:highlight w:val="none"/>
              </w:rPr>
              <w:t>（10）提供分布式数据库的全局增量日志服务，解决分布式数据库多个节点增量日志的同步问题。</w:t>
            </w:r>
          </w:p>
        </w:tc>
        <w:tc>
          <w:tcPr>
            <w:tcW w:w="351"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1套</w:t>
            </w:r>
          </w:p>
        </w:tc>
      </w:tr>
      <w:tr>
        <w:tblPrEx>
          <w:tblCellMar>
            <w:top w:w="0" w:type="dxa"/>
            <w:left w:w="0" w:type="dxa"/>
            <w:bottom w:w="0" w:type="dxa"/>
            <w:right w:w="0" w:type="dxa"/>
          </w:tblCellMar>
        </w:tblPrEx>
        <w:trPr>
          <w:trHeight w:val="360" w:hRule="atLeast"/>
        </w:trPr>
        <w:tc>
          <w:tcPr>
            <w:tcW w:w="210"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1.23</w:t>
            </w:r>
          </w:p>
        </w:tc>
        <w:tc>
          <w:tcPr>
            <w:tcW w:w="421"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集中式关系型数据库软件授权采购</w:t>
            </w:r>
          </w:p>
        </w:tc>
        <w:tc>
          <w:tcPr>
            <w:tcW w:w="4016"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▲采购关系型数据库1920core软件授权，提供永久使用授权和三年软件质保服务，质保服务内容包括软件故障解决、软件漏洞修复和软件版本更新。</w:t>
            </w:r>
            <w:r>
              <w:rPr>
                <w:rFonts w:hint="eastAsia"/>
                <w:color w:val="auto"/>
                <w:highlight w:val="none"/>
              </w:rPr>
              <w:br w:type="textWrapping"/>
            </w:r>
            <w:r>
              <w:rPr>
                <w:rFonts w:hint="eastAsia"/>
                <w:color w:val="auto"/>
                <w:highlight w:val="none"/>
              </w:rPr>
              <w:t>（1）云数据库代理：支持短连接优化、事务拆分和读写分离的功能；</w:t>
            </w:r>
            <w:r>
              <w:rPr>
                <w:rFonts w:hint="eastAsia"/>
                <w:color w:val="auto"/>
                <w:highlight w:val="none"/>
              </w:rPr>
              <w:br w:type="textWrapping"/>
            </w:r>
            <w:r>
              <w:rPr>
                <w:rFonts w:hint="eastAsia"/>
                <w:color w:val="auto"/>
                <w:highlight w:val="none"/>
              </w:rPr>
              <w:t>1）提供短连接优化功能，有效解决短连接业务频繁建立新连接导致实例负载过高的问题；</w:t>
            </w:r>
            <w:r>
              <w:rPr>
                <w:rFonts w:hint="eastAsia"/>
                <w:color w:val="auto"/>
                <w:highlight w:val="none"/>
              </w:rPr>
              <w:br w:type="textWrapping"/>
            </w:r>
            <w:r>
              <w:rPr>
                <w:rFonts w:hint="eastAsia"/>
                <w:color w:val="auto"/>
                <w:highlight w:val="none"/>
              </w:rPr>
              <w:t>2）提供事务拆分功能，能够将事务内写操作之前的读请求转发到只读实例，降低主实例负载；</w:t>
            </w:r>
            <w:r>
              <w:rPr>
                <w:rFonts w:hint="eastAsia"/>
                <w:color w:val="auto"/>
                <w:highlight w:val="none"/>
              </w:rPr>
              <w:br w:type="textWrapping"/>
            </w:r>
            <w:r>
              <w:rPr>
                <w:rFonts w:hint="eastAsia"/>
                <w:color w:val="auto"/>
                <w:highlight w:val="none"/>
              </w:rPr>
              <w:t>3）提供读写分离功能，实现写请求自动转发到主实例，读请求自动转发到各个只读实例。</w:t>
            </w:r>
            <w:r>
              <w:rPr>
                <w:rFonts w:hint="eastAsia"/>
                <w:color w:val="auto"/>
                <w:highlight w:val="none"/>
              </w:rPr>
              <w:br w:type="textWrapping"/>
            </w:r>
            <w:r>
              <w:rPr>
                <w:rFonts w:hint="eastAsia"/>
                <w:color w:val="auto"/>
                <w:highlight w:val="none"/>
              </w:rPr>
              <w:t>（2）数据链路服务：本组件主要负责用户访问实例时，提供数据链路服务：。DNS模块负责DNS的解析功能； LVS模块负责IP映射和端口转发，并提供网络防护、流量控制等功能。</w:t>
            </w:r>
            <w:r>
              <w:rPr>
                <w:rFonts w:hint="eastAsia"/>
                <w:color w:val="auto"/>
                <w:highlight w:val="none"/>
              </w:rPr>
              <w:br w:type="textWrapping"/>
            </w:r>
            <w:r>
              <w:rPr>
                <w:rFonts w:hint="eastAsia"/>
                <w:color w:val="auto"/>
                <w:highlight w:val="none"/>
              </w:rPr>
              <w:t>（3）调度系统：全面负责整个系统中所有任务的调度，以及各大组件之间的协调工作；提供资源调配服务，负责底层资源的分配和整合。用户通过控制台或者通过API进行数据库实例创建、删除、内外切换时，调度系统以任务的形式进行调度，可对实例所有操作进行跟踪和展示。</w:t>
            </w:r>
            <w:r>
              <w:rPr>
                <w:rFonts w:hint="eastAsia"/>
                <w:color w:val="auto"/>
                <w:highlight w:val="none"/>
              </w:rPr>
              <w:br w:type="textWrapping"/>
            </w:r>
            <w:r>
              <w:rPr>
                <w:rFonts w:hint="eastAsia"/>
                <w:color w:val="auto"/>
                <w:highlight w:val="none"/>
              </w:rPr>
              <w:t>（4）备份系统：主要负责所有集群内所有实例数据的备份 ，并进行集中存储；提供完善的备份、恢复机制，支持手工备份和自动备份，支持物理备份和逻辑备份、逻辑备份支持库级备份，备份文件支持恢复到指定时间点。</w:t>
            </w:r>
            <w:r>
              <w:rPr>
                <w:rFonts w:hint="eastAsia"/>
                <w:color w:val="auto"/>
                <w:highlight w:val="none"/>
              </w:rPr>
              <w:br w:type="textWrapping"/>
            </w:r>
            <w:bookmarkStart w:id="11" w:name="OLE_LINK2"/>
            <w:r>
              <w:rPr>
                <w:rFonts w:hint="eastAsia" w:ascii="宋体" w:hAnsi="宋体" w:cs="宋体"/>
                <w:bCs/>
                <w:color w:val="auto"/>
                <w:szCs w:val="21"/>
                <w:highlight w:val="none"/>
              </w:rPr>
              <w:t>■</w:t>
            </w:r>
            <w:bookmarkEnd w:id="11"/>
            <w:r>
              <w:rPr>
                <w:rFonts w:hint="eastAsia"/>
                <w:color w:val="auto"/>
                <w:highlight w:val="none"/>
              </w:rPr>
              <w:t>（5）高可用控制系统：负责所有实例主备之间的健康检查以及实时切换。同时对于集群扩展，新节点会自动探测压力大的节点，并接管任务。支持同城主备双中心架构部署，单中心故障不影响业务可用，支持跨数据中心云数据库自动同步功能。</w:t>
            </w:r>
            <w:r>
              <w:rPr>
                <w:rFonts w:hint="eastAsia"/>
                <w:color w:val="auto"/>
                <w:highlight w:val="none"/>
              </w:rPr>
              <w:br w:type="textWrapping"/>
            </w:r>
            <w:r>
              <w:rPr>
                <w:rFonts w:hint="eastAsia"/>
                <w:color w:val="auto"/>
                <w:highlight w:val="none"/>
              </w:rPr>
              <w:t>（6）在线迁移系统：在线迁移系统主要负责实例在不同主机之间的迁移工作，触发迁移作业的常见原因是物理机已接近饱和时，为保障用户使用，支持在关系型数据库服务后台将部分实例进行手工迁移。如果用户主动发起数据库扩容申请，当所在设备的物理资源不满足需求时，将会自动触发迁移工作，将数据库迁移到资源充裕的设备节点。</w:t>
            </w:r>
            <w:r>
              <w:rPr>
                <w:rFonts w:hint="eastAsia"/>
                <w:color w:val="auto"/>
                <w:highlight w:val="none"/>
              </w:rPr>
              <w:br w:type="textWrapping"/>
            </w:r>
            <w:r>
              <w:rPr>
                <w:rFonts w:hint="eastAsia"/>
                <w:color w:val="auto"/>
                <w:highlight w:val="none"/>
              </w:rPr>
              <w:t>（7）监控系统：负责系统正常运转的检查，以及实例相关状态和性能数据收集；如服务监控、物理资源监控、实例使用资源监控、网络监控及报警功能。</w:t>
            </w:r>
            <w:r>
              <w:rPr>
                <w:rFonts w:hint="eastAsia"/>
                <w:color w:val="auto"/>
                <w:highlight w:val="none"/>
              </w:rPr>
              <w:br w:type="textWrapping"/>
            </w:r>
            <w:r>
              <w:rPr>
                <w:rFonts w:hint="eastAsia"/>
                <w:color w:val="auto"/>
                <w:highlight w:val="none"/>
              </w:rPr>
              <w:t>（8）租户隔离：支持基于云多租户的方式分配管理数据库实例。</w:t>
            </w:r>
            <w:r>
              <w:rPr>
                <w:rFonts w:hint="eastAsia"/>
                <w:color w:val="auto"/>
                <w:highlight w:val="none"/>
              </w:rPr>
              <w:br w:type="textWrapping"/>
            </w:r>
            <w:r>
              <w:rPr>
                <w:rFonts w:hint="eastAsia"/>
                <w:color w:val="auto"/>
                <w:highlight w:val="none"/>
              </w:rPr>
              <w:t>（9）提供用户自服务门户和API接口：用户可自行创建不同规格的关系型数据库实例，并提供关系型数据库实例的在线扩容、备份、恢复、性能监控、异常告警、日志管理等功能。</w:t>
            </w:r>
            <w:r>
              <w:rPr>
                <w:rFonts w:hint="eastAsia"/>
                <w:color w:val="auto"/>
                <w:highlight w:val="none"/>
              </w:rPr>
              <w:br w:type="textWrapping"/>
            </w:r>
            <w:r>
              <w:rPr>
                <w:rFonts w:hint="eastAsia" w:ascii="宋体" w:hAnsi="宋体" w:cs="宋体"/>
                <w:bCs/>
                <w:color w:val="auto"/>
                <w:szCs w:val="21"/>
                <w:highlight w:val="none"/>
              </w:rPr>
              <w:t>■</w:t>
            </w:r>
            <w:r>
              <w:rPr>
                <w:rFonts w:hint="eastAsia"/>
                <w:color w:val="auto"/>
                <w:highlight w:val="none"/>
              </w:rPr>
              <w:t>（10）提供用户可独有CPU资源选择的独享型规格，提供用户可独有整台物理机器的独占型规格。</w:t>
            </w:r>
            <w:r>
              <w:rPr>
                <w:rFonts w:hint="eastAsia"/>
                <w:color w:val="auto"/>
                <w:highlight w:val="none"/>
              </w:rPr>
              <w:br w:type="textWrapping"/>
            </w:r>
            <w:r>
              <w:rPr>
                <w:rFonts w:hint="eastAsia"/>
                <w:color w:val="auto"/>
                <w:highlight w:val="none"/>
              </w:rPr>
              <w:t>（11）支持虚拟专有网络和经典网络，可支持指定虚拟网络创建数据库实例。</w:t>
            </w:r>
            <w:r>
              <w:rPr>
                <w:rFonts w:hint="eastAsia"/>
                <w:color w:val="auto"/>
                <w:highlight w:val="none"/>
              </w:rPr>
              <w:br w:type="textWrapping"/>
            </w:r>
            <w:r>
              <w:rPr>
                <w:rFonts w:hint="eastAsia"/>
                <w:color w:val="auto"/>
                <w:highlight w:val="none"/>
              </w:rPr>
              <w:t>（12）支持业务无中断在线方式升级数据库规格及存储空间。</w:t>
            </w:r>
            <w:r>
              <w:rPr>
                <w:rFonts w:hint="eastAsia"/>
                <w:color w:val="auto"/>
                <w:highlight w:val="none"/>
              </w:rPr>
              <w:br w:type="textWrapping"/>
            </w:r>
            <w:r>
              <w:rPr>
                <w:rFonts w:hint="eastAsia"/>
                <w:color w:val="auto"/>
                <w:highlight w:val="none"/>
              </w:rPr>
              <w:t>（13）支持对MySQL可视化日志管理，包括慢日志、错误日志、数据库主备切换日志等。</w:t>
            </w:r>
            <w:r>
              <w:rPr>
                <w:rFonts w:hint="eastAsia"/>
                <w:color w:val="auto"/>
                <w:highlight w:val="none"/>
              </w:rPr>
              <w:br w:type="textWrapping"/>
            </w:r>
            <w:r>
              <w:rPr>
                <w:rFonts w:hint="eastAsia"/>
                <w:color w:val="auto"/>
                <w:highlight w:val="none"/>
              </w:rPr>
              <w:t>（14）具备完善的安全防护措施：支持白名单设置、SQL审计等功能；支持数据SSL传输加密、透明数据加密。</w:t>
            </w:r>
            <w:r>
              <w:rPr>
                <w:rFonts w:hint="eastAsia"/>
                <w:color w:val="auto"/>
                <w:highlight w:val="none"/>
              </w:rPr>
              <w:br w:type="textWrapping"/>
            </w:r>
            <w:r>
              <w:rPr>
                <w:rFonts w:hint="eastAsia"/>
                <w:color w:val="auto"/>
                <w:highlight w:val="none"/>
              </w:rPr>
              <w:t>（15）支持GUI、web管理界面、管理工具等多种管理方式。</w:t>
            </w:r>
          </w:p>
        </w:tc>
        <w:tc>
          <w:tcPr>
            <w:tcW w:w="351"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1套</w:t>
            </w:r>
          </w:p>
        </w:tc>
      </w:tr>
      <w:tr>
        <w:tblPrEx>
          <w:tblCellMar>
            <w:top w:w="0" w:type="dxa"/>
            <w:left w:w="0" w:type="dxa"/>
            <w:bottom w:w="0" w:type="dxa"/>
            <w:right w:w="0" w:type="dxa"/>
          </w:tblCellMar>
        </w:tblPrEx>
        <w:trPr>
          <w:trHeight w:val="360" w:hRule="atLeast"/>
        </w:trPr>
        <w:tc>
          <w:tcPr>
            <w:tcW w:w="210"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1.24</w:t>
            </w:r>
          </w:p>
        </w:tc>
        <w:tc>
          <w:tcPr>
            <w:tcW w:w="421"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云管理平台软件授权采购</w:t>
            </w:r>
          </w:p>
        </w:tc>
        <w:tc>
          <w:tcPr>
            <w:tcW w:w="4016"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▲满足本项目扩容需求，采购100节点管理授权及容灾管理模块，提供永久使用授权和三年软件质保服务，质保服务内容包括软件故障解决、软件漏洞修复和软件版本更新。</w:t>
            </w:r>
            <w:r>
              <w:rPr>
                <w:rFonts w:hint="eastAsia"/>
                <w:color w:val="auto"/>
                <w:highlight w:val="none"/>
              </w:rPr>
              <w:br w:type="textWrapping"/>
            </w:r>
            <w:r>
              <w:rPr>
                <w:rFonts w:hint="eastAsia"/>
                <w:color w:val="auto"/>
                <w:highlight w:val="none"/>
              </w:rPr>
              <w:t>1、自动化运维</w:t>
            </w:r>
            <w:r>
              <w:rPr>
                <w:rFonts w:hint="eastAsia"/>
                <w:color w:val="auto"/>
                <w:highlight w:val="none"/>
              </w:rPr>
              <w:br w:type="textWrapping"/>
            </w:r>
            <w:r>
              <w:rPr>
                <w:rFonts w:hint="eastAsia"/>
                <w:color w:val="auto"/>
                <w:highlight w:val="none"/>
              </w:rPr>
              <w:t>（1）实现资源监控自动化，可对医保云平台实施主动式监控，包括基础设施、操作系统、云服务等；</w:t>
            </w:r>
            <w:r>
              <w:rPr>
                <w:rFonts w:hint="eastAsia"/>
                <w:color w:val="auto"/>
                <w:highlight w:val="none"/>
              </w:rPr>
              <w:br w:type="textWrapping"/>
            </w:r>
            <w:r>
              <w:rPr>
                <w:rFonts w:hint="eastAsia"/>
                <w:color w:val="auto"/>
                <w:highlight w:val="none"/>
              </w:rPr>
              <w:t>（2）实现维护事件提醒自动化：通过对医保云平台资源的实时监控，自动在第一时间将异常事件通知相关责任人；</w:t>
            </w:r>
            <w:r>
              <w:rPr>
                <w:rFonts w:hint="eastAsia"/>
                <w:color w:val="auto"/>
                <w:highlight w:val="none"/>
              </w:rPr>
              <w:br w:type="textWrapping"/>
            </w:r>
            <w:r>
              <w:rPr>
                <w:rFonts w:hint="eastAsia"/>
                <w:color w:val="auto"/>
                <w:highlight w:val="none"/>
              </w:rPr>
              <w:t>（3）实现系统健康检测自动化，定期自动地对医保云平台资源和应用系统进行健康巡检，并能形成健康报告；</w:t>
            </w:r>
            <w:r>
              <w:rPr>
                <w:rFonts w:hint="eastAsia"/>
                <w:color w:val="auto"/>
                <w:highlight w:val="none"/>
              </w:rPr>
              <w:br w:type="textWrapping"/>
            </w:r>
            <w:r>
              <w:rPr>
                <w:rFonts w:hint="eastAsia"/>
                <w:color w:val="auto"/>
                <w:highlight w:val="none"/>
              </w:rPr>
              <w:t>（4）实现巡检报告生成自动化，支持全产品通用巡检、物理机巡检、网络巡检和OS巡检4种巡检场景，可以查看近期巡检状态、数据总览、巡检项的异常分布与总体趋势、巡检任务记录、巡检问题、最新巡检报告；</w:t>
            </w:r>
            <w:r>
              <w:rPr>
                <w:rFonts w:hint="eastAsia"/>
                <w:color w:val="auto"/>
                <w:highlight w:val="none"/>
              </w:rPr>
              <w:br w:type="textWrapping"/>
            </w:r>
            <w:r>
              <w:rPr>
                <w:rFonts w:hint="eastAsia"/>
                <w:color w:val="auto"/>
                <w:highlight w:val="none"/>
              </w:rPr>
              <w:t>（5）实现自动化任务机制，支持通过创建任务独立完成一项运维任务，实现自动化运维；运维任务包含软件分发、补丁升级、程序更新等。</w:t>
            </w:r>
            <w:r>
              <w:rPr>
                <w:rFonts w:hint="eastAsia"/>
                <w:color w:val="auto"/>
                <w:highlight w:val="none"/>
              </w:rPr>
              <w:br w:type="textWrapping"/>
            </w:r>
            <w:r>
              <w:rPr>
                <w:rFonts w:hint="eastAsia"/>
                <w:color w:val="auto"/>
                <w:highlight w:val="none"/>
              </w:rPr>
              <w:t xml:space="preserve">a)在运行面板区域，查看当前系统中等待介入、运行中、失败和已完成任务数量的统计信息；单击各统计数值，会跳转到对应的任务页面。 </w:t>
            </w:r>
            <w:r>
              <w:rPr>
                <w:rFonts w:hint="eastAsia"/>
                <w:color w:val="auto"/>
                <w:highlight w:val="none"/>
              </w:rPr>
              <w:br w:type="textWrapping"/>
            </w:r>
            <w:r>
              <w:rPr>
                <w:rFonts w:hint="eastAsia"/>
                <w:color w:val="auto"/>
                <w:highlight w:val="none"/>
              </w:rPr>
              <w:t xml:space="preserve">b)在运行中的任务区域，查看最近24小时内正在运行中的任务。 </w:t>
            </w:r>
            <w:r>
              <w:rPr>
                <w:rFonts w:hint="eastAsia"/>
                <w:color w:val="auto"/>
                <w:highlight w:val="none"/>
              </w:rPr>
              <w:br w:type="textWrapping"/>
            </w:r>
            <w:r>
              <w:rPr>
                <w:rFonts w:hint="eastAsia"/>
                <w:color w:val="auto"/>
                <w:highlight w:val="none"/>
              </w:rPr>
              <w:t xml:space="preserve">c)在脚本创建 区域，支持可以通过单击或拖拽方式快速创建脚本。支持上传shell以及python脚本。 </w:t>
            </w:r>
            <w:r>
              <w:rPr>
                <w:rFonts w:hint="eastAsia"/>
                <w:color w:val="auto"/>
                <w:highlight w:val="none"/>
              </w:rPr>
              <w:br w:type="textWrapping"/>
            </w:r>
            <w:r>
              <w:rPr>
                <w:rFonts w:hint="eastAsia"/>
                <w:color w:val="auto"/>
                <w:highlight w:val="none"/>
              </w:rPr>
              <w:t>d)在最近7天运行情况 区域，查看最近7天任务的运行趋势。</w:t>
            </w:r>
            <w:r>
              <w:rPr>
                <w:rFonts w:hint="eastAsia"/>
                <w:color w:val="auto"/>
                <w:highlight w:val="none"/>
              </w:rPr>
              <w:br w:type="textWrapping"/>
            </w:r>
            <w:r>
              <w:rPr>
                <w:rFonts w:hint="eastAsia"/>
                <w:color w:val="auto"/>
                <w:highlight w:val="none"/>
              </w:rPr>
              <w:t xml:space="preserve">e)支持修改任务的灰度策略即调整机器的执行批次。 </w:t>
            </w:r>
            <w:r>
              <w:rPr>
                <w:rFonts w:hint="eastAsia"/>
                <w:color w:val="auto"/>
                <w:highlight w:val="none"/>
              </w:rPr>
              <w:br w:type="textWrapping"/>
            </w:r>
            <w:r>
              <w:rPr>
                <w:rFonts w:hint="eastAsia"/>
                <w:color w:val="auto"/>
                <w:highlight w:val="none"/>
              </w:rPr>
              <w:t xml:space="preserve">f)支持删除不再使用的任务 </w:t>
            </w:r>
            <w:r>
              <w:rPr>
                <w:rFonts w:hint="eastAsia"/>
                <w:color w:val="auto"/>
                <w:highlight w:val="none"/>
              </w:rPr>
              <w:br w:type="textWrapping"/>
            </w:r>
            <w:r>
              <w:rPr>
                <w:rFonts w:hint="eastAsia"/>
                <w:color w:val="auto"/>
                <w:highlight w:val="none"/>
              </w:rPr>
              <w:t xml:space="preserve">g)支持手动执行方式，在任务创建成功后，按照手动启动该任务。 </w:t>
            </w:r>
            <w:r>
              <w:rPr>
                <w:rFonts w:hint="eastAsia"/>
                <w:color w:val="auto"/>
                <w:highlight w:val="none"/>
              </w:rPr>
              <w:br w:type="textWrapping"/>
            </w:r>
            <w:r>
              <w:rPr>
                <w:rFonts w:hint="eastAsia"/>
                <w:color w:val="auto"/>
                <w:highlight w:val="none"/>
              </w:rPr>
              <w:t xml:space="preserve">h)支持当任务中存在断点并运行到断点时，任务将暂停等待人工确认，只有人工确认后任务才能继续执行。 </w:t>
            </w:r>
            <w:r>
              <w:rPr>
                <w:rFonts w:hint="eastAsia"/>
                <w:color w:val="auto"/>
                <w:highlight w:val="none"/>
              </w:rPr>
              <w:br w:type="textWrapping"/>
            </w:r>
            <w:r>
              <w:rPr>
                <w:rFonts w:hint="eastAsia"/>
                <w:color w:val="auto"/>
                <w:highlight w:val="none"/>
              </w:rPr>
              <w:t>i)支持查看任务的执行情况。</w:t>
            </w:r>
            <w:r>
              <w:rPr>
                <w:rFonts w:hint="eastAsia"/>
                <w:color w:val="auto"/>
                <w:highlight w:val="none"/>
              </w:rPr>
              <w:br w:type="textWrapping"/>
            </w:r>
            <w:r>
              <w:rPr>
                <w:rFonts w:hint="eastAsia"/>
                <w:color w:val="auto"/>
                <w:highlight w:val="none"/>
              </w:rPr>
              <w:t>（6）告警管理：</w:t>
            </w:r>
            <w:r>
              <w:rPr>
                <w:rFonts w:hint="eastAsia"/>
                <w:color w:val="auto"/>
                <w:highlight w:val="none"/>
              </w:rPr>
              <w:br w:type="textWrapping"/>
            </w:r>
            <w:r>
              <w:rPr>
                <w:rFonts w:hint="eastAsia"/>
                <w:color w:val="auto"/>
                <w:highlight w:val="none"/>
              </w:rPr>
              <w:t xml:space="preserve">a)支持导出历史告警列表。 </w:t>
            </w:r>
            <w:r>
              <w:rPr>
                <w:rFonts w:hint="eastAsia"/>
                <w:color w:val="auto"/>
                <w:highlight w:val="none"/>
              </w:rPr>
              <w:br w:type="textWrapping"/>
            </w:r>
            <w:r>
              <w:rPr>
                <w:rFonts w:hint="eastAsia"/>
                <w:color w:val="auto"/>
                <w:highlight w:val="none"/>
              </w:rPr>
              <w:t>b)支持查看告警源详情。如告警说明、参考信息、影响范围及处理步骤等</w:t>
            </w:r>
            <w:r>
              <w:rPr>
                <w:rFonts w:hint="eastAsia"/>
                <w:color w:val="auto"/>
                <w:highlight w:val="none"/>
              </w:rPr>
              <w:br w:type="textWrapping"/>
            </w:r>
            <w:r>
              <w:rPr>
                <w:rFonts w:hint="eastAsia"/>
                <w:color w:val="auto"/>
                <w:highlight w:val="none"/>
              </w:rPr>
              <w:t>c)支持根据监控项类型、产品、服务、等级、状态、开始日期、结束日期及过滤内容来进行过滤查询</w:t>
            </w:r>
            <w:r>
              <w:rPr>
                <w:rFonts w:hint="eastAsia"/>
                <w:color w:val="auto"/>
                <w:highlight w:val="none"/>
              </w:rPr>
              <w:br w:type="textWrapping"/>
            </w:r>
            <w:r>
              <w:rPr>
                <w:rFonts w:hint="eastAsia"/>
                <w:color w:val="auto"/>
                <w:highlight w:val="none"/>
              </w:rPr>
              <w:t xml:space="preserve">d)支持告警处理（如 处理、处理完成、事件跟踪、上报ITIL等） </w:t>
            </w:r>
            <w:r>
              <w:rPr>
                <w:rFonts w:hint="eastAsia"/>
                <w:color w:val="auto"/>
                <w:highlight w:val="none"/>
              </w:rPr>
              <w:br w:type="textWrapping"/>
            </w:r>
            <w:r>
              <w:rPr>
                <w:rFonts w:hint="eastAsia"/>
                <w:color w:val="auto"/>
                <w:highlight w:val="none"/>
              </w:rPr>
              <w:t>e)支持告警屏蔽，在告警屏蔽的添加页面，配置需要屏蔽的告警筛选项。</w:t>
            </w:r>
            <w:r>
              <w:rPr>
                <w:rFonts w:hint="eastAsia"/>
                <w:color w:val="auto"/>
                <w:highlight w:val="none"/>
              </w:rPr>
              <w:br w:type="textWrapping"/>
            </w:r>
            <w:r>
              <w:rPr>
                <w:rFonts w:hint="eastAsia"/>
                <w:color w:val="auto"/>
                <w:highlight w:val="none"/>
              </w:rPr>
              <w:t xml:space="preserve">f)支持为已屏蔽的告警解除屏蔽。 </w:t>
            </w:r>
            <w:r>
              <w:rPr>
                <w:rFonts w:hint="eastAsia"/>
                <w:color w:val="auto"/>
                <w:highlight w:val="none"/>
              </w:rPr>
              <w:br w:type="textWrapping"/>
            </w:r>
            <w:r>
              <w:rPr>
                <w:rFonts w:hint="eastAsia"/>
                <w:color w:val="auto"/>
                <w:highlight w:val="none"/>
              </w:rPr>
              <w:t>g)支持搜索关键字查询，如集群、产品、服务、等级、状态、监控项名称等，单击查询，可查询到相应的告警事件。单击各色块可跳转至对应的告警事件页面。</w:t>
            </w:r>
            <w:r>
              <w:rPr>
                <w:rFonts w:hint="eastAsia"/>
                <w:color w:val="auto"/>
                <w:highlight w:val="none"/>
              </w:rPr>
              <w:br w:type="textWrapping"/>
            </w:r>
            <w:r>
              <w:rPr>
                <w:rFonts w:hint="eastAsia"/>
                <w:color w:val="auto"/>
                <w:highlight w:val="none"/>
              </w:rPr>
              <w:t>h)可以根据业务需要，查询、添加、修改以及删除告警联系人和联系人组。</w:t>
            </w:r>
            <w:r>
              <w:rPr>
                <w:rFonts w:hint="eastAsia"/>
                <w:color w:val="auto"/>
                <w:highlight w:val="none"/>
              </w:rPr>
              <w:br w:type="textWrapping"/>
            </w:r>
            <w:r>
              <w:rPr>
                <w:rFonts w:hint="eastAsia"/>
                <w:color w:val="auto"/>
                <w:highlight w:val="none"/>
              </w:rPr>
              <w:t>（7）库存管理：</w:t>
            </w:r>
            <w:r>
              <w:rPr>
                <w:rFonts w:hint="eastAsia"/>
                <w:color w:val="auto"/>
                <w:highlight w:val="none"/>
              </w:rPr>
              <w:br w:type="textWrapping"/>
            </w:r>
            <w:r>
              <w:rPr>
                <w:rFonts w:hint="eastAsia"/>
                <w:color w:val="auto"/>
                <w:highlight w:val="none"/>
              </w:rPr>
              <w:t>a)支持云主机库存情况查看，云主机库存详情中提供按区域、实例类型和日期分页查询某类实例在某个日期的库存情况。</w:t>
            </w:r>
            <w:r>
              <w:rPr>
                <w:rFonts w:hint="eastAsia"/>
                <w:color w:val="auto"/>
                <w:highlight w:val="none"/>
              </w:rPr>
              <w:br w:type="textWrapping"/>
            </w:r>
            <w:r>
              <w:rPr>
                <w:rFonts w:hint="eastAsia"/>
                <w:color w:val="auto"/>
                <w:highlight w:val="none"/>
              </w:rPr>
              <w:t xml:space="preserve">b)支持块存储、NAS、对象存储、表格存储库存情况查看：包括历史可用库存（TB）显示近五天存储的库存可用情况；当前已用库存（TB）显示当前存储已用库存和百分比；存储库存详情中可按日期分页查询存储库存详情。 </w:t>
            </w:r>
            <w:r>
              <w:rPr>
                <w:rFonts w:hint="eastAsia"/>
                <w:color w:val="auto"/>
                <w:highlight w:val="none"/>
              </w:rPr>
              <w:br w:type="textWrapping"/>
            </w:r>
            <w:r>
              <w:rPr>
                <w:rFonts w:hint="eastAsia"/>
                <w:color w:val="auto"/>
                <w:highlight w:val="none"/>
              </w:rPr>
              <w:t>c)支出RDS数据库实例库存：包括近期库存显示不同类型的RDS近五天内库存情况。其中，不同的颜色代表不同RDS类型；库存详情中可按引擎、日期分页查询RDS的库存详情。</w:t>
            </w:r>
            <w:r>
              <w:rPr>
                <w:rFonts w:hint="eastAsia"/>
                <w:color w:val="auto"/>
                <w:highlight w:val="none"/>
              </w:rPr>
              <w:br w:type="textWrapping"/>
            </w:r>
            <w:r>
              <w:rPr>
                <w:rFonts w:hint="eastAsia"/>
                <w:color w:val="auto"/>
                <w:highlight w:val="none"/>
              </w:rPr>
              <w:t>d)支持负载均衡服务库存情况查看。</w:t>
            </w:r>
            <w:r>
              <w:rPr>
                <w:rFonts w:hint="eastAsia"/>
                <w:color w:val="auto"/>
                <w:highlight w:val="none"/>
              </w:rPr>
              <w:br w:type="textWrapping"/>
            </w:r>
            <w:r>
              <w:rPr>
                <w:rFonts w:hint="eastAsia"/>
                <w:color w:val="auto"/>
                <w:highlight w:val="none"/>
              </w:rPr>
              <w:t>（8）系统管理：支持用户管理、用户组管理、双因素认证、角色管理、部门管理、菜单管理、云操作系统日志、操作日志。</w:t>
            </w:r>
            <w:r>
              <w:rPr>
                <w:rFonts w:hint="eastAsia"/>
                <w:color w:val="auto"/>
                <w:highlight w:val="none"/>
              </w:rPr>
              <w:br w:type="textWrapping"/>
            </w:r>
            <w:r>
              <w:rPr>
                <w:rFonts w:hint="eastAsia" w:ascii="宋体" w:hAnsi="宋体" w:cs="宋体"/>
                <w:bCs/>
                <w:color w:val="auto"/>
                <w:szCs w:val="21"/>
                <w:highlight w:val="none"/>
              </w:rPr>
              <w:t>■</w:t>
            </w:r>
            <w:r>
              <w:rPr>
                <w:rFonts w:hint="eastAsia"/>
                <w:color w:val="auto"/>
                <w:highlight w:val="none"/>
              </w:rPr>
              <w:t>（9）支持统一账号管理及角色权限管理：只需要登录到云平台运维系统中，就能实现对云平台所有的组件进行运维或者免登录跳转运维。</w:t>
            </w:r>
            <w:r>
              <w:rPr>
                <w:rFonts w:hint="eastAsia"/>
                <w:color w:val="auto"/>
                <w:highlight w:val="none"/>
              </w:rPr>
              <w:br w:type="textWrapping"/>
            </w:r>
            <w:r>
              <w:rPr>
                <w:rFonts w:hint="eastAsia"/>
                <w:color w:val="auto"/>
                <w:highlight w:val="none"/>
              </w:rPr>
              <w:t>2、集群监控</w:t>
            </w:r>
            <w:r>
              <w:rPr>
                <w:rFonts w:hint="eastAsia"/>
                <w:color w:val="auto"/>
                <w:highlight w:val="none"/>
              </w:rPr>
              <w:br w:type="textWrapping"/>
            </w:r>
            <w:r>
              <w:rPr>
                <w:rFonts w:hint="eastAsia"/>
                <w:color w:val="auto"/>
                <w:highlight w:val="none"/>
              </w:rPr>
              <w:t>集群监控负责信息的收集、监控和诊断，对集群的实时运行状态进行分析和评估。</w:t>
            </w:r>
            <w:r>
              <w:rPr>
                <w:rFonts w:hint="eastAsia"/>
                <w:color w:val="auto"/>
                <w:highlight w:val="none"/>
              </w:rPr>
              <w:br w:type="textWrapping"/>
            </w:r>
            <w:r>
              <w:rPr>
                <w:rFonts w:hint="eastAsia"/>
                <w:color w:val="auto"/>
                <w:highlight w:val="none"/>
              </w:rPr>
              <w:t>（1）提供面向医保云平台设备、资源及服务的运行监控；</w:t>
            </w:r>
            <w:r>
              <w:rPr>
                <w:rFonts w:hint="eastAsia"/>
                <w:color w:val="auto"/>
                <w:highlight w:val="none"/>
              </w:rPr>
              <w:br w:type="textWrapping"/>
            </w:r>
            <w:r>
              <w:rPr>
                <w:rFonts w:hint="eastAsia"/>
                <w:color w:val="auto"/>
                <w:highlight w:val="none"/>
              </w:rPr>
              <w:t>（2）提供数据收集功能，采集医保云平台设备、资源及服务的状态信息；</w:t>
            </w:r>
            <w:r>
              <w:rPr>
                <w:rFonts w:hint="eastAsia"/>
                <w:color w:val="auto"/>
                <w:highlight w:val="none"/>
              </w:rPr>
              <w:br w:type="textWrapping"/>
            </w:r>
            <w:r>
              <w:rPr>
                <w:rFonts w:hint="eastAsia"/>
                <w:color w:val="auto"/>
                <w:highlight w:val="none"/>
              </w:rPr>
              <w:t>（3）提供数据分析能力，对收集的日志进行聚合后进行分析，并对外提供计算结果；</w:t>
            </w:r>
            <w:r>
              <w:rPr>
                <w:rFonts w:hint="eastAsia"/>
                <w:color w:val="auto"/>
                <w:highlight w:val="none"/>
              </w:rPr>
              <w:br w:type="textWrapping"/>
            </w:r>
            <w:r>
              <w:rPr>
                <w:rFonts w:hint="eastAsia"/>
                <w:color w:val="auto"/>
                <w:highlight w:val="none"/>
              </w:rPr>
              <w:t>3、运维管理系统</w:t>
            </w:r>
            <w:r>
              <w:rPr>
                <w:rFonts w:hint="eastAsia"/>
                <w:color w:val="auto"/>
                <w:highlight w:val="none"/>
              </w:rPr>
              <w:br w:type="textWrapping"/>
            </w:r>
            <w:r>
              <w:rPr>
                <w:rFonts w:hint="eastAsia"/>
                <w:color w:val="auto"/>
                <w:highlight w:val="none"/>
              </w:rPr>
              <w:t>（1）实现运维服务台，接收医保云平台的各类使用问题请求；</w:t>
            </w:r>
            <w:r>
              <w:rPr>
                <w:rFonts w:hint="eastAsia"/>
                <w:color w:val="auto"/>
                <w:highlight w:val="none"/>
              </w:rPr>
              <w:br w:type="textWrapping"/>
            </w:r>
            <w:r>
              <w:rPr>
                <w:rFonts w:hint="eastAsia"/>
                <w:color w:val="auto"/>
                <w:highlight w:val="none"/>
              </w:rPr>
              <w:t>（2）实现对医保云平台的配置管理功能；</w:t>
            </w:r>
            <w:r>
              <w:rPr>
                <w:rFonts w:hint="eastAsia"/>
                <w:color w:val="auto"/>
                <w:highlight w:val="none"/>
              </w:rPr>
              <w:br w:type="textWrapping"/>
            </w:r>
            <w:r>
              <w:rPr>
                <w:rFonts w:hint="eastAsia"/>
                <w:color w:val="auto"/>
                <w:highlight w:val="none"/>
              </w:rPr>
              <w:t>（3）实现对医保云平台物理设备的监控、检测的可视化展现；</w:t>
            </w:r>
            <w:r>
              <w:rPr>
                <w:rFonts w:hint="eastAsia"/>
                <w:color w:val="auto"/>
                <w:highlight w:val="none"/>
              </w:rPr>
              <w:br w:type="textWrapping"/>
            </w:r>
            <w:r>
              <w:rPr>
                <w:rFonts w:hint="eastAsia"/>
                <w:color w:val="auto"/>
                <w:highlight w:val="none"/>
              </w:rPr>
              <w:t>（4）实现对医保云平台操作系统的监控、检测的可视化展现；</w:t>
            </w:r>
            <w:r>
              <w:rPr>
                <w:rFonts w:hint="eastAsia"/>
                <w:color w:val="auto"/>
                <w:highlight w:val="none"/>
              </w:rPr>
              <w:br w:type="textWrapping"/>
            </w:r>
            <w:r>
              <w:rPr>
                <w:rFonts w:hint="eastAsia"/>
                <w:color w:val="auto"/>
                <w:highlight w:val="none"/>
              </w:rPr>
              <w:t>（5）实现对医保云平台云服务的监控、检测的可视化展现；</w:t>
            </w:r>
            <w:r>
              <w:rPr>
                <w:rFonts w:hint="eastAsia"/>
                <w:color w:val="auto"/>
                <w:highlight w:val="none"/>
              </w:rPr>
              <w:br w:type="textWrapping"/>
            </w:r>
            <w:r>
              <w:rPr>
                <w:rFonts w:hint="eastAsia"/>
                <w:color w:val="auto"/>
                <w:highlight w:val="none"/>
              </w:rPr>
              <w:t>（6）实现对医保云平台使用率及分配情况的可视化展现；</w:t>
            </w:r>
            <w:r>
              <w:rPr>
                <w:rFonts w:hint="eastAsia"/>
                <w:color w:val="auto"/>
                <w:highlight w:val="none"/>
              </w:rPr>
              <w:br w:type="textWrapping"/>
            </w:r>
            <w:r>
              <w:rPr>
                <w:rFonts w:hint="eastAsia"/>
                <w:color w:val="auto"/>
                <w:highlight w:val="none"/>
              </w:rPr>
              <w:t>（7）实现对集群发布部署、扩容缩容等变更管理；</w:t>
            </w:r>
            <w:r>
              <w:rPr>
                <w:rFonts w:hint="eastAsia"/>
                <w:color w:val="auto"/>
                <w:highlight w:val="none"/>
              </w:rPr>
              <w:br w:type="textWrapping"/>
            </w:r>
            <w:r>
              <w:rPr>
                <w:rFonts w:hint="eastAsia"/>
                <w:color w:val="auto"/>
                <w:highlight w:val="none"/>
              </w:rPr>
              <w:t>（8）支持医保云平台安全的事件管理。</w:t>
            </w:r>
            <w:r>
              <w:rPr>
                <w:rFonts w:hint="eastAsia"/>
                <w:color w:val="auto"/>
                <w:highlight w:val="none"/>
              </w:rPr>
              <w:br w:type="textWrapping"/>
            </w:r>
            <w:r>
              <w:rPr>
                <w:rFonts w:hint="eastAsia"/>
                <w:color w:val="auto"/>
                <w:highlight w:val="none"/>
              </w:rPr>
              <w:t>4、自助服务门户</w:t>
            </w:r>
            <w:r>
              <w:rPr>
                <w:rFonts w:hint="eastAsia"/>
                <w:color w:val="auto"/>
                <w:highlight w:val="none"/>
              </w:rPr>
              <w:br w:type="textWrapping"/>
            </w:r>
            <w:r>
              <w:rPr>
                <w:rFonts w:hint="eastAsia"/>
                <w:color w:val="auto"/>
                <w:highlight w:val="none"/>
              </w:rPr>
              <w:t>（1）提供图形化管理界面；</w:t>
            </w:r>
            <w:r>
              <w:rPr>
                <w:rFonts w:hint="eastAsia"/>
                <w:color w:val="auto"/>
                <w:highlight w:val="none"/>
              </w:rPr>
              <w:br w:type="textWrapping"/>
            </w:r>
            <w:r>
              <w:rPr>
                <w:rFonts w:hint="eastAsia"/>
                <w:color w:val="auto"/>
                <w:highlight w:val="none"/>
              </w:rPr>
              <w:t>（2）提供面向云服务资源的管理控制台，允许操作人员自助开通、释放云服务资源；</w:t>
            </w:r>
            <w:r>
              <w:rPr>
                <w:rFonts w:hint="eastAsia"/>
                <w:color w:val="auto"/>
                <w:highlight w:val="none"/>
              </w:rPr>
              <w:br w:type="textWrapping"/>
            </w:r>
            <w:r>
              <w:rPr>
                <w:rFonts w:hint="eastAsia"/>
                <w:color w:val="auto"/>
                <w:highlight w:val="none"/>
              </w:rPr>
              <w:t>（3）提供面向大数据计算服务的管理控制台，允许操作人员自助调度及编排大数据计算任务；</w:t>
            </w:r>
            <w:r>
              <w:rPr>
                <w:rFonts w:hint="eastAsia"/>
                <w:color w:val="auto"/>
                <w:highlight w:val="none"/>
              </w:rPr>
              <w:br w:type="textWrapping"/>
            </w:r>
            <w:r>
              <w:rPr>
                <w:rFonts w:hint="eastAsia"/>
                <w:color w:val="auto"/>
                <w:highlight w:val="none"/>
              </w:rPr>
              <w:t>（4）支持双因子认证方式增加安全性。</w:t>
            </w:r>
            <w:r>
              <w:rPr>
                <w:rFonts w:hint="eastAsia"/>
                <w:color w:val="auto"/>
                <w:highlight w:val="none"/>
              </w:rPr>
              <w:br w:type="textWrapping"/>
            </w:r>
            <w:r>
              <w:rPr>
                <w:rFonts w:hint="eastAsia"/>
                <w:color w:val="auto"/>
                <w:highlight w:val="none"/>
              </w:rPr>
              <w:t>（5）系统管理：支持用户管理、用户组管理、组织管理和角色管理。</w:t>
            </w:r>
            <w:r>
              <w:rPr>
                <w:rFonts w:hint="eastAsia"/>
                <w:color w:val="auto"/>
                <w:highlight w:val="none"/>
              </w:rPr>
              <w:br w:type="textWrapping"/>
            </w:r>
            <w:r>
              <w:rPr>
                <w:rFonts w:hint="eastAsia"/>
                <w:color w:val="auto"/>
                <w:highlight w:val="none"/>
              </w:rPr>
              <w:t>（6）资源池配置：支持将云服务资源映射到具体的组织，实现只有映射配置了的组织，才能看到并使用相应的云服务资源。</w:t>
            </w:r>
            <w:r>
              <w:rPr>
                <w:rFonts w:hint="eastAsia"/>
                <w:color w:val="auto"/>
                <w:highlight w:val="none"/>
              </w:rPr>
              <w:br w:type="textWrapping"/>
            </w:r>
            <w:r>
              <w:rPr>
                <w:rFonts w:hint="eastAsia"/>
                <w:color w:val="auto"/>
                <w:highlight w:val="none"/>
              </w:rPr>
              <w:t>（7）规格管理：支持云服务资源的可用规格的录入/禁用/启用/查看管理。</w:t>
            </w:r>
            <w:r>
              <w:rPr>
                <w:rFonts w:hint="eastAsia"/>
                <w:color w:val="auto"/>
                <w:highlight w:val="none"/>
              </w:rPr>
              <w:br w:type="textWrapping"/>
            </w:r>
            <w:r>
              <w:rPr>
                <w:rFonts w:hint="eastAsia"/>
                <w:color w:val="auto"/>
                <w:highlight w:val="none"/>
              </w:rPr>
              <w:t>（8）计量管理：支持按时间/按组织维度计量、计量报表查询、计量报表导出。</w:t>
            </w:r>
            <w:r>
              <w:rPr>
                <w:rFonts w:hint="eastAsia"/>
                <w:color w:val="auto"/>
                <w:highlight w:val="none"/>
              </w:rPr>
              <w:br w:type="textWrapping"/>
            </w:r>
            <w:r>
              <w:rPr>
                <w:rFonts w:hint="eastAsia"/>
                <w:color w:val="auto"/>
                <w:highlight w:val="none"/>
              </w:rPr>
              <w:t>（9）配额管理：支持配置不同组织可以使用的云产品的配额总量；配额管理支持新增、编辑、删除、查看告警规则；当配额触发告警规则后，生成配额告警信息。</w:t>
            </w:r>
            <w:r>
              <w:rPr>
                <w:rFonts w:hint="eastAsia"/>
                <w:color w:val="auto"/>
                <w:highlight w:val="none"/>
              </w:rPr>
              <w:br w:type="textWrapping"/>
            </w:r>
            <w:r>
              <w:rPr>
                <w:rFonts w:hint="eastAsia"/>
                <w:color w:val="auto"/>
                <w:highlight w:val="none"/>
              </w:rPr>
              <w:t>（10）菜单管理：支持创建、自定义、删除、启用、删除自定义菜单功能。</w:t>
            </w:r>
            <w:r>
              <w:rPr>
                <w:rFonts w:hint="eastAsia"/>
                <w:color w:val="auto"/>
                <w:highlight w:val="none"/>
              </w:rPr>
              <w:br w:type="textWrapping"/>
            </w:r>
            <w:r>
              <w:rPr>
                <w:rFonts w:hint="eastAsia"/>
                <w:color w:val="auto"/>
                <w:highlight w:val="none"/>
              </w:rPr>
              <w:t>5、容灾管理平台</w:t>
            </w:r>
            <w:r>
              <w:rPr>
                <w:rFonts w:hint="eastAsia"/>
                <w:color w:val="auto"/>
                <w:highlight w:val="none"/>
              </w:rPr>
              <w:br w:type="textWrapping"/>
            </w:r>
            <w:r>
              <w:rPr>
                <w:rFonts w:hint="eastAsia"/>
                <w:color w:val="auto"/>
                <w:highlight w:val="none"/>
              </w:rPr>
              <w:t>（1）提供可视化同城容灾业务连续性管理平台。</w:t>
            </w:r>
            <w:r>
              <w:rPr>
                <w:rFonts w:hint="eastAsia"/>
                <w:color w:val="auto"/>
                <w:highlight w:val="none"/>
              </w:rPr>
              <w:br w:type="textWrapping"/>
            </w:r>
            <w:r>
              <w:rPr>
                <w:rFonts w:hint="eastAsia"/>
                <w:color w:val="auto"/>
                <w:highlight w:val="none"/>
              </w:rPr>
              <w:t>（2）容灾账号管理：同城容灾提供统一的账号体系，统一的管理平台。</w:t>
            </w:r>
            <w:r>
              <w:rPr>
                <w:rFonts w:hint="eastAsia"/>
                <w:color w:val="auto"/>
                <w:highlight w:val="none"/>
              </w:rPr>
              <w:br w:type="textWrapping"/>
            </w:r>
            <w:r>
              <w:rPr>
                <w:rFonts w:hint="eastAsia"/>
                <w:color w:val="auto"/>
                <w:highlight w:val="none"/>
              </w:rPr>
              <w:t>（3）支持容灾产品：平台支持全业务的容灾能力，包含云平台底座组件管控、虚拟网络、对象存储、数据库、大数据、中间件等产品的容灾和切换能力；</w:t>
            </w:r>
            <w:r>
              <w:rPr>
                <w:rFonts w:hint="eastAsia"/>
                <w:color w:val="auto"/>
                <w:highlight w:val="none"/>
              </w:rPr>
              <w:br w:type="textWrapping"/>
            </w:r>
            <w:r>
              <w:rPr>
                <w:rFonts w:hint="eastAsia"/>
                <w:color w:val="auto"/>
                <w:highlight w:val="none"/>
              </w:rPr>
              <w:t>a)数据库容灾支持MySQL/PostgreSQL/Redis/SQL Server和分布式数据库等多种数据库引擎；</w:t>
            </w:r>
            <w:r>
              <w:rPr>
                <w:rFonts w:hint="eastAsia"/>
                <w:color w:val="auto"/>
                <w:highlight w:val="none"/>
              </w:rPr>
              <w:br w:type="textWrapping"/>
            </w:r>
            <w:r>
              <w:rPr>
                <w:rFonts w:hint="eastAsia"/>
                <w:color w:val="auto"/>
                <w:highlight w:val="none"/>
              </w:rPr>
              <w:t>b)大数据容灾支持离线计算和实时计算引擎；</w:t>
            </w:r>
            <w:r>
              <w:rPr>
                <w:rFonts w:hint="eastAsia"/>
                <w:color w:val="auto"/>
                <w:highlight w:val="none"/>
              </w:rPr>
              <w:br w:type="textWrapping"/>
            </w:r>
            <w:r>
              <w:rPr>
                <w:rFonts w:hint="eastAsia"/>
                <w:color w:val="auto"/>
                <w:highlight w:val="none"/>
              </w:rPr>
              <w:t>c)中间件容灾支持分布式微服务框架、消息队列、应用实时监控、云服务总线等PaaS产品；</w:t>
            </w:r>
            <w:r>
              <w:rPr>
                <w:rFonts w:hint="eastAsia"/>
                <w:color w:val="auto"/>
                <w:highlight w:val="none"/>
              </w:rPr>
              <w:br w:type="textWrapping"/>
            </w:r>
            <w:r>
              <w:rPr>
                <w:rFonts w:hint="eastAsia"/>
                <w:color w:val="auto"/>
                <w:highlight w:val="none"/>
              </w:rPr>
              <w:t>（4）平台监控：支持RPO监控，包括对象存储和关系型数据库的监控数据；支持产品监控，包括产品在主备机房的状态、主机房位置、更新时间；支持大屏监控，包括RPO数据、演练和恢复记录、演练用时、历史成功率和事件。</w:t>
            </w:r>
            <w:r>
              <w:rPr>
                <w:rFonts w:hint="eastAsia"/>
                <w:color w:val="auto"/>
                <w:highlight w:val="none"/>
              </w:rPr>
              <w:br w:type="textWrapping"/>
            </w:r>
            <w:r>
              <w:rPr>
                <w:rFonts w:hint="eastAsia"/>
                <w:color w:val="auto"/>
                <w:highlight w:val="none"/>
              </w:rPr>
              <w:t>（5）应用侧透明：当主机房故障发生云产品实例级别或云产品集群级别故障时对应用暴露的服务域名不变，故障切换过程对应用侧透明。整个容灾切换和切回过程无需应用系统在开发过程中做代码编码或故障切换时做运维脚本操作即可在云平台层面自动完成，以帮助大幅降低应用系统容灾化改造难度。</w:t>
            </w:r>
            <w:r>
              <w:rPr>
                <w:rFonts w:hint="eastAsia"/>
                <w:color w:val="auto"/>
                <w:highlight w:val="none"/>
              </w:rPr>
              <w:br w:type="textWrapping"/>
            </w:r>
            <w:r>
              <w:rPr>
                <w:rFonts w:hint="eastAsia"/>
                <w:color w:val="auto"/>
                <w:highlight w:val="none"/>
              </w:rPr>
              <w:t>（6）在线演练：支持自定义演练，创建演练计划，可在一个演练计划中包含多个云产品级；支持演练切换和回切一键式操作，支持演练详情查看，包括演练计划、切换用时和历史记录；支持演练记录查看，包括操作用户、类型、执行结果和切换用时。</w:t>
            </w:r>
            <w:r>
              <w:rPr>
                <w:rFonts w:hint="eastAsia"/>
                <w:color w:val="auto"/>
                <w:highlight w:val="none"/>
              </w:rPr>
              <w:br w:type="textWrapping"/>
            </w:r>
            <w:r>
              <w:rPr>
                <w:rFonts w:hint="eastAsia"/>
                <w:color w:val="auto"/>
                <w:highlight w:val="none"/>
              </w:rPr>
              <w:t>（7）故障恢复：支持场景化的故障恢复，包括掉电故障恢复、孤岛故障恢复、脑裂故障恢复、单产品故障恢复，支持一键式操作。支持服务切回，包括掉电故障后服务切回、孤岛故障后服务切回、单产品故障后服务切回，支持一键式操作。支持恢复记录查看，包括操作用户、类型、执行结果和RTO。</w:t>
            </w:r>
            <w:r>
              <w:rPr>
                <w:rFonts w:hint="eastAsia"/>
                <w:color w:val="auto"/>
                <w:highlight w:val="none"/>
              </w:rPr>
              <w:br w:type="textWrapping"/>
            </w:r>
            <w:r>
              <w:rPr>
                <w:rFonts w:hint="eastAsia"/>
                <w:color w:val="auto"/>
                <w:highlight w:val="none"/>
              </w:rPr>
              <w:t>（8）真实演练：用于真实故障的真实演练场景，如机房断电和断网。包括操作审批、双机房服务器和交换机环境检查、故障注入、机房复原。</w:t>
            </w:r>
          </w:p>
          <w:p>
            <w:pPr>
              <w:jc w:val="left"/>
              <w:rPr>
                <w:color w:val="auto"/>
                <w:highlight w:val="none"/>
              </w:rPr>
            </w:pPr>
            <w:r>
              <w:rPr>
                <w:rFonts w:hint="eastAsia"/>
                <w:color w:val="auto"/>
                <w:highlight w:val="none"/>
              </w:rPr>
              <w:t>■（9）投标人所投容灾管理平台需为云厂商同一品牌的自研产品（非三方OEM产品，无需ISV等三方平台集成云厂商API）。</w:t>
            </w:r>
            <w:r>
              <w:rPr>
                <w:rFonts w:hint="eastAsia"/>
                <w:color w:val="auto"/>
                <w:highlight w:val="none"/>
              </w:rPr>
              <w:br w:type="textWrapping"/>
            </w:r>
            <w:r>
              <w:rPr>
                <w:rFonts w:hint="eastAsia"/>
                <w:color w:val="auto"/>
                <w:highlight w:val="none"/>
              </w:rPr>
              <w:t>▲6、确保能够与现网云平台完全兼容，整合为统一云平台（非多云纳管形式），实现统一身份认证、统一服务目录、统一组织管理、统一服务流程、统一配额、统一计量、统一资源中心、统一运维监控、统一告警监控、统一日志管理等，并且不能改变和影响医保局原有系统的功能、技术状态以及用户的使用习惯 。</w:t>
            </w:r>
          </w:p>
        </w:tc>
        <w:tc>
          <w:tcPr>
            <w:tcW w:w="351"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1套</w:t>
            </w:r>
          </w:p>
        </w:tc>
      </w:tr>
      <w:tr>
        <w:tblPrEx>
          <w:tblCellMar>
            <w:top w:w="0" w:type="dxa"/>
            <w:left w:w="0" w:type="dxa"/>
            <w:bottom w:w="0" w:type="dxa"/>
            <w:right w:w="0" w:type="dxa"/>
          </w:tblCellMar>
        </w:tblPrEx>
        <w:trPr>
          <w:trHeight w:val="360" w:hRule="atLeast"/>
        </w:trPr>
        <w:tc>
          <w:tcPr>
            <w:tcW w:w="210"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1.25</w:t>
            </w:r>
          </w:p>
        </w:tc>
        <w:tc>
          <w:tcPr>
            <w:tcW w:w="421"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负载均衡软件授权采购</w:t>
            </w:r>
          </w:p>
        </w:tc>
        <w:tc>
          <w:tcPr>
            <w:tcW w:w="4016"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▲提供永久使用授权和三年软件质保服务，质保服务内容包括软件故障解决、软件漏洞修复和软件版本更新。</w:t>
            </w:r>
            <w:r>
              <w:rPr>
                <w:rFonts w:hint="eastAsia"/>
                <w:color w:val="auto"/>
                <w:highlight w:val="none"/>
              </w:rPr>
              <w:br w:type="textWrapping"/>
            </w:r>
            <w:r>
              <w:rPr>
                <w:rFonts w:hint="eastAsia"/>
                <w:color w:val="auto"/>
                <w:highlight w:val="none"/>
              </w:rPr>
              <w:t>（1）资源弹性。支持与云主机实例联动，根据配置的伸缩规则进行弹性扩张或收缩，能够自动从负载均衡实例的后端服务器组中将云主机实例进行添加或者移除；</w:t>
            </w:r>
            <w:r>
              <w:rPr>
                <w:rFonts w:hint="eastAsia"/>
                <w:color w:val="auto"/>
                <w:highlight w:val="none"/>
              </w:rPr>
              <w:br w:type="textWrapping"/>
            </w:r>
            <w:r>
              <w:rPr>
                <w:rFonts w:hint="eastAsia"/>
                <w:color w:val="auto"/>
                <w:highlight w:val="none"/>
              </w:rPr>
              <w:t>（2）避免单点故障。四层负载均衡支持集群内节点之间的session同步，在单机故障或者升级过程中，TCP长连接无影响；</w:t>
            </w:r>
            <w:r>
              <w:rPr>
                <w:rFonts w:hint="eastAsia"/>
                <w:color w:val="auto"/>
                <w:highlight w:val="none"/>
              </w:rPr>
              <w:br w:type="textWrapping"/>
            </w:r>
            <w:r>
              <w:rPr>
                <w:rFonts w:hint="eastAsia"/>
                <w:color w:val="auto"/>
                <w:highlight w:val="none"/>
              </w:rPr>
              <w:t>（3）配置灵活，服务之间互不影响。负载均衡可以适用于不同的服务，如web访问，邮件收发，以及用户自定义的服务类型；</w:t>
            </w:r>
            <w:r>
              <w:rPr>
                <w:rFonts w:hint="eastAsia"/>
                <w:color w:val="auto"/>
                <w:highlight w:val="none"/>
              </w:rPr>
              <w:br w:type="textWrapping"/>
            </w:r>
            <w:r>
              <w:rPr>
                <w:rFonts w:hint="eastAsia"/>
                <w:color w:val="auto"/>
                <w:highlight w:val="none"/>
              </w:rPr>
              <w:t>（4）可靠性。负载均衡系统能够提高可靠性，规避单点故障；</w:t>
            </w:r>
            <w:r>
              <w:rPr>
                <w:rFonts w:hint="eastAsia"/>
                <w:color w:val="auto"/>
                <w:highlight w:val="none"/>
              </w:rPr>
              <w:br w:type="textWrapping"/>
            </w:r>
            <w:r>
              <w:rPr>
                <w:rFonts w:hint="eastAsia"/>
                <w:color w:val="auto"/>
                <w:highlight w:val="none"/>
              </w:rPr>
              <w:t>（5）用户免运维。负载均衡构架于云平台之上，可以实现用户免运维。</w:t>
            </w:r>
            <w:r>
              <w:rPr>
                <w:rFonts w:hint="eastAsia"/>
                <w:color w:val="auto"/>
                <w:highlight w:val="none"/>
              </w:rPr>
              <w:br w:type="textWrapping"/>
            </w:r>
            <w:r>
              <w:rPr>
                <w:rFonts w:hint="eastAsia"/>
                <w:color w:val="auto"/>
                <w:highlight w:val="none"/>
              </w:rPr>
              <w:t>（6）负载均衡采用集群部署，各机器之间会话同步，从而支持热升级，机器故障和集群维护对用户完全透明；支持多可用区部署，实现同城容灾；结合DNS使用支持全局负载均衡，实现跨地域容灾。</w:t>
            </w:r>
            <w:r>
              <w:rPr>
                <w:rFonts w:hint="eastAsia"/>
                <w:color w:val="auto"/>
                <w:highlight w:val="none"/>
              </w:rPr>
              <w:br w:type="textWrapping"/>
            </w:r>
            <w:r>
              <w:rPr>
                <w:rFonts w:hint="eastAsia"/>
                <w:color w:val="auto"/>
                <w:highlight w:val="none"/>
              </w:rPr>
              <w:t>（7）负载均衡支持包含TCP协议和UDP协议的四层负载均衡，支持包含HTTP协议和HTTPS协议的七层负载均衡，并针对HTTPS协议提供集中化的证书管理系统，满足用户的可靠传输、快速传输与安全传输等多样化需求。</w:t>
            </w:r>
          </w:p>
        </w:tc>
        <w:tc>
          <w:tcPr>
            <w:tcW w:w="351"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1套</w:t>
            </w:r>
          </w:p>
        </w:tc>
      </w:tr>
      <w:tr>
        <w:tblPrEx>
          <w:tblCellMar>
            <w:top w:w="0" w:type="dxa"/>
            <w:left w:w="0" w:type="dxa"/>
            <w:bottom w:w="0" w:type="dxa"/>
            <w:right w:w="0" w:type="dxa"/>
          </w:tblCellMar>
        </w:tblPrEx>
        <w:trPr>
          <w:trHeight w:val="360" w:hRule="atLeast"/>
        </w:trPr>
        <w:tc>
          <w:tcPr>
            <w:tcW w:w="210"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1.26</w:t>
            </w:r>
          </w:p>
        </w:tc>
        <w:tc>
          <w:tcPr>
            <w:tcW w:w="421"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专有网络软件授权采购</w:t>
            </w:r>
          </w:p>
        </w:tc>
        <w:tc>
          <w:tcPr>
            <w:tcW w:w="4016"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▲采购专有网络640core软件授权，提供永久使用授权和三年软件质保服务，质保服务内容包括软件故障解决、软件漏洞修复和软件版本更新。</w:t>
            </w:r>
            <w:r>
              <w:rPr>
                <w:rFonts w:hint="eastAsia"/>
                <w:color w:val="auto"/>
                <w:highlight w:val="none"/>
              </w:rPr>
              <w:br w:type="textWrapping"/>
            </w:r>
            <w:r>
              <w:rPr>
                <w:rFonts w:hint="eastAsia"/>
                <w:color w:val="auto"/>
                <w:highlight w:val="none"/>
              </w:rPr>
              <w:t>（1）基于网络虚拟化，实现二层网络隔离，并能将虚拟主机、虚拟负载均衡、虚拟数据库等云服务部署在一个虚拟私有云内，并能以一个独立的二层安全域的形式提供服务。</w:t>
            </w:r>
            <w:r>
              <w:rPr>
                <w:rFonts w:hint="eastAsia"/>
                <w:color w:val="auto"/>
                <w:highlight w:val="none"/>
              </w:rPr>
              <w:br w:type="textWrapping"/>
            </w:r>
            <w:r>
              <w:rPr>
                <w:rFonts w:hint="eastAsia"/>
                <w:color w:val="auto"/>
                <w:highlight w:val="none"/>
              </w:rPr>
              <w:t>（2）支持软件定义网络。按需配置网络设置，管理操作实时生效。</w:t>
            </w:r>
            <w:r>
              <w:rPr>
                <w:rFonts w:hint="eastAsia"/>
                <w:color w:val="auto"/>
                <w:highlight w:val="none"/>
              </w:rPr>
              <w:br w:type="textWrapping"/>
            </w:r>
            <w:r>
              <w:rPr>
                <w:rFonts w:hint="eastAsia"/>
                <w:color w:val="auto"/>
                <w:highlight w:val="none"/>
              </w:rPr>
              <w:t>（3）支持自定义虚拟交换机、虚拟路由器。</w:t>
            </w:r>
            <w:r>
              <w:rPr>
                <w:rFonts w:hint="eastAsia"/>
                <w:color w:val="auto"/>
                <w:highlight w:val="none"/>
              </w:rPr>
              <w:br w:type="textWrapping"/>
            </w:r>
            <w:r>
              <w:rPr>
                <w:rFonts w:hint="eastAsia"/>
                <w:color w:val="auto"/>
                <w:highlight w:val="none"/>
              </w:rPr>
              <w:t>（4）支持虚拟交换机能将专有网络的私有 IP 地址划分成一个或多个子网，根据需求将应用程序和其他服务部署在对应的交换机下。</w:t>
            </w:r>
            <w:r>
              <w:rPr>
                <w:rFonts w:hint="eastAsia"/>
                <w:color w:val="auto"/>
                <w:highlight w:val="none"/>
              </w:rPr>
              <w:br w:type="textWrapping"/>
            </w:r>
            <w:r>
              <w:rPr>
                <w:rFonts w:hint="eastAsia"/>
                <w:color w:val="auto"/>
                <w:highlight w:val="none"/>
              </w:rPr>
              <w:t>（5）支持根据业务需求配置虚拟路由器的路由规则，管理专有网络流量的转发路径。</w:t>
            </w:r>
            <w:r>
              <w:rPr>
                <w:rFonts w:hint="eastAsia"/>
                <w:color w:val="auto"/>
                <w:highlight w:val="none"/>
              </w:rPr>
              <w:br w:type="textWrapping"/>
            </w:r>
            <w:r>
              <w:rPr>
                <w:rFonts w:hint="eastAsia"/>
                <w:color w:val="auto"/>
                <w:highlight w:val="none"/>
              </w:rPr>
              <w:t>（6）使用安全组功能，支持将专有虚拟网络中的云服务实例划分成不同的安全域，实施逻辑隔离，能提供类似传统网络安全域划分的安全控制手段，并为每个安全域定义不同的访问控制规则。</w:t>
            </w:r>
            <w:r>
              <w:rPr>
                <w:rFonts w:hint="eastAsia"/>
                <w:color w:val="auto"/>
                <w:highlight w:val="none"/>
              </w:rPr>
              <w:br w:type="textWrapping"/>
            </w:r>
            <w:r>
              <w:rPr>
                <w:rFonts w:hint="eastAsia"/>
                <w:color w:val="auto"/>
                <w:highlight w:val="none"/>
              </w:rPr>
              <w:t>（7）采用X86/C86服务器全冗余架构，无单点故障。</w:t>
            </w:r>
            <w:r>
              <w:rPr>
                <w:rFonts w:hint="eastAsia"/>
                <w:color w:val="auto"/>
                <w:highlight w:val="none"/>
              </w:rPr>
              <w:br w:type="textWrapping"/>
            </w:r>
            <w:r>
              <w:rPr>
                <w:rFonts w:hint="eastAsia"/>
                <w:color w:val="auto"/>
                <w:highlight w:val="none"/>
              </w:rPr>
              <w:t>（8）支持在线平滑升级。</w:t>
            </w:r>
            <w:r>
              <w:rPr>
                <w:rFonts w:hint="eastAsia"/>
                <w:color w:val="auto"/>
                <w:highlight w:val="none"/>
              </w:rPr>
              <w:br w:type="textWrapping"/>
            </w:r>
            <w:r>
              <w:rPr>
                <w:rFonts w:hint="eastAsia"/>
                <w:color w:val="auto"/>
                <w:highlight w:val="none"/>
              </w:rPr>
              <w:t>（9）虚拟专有网络允许用户部署一个隔离的私有网络。在VPC内，用户可定义一个非常类似传统网络的虚拟网络拓扑，且对该虚拟网络环境拥有完全的控制权，包括定义IP地址范围等。</w:t>
            </w:r>
          </w:p>
        </w:tc>
        <w:tc>
          <w:tcPr>
            <w:tcW w:w="351"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1套</w:t>
            </w:r>
          </w:p>
        </w:tc>
      </w:tr>
      <w:tr>
        <w:tblPrEx>
          <w:tblCellMar>
            <w:top w:w="0" w:type="dxa"/>
            <w:left w:w="0" w:type="dxa"/>
            <w:bottom w:w="0" w:type="dxa"/>
            <w:right w:w="0" w:type="dxa"/>
          </w:tblCellMar>
        </w:tblPrEx>
        <w:trPr>
          <w:trHeight w:val="360" w:hRule="atLeast"/>
        </w:trPr>
        <w:tc>
          <w:tcPr>
            <w:tcW w:w="210"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1.27</w:t>
            </w:r>
          </w:p>
        </w:tc>
        <w:tc>
          <w:tcPr>
            <w:tcW w:w="421"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表格存储软件授权采购</w:t>
            </w:r>
          </w:p>
        </w:tc>
        <w:tc>
          <w:tcPr>
            <w:tcW w:w="4016"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▲采购表格存储256core软件授权，提供永久使用授权和三年软件质保服务，质保服务内容包括软件故障解决、软件漏洞修复和软件版本更新。</w:t>
            </w:r>
            <w:r>
              <w:rPr>
                <w:rFonts w:hint="eastAsia"/>
                <w:color w:val="auto"/>
                <w:highlight w:val="none"/>
              </w:rPr>
              <w:br w:type="textWrapping"/>
            </w:r>
            <w:r>
              <w:rPr>
                <w:rFonts w:hint="eastAsia"/>
                <w:color w:val="auto"/>
                <w:highlight w:val="none"/>
              </w:rPr>
              <w:t>（1）表格存储列式数据库服务提供海量结构化数据的存储和实时访问。以实例和表的形式组织数据，通过数据分片和负载均衡技术，达到规模的无缝扩展。</w:t>
            </w:r>
            <w:r>
              <w:rPr>
                <w:rFonts w:hint="eastAsia"/>
                <w:color w:val="auto"/>
                <w:highlight w:val="none"/>
              </w:rPr>
              <w:br w:type="textWrapping"/>
            </w:r>
            <w:r>
              <w:rPr>
                <w:rFonts w:hint="eastAsia"/>
                <w:color w:val="auto"/>
                <w:highlight w:val="none"/>
              </w:rPr>
              <w:t>（2）表格存储列式数据库服务通过将数据表进行分区并且将数据分区调度到不同的节点上进行服务，从而提供可扩展的能力。在单机的硬件出问题时，表格存储服务通过心跳机制快速发现有问题的节点，并且把该节点上数据分区快速迁移到健康的节点上继续服务，从而达到服务的快速恢复能力。</w:t>
            </w:r>
            <w:r>
              <w:rPr>
                <w:rFonts w:hint="eastAsia"/>
                <w:color w:val="auto"/>
                <w:highlight w:val="none"/>
              </w:rPr>
              <w:br w:type="textWrapping"/>
            </w:r>
            <w:r>
              <w:rPr>
                <w:rFonts w:hint="eastAsia"/>
                <w:color w:val="auto"/>
                <w:highlight w:val="none"/>
              </w:rPr>
              <w:t>（3）支持每个属性列级别数据多版本数据，每个版本对应一个版本号。支持配置最大版本数。</w:t>
            </w:r>
            <w:r>
              <w:rPr>
                <w:rFonts w:hint="eastAsia"/>
                <w:color w:val="auto"/>
                <w:highlight w:val="none"/>
              </w:rPr>
              <w:br w:type="textWrapping"/>
            </w:r>
            <w:r>
              <w:rPr>
                <w:rFonts w:hint="eastAsia"/>
                <w:color w:val="auto"/>
                <w:highlight w:val="none"/>
              </w:rPr>
              <w:t>（4）支持数据按照时间进行数据与多个版本的数据清理，支持宽行模型，表中属性列可以动态横向扩展。</w:t>
            </w:r>
            <w:r>
              <w:rPr>
                <w:rFonts w:hint="eastAsia"/>
                <w:color w:val="auto"/>
                <w:highlight w:val="none"/>
              </w:rPr>
              <w:br w:type="textWrapping"/>
            </w:r>
            <w:r>
              <w:rPr>
                <w:rFonts w:hint="eastAsia"/>
                <w:color w:val="auto"/>
                <w:highlight w:val="none"/>
              </w:rPr>
              <w:t>（5）能够通过接口实时的订阅更新记录。分区内数据变化保续，分区间可并行消费。</w:t>
            </w:r>
            <w:r>
              <w:rPr>
                <w:rFonts w:hint="eastAsia"/>
                <w:color w:val="auto"/>
                <w:highlight w:val="none"/>
              </w:rPr>
              <w:br w:type="textWrapping"/>
            </w:r>
            <w:r>
              <w:rPr>
                <w:rFonts w:hint="eastAsia"/>
                <w:color w:val="auto"/>
                <w:highlight w:val="none"/>
              </w:rPr>
              <w:t>（6）支持基于分区键的事务。</w:t>
            </w:r>
            <w:r>
              <w:rPr>
                <w:rFonts w:hint="eastAsia"/>
                <w:color w:val="auto"/>
                <w:highlight w:val="none"/>
              </w:rPr>
              <w:br w:type="textWrapping"/>
            </w:r>
            <w:r>
              <w:rPr>
                <w:rFonts w:hint="eastAsia"/>
                <w:color w:val="auto"/>
                <w:highlight w:val="none"/>
              </w:rPr>
              <w:t>（7）支持单列索引及组合索引。</w:t>
            </w:r>
            <w:r>
              <w:rPr>
                <w:rFonts w:hint="eastAsia"/>
                <w:color w:val="auto"/>
                <w:highlight w:val="none"/>
              </w:rPr>
              <w:br w:type="textWrapping"/>
            </w:r>
            <w:r>
              <w:rPr>
                <w:rFonts w:hint="eastAsia"/>
                <w:color w:val="auto"/>
                <w:highlight w:val="none"/>
              </w:rPr>
              <w:t>（8）支持创建、删除二级索引。</w:t>
            </w:r>
            <w:r>
              <w:rPr>
                <w:rFonts w:hint="eastAsia"/>
                <w:color w:val="auto"/>
                <w:highlight w:val="none"/>
              </w:rPr>
              <w:br w:type="textWrapping"/>
            </w:r>
            <w:r>
              <w:rPr>
                <w:rFonts w:hint="eastAsia"/>
                <w:color w:val="auto"/>
                <w:highlight w:val="none"/>
              </w:rPr>
              <w:t>（9）支持根据索引的数据进行数据查询，可以按照索引中的主键进行范围或者点查。</w:t>
            </w:r>
            <w:r>
              <w:rPr>
                <w:rFonts w:hint="eastAsia"/>
                <w:color w:val="auto"/>
                <w:highlight w:val="none"/>
              </w:rPr>
              <w:br w:type="textWrapping"/>
            </w:r>
            <w:r>
              <w:rPr>
                <w:rFonts w:hint="eastAsia"/>
                <w:color w:val="auto"/>
                <w:highlight w:val="none"/>
              </w:rPr>
              <w:t>（10）支持资源与API级别权限管理。支持IP限制、HTTPS、MFA（多因素认证）、访问时间限制等多种鉴权条件。支持临时授权访问。</w:t>
            </w:r>
            <w:r>
              <w:rPr>
                <w:rFonts w:hint="eastAsia"/>
                <w:color w:val="auto"/>
                <w:highlight w:val="none"/>
              </w:rPr>
              <w:br w:type="textWrapping"/>
            </w:r>
            <w:r>
              <w:rPr>
                <w:rFonts w:hint="eastAsia"/>
                <w:color w:val="auto"/>
                <w:highlight w:val="none"/>
              </w:rPr>
              <w:t>（11）支持同城双机房容灾，数据异步复制，一键切换。</w:t>
            </w:r>
          </w:p>
        </w:tc>
        <w:tc>
          <w:tcPr>
            <w:tcW w:w="351"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 xml:space="preserve">  1套</w:t>
            </w:r>
          </w:p>
        </w:tc>
      </w:tr>
    </w:tbl>
    <w:p>
      <w:pPr>
        <w:jc w:val="left"/>
        <w:rPr>
          <w:color w:val="auto"/>
          <w:highlight w:val="none"/>
        </w:rPr>
      </w:pPr>
    </w:p>
    <w:p>
      <w:pPr>
        <w:pStyle w:val="8"/>
        <w:jc w:val="left"/>
        <w:rPr>
          <w:color w:val="auto"/>
          <w:highlight w:val="none"/>
        </w:rPr>
      </w:pPr>
      <w:r>
        <w:rPr>
          <w:rFonts w:hint="eastAsia"/>
          <w:color w:val="auto"/>
          <w:highlight w:val="none"/>
        </w:rPr>
        <w:t xml:space="preserve">（2） </w:t>
      </w:r>
      <w:r>
        <w:rPr>
          <w:rFonts w:hint="eastAsia"/>
          <w:bCs/>
          <w:color w:val="auto"/>
          <w:highlight w:val="none"/>
        </w:rPr>
        <w:t>数据专区建设</w:t>
      </w:r>
    </w:p>
    <w:tbl>
      <w:tblPr>
        <w:tblStyle w:val="52"/>
        <w:tblW w:w="5095" w:type="pct"/>
        <w:tblInd w:w="0" w:type="dxa"/>
        <w:tblLayout w:type="autofit"/>
        <w:tblCellMar>
          <w:top w:w="0" w:type="dxa"/>
          <w:left w:w="0" w:type="dxa"/>
          <w:bottom w:w="0" w:type="dxa"/>
          <w:right w:w="0" w:type="dxa"/>
        </w:tblCellMar>
      </w:tblPr>
      <w:tblGrid>
        <w:gridCol w:w="454"/>
        <w:gridCol w:w="972"/>
        <w:gridCol w:w="7704"/>
        <w:gridCol w:w="491"/>
      </w:tblGrid>
      <w:tr>
        <w:tblPrEx>
          <w:tblCellMar>
            <w:top w:w="0" w:type="dxa"/>
            <w:left w:w="0" w:type="dxa"/>
            <w:bottom w:w="0" w:type="dxa"/>
            <w:right w:w="0" w:type="dxa"/>
          </w:tblCellMar>
        </w:tblPrEx>
        <w:trPr>
          <w:trHeight w:val="363" w:hRule="atLeast"/>
          <w:tblHeader/>
        </w:trPr>
        <w:tc>
          <w:tcPr>
            <w:tcW w:w="236"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b/>
                <w:color w:val="auto"/>
                <w:highlight w:val="none"/>
              </w:rPr>
            </w:pPr>
            <w:r>
              <w:rPr>
                <w:rFonts w:hint="eastAsia"/>
                <w:b/>
                <w:color w:val="auto"/>
                <w:highlight w:val="none"/>
              </w:rPr>
              <w:t>序号</w:t>
            </w:r>
          </w:p>
        </w:tc>
        <w:tc>
          <w:tcPr>
            <w:tcW w:w="505"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b/>
                <w:color w:val="auto"/>
                <w:highlight w:val="none"/>
              </w:rPr>
            </w:pPr>
            <w:r>
              <w:rPr>
                <w:rFonts w:hint="eastAsia"/>
                <w:b/>
                <w:color w:val="auto"/>
                <w:highlight w:val="none"/>
              </w:rPr>
              <w:t>软件名称</w:t>
            </w:r>
          </w:p>
        </w:tc>
        <w:tc>
          <w:tcPr>
            <w:tcW w:w="4004"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b/>
                <w:color w:val="auto"/>
                <w:highlight w:val="none"/>
              </w:rPr>
            </w:pPr>
            <w:r>
              <w:rPr>
                <w:rFonts w:hint="eastAsia"/>
                <w:b/>
                <w:color w:val="auto"/>
                <w:highlight w:val="none"/>
              </w:rPr>
              <w:t>性能参数</w:t>
            </w:r>
          </w:p>
        </w:tc>
        <w:tc>
          <w:tcPr>
            <w:tcW w:w="255"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b/>
                <w:color w:val="auto"/>
                <w:highlight w:val="none"/>
              </w:rPr>
            </w:pPr>
            <w:r>
              <w:rPr>
                <w:rFonts w:hint="eastAsia"/>
                <w:b/>
                <w:color w:val="auto"/>
                <w:highlight w:val="none"/>
              </w:rPr>
              <w:t>数量</w:t>
            </w:r>
          </w:p>
        </w:tc>
      </w:tr>
      <w:tr>
        <w:tblPrEx>
          <w:tblCellMar>
            <w:top w:w="0" w:type="dxa"/>
            <w:left w:w="0" w:type="dxa"/>
            <w:bottom w:w="0" w:type="dxa"/>
            <w:right w:w="0" w:type="dxa"/>
          </w:tblCellMar>
        </w:tblPrEx>
        <w:trPr>
          <w:trHeight w:val="360" w:hRule="atLeast"/>
        </w:trPr>
        <w:tc>
          <w:tcPr>
            <w:tcW w:w="236"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b/>
                <w:color w:val="auto"/>
                <w:highlight w:val="none"/>
              </w:rPr>
            </w:pPr>
            <w:r>
              <w:rPr>
                <w:rFonts w:hint="eastAsia"/>
                <w:b/>
                <w:color w:val="auto"/>
                <w:highlight w:val="none"/>
              </w:rPr>
              <w:t>1</w:t>
            </w:r>
          </w:p>
        </w:tc>
        <w:tc>
          <w:tcPr>
            <w:tcW w:w="4509" w:type="pct"/>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b/>
                <w:color w:val="auto"/>
                <w:highlight w:val="none"/>
              </w:rPr>
            </w:pPr>
            <w:r>
              <w:rPr>
                <w:rFonts w:hint="eastAsia"/>
                <w:b/>
                <w:color w:val="auto"/>
                <w:highlight w:val="none"/>
              </w:rPr>
              <w:t>数据专区建设</w:t>
            </w:r>
          </w:p>
        </w:tc>
        <w:tc>
          <w:tcPr>
            <w:tcW w:w="255"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b/>
                <w:color w:val="auto"/>
                <w:highlight w:val="none"/>
              </w:rPr>
            </w:pPr>
          </w:p>
        </w:tc>
      </w:tr>
      <w:tr>
        <w:tblPrEx>
          <w:tblCellMar>
            <w:top w:w="0" w:type="dxa"/>
            <w:left w:w="0" w:type="dxa"/>
            <w:bottom w:w="0" w:type="dxa"/>
            <w:right w:w="0" w:type="dxa"/>
          </w:tblCellMar>
        </w:tblPrEx>
        <w:trPr>
          <w:trHeight w:val="360" w:hRule="atLeast"/>
        </w:trPr>
        <w:tc>
          <w:tcPr>
            <w:tcW w:w="236"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1.1</w:t>
            </w:r>
          </w:p>
        </w:tc>
        <w:tc>
          <w:tcPr>
            <w:tcW w:w="505"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大数据计算软件授权采购</w:t>
            </w:r>
          </w:p>
        </w:tc>
        <w:tc>
          <w:tcPr>
            <w:tcW w:w="4004"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▲采购离线大数据计算480core软件授权，含跨集群查询、跨域数据复制，跨集群调度，跨域管理能力，提供永久使用授权和三年软件质保服务，质保服务内容包括软件故障解决、软件漏洞修复和软件版本更新。</w:t>
            </w:r>
            <w:r>
              <w:rPr>
                <w:rFonts w:hint="eastAsia"/>
                <w:color w:val="auto"/>
                <w:highlight w:val="none"/>
              </w:rPr>
              <w:br w:type="textWrapping"/>
            </w:r>
            <w:r>
              <w:rPr>
                <w:rFonts w:hint="eastAsia"/>
                <w:color w:val="auto"/>
                <w:highlight w:val="none"/>
              </w:rPr>
              <w:t>（1）支持结构化及非结构化存储；</w:t>
            </w:r>
            <w:r>
              <w:rPr>
                <w:rFonts w:hint="eastAsia"/>
                <w:color w:val="auto"/>
                <w:highlight w:val="none"/>
              </w:rPr>
              <w:br w:type="textWrapping"/>
            </w:r>
            <w:r>
              <w:rPr>
                <w:rFonts w:hint="eastAsia"/>
                <w:color w:val="auto"/>
                <w:highlight w:val="none"/>
              </w:rPr>
              <w:t xml:space="preserve">（2）支持 DAG（有向无环图）模式的并行作业模式； </w:t>
            </w:r>
            <w:r>
              <w:rPr>
                <w:rFonts w:hint="eastAsia"/>
                <w:color w:val="auto"/>
                <w:highlight w:val="none"/>
              </w:rPr>
              <w:br w:type="textWrapping"/>
            </w:r>
            <w:r>
              <w:rPr>
                <w:rFonts w:hint="eastAsia"/>
                <w:color w:val="auto"/>
                <w:highlight w:val="none"/>
              </w:rPr>
              <w:t>（3）支持标准SQL和分布式计算框架的功能扩展；</w:t>
            </w:r>
            <w:r>
              <w:rPr>
                <w:rFonts w:hint="eastAsia"/>
                <w:color w:val="auto"/>
                <w:highlight w:val="none"/>
              </w:rPr>
              <w:br w:type="textWrapping"/>
            </w:r>
            <w:r>
              <w:rPr>
                <w:rFonts w:hint="eastAsia"/>
                <w:color w:val="auto"/>
                <w:highlight w:val="none"/>
              </w:rPr>
              <w:t>（4）支持基于图计算编程框架的功能扩展；</w:t>
            </w:r>
            <w:r>
              <w:rPr>
                <w:rFonts w:hint="eastAsia"/>
                <w:color w:val="auto"/>
                <w:highlight w:val="none"/>
              </w:rPr>
              <w:br w:type="textWrapping"/>
            </w:r>
            <w:r>
              <w:rPr>
                <w:rFonts w:hint="eastAsia"/>
                <w:color w:val="auto"/>
                <w:highlight w:val="none"/>
              </w:rPr>
              <w:t>（5）支持不同用户之间的资源隔离，确保用户任务的SLA；支持用户空间保护与跨用户空间访问授权，多个用户可以协同完成数据分析工作；</w:t>
            </w:r>
            <w:r>
              <w:rPr>
                <w:rFonts w:hint="eastAsia"/>
                <w:color w:val="auto"/>
                <w:highlight w:val="none"/>
              </w:rPr>
              <w:br w:type="textWrapping"/>
            </w:r>
            <w:r>
              <w:rPr>
                <w:rFonts w:hint="eastAsia"/>
                <w:color w:val="auto"/>
                <w:highlight w:val="none"/>
              </w:rPr>
              <w:t>（6）具备完善的权限认证与隔离机制，支持读写鉴权，充分保障用户数据的私密性，杜绝数据泄漏；</w:t>
            </w:r>
            <w:r>
              <w:rPr>
                <w:rFonts w:hint="eastAsia"/>
                <w:color w:val="auto"/>
                <w:highlight w:val="none"/>
              </w:rPr>
              <w:br w:type="textWrapping"/>
            </w:r>
            <w:r>
              <w:rPr>
                <w:rFonts w:hint="eastAsia"/>
                <w:color w:val="auto"/>
                <w:highlight w:val="none"/>
              </w:rPr>
              <w:t>（7）支持多级安全沙箱，允许通过配置设置用户代码对于I/O、网络、进程等资源的访问；</w:t>
            </w:r>
            <w:r>
              <w:rPr>
                <w:rFonts w:hint="eastAsia"/>
                <w:color w:val="auto"/>
                <w:highlight w:val="none"/>
              </w:rPr>
              <w:br w:type="textWrapping"/>
            </w:r>
            <w:r>
              <w:rPr>
                <w:rFonts w:hint="eastAsia"/>
                <w:color w:val="auto"/>
                <w:highlight w:val="none"/>
              </w:rPr>
              <w:t xml:space="preserve">（8）支持租户级作业优先级，可支持9级优先级设置，高优先级的作业会优先获取资源使用权； </w:t>
            </w:r>
            <w:r>
              <w:rPr>
                <w:rFonts w:hint="eastAsia"/>
                <w:color w:val="auto"/>
                <w:highlight w:val="none"/>
              </w:rPr>
              <w:br w:type="textWrapping"/>
            </w:r>
            <w:r>
              <w:rPr>
                <w:rFonts w:hint="eastAsia"/>
                <w:color w:val="auto"/>
                <w:highlight w:val="none"/>
              </w:rPr>
              <w:t xml:space="preserve">（9）支持小作业优化功能，有针对小作业的预拉起资源、缓存和执行机制； </w:t>
            </w:r>
            <w:r>
              <w:rPr>
                <w:rFonts w:hint="eastAsia"/>
                <w:color w:val="auto"/>
                <w:highlight w:val="none"/>
              </w:rPr>
              <w:br w:type="textWrapping"/>
            </w:r>
            <w:r>
              <w:rPr>
                <w:rFonts w:hint="eastAsia"/>
                <w:color w:val="auto"/>
                <w:highlight w:val="none"/>
              </w:rPr>
              <w:t>（10）支持动态资源配额功能，允许集群在不同时段为不同租户动态提供资源配额；</w:t>
            </w:r>
            <w:r>
              <w:rPr>
                <w:rFonts w:hint="eastAsia"/>
                <w:color w:val="auto"/>
                <w:highlight w:val="none"/>
              </w:rPr>
              <w:br w:type="textWrapping"/>
            </w:r>
            <w:r>
              <w:rPr>
                <w:rFonts w:hint="eastAsia"/>
                <w:color w:val="auto"/>
                <w:highlight w:val="none"/>
              </w:rPr>
              <w:t>（11）支持所有接口提供详细错误返回说明，接口支持JAVA及C++。</w:t>
            </w:r>
            <w:r>
              <w:rPr>
                <w:rFonts w:hint="eastAsia"/>
                <w:color w:val="auto"/>
                <w:highlight w:val="none"/>
              </w:rPr>
              <w:br w:type="textWrapping"/>
            </w:r>
            <w:r>
              <w:rPr>
                <w:rFonts w:hint="eastAsia"/>
                <w:color w:val="auto"/>
                <w:highlight w:val="none"/>
              </w:rPr>
              <w:t>（12）支持全冗余架构，无单点故障；</w:t>
            </w:r>
            <w:r>
              <w:rPr>
                <w:rFonts w:hint="eastAsia"/>
                <w:color w:val="auto"/>
                <w:highlight w:val="none"/>
              </w:rPr>
              <w:br w:type="textWrapping"/>
            </w:r>
            <w:r>
              <w:rPr>
                <w:rFonts w:hint="eastAsia"/>
                <w:color w:val="auto"/>
                <w:highlight w:val="none"/>
              </w:rPr>
              <w:t>（13）支持在线平滑升级，计算能力、存储容量和总 IO 带宽可实现同步线性扩容；</w:t>
            </w:r>
            <w:r>
              <w:rPr>
                <w:rFonts w:hint="eastAsia"/>
                <w:color w:val="auto"/>
                <w:highlight w:val="none"/>
              </w:rPr>
              <w:br w:type="textWrapping"/>
            </w:r>
            <w:r>
              <w:rPr>
                <w:rFonts w:hint="eastAsia"/>
                <w:color w:val="auto"/>
                <w:highlight w:val="none"/>
              </w:rPr>
              <w:t>（14）支持高并发、高吞吐量的大规模数据上传下载；</w:t>
            </w:r>
            <w:r>
              <w:rPr>
                <w:rFonts w:hint="eastAsia"/>
                <w:color w:val="auto"/>
                <w:highlight w:val="none"/>
              </w:rPr>
              <w:br w:type="textWrapping"/>
            </w:r>
            <w:r>
              <w:rPr>
                <w:rFonts w:hint="eastAsia"/>
                <w:color w:val="auto"/>
                <w:highlight w:val="none"/>
              </w:rPr>
              <w:t>（15）采用三副本技术，并将数据副本文件保存在不同机架上；</w:t>
            </w:r>
            <w:r>
              <w:rPr>
                <w:rFonts w:hint="eastAsia"/>
                <w:color w:val="auto"/>
                <w:highlight w:val="none"/>
              </w:rPr>
              <w:br w:type="textWrapping"/>
            </w:r>
            <w:r>
              <w:rPr>
                <w:rFonts w:hint="eastAsia" w:ascii="宋体" w:hAnsi="宋体" w:cs="宋体"/>
                <w:bCs/>
                <w:color w:val="auto"/>
                <w:szCs w:val="21"/>
                <w:highlight w:val="none"/>
              </w:rPr>
              <w:t>■</w:t>
            </w:r>
            <w:r>
              <w:rPr>
                <w:rFonts w:hint="eastAsia"/>
                <w:color w:val="auto"/>
                <w:highlight w:val="none"/>
              </w:rPr>
              <w:t>（16）在多集群部署情况下，支持统一元数据、统一数据视图、全局的计算调度；</w:t>
            </w:r>
            <w:r>
              <w:rPr>
                <w:rFonts w:hint="eastAsia"/>
                <w:color w:val="auto"/>
                <w:highlight w:val="none"/>
              </w:rPr>
              <w:br w:type="textWrapping"/>
            </w:r>
            <w:r>
              <w:rPr>
                <w:rFonts w:hint="eastAsia" w:ascii="宋体" w:hAnsi="宋体" w:cs="宋体"/>
                <w:bCs/>
                <w:color w:val="auto"/>
                <w:szCs w:val="21"/>
                <w:highlight w:val="none"/>
              </w:rPr>
              <w:t>■</w:t>
            </w:r>
            <w:r>
              <w:rPr>
                <w:rFonts w:hint="eastAsia"/>
                <w:color w:val="auto"/>
                <w:highlight w:val="none"/>
              </w:rPr>
              <w:t>（17）支持任务跨集群计算：无需在多个集群之间预先复制数据，平台能够根据计算任务的需要，调度多个集群的计算、数据、存储资源，自动实现跨集群的全量数据分析；</w:t>
            </w:r>
            <w:r>
              <w:rPr>
                <w:rFonts w:hint="eastAsia"/>
                <w:color w:val="auto"/>
                <w:highlight w:val="none"/>
              </w:rPr>
              <w:br w:type="textWrapping"/>
            </w:r>
            <w:r>
              <w:rPr>
                <w:rFonts w:hint="eastAsia"/>
                <w:color w:val="auto"/>
                <w:highlight w:val="none"/>
              </w:rPr>
              <w:t xml:space="preserve">（18）支持跨集群直读、直写； </w:t>
            </w:r>
            <w:r>
              <w:rPr>
                <w:rFonts w:hint="eastAsia"/>
                <w:color w:val="auto"/>
                <w:highlight w:val="none"/>
              </w:rPr>
              <w:br w:type="textWrapping"/>
            </w:r>
            <w:r>
              <w:rPr>
                <w:rFonts w:hint="eastAsia"/>
                <w:color w:val="auto"/>
                <w:highlight w:val="none"/>
              </w:rPr>
              <w:t xml:space="preserve">（19）支持跨集群数据智能自动复制； </w:t>
            </w:r>
            <w:r>
              <w:rPr>
                <w:rFonts w:hint="eastAsia"/>
                <w:color w:val="auto"/>
                <w:highlight w:val="none"/>
              </w:rPr>
              <w:br w:type="textWrapping"/>
            </w:r>
            <w:r>
              <w:rPr>
                <w:rFonts w:hint="eastAsia"/>
                <w:color w:val="auto"/>
                <w:highlight w:val="none"/>
              </w:rPr>
              <w:t xml:space="preserve">（20）可运行SQL、MR、机器学习等多种类型作业； </w:t>
            </w:r>
            <w:r>
              <w:rPr>
                <w:rFonts w:hint="eastAsia"/>
                <w:color w:val="auto"/>
                <w:highlight w:val="none"/>
              </w:rPr>
              <w:br w:type="textWrapping"/>
            </w:r>
            <w:r>
              <w:rPr>
                <w:rFonts w:hint="eastAsia"/>
                <w:color w:val="auto"/>
                <w:highlight w:val="none"/>
              </w:rPr>
              <w:t>（21）提供离线任务监控告警的功能，监控告警是调度任务的监控保障系统，支持基线告警和自定义告警两种方式。当任务出现错误或者延迟产出的时候，系统会通过预定义的方式告知用户任务状态。用户可以按照自己定义的规则来配置告警规则；</w:t>
            </w:r>
          </w:p>
        </w:tc>
        <w:tc>
          <w:tcPr>
            <w:tcW w:w="255"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1套</w:t>
            </w:r>
          </w:p>
        </w:tc>
      </w:tr>
      <w:tr>
        <w:tblPrEx>
          <w:tblCellMar>
            <w:top w:w="0" w:type="dxa"/>
            <w:left w:w="0" w:type="dxa"/>
            <w:bottom w:w="0" w:type="dxa"/>
            <w:right w:w="0" w:type="dxa"/>
          </w:tblCellMar>
        </w:tblPrEx>
        <w:trPr>
          <w:trHeight w:val="360" w:hRule="atLeast"/>
        </w:trPr>
        <w:tc>
          <w:tcPr>
            <w:tcW w:w="236" w:type="pct"/>
            <w:vMerge w:val="restart"/>
            <w:tcBorders>
              <w:top w:val="single" w:color="000000" w:sz="4" w:space="0"/>
              <w:left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1.2</w:t>
            </w:r>
          </w:p>
        </w:tc>
        <w:tc>
          <w:tcPr>
            <w:tcW w:w="505" w:type="pct"/>
            <w:vMerge w:val="restar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数据资源管理</w:t>
            </w:r>
          </w:p>
        </w:tc>
        <w:tc>
          <w:tcPr>
            <w:tcW w:w="4004"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数据资源门户：数据首页展示、数据类目查看、医保资产详情展示、全景统计视图</w:t>
            </w:r>
            <w:r>
              <w:rPr>
                <w:rFonts w:hint="eastAsia"/>
                <w:color w:val="auto"/>
                <w:highlight w:val="none"/>
              </w:rPr>
              <w:br w:type="textWrapping"/>
            </w:r>
            <w:r>
              <w:rPr>
                <w:rFonts w:hint="eastAsia"/>
                <w:color w:val="auto"/>
                <w:highlight w:val="none"/>
              </w:rPr>
              <w:t>（1）数据首页展示</w:t>
            </w:r>
            <w:r>
              <w:rPr>
                <w:rFonts w:hint="eastAsia"/>
                <w:color w:val="auto"/>
                <w:highlight w:val="none"/>
              </w:rPr>
              <w:br w:type="textWrapping"/>
            </w:r>
            <w:r>
              <w:rPr>
                <w:rFonts w:hint="eastAsia"/>
                <w:color w:val="auto"/>
                <w:highlight w:val="none"/>
              </w:rPr>
              <w:t xml:space="preserve"> 首页以仪表盘形式呈现医保数据资源的整体信息，包括数据资源总量、各业务板块数据情况、各地市数据信息、数据申请审批情况等。</w:t>
            </w:r>
            <w:r>
              <w:rPr>
                <w:rFonts w:hint="eastAsia"/>
                <w:color w:val="auto"/>
                <w:highlight w:val="none"/>
              </w:rPr>
              <w:br w:type="textWrapping"/>
            </w:r>
            <w:r>
              <w:rPr>
                <w:rFonts w:hint="eastAsia"/>
                <w:color w:val="auto"/>
                <w:highlight w:val="none"/>
              </w:rPr>
              <w:t>（2）数据类目查看</w:t>
            </w:r>
            <w:r>
              <w:rPr>
                <w:rFonts w:hint="eastAsia"/>
                <w:color w:val="auto"/>
                <w:highlight w:val="none"/>
              </w:rPr>
              <w:br w:type="textWrapping"/>
            </w:r>
            <w:r>
              <w:rPr>
                <w:rFonts w:hint="eastAsia"/>
                <w:color w:val="auto"/>
                <w:highlight w:val="none"/>
              </w:rPr>
              <w:t xml:space="preserve"> 展示数据资源的元数据，包括名称、描述、数据结构（字段及类型）、更新频率、适用业务场景等。</w:t>
            </w:r>
            <w:r>
              <w:rPr>
                <w:rFonts w:hint="eastAsia"/>
                <w:color w:val="auto"/>
                <w:highlight w:val="none"/>
              </w:rPr>
              <w:br w:type="textWrapping"/>
            </w:r>
            <w:r>
              <w:rPr>
                <w:rFonts w:hint="eastAsia"/>
                <w:color w:val="auto"/>
                <w:highlight w:val="none"/>
              </w:rPr>
              <w:t xml:space="preserve"> 类目按医保业务维度划分，用户可逐层展开类目，查看所属数据资源，并直接进入详情页面。</w:t>
            </w:r>
            <w:r>
              <w:rPr>
                <w:rFonts w:hint="eastAsia"/>
                <w:color w:val="auto"/>
                <w:highlight w:val="none"/>
              </w:rPr>
              <w:br w:type="textWrapping"/>
            </w:r>
            <w:r>
              <w:rPr>
                <w:rFonts w:hint="eastAsia"/>
                <w:color w:val="auto"/>
                <w:highlight w:val="none"/>
              </w:rPr>
              <w:t>（3）医保资产详情展示</w:t>
            </w:r>
            <w:r>
              <w:rPr>
                <w:rFonts w:hint="eastAsia"/>
                <w:color w:val="auto"/>
                <w:highlight w:val="none"/>
              </w:rPr>
              <w:br w:type="textWrapping"/>
            </w:r>
            <w:r>
              <w:rPr>
                <w:rFonts w:hint="eastAsia"/>
                <w:color w:val="auto"/>
                <w:highlight w:val="none"/>
              </w:rPr>
              <w:t xml:space="preserve"> 展示数据资源的元数据，包括名称、描述、数据结构（字段及类型）、更新频率、适用业务场景等。</w:t>
            </w:r>
            <w:r>
              <w:rPr>
                <w:rFonts w:hint="eastAsia"/>
                <w:color w:val="auto"/>
                <w:highlight w:val="none"/>
              </w:rPr>
              <w:br w:type="textWrapping"/>
            </w:r>
            <w:r>
              <w:rPr>
                <w:rFonts w:hint="eastAsia"/>
                <w:color w:val="auto"/>
                <w:highlight w:val="none"/>
              </w:rPr>
              <w:t xml:space="preserve"> 提供数据来源说明，例如对应的数据中台或应用系统（如业务经办子系统）。</w:t>
            </w:r>
            <w:r>
              <w:rPr>
                <w:rFonts w:hint="eastAsia"/>
                <w:color w:val="auto"/>
                <w:highlight w:val="none"/>
              </w:rPr>
              <w:br w:type="textWrapping"/>
            </w:r>
            <w:r>
              <w:rPr>
                <w:rFonts w:hint="eastAsia"/>
                <w:color w:val="auto"/>
                <w:highlight w:val="none"/>
              </w:rPr>
              <w:t>（4）全景统计视图</w:t>
            </w:r>
            <w:r>
              <w:rPr>
                <w:rFonts w:hint="eastAsia"/>
                <w:color w:val="auto"/>
                <w:highlight w:val="none"/>
              </w:rPr>
              <w:br w:type="textWrapping"/>
            </w:r>
            <w:r>
              <w:rPr>
                <w:rFonts w:hint="eastAsia"/>
                <w:color w:val="auto"/>
                <w:highlight w:val="none"/>
              </w:rPr>
              <w:t xml:space="preserve"> 提供医保数据全景展示，包括以下统计维度：</w:t>
            </w:r>
            <w:r>
              <w:rPr>
                <w:rFonts w:hint="eastAsia"/>
                <w:color w:val="auto"/>
                <w:highlight w:val="none"/>
              </w:rPr>
              <w:br w:type="textWrapping"/>
            </w:r>
            <w:r>
              <w:rPr>
                <w:rFonts w:hint="eastAsia"/>
                <w:color w:val="auto"/>
                <w:highlight w:val="none"/>
              </w:rPr>
              <w:t>数据规模：总资源量、类型分布。</w:t>
            </w:r>
            <w:r>
              <w:rPr>
                <w:rFonts w:hint="eastAsia"/>
                <w:color w:val="auto"/>
                <w:highlight w:val="none"/>
              </w:rPr>
              <w:br w:type="textWrapping"/>
            </w:r>
            <w:r>
              <w:rPr>
                <w:rFonts w:hint="eastAsia"/>
                <w:color w:val="auto"/>
                <w:highlight w:val="none"/>
              </w:rPr>
              <w:t>热门资源：按申请量或访问量排名的数据资源。</w:t>
            </w:r>
            <w:r>
              <w:rPr>
                <w:rFonts w:hint="eastAsia"/>
                <w:color w:val="auto"/>
                <w:highlight w:val="none"/>
              </w:rPr>
              <w:br w:type="textWrapping"/>
            </w:r>
            <w:r>
              <w:rPr>
                <w:rFonts w:hint="eastAsia"/>
                <w:color w:val="auto"/>
                <w:highlight w:val="none"/>
              </w:rPr>
              <w:t>类目分布：各类目下数据资产数量和占比图表。</w:t>
            </w:r>
          </w:p>
        </w:tc>
        <w:tc>
          <w:tcPr>
            <w:tcW w:w="255" w:type="pct"/>
            <w:vMerge w:val="restart"/>
            <w:tcBorders>
              <w:top w:val="single" w:color="000000" w:sz="4" w:space="0"/>
              <w:left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1套</w:t>
            </w:r>
          </w:p>
        </w:tc>
      </w:tr>
      <w:tr>
        <w:tblPrEx>
          <w:tblCellMar>
            <w:top w:w="0" w:type="dxa"/>
            <w:left w:w="0" w:type="dxa"/>
            <w:bottom w:w="0" w:type="dxa"/>
            <w:right w:w="0" w:type="dxa"/>
          </w:tblCellMar>
        </w:tblPrEx>
        <w:trPr>
          <w:trHeight w:val="360" w:hRule="atLeast"/>
        </w:trPr>
        <w:tc>
          <w:tcPr>
            <w:tcW w:w="236" w:type="pct"/>
            <w:vMerge w:val="continue"/>
            <w:tcBorders>
              <w:left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p>
        </w:tc>
        <w:tc>
          <w:tcPr>
            <w:tcW w:w="505" w:type="pct"/>
            <w:vMerge w:val="continue"/>
            <w:tcBorders>
              <w:top w:val="single" w:color="000000" w:sz="4" w:space="0"/>
              <w:left w:val="single" w:color="000000" w:sz="4" w:space="0"/>
              <w:bottom w:val="single" w:color="000000" w:sz="4" w:space="0"/>
              <w:right w:val="single" w:color="000000" w:sz="4" w:space="0"/>
            </w:tcBorders>
            <w:vAlign w:val="center"/>
          </w:tcPr>
          <w:p>
            <w:pPr>
              <w:jc w:val="left"/>
              <w:rPr>
                <w:color w:val="auto"/>
                <w:highlight w:val="none"/>
              </w:rPr>
            </w:pPr>
          </w:p>
        </w:tc>
        <w:tc>
          <w:tcPr>
            <w:tcW w:w="4004"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数据资源检索：全局搜索功能、多维搜索结果展示、搜索结果详情查看、高级筛选功能、类目筛选查看、快速权限申请</w:t>
            </w:r>
            <w:r>
              <w:rPr>
                <w:rFonts w:hint="eastAsia"/>
                <w:color w:val="auto"/>
                <w:highlight w:val="none"/>
              </w:rPr>
              <w:br w:type="textWrapping"/>
            </w:r>
            <w:r>
              <w:rPr>
                <w:rFonts w:hint="eastAsia"/>
                <w:color w:val="auto"/>
                <w:highlight w:val="none"/>
              </w:rPr>
              <w:t>（1）全局搜索功能</w:t>
            </w:r>
            <w:r>
              <w:rPr>
                <w:rFonts w:hint="eastAsia"/>
                <w:color w:val="auto"/>
                <w:highlight w:val="none"/>
              </w:rPr>
              <w:br w:type="textWrapping"/>
            </w:r>
            <w:r>
              <w:rPr>
                <w:rFonts w:hint="eastAsia"/>
                <w:color w:val="auto"/>
                <w:highlight w:val="none"/>
              </w:rPr>
              <w:t>支持跨部门、跨业务模块的数据全局搜索，通过关键词快速定位目标数据资源。</w:t>
            </w:r>
            <w:r>
              <w:rPr>
                <w:rFonts w:hint="eastAsia"/>
                <w:color w:val="auto"/>
                <w:highlight w:val="none"/>
              </w:rPr>
              <w:br w:type="textWrapping"/>
            </w:r>
            <w:r>
              <w:rPr>
                <w:rFonts w:hint="eastAsia"/>
                <w:color w:val="auto"/>
                <w:highlight w:val="none"/>
              </w:rPr>
              <w:t>搜索逻辑支持模糊匹配，结果按相关性排序，并显示资源的名称、所属类目、更新时间和权限状态等。</w:t>
            </w:r>
            <w:r>
              <w:rPr>
                <w:rFonts w:hint="eastAsia"/>
                <w:color w:val="auto"/>
                <w:highlight w:val="none"/>
              </w:rPr>
              <w:br w:type="textWrapping"/>
            </w:r>
            <w:r>
              <w:rPr>
                <w:rFonts w:hint="eastAsia"/>
                <w:color w:val="auto"/>
                <w:highlight w:val="none"/>
              </w:rPr>
              <w:t>（2）多维搜索结果展示</w:t>
            </w:r>
            <w:r>
              <w:rPr>
                <w:rFonts w:hint="eastAsia"/>
                <w:color w:val="auto"/>
                <w:highlight w:val="none"/>
              </w:rPr>
              <w:br w:type="textWrapping"/>
            </w:r>
            <w:r>
              <w:rPr>
                <w:rFonts w:hint="eastAsia"/>
                <w:color w:val="auto"/>
                <w:highlight w:val="none"/>
              </w:rPr>
              <w:t>搜索结果详细列出每个资源的名称、所属部门、数据类型、更新时间、申请权限按钮等信息。</w:t>
            </w:r>
            <w:r>
              <w:rPr>
                <w:rFonts w:hint="eastAsia"/>
                <w:color w:val="auto"/>
                <w:highlight w:val="none"/>
              </w:rPr>
              <w:br w:type="textWrapping"/>
            </w:r>
            <w:r>
              <w:rPr>
                <w:rFonts w:hint="eastAsia"/>
                <w:color w:val="auto"/>
                <w:highlight w:val="none"/>
              </w:rPr>
              <w:t>结果页面支持分页浏览，并提供资源类型和更新时间的快速过滤功能。</w:t>
            </w:r>
            <w:r>
              <w:rPr>
                <w:rFonts w:hint="eastAsia"/>
                <w:color w:val="auto"/>
                <w:highlight w:val="none"/>
              </w:rPr>
              <w:br w:type="textWrapping"/>
            </w:r>
            <w:r>
              <w:rPr>
                <w:rFonts w:hint="eastAsia"/>
                <w:color w:val="auto"/>
                <w:highlight w:val="none"/>
              </w:rPr>
              <w:t>（3）搜索结果详情查看</w:t>
            </w:r>
            <w:r>
              <w:rPr>
                <w:rFonts w:hint="eastAsia"/>
                <w:color w:val="auto"/>
                <w:highlight w:val="none"/>
              </w:rPr>
              <w:br w:type="textWrapping"/>
            </w:r>
            <w:r>
              <w:rPr>
                <w:rFonts w:hint="eastAsia"/>
                <w:color w:val="auto"/>
                <w:highlight w:val="none"/>
              </w:rPr>
              <w:t>点击任意搜索结果，进入详情页，展示完整元数据，并提供权限申请入口。</w:t>
            </w:r>
            <w:r>
              <w:rPr>
                <w:rFonts w:hint="eastAsia"/>
                <w:color w:val="auto"/>
                <w:highlight w:val="none"/>
              </w:rPr>
              <w:br w:type="textWrapping"/>
            </w:r>
            <w:r>
              <w:rPr>
                <w:rFonts w:hint="eastAsia"/>
                <w:color w:val="auto"/>
                <w:highlight w:val="none"/>
              </w:rPr>
              <w:t>（4）高级筛选功能</w:t>
            </w:r>
            <w:r>
              <w:rPr>
                <w:rFonts w:hint="eastAsia"/>
                <w:color w:val="auto"/>
                <w:highlight w:val="none"/>
              </w:rPr>
              <w:br w:type="textWrapping"/>
            </w:r>
            <w:r>
              <w:rPr>
                <w:rFonts w:hint="eastAsia"/>
                <w:color w:val="auto"/>
                <w:highlight w:val="none"/>
              </w:rPr>
              <w:t>提供筛选条件设置界面，允许用户选择数据所属部门、业务类型、更新频率、数据状态等维度进行筛选。</w:t>
            </w:r>
            <w:r>
              <w:rPr>
                <w:rFonts w:hint="eastAsia"/>
                <w:color w:val="auto"/>
                <w:highlight w:val="none"/>
              </w:rPr>
              <w:br w:type="textWrapping"/>
            </w:r>
            <w:r>
              <w:rPr>
                <w:rFonts w:hint="eastAsia"/>
                <w:color w:val="auto"/>
                <w:highlight w:val="none"/>
              </w:rPr>
              <w:t>（5）类目筛选查看</w:t>
            </w:r>
            <w:r>
              <w:rPr>
                <w:rFonts w:hint="eastAsia"/>
                <w:color w:val="auto"/>
                <w:highlight w:val="none"/>
              </w:rPr>
              <w:br w:type="textWrapping"/>
            </w:r>
            <w:r>
              <w:rPr>
                <w:rFonts w:hint="eastAsia"/>
                <w:color w:val="auto"/>
                <w:highlight w:val="none"/>
              </w:rPr>
              <w:t>在搜索结果中嵌入类目过滤功能，用户可按医保业务分类层级筛选数据，例如选择“基金运行 &gt; 支出统计”。</w:t>
            </w:r>
            <w:r>
              <w:rPr>
                <w:rFonts w:hint="eastAsia"/>
                <w:color w:val="auto"/>
                <w:highlight w:val="none"/>
              </w:rPr>
              <w:br w:type="textWrapping"/>
            </w:r>
            <w:r>
              <w:rPr>
                <w:rFonts w:hint="eastAsia"/>
                <w:color w:val="auto"/>
                <w:highlight w:val="none"/>
              </w:rPr>
              <w:t>（6）快速权限申请</w:t>
            </w:r>
            <w:r>
              <w:rPr>
                <w:rFonts w:hint="eastAsia"/>
                <w:color w:val="auto"/>
                <w:highlight w:val="none"/>
              </w:rPr>
              <w:br w:type="textWrapping"/>
            </w:r>
            <w:r>
              <w:rPr>
                <w:rFonts w:hint="eastAsia"/>
                <w:color w:val="auto"/>
                <w:highlight w:val="none"/>
              </w:rPr>
              <w:t>在搜索结果页面直接提供“申请权限”功能，用户点击后填写访问理由并提交审批。</w:t>
            </w:r>
            <w:r>
              <w:rPr>
                <w:rFonts w:hint="eastAsia"/>
                <w:color w:val="auto"/>
                <w:highlight w:val="none"/>
              </w:rPr>
              <w:br w:type="textWrapping"/>
            </w:r>
            <w:r>
              <w:rPr>
                <w:rFonts w:hint="eastAsia"/>
                <w:color w:val="auto"/>
                <w:highlight w:val="none"/>
              </w:rPr>
              <w:t>（7）我的数据资产</w:t>
            </w:r>
            <w:r>
              <w:rPr>
                <w:rFonts w:hint="eastAsia"/>
                <w:color w:val="auto"/>
                <w:highlight w:val="none"/>
              </w:rPr>
              <w:br w:type="textWrapping"/>
            </w:r>
            <w:r>
              <w:rPr>
                <w:rFonts w:hint="eastAsia"/>
                <w:color w:val="auto"/>
                <w:highlight w:val="none"/>
              </w:rPr>
              <w:t>可快捷查看当前用户有权限的、关注的、在申请中各状态的数据资产。</w:t>
            </w:r>
            <w:r>
              <w:rPr>
                <w:rFonts w:hint="eastAsia"/>
                <w:color w:val="auto"/>
                <w:highlight w:val="none"/>
              </w:rPr>
              <w:br w:type="textWrapping"/>
            </w:r>
            <w:r>
              <w:rPr>
                <w:rFonts w:hint="eastAsia"/>
                <w:color w:val="auto"/>
                <w:highlight w:val="none"/>
              </w:rPr>
              <w:t>（8）资产动态公示</w:t>
            </w:r>
            <w:r>
              <w:rPr>
                <w:rFonts w:hint="eastAsia"/>
                <w:color w:val="auto"/>
                <w:highlight w:val="none"/>
              </w:rPr>
              <w:br w:type="textWrapping"/>
            </w:r>
            <w:r>
              <w:rPr>
                <w:rFonts w:hint="eastAsia"/>
                <w:color w:val="auto"/>
                <w:highlight w:val="none"/>
              </w:rPr>
              <w:t>可公示数据资产的上架、下架、更新等动态。</w:t>
            </w:r>
          </w:p>
        </w:tc>
        <w:tc>
          <w:tcPr>
            <w:tcW w:w="255" w:type="pct"/>
            <w:vMerge w:val="continue"/>
            <w:tcBorders>
              <w:left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p>
        </w:tc>
      </w:tr>
      <w:tr>
        <w:tblPrEx>
          <w:tblCellMar>
            <w:top w:w="0" w:type="dxa"/>
            <w:left w:w="0" w:type="dxa"/>
            <w:bottom w:w="0" w:type="dxa"/>
            <w:right w:w="0" w:type="dxa"/>
          </w:tblCellMar>
        </w:tblPrEx>
        <w:trPr>
          <w:trHeight w:val="360" w:hRule="atLeast"/>
        </w:trPr>
        <w:tc>
          <w:tcPr>
            <w:tcW w:w="236" w:type="pct"/>
            <w:vMerge w:val="continue"/>
            <w:tcBorders>
              <w:left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p>
        </w:tc>
        <w:tc>
          <w:tcPr>
            <w:tcW w:w="505" w:type="pct"/>
            <w:vMerge w:val="continue"/>
            <w:tcBorders>
              <w:top w:val="single" w:color="000000" w:sz="4" w:space="0"/>
              <w:left w:val="single" w:color="000000" w:sz="4" w:space="0"/>
              <w:bottom w:val="single" w:color="000000" w:sz="4" w:space="0"/>
              <w:right w:val="single" w:color="000000" w:sz="4" w:space="0"/>
            </w:tcBorders>
            <w:vAlign w:val="center"/>
          </w:tcPr>
          <w:p>
            <w:pPr>
              <w:jc w:val="left"/>
              <w:rPr>
                <w:color w:val="auto"/>
                <w:highlight w:val="none"/>
              </w:rPr>
            </w:pPr>
          </w:p>
        </w:tc>
        <w:tc>
          <w:tcPr>
            <w:tcW w:w="4004"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数据资源目录：数据目录管理、数据目录维护、数据目录查询</w:t>
            </w:r>
            <w:r>
              <w:rPr>
                <w:rFonts w:hint="eastAsia"/>
                <w:color w:val="auto"/>
                <w:highlight w:val="none"/>
              </w:rPr>
              <w:br w:type="textWrapping"/>
            </w:r>
            <w:r>
              <w:rPr>
                <w:rFonts w:hint="eastAsia"/>
                <w:color w:val="auto"/>
                <w:highlight w:val="none"/>
              </w:rPr>
              <w:t>（1）资源目录管理</w:t>
            </w:r>
            <w:r>
              <w:rPr>
                <w:rFonts w:hint="eastAsia"/>
                <w:color w:val="auto"/>
                <w:highlight w:val="none"/>
              </w:rPr>
              <w:br w:type="textWrapping"/>
            </w:r>
            <w:r>
              <w:rPr>
                <w:rFonts w:hint="eastAsia"/>
                <w:color w:val="auto"/>
                <w:highlight w:val="none"/>
              </w:rPr>
              <w:t>提供对数据目录的编制、审核、入库、上线、查询、修改、停用、删除等操作。支持备注操作原因和审批信息</w:t>
            </w:r>
            <w:r>
              <w:rPr>
                <w:rFonts w:hint="eastAsia"/>
                <w:color w:val="auto"/>
                <w:highlight w:val="none"/>
              </w:rPr>
              <w:br w:type="textWrapping"/>
            </w:r>
            <w:r>
              <w:rPr>
                <w:rFonts w:hint="eastAsia"/>
                <w:color w:val="auto"/>
                <w:highlight w:val="none"/>
              </w:rPr>
              <w:t>系统自动记录每次变更的操作人、时间和变更内容，支持变更日志的查询与下载。</w:t>
            </w:r>
            <w:r>
              <w:rPr>
                <w:rFonts w:hint="eastAsia"/>
                <w:color w:val="auto"/>
                <w:highlight w:val="none"/>
              </w:rPr>
              <w:br w:type="textWrapping"/>
            </w:r>
            <w:r>
              <w:rPr>
                <w:rFonts w:hint="eastAsia"/>
                <w:color w:val="auto"/>
                <w:highlight w:val="none"/>
              </w:rPr>
              <w:t>（2）数据目录维护</w:t>
            </w:r>
            <w:r>
              <w:rPr>
                <w:rFonts w:hint="eastAsia"/>
                <w:color w:val="auto"/>
                <w:highlight w:val="none"/>
              </w:rPr>
              <w:br w:type="textWrapping"/>
            </w:r>
            <w:r>
              <w:rPr>
                <w:rFonts w:hint="eastAsia"/>
                <w:color w:val="auto"/>
                <w:highlight w:val="none"/>
              </w:rPr>
              <w:t xml:space="preserve"> 支持对医保业务相关的类目进行分类，用户可调整类目结构，新增子类目或重命名现有类目。支持按业务处室、地市、主题类目等维度进行分类，支持数据资源列表展示、详情展示和权限申请。</w:t>
            </w:r>
            <w:r>
              <w:rPr>
                <w:rFonts w:hint="eastAsia"/>
                <w:color w:val="auto"/>
                <w:highlight w:val="none"/>
              </w:rPr>
              <w:br w:type="textWrapping"/>
            </w:r>
            <w:r>
              <w:rPr>
                <w:rFonts w:hint="eastAsia"/>
                <w:color w:val="auto"/>
                <w:highlight w:val="none"/>
              </w:rPr>
              <w:t xml:space="preserve"> 提供拖拽式的类目管理界面，允许用户动态调整分类层级和顺序，实时保存变更。</w:t>
            </w:r>
            <w:r>
              <w:rPr>
                <w:rFonts w:hint="eastAsia"/>
                <w:color w:val="auto"/>
                <w:highlight w:val="none"/>
              </w:rPr>
              <w:br w:type="textWrapping"/>
            </w:r>
            <w:r>
              <w:rPr>
                <w:rFonts w:hint="eastAsia"/>
                <w:color w:val="auto"/>
                <w:highlight w:val="none"/>
              </w:rPr>
              <w:t>支持对数据资源的共享交换权限进行管理，可配置是否支持API接口共享、批量复制和授权访问。</w:t>
            </w:r>
            <w:r>
              <w:rPr>
                <w:rFonts w:hint="eastAsia"/>
                <w:color w:val="auto"/>
                <w:highlight w:val="none"/>
              </w:rPr>
              <w:br w:type="textWrapping"/>
            </w:r>
            <w:r>
              <w:rPr>
                <w:rFonts w:hint="eastAsia"/>
                <w:color w:val="auto"/>
                <w:highlight w:val="none"/>
              </w:rPr>
              <w:t>（3）数据目录查询</w:t>
            </w:r>
            <w:r>
              <w:rPr>
                <w:rFonts w:hint="eastAsia"/>
                <w:color w:val="auto"/>
                <w:highlight w:val="none"/>
              </w:rPr>
              <w:br w:type="textWrapping"/>
            </w:r>
            <w:r>
              <w:rPr>
                <w:rFonts w:hint="eastAsia"/>
                <w:color w:val="auto"/>
                <w:highlight w:val="none"/>
              </w:rPr>
              <w:t>支持对医保数据目录进行查询，包括按资源名称、资源所属部门、资源类别等维度。</w:t>
            </w:r>
          </w:p>
        </w:tc>
        <w:tc>
          <w:tcPr>
            <w:tcW w:w="255" w:type="pct"/>
            <w:vMerge w:val="continue"/>
            <w:tcBorders>
              <w:left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p>
        </w:tc>
      </w:tr>
      <w:tr>
        <w:tblPrEx>
          <w:tblCellMar>
            <w:top w:w="0" w:type="dxa"/>
            <w:left w:w="0" w:type="dxa"/>
            <w:bottom w:w="0" w:type="dxa"/>
            <w:right w:w="0" w:type="dxa"/>
          </w:tblCellMar>
        </w:tblPrEx>
        <w:trPr>
          <w:trHeight w:val="360" w:hRule="atLeast"/>
        </w:trPr>
        <w:tc>
          <w:tcPr>
            <w:tcW w:w="236" w:type="pct"/>
            <w:vMerge w:val="continue"/>
            <w:tcBorders>
              <w:left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p>
        </w:tc>
        <w:tc>
          <w:tcPr>
            <w:tcW w:w="505" w:type="pct"/>
            <w:vMerge w:val="continue"/>
            <w:tcBorders>
              <w:top w:val="single" w:color="000000" w:sz="4" w:space="0"/>
              <w:left w:val="single" w:color="000000" w:sz="4" w:space="0"/>
              <w:bottom w:val="single" w:color="000000" w:sz="4" w:space="0"/>
              <w:right w:val="single" w:color="000000" w:sz="4" w:space="0"/>
            </w:tcBorders>
            <w:vAlign w:val="center"/>
          </w:tcPr>
          <w:p>
            <w:pPr>
              <w:jc w:val="left"/>
              <w:rPr>
                <w:color w:val="auto"/>
                <w:highlight w:val="none"/>
              </w:rPr>
            </w:pPr>
          </w:p>
        </w:tc>
        <w:tc>
          <w:tcPr>
            <w:tcW w:w="4004"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数据共享开放：数据资源使用申请、数据资源申请审批、申请审批列表、数据接口封装、数据接口管理、数据接口列表、数据批量复制、数据授权访问</w:t>
            </w:r>
            <w:r>
              <w:rPr>
                <w:rFonts w:hint="eastAsia"/>
                <w:color w:val="auto"/>
                <w:highlight w:val="none"/>
              </w:rPr>
              <w:br w:type="textWrapping"/>
            </w:r>
            <w:r>
              <w:rPr>
                <w:rFonts w:hint="eastAsia"/>
                <w:color w:val="auto"/>
                <w:highlight w:val="none"/>
              </w:rPr>
              <w:t>（1）数据资源使用申请</w:t>
            </w:r>
            <w:r>
              <w:rPr>
                <w:rFonts w:hint="eastAsia"/>
                <w:color w:val="auto"/>
                <w:highlight w:val="none"/>
              </w:rPr>
              <w:br w:type="textWrapping"/>
            </w:r>
            <w:r>
              <w:rPr>
                <w:rFonts w:hint="eastAsia"/>
                <w:color w:val="auto"/>
                <w:highlight w:val="none"/>
              </w:rPr>
              <w:t>在数据资源管理系统中，用户可在数据资源列表、数据资源详情、数据资源搜索结果等页面发起申请，支持填写申请原因及用途、选择所需字段及筛选条件、选择资源交换形式（API接口、批量复制、授权访问）等。</w:t>
            </w:r>
            <w:r>
              <w:rPr>
                <w:rFonts w:hint="eastAsia"/>
                <w:color w:val="auto"/>
                <w:highlight w:val="none"/>
              </w:rPr>
              <w:br w:type="textWrapping"/>
            </w:r>
            <w:r>
              <w:rPr>
                <w:rFonts w:hint="eastAsia"/>
                <w:color w:val="auto"/>
                <w:highlight w:val="none"/>
              </w:rPr>
              <w:t>（2）数据资源申请审批</w:t>
            </w:r>
            <w:r>
              <w:rPr>
                <w:rFonts w:hint="eastAsia"/>
                <w:color w:val="auto"/>
                <w:highlight w:val="none"/>
              </w:rPr>
              <w:br w:type="textWrapping"/>
            </w:r>
            <w:r>
              <w:rPr>
                <w:rFonts w:hint="eastAsia"/>
                <w:color w:val="auto"/>
                <w:highlight w:val="none"/>
              </w:rPr>
              <w:t>在后台管理系统中编排设置审批流，发起申请后按照预设的审批节点逐级审批。</w:t>
            </w:r>
            <w:r>
              <w:rPr>
                <w:rFonts w:hint="eastAsia"/>
                <w:color w:val="auto"/>
                <w:highlight w:val="none"/>
              </w:rPr>
              <w:br w:type="textWrapping"/>
            </w:r>
            <w:r>
              <w:rPr>
                <w:rFonts w:hint="eastAsia"/>
                <w:color w:val="auto"/>
                <w:highlight w:val="none"/>
              </w:rPr>
              <w:t>（3）申请审批列表</w:t>
            </w:r>
            <w:r>
              <w:rPr>
                <w:rFonts w:hint="eastAsia"/>
                <w:color w:val="auto"/>
                <w:highlight w:val="none"/>
              </w:rPr>
              <w:br w:type="textWrapping"/>
            </w:r>
            <w:r>
              <w:rPr>
                <w:rFonts w:hint="eastAsia"/>
                <w:color w:val="auto"/>
                <w:highlight w:val="none"/>
              </w:rPr>
              <w:t>支持查询我提交的申请、我审批的申请、待我审批的申请等审批流记录，并支持查看详情。</w:t>
            </w:r>
            <w:r>
              <w:rPr>
                <w:rFonts w:hint="eastAsia"/>
                <w:color w:val="auto"/>
                <w:highlight w:val="none"/>
              </w:rPr>
              <w:br w:type="textWrapping"/>
            </w:r>
            <w:r>
              <w:rPr>
                <w:rFonts w:hint="eastAsia"/>
                <w:color w:val="auto"/>
                <w:highlight w:val="none"/>
              </w:rPr>
              <w:t>（4）数据接口封装</w:t>
            </w:r>
            <w:r>
              <w:rPr>
                <w:rFonts w:hint="eastAsia"/>
                <w:color w:val="auto"/>
                <w:highlight w:val="none"/>
              </w:rPr>
              <w:br w:type="textWrapping"/>
            </w:r>
            <w:r>
              <w:rPr>
                <w:rFonts w:hint="eastAsia"/>
                <w:color w:val="auto"/>
                <w:highlight w:val="none"/>
              </w:rPr>
              <w:t>支持将医保数据中台等数据资源进行标准化封装，通过数据服务接口的形式与外部协同单位进行数据共享。</w:t>
            </w:r>
            <w:r>
              <w:rPr>
                <w:rFonts w:hint="eastAsia"/>
                <w:color w:val="auto"/>
                <w:highlight w:val="none"/>
              </w:rPr>
              <w:br w:type="textWrapping"/>
            </w:r>
            <w:r>
              <w:rPr>
                <w:rFonts w:hint="eastAsia"/>
                <w:color w:val="auto"/>
                <w:highlight w:val="none"/>
              </w:rPr>
              <w:t>（5）数据接口管理</w:t>
            </w:r>
            <w:r>
              <w:rPr>
                <w:rFonts w:hint="eastAsia"/>
                <w:color w:val="auto"/>
                <w:highlight w:val="none"/>
              </w:rPr>
              <w:br w:type="textWrapping"/>
            </w:r>
            <w:r>
              <w:rPr>
                <w:rFonts w:hint="eastAsia"/>
                <w:color w:val="auto"/>
                <w:highlight w:val="none"/>
              </w:rPr>
              <w:t>支持对接口进行分类、描述和打标等操作。</w:t>
            </w:r>
            <w:r>
              <w:rPr>
                <w:rFonts w:hint="eastAsia"/>
                <w:color w:val="auto"/>
                <w:highlight w:val="none"/>
              </w:rPr>
              <w:br w:type="textWrapping"/>
            </w:r>
            <w:r>
              <w:rPr>
                <w:rFonts w:hint="eastAsia"/>
                <w:color w:val="auto"/>
                <w:highlight w:val="none"/>
              </w:rPr>
              <w:t>支持对接口进行上架、下架、删除、修改等操作。</w:t>
            </w:r>
            <w:r>
              <w:rPr>
                <w:rFonts w:hint="eastAsia"/>
                <w:color w:val="auto"/>
                <w:highlight w:val="none"/>
              </w:rPr>
              <w:br w:type="textWrapping"/>
            </w:r>
            <w:r>
              <w:rPr>
                <w:rFonts w:hint="eastAsia"/>
                <w:color w:val="auto"/>
                <w:highlight w:val="none"/>
              </w:rPr>
              <w:t>支持对数据服务接口和服务请求进行鉴权、流量控制等功能</w:t>
            </w:r>
            <w:r>
              <w:rPr>
                <w:rFonts w:hint="eastAsia"/>
                <w:color w:val="auto"/>
                <w:highlight w:val="none"/>
              </w:rPr>
              <w:br w:type="textWrapping"/>
            </w:r>
            <w:r>
              <w:rPr>
                <w:rFonts w:hint="eastAsia"/>
                <w:color w:val="auto"/>
                <w:highlight w:val="none"/>
              </w:rPr>
              <w:t>（6）数据接口列表</w:t>
            </w:r>
            <w:r>
              <w:rPr>
                <w:rFonts w:hint="eastAsia"/>
                <w:color w:val="auto"/>
                <w:highlight w:val="none"/>
              </w:rPr>
              <w:br w:type="textWrapping"/>
            </w:r>
            <w:r>
              <w:rPr>
                <w:rFonts w:hint="eastAsia"/>
                <w:color w:val="auto"/>
                <w:highlight w:val="none"/>
              </w:rPr>
              <w:t>支持按照分类展示已上架的所有接口，支持展示各用户名下已授权的所有接口。</w:t>
            </w:r>
            <w:r>
              <w:rPr>
                <w:rFonts w:hint="eastAsia"/>
                <w:color w:val="auto"/>
                <w:highlight w:val="none"/>
              </w:rPr>
              <w:br w:type="textWrapping"/>
            </w:r>
            <w:r>
              <w:rPr>
                <w:rFonts w:hint="eastAsia"/>
                <w:color w:val="auto"/>
                <w:highlight w:val="none"/>
              </w:rPr>
              <w:t>支持通过关键词搜索接口。</w:t>
            </w:r>
            <w:r>
              <w:rPr>
                <w:rFonts w:hint="eastAsia"/>
                <w:color w:val="auto"/>
                <w:highlight w:val="none"/>
              </w:rPr>
              <w:br w:type="textWrapping"/>
            </w:r>
            <w:r>
              <w:rPr>
                <w:rFonts w:hint="eastAsia"/>
                <w:color w:val="auto"/>
                <w:highlight w:val="none"/>
              </w:rPr>
              <w:t>（7）数据批量复制</w:t>
            </w:r>
            <w:r>
              <w:rPr>
                <w:rFonts w:hint="eastAsia"/>
                <w:color w:val="auto"/>
                <w:highlight w:val="none"/>
              </w:rPr>
              <w:br w:type="textWrapping"/>
            </w:r>
            <w:r>
              <w:rPr>
                <w:rFonts w:hint="eastAsia"/>
                <w:color w:val="auto"/>
                <w:highlight w:val="none"/>
              </w:rPr>
              <w:t>支持将通过审批后的数据资源批量复制到申请的目标位置，支持自治区、地市之间按需申请。</w:t>
            </w:r>
            <w:r>
              <w:rPr>
                <w:rFonts w:hint="eastAsia"/>
                <w:color w:val="auto"/>
                <w:highlight w:val="none"/>
              </w:rPr>
              <w:br w:type="textWrapping"/>
            </w:r>
            <w:r>
              <w:rPr>
                <w:rFonts w:hint="eastAsia"/>
                <w:color w:val="auto"/>
                <w:highlight w:val="none"/>
              </w:rPr>
              <w:t>（8）数据授权访问</w:t>
            </w:r>
            <w:r>
              <w:rPr>
                <w:rFonts w:hint="eastAsia"/>
                <w:color w:val="auto"/>
                <w:highlight w:val="none"/>
              </w:rPr>
              <w:br w:type="textWrapping"/>
            </w:r>
            <w:r>
              <w:rPr>
                <w:rFonts w:hint="eastAsia"/>
                <w:color w:val="auto"/>
                <w:highlight w:val="none"/>
              </w:rPr>
              <w:t>支持将通过审批后的数据资源授权给用户直接访问。</w:t>
            </w:r>
          </w:p>
        </w:tc>
        <w:tc>
          <w:tcPr>
            <w:tcW w:w="255" w:type="pct"/>
            <w:vMerge w:val="continue"/>
            <w:tcBorders>
              <w:left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p>
        </w:tc>
      </w:tr>
      <w:tr>
        <w:tblPrEx>
          <w:tblCellMar>
            <w:top w:w="0" w:type="dxa"/>
            <w:left w:w="0" w:type="dxa"/>
            <w:bottom w:w="0" w:type="dxa"/>
            <w:right w:w="0" w:type="dxa"/>
          </w:tblCellMar>
        </w:tblPrEx>
        <w:trPr>
          <w:trHeight w:val="360" w:hRule="atLeast"/>
        </w:trPr>
        <w:tc>
          <w:tcPr>
            <w:tcW w:w="236" w:type="pct"/>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p>
        </w:tc>
        <w:tc>
          <w:tcPr>
            <w:tcW w:w="505" w:type="pct"/>
            <w:vMerge w:val="continue"/>
            <w:tcBorders>
              <w:top w:val="single" w:color="000000" w:sz="4" w:space="0"/>
              <w:left w:val="single" w:color="000000" w:sz="4" w:space="0"/>
              <w:bottom w:val="single" w:color="000000" w:sz="4" w:space="0"/>
              <w:right w:val="single" w:color="000000" w:sz="4" w:space="0"/>
            </w:tcBorders>
            <w:vAlign w:val="center"/>
          </w:tcPr>
          <w:p>
            <w:pPr>
              <w:jc w:val="left"/>
              <w:rPr>
                <w:color w:val="auto"/>
                <w:highlight w:val="none"/>
              </w:rPr>
            </w:pPr>
          </w:p>
        </w:tc>
        <w:tc>
          <w:tcPr>
            <w:tcW w:w="4004"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后台管理及对接：基础信息维护、申请审批流程编排、用户权限对接管理、统一门户对接、数据中台对接。</w:t>
            </w:r>
            <w:r>
              <w:rPr>
                <w:rFonts w:hint="eastAsia"/>
                <w:color w:val="auto"/>
                <w:highlight w:val="none"/>
              </w:rPr>
              <w:br w:type="textWrapping"/>
            </w:r>
            <w:r>
              <w:rPr>
                <w:rFonts w:hint="eastAsia"/>
                <w:color w:val="auto"/>
                <w:highlight w:val="none"/>
              </w:rPr>
              <w:t>（1）基础信息维护</w:t>
            </w:r>
            <w:r>
              <w:rPr>
                <w:rFonts w:hint="eastAsia"/>
                <w:color w:val="auto"/>
                <w:highlight w:val="none"/>
              </w:rPr>
              <w:br w:type="textWrapping"/>
            </w:r>
            <w:r>
              <w:rPr>
                <w:rFonts w:hint="eastAsia"/>
                <w:color w:val="auto"/>
                <w:highlight w:val="none"/>
              </w:rPr>
              <w:t>支持对部门信息、地市信息、业务类别、子系统、数据库等基础信息进行维护管理。</w:t>
            </w:r>
            <w:r>
              <w:rPr>
                <w:rFonts w:hint="eastAsia"/>
                <w:color w:val="auto"/>
                <w:highlight w:val="none"/>
              </w:rPr>
              <w:br w:type="textWrapping"/>
            </w:r>
            <w:r>
              <w:rPr>
                <w:rFonts w:hint="eastAsia"/>
                <w:color w:val="auto"/>
                <w:highlight w:val="none"/>
              </w:rPr>
              <w:t>（2）申请审批流程编排</w:t>
            </w:r>
            <w:r>
              <w:rPr>
                <w:rFonts w:hint="eastAsia"/>
                <w:color w:val="auto"/>
                <w:highlight w:val="none"/>
              </w:rPr>
              <w:br w:type="textWrapping"/>
            </w:r>
            <w:r>
              <w:rPr>
                <w:rFonts w:hint="eastAsia"/>
                <w:color w:val="auto"/>
                <w:highlight w:val="none"/>
              </w:rPr>
              <w:t>支持通过可视化界面编排制定数据资源各环节申请审批的流程和审批人员节点，支持通过、退回、取消、加签等功能。编排的流程可支持数据资源管理系统各环节的申请和审批。</w:t>
            </w:r>
            <w:r>
              <w:rPr>
                <w:rFonts w:hint="eastAsia"/>
                <w:color w:val="auto"/>
                <w:highlight w:val="none"/>
              </w:rPr>
              <w:br w:type="textWrapping"/>
            </w:r>
            <w:r>
              <w:rPr>
                <w:rFonts w:hint="eastAsia"/>
                <w:color w:val="auto"/>
                <w:highlight w:val="none"/>
              </w:rPr>
              <w:t>（3）用户权限对接管理</w:t>
            </w:r>
            <w:r>
              <w:rPr>
                <w:rFonts w:hint="eastAsia"/>
                <w:color w:val="auto"/>
                <w:highlight w:val="none"/>
              </w:rPr>
              <w:br w:type="textWrapping"/>
            </w:r>
            <w:r>
              <w:rPr>
                <w:rFonts w:hint="eastAsia"/>
                <w:color w:val="auto"/>
                <w:highlight w:val="none"/>
              </w:rPr>
              <w:t>对接医保用户体系，支持对用户设置相应的用户组、角色、组织、部门等，并对用户和角色权限进行管理。</w:t>
            </w:r>
            <w:r>
              <w:rPr>
                <w:rFonts w:hint="eastAsia"/>
                <w:color w:val="auto"/>
                <w:highlight w:val="none"/>
              </w:rPr>
              <w:br w:type="textWrapping"/>
            </w:r>
            <w:r>
              <w:rPr>
                <w:rFonts w:hint="eastAsia"/>
                <w:color w:val="auto"/>
                <w:highlight w:val="none"/>
              </w:rPr>
              <w:t>（4）统一门户对接</w:t>
            </w:r>
            <w:r>
              <w:rPr>
                <w:rFonts w:hint="eastAsia"/>
                <w:color w:val="auto"/>
                <w:highlight w:val="none"/>
              </w:rPr>
              <w:br w:type="textWrapping"/>
            </w:r>
            <w:r>
              <w:rPr>
                <w:rFonts w:hint="eastAsia"/>
                <w:color w:val="auto"/>
                <w:highlight w:val="none"/>
              </w:rPr>
              <w:t>系统需满足医疗保障信息平台用户界面相关规范，并实现与统一门户的对接集成，实现单点登录。</w:t>
            </w:r>
            <w:r>
              <w:rPr>
                <w:rFonts w:hint="eastAsia"/>
                <w:color w:val="auto"/>
                <w:highlight w:val="none"/>
              </w:rPr>
              <w:br w:type="textWrapping"/>
            </w:r>
            <w:r>
              <w:rPr>
                <w:rFonts w:hint="eastAsia"/>
                <w:color w:val="auto"/>
                <w:highlight w:val="none"/>
              </w:rPr>
              <w:t>（5）数据中台对接</w:t>
            </w:r>
            <w:r>
              <w:rPr>
                <w:rFonts w:hint="eastAsia"/>
                <w:color w:val="auto"/>
                <w:highlight w:val="none"/>
              </w:rPr>
              <w:br w:type="textWrapping"/>
            </w:r>
            <w:r>
              <w:rPr>
                <w:rFonts w:hint="eastAsia"/>
                <w:color w:val="auto"/>
                <w:highlight w:val="none"/>
              </w:rPr>
              <w:t>与数据中台相关产品对接，实现与中台数据库的连接和管理，支持在共享交换模块上实现审批后自动开通申请者对于中台相关数据的权限。</w:t>
            </w:r>
          </w:p>
        </w:tc>
        <w:tc>
          <w:tcPr>
            <w:tcW w:w="255" w:type="pct"/>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p>
        </w:tc>
      </w:tr>
    </w:tbl>
    <w:p>
      <w:pPr>
        <w:jc w:val="left"/>
        <w:rPr>
          <w:color w:val="auto"/>
          <w:highlight w:val="none"/>
        </w:rPr>
      </w:pPr>
    </w:p>
    <w:p>
      <w:pPr>
        <w:pStyle w:val="8"/>
        <w:jc w:val="left"/>
        <w:rPr>
          <w:color w:val="auto"/>
          <w:highlight w:val="none"/>
        </w:rPr>
      </w:pPr>
      <w:r>
        <w:rPr>
          <w:rFonts w:hint="eastAsia"/>
          <w:color w:val="auto"/>
          <w:highlight w:val="none"/>
        </w:rPr>
        <w:t>（3）密码软件</w:t>
      </w:r>
    </w:p>
    <w:p>
      <w:pPr>
        <w:rPr>
          <w:color w:val="auto"/>
          <w:highlight w:val="none"/>
        </w:rPr>
      </w:pPr>
      <w:r>
        <w:rPr>
          <w:rFonts w:hint="eastAsia"/>
          <w:color w:val="auto"/>
          <w:highlight w:val="none"/>
        </w:rPr>
        <w:t>本项目密码服务平台需考虑前期与后续的长期规划与兼容能力，并配合进行密码应用改造与测评相关工作。</w:t>
      </w:r>
    </w:p>
    <w:tbl>
      <w:tblPr>
        <w:tblStyle w:val="52"/>
        <w:tblW w:w="4997" w:type="pct"/>
        <w:tblInd w:w="0" w:type="dxa"/>
        <w:tblLayout w:type="autofit"/>
        <w:tblCellMar>
          <w:top w:w="0" w:type="dxa"/>
          <w:left w:w="0" w:type="dxa"/>
          <w:bottom w:w="0" w:type="dxa"/>
          <w:right w:w="0" w:type="dxa"/>
        </w:tblCellMar>
      </w:tblPr>
      <w:tblGrid>
        <w:gridCol w:w="338"/>
        <w:gridCol w:w="853"/>
        <w:gridCol w:w="7582"/>
        <w:gridCol w:w="663"/>
      </w:tblGrid>
      <w:tr>
        <w:tblPrEx>
          <w:tblCellMar>
            <w:top w:w="0" w:type="dxa"/>
            <w:left w:w="0" w:type="dxa"/>
            <w:bottom w:w="0" w:type="dxa"/>
            <w:right w:w="0" w:type="dxa"/>
          </w:tblCellMar>
        </w:tblPrEx>
        <w:trPr>
          <w:trHeight w:val="363" w:hRule="atLeast"/>
          <w:tblHeader/>
        </w:trPr>
        <w:tc>
          <w:tcPr>
            <w:tcW w:w="179"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b/>
                <w:color w:val="auto"/>
                <w:highlight w:val="none"/>
              </w:rPr>
            </w:pPr>
            <w:r>
              <w:rPr>
                <w:rFonts w:hint="eastAsia"/>
                <w:b/>
                <w:color w:val="auto"/>
                <w:highlight w:val="none"/>
              </w:rPr>
              <w:t>序号</w:t>
            </w:r>
          </w:p>
        </w:tc>
        <w:tc>
          <w:tcPr>
            <w:tcW w:w="452"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b/>
                <w:color w:val="auto"/>
                <w:highlight w:val="none"/>
              </w:rPr>
            </w:pPr>
            <w:r>
              <w:rPr>
                <w:rFonts w:hint="eastAsia"/>
                <w:b/>
                <w:color w:val="auto"/>
                <w:highlight w:val="none"/>
              </w:rPr>
              <w:t>软件</w:t>
            </w:r>
          </w:p>
          <w:p>
            <w:pPr>
              <w:jc w:val="center"/>
              <w:rPr>
                <w:b/>
                <w:color w:val="auto"/>
                <w:highlight w:val="none"/>
              </w:rPr>
            </w:pPr>
            <w:r>
              <w:rPr>
                <w:rFonts w:hint="eastAsia"/>
                <w:b/>
                <w:color w:val="auto"/>
                <w:highlight w:val="none"/>
              </w:rPr>
              <w:t>名称</w:t>
            </w:r>
          </w:p>
        </w:tc>
        <w:tc>
          <w:tcPr>
            <w:tcW w:w="4016"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b/>
                <w:color w:val="auto"/>
                <w:highlight w:val="none"/>
              </w:rPr>
            </w:pPr>
            <w:r>
              <w:rPr>
                <w:rFonts w:hint="eastAsia"/>
                <w:b/>
                <w:color w:val="auto"/>
                <w:highlight w:val="none"/>
              </w:rPr>
              <w:t>性能参数</w:t>
            </w:r>
          </w:p>
        </w:tc>
        <w:tc>
          <w:tcPr>
            <w:tcW w:w="351"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b/>
                <w:color w:val="auto"/>
                <w:highlight w:val="none"/>
              </w:rPr>
            </w:pPr>
            <w:r>
              <w:rPr>
                <w:rFonts w:hint="eastAsia"/>
                <w:b/>
                <w:color w:val="auto"/>
                <w:highlight w:val="none"/>
              </w:rPr>
              <w:t>数量（套）</w:t>
            </w:r>
          </w:p>
        </w:tc>
      </w:tr>
      <w:tr>
        <w:tblPrEx>
          <w:tblCellMar>
            <w:top w:w="0" w:type="dxa"/>
            <w:left w:w="0" w:type="dxa"/>
            <w:bottom w:w="0" w:type="dxa"/>
            <w:right w:w="0" w:type="dxa"/>
          </w:tblCellMar>
        </w:tblPrEx>
        <w:trPr>
          <w:trHeight w:val="790" w:hRule="atLeast"/>
        </w:trPr>
        <w:tc>
          <w:tcPr>
            <w:tcW w:w="179"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b/>
                <w:color w:val="auto"/>
                <w:highlight w:val="none"/>
              </w:rPr>
            </w:pPr>
            <w:r>
              <w:rPr>
                <w:rFonts w:hint="eastAsia"/>
                <w:b/>
                <w:color w:val="auto"/>
                <w:highlight w:val="none"/>
              </w:rPr>
              <w:t>1</w:t>
            </w:r>
          </w:p>
        </w:tc>
        <w:tc>
          <w:tcPr>
            <w:tcW w:w="452"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b/>
                <w:color w:val="auto"/>
                <w:highlight w:val="none"/>
              </w:rPr>
            </w:pPr>
            <w:r>
              <w:rPr>
                <w:rFonts w:hint="eastAsia"/>
                <w:b/>
                <w:color w:val="auto"/>
                <w:highlight w:val="none"/>
              </w:rPr>
              <w:t>密码</w:t>
            </w:r>
          </w:p>
          <w:p>
            <w:pPr>
              <w:jc w:val="center"/>
              <w:rPr>
                <w:b/>
                <w:color w:val="auto"/>
                <w:highlight w:val="none"/>
              </w:rPr>
            </w:pPr>
            <w:r>
              <w:rPr>
                <w:rFonts w:hint="eastAsia"/>
                <w:b/>
                <w:color w:val="auto"/>
                <w:highlight w:val="none"/>
              </w:rPr>
              <w:t>软件</w:t>
            </w:r>
          </w:p>
        </w:tc>
        <w:tc>
          <w:tcPr>
            <w:tcW w:w="4016"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b/>
                <w:color w:val="auto"/>
                <w:highlight w:val="none"/>
              </w:rPr>
            </w:pPr>
          </w:p>
        </w:tc>
        <w:tc>
          <w:tcPr>
            <w:tcW w:w="351"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b/>
                <w:color w:val="auto"/>
                <w:highlight w:val="none"/>
              </w:rPr>
            </w:pPr>
          </w:p>
        </w:tc>
      </w:tr>
      <w:tr>
        <w:tblPrEx>
          <w:tblCellMar>
            <w:top w:w="0" w:type="dxa"/>
            <w:left w:w="0" w:type="dxa"/>
            <w:bottom w:w="0" w:type="dxa"/>
            <w:right w:w="0" w:type="dxa"/>
          </w:tblCellMar>
        </w:tblPrEx>
        <w:trPr>
          <w:trHeight w:val="360" w:hRule="atLeast"/>
        </w:trPr>
        <w:tc>
          <w:tcPr>
            <w:tcW w:w="179"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1.1</w:t>
            </w:r>
          </w:p>
        </w:tc>
        <w:tc>
          <w:tcPr>
            <w:tcW w:w="452"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bookmarkStart w:id="12" w:name="_Hlk219106080"/>
            <w:r>
              <w:rPr>
                <w:rFonts w:hint="eastAsia"/>
                <w:color w:val="auto"/>
                <w:highlight w:val="none"/>
              </w:rPr>
              <w:t>密码</w:t>
            </w:r>
          </w:p>
          <w:p>
            <w:pPr>
              <w:jc w:val="center"/>
              <w:rPr>
                <w:color w:val="auto"/>
                <w:highlight w:val="none"/>
              </w:rPr>
            </w:pPr>
            <w:r>
              <w:rPr>
                <w:rFonts w:hint="eastAsia"/>
                <w:color w:val="auto"/>
                <w:highlight w:val="none"/>
              </w:rPr>
              <w:t>服务</w:t>
            </w:r>
          </w:p>
          <w:p>
            <w:pPr>
              <w:jc w:val="center"/>
              <w:rPr>
                <w:color w:val="auto"/>
                <w:highlight w:val="none"/>
              </w:rPr>
            </w:pPr>
            <w:r>
              <w:rPr>
                <w:rFonts w:hint="eastAsia"/>
                <w:color w:val="auto"/>
                <w:highlight w:val="none"/>
              </w:rPr>
              <w:t>平台</w:t>
            </w:r>
            <w:bookmarkEnd w:id="12"/>
          </w:p>
        </w:tc>
        <w:tc>
          <w:tcPr>
            <w:tcW w:w="4016"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1.支持多种密码计算服务请求分发到对应密码设备中进行密码计算；</w:t>
            </w:r>
            <w:r>
              <w:rPr>
                <w:rFonts w:hint="eastAsia"/>
                <w:color w:val="auto"/>
                <w:highlight w:val="none"/>
              </w:rPr>
              <w:br w:type="textWrapping"/>
            </w:r>
            <w:r>
              <w:rPr>
                <w:rFonts w:hint="eastAsia"/>
                <w:color w:val="auto"/>
                <w:highlight w:val="none"/>
              </w:rPr>
              <w:t>2.支持密码设备的业务负载功能，支持业务请求采用轮转调度等算法实现负载均衡，实现密码设备资源优化利用；</w:t>
            </w:r>
            <w:r>
              <w:rPr>
                <w:rFonts w:hint="eastAsia"/>
                <w:color w:val="auto"/>
                <w:highlight w:val="none"/>
              </w:rPr>
              <w:br w:type="textWrapping"/>
            </w:r>
            <w:r>
              <w:rPr>
                <w:rFonts w:hint="eastAsia"/>
                <w:color w:val="auto"/>
                <w:highlight w:val="none"/>
              </w:rPr>
              <w:t>3.实现对各类密码设备服务的统一封装，为业务应用提供全面、规范和高效的密码安全服务，支持提供的密码安全服务类型包括但不限于加解密服务、签名验签服务、密钥管理服务等；</w:t>
            </w:r>
            <w:r>
              <w:rPr>
                <w:rFonts w:hint="eastAsia"/>
                <w:color w:val="auto"/>
                <w:highlight w:val="none"/>
              </w:rPr>
              <w:br w:type="textWrapping"/>
            </w:r>
            <w:r>
              <w:rPr>
                <w:rFonts w:hint="eastAsia"/>
                <w:color w:val="auto"/>
                <w:highlight w:val="none"/>
              </w:rPr>
              <w:t>4.密钥管理服务能力，支持对称密钥、非对称密钥的统一管理，包括密钥的生成、更新、注销、密钥信息查询、启用、停用等；支持与阿里云、腾讯云、华为云等主流公有云密钥管理系统对接，在Web页面上即选择配置阿里云KMS、腾讯云KMS、华为KMS等第三方KMS对接，实现公有云基础设备密钥管理；</w:t>
            </w:r>
            <w:r>
              <w:rPr>
                <w:rFonts w:hint="eastAsia"/>
                <w:color w:val="auto"/>
                <w:highlight w:val="none"/>
              </w:rPr>
              <w:br w:type="textWrapping"/>
            </w:r>
            <w:r>
              <w:rPr>
                <w:rFonts w:hint="eastAsia"/>
                <w:color w:val="auto"/>
                <w:highlight w:val="none"/>
              </w:rPr>
              <w:t>5.支持RESTful协议接口形态,支持多种开发语言集成，便于业务使用；</w:t>
            </w:r>
            <w:r>
              <w:rPr>
                <w:rFonts w:hint="eastAsia"/>
                <w:color w:val="auto"/>
                <w:highlight w:val="none"/>
              </w:rPr>
              <w:br w:type="textWrapping"/>
            </w:r>
            <w:r>
              <w:rPr>
                <w:rFonts w:hint="eastAsia"/>
                <w:color w:val="auto"/>
                <w:highlight w:val="none"/>
              </w:rPr>
              <w:t>6.支持应用服务器本地SDK接口服务模式，支持大并发、大数量业务场景；</w:t>
            </w:r>
            <w:r>
              <w:rPr>
                <w:rFonts w:hint="eastAsia"/>
                <w:color w:val="auto"/>
                <w:highlight w:val="none"/>
              </w:rPr>
              <w:br w:type="textWrapping"/>
            </w:r>
            <w:r>
              <w:rPr>
                <w:rFonts w:hint="eastAsia"/>
                <w:color w:val="auto"/>
                <w:highlight w:val="none"/>
              </w:rPr>
              <w:t>7.提供多种语言的封装SDK开发包对接多种语言的信息系统；</w:t>
            </w:r>
            <w:r>
              <w:rPr>
                <w:rFonts w:hint="eastAsia"/>
                <w:color w:val="auto"/>
                <w:highlight w:val="none"/>
              </w:rPr>
              <w:br w:type="textWrapping"/>
            </w:r>
            <w:r>
              <w:rPr>
                <w:rFonts w:hint="eastAsia"/>
                <w:color w:val="auto"/>
                <w:highlight w:val="none"/>
              </w:rPr>
              <w:t>8.统计和分析系统及密码资源池的使用状况，让用户对平台的业务使用状况、密码资源使用状况进行数据统计；</w:t>
            </w:r>
            <w:r>
              <w:rPr>
                <w:rFonts w:hint="eastAsia"/>
                <w:color w:val="auto"/>
                <w:highlight w:val="none"/>
              </w:rPr>
              <w:br w:type="textWrapping"/>
            </w:r>
            <w:r>
              <w:rPr>
                <w:rFonts w:hint="eastAsia"/>
                <w:color w:val="auto"/>
                <w:highlight w:val="none"/>
              </w:rPr>
              <w:t>9.统计展示设备的数量以及运行状态、服务的数量以及运行状态和许可的统计信息、各业</w:t>
            </w:r>
            <w:r>
              <w:rPr>
                <w:rFonts w:hint="eastAsia"/>
                <w:color w:val="auto"/>
                <w:highlight w:val="none"/>
              </w:rPr>
              <w:br w:type="textWrapping"/>
            </w:r>
            <w:r>
              <w:rPr>
                <w:rFonts w:hint="eastAsia"/>
                <w:color w:val="auto"/>
                <w:highlight w:val="none"/>
              </w:rPr>
              <w:t>务服务的业务数据使用总量、最近一段时间的业务调用趋势、服务和授权的实时告警信息等；</w:t>
            </w:r>
            <w:r>
              <w:rPr>
                <w:rFonts w:hint="eastAsia"/>
                <w:color w:val="auto"/>
                <w:highlight w:val="none"/>
              </w:rPr>
              <w:br w:type="textWrapping"/>
            </w:r>
            <w:r>
              <w:rPr>
                <w:rFonts w:hint="eastAsia"/>
                <w:color w:val="auto"/>
                <w:highlight w:val="none"/>
              </w:rPr>
              <w:t>10.支持对称密钥、非对称密钥的集中安全产生、存储和全生命周期管理，支持SM2、RSA、SM4、AES等密钥算法；</w:t>
            </w:r>
            <w:r>
              <w:rPr>
                <w:rFonts w:hint="eastAsia"/>
                <w:color w:val="auto"/>
                <w:highlight w:val="none"/>
              </w:rPr>
              <w:br w:type="textWrapping"/>
            </w:r>
            <w:r>
              <w:rPr>
                <w:rFonts w:hint="eastAsia"/>
                <w:color w:val="auto"/>
                <w:highlight w:val="none"/>
              </w:rPr>
              <w:t>11.支持不同应用间密钥数据安全隔离；</w:t>
            </w:r>
            <w:r>
              <w:rPr>
                <w:rFonts w:hint="eastAsia"/>
                <w:color w:val="auto"/>
                <w:highlight w:val="none"/>
              </w:rPr>
              <w:br w:type="textWrapping"/>
            </w:r>
            <w:r>
              <w:rPr>
                <w:rFonts w:hint="eastAsia"/>
                <w:color w:val="auto"/>
                <w:highlight w:val="none"/>
              </w:rPr>
              <w:t>12.支持基于应用进行管理数据加密密钥；</w:t>
            </w:r>
            <w:r>
              <w:rPr>
                <w:rFonts w:hint="eastAsia"/>
                <w:color w:val="auto"/>
                <w:highlight w:val="none"/>
              </w:rPr>
              <w:br w:type="textWrapping"/>
            </w:r>
            <w:r>
              <w:rPr>
                <w:rFonts w:hint="eastAsia"/>
                <w:color w:val="auto"/>
                <w:highlight w:val="none"/>
              </w:rPr>
              <w:t>13.通过云密码机接口实现创建、删除、启动、停止、重启虚拟机的管理；同时支持应用密码一体机宿主机管理、一体机分层管理（镜像、设备），基于应用密码一体机实现虚拟密码服务的快速交付；</w:t>
            </w:r>
            <w:r>
              <w:rPr>
                <w:rFonts w:hint="eastAsia"/>
                <w:color w:val="auto"/>
                <w:highlight w:val="none"/>
              </w:rPr>
              <w:br w:type="textWrapping"/>
            </w:r>
            <w:r>
              <w:rPr>
                <w:color w:val="auto"/>
                <w:highlight w:val="none"/>
              </w:rPr>
              <w:t>14.</w:t>
            </w:r>
            <w:r>
              <w:rPr>
                <w:rFonts w:hint="eastAsia"/>
                <w:color w:val="auto"/>
                <w:highlight w:val="none"/>
              </w:rPr>
              <w:t>管理可利用的虚拟</w:t>
            </w:r>
            <w:r>
              <w:rPr>
                <w:color w:val="auto"/>
                <w:highlight w:val="none"/>
              </w:rPr>
              <w:t>IP</w:t>
            </w:r>
            <w:r>
              <w:rPr>
                <w:rFonts w:hint="eastAsia"/>
                <w:color w:val="auto"/>
                <w:highlight w:val="none"/>
              </w:rPr>
              <w:t>资源，实现创建虚拟密码机时自动从宿主机中获取资源进行虚机网络配置；</w:t>
            </w:r>
            <w:r>
              <w:rPr>
                <w:rFonts w:hint="eastAsia"/>
                <w:color w:val="auto"/>
                <w:highlight w:val="none"/>
              </w:rPr>
              <w:br w:type="textWrapping"/>
            </w:r>
            <w:r>
              <w:rPr>
                <w:rFonts w:hint="eastAsia"/>
                <w:color w:val="auto"/>
                <w:highlight w:val="none"/>
              </w:rPr>
              <w:t>15.通过设备组管理并将虚拟机逻辑绑定在设备组内，将设备进行隔离形成多个可利用的密码资源池，为不同的服务指定密码运算所使用的相应的设备组，用于实现不同服务或不同应用之间的密码运算隔离；</w:t>
            </w:r>
            <w:r>
              <w:rPr>
                <w:rFonts w:hint="eastAsia"/>
                <w:color w:val="auto"/>
                <w:highlight w:val="none"/>
              </w:rPr>
              <w:br w:type="textWrapping"/>
            </w:r>
            <w:r>
              <w:rPr>
                <w:rFonts w:hint="eastAsia"/>
                <w:color w:val="auto"/>
                <w:highlight w:val="none"/>
              </w:rPr>
              <w:t>16.创建密码服务实例并指定实例的可用设备组，并自动为服务实例下发设备信息，服务实例将使用该设备组所对应的密码设备进行密码运算；</w:t>
            </w:r>
            <w:r>
              <w:rPr>
                <w:rFonts w:hint="eastAsia"/>
                <w:color w:val="auto"/>
                <w:highlight w:val="none"/>
              </w:rPr>
              <w:br w:type="textWrapping"/>
            </w:r>
            <w:r>
              <w:rPr>
                <w:color w:val="auto"/>
                <w:highlight w:val="none"/>
              </w:rPr>
              <w:t>17.</w:t>
            </w:r>
            <w:r>
              <w:rPr>
                <w:rFonts w:hint="eastAsia"/>
                <w:color w:val="auto"/>
                <w:highlight w:val="none"/>
              </w:rPr>
              <w:t>支持对服务实例的启动、停止，通过</w:t>
            </w:r>
            <w:r>
              <w:rPr>
                <w:color w:val="auto"/>
                <w:highlight w:val="none"/>
              </w:rPr>
              <w:t>WEB</w:t>
            </w:r>
            <w:r>
              <w:rPr>
                <w:rFonts w:hint="eastAsia"/>
                <w:color w:val="auto"/>
                <w:highlight w:val="none"/>
              </w:rPr>
              <w:t>页面快速的实现服务实例的添加和运维，且租户独立管理自有VPC，可自行管理密码资源、应用、服务、设备等。</w:t>
            </w:r>
          </w:p>
        </w:tc>
        <w:tc>
          <w:tcPr>
            <w:tcW w:w="351"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1套</w:t>
            </w:r>
          </w:p>
        </w:tc>
      </w:tr>
      <w:tr>
        <w:tblPrEx>
          <w:tblCellMar>
            <w:top w:w="0" w:type="dxa"/>
            <w:left w:w="0" w:type="dxa"/>
            <w:bottom w:w="0" w:type="dxa"/>
            <w:right w:w="0" w:type="dxa"/>
          </w:tblCellMar>
        </w:tblPrEx>
        <w:trPr>
          <w:trHeight w:val="360" w:hRule="atLeast"/>
        </w:trPr>
        <w:tc>
          <w:tcPr>
            <w:tcW w:w="179"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1.2</w:t>
            </w:r>
          </w:p>
        </w:tc>
        <w:tc>
          <w:tcPr>
            <w:tcW w:w="452"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站点</w:t>
            </w:r>
          </w:p>
          <w:p>
            <w:pPr>
              <w:jc w:val="center"/>
              <w:rPr>
                <w:color w:val="auto"/>
                <w:highlight w:val="none"/>
              </w:rPr>
            </w:pPr>
            <w:r>
              <w:rPr>
                <w:rFonts w:hint="eastAsia"/>
                <w:color w:val="auto"/>
                <w:highlight w:val="none"/>
              </w:rPr>
              <w:t>证书</w:t>
            </w:r>
          </w:p>
        </w:tc>
        <w:tc>
          <w:tcPr>
            <w:tcW w:w="4016"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1.数字证书支持国产 SM2 算法和国际算法；</w:t>
            </w:r>
            <w:r>
              <w:rPr>
                <w:rFonts w:hint="eastAsia"/>
                <w:color w:val="auto"/>
                <w:highlight w:val="none"/>
              </w:rPr>
              <w:br w:type="textWrapping"/>
            </w:r>
            <w:r>
              <w:rPr>
                <w:rFonts w:hint="eastAsia"/>
                <w:color w:val="auto"/>
                <w:highlight w:val="none"/>
              </w:rPr>
              <w:t>2.证书格式标准遵循x.509v3标准；</w:t>
            </w:r>
            <w:r>
              <w:rPr>
                <w:rFonts w:hint="eastAsia"/>
                <w:color w:val="auto"/>
                <w:highlight w:val="none"/>
              </w:rPr>
              <w:br w:type="textWrapping"/>
            </w:r>
            <w:r>
              <w:rPr>
                <w:rFonts w:hint="eastAsia"/>
                <w:color w:val="auto"/>
                <w:highlight w:val="none"/>
              </w:rPr>
              <w:t>3.可标识站点身份（ip地址扩展）</w:t>
            </w:r>
            <w:r>
              <w:rPr>
                <w:rFonts w:hint="eastAsia"/>
                <w:color w:val="auto"/>
                <w:highlight w:val="none"/>
              </w:rPr>
              <w:br w:type="textWrapping"/>
            </w:r>
            <w:r>
              <w:rPr>
                <w:rFonts w:hint="eastAsia"/>
                <w:color w:val="auto"/>
                <w:highlight w:val="none"/>
              </w:rPr>
              <w:t>4.支持自定义证书扩展域管理。</w:t>
            </w:r>
            <w:r>
              <w:rPr>
                <w:rFonts w:hint="eastAsia"/>
                <w:color w:val="auto"/>
                <w:highlight w:val="none"/>
              </w:rPr>
              <w:br w:type="textWrapping"/>
            </w:r>
            <w:r>
              <w:rPr>
                <w:rFonts w:hint="eastAsia"/>
                <w:color w:val="auto"/>
                <w:highlight w:val="none"/>
              </w:rPr>
              <w:t>5.数字证书颁发机构具备相关法规许可资质</w:t>
            </w:r>
          </w:p>
        </w:tc>
        <w:tc>
          <w:tcPr>
            <w:tcW w:w="351"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1套</w:t>
            </w:r>
          </w:p>
        </w:tc>
      </w:tr>
    </w:tbl>
    <w:p>
      <w:pPr>
        <w:jc w:val="left"/>
        <w:rPr>
          <w:color w:val="auto"/>
          <w:highlight w:val="none"/>
        </w:rPr>
      </w:pPr>
    </w:p>
    <w:p>
      <w:pPr>
        <w:pStyle w:val="8"/>
        <w:jc w:val="left"/>
        <w:rPr>
          <w:color w:val="auto"/>
          <w:highlight w:val="none"/>
        </w:rPr>
      </w:pPr>
      <w:r>
        <w:rPr>
          <w:rFonts w:hint="eastAsia"/>
          <w:color w:val="auto"/>
          <w:highlight w:val="none"/>
        </w:rPr>
        <w:t>（4）安全软件</w:t>
      </w:r>
    </w:p>
    <w:tbl>
      <w:tblPr>
        <w:tblStyle w:val="52"/>
        <w:tblW w:w="5098" w:type="pct"/>
        <w:tblInd w:w="0" w:type="dxa"/>
        <w:tblLayout w:type="autofit"/>
        <w:tblCellMar>
          <w:top w:w="0" w:type="dxa"/>
          <w:left w:w="0" w:type="dxa"/>
          <w:bottom w:w="0" w:type="dxa"/>
          <w:right w:w="0" w:type="dxa"/>
        </w:tblCellMar>
      </w:tblPr>
      <w:tblGrid>
        <w:gridCol w:w="346"/>
        <w:gridCol w:w="870"/>
        <w:gridCol w:w="7735"/>
        <w:gridCol w:w="676"/>
      </w:tblGrid>
      <w:tr>
        <w:tblPrEx>
          <w:tblCellMar>
            <w:top w:w="0" w:type="dxa"/>
            <w:left w:w="0" w:type="dxa"/>
            <w:bottom w:w="0" w:type="dxa"/>
            <w:right w:w="0" w:type="dxa"/>
          </w:tblCellMar>
        </w:tblPrEx>
        <w:trPr>
          <w:trHeight w:val="363" w:hRule="atLeast"/>
          <w:tblHeader/>
        </w:trPr>
        <w:tc>
          <w:tcPr>
            <w:tcW w:w="176"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b/>
                <w:color w:val="auto"/>
                <w:highlight w:val="none"/>
              </w:rPr>
            </w:pPr>
            <w:r>
              <w:rPr>
                <w:rFonts w:hint="eastAsia"/>
                <w:b/>
                <w:color w:val="auto"/>
                <w:highlight w:val="none"/>
              </w:rPr>
              <w:t>序号</w:t>
            </w:r>
          </w:p>
        </w:tc>
        <w:tc>
          <w:tcPr>
            <w:tcW w:w="443"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b/>
                <w:color w:val="auto"/>
                <w:highlight w:val="none"/>
              </w:rPr>
            </w:pPr>
            <w:r>
              <w:rPr>
                <w:rFonts w:hint="eastAsia"/>
                <w:b/>
                <w:color w:val="auto"/>
                <w:highlight w:val="none"/>
              </w:rPr>
              <w:t>软件名称</w:t>
            </w:r>
          </w:p>
        </w:tc>
        <w:tc>
          <w:tcPr>
            <w:tcW w:w="3937"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b/>
                <w:color w:val="auto"/>
                <w:highlight w:val="none"/>
              </w:rPr>
            </w:pPr>
            <w:r>
              <w:rPr>
                <w:rFonts w:hint="eastAsia"/>
                <w:b/>
                <w:color w:val="auto"/>
                <w:highlight w:val="none"/>
              </w:rPr>
              <w:t>性能参数</w:t>
            </w:r>
          </w:p>
        </w:tc>
        <w:tc>
          <w:tcPr>
            <w:tcW w:w="344"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b/>
                <w:color w:val="auto"/>
                <w:highlight w:val="none"/>
              </w:rPr>
            </w:pPr>
            <w:r>
              <w:rPr>
                <w:rFonts w:hint="eastAsia"/>
                <w:b/>
                <w:color w:val="auto"/>
                <w:highlight w:val="none"/>
              </w:rPr>
              <w:t>数量（套）</w:t>
            </w:r>
          </w:p>
        </w:tc>
      </w:tr>
      <w:tr>
        <w:tblPrEx>
          <w:tblCellMar>
            <w:top w:w="0" w:type="dxa"/>
            <w:left w:w="0" w:type="dxa"/>
            <w:bottom w:w="0" w:type="dxa"/>
            <w:right w:w="0" w:type="dxa"/>
          </w:tblCellMar>
        </w:tblPrEx>
        <w:trPr>
          <w:trHeight w:val="360" w:hRule="atLeast"/>
        </w:trPr>
        <w:tc>
          <w:tcPr>
            <w:tcW w:w="176"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b/>
                <w:color w:val="auto"/>
                <w:highlight w:val="none"/>
              </w:rPr>
            </w:pPr>
            <w:r>
              <w:rPr>
                <w:rFonts w:hint="eastAsia"/>
                <w:b/>
                <w:color w:val="auto"/>
                <w:highlight w:val="none"/>
              </w:rPr>
              <w:t>1</w:t>
            </w:r>
          </w:p>
        </w:tc>
        <w:tc>
          <w:tcPr>
            <w:tcW w:w="443"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b/>
                <w:color w:val="auto"/>
                <w:highlight w:val="none"/>
              </w:rPr>
            </w:pPr>
            <w:r>
              <w:rPr>
                <w:rFonts w:hint="eastAsia"/>
                <w:b/>
                <w:color w:val="auto"/>
                <w:highlight w:val="none"/>
              </w:rPr>
              <w:t>安全</w:t>
            </w:r>
          </w:p>
          <w:p>
            <w:pPr>
              <w:jc w:val="center"/>
              <w:rPr>
                <w:b/>
                <w:color w:val="auto"/>
                <w:highlight w:val="none"/>
              </w:rPr>
            </w:pPr>
            <w:r>
              <w:rPr>
                <w:rFonts w:hint="eastAsia"/>
                <w:b/>
                <w:color w:val="auto"/>
                <w:highlight w:val="none"/>
              </w:rPr>
              <w:t>软件</w:t>
            </w:r>
          </w:p>
        </w:tc>
        <w:tc>
          <w:tcPr>
            <w:tcW w:w="3937"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b/>
                <w:color w:val="auto"/>
                <w:highlight w:val="none"/>
              </w:rPr>
            </w:pPr>
          </w:p>
        </w:tc>
        <w:tc>
          <w:tcPr>
            <w:tcW w:w="344"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b/>
                <w:color w:val="auto"/>
                <w:highlight w:val="none"/>
              </w:rPr>
            </w:pPr>
          </w:p>
        </w:tc>
      </w:tr>
      <w:tr>
        <w:tblPrEx>
          <w:tblCellMar>
            <w:top w:w="0" w:type="dxa"/>
            <w:left w:w="0" w:type="dxa"/>
            <w:bottom w:w="0" w:type="dxa"/>
            <w:right w:w="0" w:type="dxa"/>
          </w:tblCellMar>
        </w:tblPrEx>
        <w:trPr>
          <w:trHeight w:val="360" w:hRule="atLeast"/>
        </w:trPr>
        <w:tc>
          <w:tcPr>
            <w:tcW w:w="176"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1.1</w:t>
            </w:r>
          </w:p>
        </w:tc>
        <w:tc>
          <w:tcPr>
            <w:tcW w:w="443"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态势感知探针</w:t>
            </w:r>
          </w:p>
        </w:tc>
        <w:tc>
          <w:tcPr>
            <w:tcW w:w="3937"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1、对区域内流量采集，实现威胁事件分析，邮件，FTP 等多协议监测，弱点服务器监测，攻击者画像等功能。支持互联网应用以及内网应用两种应用模式，支持 http、ftp、smtp、pop3.smb、imap 等协议报文;支持Mysql/MSSQL/DB2/0racle 等协议报文;支持基于特征库的入侵攻击检测，并且支持自定义安全规则，包括安全漏洞、Web安全检测、僵木蠕等恶意软件检测、木马后门、拒绝服务、数据库攻击、蠕虫病毒、弱口令等待攻击类型检测</w:t>
            </w:r>
          </w:p>
          <w:p>
            <w:pPr>
              <w:jc w:val="left"/>
              <w:rPr>
                <w:color w:val="auto"/>
                <w:highlight w:val="none"/>
              </w:rPr>
            </w:pPr>
            <w:r>
              <w:rPr>
                <w:rFonts w:hint="eastAsia"/>
                <w:color w:val="auto"/>
                <w:highlight w:val="none"/>
              </w:rPr>
              <w:t>2、要求探针流量处理能力不低于10Gbps，满足本次建设需求。</w:t>
            </w:r>
          </w:p>
          <w:p>
            <w:pPr>
              <w:jc w:val="left"/>
              <w:rPr>
                <w:color w:val="auto"/>
                <w:highlight w:val="none"/>
              </w:rPr>
            </w:pPr>
            <w:r>
              <w:rPr>
                <w:rFonts w:hint="eastAsia"/>
                <w:color w:val="auto"/>
                <w:highlight w:val="none"/>
              </w:rPr>
              <w:t>3、配置3年威胁情报升级授权，规则库升级授权。</w:t>
            </w:r>
          </w:p>
          <w:p>
            <w:pPr>
              <w:jc w:val="left"/>
              <w:rPr>
                <w:color w:val="auto"/>
                <w:highlight w:val="none"/>
              </w:rPr>
            </w:pPr>
            <w:r>
              <w:rPr>
                <w:rFonts w:hint="eastAsia"/>
                <w:color w:val="auto"/>
                <w:highlight w:val="none"/>
              </w:rPr>
              <w:t>4、2U机箱,冗余电源，不少于16核CPU，8T硬盘，不低于4个千兆电口，4个万兆光口，支持不少于1个扩展槽位。</w:t>
            </w:r>
          </w:p>
          <w:p>
            <w:pPr>
              <w:jc w:val="left"/>
              <w:rPr>
                <w:color w:val="auto"/>
                <w:highlight w:val="none"/>
              </w:rPr>
            </w:pPr>
            <w:r>
              <w:rPr>
                <w:rFonts w:hint="eastAsia"/>
                <w:color w:val="auto"/>
                <w:highlight w:val="none"/>
              </w:rPr>
              <w:t>5、要求与现有态势感知平台实现统一管理。</w:t>
            </w:r>
            <w:r>
              <w:rPr>
                <w:rFonts w:hint="eastAsia"/>
                <w:color w:val="auto"/>
                <w:highlight w:val="none"/>
              </w:rPr>
              <w:br w:type="textWrapping"/>
            </w:r>
            <w:r>
              <w:rPr>
                <w:rFonts w:hint="eastAsia"/>
                <w:color w:val="auto"/>
                <w:highlight w:val="none"/>
              </w:rPr>
              <w:t>▲满足云内原有274台服务器与本次新建213台服务器授权</w:t>
            </w:r>
          </w:p>
        </w:tc>
        <w:tc>
          <w:tcPr>
            <w:tcW w:w="344"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2套</w:t>
            </w:r>
          </w:p>
        </w:tc>
      </w:tr>
      <w:tr>
        <w:tblPrEx>
          <w:tblCellMar>
            <w:top w:w="0" w:type="dxa"/>
            <w:left w:w="0" w:type="dxa"/>
            <w:bottom w:w="0" w:type="dxa"/>
            <w:right w:w="0" w:type="dxa"/>
          </w:tblCellMar>
        </w:tblPrEx>
        <w:trPr>
          <w:trHeight w:val="360" w:hRule="atLeast"/>
        </w:trPr>
        <w:tc>
          <w:tcPr>
            <w:tcW w:w="176"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1.2</w:t>
            </w:r>
          </w:p>
        </w:tc>
        <w:tc>
          <w:tcPr>
            <w:tcW w:w="443"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主机安全防护</w:t>
            </w:r>
          </w:p>
        </w:tc>
        <w:tc>
          <w:tcPr>
            <w:tcW w:w="3937"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▲面向云资源（ECS弹性计算实例和GPU弹性计算实例）及其物理服务器资产提供主机安全检测及响应功能，本次配置27（A中心）+11（B</w:t>
            </w:r>
          </w:p>
          <w:p>
            <w:pPr>
              <w:jc w:val="left"/>
              <w:rPr>
                <w:color w:val="auto"/>
                <w:highlight w:val="none"/>
              </w:rPr>
            </w:pPr>
            <w:r>
              <w:rPr>
                <w:rFonts w:hint="eastAsia"/>
                <w:color w:val="auto"/>
                <w:highlight w:val="none"/>
              </w:rPr>
              <w:t>中心）节点软件授权。</w:t>
            </w:r>
            <w:r>
              <w:rPr>
                <w:rFonts w:hint="eastAsia"/>
                <w:color w:val="auto"/>
                <w:highlight w:val="none"/>
              </w:rPr>
              <w:br w:type="textWrapping"/>
            </w:r>
            <w:r>
              <w:rPr>
                <w:rFonts w:hint="eastAsia"/>
                <w:color w:val="auto"/>
                <w:highlight w:val="none"/>
              </w:rPr>
              <w:t>1、漏洞管理：通过收集云服务器组件、软件版本、文件、注册表等信息确认漏洞，通过控制台或者调用OpenAPI触发漏洞修复。</w:t>
            </w:r>
            <w:r>
              <w:rPr>
                <w:rFonts w:hint="eastAsia"/>
                <w:color w:val="auto"/>
                <w:highlight w:val="none"/>
              </w:rPr>
              <w:br w:type="textWrapping"/>
            </w:r>
            <w:r>
              <w:rPr>
                <w:rFonts w:hint="eastAsia"/>
                <w:color w:val="auto"/>
                <w:highlight w:val="none"/>
              </w:rPr>
              <w:t>2、基线检查：服务端根据策略下发基线检查请求，根据相应的检测策略收集主机信息，并与安全基线进行对照判断风险。</w:t>
            </w:r>
            <w:r>
              <w:rPr>
                <w:rFonts w:hint="eastAsia"/>
                <w:color w:val="auto"/>
                <w:highlight w:val="none"/>
              </w:rPr>
              <w:br w:type="textWrapping"/>
            </w:r>
            <w:r>
              <w:rPr>
                <w:rFonts w:hint="eastAsia"/>
                <w:color w:val="auto"/>
                <w:highlight w:val="none"/>
              </w:rPr>
              <w:t>3、风险暴露：关联资产及应用的SLB、DNAT、EIP、安全组等网络信息，盘点云环境对外提供服务的资产、应用情况。</w:t>
            </w:r>
            <w:r>
              <w:rPr>
                <w:rFonts w:hint="eastAsia"/>
                <w:color w:val="auto"/>
                <w:highlight w:val="none"/>
              </w:rPr>
              <w:br w:type="textWrapping"/>
            </w:r>
            <w:r>
              <w:rPr>
                <w:rFonts w:hint="eastAsia"/>
                <w:color w:val="auto"/>
                <w:highlight w:val="none"/>
              </w:rPr>
              <w:t>4、病毒防御：支持二进制特征/行为、webshell、脚本、勒索诱捕等病毒检测能力。</w:t>
            </w:r>
            <w:r>
              <w:rPr>
                <w:rFonts w:hint="eastAsia"/>
                <w:color w:val="auto"/>
                <w:highlight w:val="none"/>
              </w:rPr>
              <w:br w:type="textWrapping"/>
            </w:r>
            <w:r>
              <w:rPr>
                <w:rFonts w:hint="eastAsia"/>
                <w:color w:val="auto"/>
                <w:highlight w:val="none"/>
              </w:rPr>
              <w:t>5、防篡改：支持备份还原+驱动拦截双模式，对用户配置的文件防护目录及文件类型提供防篡改能力。</w:t>
            </w:r>
            <w:r>
              <w:rPr>
                <w:rFonts w:hint="eastAsia"/>
                <w:color w:val="auto"/>
                <w:highlight w:val="none"/>
              </w:rPr>
              <w:br w:type="textWrapping"/>
            </w:r>
            <w:r>
              <w:rPr>
                <w:rFonts w:hint="eastAsia"/>
                <w:color w:val="auto"/>
                <w:highlight w:val="none"/>
              </w:rPr>
              <w:t>6、入侵事件：实时展示当前用户云环境中产生的所有风险及其详情，并提供处置和加白功能。</w:t>
            </w:r>
          </w:p>
        </w:tc>
        <w:tc>
          <w:tcPr>
            <w:tcW w:w="344"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1套</w:t>
            </w:r>
          </w:p>
        </w:tc>
      </w:tr>
      <w:tr>
        <w:tblPrEx>
          <w:tblCellMar>
            <w:top w:w="0" w:type="dxa"/>
            <w:left w:w="0" w:type="dxa"/>
            <w:bottom w:w="0" w:type="dxa"/>
            <w:right w:w="0" w:type="dxa"/>
          </w:tblCellMar>
        </w:tblPrEx>
        <w:trPr>
          <w:trHeight w:val="360" w:hRule="atLeast"/>
        </w:trPr>
        <w:tc>
          <w:tcPr>
            <w:tcW w:w="176"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1.3</w:t>
            </w:r>
          </w:p>
        </w:tc>
        <w:tc>
          <w:tcPr>
            <w:tcW w:w="443"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数据安全防护</w:t>
            </w:r>
          </w:p>
        </w:tc>
        <w:tc>
          <w:tcPr>
            <w:tcW w:w="3937" w:type="pct"/>
            <w:tcBorders>
              <w:bottom w:val="single" w:color="auto"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▲对云内的表格存储、关系型数据库、分布式关系型数据库、大数据离线计算和大数据实时计算等云资源提供敏感数据保护和数据审计能力，本次配置150（A中心）+100（B中心）节点软件授权。</w:t>
            </w:r>
            <w:r>
              <w:rPr>
                <w:rFonts w:hint="eastAsia"/>
                <w:color w:val="auto"/>
                <w:highlight w:val="none"/>
              </w:rPr>
              <w:br w:type="textWrapping"/>
            </w:r>
            <w:r>
              <w:rPr>
                <w:color w:val="auto"/>
                <w:highlight w:val="none"/>
              </w:rPr>
              <w:t>1</w:t>
            </w:r>
            <w:r>
              <w:rPr>
                <w:rFonts w:hint="eastAsia"/>
                <w:color w:val="auto"/>
                <w:highlight w:val="none"/>
              </w:rPr>
              <w:t>、敏感数据识别和分类分级模块：提供自动识别、增量检测、分类分级、结果检索和数据资产地图等功能。</w:t>
            </w:r>
            <w:r>
              <w:rPr>
                <w:rFonts w:hint="eastAsia"/>
                <w:color w:val="auto"/>
                <w:highlight w:val="none"/>
              </w:rPr>
              <w:br w:type="textWrapping"/>
            </w:r>
            <w:r>
              <w:rPr>
                <w:rFonts w:hint="eastAsia"/>
                <w:color w:val="auto"/>
                <w:highlight w:val="none"/>
              </w:rPr>
              <w:t>2、敏感数据防护模块：提供静态脱敏、动态脱敏、数据水印、脱敏模板等功能</w:t>
            </w:r>
            <w:r>
              <w:rPr>
                <w:rFonts w:hint="eastAsia"/>
                <w:color w:val="auto"/>
                <w:highlight w:val="none"/>
              </w:rPr>
              <w:br w:type="textWrapping"/>
            </w:r>
            <w:r>
              <w:rPr>
                <w:rFonts w:hint="eastAsia"/>
                <w:color w:val="auto"/>
                <w:highlight w:val="none"/>
              </w:rPr>
              <w:t>3、全域数据风险感知与审计模块：提供异常行为检测、智能安全审计、数据流转监控、数据安全报告等功能</w:t>
            </w:r>
            <w:r>
              <w:rPr>
                <w:rFonts w:hint="eastAsia"/>
                <w:color w:val="auto"/>
                <w:highlight w:val="none"/>
              </w:rPr>
              <w:br w:type="textWrapping"/>
            </w:r>
            <w:r>
              <w:rPr>
                <w:rFonts w:hint="eastAsia"/>
                <w:color w:val="auto"/>
                <w:highlight w:val="none"/>
              </w:rPr>
              <w:t>4、数据权限管理模块：提供数据源授权管理、平台账号权限统计、用户账号行为分析等功能。</w:t>
            </w:r>
          </w:p>
          <w:p>
            <w:pPr>
              <w:jc w:val="left"/>
              <w:rPr>
                <w:color w:val="auto"/>
                <w:highlight w:val="none"/>
              </w:rPr>
            </w:pPr>
          </w:p>
        </w:tc>
        <w:tc>
          <w:tcPr>
            <w:tcW w:w="344" w:type="pct"/>
            <w:tcBorders>
              <w:top w:val="single" w:color="000000"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jc w:val="center"/>
              <w:rPr>
                <w:color w:val="auto"/>
                <w:highlight w:val="none"/>
              </w:rPr>
            </w:pPr>
            <w:r>
              <w:rPr>
                <w:rFonts w:hint="eastAsia"/>
                <w:color w:val="auto"/>
                <w:highlight w:val="none"/>
              </w:rPr>
              <w:t>1套</w:t>
            </w:r>
          </w:p>
        </w:tc>
      </w:tr>
    </w:tbl>
    <w:p>
      <w:pPr>
        <w:rPr>
          <w:color w:val="auto"/>
          <w:highlight w:val="none"/>
        </w:rPr>
      </w:pPr>
    </w:p>
    <w:p>
      <w:pPr>
        <w:pStyle w:val="7"/>
        <w:rPr>
          <w:color w:val="auto"/>
          <w:highlight w:val="none"/>
        </w:rPr>
      </w:pPr>
      <w:bookmarkStart w:id="13" w:name="_Hlk219123731"/>
      <w:r>
        <w:rPr>
          <w:rFonts w:hint="eastAsia"/>
          <w:color w:val="auto"/>
          <w:highlight w:val="none"/>
        </w:rPr>
        <w:t>4、</w:t>
      </w:r>
      <w:r>
        <w:rPr>
          <w:rFonts w:hint="eastAsia"/>
          <w:bCs/>
          <w:color w:val="auto"/>
          <w:highlight w:val="none"/>
        </w:rPr>
        <w:t>定制开发软件</w:t>
      </w:r>
    </w:p>
    <w:p>
      <w:pPr>
        <w:rPr>
          <w:color w:val="auto"/>
          <w:highlight w:val="none"/>
        </w:rPr>
      </w:pPr>
      <w:r>
        <w:rPr>
          <w:rFonts w:hint="eastAsia"/>
          <w:color w:val="auto"/>
          <w:highlight w:val="none"/>
        </w:rPr>
        <w:t>▲本项目定制开发软件如涉及与现有平台及产品对接与管理需求的需满足兼容性要求，能对接现有与本次升级平台及产品的对接或管理。</w:t>
      </w:r>
    </w:p>
    <w:p>
      <w:pPr>
        <w:rPr>
          <w:color w:val="auto"/>
          <w:highlight w:val="none"/>
        </w:rPr>
      </w:pPr>
      <w:r>
        <w:rPr>
          <w:rFonts w:hint="eastAsia"/>
          <w:color w:val="auto"/>
          <w:highlight w:val="none"/>
        </w:rPr>
        <w:t>▲本项目定制开发软件包含三年运维服务。</w:t>
      </w:r>
    </w:p>
    <w:p>
      <w:pPr>
        <w:rPr>
          <w:color w:val="auto"/>
          <w:highlight w:val="none"/>
        </w:rPr>
      </w:pPr>
      <w:r>
        <w:rPr>
          <w:rFonts w:hint="eastAsia"/>
          <w:color w:val="auto"/>
          <w:highlight w:val="none"/>
        </w:rPr>
        <w:t>本项目定制开发软件功能需求以中标后建设单位实际确认内容为准。</w:t>
      </w:r>
    </w:p>
    <w:p>
      <w:pPr>
        <w:pStyle w:val="8"/>
        <w:rPr>
          <w:color w:val="auto"/>
          <w:highlight w:val="none"/>
        </w:rPr>
      </w:pPr>
      <w:r>
        <w:rPr>
          <w:rFonts w:hint="eastAsia"/>
          <w:color w:val="auto"/>
          <w:highlight w:val="none"/>
        </w:rPr>
        <w:t>（1）两定机构接口数据检测系统</w:t>
      </w:r>
    </w:p>
    <w:tbl>
      <w:tblPr>
        <w:tblStyle w:val="53"/>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23"/>
        <w:gridCol w:w="3879"/>
        <w:gridCol w:w="44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687" w:type="pct"/>
            <w:vMerge w:val="restart"/>
          </w:tcPr>
          <w:p>
            <w:pPr>
              <w:jc w:val="center"/>
              <w:rPr>
                <w:b/>
                <w:bCs/>
                <w:color w:val="auto"/>
                <w:highlight w:val="none"/>
              </w:rPr>
            </w:pPr>
            <w:r>
              <w:rPr>
                <w:rFonts w:hint="eastAsia"/>
                <w:b/>
                <w:bCs/>
                <w:color w:val="auto"/>
                <w:highlight w:val="none"/>
              </w:rPr>
              <w:t>序号</w:t>
            </w:r>
          </w:p>
        </w:tc>
        <w:tc>
          <w:tcPr>
            <w:tcW w:w="2014" w:type="pct"/>
            <w:vMerge w:val="restart"/>
          </w:tcPr>
          <w:p>
            <w:pPr>
              <w:jc w:val="center"/>
              <w:rPr>
                <w:b/>
                <w:bCs/>
                <w:color w:val="auto"/>
                <w:highlight w:val="none"/>
              </w:rPr>
            </w:pPr>
            <w:r>
              <w:rPr>
                <w:rFonts w:hint="eastAsia"/>
                <w:b/>
                <w:bCs/>
                <w:color w:val="auto"/>
                <w:highlight w:val="none"/>
              </w:rPr>
              <w:t>功能</w:t>
            </w:r>
          </w:p>
        </w:tc>
        <w:tc>
          <w:tcPr>
            <w:tcW w:w="2297" w:type="pct"/>
            <w:vMerge w:val="restart"/>
          </w:tcPr>
          <w:p>
            <w:pPr>
              <w:jc w:val="center"/>
              <w:rPr>
                <w:b/>
                <w:bCs/>
                <w:color w:val="auto"/>
                <w:highlight w:val="none"/>
              </w:rPr>
            </w:pPr>
            <w:r>
              <w:rPr>
                <w:rFonts w:hint="eastAsia"/>
                <w:b/>
                <w:bCs/>
                <w:color w:val="auto"/>
                <w:highlight w:val="none"/>
              </w:rPr>
              <w:t>功能描述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687" w:type="pct"/>
            <w:vMerge w:val="continue"/>
          </w:tcPr>
          <w:p>
            <w:pPr>
              <w:rPr>
                <w:color w:val="auto"/>
                <w:highlight w:val="none"/>
              </w:rPr>
            </w:pPr>
          </w:p>
        </w:tc>
        <w:tc>
          <w:tcPr>
            <w:tcW w:w="2014" w:type="pct"/>
            <w:vMerge w:val="continue"/>
          </w:tcPr>
          <w:p>
            <w:pPr>
              <w:rPr>
                <w:color w:val="auto"/>
                <w:highlight w:val="none"/>
              </w:rPr>
            </w:pPr>
          </w:p>
        </w:tc>
        <w:tc>
          <w:tcPr>
            <w:tcW w:w="2297" w:type="pct"/>
            <w:vMerge w:val="continue"/>
          </w:tcPr>
          <w:p>
            <w:pP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87" w:type="pct"/>
            <w:vAlign w:val="center"/>
          </w:tcPr>
          <w:p>
            <w:pPr>
              <w:jc w:val="center"/>
              <w:rPr>
                <w:b/>
                <w:bCs/>
                <w:color w:val="auto"/>
                <w:highlight w:val="none"/>
              </w:rPr>
            </w:pPr>
            <w:r>
              <w:rPr>
                <w:rFonts w:hint="eastAsia"/>
                <w:b/>
                <w:bCs/>
                <w:color w:val="auto"/>
                <w:highlight w:val="none"/>
              </w:rPr>
              <w:t>1</w:t>
            </w:r>
          </w:p>
        </w:tc>
        <w:tc>
          <w:tcPr>
            <w:tcW w:w="2014" w:type="pct"/>
            <w:vAlign w:val="center"/>
          </w:tcPr>
          <w:p>
            <w:pPr>
              <w:jc w:val="center"/>
              <w:rPr>
                <w:b/>
                <w:bCs/>
                <w:color w:val="auto"/>
                <w:highlight w:val="none"/>
              </w:rPr>
            </w:pPr>
            <w:r>
              <w:rPr>
                <w:rFonts w:hint="eastAsia"/>
                <w:b/>
                <w:bCs/>
                <w:color w:val="auto"/>
                <w:highlight w:val="none"/>
              </w:rPr>
              <w:t>两定机构接口数据探针</w:t>
            </w:r>
          </w:p>
        </w:tc>
        <w:tc>
          <w:tcPr>
            <w:tcW w:w="2297" w:type="pct"/>
          </w:tcPr>
          <w:p>
            <w:pPr>
              <w:rPr>
                <w:color w:val="auto"/>
                <w:highlight w:val="none"/>
              </w:rPr>
            </w:pPr>
            <w:r>
              <w:rPr>
                <w:rFonts w:hint="eastAsia"/>
                <w:color w:val="auto"/>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87" w:type="pct"/>
            <w:vAlign w:val="center"/>
          </w:tcPr>
          <w:p>
            <w:pPr>
              <w:jc w:val="center"/>
              <w:rPr>
                <w:b/>
                <w:bCs/>
                <w:color w:val="auto"/>
                <w:highlight w:val="none"/>
              </w:rPr>
            </w:pPr>
            <w:r>
              <w:rPr>
                <w:rFonts w:hint="eastAsia"/>
                <w:b/>
                <w:bCs/>
                <w:color w:val="auto"/>
                <w:highlight w:val="none"/>
              </w:rPr>
              <w:t>1.1</w:t>
            </w:r>
          </w:p>
        </w:tc>
        <w:tc>
          <w:tcPr>
            <w:tcW w:w="2014" w:type="pct"/>
            <w:vAlign w:val="center"/>
          </w:tcPr>
          <w:p>
            <w:pPr>
              <w:jc w:val="center"/>
              <w:rPr>
                <w:b/>
                <w:bCs/>
                <w:color w:val="auto"/>
                <w:highlight w:val="none"/>
              </w:rPr>
            </w:pPr>
            <w:r>
              <w:rPr>
                <w:rFonts w:hint="eastAsia"/>
                <w:b/>
                <w:bCs/>
                <w:color w:val="auto"/>
                <w:highlight w:val="none"/>
              </w:rPr>
              <w:t>两定机构数据探针定制</w:t>
            </w:r>
          </w:p>
        </w:tc>
        <w:tc>
          <w:tcPr>
            <w:tcW w:w="2297" w:type="pct"/>
          </w:tcPr>
          <w:p>
            <w:pPr>
              <w:rPr>
                <w:color w:val="auto"/>
                <w:highlight w:val="none"/>
              </w:rPr>
            </w:pPr>
            <w:r>
              <w:rPr>
                <w:rFonts w:hint="eastAsia"/>
                <w:color w:val="auto"/>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87" w:type="pct"/>
            <w:vAlign w:val="center"/>
          </w:tcPr>
          <w:p>
            <w:pPr>
              <w:jc w:val="center"/>
              <w:rPr>
                <w:color w:val="auto"/>
                <w:highlight w:val="none"/>
              </w:rPr>
            </w:pPr>
            <w:r>
              <w:rPr>
                <w:rFonts w:hint="eastAsia"/>
                <w:color w:val="auto"/>
                <w:highlight w:val="none"/>
              </w:rPr>
              <w:t>1.1.1</w:t>
            </w:r>
          </w:p>
        </w:tc>
        <w:tc>
          <w:tcPr>
            <w:tcW w:w="2014" w:type="pct"/>
            <w:vAlign w:val="center"/>
          </w:tcPr>
          <w:p>
            <w:pPr>
              <w:jc w:val="center"/>
              <w:rPr>
                <w:color w:val="auto"/>
                <w:highlight w:val="none"/>
              </w:rPr>
            </w:pPr>
            <w:r>
              <w:rPr>
                <w:rFonts w:hint="eastAsia"/>
                <w:color w:val="auto"/>
                <w:highlight w:val="none"/>
              </w:rPr>
              <w:t>医保两定机构接口服务环境调研</w:t>
            </w:r>
          </w:p>
        </w:tc>
        <w:tc>
          <w:tcPr>
            <w:tcW w:w="2297" w:type="pct"/>
          </w:tcPr>
          <w:p>
            <w:pPr>
              <w:rPr>
                <w:color w:val="auto"/>
                <w:highlight w:val="none"/>
              </w:rPr>
            </w:pPr>
            <w:r>
              <w:rPr>
                <w:rFonts w:hint="eastAsia"/>
                <w:color w:val="auto"/>
                <w:highlight w:val="none"/>
              </w:rPr>
              <w:t>调研广西医保两定机构接口服务环境，包括开发语言、容器版本、微服务版本、JVM版本、Servlet版本等，汇总成服务环境调研表，作为数据探针定制开发依据。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trPr>
        <w:tc>
          <w:tcPr>
            <w:tcW w:w="687" w:type="pct"/>
            <w:vAlign w:val="center"/>
          </w:tcPr>
          <w:p>
            <w:pPr>
              <w:jc w:val="center"/>
              <w:rPr>
                <w:color w:val="auto"/>
                <w:highlight w:val="none"/>
              </w:rPr>
            </w:pPr>
            <w:r>
              <w:rPr>
                <w:rFonts w:hint="eastAsia"/>
                <w:color w:val="auto"/>
                <w:highlight w:val="none"/>
              </w:rPr>
              <w:t>1.1.2</w:t>
            </w:r>
          </w:p>
        </w:tc>
        <w:tc>
          <w:tcPr>
            <w:tcW w:w="2014" w:type="pct"/>
            <w:vAlign w:val="center"/>
          </w:tcPr>
          <w:p>
            <w:pPr>
              <w:jc w:val="center"/>
              <w:rPr>
                <w:color w:val="auto"/>
                <w:highlight w:val="none"/>
              </w:rPr>
            </w:pPr>
            <w:r>
              <w:rPr>
                <w:rFonts w:hint="eastAsia"/>
                <w:color w:val="auto"/>
                <w:highlight w:val="none"/>
              </w:rPr>
              <w:t>两定机构数据探针定制</w:t>
            </w:r>
          </w:p>
        </w:tc>
        <w:tc>
          <w:tcPr>
            <w:tcW w:w="2297" w:type="pct"/>
          </w:tcPr>
          <w:p>
            <w:pPr>
              <w:rPr>
                <w:color w:val="auto"/>
                <w:highlight w:val="none"/>
              </w:rPr>
            </w:pPr>
            <w:r>
              <w:rPr>
                <w:rFonts w:hint="eastAsia"/>
                <w:color w:val="auto"/>
                <w:highlight w:val="none"/>
              </w:rPr>
              <w:t>根据广西医保两定机构接口服务环境，基于JAVA Agent技术，定制两定机构接口数据探针，在广西医保两定机构接口服务测试环境进行适配，在不影响接口服务的前提下，实时采集两定机构上传数据。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87" w:type="pct"/>
            <w:vAlign w:val="center"/>
          </w:tcPr>
          <w:p>
            <w:pPr>
              <w:jc w:val="center"/>
              <w:rPr>
                <w:b/>
                <w:bCs/>
                <w:color w:val="auto"/>
                <w:highlight w:val="none"/>
              </w:rPr>
            </w:pPr>
            <w:r>
              <w:rPr>
                <w:rFonts w:hint="eastAsia"/>
                <w:b/>
                <w:bCs/>
                <w:color w:val="auto"/>
                <w:highlight w:val="none"/>
              </w:rPr>
              <w:t>1.2</w:t>
            </w:r>
          </w:p>
        </w:tc>
        <w:tc>
          <w:tcPr>
            <w:tcW w:w="2014" w:type="pct"/>
            <w:vAlign w:val="center"/>
          </w:tcPr>
          <w:p>
            <w:pPr>
              <w:jc w:val="center"/>
              <w:rPr>
                <w:b/>
                <w:bCs/>
                <w:color w:val="auto"/>
                <w:highlight w:val="none"/>
              </w:rPr>
            </w:pPr>
            <w:r>
              <w:rPr>
                <w:rFonts w:hint="eastAsia"/>
                <w:b/>
                <w:bCs/>
                <w:color w:val="auto"/>
                <w:highlight w:val="none"/>
              </w:rPr>
              <w:t>两定机构接口数据处理</w:t>
            </w:r>
          </w:p>
        </w:tc>
        <w:tc>
          <w:tcPr>
            <w:tcW w:w="2297" w:type="pct"/>
          </w:tcPr>
          <w:p>
            <w:pPr>
              <w:rPr>
                <w:color w:val="auto"/>
                <w:highlight w:val="none"/>
              </w:rPr>
            </w:pPr>
            <w:r>
              <w:rPr>
                <w:rFonts w:hint="eastAsia"/>
                <w:color w:val="auto"/>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87" w:type="pct"/>
            <w:vAlign w:val="center"/>
          </w:tcPr>
          <w:p>
            <w:pPr>
              <w:jc w:val="center"/>
              <w:rPr>
                <w:color w:val="auto"/>
                <w:highlight w:val="none"/>
              </w:rPr>
            </w:pPr>
            <w:r>
              <w:rPr>
                <w:rFonts w:hint="eastAsia"/>
                <w:color w:val="auto"/>
                <w:highlight w:val="none"/>
              </w:rPr>
              <w:t>1.2.1</w:t>
            </w:r>
          </w:p>
        </w:tc>
        <w:tc>
          <w:tcPr>
            <w:tcW w:w="2014" w:type="pct"/>
            <w:vAlign w:val="center"/>
          </w:tcPr>
          <w:p>
            <w:pPr>
              <w:jc w:val="center"/>
              <w:rPr>
                <w:color w:val="auto"/>
                <w:highlight w:val="none"/>
              </w:rPr>
            </w:pPr>
            <w:r>
              <w:rPr>
                <w:rFonts w:hint="eastAsia"/>
                <w:color w:val="auto"/>
                <w:highlight w:val="none"/>
              </w:rPr>
              <w:t>两定机构接口数据过滤</w:t>
            </w:r>
          </w:p>
        </w:tc>
        <w:tc>
          <w:tcPr>
            <w:tcW w:w="2297" w:type="pct"/>
          </w:tcPr>
          <w:p>
            <w:pPr>
              <w:rPr>
                <w:color w:val="auto"/>
                <w:highlight w:val="none"/>
              </w:rPr>
            </w:pPr>
            <w:r>
              <w:rPr>
                <w:rFonts w:hint="eastAsia"/>
                <w:color w:val="auto"/>
                <w:highlight w:val="none"/>
              </w:rPr>
              <w:t>根据广西医保两定机构接口服务URL地址，以及本地接口URL地址，在线设置数据探针过滤条件，保存即时生效。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87" w:type="pct"/>
            <w:vAlign w:val="center"/>
          </w:tcPr>
          <w:p>
            <w:pPr>
              <w:jc w:val="center"/>
              <w:rPr>
                <w:color w:val="auto"/>
                <w:highlight w:val="none"/>
              </w:rPr>
            </w:pPr>
            <w:r>
              <w:rPr>
                <w:rFonts w:hint="eastAsia"/>
                <w:color w:val="auto"/>
                <w:highlight w:val="none"/>
              </w:rPr>
              <w:t>1.2.2</w:t>
            </w:r>
          </w:p>
        </w:tc>
        <w:tc>
          <w:tcPr>
            <w:tcW w:w="2014" w:type="pct"/>
            <w:vAlign w:val="center"/>
          </w:tcPr>
          <w:p>
            <w:pPr>
              <w:jc w:val="center"/>
              <w:rPr>
                <w:color w:val="auto"/>
                <w:highlight w:val="none"/>
              </w:rPr>
            </w:pPr>
            <w:r>
              <w:rPr>
                <w:rFonts w:hint="eastAsia"/>
                <w:color w:val="auto"/>
                <w:highlight w:val="none"/>
              </w:rPr>
              <w:t>两定机构数据探针分发</w:t>
            </w:r>
          </w:p>
        </w:tc>
        <w:tc>
          <w:tcPr>
            <w:tcW w:w="2297" w:type="pct"/>
          </w:tcPr>
          <w:p>
            <w:pPr>
              <w:rPr>
                <w:color w:val="auto"/>
                <w:highlight w:val="none"/>
              </w:rPr>
            </w:pPr>
            <w:r>
              <w:rPr>
                <w:rFonts w:hint="eastAsia"/>
                <w:color w:val="auto"/>
                <w:highlight w:val="none"/>
              </w:rPr>
              <w:t>数据过滤条件保存后，批量下发至两定机构接口服务中的数据探针，对探针采集数据进行过滤，只保留两定机构接口相关数据。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87" w:type="pct"/>
            <w:vAlign w:val="center"/>
          </w:tcPr>
          <w:p>
            <w:pPr>
              <w:jc w:val="center"/>
              <w:rPr>
                <w:b/>
                <w:bCs/>
                <w:color w:val="auto"/>
                <w:highlight w:val="none"/>
              </w:rPr>
            </w:pPr>
            <w:r>
              <w:rPr>
                <w:rFonts w:hint="eastAsia"/>
                <w:b/>
                <w:bCs/>
                <w:color w:val="auto"/>
                <w:highlight w:val="none"/>
              </w:rPr>
              <w:t>1.3</w:t>
            </w:r>
          </w:p>
        </w:tc>
        <w:tc>
          <w:tcPr>
            <w:tcW w:w="2014" w:type="pct"/>
            <w:vAlign w:val="center"/>
          </w:tcPr>
          <w:p>
            <w:pPr>
              <w:jc w:val="center"/>
              <w:rPr>
                <w:b/>
                <w:bCs/>
                <w:color w:val="auto"/>
                <w:highlight w:val="none"/>
              </w:rPr>
            </w:pPr>
            <w:r>
              <w:rPr>
                <w:rFonts w:hint="eastAsia"/>
                <w:b/>
                <w:bCs/>
                <w:color w:val="auto"/>
                <w:highlight w:val="none"/>
              </w:rPr>
              <w:t>两定机构接口数据解析</w:t>
            </w:r>
          </w:p>
        </w:tc>
        <w:tc>
          <w:tcPr>
            <w:tcW w:w="2297" w:type="pct"/>
          </w:tcPr>
          <w:p>
            <w:pPr>
              <w:rPr>
                <w:color w:val="auto"/>
                <w:highlight w:val="none"/>
              </w:rPr>
            </w:pPr>
            <w:r>
              <w:rPr>
                <w:rFonts w:hint="eastAsia"/>
                <w:color w:val="auto"/>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87" w:type="pct"/>
            <w:vAlign w:val="center"/>
          </w:tcPr>
          <w:p>
            <w:pPr>
              <w:jc w:val="center"/>
              <w:rPr>
                <w:color w:val="auto"/>
                <w:highlight w:val="none"/>
              </w:rPr>
            </w:pPr>
            <w:r>
              <w:rPr>
                <w:rFonts w:hint="eastAsia"/>
                <w:color w:val="auto"/>
                <w:highlight w:val="none"/>
              </w:rPr>
              <w:t>1.3.1</w:t>
            </w:r>
          </w:p>
        </w:tc>
        <w:tc>
          <w:tcPr>
            <w:tcW w:w="2014" w:type="pct"/>
            <w:vAlign w:val="center"/>
          </w:tcPr>
          <w:p>
            <w:pPr>
              <w:jc w:val="center"/>
              <w:rPr>
                <w:color w:val="auto"/>
                <w:highlight w:val="none"/>
              </w:rPr>
            </w:pPr>
            <w:r>
              <w:rPr>
                <w:rFonts w:hint="eastAsia"/>
                <w:color w:val="auto"/>
                <w:highlight w:val="none"/>
              </w:rPr>
              <w:t>接口数据解析算法开发</w:t>
            </w:r>
          </w:p>
        </w:tc>
        <w:tc>
          <w:tcPr>
            <w:tcW w:w="2297" w:type="pct"/>
          </w:tcPr>
          <w:p>
            <w:pPr>
              <w:rPr>
                <w:color w:val="auto"/>
                <w:highlight w:val="none"/>
              </w:rPr>
            </w:pPr>
            <w:r>
              <w:rPr>
                <w:rFonts w:hint="eastAsia"/>
                <w:color w:val="auto"/>
                <w:highlight w:val="none"/>
              </w:rPr>
              <w:t>根据广西医保两定机构上传实际数据，分析两定机构接口数据结构。定制开发数据解析算法，将接口数据转为标准数据结构。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trPr>
        <w:tc>
          <w:tcPr>
            <w:tcW w:w="687" w:type="pct"/>
            <w:vAlign w:val="center"/>
          </w:tcPr>
          <w:p>
            <w:pPr>
              <w:jc w:val="center"/>
              <w:rPr>
                <w:color w:val="auto"/>
                <w:highlight w:val="none"/>
              </w:rPr>
            </w:pPr>
            <w:r>
              <w:rPr>
                <w:rFonts w:hint="eastAsia"/>
                <w:color w:val="auto"/>
                <w:highlight w:val="none"/>
              </w:rPr>
              <w:t>1.3.2</w:t>
            </w:r>
          </w:p>
        </w:tc>
        <w:tc>
          <w:tcPr>
            <w:tcW w:w="2014" w:type="pct"/>
            <w:vAlign w:val="center"/>
          </w:tcPr>
          <w:p>
            <w:pPr>
              <w:jc w:val="center"/>
              <w:rPr>
                <w:color w:val="auto"/>
                <w:highlight w:val="none"/>
              </w:rPr>
            </w:pPr>
            <w:r>
              <w:rPr>
                <w:rFonts w:hint="eastAsia"/>
                <w:color w:val="auto"/>
                <w:highlight w:val="none"/>
              </w:rPr>
              <w:t>接口数据解析模块开发</w:t>
            </w:r>
          </w:p>
        </w:tc>
        <w:tc>
          <w:tcPr>
            <w:tcW w:w="2297" w:type="pct"/>
          </w:tcPr>
          <w:p>
            <w:pPr>
              <w:rPr>
                <w:color w:val="auto"/>
                <w:highlight w:val="none"/>
              </w:rPr>
            </w:pPr>
            <w:r>
              <w:rPr>
                <w:rFonts w:hint="eastAsia"/>
                <w:color w:val="auto"/>
                <w:highlight w:val="none"/>
              </w:rPr>
              <w:t>开发数据解析模块，对数据探针采集的两定机构接口数据进行实时解析，转为标准数据结构。用于数据提取、分析。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87" w:type="pct"/>
            <w:vAlign w:val="center"/>
          </w:tcPr>
          <w:p>
            <w:pPr>
              <w:jc w:val="center"/>
              <w:rPr>
                <w:b/>
                <w:bCs/>
                <w:color w:val="auto"/>
                <w:highlight w:val="none"/>
              </w:rPr>
            </w:pPr>
            <w:r>
              <w:rPr>
                <w:rFonts w:hint="eastAsia"/>
                <w:b/>
                <w:bCs/>
                <w:color w:val="auto"/>
                <w:highlight w:val="none"/>
              </w:rPr>
              <w:t>1.4</w:t>
            </w:r>
          </w:p>
        </w:tc>
        <w:tc>
          <w:tcPr>
            <w:tcW w:w="2014" w:type="pct"/>
            <w:vAlign w:val="center"/>
          </w:tcPr>
          <w:p>
            <w:pPr>
              <w:jc w:val="center"/>
              <w:rPr>
                <w:b/>
                <w:bCs/>
                <w:color w:val="auto"/>
                <w:highlight w:val="none"/>
              </w:rPr>
            </w:pPr>
            <w:r>
              <w:rPr>
                <w:rFonts w:hint="eastAsia"/>
                <w:b/>
                <w:bCs/>
                <w:color w:val="auto"/>
                <w:highlight w:val="none"/>
              </w:rPr>
              <w:t>两定机构接口数据还原</w:t>
            </w:r>
          </w:p>
        </w:tc>
        <w:tc>
          <w:tcPr>
            <w:tcW w:w="2297" w:type="pct"/>
          </w:tcPr>
          <w:p>
            <w:pPr>
              <w:rPr>
                <w:color w:val="auto"/>
                <w:highlight w:val="none"/>
              </w:rPr>
            </w:pPr>
            <w:r>
              <w:rPr>
                <w:rFonts w:hint="eastAsia"/>
                <w:color w:val="auto"/>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87" w:type="pct"/>
            <w:vAlign w:val="center"/>
          </w:tcPr>
          <w:p>
            <w:pPr>
              <w:jc w:val="center"/>
              <w:rPr>
                <w:color w:val="auto"/>
                <w:highlight w:val="none"/>
              </w:rPr>
            </w:pPr>
            <w:r>
              <w:rPr>
                <w:rFonts w:hint="eastAsia"/>
                <w:color w:val="auto"/>
                <w:highlight w:val="none"/>
              </w:rPr>
              <w:t>1.4.1</w:t>
            </w:r>
          </w:p>
        </w:tc>
        <w:tc>
          <w:tcPr>
            <w:tcW w:w="2014" w:type="pct"/>
            <w:vAlign w:val="center"/>
          </w:tcPr>
          <w:p>
            <w:pPr>
              <w:jc w:val="center"/>
              <w:rPr>
                <w:color w:val="auto"/>
                <w:highlight w:val="none"/>
              </w:rPr>
            </w:pPr>
            <w:r>
              <w:rPr>
                <w:rFonts w:hint="eastAsia"/>
                <w:color w:val="auto"/>
                <w:highlight w:val="none"/>
              </w:rPr>
              <w:t>接口数据提取算法开发</w:t>
            </w:r>
          </w:p>
        </w:tc>
        <w:tc>
          <w:tcPr>
            <w:tcW w:w="2297" w:type="pct"/>
          </w:tcPr>
          <w:p>
            <w:pPr>
              <w:rPr>
                <w:color w:val="auto"/>
                <w:highlight w:val="none"/>
              </w:rPr>
            </w:pPr>
            <w:r>
              <w:rPr>
                <w:rFonts w:hint="eastAsia"/>
                <w:color w:val="auto"/>
                <w:highlight w:val="none"/>
              </w:rPr>
              <w:t>将标准格式的两定机构数据，按照国家两定机构接口数据规范，或本地两定机构接口数据规范。定制开发数据提取算法，将各节点数据字段、值提取。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87" w:type="pct"/>
            <w:vAlign w:val="center"/>
          </w:tcPr>
          <w:p>
            <w:pPr>
              <w:jc w:val="center"/>
              <w:rPr>
                <w:color w:val="auto"/>
                <w:highlight w:val="none"/>
              </w:rPr>
            </w:pPr>
            <w:r>
              <w:rPr>
                <w:rFonts w:hint="eastAsia"/>
                <w:color w:val="auto"/>
                <w:highlight w:val="none"/>
              </w:rPr>
              <w:t>1.4.2</w:t>
            </w:r>
          </w:p>
        </w:tc>
        <w:tc>
          <w:tcPr>
            <w:tcW w:w="2014" w:type="pct"/>
            <w:vAlign w:val="center"/>
          </w:tcPr>
          <w:p>
            <w:pPr>
              <w:jc w:val="center"/>
              <w:rPr>
                <w:color w:val="auto"/>
                <w:highlight w:val="none"/>
              </w:rPr>
            </w:pPr>
            <w:r>
              <w:rPr>
                <w:rFonts w:hint="eastAsia"/>
                <w:color w:val="auto"/>
                <w:highlight w:val="none"/>
              </w:rPr>
              <w:t>两定机构接口数据还原</w:t>
            </w:r>
          </w:p>
        </w:tc>
        <w:tc>
          <w:tcPr>
            <w:tcW w:w="2297" w:type="pct"/>
          </w:tcPr>
          <w:p>
            <w:pPr>
              <w:rPr>
                <w:color w:val="auto"/>
                <w:highlight w:val="none"/>
              </w:rPr>
            </w:pPr>
            <w:r>
              <w:rPr>
                <w:rFonts w:hint="eastAsia"/>
                <w:color w:val="auto"/>
                <w:highlight w:val="none"/>
              </w:rPr>
              <w:t>实时提取接口中各节点数据，并按规范中的接口名称、字段名称进行转义，还原两定机构调用的接口、字段、值，实现两定机构上传数据的完整还原。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87" w:type="pct"/>
            <w:vAlign w:val="center"/>
          </w:tcPr>
          <w:p>
            <w:pPr>
              <w:jc w:val="center"/>
              <w:rPr>
                <w:b/>
                <w:bCs/>
                <w:color w:val="auto"/>
                <w:highlight w:val="none"/>
              </w:rPr>
            </w:pPr>
            <w:r>
              <w:rPr>
                <w:rFonts w:hint="eastAsia"/>
                <w:b/>
                <w:bCs/>
                <w:color w:val="auto"/>
                <w:highlight w:val="none"/>
              </w:rPr>
              <w:t>1.5</w:t>
            </w:r>
          </w:p>
        </w:tc>
        <w:tc>
          <w:tcPr>
            <w:tcW w:w="2014" w:type="pct"/>
            <w:vAlign w:val="center"/>
          </w:tcPr>
          <w:p>
            <w:pPr>
              <w:jc w:val="center"/>
              <w:rPr>
                <w:b/>
                <w:bCs/>
                <w:color w:val="auto"/>
                <w:highlight w:val="none"/>
              </w:rPr>
            </w:pPr>
            <w:r>
              <w:rPr>
                <w:rFonts w:hint="eastAsia"/>
                <w:b/>
                <w:bCs/>
                <w:color w:val="auto"/>
                <w:highlight w:val="none"/>
              </w:rPr>
              <w:t>两定机构接口调用检测</w:t>
            </w:r>
          </w:p>
        </w:tc>
        <w:tc>
          <w:tcPr>
            <w:tcW w:w="2297" w:type="pct"/>
          </w:tcPr>
          <w:p>
            <w:pPr>
              <w:rPr>
                <w:color w:val="auto"/>
                <w:highlight w:val="none"/>
              </w:rPr>
            </w:pPr>
            <w:r>
              <w:rPr>
                <w:rFonts w:hint="eastAsia"/>
                <w:color w:val="auto"/>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87" w:type="pct"/>
            <w:vAlign w:val="center"/>
          </w:tcPr>
          <w:p>
            <w:pPr>
              <w:jc w:val="center"/>
              <w:rPr>
                <w:color w:val="auto"/>
                <w:highlight w:val="none"/>
              </w:rPr>
            </w:pPr>
            <w:r>
              <w:rPr>
                <w:rFonts w:hint="eastAsia"/>
                <w:color w:val="auto"/>
                <w:highlight w:val="none"/>
              </w:rPr>
              <w:t>1.5.1</w:t>
            </w:r>
          </w:p>
        </w:tc>
        <w:tc>
          <w:tcPr>
            <w:tcW w:w="2014" w:type="pct"/>
            <w:vAlign w:val="center"/>
          </w:tcPr>
          <w:p>
            <w:pPr>
              <w:jc w:val="center"/>
              <w:rPr>
                <w:color w:val="auto"/>
                <w:highlight w:val="none"/>
              </w:rPr>
            </w:pPr>
            <w:r>
              <w:rPr>
                <w:rFonts w:hint="eastAsia"/>
                <w:color w:val="auto"/>
                <w:highlight w:val="none"/>
              </w:rPr>
              <w:t>两定机构接口调用实时检测</w:t>
            </w:r>
          </w:p>
        </w:tc>
        <w:tc>
          <w:tcPr>
            <w:tcW w:w="2297" w:type="pct"/>
          </w:tcPr>
          <w:p>
            <w:pPr>
              <w:rPr>
                <w:color w:val="auto"/>
                <w:highlight w:val="none"/>
              </w:rPr>
            </w:pPr>
            <w:r>
              <w:rPr>
                <w:rFonts w:hint="eastAsia"/>
                <w:color w:val="auto"/>
                <w:highlight w:val="none"/>
              </w:rPr>
              <w:t>根据两定机构接口规范中的接口列表，以及各级两定机构接口应用表，对两定机构上传数据时的接口调用进行实时检测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87" w:type="pct"/>
            <w:vAlign w:val="center"/>
          </w:tcPr>
          <w:p>
            <w:pPr>
              <w:jc w:val="center"/>
              <w:rPr>
                <w:color w:val="auto"/>
                <w:highlight w:val="none"/>
              </w:rPr>
            </w:pPr>
            <w:r>
              <w:rPr>
                <w:rFonts w:hint="eastAsia"/>
                <w:color w:val="auto"/>
                <w:highlight w:val="none"/>
              </w:rPr>
              <w:t>1.5.2</w:t>
            </w:r>
          </w:p>
        </w:tc>
        <w:tc>
          <w:tcPr>
            <w:tcW w:w="2014" w:type="pct"/>
            <w:vAlign w:val="center"/>
          </w:tcPr>
          <w:p>
            <w:pPr>
              <w:jc w:val="center"/>
              <w:rPr>
                <w:color w:val="auto"/>
                <w:highlight w:val="none"/>
              </w:rPr>
            </w:pPr>
            <w:r>
              <w:rPr>
                <w:rFonts w:hint="eastAsia"/>
                <w:color w:val="auto"/>
                <w:highlight w:val="none"/>
              </w:rPr>
              <w:t>两定机构接口调用统计</w:t>
            </w:r>
          </w:p>
        </w:tc>
        <w:tc>
          <w:tcPr>
            <w:tcW w:w="2297" w:type="pct"/>
          </w:tcPr>
          <w:p>
            <w:pPr>
              <w:rPr>
                <w:color w:val="auto"/>
                <w:highlight w:val="none"/>
              </w:rPr>
            </w:pPr>
            <w:r>
              <w:rPr>
                <w:rFonts w:hint="eastAsia"/>
                <w:color w:val="auto"/>
                <w:highlight w:val="none"/>
              </w:rPr>
              <w:t>记录一段时间，两定机构的接口调用次数、应调接口数、实调接口数。发现两定机构未改造调用接口。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87" w:type="pct"/>
            <w:vAlign w:val="center"/>
          </w:tcPr>
          <w:p>
            <w:pPr>
              <w:jc w:val="center"/>
              <w:rPr>
                <w:b/>
                <w:bCs/>
                <w:color w:val="auto"/>
                <w:highlight w:val="none"/>
              </w:rPr>
            </w:pPr>
            <w:r>
              <w:rPr>
                <w:rFonts w:hint="eastAsia"/>
                <w:b/>
                <w:bCs/>
                <w:color w:val="auto"/>
                <w:highlight w:val="none"/>
              </w:rPr>
              <w:t>1.6</w:t>
            </w:r>
          </w:p>
        </w:tc>
        <w:tc>
          <w:tcPr>
            <w:tcW w:w="2014" w:type="pct"/>
            <w:vAlign w:val="center"/>
          </w:tcPr>
          <w:p>
            <w:pPr>
              <w:jc w:val="center"/>
              <w:rPr>
                <w:b/>
                <w:bCs/>
                <w:color w:val="auto"/>
                <w:highlight w:val="none"/>
              </w:rPr>
            </w:pPr>
            <w:r>
              <w:rPr>
                <w:rFonts w:hint="eastAsia"/>
                <w:b/>
                <w:bCs/>
                <w:color w:val="auto"/>
                <w:highlight w:val="none"/>
              </w:rPr>
              <w:t>两定机构数据质量检测</w:t>
            </w:r>
          </w:p>
        </w:tc>
        <w:tc>
          <w:tcPr>
            <w:tcW w:w="2297" w:type="pct"/>
          </w:tcPr>
          <w:p>
            <w:pPr>
              <w:rPr>
                <w:color w:val="auto"/>
                <w:highlight w:val="none"/>
              </w:rPr>
            </w:pPr>
            <w:r>
              <w:rPr>
                <w:rFonts w:hint="eastAsia"/>
                <w:color w:val="auto"/>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87" w:type="pct"/>
            <w:vAlign w:val="center"/>
          </w:tcPr>
          <w:p>
            <w:pPr>
              <w:jc w:val="center"/>
              <w:rPr>
                <w:color w:val="auto"/>
                <w:highlight w:val="none"/>
              </w:rPr>
            </w:pPr>
            <w:r>
              <w:rPr>
                <w:rFonts w:hint="eastAsia"/>
                <w:color w:val="auto"/>
                <w:highlight w:val="none"/>
              </w:rPr>
              <w:t>1.6.1</w:t>
            </w:r>
          </w:p>
        </w:tc>
        <w:tc>
          <w:tcPr>
            <w:tcW w:w="2014" w:type="pct"/>
            <w:vAlign w:val="center"/>
          </w:tcPr>
          <w:p>
            <w:pPr>
              <w:jc w:val="center"/>
              <w:rPr>
                <w:color w:val="auto"/>
                <w:highlight w:val="none"/>
              </w:rPr>
            </w:pPr>
            <w:r>
              <w:rPr>
                <w:rFonts w:hint="eastAsia"/>
                <w:color w:val="auto"/>
                <w:highlight w:val="none"/>
              </w:rPr>
              <w:t>两定机构数据实时检测</w:t>
            </w:r>
          </w:p>
        </w:tc>
        <w:tc>
          <w:tcPr>
            <w:tcW w:w="2297" w:type="pct"/>
          </w:tcPr>
          <w:p>
            <w:pPr>
              <w:rPr>
                <w:color w:val="auto"/>
                <w:highlight w:val="none"/>
              </w:rPr>
            </w:pPr>
            <w:r>
              <w:rPr>
                <w:rFonts w:hint="eastAsia"/>
                <w:color w:val="auto"/>
                <w:highlight w:val="none"/>
              </w:rPr>
              <w:t>根据两定机构接口数据检测系统制定、下发的两定机构接口数据检测范围、指标，对两定机构上传数据编码规范性、完整性、一致性进行实时检测。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87" w:type="pct"/>
            <w:vAlign w:val="center"/>
          </w:tcPr>
          <w:p>
            <w:pPr>
              <w:jc w:val="center"/>
              <w:rPr>
                <w:color w:val="auto"/>
                <w:highlight w:val="none"/>
              </w:rPr>
            </w:pPr>
            <w:r>
              <w:rPr>
                <w:rFonts w:hint="eastAsia"/>
                <w:color w:val="auto"/>
                <w:highlight w:val="none"/>
              </w:rPr>
              <w:t>1.6.2</w:t>
            </w:r>
          </w:p>
        </w:tc>
        <w:tc>
          <w:tcPr>
            <w:tcW w:w="2014" w:type="pct"/>
            <w:vAlign w:val="center"/>
          </w:tcPr>
          <w:p>
            <w:pPr>
              <w:jc w:val="center"/>
              <w:rPr>
                <w:color w:val="auto"/>
                <w:highlight w:val="none"/>
              </w:rPr>
            </w:pPr>
            <w:r>
              <w:rPr>
                <w:rFonts w:hint="eastAsia"/>
                <w:color w:val="auto"/>
                <w:highlight w:val="none"/>
              </w:rPr>
              <w:t>两定机构数据问题定位</w:t>
            </w:r>
          </w:p>
        </w:tc>
        <w:tc>
          <w:tcPr>
            <w:tcW w:w="2297" w:type="pct"/>
          </w:tcPr>
          <w:p>
            <w:pPr>
              <w:rPr>
                <w:color w:val="auto"/>
                <w:highlight w:val="none"/>
              </w:rPr>
            </w:pPr>
            <w:r>
              <w:rPr>
                <w:rFonts w:hint="eastAsia"/>
                <w:color w:val="auto"/>
                <w:highlight w:val="none"/>
              </w:rPr>
              <w:t>记录两定机构上传的不合规数据、不合规描述，发现并定位两定机构的数据编码规范性、数据完整性、数据一致性问题。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87" w:type="pct"/>
            <w:vAlign w:val="center"/>
          </w:tcPr>
          <w:p>
            <w:pPr>
              <w:jc w:val="center"/>
              <w:rPr>
                <w:b/>
                <w:bCs/>
                <w:color w:val="auto"/>
                <w:highlight w:val="none"/>
              </w:rPr>
            </w:pPr>
            <w:r>
              <w:rPr>
                <w:rFonts w:hint="eastAsia"/>
                <w:b/>
                <w:bCs/>
                <w:color w:val="auto"/>
                <w:highlight w:val="none"/>
              </w:rPr>
              <w:t>1.7</w:t>
            </w:r>
          </w:p>
        </w:tc>
        <w:tc>
          <w:tcPr>
            <w:tcW w:w="2014" w:type="pct"/>
            <w:vAlign w:val="center"/>
          </w:tcPr>
          <w:p>
            <w:pPr>
              <w:jc w:val="center"/>
              <w:rPr>
                <w:b/>
                <w:bCs/>
                <w:color w:val="auto"/>
                <w:highlight w:val="none"/>
              </w:rPr>
            </w:pPr>
            <w:r>
              <w:rPr>
                <w:rFonts w:hint="eastAsia"/>
                <w:b/>
                <w:bCs/>
                <w:color w:val="auto"/>
                <w:highlight w:val="none"/>
              </w:rPr>
              <w:t>两定机构结算清单检测</w:t>
            </w:r>
          </w:p>
        </w:tc>
        <w:tc>
          <w:tcPr>
            <w:tcW w:w="2297" w:type="pct"/>
          </w:tcPr>
          <w:p>
            <w:pPr>
              <w:rPr>
                <w:color w:val="auto"/>
                <w:highlight w:val="none"/>
              </w:rPr>
            </w:pPr>
            <w:r>
              <w:rPr>
                <w:rFonts w:hint="eastAsia"/>
                <w:color w:val="auto"/>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87" w:type="pct"/>
            <w:vAlign w:val="center"/>
          </w:tcPr>
          <w:p>
            <w:pPr>
              <w:jc w:val="center"/>
              <w:rPr>
                <w:color w:val="auto"/>
                <w:highlight w:val="none"/>
              </w:rPr>
            </w:pPr>
            <w:r>
              <w:rPr>
                <w:rFonts w:hint="eastAsia"/>
                <w:color w:val="auto"/>
                <w:highlight w:val="none"/>
              </w:rPr>
              <w:t>1.7.1</w:t>
            </w:r>
          </w:p>
        </w:tc>
        <w:tc>
          <w:tcPr>
            <w:tcW w:w="2014" w:type="pct"/>
            <w:vAlign w:val="center"/>
          </w:tcPr>
          <w:p>
            <w:pPr>
              <w:jc w:val="center"/>
              <w:rPr>
                <w:color w:val="auto"/>
                <w:highlight w:val="none"/>
              </w:rPr>
            </w:pPr>
            <w:r>
              <w:rPr>
                <w:rFonts w:hint="eastAsia"/>
                <w:color w:val="auto"/>
                <w:highlight w:val="none"/>
              </w:rPr>
              <w:t>两定机构结算清单检测</w:t>
            </w:r>
          </w:p>
        </w:tc>
        <w:tc>
          <w:tcPr>
            <w:tcW w:w="2297" w:type="pct"/>
          </w:tcPr>
          <w:p>
            <w:pPr>
              <w:rPr>
                <w:color w:val="auto"/>
                <w:highlight w:val="none"/>
              </w:rPr>
            </w:pPr>
            <w:r>
              <w:rPr>
                <w:rFonts w:hint="eastAsia"/>
                <w:color w:val="auto"/>
                <w:highlight w:val="none"/>
              </w:rPr>
              <w:t>根据两定机构接口数据检测系统制定、下发的两定机构结算清单质控规则，对两定机构上传结算清单质量进行实时检测。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87" w:type="pct"/>
            <w:vAlign w:val="center"/>
          </w:tcPr>
          <w:p>
            <w:pPr>
              <w:jc w:val="center"/>
              <w:rPr>
                <w:color w:val="auto"/>
                <w:highlight w:val="none"/>
              </w:rPr>
            </w:pPr>
            <w:r>
              <w:rPr>
                <w:rFonts w:hint="eastAsia"/>
                <w:color w:val="auto"/>
                <w:highlight w:val="none"/>
              </w:rPr>
              <w:t>1.7.2</w:t>
            </w:r>
          </w:p>
        </w:tc>
        <w:tc>
          <w:tcPr>
            <w:tcW w:w="2014" w:type="pct"/>
            <w:vAlign w:val="center"/>
          </w:tcPr>
          <w:p>
            <w:pPr>
              <w:jc w:val="center"/>
              <w:rPr>
                <w:color w:val="auto"/>
                <w:highlight w:val="none"/>
              </w:rPr>
            </w:pPr>
            <w:r>
              <w:rPr>
                <w:rFonts w:hint="eastAsia"/>
                <w:color w:val="auto"/>
                <w:highlight w:val="none"/>
              </w:rPr>
              <w:t>结算清单问题检测分析</w:t>
            </w:r>
          </w:p>
        </w:tc>
        <w:tc>
          <w:tcPr>
            <w:tcW w:w="2297" w:type="pct"/>
          </w:tcPr>
          <w:p>
            <w:pPr>
              <w:rPr>
                <w:color w:val="auto"/>
                <w:highlight w:val="none"/>
              </w:rPr>
            </w:pPr>
            <w:r>
              <w:rPr>
                <w:rFonts w:hint="eastAsia"/>
                <w:color w:val="auto"/>
                <w:highlight w:val="none"/>
              </w:rPr>
              <w:t>记录问题结算清单、清单号、质控问题数量、问题描述，发现并定位两定机构结算清单数据合理性问题。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87" w:type="pct"/>
            <w:vAlign w:val="center"/>
          </w:tcPr>
          <w:p>
            <w:pPr>
              <w:jc w:val="center"/>
              <w:rPr>
                <w:b/>
                <w:bCs/>
                <w:color w:val="auto"/>
                <w:highlight w:val="none"/>
              </w:rPr>
            </w:pPr>
            <w:r>
              <w:rPr>
                <w:rFonts w:hint="eastAsia"/>
                <w:b/>
                <w:bCs/>
                <w:color w:val="auto"/>
                <w:highlight w:val="none"/>
              </w:rPr>
              <w:t>2</w:t>
            </w:r>
          </w:p>
        </w:tc>
        <w:tc>
          <w:tcPr>
            <w:tcW w:w="2014" w:type="pct"/>
            <w:vAlign w:val="center"/>
          </w:tcPr>
          <w:p>
            <w:pPr>
              <w:jc w:val="center"/>
              <w:rPr>
                <w:b/>
                <w:bCs/>
                <w:color w:val="auto"/>
                <w:highlight w:val="none"/>
              </w:rPr>
            </w:pPr>
            <w:r>
              <w:rPr>
                <w:rFonts w:hint="eastAsia"/>
                <w:b/>
                <w:bCs/>
                <w:color w:val="auto"/>
                <w:highlight w:val="none"/>
              </w:rPr>
              <w:t>两定机构接口数据检测系统</w:t>
            </w:r>
          </w:p>
        </w:tc>
        <w:tc>
          <w:tcPr>
            <w:tcW w:w="2297" w:type="pct"/>
          </w:tcPr>
          <w:p>
            <w:pPr>
              <w:rPr>
                <w:color w:val="auto"/>
                <w:highlight w:val="none"/>
              </w:rPr>
            </w:pPr>
            <w:r>
              <w:rPr>
                <w:rFonts w:hint="eastAsia"/>
                <w:color w:val="auto"/>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87" w:type="pct"/>
            <w:vAlign w:val="center"/>
          </w:tcPr>
          <w:p>
            <w:pPr>
              <w:jc w:val="center"/>
              <w:rPr>
                <w:b/>
                <w:bCs/>
                <w:color w:val="auto"/>
                <w:highlight w:val="none"/>
              </w:rPr>
            </w:pPr>
            <w:r>
              <w:rPr>
                <w:rFonts w:hint="eastAsia"/>
                <w:b/>
                <w:bCs/>
                <w:color w:val="auto"/>
                <w:highlight w:val="none"/>
              </w:rPr>
              <w:t>2.1</w:t>
            </w:r>
          </w:p>
        </w:tc>
        <w:tc>
          <w:tcPr>
            <w:tcW w:w="2014" w:type="pct"/>
            <w:vAlign w:val="center"/>
          </w:tcPr>
          <w:p>
            <w:pPr>
              <w:jc w:val="center"/>
              <w:rPr>
                <w:b/>
                <w:bCs/>
                <w:color w:val="auto"/>
                <w:highlight w:val="none"/>
              </w:rPr>
            </w:pPr>
            <w:r>
              <w:rPr>
                <w:rFonts w:hint="eastAsia"/>
                <w:b/>
                <w:bCs/>
                <w:color w:val="auto"/>
                <w:highlight w:val="none"/>
              </w:rPr>
              <w:t>两定机构数据质量检测范围维护</w:t>
            </w:r>
          </w:p>
        </w:tc>
        <w:tc>
          <w:tcPr>
            <w:tcW w:w="2297" w:type="pct"/>
          </w:tcPr>
          <w:p>
            <w:pPr>
              <w:rPr>
                <w:color w:val="auto"/>
                <w:highlight w:val="none"/>
              </w:rPr>
            </w:pPr>
            <w:r>
              <w:rPr>
                <w:rFonts w:hint="eastAsia"/>
                <w:color w:val="auto"/>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87" w:type="pct"/>
            <w:vAlign w:val="center"/>
          </w:tcPr>
          <w:p>
            <w:pPr>
              <w:jc w:val="center"/>
              <w:rPr>
                <w:color w:val="auto"/>
                <w:highlight w:val="none"/>
              </w:rPr>
            </w:pPr>
            <w:r>
              <w:rPr>
                <w:rFonts w:hint="eastAsia"/>
                <w:color w:val="auto"/>
                <w:highlight w:val="none"/>
              </w:rPr>
              <w:t>2.1.1</w:t>
            </w:r>
          </w:p>
        </w:tc>
        <w:tc>
          <w:tcPr>
            <w:tcW w:w="2014" w:type="pct"/>
            <w:vAlign w:val="center"/>
          </w:tcPr>
          <w:p>
            <w:pPr>
              <w:jc w:val="center"/>
              <w:rPr>
                <w:color w:val="auto"/>
                <w:highlight w:val="none"/>
              </w:rPr>
            </w:pPr>
            <w:r>
              <w:rPr>
                <w:rFonts w:hint="eastAsia"/>
                <w:color w:val="auto"/>
                <w:highlight w:val="none"/>
              </w:rPr>
              <w:t>接口规范版本及列表维护</w:t>
            </w:r>
          </w:p>
        </w:tc>
        <w:tc>
          <w:tcPr>
            <w:tcW w:w="2297" w:type="pct"/>
          </w:tcPr>
          <w:p>
            <w:pPr>
              <w:rPr>
                <w:color w:val="auto"/>
                <w:highlight w:val="none"/>
              </w:rPr>
            </w:pPr>
            <w:r>
              <w:rPr>
                <w:rFonts w:hint="eastAsia"/>
                <w:color w:val="auto"/>
                <w:highlight w:val="none"/>
              </w:rPr>
              <w:t>在线维护两定机构接口规范版本、接口列表，保存后自动下发至数据探针，探针根据检测范围进行检测，过滤其他数据。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87" w:type="pct"/>
            <w:vAlign w:val="center"/>
          </w:tcPr>
          <w:p>
            <w:pPr>
              <w:jc w:val="center"/>
              <w:rPr>
                <w:color w:val="auto"/>
                <w:highlight w:val="none"/>
              </w:rPr>
            </w:pPr>
            <w:r>
              <w:rPr>
                <w:rFonts w:hint="eastAsia"/>
                <w:color w:val="auto"/>
                <w:highlight w:val="none"/>
              </w:rPr>
              <w:t>2.1.2</w:t>
            </w:r>
          </w:p>
        </w:tc>
        <w:tc>
          <w:tcPr>
            <w:tcW w:w="2014" w:type="pct"/>
            <w:vAlign w:val="center"/>
          </w:tcPr>
          <w:p>
            <w:pPr>
              <w:jc w:val="center"/>
              <w:rPr>
                <w:color w:val="auto"/>
                <w:highlight w:val="none"/>
              </w:rPr>
            </w:pPr>
            <w:r>
              <w:rPr>
                <w:rFonts w:hint="eastAsia"/>
                <w:color w:val="auto"/>
                <w:highlight w:val="none"/>
              </w:rPr>
              <w:t>两定机构数据质量检测范围维护</w:t>
            </w:r>
          </w:p>
        </w:tc>
        <w:tc>
          <w:tcPr>
            <w:tcW w:w="2297" w:type="pct"/>
          </w:tcPr>
          <w:p>
            <w:pPr>
              <w:rPr>
                <w:color w:val="auto"/>
                <w:highlight w:val="none"/>
              </w:rPr>
            </w:pPr>
            <w:r>
              <w:rPr>
                <w:rFonts w:hint="eastAsia"/>
                <w:color w:val="auto"/>
                <w:highlight w:val="none"/>
              </w:rPr>
              <w:t>支持导入两定机构接口规范文档，将文档中的接口列表自动维护成检测范围。支持检测范围的在线新增、修改、删除、批量操作。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87" w:type="pct"/>
            <w:vAlign w:val="center"/>
          </w:tcPr>
          <w:p>
            <w:pPr>
              <w:jc w:val="center"/>
              <w:rPr>
                <w:b/>
                <w:bCs/>
                <w:color w:val="auto"/>
                <w:highlight w:val="none"/>
              </w:rPr>
            </w:pPr>
            <w:r>
              <w:rPr>
                <w:rFonts w:hint="eastAsia"/>
                <w:b/>
                <w:bCs/>
                <w:color w:val="auto"/>
                <w:highlight w:val="none"/>
              </w:rPr>
              <w:t>2.2</w:t>
            </w:r>
          </w:p>
        </w:tc>
        <w:tc>
          <w:tcPr>
            <w:tcW w:w="2014" w:type="pct"/>
            <w:vAlign w:val="center"/>
          </w:tcPr>
          <w:p>
            <w:pPr>
              <w:jc w:val="center"/>
              <w:rPr>
                <w:b/>
                <w:bCs/>
                <w:color w:val="auto"/>
                <w:highlight w:val="none"/>
              </w:rPr>
            </w:pPr>
            <w:r>
              <w:rPr>
                <w:rFonts w:hint="eastAsia"/>
                <w:b/>
                <w:bCs/>
                <w:color w:val="auto"/>
                <w:highlight w:val="none"/>
              </w:rPr>
              <w:t>两定机构数据质量检测规则维护</w:t>
            </w:r>
          </w:p>
        </w:tc>
        <w:tc>
          <w:tcPr>
            <w:tcW w:w="2297" w:type="pct"/>
          </w:tcPr>
          <w:p>
            <w:pPr>
              <w:rPr>
                <w:color w:val="auto"/>
                <w:highlight w:val="none"/>
              </w:rPr>
            </w:pPr>
            <w:r>
              <w:rPr>
                <w:rFonts w:hint="eastAsia"/>
                <w:color w:val="auto"/>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87" w:type="pct"/>
            <w:vAlign w:val="center"/>
          </w:tcPr>
          <w:p>
            <w:pPr>
              <w:jc w:val="center"/>
              <w:rPr>
                <w:color w:val="auto"/>
                <w:highlight w:val="none"/>
              </w:rPr>
            </w:pPr>
            <w:r>
              <w:rPr>
                <w:rFonts w:hint="eastAsia"/>
                <w:color w:val="auto"/>
                <w:highlight w:val="none"/>
              </w:rPr>
              <w:t>2.2.1</w:t>
            </w:r>
          </w:p>
        </w:tc>
        <w:tc>
          <w:tcPr>
            <w:tcW w:w="2014" w:type="pct"/>
            <w:vAlign w:val="center"/>
          </w:tcPr>
          <w:p>
            <w:pPr>
              <w:jc w:val="center"/>
              <w:rPr>
                <w:color w:val="auto"/>
                <w:highlight w:val="none"/>
              </w:rPr>
            </w:pPr>
            <w:r>
              <w:rPr>
                <w:rFonts w:hint="eastAsia"/>
                <w:color w:val="auto"/>
                <w:highlight w:val="none"/>
              </w:rPr>
              <w:t>检测规则维护与下发</w:t>
            </w:r>
          </w:p>
        </w:tc>
        <w:tc>
          <w:tcPr>
            <w:tcW w:w="2297" w:type="pct"/>
          </w:tcPr>
          <w:p>
            <w:pPr>
              <w:rPr>
                <w:color w:val="auto"/>
                <w:highlight w:val="none"/>
              </w:rPr>
            </w:pPr>
            <w:r>
              <w:rPr>
                <w:rFonts w:hint="eastAsia"/>
                <w:color w:val="auto"/>
                <w:highlight w:val="none"/>
              </w:rPr>
              <w:t>在线维护两定机构接口数据、检测规则，保存后自动下发至数据探针，探针根据检测规则进行检测。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87" w:type="pct"/>
            <w:vAlign w:val="center"/>
          </w:tcPr>
          <w:p>
            <w:pPr>
              <w:jc w:val="center"/>
              <w:rPr>
                <w:color w:val="auto"/>
                <w:highlight w:val="none"/>
              </w:rPr>
            </w:pPr>
            <w:r>
              <w:rPr>
                <w:rFonts w:hint="eastAsia"/>
                <w:color w:val="auto"/>
                <w:highlight w:val="none"/>
              </w:rPr>
              <w:t>2.2.2</w:t>
            </w:r>
          </w:p>
        </w:tc>
        <w:tc>
          <w:tcPr>
            <w:tcW w:w="2014" w:type="pct"/>
            <w:vAlign w:val="center"/>
          </w:tcPr>
          <w:p>
            <w:pPr>
              <w:jc w:val="center"/>
              <w:rPr>
                <w:color w:val="auto"/>
                <w:highlight w:val="none"/>
              </w:rPr>
            </w:pPr>
            <w:r>
              <w:rPr>
                <w:rFonts w:hint="eastAsia"/>
                <w:color w:val="auto"/>
                <w:highlight w:val="none"/>
              </w:rPr>
              <w:t>人员基本信息获取接口规则制定</w:t>
            </w:r>
          </w:p>
        </w:tc>
        <w:tc>
          <w:tcPr>
            <w:tcW w:w="2297" w:type="pct"/>
          </w:tcPr>
          <w:p>
            <w:pPr>
              <w:rPr>
                <w:color w:val="auto"/>
                <w:highlight w:val="none"/>
              </w:rPr>
            </w:pPr>
            <w:r>
              <w:rPr>
                <w:rFonts w:hint="eastAsia"/>
                <w:color w:val="auto"/>
                <w:highlight w:val="none"/>
              </w:rPr>
              <w:t>人员基本信息获取接口规则制定，对接口传输就诊凭证类型、就诊凭证编号、卡识别码等字段制定检测规则，作为检测依据。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87" w:type="pct"/>
            <w:vAlign w:val="center"/>
          </w:tcPr>
          <w:p>
            <w:pPr>
              <w:jc w:val="center"/>
              <w:rPr>
                <w:color w:val="auto"/>
                <w:highlight w:val="none"/>
              </w:rPr>
            </w:pPr>
            <w:r>
              <w:rPr>
                <w:rFonts w:hint="eastAsia"/>
                <w:color w:val="auto"/>
                <w:highlight w:val="none"/>
              </w:rPr>
              <w:t>2.2.3</w:t>
            </w:r>
          </w:p>
        </w:tc>
        <w:tc>
          <w:tcPr>
            <w:tcW w:w="2014" w:type="pct"/>
            <w:vAlign w:val="center"/>
          </w:tcPr>
          <w:p>
            <w:pPr>
              <w:jc w:val="center"/>
              <w:rPr>
                <w:color w:val="auto"/>
                <w:highlight w:val="none"/>
              </w:rPr>
            </w:pPr>
            <w:r>
              <w:rPr>
                <w:rFonts w:hint="eastAsia"/>
                <w:color w:val="auto"/>
                <w:highlight w:val="none"/>
              </w:rPr>
              <w:t>定点医药机构信息接口规则制定</w:t>
            </w:r>
          </w:p>
        </w:tc>
        <w:tc>
          <w:tcPr>
            <w:tcW w:w="2297" w:type="pct"/>
          </w:tcPr>
          <w:p>
            <w:pPr>
              <w:rPr>
                <w:color w:val="auto"/>
                <w:highlight w:val="none"/>
              </w:rPr>
            </w:pPr>
            <w:r>
              <w:rPr>
                <w:rFonts w:hint="eastAsia"/>
                <w:color w:val="auto"/>
                <w:highlight w:val="none"/>
              </w:rPr>
              <w:t>定点医药机构信息接口规则制定，对接口传输定点医疗服务机构类型、定点医药机构名称、定点医药机构编号等字段制定检测规则，作为检测依据。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87" w:type="pct"/>
            <w:vAlign w:val="center"/>
          </w:tcPr>
          <w:p>
            <w:pPr>
              <w:jc w:val="center"/>
              <w:rPr>
                <w:color w:val="auto"/>
                <w:highlight w:val="none"/>
              </w:rPr>
            </w:pPr>
            <w:r>
              <w:rPr>
                <w:rFonts w:hint="eastAsia"/>
                <w:color w:val="auto"/>
                <w:highlight w:val="none"/>
              </w:rPr>
              <w:t>2.2.4</w:t>
            </w:r>
          </w:p>
        </w:tc>
        <w:tc>
          <w:tcPr>
            <w:tcW w:w="2014" w:type="pct"/>
            <w:vAlign w:val="center"/>
          </w:tcPr>
          <w:p>
            <w:pPr>
              <w:jc w:val="center"/>
              <w:rPr>
                <w:color w:val="auto"/>
                <w:highlight w:val="none"/>
              </w:rPr>
            </w:pPr>
            <w:r>
              <w:rPr>
                <w:rFonts w:hint="eastAsia"/>
                <w:color w:val="auto"/>
                <w:highlight w:val="none"/>
              </w:rPr>
              <w:t>民族药品目录查询接口规则制定</w:t>
            </w:r>
          </w:p>
        </w:tc>
        <w:tc>
          <w:tcPr>
            <w:tcW w:w="2297" w:type="pct"/>
          </w:tcPr>
          <w:p>
            <w:pPr>
              <w:rPr>
                <w:color w:val="auto"/>
                <w:highlight w:val="none"/>
              </w:rPr>
            </w:pPr>
            <w:r>
              <w:rPr>
                <w:rFonts w:hint="eastAsia"/>
                <w:color w:val="auto"/>
                <w:highlight w:val="none"/>
              </w:rPr>
              <w:t>民族药品目录查询接口规则制定，对接口传输医疗目录编码、通用名编号、药品通用名、药品商品名、有效标志等字段制定检测规则，作为检测依据。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trPr>
        <w:tc>
          <w:tcPr>
            <w:tcW w:w="687" w:type="pct"/>
            <w:vAlign w:val="center"/>
          </w:tcPr>
          <w:p>
            <w:pPr>
              <w:jc w:val="center"/>
              <w:rPr>
                <w:color w:val="auto"/>
                <w:highlight w:val="none"/>
              </w:rPr>
            </w:pPr>
            <w:r>
              <w:rPr>
                <w:rFonts w:hint="eastAsia"/>
                <w:color w:val="auto"/>
                <w:highlight w:val="none"/>
              </w:rPr>
              <w:t>2.2.5</w:t>
            </w:r>
          </w:p>
        </w:tc>
        <w:tc>
          <w:tcPr>
            <w:tcW w:w="2014" w:type="pct"/>
            <w:vAlign w:val="center"/>
          </w:tcPr>
          <w:p>
            <w:pPr>
              <w:jc w:val="center"/>
              <w:rPr>
                <w:color w:val="auto"/>
                <w:highlight w:val="none"/>
              </w:rPr>
            </w:pPr>
            <w:r>
              <w:rPr>
                <w:rFonts w:hint="eastAsia"/>
                <w:color w:val="auto"/>
                <w:highlight w:val="none"/>
              </w:rPr>
              <w:t>医保目录信息查询接口规则制定</w:t>
            </w:r>
          </w:p>
        </w:tc>
        <w:tc>
          <w:tcPr>
            <w:tcW w:w="2297" w:type="pct"/>
          </w:tcPr>
          <w:p>
            <w:pPr>
              <w:rPr>
                <w:color w:val="auto"/>
                <w:highlight w:val="none"/>
              </w:rPr>
            </w:pPr>
            <w:r>
              <w:rPr>
                <w:rFonts w:hint="eastAsia"/>
                <w:color w:val="auto"/>
                <w:highlight w:val="none"/>
              </w:rPr>
              <w:t>医保目录信息查询接口规则制定，对接口传输医保目录编码、参保机构医保区划、医保目录名称、医疗收费项目类别、收费项目等级、目录类别等字段制定检测规则，作为检测依据。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trPr>
        <w:tc>
          <w:tcPr>
            <w:tcW w:w="687" w:type="pct"/>
            <w:vAlign w:val="center"/>
          </w:tcPr>
          <w:p>
            <w:pPr>
              <w:jc w:val="center"/>
              <w:rPr>
                <w:color w:val="auto"/>
                <w:highlight w:val="none"/>
              </w:rPr>
            </w:pPr>
            <w:r>
              <w:rPr>
                <w:rFonts w:hint="eastAsia"/>
                <w:color w:val="auto"/>
                <w:highlight w:val="none"/>
              </w:rPr>
              <w:t>2.2.6</w:t>
            </w:r>
          </w:p>
        </w:tc>
        <w:tc>
          <w:tcPr>
            <w:tcW w:w="2014" w:type="pct"/>
            <w:vAlign w:val="center"/>
          </w:tcPr>
          <w:p>
            <w:pPr>
              <w:jc w:val="center"/>
              <w:rPr>
                <w:color w:val="auto"/>
                <w:highlight w:val="none"/>
              </w:rPr>
            </w:pPr>
            <w:r>
              <w:rPr>
                <w:rFonts w:hint="eastAsia"/>
                <w:color w:val="auto"/>
                <w:highlight w:val="none"/>
              </w:rPr>
              <w:t>医疗目录与医保目录匹配信息查询接口规则制定</w:t>
            </w:r>
          </w:p>
        </w:tc>
        <w:tc>
          <w:tcPr>
            <w:tcW w:w="2297" w:type="pct"/>
          </w:tcPr>
          <w:p>
            <w:pPr>
              <w:rPr>
                <w:color w:val="auto"/>
                <w:highlight w:val="none"/>
              </w:rPr>
            </w:pPr>
            <w:r>
              <w:rPr>
                <w:rFonts w:hint="eastAsia"/>
                <w:color w:val="auto"/>
                <w:highlight w:val="none"/>
              </w:rPr>
              <w:t>医疗目录与医保目录匹配信息查询接口规则制定，对接口传输定点医药机构目录编号、医保目录编码、目录类别、参保机构医保区划、有效标志等字段制定检测规则，作为检测依据。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trPr>
        <w:tc>
          <w:tcPr>
            <w:tcW w:w="687" w:type="pct"/>
            <w:vAlign w:val="center"/>
          </w:tcPr>
          <w:p>
            <w:pPr>
              <w:jc w:val="center"/>
              <w:rPr>
                <w:color w:val="auto"/>
                <w:highlight w:val="none"/>
              </w:rPr>
            </w:pPr>
            <w:r>
              <w:rPr>
                <w:rFonts w:hint="eastAsia"/>
                <w:color w:val="auto"/>
                <w:highlight w:val="none"/>
              </w:rPr>
              <w:t>2.2.7</w:t>
            </w:r>
          </w:p>
        </w:tc>
        <w:tc>
          <w:tcPr>
            <w:tcW w:w="2014" w:type="pct"/>
            <w:vAlign w:val="center"/>
          </w:tcPr>
          <w:p>
            <w:pPr>
              <w:jc w:val="center"/>
              <w:rPr>
                <w:color w:val="auto"/>
                <w:highlight w:val="none"/>
              </w:rPr>
            </w:pPr>
            <w:r>
              <w:rPr>
                <w:rFonts w:hint="eastAsia"/>
                <w:color w:val="auto"/>
                <w:highlight w:val="none"/>
              </w:rPr>
              <w:t>医药机构目录匹配信息查询接口规则制定</w:t>
            </w:r>
          </w:p>
        </w:tc>
        <w:tc>
          <w:tcPr>
            <w:tcW w:w="2297" w:type="pct"/>
          </w:tcPr>
          <w:p>
            <w:pPr>
              <w:rPr>
                <w:color w:val="auto"/>
                <w:highlight w:val="none"/>
              </w:rPr>
            </w:pPr>
            <w:r>
              <w:rPr>
                <w:rFonts w:hint="eastAsia"/>
                <w:color w:val="auto"/>
                <w:highlight w:val="none"/>
              </w:rPr>
              <w:t>医药机构目录匹配信息查询接口规则制定，对接口传输定点医药机构编号、定点医药机构目录编号、定点医药机构目录名称、参保机构医保区划、医疗目录编码等字段制定检测规则，作为检测依据。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trPr>
        <w:tc>
          <w:tcPr>
            <w:tcW w:w="687" w:type="pct"/>
            <w:vAlign w:val="center"/>
          </w:tcPr>
          <w:p>
            <w:pPr>
              <w:jc w:val="center"/>
              <w:rPr>
                <w:color w:val="auto"/>
                <w:highlight w:val="none"/>
              </w:rPr>
            </w:pPr>
            <w:r>
              <w:rPr>
                <w:rFonts w:hint="eastAsia"/>
                <w:color w:val="auto"/>
                <w:highlight w:val="none"/>
              </w:rPr>
              <w:t>2.2.8</w:t>
            </w:r>
          </w:p>
        </w:tc>
        <w:tc>
          <w:tcPr>
            <w:tcW w:w="2014" w:type="pct"/>
            <w:vAlign w:val="center"/>
          </w:tcPr>
          <w:p>
            <w:pPr>
              <w:jc w:val="center"/>
              <w:rPr>
                <w:color w:val="auto"/>
                <w:highlight w:val="none"/>
              </w:rPr>
            </w:pPr>
            <w:r>
              <w:rPr>
                <w:rFonts w:hint="eastAsia"/>
                <w:color w:val="auto"/>
                <w:highlight w:val="none"/>
              </w:rPr>
              <w:t>医保目录限价信息查询接口规则制定</w:t>
            </w:r>
          </w:p>
        </w:tc>
        <w:tc>
          <w:tcPr>
            <w:tcW w:w="2297" w:type="pct"/>
          </w:tcPr>
          <w:p>
            <w:pPr>
              <w:rPr>
                <w:color w:val="auto"/>
                <w:highlight w:val="none"/>
              </w:rPr>
            </w:pPr>
            <w:r>
              <w:rPr>
                <w:rFonts w:hint="eastAsia"/>
                <w:color w:val="auto"/>
                <w:highlight w:val="none"/>
              </w:rPr>
              <w:t>医保目录限价信息查询接口规则制定，对接口传输医保目录编码、医保目录限价类型、医保目录超限处理方式、参保机构医保区划、统筹区等字段制定检测规则，作为检测依据。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trPr>
        <w:tc>
          <w:tcPr>
            <w:tcW w:w="687" w:type="pct"/>
            <w:vAlign w:val="center"/>
          </w:tcPr>
          <w:p>
            <w:pPr>
              <w:jc w:val="center"/>
              <w:rPr>
                <w:color w:val="auto"/>
                <w:highlight w:val="none"/>
              </w:rPr>
            </w:pPr>
            <w:r>
              <w:rPr>
                <w:rFonts w:hint="eastAsia"/>
                <w:color w:val="auto"/>
                <w:highlight w:val="none"/>
              </w:rPr>
              <w:t>2.2.9</w:t>
            </w:r>
          </w:p>
        </w:tc>
        <w:tc>
          <w:tcPr>
            <w:tcW w:w="2014" w:type="pct"/>
            <w:vAlign w:val="center"/>
          </w:tcPr>
          <w:p>
            <w:pPr>
              <w:jc w:val="center"/>
              <w:rPr>
                <w:color w:val="auto"/>
                <w:highlight w:val="none"/>
              </w:rPr>
            </w:pPr>
            <w:r>
              <w:rPr>
                <w:rFonts w:hint="eastAsia"/>
                <w:color w:val="auto"/>
                <w:highlight w:val="none"/>
              </w:rPr>
              <w:t>医保目录先自付比例信息查询接口规则制定</w:t>
            </w:r>
          </w:p>
        </w:tc>
        <w:tc>
          <w:tcPr>
            <w:tcW w:w="2297" w:type="pct"/>
          </w:tcPr>
          <w:p>
            <w:pPr>
              <w:rPr>
                <w:color w:val="auto"/>
                <w:highlight w:val="none"/>
              </w:rPr>
            </w:pPr>
            <w:r>
              <w:rPr>
                <w:rFonts w:hint="eastAsia"/>
                <w:color w:val="auto"/>
                <w:highlight w:val="none"/>
              </w:rPr>
              <w:t>医保目录先自付比例信息查询接口规则制定，对接口传输医保目录编码、医保目录自付比例人员类别、目录自付比例类别、参保机构医保区划、统筹区等字段制定检测规则，作为检测依据。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87" w:type="pct"/>
            <w:vAlign w:val="center"/>
          </w:tcPr>
          <w:p>
            <w:pPr>
              <w:jc w:val="center"/>
              <w:rPr>
                <w:color w:val="auto"/>
                <w:highlight w:val="none"/>
              </w:rPr>
            </w:pPr>
            <w:r>
              <w:rPr>
                <w:rFonts w:hint="eastAsia"/>
                <w:color w:val="auto"/>
                <w:highlight w:val="none"/>
              </w:rPr>
              <w:t>2.2.10</w:t>
            </w:r>
          </w:p>
        </w:tc>
        <w:tc>
          <w:tcPr>
            <w:tcW w:w="2014" w:type="pct"/>
            <w:vAlign w:val="center"/>
          </w:tcPr>
          <w:p>
            <w:pPr>
              <w:jc w:val="center"/>
              <w:rPr>
                <w:color w:val="auto"/>
                <w:highlight w:val="none"/>
              </w:rPr>
            </w:pPr>
            <w:r>
              <w:rPr>
                <w:rFonts w:hint="eastAsia"/>
                <w:color w:val="auto"/>
                <w:highlight w:val="none"/>
              </w:rPr>
              <w:t>字典表查询接口规则制定</w:t>
            </w:r>
          </w:p>
        </w:tc>
        <w:tc>
          <w:tcPr>
            <w:tcW w:w="2297" w:type="pct"/>
          </w:tcPr>
          <w:p>
            <w:pPr>
              <w:rPr>
                <w:color w:val="auto"/>
                <w:highlight w:val="none"/>
              </w:rPr>
            </w:pPr>
            <w:r>
              <w:rPr>
                <w:rFonts w:hint="eastAsia"/>
                <w:color w:val="auto"/>
                <w:highlight w:val="none"/>
              </w:rPr>
              <w:t>字典表查询接口规则制定，对接口传输字典类型、父字典键值、行政区划等字段制定检测规则，作为检测依据。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87" w:type="pct"/>
            <w:vAlign w:val="center"/>
          </w:tcPr>
          <w:p>
            <w:pPr>
              <w:jc w:val="center"/>
              <w:rPr>
                <w:color w:val="auto"/>
                <w:highlight w:val="none"/>
              </w:rPr>
            </w:pPr>
            <w:r>
              <w:rPr>
                <w:rFonts w:hint="eastAsia"/>
                <w:color w:val="auto"/>
                <w:highlight w:val="none"/>
              </w:rPr>
              <w:t>2.2.11</w:t>
            </w:r>
          </w:p>
        </w:tc>
        <w:tc>
          <w:tcPr>
            <w:tcW w:w="2014" w:type="pct"/>
            <w:vAlign w:val="center"/>
          </w:tcPr>
          <w:p>
            <w:pPr>
              <w:jc w:val="center"/>
              <w:rPr>
                <w:color w:val="auto"/>
                <w:highlight w:val="none"/>
              </w:rPr>
            </w:pPr>
            <w:r>
              <w:rPr>
                <w:rFonts w:hint="eastAsia"/>
                <w:color w:val="auto"/>
                <w:highlight w:val="none"/>
              </w:rPr>
              <w:t>人员待遇享受检查接口规则制定</w:t>
            </w:r>
          </w:p>
        </w:tc>
        <w:tc>
          <w:tcPr>
            <w:tcW w:w="2297" w:type="pct"/>
          </w:tcPr>
          <w:p>
            <w:pPr>
              <w:rPr>
                <w:color w:val="auto"/>
                <w:highlight w:val="none"/>
              </w:rPr>
            </w:pPr>
            <w:r>
              <w:rPr>
                <w:rFonts w:hint="eastAsia"/>
                <w:color w:val="auto"/>
                <w:highlight w:val="none"/>
              </w:rPr>
              <w:t>人员待遇享受检查接口规则制定，对接口传输人员编号、险种类型、定点医药机构编号、医疗类别、病种编码、病种名称等字段制定检测规则，作为检测依据。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87" w:type="pct"/>
            <w:vAlign w:val="center"/>
          </w:tcPr>
          <w:p>
            <w:pPr>
              <w:jc w:val="center"/>
              <w:rPr>
                <w:color w:val="auto"/>
                <w:highlight w:val="none"/>
              </w:rPr>
            </w:pPr>
            <w:r>
              <w:rPr>
                <w:rFonts w:hint="eastAsia"/>
                <w:color w:val="auto"/>
                <w:highlight w:val="none"/>
              </w:rPr>
              <w:t>2.2.12</w:t>
            </w:r>
          </w:p>
        </w:tc>
        <w:tc>
          <w:tcPr>
            <w:tcW w:w="2014" w:type="pct"/>
            <w:vAlign w:val="center"/>
          </w:tcPr>
          <w:p>
            <w:pPr>
              <w:jc w:val="center"/>
              <w:rPr>
                <w:color w:val="auto"/>
                <w:highlight w:val="none"/>
              </w:rPr>
            </w:pPr>
            <w:r>
              <w:rPr>
                <w:rFonts w:hint="eastAsia"/>
                <w:color w:val="auto"/>
                <w:highlight w:val="none"/>
              </w:rPr>
              <w:t>药店预结算接口规则制定</w:t>
            </w:r>
          </w:p>
        </w:tc>
        <w:tc>
          <w:tcPr>
            <w:tcW w:w="2297" w:type="pct"/>
          </w:tcPr>
          <w:p>
            <w:pPr>
              <w:rPr>
                <w:color w:val="auto"/>
                <w:highlight w:val="none"/>
              </w:rPr>
            </w:pPr>
            <w:r>
              <w:rPr>
                <w:rFonts w:hint="eastAsia"/>
                <w:color w:val="auto"/>
                <w:highlight w:val="none"/>
              </w:rPr>
              <w:t>药店预结算接口规则制定，对接口传输人员编号、就诊凭证类型、就诊凭证编号、医疗费总额、病种编码、病种名称等字段制定检测规则，作为检测依据。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87" w:type="pct"/>
            <w:vAlign w:val="center"/>
          </w:tcPr>
          <w:p>
            <w:pPr>
              <w:jc w:val="center"/>
              <w:rPr>
                <w:color w:val="auto"/>
                <w:highlight w:val="none"/>
              </w:rPr>
            </w:pPr>
            <w:r>
              <w:rPr>
                <w:rFonts w:hint="eastAsia"/>
                <w:color w:val="auto"/>
                <w:highlight w:val="none"/>
              </w:rPr>
              <w:t>2.2.13</w:t>
            </w:r>
          </w:p>
        </w:tc>
        <w:tc>
          <w:tcPr>
            <w:tcW w:w="2014" w:type="pct"/>
            <w:vAlign w:val="center"/>
          </w:tcPr>
          <w:p>
            <w:pPr>
              <w:jc w:val="center"/>
              <w:rPr>
                <w:color w:val="auto"/>
                <w:highlight w:val="none"/>
              </w:rPr>
            </w:pPr>
            <w:r>
              <w:rPr>
                <w:rFonts w:hint="eastAsia"/>
                <w:color w:val="auto"/>
                <w:highlight w:val="none"/>
              </w:rPr>
              <w:t>药店预结算A接口规则制定</w:t>
            </w:r>
          </w:p>
        </w:tc>
        <w:tc>
          <w:tcPr>
            <w:tcW w:w="2297" w:type="pct"/>
          </w:tcPr>
          <w:p>
            <w:pPr>
              <w:rPr>
                <w:color w:val="auto"/>
                <w:highlight w:val="none"/>
              </w:rPr>
            </w:pPr>
            <w:r>
              <w:rPr>
                <w:rFonts w:hint="eastAsia"/>
                <w:color w:val="auto"/>
                <w:highlight w:val="none"/>
              </w:rPr>
              <w:t>药店预结算A接口规则制定，对接口传输人员编号、就诊凭证类型、就诊凭证编号、医疗费总额、病种编码、病种名称、全自费金额等字段制定检测规则，作为检测依据。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87" w:type="pct"/>
            <w:vAlign w:val="center"/>
          </w:tcPr>
          <w:p>
            <w:pPr>
              <w:jc w:val="center"/>
              <w:rPr>
                <w:color w:val="auto"/>
                <w:highlight w:val="none"/>
              </w:rPr>
            </w:pPr>
            <w:r>
              <w:rPr>
                <w:rFonts w:hint="eastAsia"/>
                <w:color w:val="auto"/>
                <w:highlight w:val="none"/>
              </w:rPr>
              <w:t>2.2.14</w:t>
            </w:r>
          </w:p>
        </w:tc>
        <w:tc>
          <w:tcPr>
            <w:tcW w:w="2014" w:type="pct"/>
            <w:vAlign w:val="center"/>
          </w:tcPr>
          <w:p>
            <w:pPr>
              <w:jc w:val="center"/>
              <w:rPr>
                <w:color w:val="auto"/>
                <w:highlight w:val="none"/>
              </w:rPr>
            </w:pPr>
            <w:r>
              <w:rPr>
                <w:rFonts w:hint="eastAsia"/>
                <w:color w:val="auto"/>
                <w:highlight w:val="none"/>
              </w:rPr>
              <w:t>药店结算接口规则制定</w:t>
            </w:r>
          </w:p>
        </w:tc>
        <w:tc>
          <w:tcPr>
            <w:tcW w:w="2297" w:type="pct"/>
          </w:tcPr>
          <w:p>
            <w:pPr>
              <w:rPr>
                <w:color w:val="auto"/>
                <w:highlight w:val="none"/>
              </w:rPr>
            </w:pPr>
            <w:r>
              <w:rPr>
                <w:rFonts w:hint="eastAsia"/>
                <w:color w:val="auto"/>
                <w:highlight w:val="none"/>
              </w:rPr>
              <w:t>药店结算接口规则制定，对接口传输人员编号、就诊凭证类型、就诊凭证编号、医疗费总额、发票号、病种编码、病种名称、医疗类别等字段制定检测规则，作为检测依据。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trPr>
        <w:tc>
          <w:tcPr>
            <w:tcW w:w="687" w:type="pct"/>
            <w:vAlign w:val="center"/>
          </w:tcPr>
          <w:p>
            <w:pPr>
              <w:jc w:val="center"/>
              <w:rPr>
                <w:color w:val="auto"/>
                <w:highlight w:val="none"/>
              </w:rPr>
            </w:pPr>
            <w:r>
              <w:rPr>
                <w:rFonts w:hint="eastAsia"/>
                <w:color w:val="auto"/>
                <w:highlight w:val="none"/>
              </w:rPr>
              <w:t>2.2.15</w:t>
            </w:r>
          </w:p>
        </w:tc>
        <w:tc>
          <w:tcPr>
            <w:tcW w:w="2014" w:type="pct"/>
            <w:vAlign w:val="center"/>
          </w:tcPr>
          <w:p>
            <w:pPr>
              <w:jc w:val="center"/>
              <w:rPr>
                <w:color w:val="auto"/>
                <w:highlight w:val="none"/>
              </w:rPr>
            </w:pPr>
            <w:r>
              <w:rPr>
                <w:rFonts w:hint="eastAsia"/>
                <w:color w:val="auto"/>
                <w:highlight w:val="none"/>
              </w:rPr>
              <w:t>药店结算A接口规则制定</w:t>
            </w:r>
          </w:p>
        </w:tc>
        <w:tc>
          <w:tcPr>
            <w:tcW w:w="2297" w:type="pct"/>
          </w:tcPr>
          <w:p>
            <w:pPr>
              <w:rPr>
                <w:color w:val="auto"/>
                <w:highlight w:val="none"/>
              </w:rPr>
            </w:pPr>
            <w:r>
              <w:rPr>
                <w:rFonts w:hint="eastAsia"/>
                <w:color w:val="auto"/>
                <w:highlight w:val="none"/>
              </w:rPr>
              <w:t>药店结算A接口规则制定，对接口传输人员编号、就诊凭证类型、就诊凭证编号、医疗费总额、发票号、病种编码、病种名称、超限价自费费用、先行自付金额等字段制定检测规则，作为检测依据。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87" w:type="pct"/>
            <w:vAlign w:val="center"/>
          </w:tcPr>
          <w:p>
            <w:pPr>
              <w:jc w:val="center"/>
              <w:rPr>
                <w:color w:val="auto"/>
                <w:highlight w:val="none"/>
              </w:rPr>
            </w:pPr>
            <w:r>
              <w:rPr>
                <w:rFonts w:hint="eastAsia"/>
                <w:color w:val="auto"/>
                <w:highlight w:val="none"/>
              </w:rPr>
              <w:t>2.2.16</w:t>
            </w:r>
          </w:p>
        </w:tc>
        <w:tc>
          <w:tcPr>
            <w:tcW w:w="2014" w:type="pct"/>
            <w:vAlign w:val="center"/>
          </w:tcPr>
          <w:p>
            <w:pPr>
              <w:jc w:val="center"/>
              <w:rPr>
                <w:color w:val="auto"/>
                <w:highlight w:val="none"/>
              </w:rPr>
            </w:pPr>
            <w:r>
              <w:rPr>
                <w:rFonts w:hint="eastAsia"/>
                <w:color w:val="auto"/>
                <w:highlight w:val="none"/>
              </w:rPr>
              <w:t>药店结算撤销接口规则制定</w:t>
            </w:r>
          </w:p>
        </w:tc>
        <w:tc>
          <w:tcPr>
            <w:tcW w:w="2297" w:type="pct"/>
          </w:tcPr>
          <w:p>
            <w:pPr>
              <w:rPr>
                <w:color w:val="auto"/>
                <w:highlight w:val="none"/>
              </w:rPr>
            </w:pPr>
            <w:r>
              <w:rPr>
                <w:rFonts w:hint="eastAsia"/>
                <w:color w:val="auto"/>
                <w:highlight w:val="none"/>
              </w:rPr>
              <w:t>药店结算撤销接口规则制定，对接口传输结算ID、就诊ID、人员编号等字段制定检测规则，作为检测依据。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87" w:type="pct"/>
            <w:vAlign w:val="center"/>
          </w:tcPr>
          <w:p>
            <w:pPr>
              <w:jc w:val="center"/>
              <w:rPr>
                <w:color w:val="auto"/>
                <w:highlight w:val="none"/>
              </w:rPr>
            </w:pPr>
            <w:r>
              <w:rPr>
                <w:rFonts w:hint="eastAsia"/>
                <w:color w:val="auto"/>
                <w:highlight w:val="none"/>
              </w:rPr>
              <w:t>2.2.17</w:t>
            </w:r>
          </w:p>
        </w:tc>
        <w:tc>
          <w:tcPr>
            <w:tcW w:w="2014" w:type="pct"/>
            <w:vAlign w:val="center"/>
          </w:tcPr>
          <w:p>
            <w:pPr>
              <w:jc w:val="center"/>
              <w:rPr>
                <w:color w:val="auto"/>
                <w:highlight w:val="none"/>
              </w:rPr>
            </w:pPr>
            <w:r>
              <w:rPr>
                <w:rFonts w:hint="eastAsia"/>
                <w:color w:val="auto"/>
                <w:highlight w:val="none"/>
              </w:rPr>
              <w:t>门诊挂号接口规则制定</w:t>
            </w:r>
          </w:p>
        </w:tc>
        <w:tc>
          <w:tcPr>
            <w:tcW w:w="2297" w:type="pct"/>
          </w:tcPr>
          <w:p>
            <w:pPr>
              <w:rPr>
                <w:color w:val="auto"/>
                <w:highlight w:val="none"/>
              </w:rPr>
            </w:pPr>
            <w:r>
              <w:rPr>
                <w:rFonts w:hint="eastAsia"/>
                <w:color w:val="auto"/>
                <w:highlight w:val="none"/>
              </w:rPr>
              <w:t>门诊挂号接口规则制定，对接口传输人员编号、险种类型、住院/门诊号、医师编码、医师姓名等字段制定检测规则，作为检测依据。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87" w:type="pct"/>
            <w:vAlign w:val="center"/>
          </w:tcPr>
          <w:p>
            <w:pPr>
              <w:jc w:val="center"/>
              <w:rPr>
                <w:color w:val="auto"/>
                <w:highlight w:val="none"/>
              </w:rPr>
            </w:pPr>
            <w:r>
              <w:rPr>
                <w:rFonts w:hint="eastAsia"/>
                <w:color w:val="auto"/>
                <w:highlight w:val="none"/>
              </w:rPr>
              <w:t>2.2.18</w:t>
            </w:r>
          </w:p>
        </w:tc>
        <w:tc>
          <w:tcPr>
            <w:tcW w:w="2014" w:type="pct"/>
            <w:vAlign w:val="center"/>
          </w:tcPr>
          <w:p>
            <w:pPr>
              <w:jc w:val="center"/>
              <w:rPr>
                <w:color w:val="auto"/>
                <w:highlight w:val="none"/>
              </w:rPr>
            </w:pPr>
            <w:r>
              <w:rPr>
                <w:rFonts w:hint="eastAsia"/>
                <w:color w:val="auto"/>
                <w:highlight w:val="none"/>
              </w:rPr>
              <w:t>门诊挂号A接口规则制定</w:t>
            </w:r>
          </w:p>
        </w:tc>
        <w:tc>
          <w:tcPr>
            <w:tcW w:w="2297" w:type="pct"/>
          </w:tcPr>
          <w:p>
            <w:pPr>
              <w:rPr>
                <w:color w:val="auto"/>
                <w:highlight w:val="none"/>
              </w:rPr>
            </w:pPr>
            <w:r>
              <w:rPr>
                <w:rFonts w:hint="eastAsia"/>
                <w:color w:val="auto"/>
                <w:highlight w:val="none"/>
              </w:rPr>
              <w:t>门诊挂号A接口规则制定，对接口传输人员编号、险种类型、住院/门诊号、医师编码、医师姓名、科室编码、科室名称等字段制定检测规则，作为检测依据。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87" w:type="pct"/>
            <w:vAlign w:val="center"/>
          </w:tcPr>
          <w:p>
            <w:pPr>
              <w:jc w:val="center"/>
              <w:rPr>
                <w:color w:val="auto"/>
                <w:highlight w:val="none"/>
              </w:rPr>
            </w:pPr>
            <w:r>
              <w:rPr>
                <w:rFonts w:hint="eastAsia"/>
                <w:color w:val="auto"/>
                <w:highlight w:val="none"/>
              </w:rPr>
              <w:t>2.2.19</w:t>
            </w:r>
          </w:p>
        </w:tc>
        <w:tc>
          <w:tcPr>
            <w:tcW w:w="2014" w:type="pct"/>
            <w:vAlign w:val="center"/>
          </w:tcPr>
          <w:p>
            <w:pPr>
              <w:jc w:val="center"/>
              <w:rPr>
                <w:color w:val="auto"/>
                <w:highlight w:val="none"/>
              </w:rPr>
            </w:pPr>
            <w:r>
              <w:rPr>
                <w:rFonts w:hint="eastAsia"/>
                <w:color w:val="auto"/>
                <w:highlight w:val="none"/>
              </w:rPr>
              <w:t>门诊挂号撤销接口规则制定</w:t>
            </w:r>
          </w:p>
        </w:tc>
        <w:tc>
          <w:tcPr>
            <w:tcW w:w="2297" w:type="pct"/>
          </w:tcPr>
          <w:p>
            <w:pPr>
              <w:rPr>
                <w:color w:val="auto"/>
                <w:highlight w:val="none"/>
              </w:rPr>
            </w:pPr>
            <w:r>
              <w:rPr>
                <w:rFonts w:hint="eastAsia"/>
                <w:color w:val="auto"/>
                <w:highlight w:val="none"/>
              </w:rPr>
              <w:t>门诊挂号撤销接口规则制定，对接口传输人员编号、就诊ID、住院/门诊号等字段制定检测规则，作为检测依据。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87" w:type="pct"/>
            <w:vAlign w:val="center"/>
          </w:tcPr>
          <w:p>
            <w:pPr>
              <w:jc w:val="center"/>
              <w:rPr>
                <w:color w:val="auto"/>
                <w:highlight w:val="none"/>
              </w:rPr>
            </w:pPr>
            <w:r>
              <w:rPr>
                <w:rFonts w:hint="eastAsia"/>
                <w:color w:val="auto"/>
                <w:highlight w:val="none"/>
              </w:rPr>
              <w:t>2.2.20</w:t>
            </w:r>
          </w:p>
        </w:tc>
        <w:tc>
          <w:tcPr>
            <w:tcW w:w="2014" w:type="pct"/>
            <w:vAlign w:val="center"/>
          </w:tcPr>
          <w:p>
            <w:pPr>
              <w:jc w:val="center"/>
              <w:rPr>
                <w:color w:val="auto"/>
                <w:highlight w:val="none"/>
              </w:rPr>
            </w:pPr>
            <w:r>
              <w:rPr>
                <w:rFonts w:hint="eastAsia"/>
                <w:color w:val="auto"/>
                <w:highlight w:val="none"/>
              </w:rPr>
              <w:t>门诊就诊信息上传接口规则制定</w:t>
            </w:r>
          </w:p>
        </w:tc>
        <w:tc>
          <w:tcPr>
            <w:tcW w:w="2297" w:type="pct"/>
          </w:tcPr>
          <w:p>
            <w:pPr>
              <w:rPr>
                <w:color w:val="auto"/>
                <w:highlight w:val="none"/>
              </w:rPr>
            </w:pPr>
            <w:r>
              <w:rPr>
                <w:rFonts w:hint="eastAsia"/>
                <w:color w:val="auto"/>
                <w:highlight w:val="none"/>
              </w:rPr>
              <w:t>门诊就诊信息上传接口规则制定，对接口传输人员编号、就诊ID、医疗类别、主要病情描述、病种类型代码等字段制定检测规则，作为检测依据。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87" w:type="pct"/>
            <w:vAlign w:val="center"/>
          </w:tcPr>
          <w:p>
            <w:pPr>
              <w:jc w:val="center"/>
              <w:rPr>
                <w:color w:val="auto"/>
                <w:highlight w:val="none"/>
              </w:rPr>
            </w:pPr>
            <w:r>
              <w:rPr>
                <w:rFonts w:hint="eastAsia"/>
                <w:color w:val="auto"/>
                <w:highlight w:val="none"/>
              </w:rPr>
              <w:t>2.2.21</w:t>
            </w:r>
          </w:p>
        </w:tc>
        <w:tc>
          <w:tcPr>
            <w:tcW w:w="2014" w:type="pct"/>
            <w:vAlign w:val="center"/>
          </w:tcPr>
          <w:p>
            <w:pPr>
              <w:jc w:val="center"/>
              <w:rPr>
                <w:color w:val="auto"/>
                <w:highlight w:val="none"/>
              </w:rPr>
            </w:pPr>
            <w:r>
              <w:rPr>
                <w:rFonts w:hint="eastAsia"/>
                <w:color w:val="auto"/>
                <w:highlight w:val="none"/>
              </w:rPr>
              <w:t>门诊就诊信息上传A接口规则制定</w:t>
            </w:r>
          </w:p>
        </w:tc>
        <w:tc>
          <w:tcPr>
            <w:tcW w:w="2297" w:type="pct"/>
          </w:tcPr>
          <w:p>
            <w:pPr>
              <w:rPr>
                <w:color w:val="auto"/>
                <w:highlight w:val="none"/>
              </w:rPr>
            </w:pPr>
            <w:r>
              <w:rPr>
                <w:rFonts w:hint="eastAsia"/>
                <w:color w:val="auto"/>
                <w:highlight w:val="none"/>
              </w:rPr>
              <w:t>门诊就诊信息上传A接口规则制定，对接口传输人员编号、就诊ID、医疗类别、主要病情描述、病种类型代码、病种编码、病种名称等字段制定检测规则，作为检测依据。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87" w:type="pct"/>
            <w:vAlign w:val="center"/>
          </w:tcPr>
          <w:p>
            <w:pPr>
              <w:jc w:val="center"/>
              <w:rPr>
                <w:color w:val="auto"/>
                <w:highlight w:val="none"/>
              </w:rPr>
            </w:pPr>
            <w:r>
              <w:rPr>
                <w:rFonts w:hint="eastAsia"/>
                <w:color w:val="auto"/>
                <w:highlight w:val="none"/>
              </w:rPr>
              <w:t>2.2.22</w:t>
            </w:r>
          </w:p>
        </w:tc>
        <w:tc>
          <w:tcPr>
            <w:tcW w:w="2014" w:type="pct"/>
            <w:vAlign w:val="center"/>
          </w:tcPr>
          <w:p>
            <w:pPr>
              <w:jc w:val="center"/>
              <w:rPr>
                <w:color w:val="auto"/>
                <w:highlight w:val="none"/>
              </w:rPr>
            </w:pPr>
            <w:r>
              <w:rPr>
                <w:rFonts w:hint="eastAsia"/>
                <w:color w:val="auto"/>
                <w:highlight w:val="none"/>
              </w:rPr>
              <w:t>门诊费用明细信息上传接口规则制定</w:t>
            </w:r>
          </w:p>
        </w:tc>
        <w:tc>
          <w:tcPr>
            <w:tcW w:w="2297" w:type="pct"/>
          </w:tcPr>
          <w:p>
            <w:pPr>
              <w:rPr>
                <w:color w:val="auto"/>
                <w:highlight w:val="none"/>
              </w:rPr>
            </w:pPr>
            <w:r>
              <w:rPr>
                <w:rFonts w:hint="eastAsia"/>
                <w:color w:val="auto"/>
                <w:highlight w:val="none"/>
              </w:rPr>
              <w:t>门诊费用明细信息上传接口规则制定，对接口传输费用明细流水号、就诊ID、人员编号、收费批次号、处方号、外购处方标志等字段制定检测规则，作为检测依据。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87" w:type="pct"/>
            <w:vAlign w:val="center"/>
          </w:tcPr>
          <w:p>
            <w:pPr>
              <w:jc w:val="center"/>
              <w:rPr>
                <w:color w:val="auto"/>
                <w:highlight w:val="none"/>
              </w:rPr>
            </w:pPr>
            <w:r>
              <w:rPr>
                <w:rFonts w:hint="eastAsia"/>
                <w:color w:val="auto"/>
                <w:highlight w:val="none"/>
              </w:rPr>
              <w:t>2.2.23</w:t>
            </w:r>
          </w:p>
        </w:tc>
        <w:tc>
          <w:tcPr>
            <w:tcW w:w="2014" w:type="pct"/>
            <w:vAlign w:val="center"/>
          </w:tcPr>
          <w:p>
            <w:pPr>
              <w:jc w:val="center"/>
              <w:rPr>
                <w:color w:val="auto"/>
                <w:highlight w:val="none"/>
              </w:rPr>
            </w:pPr>
            <w:r>
              <w:rPr>
                <w:rFonts w:hint="eastAsia"/>
                <w:color w:val="auto"/>
                <w:highlight w:val="none"/>
              </w:rPr>
              <w:t>门诊费用明细信息撤销接口规则制定</w:t>
            </w:r>
          </w:p>
        </w:tc>
        <w:tc>
          <w:tcPr>
            <w:tcW w:w="2297" w:type="pct"/>
          </w:tcPr>
          <w:p>
            <w:pPr>
              <w:rPr>
                <w:color w:val="auto"/>
                <w:highlight w:val="none"/>
              </w:rPr>
            </w:pPr>
            <w:r>
              <w:rPr>
                <w:rFonts w:hint="eastAsia"/>
                <w:color w:val="auto"/>
                <w:highlight w:val="none"/>
              </w:rPr>
              <w:t>门诊费用明细信息撤销接口规则制定，对接口传输就诊ID、收费批次号、人员编号等字段制定检测规则，作为检测依据。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87" w:type="pct"/>
            <w:vAlign w:val="center"/>
          </w:tcPr>
          <w:p>
            <w:pPr>
              <w:jc w:val="center"/>
              <w:rPr>
                <w:color w:val="auto"/>
                <w:highlight w:val="none"/>
              </w:rPr>
            </w:pPr>
            <w:r>
              <w:rPr>
                <w:rFonts w:hint="eastAsia"/>
                <w:color w:val="auto"/>
                <w:highlight w:val="none"/>
              </w:rPr>
              <w:t>2.2.24</w:t>
            </w:r>
          </w:p>
        </w:tc>
        <w:tc>
          <w:tcPr>
            <w:tcW w:w="2014" w:type="pct"/>
            <w:vAlign w:val="center"/>
          </w:tcPr>
          <w:p>
            <w:pPr>
              <w:jc w:val="center"/>
              <w:rPr>
                <w:color w:val="auto"/>
                <w:highlight w:val="none"/>
              </w:rPr>
            </w:pPr>
            <w:r>
              <w:rPr>
                <w:rFonts w:hint="eastAsia"/>
                <w:color w:val="auto"/>
                <w:highlight w:val="none"/>
              </w:rPr>
              <w:t>门诊预结算接口规则制定</w:t>
            </w:r>
          </w:p>
        </w:tc>
        <w:tc>
          <w:tcPr>
            <w:tcW w:w="2297" w:type="pct"/>
          </w:tcPr>
          <w:p>
            <w:pPr>
              <w:rPr>
                <w:color w:val="auto"/>
                <w:highlight w:val="none"/>
              </w:rPr>
            </w:pPr>
            <w:r>
              <w:rPr>
                <w:rFonts w:hint="eastAsia"/>
                <w:color w:val="auto"/>
                <w:highlight w:val="none"/>
              </w:rPr>
              <w:t>门诊预结算接口规则制定，对接口传输人员编号、就诊凭证类型、就诊凭证编号、医疗费总额、个人结算方式等字段制定检测规则，作为检测依据。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trPr>
        <w:tc>
          <w:tcPr>
            <w:tcW w:w="687" w:type="pct"/>
            <w:vAlign w:val="center"/>
          </w:tcPr>
          <w:p>
            <w:pPr>
              <w:jc w:val="center"/>
              <w:rPr>
                <w:color w:val="auto"/>
                <w:highlight w:val="none"/>
              </w:rPr>
            </w:pPr>
            <w:r>
              <w:rPr>
                <w:rFonts w:hint="eastAsia"/>
                <w:color w:val="auto"/>
                <w:highlight w:val="none"/>
              </w:rPr>
              <w:t>2.2.25</w:t>
            </w:r>
          </w:p>
        </w:tc>
        <w:tc>
          <w:tcPr>
            <w:tcW w:w="2014" w:type="pct"/>
            <w:vAlign w:val="center"/>
          </w:tcPr>
          <w:p>
            <w:pPr>
              <w:jc w:val="center"/>
              <w:rPr>
                <w:color w:val="auto"/>
                <w:highlight w:val="none"/>
              </w:rPr>
            </w:pPr>
            <w:r>
              <w:rPr>
                <w:rFonts w:hint="eastAsia"/>
                <w:color w:val="auto"/>
                <w:highlight w:val="none"/>
              </w:rPr>
              <w:t>门诊预结算A接口规则制定</w:t>
            </w:r>
          </w:p>
        </w:tc>
        <w:tc>
          <w:tcPr>
            <w:tcW w:w="2297" w:type="pct"/>
          </w:tcPr>
          <w:p>
            <w:pPr>
              <w:rPr>
                <w:color w:val="auto"/>
                <w:highlight w:val="none"/>
              </w:rPr>
            </w:pPr>
            <w:r>
              <w:rPr>
                <w:rFonts w:hint="eastAsia"/>
                <w:color w:val="auto"/>
                <w:highlight w:val="none"/>
              </w:rPr>
              <w:t>门诊预结算A接口规则制定，对接口传输人员编号、就诊凭证类型、就诊凭证编号、医疗费总额、个人结算方式、收费批次号、个人账户使用标志等字段制定检测规则，作为检测依据。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87" w:type="pct"/>
            <w:vAlign w:val="center"/>
          </w:tcPr>
          <w:p>
            <w:pPr>
              <w:jc w:val="center"/>
              <w:rPr>
                <w:color w:val="auto"/>
                <w:highlight w:val="none"/>
              </w:rPr>
            </w:pPr>
            <w:r>
              <w:rPr>
                <w:rFonts w:hint="eastAsia"/>
                <w:color w:val="auto"/>
                <w:highlight w:val="none"/>
              </w:rPr>
              <w:t>2.2.26</w:t>
            </w:r>
          </w:p>
        </w:tc>
        <w:tc>
          <w:tcPr>
            <w:tcW w:w="2014" w:type="pct"/>
            <w:vAlign w:val="center"/>
          </w:tcPr>
          <w:p>
            <w:pPr>
              <w:jc w:val="center"/>
              <w:rPr>
                <w:color w:val="auto"/>
                <w:highlight w:val="none"/>
              </w:rPr>
            </w:pPr>
            <w:r>
              <w:rPr>
                <w:rFonts w:hint="eastAsia"/>
                <w:color w:val="auto"/>
                <w:highlight w:val="none"/>
              </w:rPr>
              <w:t>门诊结算接口规则制定</w:t>
            </w:r>
          </w:p>
        </w:tc>
        <w:tc>
          <w:tcPr>
            <w:tcW w:w="2297" w:type="pct"/>
          </w:tcPr>
          <w:p>
            <w:pPr>
              <w:rPr>
                <w:color w:val="auto"/>
                <w:highlight w:val="none"/>
              </w:rPr>
            </w:pPr>
            <w:r>
              <w:rPr>
                <w:rFonts w:hint="eastAsia"/>
                <w:color w:val="auto"/>
                <w:highlight w:val="none"/>
              </w:rPr>
              <w:t>门诊结算接口规则制定，对接口传输人员编号、就诊凭证类型、就诊凭证编号、医疗费总额、个人结算方式、发票号等字段制定检测规则，作为检测依据。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87" w:type="pct"/>
            <w:vAlign w:val="center"/>
          </w:tcPr>
          <w:p>
            <w:pPr>
              <w:jc w:val="center"/>
              <w:rPr>
                <w:color w:val="auto"/>
                <w:highlight w:val="none"/>
              </w:rPr>
            </w:pPr>
            <w:r>
              <w:rPr>
                <w:rFonts w:hint="eastAsia"/>
                <w:color w:val="auto"/>
                <w:highlight w:val="none"/>
              </w:rPr>
              <w:t>2.2.27</w:t>
            </w:r>
          </w:p>
        </w:tc>
        <w:tc>
          <w:tcPr>
            <w:tcW w:w="2014" w:type="pct"/>
            <w:vAlign w:val="center"/>
          </w:tcPr>
          <w:p>
            <w:pPr>
              <w:jc w:val="center"/>
              <w:rPr>
                <w:color w:val="auto"/>
                <w:highlight w:val="none"/>
              </w:rPr>
            </w:pPr>
            <w:r>
              <w:rPr>
                <w:rFonts w:hint="eastAsia"/>
                <w:color w:val="auto"/>
                <w:highlight w:val="none"/>
              </w:rPr>
              <w:t>门诊结算A接口规则制定</w:t>
            </w:r>
          </w:p>
        </w:tc>
        <w:tc>
          <w:tcPr>
            <w:tcW w:w="2297" w:type="pct"/>
          </w:tcPr>
          <w:p>
            <w:pPr>
              <w:rPr>
                <w:color w:val="auto"/>
                <w:highlight w:val="none"/>
              </w:rPr>
            </w:pPr>
            <w:r>
              <w:rPr>
                <w:rFonts w:hint="eastAsia"/>
                <w:color w:val="auto"/>
                <w:highlight w:val="none"/>
              </w:rPr>
              <w:t>门诊结算A接口规则制定，对接口传输人员编号、就诊凭证类型、就诊凭证编号、医疗费总额、个人结算方式、符合政策范围金额等字段制定检测规则，作为检测依据。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87" w:type="pct"/>
            <w:vAlign w:val="center"/>
          </w:tcPr>
          <w:p>
            <w:pPr>
              <w:jc w:val="center"/>
              <w:rPr>
                <w:color w:val="auto"/>
                <w:highlight w:val="none"/>
              </w:rPr>
            </w:pPr>
            <w:r>
              <w:rPr>
                <w:rFonts w:hint="eastAsia"/>
                <w:color w:val="auto"/>
                <w:highlight w:val="none"/>
              </w:rPr>
              <w:t>2.2.28</w:t>
            </w:r>
          </w:p>
        </w:tc>
        <w:tc>
          <w:tcPr>
            <w:tcW w:w="2014" w:type="pct"/>
            <w:vAlign w:val="center"/>
          </w:tcPr>
          <w:p>
            <w:pPr>
              <w:jc w:val="center"/>
              <w:rPr>
                <w:color w:val="auto"/>
                <w:highlight w:val="none"/>
              </w:rPr>
            </w:pPr>
            <w:r>
              <w:rPr>
                <w:rFonts w:hint="eastAsia"/>
                <w:color w:val="auto"/>
                <w:highlight w:val="none"/>
              </w:rPr>
              <w:t>门诊结算撤销接口规则制定</w:t>
            </w:r>
          </w:p>
        </w:tc>
        <w:tc>
          <w:tcPr>
            <w:tcW w:w="2297" w:type="pct"/>
          </w:tcPr>
          <w:p>
            <w:pPr>
              <w:rPr>
                <w:color w:val="auto"/>
                <w:highlight w:val="none"/>
              </w:rPr>
            </w:pPr>
            <w:r>
              <w:rPr>
                <w:rFonts w:hint="eastAsia"/>
                <w:color w:val="auto"/>
                <w:highlight w:val="none"/>
              </w:rPr>
              <w:t>门诊结算撤销接口规则制定，对接口传输结算ID、就诊ID、人员编号等字段制定检测规则，作为检测依据。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87" w:type="pct"/>
            <w:vAlign w:val="center"/>
          </w:tcPr>
          <w:p>
            <w:pPr>
              <w:jc w:val="center"/>
              <w:rPr>
                <w:color w:val="auto"/>
                <w:highlight w:val="none"/>
              </w:rPr>
            </w:pPr>
            <w:r>
              <w:rPr>
                <w:rFonts w:hint="eastAsia"/>
                <w:color w:val="auto"/>
                <w:highlight w:val="none"/>
              </w:rPr>
              <w:t>2.2.29</w:t>
            </w:r>
          </w:p>
        </w:tc>
        <w:tc>
          <w:tcPr>
            <w:tcW w:w="2014" w:type="pct"/>
            <w:vAlign w:val="center"/>
          </w:tcPr>
          <w:p>
            <w:pPr>
              <w:jc w:val="center"/>
              <w:rPr>
                <w:color w:val="auto"/>
                <w:highlight w:val="none"/>
              </w:rPr>
            </w:pPr>
            <w:r>
              <w:rPr>
                <w:rFonts w:hint="eastAsia"/>
                <w:color w:val="auto"/>
                <w:highlight w:val="none"/>
              </w:rPr>
              <w:t>住院费用明细上传接口规则制定</w:t>
            </w:r>
          </w:p>
        </w:tc>
        <w:tc>
          <w:tcPr>
            <w:tcW w:w="2297" w:type="pct"/>
          </w:tcPr>
          <w:p>
            <w:pPr>
              <w:rPr>
                <w:color w:val="auto"/>
                <w:highlight w:val="none"/>
              </w:rPr>
            </w:pPr>
            <w:r>
              <w:rPr>
                <w:rFonts w:hint="eastAsia"/>
                <w:color w:val="auto"/>
                <w:highlight w:val="none"/>
              </w:rPr>
              <w:t>住院费用明细上传接口规则制定，对接口传输费用明细流水号、原费用流水号、就诊ID、医嘱号等字段制定检测规则，作为检测依据。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87" w:type="pct"/>
            <w:vAlign w:val="center"/>
          </w:tcPr>
          <w:p>
            <w:pPr>
              <w:jc w:val="center"/>
              <w:rPr>
                <w:color w:val="auto"/>
                <w:highlight w:val="none"/>
              </w:rPr>
            </w:pPr>
            <w:r>
              <w:rPr>
                <w:rFonts w:hint="eastAsia"/>
                <w:color w:val="auto"/>
                <w:highlight w:val="none"/>
              </w:rPr>
              <w:t>2.2.30</w:t>
            </w:r>
          </w:p>
        </w:tc>
        <w:tc>
          <w:tcPr>
            <w:tcW w:w="2014" w:type="pct"/>
            <w:vAlign w:val="center"/>
          </w:tcPr>
          <w:p>
            <w:pPr>
              <w:jc w:val="center"/>
              <w:rPr>
                <w:color w:val="auto"/>
                <w:highlight w:val="none"/>
              </w:rPr>
            </w:pPr>
            <w:r>
              <w:rPr>
                <w:rFonts w:hint="eastAsia"/>
                <w:color w:val="auto"/>
                <w:highlight w:val="none"/>
              </w:rPr>
              <w:t>住院费用明细撤销接口规则制定</w:t>
            </w:r>
          </w:p>
        </w:tc>
        <w:tc>
          <w:tcPr>
            <w:tcW w:w="2297" w:type="pct"/>
          </w:tcPr>
          <w:p>
            <w:pPr>
              <w:rPr>
                <w:color w:val="auto"/>
                <w:highlight w:val="none"/>
              </w:rPr>
            </w:pPr>
            <w:r>
              <w:rPr>
                <w:rFonts w:hint="eastAsia"/>
                <w:color w:val="auto"/>
                <w:highlight w:val="none"/>
              </w:rPr>
              <w:t>住院费用明细撤销接口规则制定，对接口传输费用明细流水号、就诊ID、人员编号等字段制定检测规则，作为检测依据。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87" w:type="pct"/>
            <w:vAlign w:val="center"/>
          </w:tcPr>
          <w:p>
            <w:pPr>
              <w:jc w:val="center"/>
              <w:rPr>
                <w:color w:val="auto"/>
                <w:highlight w:val="none"/>
              </w:rPr>
            </w:pPr>
            <w:r>
              <w:rPr>
                <w:rFonts w:hint="eastAsia"/>
                <w:color w:val="auto"/>
                <w:highlight w:val="none"/>
              </w:rPr>
              <w:t>2.2.31</w:t>
            </w:r>
          </w:p>
        </w:tc>
        <w:tc>
          <w:tcPr>
            <w:tcW w:w="2014" w:type="pct"/>
            <w:vAlign w:val="center"/>
          </w:tcPr>
          <w:p>
            <w:pPr>
              <w:jc w:val="center"/>
              <w:rPr>
                <w:color w:val="auto"/>
                <w:highlight w:val="none"/>
              </w:rPr>
            </w:pPr>
            <w:r>
              <w:rPr>
                <w:rFonts w:hint="eastAsia"/>
                <w:color w:val="auto"/>
                <w:highlight w:val="none"/>
              </w:rPr>
              <w:t>住院预结算接口规则制定</w:t>
            </w:r>
          </w:p>
        </w:tc>
        <w:tc>
          <w:tcPr>
            <w:tcW w:w="2297" w:type="pct"/>
          </w:tcPr>
          <w:p>
            <w:pPr>
              <w:rPr>
                <w:color w:val="auto"/>
                <w:highlight w:val="none"/>
              </w:rPr>
            </w:pPr>
            <w:r>
              <w:rPr>
                <w:rFonts w:hint="eastAsia"/>
                <w:color w:val="auto"/>
                <w:highlight w:val="none"/>
              </w:rPr>
              <w:t>住院预结算接口规则制定，对接口传输人员编号、就诊凭证类型、医疗费总额等字段制定检测规则，作为检测依据。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87" w:type="pct"/>
            <w:vAlign w:val="center"/>
          </w:tcPr>
          <w:p>
            <w:pPr>
              <w:jc w:val="center"/>
              <w:rPr>
                <w:color w:val="auto"/>
                <w:highlight w:val="none"/>
              </w:rPr>
            </w:pPr>
            <w:r>
              <w:rPr>
                <w:rFonts w:hint="eastAsia"/>
                <w:color w:val="auto"/>
                <w:highlight w:val="none"/>
              </w:rPr>
              <w:t>2.2.32</w:t>
            </w:r>
          </w:p>
        </w:tc>
        <w:tc>
          <w:tcPr>
            <w:tcW w:w="2014" w:type="pct"/>
            <w:vAlign w:val="center"/>
          </w:tcPr>
          <w:p>
            <w:pPr>
              <w:jc w:val="center"/>
              <w:rPr>
                <w:color w:val="auto"/>
                <w:highlight w:val="none"/>
              </w:rPr>
            </w:pPr>
            <w:r>
              <w:rPr>
                <w:rFonts w:hint="eastAsia"/>
                <w:color w:val="auto"/>
                <w:highlight w:val="none"/>
              </w:rPr>
              <w:t>住院预结算A接口规则制定</w:t>
            </w:r>
          </w:p>
        </w:tc>
        <w:tc>
          <w:tcPr>
            <w:tcW w:w="2297" w:type="pct"/>
          </w:tcPr>
          <w:p>
            <w:pPr>
              <w:rPr>
                <w:color w:val="auto"/>
                <w:highlight w:val="none"/>
              </w:rPr>
            </w:pPr>
            <w:r>
              <w:rPr>
                <w:rFonts w:hint="eastAsia"/>
                <w:color w:val="auto"/>
                <w:highlight w:val="none"/>
              </w:rPr>
              <w:t>住院预结算A接口规则制定，对接口传输人员编号、就诊凭证类型、就诊凭证编号、医疗费总额、参保地医保区划、就医地医保区划等字段制定检测规则，作为检测依据。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87" w:type="pct"/>
            <w:vAlign w:val="center"/>
          </w:tcPr>
          <w:p>
            <w:pPr>
              <w:jc w:val="center"/>
              <w:rPr>
                <w:color w:val="auto"/>
                <w:highlight w:val="none"/>
              </w:rPr>
            </w:pPr>
            <w:r>
              <w:rPr>
                <w:rFonts w:hint="eastAsia"/>
                <w:color w:val="auto"/>
                <w:highlight w:val="none"/>
              </w:rPr>
              <w:t>2.2.33</w:t>
            </w:r>
          </w:p>
        </w:tc>
        <w:tc>
          <w:tcPr>
            <w:tcW w:w="2014" w:type="pct"/>
            <w:vAlign w:val="center"/>
          </w:tcPr>
          <w:p>
            <w:pPr>
              <w:jc w:val="center"/>
              <w:rPr>
                <w:color w:val="auto"/>
                <w:highlight w:val="none"/>
              </w:rPr>
            </w:pPr>
            <w:r>
              <w:rPr>
                <w:rFonts w:hint="eastAsia"/>
                <w:color w:val="auto"/>
                <w:highlight w:val="none"/>
              </w:rPr>
              <w:t>住院结算接口规则制定</w:t>
            </w:r>
          </w:p>
        </w:tc>
        <w:tc>
          <w:tcPr>
            <w:tcW w:w="2297" w:type="pct"/>
          </w:tcPr>
          <w:p>
            <w:pPr>
              <w:rPr>
                <w:color w:val="auto"/>
                <w:highlight w:val="none"/>
              </w:rPr>
            </w:pPr>
            <w:r>
              <w:rPr>
                <w:rFonts w:hint="eastAsia"/>
                <w:color w:val="auto"/>
                <w:highlight w:val="none"/>
              </w:rPr>
              <w:t>住院结算接口规则制定，对接口传输人员编号、就诊凭证类型、就诊凭证编号、医疗费总额、全自费金额、超限价金额等字段制定检测规则，作为检测依据。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trPr>
        <w:tc>
          <w:tcPr>
            <w:tcW w:w="687" w:type="pct"/>
            <w:vAlign w:val="center"/>
          </w:tcPr>
          <w:p>
            <w:pPr>
              <w:jc w:val="center"/>
              <w:rPr>
                <w:color w:val="auto"/>
                <w:highlight w:val="none"/>
              </w:rPr>
            </w:pPr>
            <w:r>
              <w:rPr>
                <w:rFonts w:hint="eastAsia"/>
                <w:color w:val="auto"/>
                <w:highlight w:val="none"/>
              </w:rPr>
              <w:t>2.2.34</w:t>
            </w:r>
          </w:p>
        </w:tc>
        <w:tc>
          <w:tcPr>
            <w:tcW w:w="2014" w:type="pct"/>
            <w:vAlign w:val="center"/>
          </w:tcPr>
          <w:p>
            <w:pPr>
              <w:jc w:val="center"/>
              <w:rPr>
                <w:color w:val="auto"/>
                <w:highlight w:val="none"/>
              </w:rPr>
            </w:pPr>
            <w:r>
              <w:rPr>
                <w:rFonts w:hint="eastAsia"/>
                <w:color w:val="auto"/>
                <w:highlight w:val="none"/>
              </w:rPr>
              <w:t>住院结算A接口规则制定</w:t>
            </w:r>
          </w:p>
        </w:tc>
        <w:tc>
          <w:tcPr>
            <w:tcW w:w="2297" w:type="pct"/>
          </w:tcPr>
          <w:p>
            <w:pPr>
              <w:rPr>
                <w:color w:val="auto"/>
                <w:highlight w:val="none"/>
              </w:rPr>
            </w:pPr>
            <w:r>
              <w:rPr>
                <w:rFonts w:hint="eastAsia"/>
                <w:color w:val="auto"/>
                <w:highlight w:val="none"/>
              </w:rPr>
              <w:t>住院结算A接口规则制定，对接口传输人员编号、就诊凭证类型、就诊凭证编号、医疗费总额、全自费金额、超限价金额、中途结算标志等字段制定检测规则，作为检测依据。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87" w:type="pct"/>
            <w:vAlign w:val="center"/>
          </w:tcPr>
          <w:p>
            <w:pPr>
              <w:jc w:val="center"/>
              <w:rPr>
                <w:color w:val="auto"/>
                <w:highlight w:val="none"/>
              </w:rPr>
            </w:pPr>
            <w:r>
              <w:rPr>
                <w:rFonts w:hint="eastAsia"/>
                <w:color w:val="auto"/>
                <w:highlight w:val="none"/>
              </w:rPr>
              <w:t>2.2.35</w:t>
            </w:r>
          </w:p>
        </w:tc>
        <w:tc>
          <w:tcPr>
            <w:tcW w:w="2014" w:type="pct"/>
            <w:vAlign w:val="center"/>
          </w:tcPr>
          <w:p>
            <w:pPr>
              <w:jc w:val="center"/>
              <w:rPr>
                <w:color w:val="auto"/>
                <w:highlight w:val="none"/>
              </w:rPr>
            </w:pPr>
            <w:r>
              <w:rPr>
                <w:rFonts w:hint="eastAsia"/>
                <w:color w:val="auto"/>
                <w:highlight w:val="none"/>
              </w:rPr>
              <w:t>住院结算撤销接口规则制定</w:t>
            </w:r>
          </w:p>
        </w:tc>
        <w:tc>
          <w:tcPr>
            <w:tcW w:w="2297" w:type="pct"/>
          </w:tcPr>
          <w:p>
            <w:pPr>
              <w:rPr>
                <w:color w:val="auto"/>
                <w:highlight w:val="none"/>
              </w:rPr>
            </w:pPr>
            <w:r>
              <w:rPr>
                <w:rFonts w:hint="eastAsia"/>
                <w:color w:val="auto"/>
                <w:highlight w:val="none"/>
              </w:rPr>
              <w:t>住院结算撤销接口规则制定，对接口传输就诊ID、结算ID、人员编号等字段制定检测规则，作为检测依据。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87" w:type="pct"/>
            <w:vAlign w:val="center"/>
          </w:tcPr>
          <w:p>
            <w:pPr>
              <w:jc w:val="center"/>
              <w:rPr>
                <w:color w:val="auto"/>
                <w:highlight w:val="none"/>
              </w:rPr>
            </w:pPr>
            <w:r>
              <w:rPr>
                <w:rFonts w:hint="eastAsia"/>
                <w:color w:val="auto"/>
                <w:highlight w:val="none"/>
              </w:rPr>
              <w:t>2.2.36</w:t>
            </w:r>
          </w:p>
        </w:tc>
        <w:tc>
          <w:tcPr>
            <w:tcW w:w="2014" w:type="pct"/>
            <w:vAlign w:val="center"/>
          </w:tcPr>
          <w:p>
            <w:pPr>
              <w:jc w:val="center"/>
              <w:rPr>
                <w:color w:val="auto"/>
                <w:highlight w:val="none"/>
              </w:rPr>
            </w:pPr>
            <w:r>
              <w:rPr>
                <w:rFonts w:hint="eastAsia"/>
                <w:color w:val="auto"/>
                <w:highlight w:val="none"/>
              </w:rPr>
              <w:t>费用明细修改备注接口规则制</w:t>
            </w:r>
          </w:p>
        </w:tc>
        <w:tc>
          <w:tcPr>
            <w:tcW w:w="2297" w:type="pct"/>
          </w:tcPr>
          <w:p>
            <w:pPr>
              <w:rPr>
                <w:color w:val="auto"/>
                <w:highlight w:val="none"/>
              </w:rPr>
            </w:pPr>
            <w:r>
              <w:rPr>
                <w:rFonts w:hint="eastAsia"/>
                <w:color w:val="auto"/>
                <w:highlight w:val="none"/>
              </w:rPr>
              <w:t>费用明细修改备注接口规则制定，对接口传输就诊ID、记账流水号、人员编号、医疗目录编码等字段制定检测规则，作为检测依据。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87" w:type="pct"/>
            <w:vAlign w:val="center"/>
          </w:tcPr>
          <w:p>
            <w:pPr>
              <w:jc w:val="center"/>
              <w:rPr>
                <w:color w:val="auto"/>
                <w:highlight w:val="none"/>
              </w:rPr>
            </w:pPr>
            <w:r>
              <w:rPr>
                <w:rFonts w:hint="eastAsia"/>
                <w:color w:val="auto"/>
                <w:highlight w:val="none"/>
              </w:rPr>
              <w:t>2.2.37</w:t>
            </w:r>
          </w:p>
        </w:tc>
        <w:tc>
          <w:tcPr>
            <w:tcW w:w="2014" w:type="pct"/>
            <w:vAlign w:val="center"/>
          </w:tcPr>
          <w:p>
            <w:pPr>
              <w:jc w:val="center"/>
              <w:rPr>
                <w:color w:val="auto"/>
                <w:highlight w:val="none"/>
              </w:rPr>
            </w:pPr>
            <w:r>
              <w:rPr>
                <w:rFonts w:hint="eastAsia"/>
                <w:color w:val="auto"/>
                <w:highlight w:val="none"/>
              </w:rPr>
              <w:t>入院办理接口规则制定</w:t>
            </w:r>
          </w:p>
        </w:tc>
        <w:tc>
          <w:tcPr>
            <w:tcW w:w="2297" w:type="pct"/>
          </w:tcPr>
          <w:p>
            <w:pPr>
              <w:rPr>
                <w:color w:val="auto"/>
                <w:highlight w:val="none"/>
              </w:rPr>
            </w:pPr>
            <w:r>
              <w:rPr>
                <w:rFonts w:hint="eastAsia"/>
                <w:color w:val="auto"/>
                <w:highlight w:val="none"/>
              </w:rPr>
              <w:t>入院办理接口规则制定，对接口传输人员编号、险种类型、联系人姓名、联系电话、医疗类别等字段制定检测规则，作为检测依据。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87" w:type="pct"/>
            <w:vAlign w:val="center"/>
          </w:tcPr>
          <w:p>
            <w:pPr>
              <w:jc w:val="center"/>
              <w:rPr>
                <w:color w:val="auto"/>
                <w:highlight w:val="none"/>
              </w:rPr>
            </w:pPr>
            <w:r>
              <w:rPr>
                <w:rFonts w:hint="eastAsia"/>
                <w:color w:val="auto"/>
                <w:highlight w:val="none"/>
              </w:rPr>
              <w:t>2.2.38</w:t>
            </w:r>
          </w:p>
        </w:tc>
        <w:tc>
          <w:tcPr>
            <w:tcW w:w="2014" w:type="pct"/>
            <w:vAlign w:val="center"/>
          </w:tcPr>
          <w:p>
            <w:pPr>
              <w:jc w:val="center"/>
              <w:rPr>
                <w:color w:val="auto"/>
                <w:highlight w:val="none"/>
              </w:rPr>
            </w:pPr>
            <w:r>
              <w:rPr>
                <w:rFonts w:hint="eastAsia"/>
                <w:color w:val="auto"/>
                <w:highlight w:val="none"/>
              </w:rPr>
              <w:t>出院办理接口规则制定</w:t>
            </w:r>
          </w:p>
        </w:tc>
        <w:tc>
          <w:tcPr>
            <w:tcW w:w="2297" w:type="pct"/>
          </w:tcPr>
          <w:p>
            <w:pPr>
              <w:rPr>
                <w:color w:val="auto"/>
                <w:highlight w:val="none"/>
              </w:rPr>
            </w:pPr>
            <w:r>
              <w:rPr>
                <w:rFonts w:hint="eastAsia"/>
                <w:color w:val="auto"/>
                <w:highlight w:val="none"/>
              </w:rPr>
              <w:t>出院办理接口规则制定，对接口传输就诊ID、人员编号、险种类型、病种编码、病种名称等字段制定检测规则，作为检测依据。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87" w:type="pct"/>
            <w:vAlign w:val="center"/>
          </w:tcPr>
          <w:p>
            <w:pPr>
              <w:jc w:val="center"/>
              <w:rPr>
                <w:color w:val="auto"/>
                <w:highlight w:val="none"/>
              </w:rPr>
            </w:pPr>
            <w:r>
              <w:rPr>
                <w:rFonts w:hint="eastAsia"/>
                <w:color w:val="auto"/>
                <w:highlight w:val="none"/>
              </w:rPr>
              <w:t>2.2.39</w:t>
            </w:r>
          </w:p>
        </w:tc>
        <w:tc>
          <w:tcPr>
            <w:tcW w:w="2014" w:type="pct"/>
            <w:vAlign w:val="center"/>
          </w:tcPr>
          <w:p>
            <w:pPr>
              <w:jc w:val="center"/>
              <w:rPr>
                <w:color w:val="auto"/>
                <w:highlight w:val="none"/>
              </w:rPr>
            </w:pPr>
            <w:r>
              <w:rPr>
                <w:rFonts w:hint="eastAsia"/>
                <w:color w:val="auto"/>
                <w:highlight w:val="none"/>
              </w:rPr>
              <w:t>入院信息变更接口规则制定</w:t>
            </w:r>
          </w:p>
        </w:tc>
        <w:tc>
          <w:tcPr>
            <w:tcW w:w="2297" w:type="pct"/>
          </w:tcPr>
          <w:p>
            <w:pPr>
              <w:rPr>
                <w:color w:val="auto"/>
                <w:highlight w:val="none"/>
              </w:rPr>
            </w:pPr>
            <w:r>
              <w:rPr>
                <w:rFonts w:hint="eastAsia"/>
                <w:color w:val="auto"/>
                <w:highlight w:val="none"/>
              </w:rPr>
              <w:t>入院信息变更接口规则制定，对接口传输就诊ID、人员编号、联系人姓名、联系电话、就诊凭证类型、主治医生编码、主诊医师姓名等字段制定检测规则，作为检测依据。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87" w:type="pct"/>
            <w:vAlign w:val="center"/>
          </w:tcPr>
          <w:p>
            <w:pPr>
              <w:jc w:val="center"/>
              <w:rPr>
                <w:color w:val="auto"/>
                <w:highlight w:val="none"/>
              </w:rPr>
            </w:pPr>
            <w:r>
              <w:rPr>
                <w:rFonts w:hint="eastAsia"/>
                <w:color w:val="auto"/>
                <w:highlight w:val="none"/>
              </w:rPr>
              <w:t>2.2.40</w:t>
            </w:r>
          </w:p>
        </w:tc>
        <w:tc>
          <w:tcPr>
            <w:tcW w:w="2014" w:type="pct"/>
            <w:vAlign w:val="center"/>
          </w:tcPr>
          <w:p>
            <w:pPr>
              <w:jc w:val="center"/>
              <w:rPr>
                <w:color w:val="auto"/>
                <w:highlight w:val="none"/>
              </w:rPr>
            </w:pPr>
            <w:r>
              <w:rPr>
                <w:rFonts w:hint="eastAsia"/>
                <w:color w:val="auto"/>
                <w:highlight w:val="none"/>
              </w:rPr>
              <w:t>入院撤销接口规则制定</w:t>
            </w:r>
          </w:p>
        </w:tc>
        <w:tc>
          <w:tcPr>
            <w:tcW w:w="2297" w:type="pct"/>
          </w:tcPr>
          <w:p>
            <w:pPr>
              <w:rPr>
                <w:color w:val="auto"/>
                <w:highlight w:val="none"/>
              </w:rPr>
            </w:pPr>
            <w:r>
              <w:rPr>
                <w:rFonts w:hint="eastAsia"/>
                <w:color w:val="auto"/>
                <w:highlight w:val="none"/>
              </w:rPr>
              <w:t>入院撤销接口规则制定，对接口传输就诊ID、人员编号等字段制定检测规则，作为检测依据。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87" w:type="pct"/>
            <w:vAlign w:val="center"/>
          </w:tcPr>
          <w:p>
            <w:pPr>
              <w:jc w:val="center"/>
              <w:rPr>
                <w:color w:val="auto"/>
                <w:highlight w:val="none"/>
              </w:rPr>
            </w:pPr>
            <w:r>
              <w:rPr>
                <w:rFonts w:hint="eastAsia"/>
                <w:color w:val="auto"/>
                <w:highlight w:val="none"/>
              </w:rPr>
              <w:t>2.2.41</w:t>
            </w:r>
          </w:p>
        </w:tc>
        <w:tc>
          <w:tcPr>
            <w:tcW w:w="2014" w:type="pct"/>
            <w:vAlign w:val="center"/>
          </w:tcPr>
          <w:p>
            <w:pPr>
              <w:jc w:val="center"/>
              <w:rPr>
                <w:color w:val="auto"/>
                <w:highlight w:val="none"/>
              </w:rPr>
            </w:pPr>
            <w:r>
              <w:rPr>
                <w:rFonts w:hint="eastAsia"/>
                <w:color w:val="auto"/>
                <w:highlight w:val="none"/>
              </w:rPr>
              <w:t>出院撤销接口规则制定</w:t>
            </w:r>
          </w:p>
        </w:tc>
        <w:tc>
          <w:tcPr>
            <w:tcW w:w="2297" w:type="pct"/>
          </w:tcPr>
          <w:p>
            <w:pPr>
              <w:rPr>
                <w:color w:val="auto"/>
                <w:highlight w:val="none"/>
              </w:rPr>
            </w:pPr>
            <w:r>
              <w:rPr>
                <w:rFonts w:hint="eastAsia"/>
                <w:color w:val="auto"/>
                <w:highlight w:val="none"/>
              </w:rPr>
              <w:t>出院撤销接口规则制定，对接口传输就诊ID、人员编号等字段制定检测规则，作为检测依据。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87" w:type="pct"/>
            <w:vAlign w:val="center"/>
          </w:tcPr>
          <w:p>
            <w:pPr>
              <w:jc w:val="center"/>
              <w:rPr>
                <w:color w:val="auto"/>
                <w:highlight w:val="none"/>
              </w:rPr>
            </w:pPr>
            <w:r>
              <w:rPr>
                <w:rFonts w:hint="eastAsia"/>
                <w:color w:val="auto"/>
                <w:highlight w:val="none"/>
              </w:rPr>
              <w:t>2.2.42</w:t>
            </w:r>
          </w:p>
        </w:tc>
        <w:tc>
          <w:tcPr>
            <w:tcW w:w="2014" w:type="pct"/>
            <w:vAlign w:val="center"/>
          </w:tcPr>
          <w:p>
            <w:pPr>
              <w:jc w:val="center"/>
              <w:rPr>
                <w:color w:val="auto"/>
                <w:highlight w:val="none"/>
              </w:rPr>
            </w:pPr>
            <w:r>
              <w:rPr>
                <w:rFonts w:hint="eastAsia"/>
                <w:color w:val="auto"/>
                <w:highlight w:val="none"/>
              </w:rPr>
              <w:t>就医特殊属性上传接口规则制定</w:t>
            </w:r>
          </w:p>
        </w:tc>
        <w:tc>
          <w:tcPr>
            <w:tcW w:w="2297" w:type="pct"/>
          </w:tcPr>
          <w:p>
            <w:pPr>
              <w:rPr>
                <w:color w:val="auto"/>
                <w:highlight w:val="none"/>
              </w:rPr>
            </w:pPr>
            <w:r>
              <w:rPr>
                <w:rFonts w:hint="eastAsia"/>
                <w:color w:val="auto"/>
                <w:highlight w:val="none"/>
              </w:rPr>
              <w:t>就医特殊属性上传接口规则制定，对接口传输就诊ID、人员编号、人员证件类型、住院/门诊号等字段制定检测规则，作为检测依据。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87" w:type="pct"/>
            <w:vAlign w:val="center"/>
          </w:tcPr>
          <w:p>
            <w:pPr>
              <w:jc w:val="center"/>
              <w:rPr>
                <w:color w:val="auto"/>
                <w:highlight w:val="none"/>
              </w:rPr>
            </w:pPr>
            <w:r>
              <w:rPr>
                <w:rFonts w:hint="eastAsia"/>
                <w:color w:val="auto"/>
                <w:highlight w:val="none"/>
              </w:rPr>
              <w:t>2.2.43</w:t>
            </w:r>
          </w:p>
        </w:tc>
        <w:tc>
          <w:tcPr>
            <w:tcW w:w="2014" w:type="pct"/>
            <w:vAlign w:val="center"/>
          </w:tcPr>
          <w:p>
            <w:pPr>
              <w:jc w:val="center"/>
              <w:rPr>
                <w:color w:val="auto"/>
                <w:highlight w:val="none"/>
              </w:rPr>
            </w:pPr>
            <w:r>
              <w:rPr>
                <w:rFonts w:hint="eastAsia"/>
                <w:color w:val="auto"/>
                <w:highlight w:val="none"/>
              </w:rPr>
              <w:t>就医特殊属性查询接口规则制定</w:t>
            </w:r>
          </w:p>
        </w:tc>
        <w:tc>
          <w:tcPr>
            <w:tcW w:w="2297" w:type="pct"/>
          </w:tcPr>
          <w:p>
            <w:pPr>
              <w:rPr>
                <w:color w:val="auto"/>
                <w:highlight w:val="none"/>
              </w:rPr>
            </w:pPr>
            <w:r>
              <w:rPr>
                <w:rFonts w:hint="eastAsia"/>
                <w:color w:val="auto"/>
                <w:highlight w:val="none"/>
              </w:rPr>
              <w:t>就医特殊属性查询接口规则制定，对接口传输住院人员特殊标识明细id、就诊ID、人员编号、人员证件类型、住院人员特殊标识类型等字段制定检测规则，作为检测依据。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87" w:type="pct"/>
            <w:vAlign w:val="center"/>
          </w:tcPr>
          <w:p>
            <w:pPr>
              <w:jc w:val="center"/>
              <w:rPr>
                <w:color w:val="auto"/>
                <w:highlight w:val="none"/>
              </w:rPr>
            </w:pPr>
            <w:r>
              <w:rPr>
                <w:rFonts w:hint="eastAsia"/>
                <w:color w:val="auto"/>
                <w:highlight w:val="none"/>
              </w:rPr>
              <w:t>2.2.44</w:t>
            </w:r>
          </w:p>
        </w:tc>
        <w:tc>
          <w:tcPr>
            <w:tcW w:w="2014" w:type="pct"/>
            <w:vAlign w:val="center"/>
          </w:tcPr>
          <w:p>
            <w:pPr>
              <w:jc w:val="center"/>
              <w:rPr>
                <w:color w:val="auto"/>
                <w:highlight w:val="none"/>
              </w:rPr>
            </w:pPr>
            <w:r>
              <w:rPr>
                <w:rFonts w:hint="eastAsia"/>
                <w:color w:val="auto"/>
                <w:highlight w:val="none"/>
              </w:rPr>
              <w:t>转院备案接口规则制定</w:t>
            </w:r>
          </w:p>
        </w:tc>
        <w:tc>
          <w:tcPr>
            <w:tcW w:w="2297" w:type="pct"/>
          </w:tcPr>
          <w:p>
            <w:pPr>
              <w:rPr>
                <w:color w:val="auto"/>
                <w:highlight w:val="none"/>
              </w:rPr>
            </w:pPr>
            <w:r>
              <w:rPr>
                <w:rFonts w:hint="eastAsia"/>
                <w:color w:val="auto"/>
                <w:highlight w:val="none"/>
              </w:rPr>
              <w:t>转院备案接口规则制定，对接口传输人员编号、险种类型、诊断代码、诊断名称、疾病病情描述等字段制定检测规则，作为检测依据。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87" w:type="pct"/>
            <w:vAlign w:val="center"/>
          </w:tcPr>
          <w:p>
            <w:pPr>
              <w:jc w:val="center"/>
              <w:rPr>
                <w:color w:val="auto"/>
                <w:highlight w:val="none"/>
              </w:rPr>
            </w:pPr>
            <w:r>
              <w:rPr>
                <w:rFonts w:hint="eastAsia"/>
                <w:color w:val="auto"/>
                <w:highlight w:val="none"/>
              </w:rPr>
              <w:t>2.2.45</w:t>
            </w:r>
          </w:p>
        </w:tc>
        <w:tc>
          <w:tcPr>
            <w:tcW w:w="2014" w:type="pct"/>
            <w:vAlign w:val="center"/>
          </w:tcPr>
          <w:p>
            <w:pPr>
              <w:jc w:val="center"/>
              <w:rPr>
                <w:color w:val="auto"/>
                <w:highlight w:val="none"/>
              </w:rPr>
            </w:pPr>
            <w:r>
              <w:rPr>
                <w:rFonts w:hint="eastAsia"/>
                <w:color w:val="auto"/>
                <w:highlight w:val="none"/>
              </w:rPr>
              <w:t>转院备案撤销接口规则制定</w:t>
            </w:r>
          </w:p>
        </w:tc>
        <w:tc>
          <w:tcPr>
            <w:tcW w:w="2297" w:type="pct"/>
          </w:tcPr>
          <w:p>
            <w:pPr>
              <w:rPr>
                <w:color w:val="auto"/>
                <w:highlight w:val="none"/>
              </w:rPr>
            </w:pPr>
            <w:r>
              <w:rPr>
                <w:rFonts w:hint="eastAsia"/>
                <w:color w:val="auto"/>
                <w:highlight w:val="none"/>
              </w:rPr>
              <w:t>转院备案撤销接口规则制定，对接口传输待遇申报明细流水号、人员编号等字段制定检测规则，作为检测依据。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87" w:type="pct"/>
            <w:vAlign w:val="center"/>
          </w:tcPr>
          <w:p>
            <w:pPr>
              <w:jc w:val="center"/>
              <w:rPr>
                <w:color w:val="auto"/>
                <w:highlight w:val="none"/>
              </w:rPr>
            </w:pPr>
            <w:r>
              <w:rPr>
                <w:rFonts w:hint="eastAsia"/>
                <w:color w:val="auto"/>
                <w:highlight w:val="none"/>
              </w:rPr>
              <w:t>2.2.46</w:t>
            </w:r>
          </w:p>
        </w:tc>
        <w:tc>
          <w:tcPr>
            <w:tcW w:w="2014" w:type="pct"/>
            <w:vAlign w:val="center"/>
          </w:tcPr>
          <w:p>
            <w:pPr>
              <w:jc w:val="center"/>
              <w:rPr>
                <w:color w:val="auto"/>
                <w:highlight w:val="none"/>
              </w:rPr>
            </w:pPr>
            <w:r>
              <w:rPr>
                <w:rFonts w:hint="eastAsia"/>
                <w:color w:val="auto"/>
                <w:highlight w:val="none"/>
              </w:rPr>
              <w:t>人员慢特病备案接口规则制定</w:t>
            </w:r>
          </w:p>
        </w:tc>
        <w:tc>
          <w:tcPr>
            <w:tcW w:w="2297" w:type="pct"/>
          </w:tcPr>
          <w:p>
            <w:pPr>
              <w:rPr>
                <w:color w:val="auto"/>
                <w:highlight w:val="none"/>
              </w:rPr>
            </w:pPr>
            <w:r>
              <w:rPr>
                <w:rFonts w:hint="eastAsia"/>
                <w:color w:val="auto"/>
                <w:highlight w:val="none"/>
              </w:rPr>
              <w:t>人员慢特病备案接口规则制定，对接口传输人员编号、门慢门特病种目录代码、门慢门特病种名称、参保机构医保区划等字段制定检测规则，作为检测依据。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87" w:type="pct"/>
            <w:vAlign w:val="center"/>
          </w:tcPr>
          <w:p>
            <w:pPr>
              <w:jc w:val="center"/>
              <w:rPr>
                <w:color w:val="auto"/>
                <w:highlight w:val="none"/>
              </w:rPr>
            </w:pPr>
            <w:r>
              <w:rPr>
                <w:rFonts w:hint="eastAsia"/>
                <w:color w:val="auto"/>
                <w:highlight w:val="none"/>
              </w:rPr>
              <w:t>2.2.47</w:t>
            </w:r>
          </w:p>
        </w:tc>
        <w:tc>
          <w:tcPr>
            <w:tcW w:w="2014" w:type="pct"/>
            <w:vAlign w:val="center"/>
          </w:tcPr>
          <w:p>
            <w:pPr>
              <w:jc w:val="center"/>
              <w:rPr>
                <w:color w:val="auto"/>
                <w:highlight w:val="none"/>
              </w:rPr>
            </w:pPr>
            <w:r>
              <w:rPr>
                <w:rFonts w:hint="eastAsia"/>
                <w:color w:val="auto"/>
                <w:highlight w:val="none"/>
              </w:rPr>
              <w:t>人员慢特病备案撤销接口规则制定</w:t>
            </w:r>
          </w:p>
        </w:tc>
        <w:tc>
          <w:tcPr>
            <w:tcW w:w="2297" w:type="pct"/>
          </w:tcPr>
          <w:p>
            <w:pPr>
              <w:rPr>
                <w:color w:val="auto"/>
                <w:highlight w:val="none"/>
              </w:rPr>
            </w:pPr>
            <w:r>
              <w:rPr>
                <w:rFonts w:hint="eastAsia"/>
                <w:color w:val="auto"/>
                <w:highlight w:val="none"/>
              </w:rPr>
              <w:t>人员慢特病备案撤销接口规则制定，对接口传输待遇申报明细流水号、人员编号等字段制定检测规则，作为检测依据。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87" w:type="pct"/>
            <w:vAlign w:val="center"/>
          </w:tcPr>
          <w:p>
            <w:pPr>
              <w:jc w:val="center"/>
              <w:rPr>
                <w:color w:val="auto"/>
                <w:highlight w:val="none"/>
              </w:rPr>
            </w:pPr>
            <w:r>
              <w:rPr>
                <w:rFonts w:hint="eastAsia"/>
                <w:color w:val="auto"/>
                <w:highlight w:val="none"/>
              </w:rPr>
              <w:t>2.2.48</w:t>
            </w:r>
          </w:p>
        </w:tc>
        <w:tc>
          <w:tcPr>
            <w:tcW w:w="2014" w:type="pct"/>
            <w:vAlign w:val="center"/>
          </w:tcPr>
          <w:p>
            <w:pPr>
              <w:jc w:val="center"/>
              <w:rPr>
                <w:color w:val="auto"/>
                <w:highlight w:val="none"/>
              </w:rPr>
            </w:pPr>
            <w:r>
              <w:rPr>
                <w:rFonts w:hint="eastAsia"/>
                <w:color w:val="auto"/>
                <w:highlight w:val="none"/>
              </w:rPr>
              <w:t>人员定点备案接口规则制定</w:t>
            </w:r>
          </w:p>
        </w:tc>
        <w:tc>
          <w:tcPr>
            <w:tcW w:w="2297" w:type="pct"/>
          </w:tcPr>
          <w:p>
            <w:pPr>
              <w:rPr>
                <w:color w:val="auto"/>
                <w:highlight w:val="none"/>
              </w:rPr>
            </w:pPr>
            <w:r>
              <w:rPr>
                <w:rFonts w:hint="eastAsia"/>
                <w:color w:val="auto"/>
                <w:highlight w:val="none"/>
              </w:rPr>
              <w:t>人员定点备案接口规则制定，对接口传输人员编号、业务申请类型、代办人姓名、代办人证件类型、代办人证件号码等字段制定检测规则，作为检测依据。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87" w:type="pct"/>
            <w:vAlign w:val="center"/>
          </w:tcPr>
          <w:p>
            <w:pPr>
              <w:jc w:val="center"/>
              <w:rPr>
                <w:color w:val="auto"/>
                <w:highlight w:val="none"/>
              </w:rPr>
            </w:pPr>
            <w:r>
              <w:rPr>
                <w:rFonts w:hint="eastAsia"/>
                <w:color w:val="auto"/>
                <w:highlight w:val="none"/>
              </w:rPr>
              <w:t>2.2.49</w:t>
            </w:r>
          </w:p>
        </w:tc>
        <w:tc>
          <w:tcPr>
            <w:tcW w:w="2014" w:type="pct"/>
            <w:vAlign w:val="center"/>
          </w:tcPr>
          <w:p>
            <w:pPr>
              <w:jc w:val="center"/>
              <w:rPr>
                <w:color w:val="auto"/>
                <w:highlight w:val="none"/>
              </w:rPr>
            </w:pPr>
            <w:r>
              <w:rPr>
                <w:rFonts w:hint="eastAsia"/>
                <w:color w:val="auto"/>
                <w:highlight w:val="none"/>
              </w:rPr>
              <w:t>人员定点备案撤销接口规则制定</w:t>
            </w:r>
          </w:p>
        </w:tc>
        <w:tc>
          <w:tcPr>
            <w:tcW w:w="2297" w:type="pct"/>
          </w:tcPr>
          <w:p>
            <w:pPr>
              <w:rPr>
                <w:color w:val="auto"/>
                <w:highlight w:val="none"/>
              </w:rPr>
            </w:pPr>
            <w:r>
              <w:rPr>
                <w:rFonts w:hint="eastAsia"/>
                <w:color w:val="auto"/>
                <w:highlight w:val="none"/>
              </w:rPr>
              <w:t>人员定点备案撤销接口规则制定，对接口传输待遇申报明细流水号、人员编号等字段制定检测规则，作为检测依据。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87" w:type="pct"/>
            <w:vAlign w:val="center"/>
          </w:tcPr>
          <w:p>
            <w:pPr>
              <w:jc w:val="center"/>
              <w:rPr>
                <w:color w:val="auto"/>
                <w:highlight w:val="none"/>
              </w:rPr>
            </w:pPr>
            <w:r>
              <w:rPr>
                <w:rFonts w:hint="eastAsia"/>
                <w:color w:val="auto"/>
                <w:highlight w:val="none"/>
              </w:rPr>
              <w:t>2.2.50</w:t>
            </w:r>
          </w:p>
        </w:tc>
        <w:tc>
          <w:tcPr>
            <w:tcW w:w="2014" w:type="pct"/>
            <w:vAlign w:val="center"/>
          </w:tcPr>
          <w:p>
            <w:pPr>
              <w:jc w:val="center"/>
              <w:rPr>
                <w:color w:val="auto"/>
                <w:highlight w:val="none"/>
              </w:rPr>
            </w:pPr>
            <w:r>
              <w:rPr>
                <w:rFonts w:hint="eastAsia"/>
                <w:color w:val="auto"/>
                <w:highlight w:val="none"/>
              </w:rPr>
              <w:t>人员意外伤害备案接口规则制定</w:t>
            </w:r>
          </w:p>
        </w:tc>
        <w:tc>
          <w:tcPr>
            <w:tcW w:w="2297" w:type="pct"/>
          </w:tcPr>
          <w:p>
            <w:pPr>
              <w:rPr>
                <w:color w:val="auto"/>
                <w:highlight w:val="none"/>
              </w:rPr>
            </w:pPr>
            <w:r>
              <w:rPr>
                <w:rFonts w:hint="eastAsia"/>
                <w:color w:val="auto"/>
                <w:highlight w:val="none"/>
              </w:rPr>
              <w:t>人员意外伤害备案接口规则制定，对接口传输申报来源、险种类型、人员编号、致伤原因等字段制定检测规则，作为检测依据。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87" w:type="pct"/>
            <w:vAlign w:val="center"/>
          </w:tcPr>
          <w:p>
            <w:pPr>
              <w:jc w:val="center"/>
              <w:rPr>
                <w:color w:val="auto"/>
                <w:highlight w:val="none"/>
              </w:rPr>
            </w:pPr>
            <w:r>
              <w:rPr>
                <w:rFonts w:hint="eastAsia"/>
                <w:color w:val="auto"/>
                <w:highlight w:val="none"/>
              </w:rPr>
              <w:t>2.2.51</w:t>
            </w:r>
          </w:p>
        </w:tc>
        <w:tc>
          <w:tcPr>
            <w:tcW w:w="2014" w:type="pct"/>
            <w:vAlign w:val="center"/>
          </w:tcPr>
          <w:p>
            <w:pPr>
              <w:jc w:val="center"/>
              <w:rPr>
                <w:color w:val="auto"/>
                <w:highlight w:val="none"/>
              </w:rPr>
            </w:pPr>
            <w:r>
              <w:rPr>
                <w:rFonts w:hint="eastAsia"/>
                <w:color w:val="auto"/>
                <w:highlight w:val="none"/>
              </w:rPr>
              <w:t>人员慢特病治疗方案查询接口规则制定</w:t>
            </w:r>
          </w:p>
        </w:tc>
        <w:tc>
          <w:tcPr>
            <w:tcW w:w="2297" w:type="pct"/>
          </w:tcPr>
          <w:p>
            <w:pPr>
              <w:rPr>
                <w:color w:val="auto"/>
                <w:highlight w:val="none"/>
              </w:rPr>
            </w:pPr>
            <w:r>
              <w:rPr>
                <w:rFonts w:hint="eastAsia"/>
                <w:color w:val="auto"/>
                <w:highlight w:val="none"/>
              </w:rPr>
              <w:t>人员慢特病治疗方案查询接口规则制定，对接口传输待遇申报明细流水号、险种类型、申报来源、诊断医师编码、诊断医师姓名等字段制定检测规则，作为检测依据。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87" w:type="pct"/>
            <w:vAlign w:val="center"/>
          </w:tcPr>
          <w:p>
            <w:pPr>
              <w:jc w:val="center"/>
              <w:rPr>
                <w:color w:val="auto"/>
                <w:highlight w:val="none"/>
              </w:rPr>
            </w:pPr>
            <w:r>
              <w:rPr>
                <w:rFonts w:hint="eastAsia"/>
                <w:color w:val="auto"/>
                <w:highlight w:val="none"/>
              </w:rPr>
              <w:t>2.2.52</w:t>
            </w:r>
          </w:p>
        </w:tc>
        <w:tc>
          <w:tcPr>
            <w:tcW w:w="2014" w:type="pct"/>
            <w:vAlign w:val="center"/>
          </w:tcPr>
          <w:p>
            <w:pPr>
              <w:jc w:val="center"/>
              <w:rPr>
                <w:color w:val="auto"/>
                <w:highlight w:val="none"/>
              </w:rPr>
            </w:pPr>
            <w:r>
              <w:rPr>
                <w:rFonts w:hint="eastAsia"/>
                <w:color w:val="auto"/>
                <w:highlight w:val="none"/>
              </w:rPr>
              <w:t>预住院申请接口规则制定</w:t>
            </w:r>
          </w:p>
        </w:tc>
        <w:tc>
          <w:tcPr>
            <w:tcW w:w="2297" w:type="pct"/>
          </w:tcPr>
          <w:p>
            <w:pPr>
              <w:rPr>
                <w:color w:val="auto"/>
                <w:highlight w:val="none"/>
              </w:rPr>
            </w:pPr>
            <w:r>
              <w:rPr>
                <w:rFonts w:hint="eastAsia"/>
                <w:color w:val="auto"/>
                <w:highlight w:val="none"/>
              </w:rPr>
              <w:t>预住院申请接口规则制定，对接口传输险种类型、定点医疗机构编号、定点医疗机构名称、手术操作代码、手术操作名称等字段制定检测规则，作为检测依据。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87" w:type="pct"/>
            <w:vAlign w:val="center"/>
          </w:tcPr>
          <w:p>
            <w:pPr>
              <w:jc w:val="center"/>
              <w:rPr>
                <w:color w:val="auto"/>
                <w:highlight w:val="none"/>
              </w:rPr>
            </w:pPr>
            <w:r>
              <w:rPr>
                <w:rFonts w:hint="eastAsia"/>
                <w:color w:val="auto"/>
                <w:highlight w:val="none"/>
              </w:rPr>
              <w:t>2.2.53</w:t>
            </w:r>
          </w:p>
        </w:tc>
        <w:tc>
          <w:tcPr>
            <w:tcW w:w="2014" w:type="pct"/>
            <w:vAlign w:val="center"/>
          </w:tcPr>
          <w:p>
            <w:pPr>
              <w:jc w:val="center"/>
              <w:rPr>
                <w:color w:val="auto"/>
                <w:highlight w:val="none"/>
              </w:rPr>
            </w:pPr>
            <w:r>
              <w:rPr>
                <w:rFonts w:hint="eastAsia"/>
                <w:color w:val="auto"/>
                <w:highlight w:val="none"/>
              </w:rPr>
              <w:t>预住院申请撤销接口规则制定</w:t>
            </w:r>
          </w:p>
        </w:tc>
        <w:tc>
          <w:tcPr>
            <w:tcW w:w="2297" w:type="pct"/>
          </w:tcPr>
          <w:p>
            <w:pPr>
              <w:rPr>
                <w:color w:val="auto"/>
                <w:highlight w:val="none"/>
              </w:rPr>
            </w:pPr>
            <w:r>
              <w:rPr>
                <w:rFonts w:hint="eastAsia"/>
                <w:color w:val="auto"/>
                <w:highlight w:val="none"/>
              </w:rPr>
              <w:t>预住院申请撤销接口规则制定，对接口传输人员编号、待遇申报明细流水号等字段制定检测规则，作为检测依据。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87" w:type="pct"/>
            <w:vAlign w:val="center"/>
          </w:tcPr>
          <w:p>
            <w:pPr>
              <w:jc w:val="center"/>
              <w:rPr>
                <w:color w:val="auto"/>
                <w:highlight w:val="none"/>
              </w:rPr>
            </w:pPr>
            <w:r>
              <w:rPr>
                <w:rFonts w:hint="eastAsia"/>
                <w:color w:val="auto"/>
                <w:highlight w:val="none"/>
              </w:rPr>
              <w:t>2.2.54</w:t>
            </w:r>
          </w:p>
        </w:tc>
        <w:tc>
          <w:tcPr>
            <w:tcW w:w="2014" w:type="pct"/>
            <w:vAlign w:val="center"/>
          </w:tcPr>
          <w:p>
            <w:pPr>
              <w:jc w:val="center"/>
              <w:rPr>
                <w:color w:val="auto"/>
                <w:highlight w:val="none"/>
              </w:rPr>
            </w:pPr>
            <w:r>
              <w:rPr>
                <w:rFonts w:hint="eastAsia"/>
                <w:color w:val="auto"/>
                <w:highlight w:val="none"/>
              </w:rPr>
              <w:t>查询预住院申请查询接口规则制定</w:t>
            </w:r>
          </w:p>
        </w:tc>
        <w:tc>
          <w:tcPr>
            <w:tcW w:w="2297" w:type="pct"/>
          </w:tcPr>
          <w:p>
            <w:pPr>
              <w:rPr>
                <w:color w:val="auto"/>
                <w:highlight w:val="none"/>
              </w:rPr>
            </w:pPr>
            <w:r>
              <w:rPr>
                <w:rFonts w:hint="eastAsia"/>
                <w:color w:val="auto"/>
                <w:highlight w:val="none"/>
              </w:rPr>
              <w:t>查询预住院申请查询接口规则制定，对接口传输定点医疗机构编号、人员编号、参保所属区划、待遇申报明细流水号等字段制定检测规则，作为检测依据。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87" w:type="pct"/>
            <w:vAlign w:val="center"/>
          </w:tcPr>
          <w:p>
            <w:pPr>
              <w:jc w:val="center"/>
              <w:rPr>
                <w:color w:val="auto"/>
                <w:highlight w:val="none"/>
              </w:rPr>
            </w:pPr>
            <w:r>
              <w:rPr>
                <w:rFonts w:hint="eastAsia"/>
                <w:color w:val="auto"/>
                <w:highlight w:val="none"/>
              </w:rPr>
              <w:t>2.2.55</w:t>
            </w:r>
          </w:p>
        </w:tc>
        <w:tc>
          <w:tcPr>
            <w:tcW w:w="2014" w:type="pct"/>
            <w:vAlign w:val="center"/>
          </w:tcPr>
          <w:p>
            <w:pPr>
              <w:jc w:val="center"/>
              <w:rPr>
                <w:color w:val="auto"/>
                <w:highlight w:val="none"/>
              </w:rPr>
            </w:pPr>
            <w:r>
              <w:rPr>
                <w:rFonts w:hint="eastAsia"/>
                <w:color w:val="auto"/>
                <w:highlight w:val="none"/>
              </w:rPr>
              <w:t>冲正交易接口规则制定</w:t>
            </w:r>
          </w:p>
        </w:tc>
        <w:tc>
          <w:tcPr>
            <w:tcW w:w="2297" w:type="pct"/>
          </w:tcPr>
          <w:p>
            <w:pPr>
              <w:rPr>
                <w:color w:val="auto"/>
                <w:highlight w:val="none"/>
              </w:rPr>
            </w:pPr>
            <w:r>
              <w:rPr>
                <w:rFonts w:hint="eastAsia"/>
                <w:color w:val="auto"/>
                <w:highlight w:val="none"/>
              </w:rPr>
              <w:t>冲正交易接口规则制定，对接口传输人员编号、原发送方报文ID、原交易编号等字段制定检测规则，作为检测依据。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87" w:type="pct"/>
            <w:vAlign w:val="center"/>
          </w:tcPr>
          <w:p>
            <w:pPr>
              <w:jc w:val="center"/>
              <w:rPr>
                <w:color w:val="auto"/>
                <w:highlight w:val="none"/>
              </w:rPr>
            </w:pPr>
            <w:r>
              <w:rPr>
                <w:rFonts w:hint="eastAsia"/>
                <w:color w:val="auto"/>
                <w:highlight w:val="none"/>
              </w:rPr>
              <w:t>2.2.56</w:t>
            </w:r>
          </w:p>
        </w:tc>
        <w:tc>
          <w:tcPr>
            <w:tcW w:w="2014" w:type="pct"/>
            <w:vAlign w:val="center"/>
          </w:tcPr>
          <w:p>
            <w:pPr>
              <w:jc w:val="center"/>
              <w:rPr>
                <w:color w:val="auto"/>
                <w:highlight w:val="none"/>
              </w:rPr>
            </w:pPr>
            <w:r>
              <w:rPr>
                <w:rFonts w:hint="eastAsia"/>
                <w:color w:val="auto"/>
                <w:highlight w:val="none"/>
              </w:rPr>
              <w:t>明细审核事前分析服务接口规则制定</w:t>
            </w:r>
          </w:p>
        </w:tc>
        <w:tc>
          <w:tcPr>
            <w:tcW w:w="2297" w:type="pct"/>
          </w:tcPr>
          <w:p>
            <w:pPr>
              <w:rPr>
                <w:color w:val="auto"/>
                <w:highlight w:val="none"/>
              </w:rPr>
            </w:pPr>
            <w:r>
              <w:rPr>
                <w:rFonts w:hint="eastAsia"/>
                <w:color w:val="auto"/>
                <w:highlight w:val="none"/>
              </w:rPr>
              <w:t>明细审核事前分析服务接口规则制定，对接口传输参保人信息、规则标识集合、触发场景等字段制定检测规则，作为检测依据。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87" w:type="pct"/>
            <w:vAlign w:val="center"/>
          </w:tcPr>
          <w:p>
            <w:pPr>
              <w:jc w:val="center"/>
              <w:rPr>
                <w:color w:val="auto"/>
                <w:highlight w:val="none"/>
              </w:rPr>
            </w:pPr>
            <w:r>
              <w:rPr>
                <w:rFonts w:hint="eastAsia"/>
                <w:color w:val="auto"/>
                <w:highlight w:val="none"/>
              </w:rPr>
              <w:t>2.2.57</w:t>
            </w:r>
          </w:p>
        </w:tc>
        <w:tc>
          <w:tcPr>
            <w:tcW w:w="2014" w:type="pct"/>
            <w:vAlign w:val="center"/>
          </w:tcPr>
          <w:p>
            <w:pPr>
              <w:jc w:val="center"/>
              <w:rPr>
                <w:color w:val="auto"/>
                <w:highlight w:val="none"/>
              </w:rPr>
            </w:pPr>
            <w:r>
              <w:rPr>
                <w:rFonts w:hint="eastAsia"/>
                <w:color w:val="auto"/>
                <w:highlight w:val="none"/>
              </w:rPr>
              <w:t>明细审核事中分析服务接口规则制定</w:t>
            </w:r>
          </w:p>
        </w:tc>
        <w:tc>
          <w:tcPr>
            <w:tcW w:w="2297" w:type="pct"/>
          </w:tcPr>
          <w:p>
            <w:pPr>
              <w:rPr>
                <w:color w:val="auto"/>
                <w:highlight w:val="none"/>
              </w:rPr>
            </w:pPr>
            <w:r>
              <w:rPr>
                <w:rFonts w:hint="eastAsia"/>
                <w:color w:val="auto"/>
                <w:highlight w:val="none"/>
              </w:rPr>
              <w:t>明细审核事中分析服务接口规则制定，对接口传输参保人信息、规则标识集合、触发场景等字段制定检测规则，作为检测依据。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87" w:type="pct"/>
            <w:vAlign w:val="center"/>
          </w:tcPr>
          <w:p>
            <w:pPr>
              <w:jc w:val="center"/>
              <w:rPr>
                <w:color w:val="auto"/>
                <w:highlight w:val="none"/>
              </w:rPr>
            </w:pPr>
            <w:r>
              <w:rPr>
                <w:rFonts w:hint="eastAsia"/>
                <w:color w:val="auto"/>
                <w:highlight w:val="none"/>
              </w:rPr>
              <w:t>2.2.58</w:t>
            </w:r>
          </w:p>
        </w:tc>
        <w:tc>
          <w:tcPr>
            <w:tcW w:w="2014" w:type="pct"/>
            <w:vAlign w:val="center"/>
          </w:tcPr>
          <w:p>
            <w:pPr>
              <w:jc w:val="center"/>
              <w:rPr>
                <w:color w:val="auto"/>
                <w:highlight w:val="none"/>
              </w:rPr>
            </w:pPr>
            <w:r>
              <w:rPr>
                <w:rFonts w:hint="eastAsia"/>
                <w:color w:val="auto"/>
                <w:highlight w:val="none"/>
              </w:rPr>
              <w:t>事前事中服务反馈服务接口规则制定</w:t>
            </w:r>
          </w:p>
        </w:tc>
        <w:tc>
          <w:tcPr>
            <w:tcW w:w="2297" w:type="pct"/>
          </w:tcPr>
          <w:p>
            <w:pPr>
              <w:rPr>
                <w:color w:val="auto"/>
                <w:highlight w:val="none"/>
              </w:rPr>
            </w:pPr>
            <w:r>
              <w:rPr>
                <w:rFonts w:hint="eastAsia"/>
                <w:color w:val="auto"/>
                <w:highlight w:val="none"/>
              </w:rPr>
              <w:t>事前事中服务反馈服务接口规则制定，对接口传输反馈类型、处理数据集合等字段制定检测规则，作为检测依据。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87" w:type="pct"/>
            <w:vAlign w:val="center"/>
          </w:tcPr>
          <w:p>
            <w:pPr>
              <w:jc w:val="center"/>
              <w:rPr>
                <w:color w:val="auto"/>
                <w:highlight w:val="none"/>
              </w:rPr>
            </w:pPr>
            <w:r>
              <w:rPr>
                <w:rFonts w:hint="eastAsia"/>
                <w:color w:val="auto"/>
                <w:highlight w:val="none"/>
              </w:rPr>
              <w:t>2.2.59</w:t>
            </w:r>
          </w:p>
        </w:tc>
        <w:tc>
          <w:tcPr>
            <w:tcW w:w="2014" w:type="pct"/>
            <w:vAlign w:val="center"/>
          </w:tcPr>
          <w:p>
            <w:pPr>
              <w:jc w:val="center"/>
              <w:rPr>
                <w:color w:val="auto"/>
                <w:highlight w:val="none"/>
              </w:rPr>
            </w:pPr>
            <w:r>
              <w:rPr>
                <w:rFonts w:hint="eastAsia"/>
                <w:color w:val="auto"/>
                <w:highlight w:val="none"/>
              </w:rPr>
              <w:t>医药机构费用结算对总账接口规则制定</w:t>
            </w:r>
          </w:p>
        </w:tc>
        <w:tc>
          <w:tcPr>
            <w:tcW w:w="2297" w:type="pct"/>
          </w:tcPr>
          <w:p>
            <w:pPr>
              <w:rPr>
                <w:color w:val="auto"/>
                <w:highlight w:val="none"/>
              </w:rPr>
            </w:pPr>
            <w:r>
              <w:rPr>
                <w:rFonts w:hint="eastAsia"/>
                <w:color w:val="auto"/>
                <w:highlight w:val="none"/>
              </w:rPr>
              <w:t>医药机构费用结算对总账接口规则制定，对接口传输险种、清算类别、结算经办机构、医疗费总额等字段制定检测规则，作为检测依据。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87" w:type="pct"/>
            <w:vAlign w:val="center"/>
          </w:tcPr>
          <w:p>
            <w:pPr>
              <w:jc w:val="center"/>
              <w:rPr>
                <w:color w:val="auto"/>
                <w:highlight w:val="none"/>
              </w:rPr>
            </w:pPr>
            <w:r>
              <w:rPr>
                <w:rFonts w:hint="eastAsia"/>
                <w:color w:val="auto"/>
                <w:highlight w:val="none"/>
              </w:rPr>
              <w:t>2.2.60</w:t>
            </w:r>
          </w:p>
        </w:tc>
        <w:tc>
          <w:tcPr>
            <w:tcW w:w="2014" w:type="pct"/>
            <w:vAlign w:val="center"/>
          </w:tcPr>
          <w:p>
            <w:pPr>
              <w:jc w:val="center"/>
              <w:rPr>
                <w:color w:val="auto"/>
                <w:highlight w:val="none"/>
              </w:rPr>
            </w:pPr>
            <w:r>
              <w:rPr>
                <w:rFonts w:hint="eastAsia"/>
                <w:color w:val="auto"/>
                <w:highlight w:val="none"/>
              </w:rPr>
              <w:t>医药机构费用结算对明细账接口规则制定</w:t>
            </w:r>
          </w:p>
        </w:tc>
        <w:tc>
          <w:tcPr>
            <w:tcW w:w="2297" w:type="pct"/>
          </w:tcPr>
          <w:p>
            <w:pPr>
              <w:rPr>
                <w:color w:val="auto"/>
                <w:highlight w:val="none"/>
              </w:rPr>
            </w:pPr>
            <w:r>
              <w:rPr>
                <w:rFonts w:hint="eastAsia"/>
                <w:color w:val="auto"/>
                <w:highlight w:val="none"/>
              </w:rPr>
              <w:t>医药机构费用结算对明细账接口规则制定，对接口传输结算经办机构、文件查询号、基金支付总额、现金支付金额等字段制定检测规则，作为检测依据。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87" w:type="pct"/>
            <w:vAlign w:val="center"/>
          </w:tcPr>
          <w:p>
            <w:pPr>
              <w:jc w:val="center"/>
              <w:rPr>
                <w:color w:val="auto"/>
                <w:highlight w:val="none"/>
              </w:rPr>
            </w:pPr>
            <w:r>
              <w:rPr>
                <w:rFonts w:hint="eastAsia"/>
                <w:color w:val="auto"/>
                <w:highlight w:val="none"/>
              </w:rPr>
              <w:t>2.2.61</w:t>
            </w:r>
          </w:p>
        </w:tc>
        <w:tc>
          <w:tcPr>
            <w:tcW w:w="2014" w:type="pct"/>
            <w:vAlign w:val="center"/>
          </w:tcPr>
          <w:p>
            <w:pPr>
              <w:jc w:val="center"/>
              <w:rPr>
                <w:color w:val="auto"/>
                <w:highlight w:val="none"/>
              </w:rPr>
            </w:pPr>
            <w:r>
              <w:rPr>
                <w:rFonts w:hint="eastAsia"/>
                <w:color w:val="auto"/>
                <w:highlight w:val="none"/>
              </w:rPr>
              <w:t>清算申请接口规则制定</w:t>
            </w:r>
          </w:p>
        </w:tc>
        <w:tc>
          <w:tcPr>
            <w:tcW w:w="2297" w:type="pct"/>
          </w:tcPr>
          <w:p>
            <w:pPr>
              <w:rPr>
                <w:color w:val="auto"/>
                <w:highlight w:val="none"/>
              </w:rPr>
            </w:pPr>
            <w:r>
              <w:rPr>
                <w:rFonts w:hint="eastAsia"/>
                <w:color w:val="auto"/>
                <w:highlight w:val="none"/>
              </w:rPr>
              <w:t>清算申请接口规则制定，对接口传输清算类别、清算方式、基金支付总额、现金支付金额等字段制定检测规则，作为检测依据。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87" w:type="pct"/>
            <w:vAlign w:val="center"/>
          </w:tcPr>
          <w:p>
            <w:pPr>
              <w:jc w:val="center"/>
              <w:rPr>
                <w:color w:val="auto"/>
                <w:highlight w:val="none"/>
              </w:rPr>
            </w:pPr>
            <w:r>
              <w:rPr>
                <w:rFonts w:hint="eastAsia"/>
                <w:color w:val="auto"/>
                <w:highlight w:val="none"/>
              </w:rPr>
              <w:t>2.2.62</w:t>
            </w:r>
          </w:p>
        </w:tc>
        <w:tc>
          <w:tcPr>
            <w:tcW w:w="2014" w:type="pct"/>
            <w:vAlign w:val="center"/>
          </w:tcPr>
          <w:p>
            <w:pPr>
              <w:jc w:val="center"/>
              <w:rPr>
                <w:color w:val="auto"/>
                <w:highlight w:val="none"/>
              </w:rPr>
            </w:pPr>
            <w:r>
              <w:rPr>
                <w:rFonts w:hint="eastAsia"/>
                <w:color w:val="auto"/>
                <w:highlight w:val="none"/>
              </w:rPr>
              <w:t>清算申请撤销接口规则制定</w:t>
            </w:r>
          </w:p>
        </w:tc>
        <w:tc>
          <w:tcPr>
            <w:tcW w:w="2297" w:type="pct"/>
          </w:tcPr>
          <w:p>
            <w:pPr>
              <w:rPr>
                <w:color w:val="auto"/>
                <w:highlight w:val="none"/>
              </w:rPr>
            </w:pPr>
            <w:r>
              <w:rPr>
                <w:rFonts w:hint="eastAsia"/>
                <w:color w:val="auto"/>
                <w:highlight w:val="none"/>
              </w:rPr>
              <w:t>清算申请撤销接口规则制定，对接口传输机构清算申请事件ID等字段制定检测规则，作为检测依据。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87" w:type="pct"/>
            <w:vAlign w:val="center"/>
          </w:tcPr>
          <w:p>
            <w:pPr>
              <w:jc w:val="center"/>
              <w:rPr>
                <w:color w:val="auto"/>
                <w:highlight w:val="none"/>
              </w:rPr>
            </w:pPr>
            <w:r>
              <w:rPr>
                <w:rFonts w:hint="eastAsia"/>
                <w:color w:val="auto"/>
                <w:highlight w:val="none"/>
              </w:rPr>
              <w:t>2.2.63</w:t>
            </w:r>
          </w:p>
        </w:tc>
        <w:tc>
          <w:tcPr>
            <w:tcW w:w="2014" w:type="pct"/>
            <w:vAlign w:val="center"/>
          </w:tcPr>
          <w:p>
            <w:pPr>
              <w:jc w:val="center"/>
              <w:rPr>
                <w:color w:val="auto"/>
                <w:highlight w:val="none"/>
              </w:rPr>
            </w:pPr>
            <w:r>
              <w:rPr>
                <w:rFonts w:hint="eastAsia"/>
                <w:color w:val="auto"/>
                <w:highlight w:val="none"/>
              </w:rPr>
              <w:t>目录对照上传接口规则制定</w:t>
            </w:r>
          </w:p>
        </w:tc>
        <w:tc>
          <w:tcPr>
            <w:tcW w:w="2297" w:type="pct"/>
          </w:tcPr>
          <w:p>
            <w:pPr>
              <w:rPr>
                <w:color w:val="auto"/>
                <w:highlight w:val="none"/>
              </w:rPr>
            </w:pPr>
            <w:r>
              <w:rPr>
                <w:rFonts w:hint="eastAsia"/>
                <w:color w:val="auto"/>
                <w:highlight w:val="none"/>
              </w:rPr>
              <w:t>目录对照上传接口规则制定，对接口传输定点医药机构目录编号、定点医药机构目录名称、目录类别、医疗目录编码、剂型等字段制定检测规则，作为检测依据。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87" w:type="pct"/>
            <w:vAlign w:val="center"/>
          </w:tcPr>
          <w:p>
            <w:pPr>
              <w:jc w:val="center"/>
              <w:rPr>
                <w:color w:val="auto"/>
                <w:highlight w:val="none"/>
              </w:rPr>
            </w:pPr>
            <w:r>
              <w:rPr>
                <w:rFonts w:hint="eastAsia"/>
                <w:color w:val="auto"/>
                <w:highlight w:val="none"/>
              </w:rPr>
              <w:t>2.2.64</w:t>
            </w:r>
          </w:p>
        </w:tc>
        <w:tc>
          <w:tcPr>
            <w:tcW w:w="2014" w:type="pct"/>
            <w:vAlign w:val="center"/>
          </w:tcPr>
          <w:p>
            <w:pPr>
              <w:jc w:val="center"/>
              <w:rPr>
                <w:color w:val="auto"/>
                <w:highlight w:val="none"/>
              </w:rPr>
            </w:pPr>
            <w:r>
              <w:rPr>
                <w:rFonts w:hint="eastAsia"/>
                <w:color w:val="auto"/>
                <w:highlight w:val="none"/>
              </w:rPr>
              <w:t>目录对照撤销接口规则制定</w:t>
            </w:r>
          </w:p>
        </w:tc>
        <w:tc>
          <w:tcPr>
            <w:tcW w:w="2297" w:type="pct"/>
          </w:tcPr>
          <w:p>
            <w:pPr>
              <w:rPr>
                <w:color w:val="auto"/>
                <w:highlight w:val="none"/>
              </w:rPr>
            </w:pPr>
            <w:r>
              <w:rPr>
                <w:rFonts w:hint="eastAsia"/>
                <w:color w:val="auto"/>
                <w:highlight w:val="none"/>
              </w:rPr>
              <w:t>目录对照撤销接口规则制定，对接口传输定点医药机构编号、定点医药机构目录编号、目录类别、医疗目录编码等字段制定检测规则，作为检测依据。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87" w:type="pct"/>
            <w:vAlign w:val="center"/>
          </w:tcPr>
          <w:p>
            <w:pPr>
              <w:jc w:val="center"/>
              <w:rPr>
                <w:color w:val="auto"/>
                <w:highlight w:val="none"/>
              </w:rPr>
            </w:pPr>
            <w:r>
              <w:rPr>
                <w:rFonts w:hint="eastAsia"/>
                <w:color w:val="auto"/>
                <w:highlight w:val="none"/>
              </w:rPr>
              <w:t>2.2.65</w:t>
            </w:r>
          </w:p>
        </w:tc>
        <w:tc>
          <w:tcPr>
            <w:tcW w:w="2014" w:type="pct"/>
            <w:vAlign w:val="center"/>
          </w:tcPr>
          <w:p>
            <w:pPr>
              <w:jc w:val="center"/>
              <w:rPr>
                <w:color w:val="auto"/>
                <w:highlight w:val="none"/>
              </w:rPr>
            </w:pPr>
            <w:r>
              <w:rPr>
                <w:rFonts w:hint="eastAsia"/>
                <w:color w:val="auto"/>
                <w:highlight w:val="none"/>
              </w:rPr>
              <w:t>科室信息上传接口规则制定</w:t>
            </w:r>
          </w:p>
        </w:tc>
        <w:tc>
          <w:tcPr>
            <w:tcW w:w="2297" w:type="pct"/>
          </w:tcPr>
          <w:p>
            <w:pPr>
              <w:rPr>
                <w:color w:val="auto"/>
                <w:highlight w:val="none"/>
              </w:rPr>
            </w:pPr>
            <w:r>
              <w:rPr>
                <w:rFonts w:hint="eastAsia"/>
                <w:color w:val="auto"/>
                <w:highlight w:val="none"/>
              </w:rPr>
              <w:t>科室信息上传接口规则制定，对接口传输医院科室编码、科别、医院科室名称、科室负责人姓名等字段制定检测规则，作为检测依据。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87" w:type="pct"/>
            <w:vAlign w:val="center"/>
          </w:tcPr>
          <w:p>
            <w:pPr>
              <w:jc w:val="center"/>
              <w:rPr>
                <w:color w:val="auto"/>
                <w:highlight w:val="none"/>
              </w:rPr>
            </w:pPr>
            <w:r>
              <w:rPr>
                <w:rFonts w:hint="eastAsia"/>
                <w:color w:val="auto"/>
                <w:highlight w:val="none"/>
              </w:rPr>
              <w:t>2.2.66</w:t>
            </w:r>
          </w:p>
        </w:tc>
        <w:tc>
          <w:tcPr>
            <w:tcW w:w="2014" w:type="pct"/>
            <w:vAlign w:val="center"/>
          </w:tcPr>
          <w:p>
            <w:pPr>
              <w:jc w:val="center"/>
              <w:rPr>
                <w:color w:val="auto"/>
                <w:highlight w:val="none"/>
              </w:rPr>
            </w:pPr>
            <w:r>
              <w:rPr>
                <w:rFonts w:hint="eastAsia"/>
                <w:color w:val="auto"/>
                <w:highlight w:val="none"/>
              </w:rPr>
              <w:t>批量科室信息上传接口规则制定</w:t>
            </w:r>
          </w:p>
        </w:tc>
        <w:tc>
          <w:tcPr>
            <w:tcW w:w="2297" w:type="pct"/>
          </w:tcPr>
          <w:p>
            <w:pPr>
              <w:rPr>
                <w:color w:val="auto"/>
                <w:highlight w:val="none"/>
              </w:rPr>
            </w:pPr>
            <w:r>
              <w:rPr>
                <w:rFonts w:hint="eastAsia"/>
                <w:color w:val="auto"/>
                <w:highlight w:val="none"/>
              </w:rPr>
              <w:t>批量科室信息上传接口规则制定，对接口传输医院科室编码、科别、医院科室名称、科室负责人姓名、批准床位数量、医保认可床位数等字段制定检测规则，作为检测依据。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87" w:type="pct"/>
            <w:vAlign w:val="center"/>
          </w:tcPr>
          <w:p>
            <w:pPr>
              <w:jc w:val="center"/>
              <w:rPr>
                <w:color w:val="auto"/>
                <w:highlight w:val="none"/>
              </w:rPr>
            </w:pPr>
            <w:r>
              <w:rPr>
                <w:rFonts w:hint="eastAsia"/>
                <w:color w:val="auto"/>
                <w:highlight w:val="none"/>
              </w:rPr>
              <w:t>2.2.67</w:t>
            </w:r>
          </w:p>
        </w:tc>
        <w:tc>
          <w:tcPr>
            <w:tcW w:w="2014" w:type="pct"/>
            <w:vAlign w:val="center"/>
          </w:tcPr>
          <w:p>
            <w:pPr>
              <w:jc w:val="center"/>
              <w:rPr>
                <w:color w:val="auto"/>
                <w:highlight w:val="none"/>
              </w:rPr>
            </w:pPr>
            <w:r>
              <w:rPr>
                <w:rFonts w:hint="eastAsia"/>
                <w:color w:val="auto"/>
                <w:highlight w:val="none"/>
              </w:rPr>
              <w:t>科室信息变更接口规则制定</w:t>
            </w:r>
          </w:p>
        </w:tc>
        <w:tc>
          <w:tcPr>
            <w:tcW w:w="2297" w:type="pct"/>
          </w:tcPr>
          <w:p>
            <w:pPr>
              <w:rPr>
                <w:color w:val="auto"/>
                <w:highlight w:val="none"/>
              </w:rPr>
            </w:pPr>
            <w:r>
              <w:rPr>
                <w:rFonts w:hint="eastAsia"/>
                <w:color w:val="auto"/>
                <w:highlight w:val="none"/>
              </w:rPr>
              <w:t>科室信息变更接口规则制定，对接口传输医院科室编码、科别、医院科室名称、科室负责人姓名、医师人数、药师人数等字段制定检测规则，作为检测依据。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87" w:type="pct"/>
            <w:vAlign w:val="center"/>
          </w:tcPr>
          <w:p>
            <w:pPr>
              <w:jc w:val="center"/>
              <w:rPr>
                <w:color w:val="auto"/>
                <w:highlight w:val="none"/>
              </w:rPr>
            </w:pPr>
            <w:r>
              <w:rPr>
                <w:rFonts w:hint="eastAsia"/>
                <w:color w:val="auto"/>
                <w:highlight w:val="none"/>
              </w:rPr>
              <w:t>2.2.68</w:t>
            </w:r>
          </w:p>
        </w:tc>
        <w:tc>
          <w:tcPr>
            <w:tcW w:w="2014" w:type="pct"/>
            <w:vAlign w:val="center"/>
          </w:tcPr>
          <w:p>
            <w:pPr>
              <w:jc w:val="center"/>
              <w:rPr>
                <w:color w:val="auto"/>
                <w:highlight w:val="none"/>
              </w:rPr>
            </w:pPr>
            <w:r>
              <w:rPr>
                <w:rFonts w:hint="eastAsia"/>
                <w:color w:val="auto"/>
                <w:highlight w:val="none"/>
              </w:rPr>
              <w:t>科室信息撤销接口规则制定</w:t>
            </w:r>
          </w:p>
        </w:tc>
        <w:tc>
          <w:tcPr>
            <w:tcW w:w="2297" w:type="pct"/>
          </w:tcPr>
          <w:p>
            <w:pPr>
              <w:rPr>
                <w:color w:val="auto"/>
                <w:highlight w:val="none"/>
              </w:rPr>
            </w:pPr>
            <w:r>
              <w:rPr>
                <w:rFonts w:hint="eastAsia"/>
                <w:color w:val="auto"/>
                <w:highlight w:val="none"/>
              </w:rPr>
              <w:t>科室信息撤销接口规则制定，对接口传输医院科室编码、医院科室名称等字段制定检测规则，作为检测依据。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87" w:type="pct"/>
            <w:vAlign w:val="center"/>
          </w:tcPr>
          <w:p>
            <w:pPr>
              <w:jc w:val="center"/>
              <w:rPr>
                <w:color w:val="auto"/>
                <w:highlight w:val="none"/>
              </w:rPr>
            </w:pPr>
            <w:r>
              <w:rPr>
                <w:rFonts w:hint="eastAsia"/>
                <w:color w:val="auto"/>
                <w:highlight w:val="none"/>
              </w:rPr>
              <w:t>2.2.69</w:t>
            </w:r>
          </w:p>
        </w:tc>
        <w:tc>
          <w:tcPr>
            <w:tcW w:w="2014" w:type="pct"/>
            <w:vAlign w:val="center"/>
          </w:tcPr>
          <w:p>
            <w:pPr>
              <w:jc w:val="center"/>
              <w:rPr>
                <w:color w:val="auto"/>
                <w:highlight w:val="none"/>
              </w:rPr>
            </w:pPr>
            <w:r>
              <w:rPr>
                <w:rFonts w:hint="eastAsia"/>
                <w:color w:val="auto"/>
                <w:highlight w:val="none"/>
              </w:rPr>
              <w:t>商品盘存上传接口规则制定</w:t>
            </w:r>
          </w:p>
        </w:tc>
        <w:tc>
          <w:tcPr>
            <w:tcW w:w="2297" w:type="pct"/>
          </w:tcPr>
          <w:p>
            <w:pPr>
              <w:rPr>
                <w:color w:val="auto"/>
                <w:highlight w:val="none"/>
              </w:rPr>
            </w:pPr>
            <w:r>
              <w:rPr>
                <w:rFonts w:hint="eastAsia"/>
                <w:color w:val="auto"/>
                <w:highlight w:val="none"/>
              </w:rPr>
              <w:t>商品盘存上传接口规则制定，对接口传输医疗目录编码、定点医药机构目录编号、定点医药机构目录名称、处方药标志等字段制定检测规则，作为检测依据。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trPr>
        <w:tc>
          <w:tcPr>
            <w:tcW w:w="687" w:type="pct"/>
            <w:vAlign w:val="center"/>
          </w:tcPr>
          <w:p>
            <w:pPr>
              <w:jc w:val="center"/>
              <w:rPr>
                <w:color w:val="auto"/>
                <w:highlight w:val="none"/>
              </w:rPr>
            </w:pPr>
            <w:r>
              <w:rPr>
                <w:rFonts w:hint="eastAsia"/>
                <w:color w:val="auto"/>
                <w:highlight w:val="none"/>
              </w:rPr>
              <w:t>2.2.70</w:t>
            </w:r>
          </w:p>
        </w:tc>
        <w:tc>
          <w:tcPr>
            <w:tcW w:w="2014" w:type="pct"/>
            <w:vAlign w:val="center"/>
          </w:tcPr>
          <w:p>
            <w:pPr>
              <w:jc w:val="center"/>
              <w:rPr>
                <w:color w:val="auto"/>
                <w:highlight w:val="none"/>
              </w:rPr>
            </w:pPr>
            <w:r>
              <w:rPr>
                <w:rFonts w:hint="eastAsia"/>
                <w:color w:val="auto"/>
                <w:highlight w:val="none"/>
              </w:rPr>
              <w:t>商品盘存上传A接口规则制定</w:t>
            </w:r>
          </w:p>
        </w:tc>
        <w:tc>
          <w:tcPr>
            <w:tcW w:w="2297" w:type="pct"/>
          </w:tcPr>
          <w:p>
            <w:pPr>
              <w:rPr>
                <w:color w:val="auto"/>
                <w:highlight w:val="none"/>
              </w:rPr>
            </w:pPr>
            <w:r>
              <w:rPr>
                <w:rFonts w:hint="eastAsia"/>
                <w:color w:val="auto"/>
                <w:highlight w:val="none"/>
              </w:rPr>
              <w:t>商品盘存上传A接口规则制定，对接口传输医疗目录编码、定点医药机构目录编号、定点医药机构目录名称、处方药标志、库存数量、生产批号等字段制定检测规则，作为检测依据。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87" w:type="pct"/>
            <w:vAlign w:val="center"/>
          </w:tcPr>
          <w:p>
            <w:pPr>
              <w:jc w:val="center"/>
              <w:rPr>
                <w:color w:val="auto"/>
                <w:highlight w:val="none"/>
              </w:rPr>
            </w:pPr>
            <w:r>
              <w:rPr>
                <w:rFonts w:hint="eastAsia"/>
                <w:color w:val="auto"/>
                <w:highlight w:val="none"/>
              </w:rPr>
              <w:t>2.2.71</w:t>
            </w:r>
          </w:p>
        </w:tc>
        <w:tc>
          <w:tcPr>
            <w:tcW w:w="2014" w:type="pct"/>
            <w:vAlign w:val="center"/>
          </w:tcPr>
          <w:p>
            <w:pPr>
              <w:jc w:val="center"/>
              <w:rPr>
                <w:color w:val="auto"/>
                <w:highlight w:val="none"/>
              </w:rPr>
            </w:pPr>
            <w:r>
              <w:rPr>
                <w:rFonts w:hint="eastAsia"/>
                <w:color w:val="auto"/>
                <w:highlight w:val="none"/>
              </w:rPr>
              <w:t>商品库存变更接口规则制定</w:t>
            </w:r>
          </w:p>
        </w:tc>
        <w:tc>
          <w:tcPr>
            <w:tcW w:w="2297" w:type="pct"/>
          </w:tcPr>
          <w:p>
            <w:pPr>
              <w:rPr>
                <w:color w:val="auto"/>
                <w:highlight w:val="none"/>
              </w:rPr>
            </w:pPr>
            <w:r>
              <w:rPr>
                <w:rFonts w:hint="eastAsia"/>
                <w:color w:val="auto"/>
                <w:highlight w:val="none"/>
              </w:rPr>
              <w:t>商品库存变更接口规则制定，对接口传输医疗目录编码、库存变更类型、定点医药机构批次流水号、单价、数量、处方药标志等字段制定检测规则，作为检测依据。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trPr>
        <w:tc>
          <w:tcPr>
            <w:tcW w:w="687" w:type="pct"/>
            <w:vAlign w:val="center"/>
          </w:tcPr>
          <w:p>
            <w:pPr>
              <w:jc w:val="center"/>
              <w:rPr>
                <w:color w:val="auto"/>
                <w:highlight w:val="none"/>
              </w:rPr>
            </w:pPr>
            <w:r>
              <w:rPr>
                <w:rFonts w:hint="eastAsia"/>
                <w:color w:val="auto"/>
                <w:highlight w:val="none"/>
              </w:rPr>
              <w:t>2.2.72</w:t>
            </w:r>
          </w:p>
        </w:tc>
        <w:tc>
          <w:tcPr>
            <w:tcW w:w="2014" w:type="pct"/>
            <w:vAlign w:val="center"/>
          </w:tcPr>
          <w:p>
            <w:pPr>
              <w:jc w:val="center"/>
              <w:rPr>
                <w:color w:val="auto"/>
                <w:highlight w:val="none"/>
              </w:rPr>
            </w:pPr>
            <w:r>
              <w:rPr>
                <w:rFonts w:hint="eastAsia"/>
                <w:color w:val="auto"/>
                <w:highlight w:val="none"/>
              </w:rPr>
              <w:t>商品库存变更A接口规则制定</w:t>
            </w:r>
          </w:p>
        </w:tc>
        <w:tc>
          <w:tcPr>
            <w:tcW w:w="2297" w:type="pct"/>
          </w:tcPr>
          <w:p>
            <w:pPr>
              <w:rPr>
                <w:color w:val="auto"/>
                <w:highlight w:val="none"/>
              </w:rPr>
            </w:pPr>
            <w:r>
              <w:rPr>
                <w:rFonts w:hint="eastAsia"/>
                <w:color w:val="auto"/>
                <w:highlight w:val="none"/>
              </w:rPr>
              <w:t>商品库存变更A接口规则制定，对接口传输医疗目录编码、库存变更类型、定点医药机构批次流水号、单价、数量、处方药标志、拆零标志、药品追溯码等字段制定检测规则，作为检测依据。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trPr>
        <w:tc>
          <w:tcPr>
            <w:tcW w:w="687" w:type="pct"/>
            <w:vAlign w:val="center"/>
          </w:tcPr>
          <w:p>
            <w:pPr>
              <w:jc w:val="center"/>
              <w:rPr>
                <w:color w:val="auto"/>
                <w:highlight w:val="none"/>
              </w:rPr>
            </w:pPr>
            <w:r>
              <w:rPr>
                <w:rFonts w:hint="eastAsia"/>
                <w:color w:val="auto"/>
                <w:highlight w:val="none"/>
              </w:rPr>
              <w:t>2.2.73</w:t>
            </w:r>
          </w:p>
        </w:tc>
        <w:tc>
          <w:tcPr>
            <w:tcW w:w="2014" w:type="pct"/>
            <w:vAlign w:val="center"/>
          </w:tcPr>
          <w:p>
            <w:pPr>
              <w:jc w:val="center"/>
              <w:rPr>
                <w:color w:val="auto"/>
                <w:highlight w:val="none"/>
              </w:rPr>
            </w:pPr>
            <w:r>
              <w:rPr>
                <w:rFonts w:hint="eastAsia"/>
                <w:color w:val="auto"/>
                <w:highlight w:val="none"/>
              </w:rPr>
              <w:t>商品采购接口规则制定</w:t>
            </w:r>
          </w:p>
        </w:tc>
        <w:tc>
          <w:tcPr>
            <w:tcW w:w="2297" w:type="pct"/>
          </w:tcPr>
          <w:p>
            <w:pPr>
              <w:rPr>
                <w:color w:val="auto"/>
                <w:highlight w:val="none"/>
              </w:rPr>
            </w:pPr>
            <w:r>
              <w:rPr>
                <w:rFonts w:hint="eastAsia"/>
                <w:color w:val="auto"/>
                <w:highlight w:val="none"/>
              </w:rPr>
              <w:t>商品采购接口规则制定，对接口传输医疗目录编码、定点医药机构目录编号、定点医药机构目录名称、随货单号、供应商名称、采购/退货数量等字段制定检测规则，作为检测依据。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trPr>
        <w:tc>
          <w:tcPr>
            <w:tcW w:w="687" w:type="pct"/>
            <w:vAlign w:val="center"/>
          </w:tcPr>
          <w:p>
            <w:pPr>
              <w:jc w:val="center"/>
              <w:rPr>
                <w:color w:val="auto"/>
                <w:highlight w:val="none"/>
              </w:rPr>
            </w:pPr>
            <w:r>
              <w:rPr>
                <w:rFonts w:hint="eastAsia"/>
                <w:color w:val="auto"/>
                <w:highlight w:val="none"/>
              </w:rPr>
              <w:t>2.2.74</w:t>
            </w:r>
          </w:p>
        </w:tc>
        <w:tc>
          <w:tcPr>
            <w:tcW w:w="2014" w:type="pct"/>
            <w:vAlign w:val="center"/>
          </w:tcPr>
          <w:p>
            <w:pPr>
              <w:jc w:val="center"/>
              <w:rPr>
                <w:color w:val="auto"/>
                <w:highlight w:val="none"/>
              </w:rPr>
            </w:pPr>
            <w:r>
              <w:rPr>
                <w:rFonts w:hint="eastAsia"/>
                <w:color w:val="auto"/>
                <w:highlight w:val="none"/>
              </w:rPr>
              <w:t>商品采购A接口规则制定</w:t>
            </w:r>
          </w:p>
        </w:tc>
        <w:tc>
          <w:tcPr>
            <w:tcW w:w="2297" w:type="pct"/>
          </w:tcPr>
          <w:p>
            <w:pPr>
              <w:rPr>
                <w:color w:val="auto"/>
                <w:highlight w:val="none"/>
              </w:rPr>
            </w:pPr>
            <w:r>
              <w:rPr>
                <w:rFonts w:hint="eastAsia"/>
                <w:color w:val="auto"/>
                <w:highlight w:val="none"/>
              </w:rPr>
              <w:t>商品采购A接口规则制定，对接口传输医疗目录编码、定点医药机构目录编号、定点医药机构目录名称、随货单号、供应商名称、采购/退货数量、处方药标志等字段制定检测规则，作为检测依据。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trPr>
        <w:tc>
          <w:tcPr>
            <w:tcW w:w="687" w:type="pct"/>
            <w:vAlign w:val="center"/>
          </w:tcPr>
          <w:p>
            <w:pPr>
              <w:jc w:val="center"/>
              <w:rPr>
                <w:color w:val="auto"/>
                <w:highlight w:val="none"/>
              </w:rPr>
            </w:pPr>
            <w:r>
              <w:rPr>
                <w:rFonts w:hint="eastAsia"/>
                <w:color w:val="auto"/>
                <w:highlight w:val="none"/>
              </w:rPr>
              <w:t>2.2.75</w:t>
            </w:r>
          </w:p>
        </w:tc>
        <w:tc>
          <w:tcPr>
            <w:tcW w:w="2014" w:type="pct"/>
            <w:vAlign w:val="center"/>
          </w:tcPr>
          <w:p>
            <w:pPr>
              <w:jc w:val="center"/>
              <w:rPr>
                <w:color w:val="auto"/>
                <w:highlight w:val="none"/>
              </w:rPr>
            </w:pPr>
            <w:r>
              <w:rPr>
                <w:rFonts w:hint="eastAsia"/>
                <w:color w:val="auto"/>
                <w:highlight w:val="none"/>
              </w:rPr>
              <w:t>商品采购退货接口规则制定</w:t>
            </w:r>
          </w:p>
        </w:tc>
        <w:tc>
          <w:tcPr>
            <w:tcW w:w="2297" w:type="pct"/>
          </w:tcPr>
          <w:p>
            <w:pPr>
              <w:rPr>
                <w:color w:val="auto"/>
                <w:highlight w:val="none"/>
              </w:rPr>
            </w:pPr>
            <w:r>
              <w:rPr>
                <w:rFonts w:hint="eastAsia"/>
                <w:color w:val="auto"/>
                <w:highlight w:val="none"/>
              </w:rPr>
              <w:t>商品采购退货接口规则制定，对接口传输医疗目录编码、定点医药机构目录编号、定点医药机构目录名称、定点医药机构批次流水号、商品采购流水号等字段制定检测规则，作为检测依据。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trPr>
        <w:tc>
          <w:tcPr>
            <w:tcW w:w="687" w:type="pct"/>
            <w:vAlign w:val="center"/>
          </w:tcPr>
          <w:p>
            <w:pPr>
              <w:jc w:val="center"/>
              <w:rPr>
                <w:color w:val="auto"/>
                <w:highlight w:val="none"/>
              </w:rPr>
            </w:pPr>
            <w:r>
              <w:rPr>
                <w:rFonts w:hint="eastAsia"/>
                <w:color w:val="auto"/>
                <w:highlight w:val="none"/>
              </w:rPr>
              <w:t>2.2.76</w:t>
            </w:r>
          </w:p>
        </w:tc>
        <w:tc>
          <w:tcPr>
            <w:tcW w:w="2014" w:type="pct"/>
            <w:vAlign w:val="center"/>
          </w:tcPr>
          <w:p>
            <w:pPr>
              <w:jc w:val="center"/>
              <w:rPr>
                <w:color w:val="auto"/>
                <w:highlight w:val="none"/>
              </w:rPr>
            </w:pPr>
            <w:r>
              <w:rPr>
                <w:rFonts w:hint="eastAsia"/>
                <w:color w:val="auto"/>
                <w:highlight w:val="none"/>
              </w:rPr>
              <w:t>商品采购退货A接口规则制定</w:t>
            </w:r>
          </w:p>
        </w:tc>
        <w:tc>
          <w:tcPr>
            <w:tcW w:w="2297" w:type="pct"/>
          </w:tcPr>
          <w:p>
            <w:pPr>
              <w:rPr>
                <w:color w:val="auto"/>
                <w:highlight w:val="none"/>
              </w:rPr>
            </w:pPr>
            <w:r>
              <w:rPr>
                <w:rFonts w:hint="eastAsia"/>
                <w:color w:val="auto"/>
                <w:highlight w:val="none"/>
              </w:rPr>
              <w:t>商品采购退货A接口规则制定，对接口传输医疗目录编码、定点医药机构目录编号、定点医药机构目录名称、采购发票编码、采购发票号等字段制定检测规则，作为检测依据。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trPr>
        <w:tc>
          <w:tcPr>
            <w:tcW w:w="687" w:type="pct"/>
            <w:vAlign w:val="center"/>
          </w:tcPr>
          <w:p>
            <w:pPr>
              <w:jc w:val="center"/>
              <w:rPr>
                <w:color w:val="auto"/>
                <w:highlight w:val="none"/>
              </w:rPr>
            </w:pPr>
            <w:r>
              <w:rPr>
                <w:rFonts w:hint="eastAsia"/>
                <w:color w:val="auto"/>
                <w:highlight w:val="none"/>
              </w:rPr>
              <w:t>2.2.77</w:t>
            </w:r>
          </w:p>
        </w:tc>
        <w:tc>
          <w:tcPr>
            <w:tcW w:w="2014" w:type="pct"/>
            <w:vAlign w:val="center"/>
          </w:tcPr>
          <w:p>
            <w:pPr>
              <w:jc w:val="center"/>
              <w:rPr>
                <w:color w:val="auto"/>
                <w:highlight w:val="none"/>
              </w:rPr>
            </w:pPr>
            <w:r>
              <w:rPr>
                <w:rFonts w:hint="eastAsia"/>
                <w:color w:val="auto"/>
                <w:highlight w:val="none"/>
              </w:rPr>
              <w:t>商品销售接口规则制定</w:t>
            </w:r>
          </w:p>
        </w:tc>
        <w:tc>
          <w:tcPr>
            <w:tcW w:w="2297" w:type="pct"/>
          </w:tcPr>
          <w:p>
            <w:pPr>
              <w:rPr>
                <w:color w:val="auto"/>
                <w:highlight w:val="none"/>
              </w:rPr>
            </w:pPr>
            <w:r>
              <w:rPr>
                <w:rFonts w:hint="eastAsia"/>
                <w:color w:val="auto"/>
                <w:highlight w:val="none"/>
              </w:rPr>
              <w:t>商品销售接口规则制定，对接口传输医疗目录编码、定点医药机构目录编号、定点医药机构目录名称、开方医师证件类型、开方医师证件号码等字段制定检测规则，作为检测依据。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trPr>
        <w:tc>
          <w:tcPr>
            <w:tcW w:w="687" w:type="pct"/>
            <w:vAlign w:val="center"/>
          </w:tcPr>
          <w:p>
            <w:pPr>
              <w:jc w:val="center"/>
              <w:rPr>
                <w:color w:val="auto"/>
                <w:highlight w:val="none"/>
              </w:rPr>
            </w:pPr>
            <w:r>
              <w:rPr>
                <w:rFonts w:hint="eastAsia"/>
                <w:color w:val="auto"/>
                <w:highlight w:val="none"/>
              </w:rPr>
              <w:t>2.2.78</w:t>
            </w:r>
          </w:p>
        </w:tc>
        <w:tc>
          <w:tcPr>
            <w:tcW w:w="2014" w:type="pct"/>
            <w:vAlign w:val="center"/>
          </w:tcPr>
          <w:p>
            <w:pPr>
              <w:jc w:val="center"/>
              <w:rPr>
                <w:color w:val="auto"/>
                <w:highlight w:val="none"/>
              </w:rPr>
            </w:pPr>
            <w:r>
              <w:rPr>
                <w:rFonts w:hint="eastAsia"/>
                <w:color w:val="auto"/>
                <w:highlight w:val="none"/>
              </w:rPr>
              <w:t>商品销售A接口规则制定</w:t>
            </w:r>
          </w:p>
        </w:tc>
        <w:tc>
          <w:tcPr>
            <w:tcW w:w="2297" w:type="pct"/>
          </w:tcPr>
          <w:p>
            <w:pPr>
              <w:rPr>
                <w:color w:val="auto"/>
                <w:highlight w:val="none"/>
              </w:rPr>
            </w:pPr>
            <w:r>
              <w:rPr>
                <w:rFonts w:hint="eastAsia"/>
                <w:color w:val="auto"/>
                <w:highlight w:val="none"/>
              </w:rPr>
              <w:t>商品销售A接口规则制定，对接口传输医疗目录编码、定点医药机构目录编号、定点医药机构目录名称、开方医师证件类型、开方医师证件号码、药师证件类型、药师证件号码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trPr>
        <w:tc>
          <w:tcPr>
            <w:tcW w:w="687" w:type="pct"/>
            <w:vAlign w:val="center"/>
          </w:tcPr>
          <w:p>
            <w:pPr>
              <w:jc w:val="center"/>
              <w:rPr>
                <w:color w:val="auto"/>
                <w:highlight w:val="none"/>
              </w:rPr>
            </w:pPr>
            <w:r>
              <w:rPr>
                <w:rFonts w:hint="eastAsia"/>
                <w:color w:val="auto"/>
                <w:highlight w:val="none"/>
              </w:rPr>
              <w:t>2.2.79</w:t>
            </w:r>
          </w:p>
        </w:tc>
        <w:tc>
          <w:tcPr>
            <w:tcW w:w="2014" w:type="pct"/>
            <w:vAlign w:val="center"/>
          </w:tcPr>
          <w:p>
            <w:pPr>
              <w:jc w:val="center"/>
              <w:rPr>
                <w:color w:val="auto"/>
                <w:highlight w:val="none"/>
              </w:rPr>
            </w:pPr>
            <w:r>
              <w:rPr>
                <w:rFonts w:hint="eastAsia"/>
                <w:color w:val="auto"/>
                <w:highlight w:val="none"/>
              </w:rPr>
              <w:t>商品销售退货接口规则制定</w:t>
            </w:r>
          </w:p>
        </w:tc>
        <w:tc>
          <w:tcPr>
            <w:tcW w:w="2297" w:type="pct"/>
          </w:tcPr>
          <w:p>
            <w:pPr>
              <w:rPr>
                <w:color w:val="auto"/>
                <w:highlight w:val="none"/>
              </w:rPr>
            </w:pPr>
            <w:r>
              <w:rPr>
                <w:rFonts w:hint="eastAsia"/>
                <w:color w:val="auto"/>
                <w:highlight w:val="none"/>
              </w:rPr>
              <w:t>商品销售退货接口规则制定，对接口传输医疗目录编码、定点医药机构目录编号、定点医药机构目录名称、处方药标志、拆零标志、销售/退货时间等字段制定检测规则，作为检测依据。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87" w:type="pct"/>
            <w:vAlign w:val="center"/>
          </w:tcPr>
          <w:p>
            <w:pPr>
              <w:jc w:val="center"/>
              <w:rPr>
                <w:color w:val="auto"/>
                <w:highlight w:val="none"/>
              </w:rPr>
            </w:pPr>
            <w:r>
              <w:rPr>
                <w:rFonts w:hint="eastAsia"/>
                <w:color w:val="auto"/>
                <w:highlight w:val="none"/>
              </w:rPr>
              <w:t>2.2.80</w:t>
            </w:r>
          </w:p>
        </w:tc>
        <w:tc>
          <w:tcPr>
            <w:tcW w:w="2014" w:type="pct"/>
            <w:vAlign w:val="center"/>
          </w:tcPr>
          <w:p>
            <w:pPr>
              <w:jc w:val="center"/>
              <w:rPr>
                <w:color w:val="auto"/>
                <w:highlight w:val="none"/>
              </w:rPr>
            </w:pPr>
            <w:r>
              <w:rPr>
                <w:rFonts w:hint="eastAsia"/>
                <w:color w:val="auto"/>
                <w:highlight w:val="none"/>
              </w:rPr>
              <w:t>商品销售退货A接口规则制</w:t>
            </w:r>
          </w:p>
        </w:tc>
        <w:tc>
          <w:tcPr>
            <w:tcW w:w="2297" w:type="pct"/>
          </w:tcPr>
          <w:p>
            <w:pPr>
              <w:rPr>
                <w:color w:val="auto"/>
                <w:highlight w:val="none"/>
              </w:rPr>
            </w:pPr>
            <w:r>
              <w:rPr>
                <w:rFonts w:hint="eastAsia"/>
                <w:color w:val="auto"/>
                <w:highlight w:val="none"/>
              </w:rPr>
              <w:t>商品销售退货A接口规则制定，对接口传输医疗目录编码、定点医药机构目录编号、定点医药机构目录名称、就医流水号、药品追溯码等字段制定检测规则，作为检测依据。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87" w:type="pct"/>
            <w:vAlign w:val="center"/>
          </w:tcPr>
          <w:p>
            <w:pPr>
              <w:jc w:val="center"/>
              <w:rPr>
                <w:color w:val="auto"/>
                <w:highlight w:val="none"/>
              </w:rPr>
            </w:pPr>
            <w:r>
              <w:rPr>
                <w:rFonts w:hint="eastAsia"/>
                <w:color w:val="auto"/>
                <w:highlight w:val="none"/>
              </w:rPr>
              <w:t>2.2.81</w:t>
            </w:r>
          </w:p>
        </w:tc>
        <w:tc>
          <w:tcPr>
            <w:tcW w:w="2014" w:type="pct"/>
            <w:vAlign w:val="center"/>
          </w:tcPr>
          <w:p>
            <w:pPr>
              <w:jc w:val="center"/>
              <w:rPr>
                <w:color w:val="auto"/>
                <w:highlight w:val="none"/>
              </w:rPr>
            </w:pPr>
            <w:r>
              <w:rPr>
                <w:rFonts w:hint="eastAsia"/>
                <w:color w:val="auto"/>
                <w:highlight w:val="none"/>
              </w:rPr>
              <w:t>商品信息删除接口规则制定</w:t>
            </w:r>
          </w:p>
        </w:tc>
        <w:tc>
          <w:tcPr>
            <w:tcW w:w="2297" w:type="pct"/>
          </w:tcPr>
          <w:p>
            <w:pPr>
              <w:rPr>
                <w:color w:val="auto"/>
                <w:highlight w:val="none"/>
              </w:rPr>
            </w:pPr>
            <w:r>
              <w:rPr>
                <w:rFonts w:hint="eastAsia"/>
                <w:color w:val="auto"/>
                <w:highlight w:val="none"/>
              </w:rPr>
              <w:t>商品信息删除接口规则制定，对接口传输定点医药机构批次流水号、进销存数据类型等字段制定检测规则，作为检测依据。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87" w:type="pct"/>
            <w:vAlign w:val="center"/>
          </w:tcPr>
          <w:p>
            <w:pPr>
              <w:jc w:val="center"/>
              <w:rPr>
                <w:color w:val="auto"/>
                <w:highlight w:val="none"/>
              </w:rPr>
            </w:pPr>
            <w:r>
              <w:rPr>
                <w:rFonts w:hint="eastAsia"/>
                <w:color w:val="auto"/>
                <w:highlight w:val="none"/>
              </w:rPr>
              <w:t>2.2.82</w:t>
            </w:r>
          </w:p>
        </w:tc>
        <w:tc>
          <w:tcPr>
            <w:tcW w:w="2014" w:type="pct"/>
            <w:vAlign w:val="center"/>
          </w:tcPr>
          <w:p>
            <w:pPr>
              <w:jc w:val="center"/>
              <w:rPr>
                <w:color w:val="auto"/>
                <w:highlight w:val="none"/>
              </w:rPr>
            </w:pPr>
            <w:r>
              <w:rPr>
                <w:rFonts w:hint="eastAsia"/>
                <w:color w:val="auto"/>
                <w:highlight w:val="none"/>
              </w:rPr>
              <w:t>商品信息删除A接口规则制定</w:t>
            </w:r>
          </w:p>
        </w:tc>
        <w:tc>
          <w:tcPr>
            <w:tcW w:w="2297" w:type="pct"/>
          </w:tcPr>
          <w:p>
            <w:pPr>
              <w:rPr>
                <w:color w:val="auto"/>
                <w:highlight w:val="none"/>
              </w:rPr>
            </w:pPr>
            <w:r>
              <w:rPr>
                <w:rFonts w:hint="eastAsia"/>
                <w:color w:val="auto"/>
                <w:highlight w:val="none"/>
              </w:rPr>
              <w:t>商品信息删除A接口规则制定，对接口传输定点医药机构批次流水号、进销存数据类型等字段制定检测规则，作为检测依据。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trPr>
        <w:tc>
          <w:tcPr>
            <w:tcW w:w="687" w:type="pct"/>
            <w:vAlign w:val="center"/>
          </w:tcPr>
          <w:p>
            <w:pPr>
              <w:jc w:val="center"/>
              <w:rPr>
                <w:color w:val="auto"/>
                <w:highlight w:val="none"/>
              </w:rPr>
            </w:pPr>
            <w:r>
              <w:rPr>
                <w:rFonts w:hint="eastAsia"/>
                <w:color w:val="auto"/>
                <w:highlight w:val="none"/>
              </w:rPr>
              <w:t>2.2.83</w:t>
            </w:r>
          </w:p>
        </w:tc>
        <w:tc>
          <w:tcPr>
            <w:tcW w:w="2014" w:type="pct"/>
            <w:vAlign w:val="center"/>
          </w:tcPr>
          <w:p>
            <w:pPr>
              <w:jc w:val="center"/>
              <w:rPr>
                <w:color w:val="auto"/>
                <w:highlight w:val="none"/>
              </w:rPr>
            </w:pPr>
            <w:r>
              <w:rPr>
                <w:rFonts w:hint="eastAsia"/>
                <w:color w:val="auto"/>
                <w:highlight w:val="none"/>
              </w:rPr>
              <w:t>定点医药机构商品库存信息查询接口规则制定</w:t>
            </w:r>
          </w:p>
        </w:tc>
        <w:tc>
          <w:tcPr>
            <w:tcW w:w="2297" w:type="pct"/>
          </w:tcPr>
          <w:p>
            <w:pPr>
              <w:rPr>
                <w:color w:val="auto"/>
                <w:highlight w:val="none"/>
              </w:rPr>
            </w:pPr>
            <w:r>
              <w:rPr>
                <w:rFonts w:hint="eastAsia"/>
                <w:color w:val="auto"/>
                <w:highlight w:val="none"/>
              </w:rPr>
              <w:t>定点医药机构商品库存信息查询接口规则制定，对接口传输定点医药机构编号、医药机构目录编码、定点医药机构批次流水号、处方药标志等字段制定检测规则，作为检测依据。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trPr>
        <w:tc>
          <w:tcPr>
            <w:tcW w:w="687" w:type="pct"/>
            <w:vAlign w:val="center"/>
          </w:tcPr>
          <w:p>
            <w:pPr>
              <w:jc w:val="center"/>
              <w:rPr>
                <w:color w:val="auto"/>
                <w:highlight w:val="none"/>
              </w:rPr>
            </w:pPr>
            <w:r>
              <w:rPr>
                <w:rFonts w:hint="eastAsia"/>
                <w:color w:val="auto"/>
                <w:highlight w:val="none"/>
              </w:rPr>
              <w:t>2.2.84</w:t>
            </w:r>
          </w:p>
        </w:tc>
        <w:tc>
          <w:tcPr>
            <w:tcW w:w="2014" w:type="pct"/>
            <w:vAlign w:val="center"/>
          </w:tcPr>
          <w:p>
            <w:pPr>
              <w:jc w:val="center"/>
              <w:rPr>
                <w:color w:val="auto"/>
                <w:highlight w:val="none"/>
              </w:rPr>
            </w:pPr>
            <w:r>
              <w:rPr>
                <w:rFonts w:hint="eastAsia"/>
                <w:color w:val="auto"/>
                <w:highlight w:val="none"/>
              </w:rPr>
              <w:t>定点医药机构商品库存变更记录查询接口规则制定</w:t>
            </w:r>
          </w:p>
        </w:tc>
        <w:tc>
          <w:tcPr>
            <w:tcW w:w="2297" w:type="pct"/>
          </w:tcPr>
          <w:p>
            <w:pPr>
              <w:rPr>
                <w:color w:val="auto"/>
                <w:highlight w:val="none"/>
              </w:rPr>
            </w:pPr>
            <w:r>
              <w:rPr>
                <w:rFonts w:hint="eastAsia"/>
                <w:color w:val="auto"/>
                <w:highlight w:val="none"/>
              </w:rPr>
              <w:t>定点医药机构商品库存变更记录查询接口规则制定，对接口传输定点医药机构编号、医药机构目录编码、定点医药机构批次流水号、医疗目录编码、库存变更类型等字段制定检测规则，作为检测依据。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trPr>
        <w:tc>
          <w:tcPr>
            <w:tcW w:w="687" w:type="pct"/>
            <w:vAlign w:val="center"/>
          </w:tcPr>
          <w:p>
            <w:pPr>
              <w:jc w:val="center"/>
              <w:rPr>
                <w:color w:val="auto"/>
                <w:highlight w:val="none"/>
              </w:rPr>
            </w:pPr>
            <w:r>
              <w:rPr>
                <w:rFonts w:hint="eastAsia"/>
                <w:color w:val="auto"/>
                <w:highlight w:val="none"/>
              </w:rPr>
              <w:t>2.2.85</w:t>
            </w:r>
          </w:p>
        </w:tc>
        <w:tc>
          <w:tcPr>
            <w:tcW w:w="2014" w:type="pct"/>
            <w:vAlign w:val="center"/>
          </w:tcPr>
          <w:p>
            <w:pPr>
              <w:jc w:val="center"/>
              <w:rPr>
                <w:color w:val="auto"/>
                <w:highlight w:val="none"/>
              </w:rPr>
            </w:pPr>
            <w:r>
              <w:rPr>
                <w:rFonts w:hint="eastAsia"/>
                <w:color w:val="auto"/>
                <w:highlight w:val="none"/>
              </w:rPr>
              <w:t>定点医药机构商品采购信息查询接口规则制定</w:t>
            </w:r>
          </w:p>
        </w:tc>
        <w:tc>
          <w:tcPr>
            <w:tcW w:w="2297" w:type="pct"/>
          </w:tcPr>
          <w:p>
            <w:pPr>
              <w:rPr>
                <w:color w:val="auto"/>
                <w:highlight w:val="none"/>
              </w:rPr>
            </w:pPr>
            <w:r>
              <w:rPr>
                <w:rFonts w:hint="eastAsia"/>
                <w:color w:val="auto"/>
                <w:highlight w:val="none"/>
              </w:rPr>
              <w:t>定点医药机构商品采购信息查询接口规则制定，对接口传输定点医药机构编号、医药机构目录编码、定点医药机构批次流水号、采购发票编码、采购发票号等字段制定检测规则，作为检测依据。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trPr>
        <w:tc>
          <w:tcPr>
            <w:tcW w:w="687" w:type="pct"/>
            <w:vAlign w:val="center"/>
          </w:tcPr>
          <w:p>
            <w:pPr>
              <w:jc w:val="center"/>
              <w:rPr>
                <w:color w:val="auto"/>
                <w:highlight w:val="none"/>
              </w:rPr>
            </w:pPr>
            <w:r>
              <w:rPr>
                <w:rFonts w:hint="eastAsia"/>
                <w:color w:val="auto"/>
                <w:highlight w:val="none"/>
              </w:rPr>
              <w:t>2.2.86</w:t>
            </w:r>
          </w:p>
        </w:tc>
        <w:tc>
          <w:tcPr>
            <w:tcW w:w="2014" w:type="pct"/>
            <w:vAlign w:val="center"/>
          </w:tcPr>
          <w:p>
            <w:pPr>
              <w:jc w:val="center"/>
              <w:rPr>
                <w:color w:val="auto"/>
                <w:highlight w:val="none"/>
              </w:rPr>
            </w:pPr>
            <w:r>
              <w:rPr>
                <w:rFonts w:hint="eastAsia"/>
                <w:color w:val="auto"/>
                <w:highlight w:val="none"/>
              </w:rPr>
              <w:t>定点医药机构商品销售信息查询接口规则制定</w:t>
            </w:r>
          </w:p>
        </w:tc>
        <w:tc>
          <w:tcPr>
            <w:tcW w:w="2297" w:type="pct"/>
          </w:tcPr>
          <w:p>
            <w:pPr>
              <w:rPr>
                <w:color w:val="auto"/>
                <w:highlight w:val="none"/>
              </w:rPr>
            </w:pPr>
            <w:r>
              <w:rPr>
                <w:rFonts w:hint="eastAsia"/>
                <w:color w:val="auto"/>
                <w:highlight w:val="none"/>
              </w:rPr>
              <w:t>定点医药机构商品销售信息查询接口规则制定，对接口传输定点医药机构编号、医药机构目录编码、定点医药机构商品销售流水号、医保费用结算类型等字段制定检测规则，作为检测依据。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trPr>
        <w:tc>
          <w:tcPr>
            <w:tcW w:w="687" w:type="pct"/>
            <w:vAlign w:val="center"/>
          </w:tcPr>
          <w:p>
            <w:pPr>
              <w:jc w:val="center"/>
              <w:rPr>
                <w:color w:val="auto"/>
                <w:highlight w:val="none"/>
              </w:rPr>
            </w:pPr>
            <w:r>
              <w:rPr>
                <w:rFonts w:hint="eastAsia"/>
                <w:color w:val="auto"/>
                <w:highlight w:val="none"/>
              </w:rPr>
              <w:t>2.2.87</w:t>
            </w:r>
          </w:p>
        </w:tc>
        <w:tc>
          <w:tcPr>
            <w:tcW w:w="2014" w:type="pct"/>
            <w:vAlign w:val="center"/>
          </w:tcPr>
          <w:p>
            <w:pPr>
              <w:jc w:val="center"/>
              <w:rPr>
                <w:color w:val="auto"/>
                <w:highlight w:val="none"/>
              </w:rPr>
            </w:pPr>
            <w:r>
              <w:rPr>
                <w:rFonts w:hint="eastAsia"/>
                <w:color w:val="auto"/>
                <w:highlight w:val="none"/>
              </w:rPr>
              <w:t>定点医药机构入库商品追溯信息查询接口规则制定</w:t>
            </w:r>
          </w:p>
        </w:tc>
        <w:tc>
          <w:tcPr>
            <w:tcW w:w="2297" w:type="pct"/>
          </w:tcPr>
          <w:p>
            <w:pPr>
              <w:rPr>
                <w:color w:val="auto"/>
                <w:highlight w:val="none"/>
              </w:rPr>
            </w:pPr>
            <w:r>
              <w:rPr>
                <w:rFonts w:hint="eastAsia"/>
                <w:color w:val="auto"/>
                <w:highlight w:val="none"/>
              </w:rPr>
              <w:t>定点医药机构入库商品追溯信息查询接口规则制定，对接口传输定点医药机构编号、医药机构目录编码、定点医药机构批次流水号、药品追溯码等字段制定检测规则，作为检测依据。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trPr>
        <w:tc>
          <w:tcPr>
            <w:tcW w:w="687" w:type="pct"/>
            <w:vAlign w:val="center"/>
          </w:tcPr>
          <w:p>
            <w:pPr>
              <w:jc w:val="center"/>
              <w:rPr>
                <w:color w:val="auto"/>
                <w:highlight w:val="none"/>
              </w:rPr>
            </w:pPr>
            <w:r>
              <w:rPr>
                <w:rFonts w:hint="eastAsia"/>
                <w:color w:val="auto"/>
                <w:highlight w:val="none"/>
              </w:rPr>
              <w:t>2.2.88</w:t>
            </w:r>
          </w:p>
        </w:tc>
        <w:tc>
          <w:tcPr>
            <w:tcW w:w="2014" w:type="pct"/>
            <w:vAlign w:val="center"/>
          </w:tcPr>
          <w:p>
            <w:pPr>
              <w:jc w:val="center"/>
              <w:rPr>
                <w:color w:val="auto"/>
                <w:highlight w:val="none"/>
              </w:rPr>
            </w:pPr>
            <w:r>
              <w:rPr>
                <w:rFonts w:hint="eastAsia"/>
                <w:color w:val="auto"/>
                <w:highlight w:val="none"/>
              </w:rPr>
              <w:t>定点医药机构商品销售追溯信息查询接口规则制定</w:t>
            </w:r>
          </w:p>
        </w:tc>
        <w:tc>
          <w:tcPr>
            <w:tcW w:w="2297" w:type="pct"/>
          </w:tcPr>
          <w:p>
            <w:pPr>
              <w:rPr>
                <w:color w:val="auto"/>
                <w:highlight w:val="none"/>
              </w:rPr>
            </w:pPr>
            <w:r>
              <w:rPr>
                <w:rFonts w:hint="eastAsia"/>
                <w:color w:val="auto"/>
                <w:highlight w:val="none"/>
              </w:rPr>
              <w:t>定点医药机构商品销售追溯信息查询接口规则制定，对接口传输定点医药机构编号、医药机构目录编码、定点医药机构批次流水号、就诊ID、药品追溯码等字段制定检测规则，作为检测依据。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87" w:type="pct"/>
            <w:vAlign w:val="center"/>
          </w:tcPr>
          <w:p>
            <w:pPr>
              <w:jc w:val="center"/>
              <w:rPr>
                <w:color w:val="auto"/>
                <w:highlight w:val="none"/>
              </w:rPr>
            </w:pPr>
            <w:r>
              <w:rPr>
                <w:rFonts w:hint="eastAsia"/>
                <w:color w:val="auto"/>
                <w:highlight w:val="none"/>
              </w:rPr>
              <w:t>2.2.89</w:t>
            </w:r>
          </w:p>
        </w:tc>
        <w:tc>
          <w:tcPr>
            <w:tcW w:w="2014" w:type="pct"/>
            <w:vAlign w:val="center"/>
          </w:tcPr>
          <w:p>
            <w:pPr>
              <w:jc w:val="center"/>
              <w:rPr>
                <w:color w:val="auto"/>
                <w:highlight w:val="none"/>
              </w:rPr>
            </w:pPr>
            <w:r>
              <w:rPr>
                <w:rFonts w:hint="eastAsia"/>
                <w:color w:val="auto"/>
                <w:highlight w:val="none"/>
              </w:rPr>
              <w:t>特病单议申请退出列表查询接口规则制定</w:t>
            </w:r>
          </w:p>
        </w:tc>
        <w:tc>
          <w:tcPr>
            <w:tcW w:w="2297" w:type="pct"/>
          </w:tcPr>
          <w:p>
            <w:pPr>
              <w:rPr>
                <w:color w:val="auto"/>
                <w:highlight w:val="none"/>
              </w:rPr>
            </w:pPr>
            <w:r>
              <w:rPr>
                <w:rFonts w:hint="eastAsia"/>
                <w:color w:val="auto"/>
                <w:highlight w:val="none"/>
              </w:rPr>
              <w:t>特病单议申请退出列表查询接口规则制定，对接口传输申请退出类型、结算ID、申请退出类型等字段制定检测规则，作为检测依据。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87" w:type="pct"/>
            <w:vAlign w:val="center"/>
          </w:tcPr>
          <w:p>
            <w:pPr>
              <w:jc w:val="center"/>
              <w:rPr>
                <w:color w:val="auto"/>
                <w:highlight w:val="none"/>
              </w:rPr>
            </w:pPr>
            <w:r>
              <w:rPr>
                <w:rFonts w:hint="eastAsia"/>
                <w:color w:val="auto"/>
                <w:highlight w:val="none"/>
              </w:rPr>
              <w:t>2.2.90</w:t>
            </w:r>
          </w:p>
        </w:tc>
        <w:tc>
          <w:tcPr>
            <w:tcW w:w="2014" w:type="pct"/>
            <w:vAlign w:val="center"/>
          </w:tcPr>
          <w:p>
            <w:pPr>
              <w:jc w:val="center"/>
              <w:rPr>
                <w:color w:val="auto"/>
                <w:highlight w:val="none"/>
              </w:rPr>
            </w:pPr>
            <w:r>
              <w:rPr>
                <w:rFonts w:hint="eastAsia"/>
                <w:color w:val="auto"/>
                <w:highlight w:val="none"/>
              </w:rPr>
              <w:t>特病单议退出申请保存接口规则制定</w:t>
            </w:r>
          </w:p>
        </w:tc>
        <w:tc>
          <w:tcPr>
            <w:tcW w:w="2297" w:type="pct"/>
          </w:tcPr>
          <w:p>
            <w:pPr>
              <w:rPr>
                <w:color w:val="auto"/>
                <w:highlight w:val="none"/>
              </w:rPr>
            </w:pPr>
            <w:r>
              <w:rPr>
                <w:rFonts w:hint="eastAsia"/>
                <w:color w:val="auto"/>
                <w:highlight w:val="none"/>
              </w:rPr>
              <w:t>特病单议退出申请保存接口规则制定，对接口传输退出原因、基金封顶线、DRG医保区划、结算id等字段制定检测规则，作为检测依据。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87" w:type="pct"/>
            <w:vAlign w:val="center"/>
          </w:tcPr>
          <w:p>
            <w:pPr>
              <w:jc w:val="center"/>
              <w:rPr>
                <w:color w:val="auto"/>
                <w:highlight w:val="none"/>
              </w:rPr>
            </w:pPr>
            <w:r>
              <w:rPr>
                <w:rFonts w:hint="eastAsia"/>
                <w:color w:val="auto"/>
                <w:highlight w:val="none"/>
              </w:rPr>
              <w:t>2.2.91</w:t>
            </w:r>
          </w:p>
        </w:tc>
        <w:tc>
          <w:tcPr>
            <w:tcW w:w="2014" w:type="pct"/>
            <w:vAlign w:val="center"/>
          </w:tcPr>
          <w:p>
            <w:pPr>
              <w:jc w:val="center"/>
              <w:rPr>
                <w:color w:val="auto"/>
                <w:highlight w:val="none"/>
              </w:rPr>
            </w:pPr>
            <w:r>
              <w:rPr>
                <w:rFonts w:hint="eastAsia"/>
                <w:color w:val="auto"/>
                <w:highlight w:val="none"/>
              </w:rPr>
              <w:t>特病单议退出申请修改/撤销接口规则制定</w:t>
            </w:r>
          </w:p>
        </w:tc>
        <w:tc>
          <w:tcPr>
            <w:tcW w:w="2297" w:type="pct"/>
          </w:tcPr>
          <w:p>
            <w:pPr>
              <w:rPr>
                <w:color w:val="auto"/>
                <w:highlight w:val="none"/>
              </w:rPr>
            </w:pPr>
            <w:r>
              <w:rPr>
                <w:rFonts w:hint="eastAsia"/>
                <w:color w:val="auto"/>
                <w:highlight w:val="none"/>
              </w:rPr>
              <w:t>特病单议退出申请修改/撤销接口规则制定，对接口传输申请审核结算目录ID、入院时间、出院时间、申请退出类型等字段制定检测规则，作为检测依据。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87" w:type="pct"/>
            <w:vAlign w:val="center"/>
          </w:tcPr>
          <w:p>
            <w:pPr>
              <w:jc w:val="center"/>
              <w:rPr>
                <w:color w:val="auto"/>
                <w:highlight w:val="none"/>
              </w:rPr>
            </w:pPr>
            <w:r>
              <w:rPr>
                <w:rFonts w:hint="eastAsia"/>
                <w:color w:val="auto"/>
                <w:highlight w:val="none"/>
              </w:rPr>
              <w:t>2.2.92</w:t>
            </w:r>
          </w:p>
        </w:tc>
        <w:tc>
          <w:tcPr>
            <w:tcW w:w="2014" w:type="pct"/>
            <w:vAlign w:val="center"/>
          </w:tcPr>
          <w:p>
            <w:pPr>
              <w:jc w:val="center"/>
              <w:rPr>
                <w:color w:val="auto"/>
                <w:highlight w:val="none"/>
              </w:rPr>
            </w:pPr>
            <w:r>
              <w:rPr>
                <w:rFonts w:hint="eastAsia"/>
                <w:color w:val="auto"/>
                <w:highlight w:val="none"/>
              </w:rPr>
              <w:t>特病单议申请审核意见和预结算基金分项查询接口规则制定</w:t>
            </w:r>
          </w:p>
        </w:tc>
        <w:tc>
          <w:tcPr>
            <w:tcW w:w="2297" w:type="pct"/>
          </w:tcPr>
          <w:p>
            <w:pPr>
              <w:rPr>
                <w:color w:val="auto"/>
                <w:highlight w:val="none"/>
              </w:rPr>
            </w:pPr>
            <w:r>
              <w:rPr>
                <w:rFonts w:hint="eastAsia"/>
                <w:color w:val="auto"/>
                <w:highlight w:val="none"/>
              </w:rPr>
              <w:t>特病单议申请审核意见和预结算基金分项查询接口规则制定，对接口传输申请审核结算目录ID、结算ID、人员编号等字段制定检测规则，作为检测依据。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87" w:type="pct"/>
            <w:vAlign w:val="center"/>
          </w:tcPr>
          <w:p>
            <w:pPr>
              <w:jc w:val="center"/>
              <w:rPr>
                <w:color w:val="auto"/>
                <w:highlight w:val="none"/>
              </w:rPr>
            </w:pPr>
            <w:r>
              <w:rPr>
                <w:rFonts w:hint="eastAsia"/>
                <w:color w:val="auto"/>
                <w:highlight w:val="none"/>
              </w:rPr>
              <w:t>2.2.93</w:t>
            </w:r>
          </w:p>
        </w:tc>
        <w:tc>
          <w:tcPr>
            <w:tcW w:w="2014" w:type="pct"/>
            <w:vAlign w:val="center"/>
          </w:tcPr>
          <w:p>
            <w:pPr>
              <w:jc w:val="center"/>
              <w:rPr>
                <w:color w:val="auto"/>
                <w:highlight w:val="none"/>
              </w:rPr>
            </w:pPr>
            <w:r>
              <w:rPr>
                <w:rFonts w:hint="eastAsia"/>
                <w:color w:val="auto"/>
                <w:highlight w:val="none"/>
              </w:rPr>
              <w:t>DRG分组结果查询接口规则制定</w:t>
            </w:r>
          </w:p>
        </w:tc>
        <w:tc>
          <w:tcPr>
            <w:tcW w:w="2297" w:type="pct"/>
          </w:tcPr>
          <w:p>
            <w:pPr>
              <w:rPr>
                <w:color w:val="auto"/>
                <w:highlight w:val="none"/>
              </w:rPr>
            </w:pPr>
            <w:r>
              <w:rPr>
                <w:rFonts w:hint="eastAsia"/>
                <w:color w:val="auto"/>
                <w:highlight w:val="none"/>
              </w:rPr>
              <w:t>DRG分组结果查询接口规则制定，对接口传输结算年月、分页页码、分页数量等字段制定检测规则，作为检测依据。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87" w:type="pct"/>
            <w:vAlign w:val="center"/>
          </w:tcPr>
          <w:p>
            <w:pPr>
              <w:jc w:val="center"/>
              <w:rPr>
                <w:color w:val="auto"/>
                <w:highlight w:val="none"/>
              </w:rPr>
            </w:pPr>
            <w:r>
              <w:rPr>
                <w:rFonts w:hint="eastAsia"/>
                <w:color w:val="auto"/>
                <w:highlight w:val="none"/>
              </w:rPr>
              <w:t>2.2.94</w:t>
            </w:r>
          </w:p>
        </w:tc>
        <w:tc>
          <w:tcPr>
            <w:tcW w:w="2014" w:type="pct"/>
            <w:vAlign w:val="center"/>
          </w:tcPr>
          <w:p>
            <w:pPr>
              <w:jc w:val="center"/>
              <w:rPr>
                <w:color w:val="auto"/>
                <w:highlight w:val="none"/>
              </w:rPr>
            </w:pPr>
            <w:r>
              <w:rPr>
                <w:rFonts w:hint="eastAsia"/>
                <w:color w:val="auto"/>
                <w:highlight w:val="none"/>
              </w:rPr>
              <w:t>DIP分组结果查询接口规则制定</w:t>
            </w:r>
          </w:p>
        </w:tc>
        <w:tc>
          <w:tcPr>
            <w:tcW w:w="2297" w:type="pct"/>
          </w:tcPr>
          <w:p>
            <w:pPr>
              <w:rPr>
                <w:color w:val="auto"/>
                <w:highlight w:val="none"/>
              </w:rPr>
            </w:pPr>
            <w:r>
              <w:rPr>
                <w:rFonts w:hint="eastAsia"/>
                <w:color w:val="auto"/>
                <w:highlight w:val="none"/>
              </w:rPr>
              <w:t>DIP分组结果查询接口规则制定，对接口传输结算年月、分页页码、分页数量、结算ID等字段制定检测规则，作为检测依据。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87" w:type="pct"/>
            <w:vAlign w:val="center"/>
          </w:tcPr>
          <w:p>
            <w:pPr>
              <w:jc w:val="center"/>
              <w:rPr>
                <w:color w:val="auto"/>
                <w:highlight w:val="none"/>
              </w:rPr>
            </w:pPr>
            <w:r>
              <w:rPr>
                <w:rFonts w:hint="eastAsia"/>
                <w:color w:val="auto"/>
                <w:highlight w:val="none"/>
              </w:rPr>
              <w:t>2.2.95</w:t>
            </w:r>
          </w:p>
        </w:tc>
        <w:tc>
          <w:tcPr>
            <w:tcW w:w="2014" w:type="pct"/>
            <w:vAlign w:val="center"/>
          </w:tcPr>
          <w:p>
            <w:pPr>
              <w:jc w:val="center"/>
              <w:rPr>
                <w:color w:val="auto"/>
                <w:highlight w:val="none"/>
              </w:rPr>
            </w:pPr>
            <w:r>
              <w:rPr>
                <w:rFonts w:hint="eastAsia"/>
                <w:color w:val="auto"/>
                <w:highlight w:val="none"/>
              </w:rPr>
              <w:t>结算清单质控结果查询接口规则制定</w:t>
            </w:r>
          </w:p>
        </w:tc>
        <w:tc>
          <w:tcPr>
            <w:tcW w:w="2297" w:type="pct"/>
          </w:tcPr>
          <w:p>
            <w:pPr>
              <w:rPr>
                <w:color w:val="auto"/>
                <w:highlight w:val="none"/>
              </w:rPr>
            </w:pPr>
            <w:r>
              <w:rPr>
                <w:rFonts w:hint="eastAsia"/>
                <w:color w:val="auto"/>
                <w:highlight w:val="none"/>
              </w:rPr>
              <w:t>结算清单质控结果查询接口规则制定，对接口传输结算年月、分页页码、分页数量、结算ID等字段制定检测规则，作为检测依据。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87" w:type="pct"/>
            <w:vAlign w:val="center"/>
          </w:tcPr>
          <w:p>
            <w:pPr>
              <w:jc w:val="center"/>
              <w:rPr>
                <w:color w:val="auto"/>
                <w:highlight w:val="none"/>
              </w:rPr>
            </w:pPr>
            <w:r>
              <w:rPr>
                <w:rFonts w:hint="eastAsia"/>
                <w:color w:val="auto"/>
                <w:highlight w:val="none"/>
              </w:rPr>
              <w:t>2.2.96</w:t>
            </w:r>
          </w:p>
        </w:tc>
        <w:tc>
          <w:tcPr>
            <w:tcW w:w="2014" w:type="pct"/>
            <w:vAlign w:val="center"/>
          </w:tcPr>
          <w:p>
            <w:pPr>
              <w:jc w:val="center"/>
              <w:rPr>
                <w:color w:val="auto"/>
                <w:highlight w:val="none"/>
              </w:rPr>
            </w:pPr>
            <w:r>
              <w:rPr>
                <w:rFonts w:hint="eastAsia"/>
                <w:color w:val="auto"/>
                <w:highlight w:val="none"/>
              </w:rPr>
              <w:t>DIP分组结果统计汇总查询接口规则制定</w:t>
            </w:r>
          </w:p>
        </w:tc>
        <w:tc>
          <w:tcPr>
            <w:tcW w:w="2297" w:type="pct"/>
          </w:tcPr>
          <w:p>
            <w:pPr>
              <w:rPr>
                <w:color w:val="auto"/>
                <w:highlight w:val="none"/>
              </w:rPr>
            </w:pPr>
            <w:r>
              <w:rPr>
                <w:rFonts w:hint="eastAsia"/>
                <w:color w:val="auto"/>
                <w:highlight w:val="none"/>
              </w:rPr>
              <w:t>DIP分组结果统计汇总查询接口规则制定，对接口传输结算年月、分页页码、分页数量等字段制定检测规则，作为检测依据。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87" w:type="pct"/>
            <w:vAlign w:val="center"/>
          </w:tcPr>
          <w:p>
            <w:pPr>
              <w:jc w:val="center"/>
              <w:rPr>
                <w:color w:val="auto"/>
                <w:highlight w:val="none"/>
              </w:rPr>
            </w:pPr>
            <w:r>
              <w:rPr>
                <w:rFonts w:hint="eastAsia"/>
                <w:color w:val="auto"/>
                <w:highlight w:val="none"/>
              </w:rPr>
              <w:t>2.2.97</w:t>
            </w:r>
          </w:p>
        </w:tc>
        <w:tc>
          <w:tcPr>
            <w:tcW w:w="2014" w:type="pct"/>
            <w:vAlign w:val="center"/>
          </w:tcPr>
          <w:p>
            <w:pPr>
              <w:jc w:val="center"/>
              <w:rPr>
                <w:color w:val="auto"/>
                <w:highlight w:val="none"/>
              </w:rPr>
            </w:pPr>
            <w:r>
              <w:rPr>
                <w:rFonts w:hint="eastAsia"/>
                <w:color w:val="auto"/>
                <w:highlight w:val="none"/>
              </w:rPr>
              <w:t>DIP分组结果统计查询接口规则制定</w:t>
            </w:r>
          </w:p>
        </w:tc>
        <w:tc>
          <w:tcPr>
            <w:tcW w:w="2297" w:type="pct"/>
          </w:tcPr>
          <w:p>
            <w:pPr>
              <w:rPr>
                <w:color w:val="auto"/>
                <w:highlight w:val="none"/>
              </w:rPr>
            </w:pPr>
            <w:r>
              <w:rPr>
                <w:rFonts w:hint="eastAsia"/>
                <w:color w:val="auto"/>
                <w:highlight w:val="none"/>
              </w:rPr>
              <w:t>DIP分组结果统计查询接口规则制定，对接口传输结算年月、分页页码、分页数量、定点医药机构编号、疾病编码等字段制定检测规则，作为检测依据。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87" w:type="pct"/>
            <w:vAlign w:val="center"/>
          </w:tcPr>
          <w:p>
            <w:pPr>
              <w:jc w:val="center"/>
              <w:rPr>
                <w:color w:val="auto"/>
                <w:highlight w:val="none"/>
              </w:rPr>
            </w:pPr>
            <w:r>
              <w:rPr>
                <w:rFonts w:hint="eastAsia"/>
                <w:color w:val="auto"/>
                <w:highlight w:val="none"/>
              </w:rPr>
              <w:t>2.2.98</w:t>
            </w:r>
          </w:p>
        </w:tc>
        <w:tc>
          <w:tcPr>
            <w:tcW w:w="2014" w:type="pct"/>
            <w:vAlign w:val="center"/>
          </w:tcPr>
          <w:p>
            <w:pPr>
              <w:jc w:val="center"/>
              <w:rPr>
                <w:color w:val="auto"/>
                <w:highlight w:val="none"/>
              </w:rPr>
            </w:pPr>
            <w:r>
              <w:rPr>
                <w:rFonts w:hint="eastAsia"/>
                <w:color w:val="auto"/>
                <w:highlight w:val="none"/>
              </w:rPr>
              <w:t>DRG分组结果统计汇总查询接口规则制定</w:t>
            </w:r>
          </w:p>
        </w:tc>
        <w:tc>
          <w:tcPr>
            <w:tcW w:w="2297" w:type="pct"/>
          </w:tcPr>
          <w:p>
            <w:pPr>
              <w:rPr>
                <w:color w:val="auto"/>
                <w:highlight w:val="none"/>
              </w:rPr>
            </w:pPr>
            <w:r>
              <w:rPr>
                <w:rFonts w:hint="eastAsia"/>
                <w:color w:val="auto"/>
                <w:highlight w:val="none"/>
              </w:rPr>
              <w:t>DRG分组结果统计汇总查询接口规则制定，对接口传输结算年月、分页页码、分页数量等字段制定检测规则，作为检测依据。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87" w:type="pct"/>
            <w:vAlign w:val="center"/>
          </w:tcPr>
          <w:p>
            <w:pPr>
              <w:jc w:val="center"/>
              <w:rPr>
                <w:color w:val="auto"/>
                <w:highlight w:val="none"/>
              </w:rPr>
            </w:pPr>
            <w:r>
              <w:rPr>
                <w:rFonts w:hint="eastAsia"/>
                <w:color w:val="auto"/>
                <w:highlight w:val="none"/>
              </w:rPr>
              <w:t>2.2.99</w:t>
            </w:r>
          </w:p>
        </w:tc>
        <w:tc>
          <w:tcPr>
            <w:tcW w:w="2014" w:type="pct"/>
            <w:vAlign w:val="center"/>
          </w:tcPr>
          <w:p>
            <w:pPr>
              <w:jc w:val="center"/>
              <w:rPr>
                <w:color w:val="auto"/>
                <w:highlight w:val="none"/>
              </w:rPr>
            </w:pPr>
            <w:r>
              <w:rPr>
                <w:rFonts w:hint="eastAsia"/>
                <w:color w:val="auto"/>
                <w:highlight w:val="none"/>
              </w:rPr>
              <w:t>DRG分组结果统计查询接口规则制定</w:t>
            </w:r>
          </w:p>
        </w:tc>
        <w:tc>
          <w:tcPr>
            <w:tcW w:w="2297" w:type="pct"/>
          </w:tcPr>
          <w:p>
            <w:pPr>
              <w:rPr>
                <w:color w:val="auto"/>
                <w:highlight w:val="none"/>
              </w:rPr>
            </w:pPr>
            <w:r>
              <w:rPr>
                <w:rFonts w:hint="eastAsia"/>
                <w:color w:val="auto"/>
                <w:highlight w:val="none"/>
              </w:rPr>
              <w:t>DRG分组结果统计查询接口规则制定，对接口传输结算年月、分页页码、分页数量、定点医药机构编号、疾病编码等字段制定检测规则，作为检测依据。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87" w:type="pct"/>
            <w:vAlign w:val="center"/>
          </w:tcPr>
          <w:p>
            <w:pPr>
              <w:jc w:val="center"/>
              <w:rPr>
                <w:color w:val="auto"/>
                <w:highlight w:val="none"/>
              </w:rPr>
            </w:pPr>
            <w:r>
              <w:rPr>
                <w:rFonts w:hint="eastAsia"/>
                <w:color w:val="auto"/>
                <w:highlight w:val="none"/>
              </w:rPr>
              <w:t>2.2.100</w:t>
            </w:r>
          </w:p>
        </w:tc>
        <w:tc>
          <w:tcPr>
            <w:tcW w:w="2014" w:type="pct"/>
            <w:vAlign w:val="center"/>
          </w:tcPr>
          <w:p>
            <w:pPr>
              <w:jc w:val="center"/>
              <w:rPr>
                <w:color w:val="auto"/>
                <w:highlight w:val="none"/>
              </w:rPr>
            </w:pPr>
            <w:r>
              <w:rPr>
                <w:rFonts w:hint="eastAsia"/>
                <w:color w:val="auto"/>
                <w:highlight w:val="none"/>
              </w:rPr>
              <w:t>审核申诉、扣款节点查询接口规则制定</w:t>
            </w:r>
          </w:p>
        </w:tc>
        <w:tc>
          <w:tcPr>
            <w:tcW w:w="2297" w:type="pct"/>
          </w:tcPr>
          <w:p>
            <w:pPr>
              <w:rPr>
                <w:color w:val="auto"/>
                <w:highlight w:val="none"/>
              </w:rPr>
            </w:pPr>
            <w:r>
              <w:rPr>
                <w:rFonts w:hint="eastAsia"/>
                <w:color w:val="auto"/>
                <w:highlight w:val="none"/>
              </w:rPr>
              <w:t>审核申诉、扣款节点查询接口规则制定，对接口传输开始时间、结束时间、医药机构编码、医药机构名称等字段制定检测规则，作为检测依据。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87" w:type="pct"/>
            <w:vAlign w:val="center"/>
          </w:tcPr>
          <w:p>
            <w:pPr>
              <w:jc w:val="center"/>
              <w:rPr>
                <w:color w:val="auto"/>
                <w:highlight w:val="none"/>
              </w:rPr>
            </w:pPr>
            <w:r>
              <w:rPr>
                <w:rFonts w:hint="eastAsia"/>
                <w:color w:val="auto"/>
                <w:highlight w:val="none"/>
              </w:rPr>
              <w:t>2.2.101</w:t>
            </w:r>
          </w:p>
        </w:tc>
        <w:tc>
          <w:tcPr>
            <w:tcW w:w="2014" w:type="pct"/>
            <w:vAlign w:val="center"/>
          </w:tcPr>
          <w:p>
            <w:pPr>
              <w:jc w:val="center"/>
              <w:rPr>
                <w:color w:val="auto"/>
                <w:highlight w:val="none"/>
              </w:rPr>
            </w:pPr>
            <w:r>
              <w:rPr>
                <w:rFonts w:hint="eastAsia"/>
                <w:color w:val="auto"/>
                <w:highlight w:val="none"/>
              </w:rPr>
              <w:t>申诉提交接口规则制定</w:t>
            </w:r>
          </w:p>
        </w:tc>
        <w:tc>
          <w:tcPr>
            <w:tcW w:w="2297" w:type="pct"/>
          </w:tcPr>
          <w:p>
            <w:pPr>
              <w:rPr>
                <w:color w:val="auto"/>
                <w:highlight w:val="none"/>
              </w:rPr>
            </w:pPr>
            <w:r>
              <w:rPr>
                <w:rFonts w:hint="eastAsia"/>
                <w:color w:val="auto"/>
                <w:highlight w:val="none"/>
              </w:rPr>
              <w:t>申诉提交接口规则制定，对接口传输医药机构编码、医药机构名称、单据集合、申诉标识、申诉金额等字段制定检测规则，作为检测依据。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87" w:type="pct"/>
            <w:vAlign w:val="center"/>
          </w:tcPr>
          <w:p>
            <w:pPr>
              <w:jc w:val="center"/>
              <w:rPr>
                <w:color w:val="auto"/>
                <w:highlight w:val="none"/>
              </w:rPr>
            </w:pPr>
            <w:r>
              <w:rPr>
                <w:rFonts w:hint="eastAsia"/>
                <w:color w:val="auto"/>
                <w:highlight w:val="none"/>
              </w:rPr>
              <w:t>2.2.102</w:t>
            </w:r>
          </w:p>
        </w:tc>
        <w:tc>
          <w:tcPr>
            <w:tcW w:w="2014" w:type="pct"/>
            <w:vAlign w:val="center"/>
          </w:tcPr>
          <w:p>
            <w:pPr>
              <w:jc w:val="center"/>
              <w:rPr>
                <w:color w:val="auto"/>
                <w:highlight w:val="none"/>
              </w:rPr>
            </w:pPr>
            <w:r>
              <w:rPr>
                <w:rFonts w:hint="eastAsia"/>
                <w:color w:val="auto"/>
                <w:highlight w:val="none"/>
              </w:rPr>
              <w:t>申请合议提交接口规则制定</w:t>
            </w:r>
          </w:p>
        </w:tc>
        <w:tc>
          <w:tcPr>
            <w:tcW w:w="2297" w:type="pct"/>
          </w:tcPr>
          <w:p>
            <w:pPr>
              <w:rPr>
                <w:color w:val="auto"/>
                <w:highlight w:val="none"/>
              </w:rPr>
            </w:pPr>
            <w:r>
              <w:rPr>
                <w:rFonts w:hint="eastAsia"/>
                <w:color w:val="auto"/>
                <w:highlight w:val="none"/>
              </w:rPr>
              <w:t>申请合议提交接口规则制定，对接口传输医药机构编码、医药机构名称、疑点集合、申诉标识、申诉金额等字段制定检测规则，作为检测依据。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87" w:type="pct"/>
            <w:vAlign w:val="center"/>
          </w:tcPr>
          <w:p>
            <w:pPr>
              <w:jc w:val="center"/>
              <w:rPr>
                <w:color w:val="auto"/>
                <w:highlight w:val="none"/>
              </w:rPr>
            </w:pPr>
            <w:r>
              <w:rPr>
                <w:rFonts w:hint="eastAsia"/>
                <w:color w:val="auto"/>
                <w:highlight w:val="none"/>
              </w:rPr>
              <w:t>2.2.103</w:t>
            </w:r>
          </w:p>
        </w:tc>
        <w:tc>
          <w:tcPr>
            <w:tcW w:w="2014" w:type="pct"/>
            <w:vAlign w:val="center"/>
          </w:tcPr>
          <w:p>
            <w:pPr>
              <w:jc w:val="center"/>
              <w:rPr>
                <w:color w:val="auto"/>
                <w:highlight w:val="none"/>
              </w:rPr>
            </w:pPr>
            <w:r>
              <w:rPr>
                <w:rFonts w:hint="eastAsia"/>
                <w:color w:val="auto"/>
                <w:highlight w:val="none"/>
              </w:rPr>
              <w:t>附件上传接口规则制定</w:t>
            </w:r>
          </w:p>
        </w:tc>
        <w:tc>
          <w:tcPr>
            <w:tcW w:w="2297" w:type="pct"/>
          </w:tcPr>
          <w:p>
            <w:pPr>
              <w:rPr>
                <w:color w:val="auto"/>
                <w:highlight w:val="none"/>
              </w:rPr>
            </w:pPr>
            <w:r>
              <w:rPr>
                <w:rFonts w:hint="eastAsia"/>
                <w:color w:val="auto"/>
                <w:highlight w:val="none"/>
              </w:rPr>
              <w:t>附件上传接口规则制定，对接口传输附件集合、附件名称、附件字节等字段制定检测规则，作为检测依据。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trPr>
        <w:tc>
          <w:tcPr>
            <w:tcW w:w="687" w:type="pct"/>
            <w:vAlign w:val="center"/>
          </w:tcPr>
          <w:p>
            <w:pPr>
              <w:jc w:val="center"/>
              <w:rPr>
                <w:color w:val="auto"/>
                <w:highlight w:val="none"/>
              </w:rPr>
            </w:pPr>
            <w:r>
              <w:rPr>
                <w:rFonts w:hint="eastAsia"/>
                <w:color w:val="auto"/>
                <w:highlight w:val="none"/>
              </w:rPr>
              <w:t>2.2.104</w:t>
            </w:r>
          </w:p>
        </w:tc>
        <w:tc>
          <w:tcPr>
            <w:tcW w:w="2014" w:type="pct"/>
            <w:vAlign w:val="center"/>
          </w:tcPr>
          <w:p>
            <w:pPr>
              <w:jc w:val="center"/>
              <w:rPr>
                <w:color w:val="auto"/>
                <w:highlight w:val="none"/>
              </w:rPr>
            </w:pPr>
            <w:r>
              <w:rPr>
                <w:rFonts w:hint="eastAsia"/>
                <w:color w:val="auto"/>
                <w:highlight w:val="none"/>
              </w:rPr>
              <w:t>医疗保障基金结算清单信息上传接口规则制定</w:t>
            </w:r>
          </w:p>
        </w:tc>
        <w:tc>
          <w:tcPr>
            <w:tcW w:w="2297" w:type="pct"/>
          </w:tcPr>
          <w:p>
            <w:pPr>
              <w:rPr>
                <w:color w:val="auto"/>
                <w:highlight w:val="none"/>
              </w:rPr>
            </w:pPr>
            <w:r>
              <w:rPr>
                <w:rFonts w:hint="eastAsia"/>
                <w:color w:val="auto"/>
                <w:highlight w:val="none"/>
              </w:rPr>
              <w:t>医疗保障基金结算清单信息上传接口规则制定，对接口传输就诊ID、结算ID、定点医药机构名称、定点医药机构编号、医保结算等级、医保编号等字段制定检测规则，作为检测依据。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87" w:type="pct"/>
            <w:vAlign w:val="center"/>
          </w:tcPr>
          <w:p>
            <w:pPr>
              <w:jc w:val="center"/>
              <w:rPr>
                <w:color w:val="auto"/>
                <w:highlight w:val="none"/>
              </w:rPr>
            </w:pPr>
            <w:r>
              <w:rPr>
                <w:rFonts w:hint="eastAsia"/>
                <w:color w:val="auto"/>
                <w:highlight w:val="none"/>
              </w:rPr>
              <w:t>2.2.105</w:t>
            </w:r>
          </w:p>
        </w:tc>
        <w:tc>
          <w:tcPr>
            <w:tcW w:w="2014" w:type="pct"/>
            <w:vAlign w:val="center"/>
          </w:tcPr>
          <w:p>
            <w:pPr>
              <w:jc w:val="center"/>
              <w:rPr>
                <w:color w:val="auto"/>
                <w:highlight w:val="none"/>
              </w:rPr>
            </w:pPr>
            <w:r>
              <w:rPr>
                <w:rFonts w:hint="eastAsia"/>
                <w:color w:val="auto"/>
                <w:highlight w:val="none"/>
              </w:rPr>
              <w:t>医疗保障基金结算清单信息上传（新）接口规则制定</w:t>
            </w:r>
          </w:p>
        </w:tc>
        <w:tc>
          <w:tcPr>
            <w:tcW w:w="2297" w:type="pct"/>
          </w:tcPr>
          <w:p>
            <w:pPr>
              <w:rPr>
                <w:color w:val="auto"/>
                <w:highlight w:val="none"/>
              </w:rPr>
            </w:pPr>
            <w:r>
              <w:rPr>
                <w:rFonts w:hint="eastAsia"/>
                <w:color w:val="auto"/>
                <w:highlight w:val="none"/>
              </w:rPr>
              <w:t>医疗保障基金结算清单信息上传（新）接口规则制定，对接口传输人员编号、就诊ID、结算ID、病案号、申报时间、联系人姓名等字段制定检测规则，作为检测依据。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87" w:type="pct"/>
            <w:vAlign w:val="center"/>
          </w:tcPr>
          <w:p>
            <w:pPr>
              <w:jc w:val="center"/>
              <w:rPr>
                <w:color w:val="auto"/>
                <w:highlight w:val="none"/>
              </w:rPr>
            </w:pPr>
            <w:r>
              <w:rPr>
                <w:rFonts w:hint="eastAsia"/>
                <w:color w:val="auto"/>
                <w:highlight w:val="none"/>
              </w:rPr>
              <w:t>2.2.106</w:t>
            </w:r>
          </w:p>
        </w:tc>
        <w:tc>
          <w:tcPr>
            <w:tcW w:w="2014" w:type="pct"/>
            <w:vAlign w:val="center"/>
          </w:tcPr>
          <w:p>
            <w:pPr>
              <w:jc w:val="center"/>
              <w:rPr>
                <w:color w:val="auto"/>
                <w:highlight w:val="none"/>
              </w:rPr>
            </w:pPr>
            <w:r>
              <w:rPr>
                <w:rFonts w:hint="eastAsia"/>
                <w:color w:val="auto"/>
                <w:highlight w:val="none"/>
              </w:rPr>
              <w:t>医疗保障基金结算清单信息状态修改接口规则制定</w:t>
            </w:r>
          </w:p>
        </w:tc>
        <w:tc>
          <w:tcPr>
            <w:tcW w:w="2297" w:type="pct"/>
          </w:tcPr>
          <w:p>
            <w:pPr>
              <w:rPr>
                <w:color w:val="auto"/>
                <w:highlight w:val="none"/>
              </w:rPr>
            </w:pPr>
            <w:r>
              <w:rPr>
                <w:rFonts w:hint="eastAsia"/>
                <w:color w:val="auto"/>
                <w:highlight w:val="none"/>
              </w:rPr>
              <w:t>医疗保障基金结算清单信息状态修改接口规则制定，对接口传输人员编号、结算ID、审核状态等字段制定检测规则，作为检测依据。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87" w:type="pct"/>
            <w:vAlign w:val="center"/>
          </w:tcPr>
          <w:p>
            <w:pPr>
              <w:jc w:val="center"/>
              <w:rPr>
                <w:color w:val="auto"/>
                <w:highlight w:val="none"/>
              </w:rPr>
            </w:pPr>
            <w:r>
              <w:rPr>
                <w:rFonts w:hint="eastAsia"/>
                <w:color w:val="auto"/>
                <w:highlight w:val="none"/>
              </w:rPr>
              <w:t>2.2.107</w:t>
            </w:r>
          </w:p>
        </w:tc>
        <w:tc>
          <w:tcPr>
            <w:tcW w:w="2014" w:type="pct"/>
            <w:vAlign w:val="center"/>
          </w:tcPr>
          <w:p>
            <w:pPr>
              <w:jc w:val="center"/>
              <w:rPr>
                <w:color w:val="auto"/>
                <w:highlight w:val="none"/>
              </w:rPr>
            </w:pPr>
            <w:r>
              <w:rPr>
                <w:rFonts w:hint="eastAsia"/>
                <w:color w:val="auto"/>
                <w:highlight w:val="none"/>
              </w:rPr>
              <w:t>医疗保障基金结算清单信息查询接口规则制定</w:t>
            </w:r>
          </w:p>
        </w:tc>
        <w:tc>
          <w:tcPr>
            <w:tcW w:w="2297" w:type="pct"/>
          </w:tcPr>
          <w:p>
            <w:pPr>
              <w:rPr>
                <w:color w:val="auto"/>
                <w:highlight w:val="none"/>
              </w:rPr>
            </w:pPr>
            <w:r>
              <w:rPr>
                <w:rFonts w:hint="eastAsia"/>
                <w:color w:val="auto"/>
                <w:highlight w:val="none"/>
              </w:rPr>
              <w:t>医疗保障基金结算清单信息查询接口规则制定，对接口传输人员编号、结算ID等字段制定检测规则，作为检测依据。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87" w:type="pct"/>
            <w:vAlign w:val="center"/>
          </w:tcPr>
          <w:p>
            <w:pPr>
              <w:jc w:val="center"/>
              <w:rPr>
                <w:color w:val="auto"/>
                <w:highlight w:val="none"/>
              </w:rPr>
            </w:pPr>
            <w:r>
              <w:rPr>
                <w:rFonts w:hint="eastAsia"/>
                <w:color w:val="auto"/>
                <w:highlight w:val="none"/>
              </w:rPr>
              <w:t>2.2.108</w:t>
            </w:r>
          </w:p>
        </w:tc>
        <w:tc>
          <w:tcPr>
            <w:tcW w:w="2014" w:type="pct"/>
            <w:vAlign w:val="center"/>
          </w:tcPr>
          <w:p>
            <w:pPr>
              <w:jc w:val="center"/>
              <w:rPr>
                <w:color w:val="auto"/>
                <w:highlight w:val="none"/>
              </w:rPr>
            </w:pPr>
            <w:r>
              <w:rPr>
                <w:rFonts w:hint="eastAsia"/>
                <w:color w:val="auto"/>
                <w:highlight w:val="none"/>
              </w:rPr>
              <w:t>医疗保障基金结算清单质控结果查询接口规则制定</w:t>
            </w:r>
          </w:p>
        </w:tc>
        <w:tc>
          <w:tcPr>
            <w:tcW w:w="2297" w:type="pct"/>
          </w:tcPr>
          <w:p>
            <w:pPr>
              <w:rPr>
                <w:color w:val="auto"/>
                <w:highlight w:val="none"/>
              </w:rPr>
            </w:pPr>
            <w:r>
              <w:rPr>
                <w:rFonts w:hint="eastAsia"/>
                <w:color w:val="auto"/>
                <w:highlight w:val="none"/>
              </w:rPr>
              <w:t>医疗保障基金结算清单质控结果查询接口规则制定，对接口传输结算年月、结算ID、人员编号、错误等级等字段制定检测规则，作为检测依据。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87" w:type="pct"/>
            <w:vAlign w:val="center"/>
          </w:tcPr>
          <w:p>
            <w:pPr>
              <w:jc w:val="center"/>
              <w:rPr>
                <w:color w:val="auto"/>
                <w:highlight w:val="none"/>
              </w:rPr>
            </w:pPr>
            <w:r>
              <w:rPr>
                <w:rFonts w:hint="eastAsia"/>
                <w:color w:val="auto"/>
                <w:highlight w:val="none"/>
              </w:rPr>
              <w:t>2.2.109</w:t>
            </w:r>
          </w:p>
        </w:tc>
        <w:tc>
          <w:tcPr>
            <w:tcW w:w="2014" w:type="pct"/>
            <w:vAlign w:val="center"/>
          </w:tcPr>
          <w:p>
            <w:pPr>
              <w:jc w:val="center"/>
              <w:rPr>
                <w:color w:val="auto"/>
                <w:highlight w:val="none"/>
              </w:rPr>
            </w:pPr>
            <w:r>
              <w:rPr>
                <w:rFonts w:hint="eastAsia"/>
                <w:color w:val="auto"/>
                <w:highlight w:val="none"/>
              </w:rPr>
              <w:t>医疗保障基金结算清单数量统计查询接口规则制定</w:t>
            </w:r>
          </w:p>
        </w:tc>
        <w:tc>
          <w:tcPr>
            <w:tcW w:w="2297" w:type="pct"/>
          </w:tcPr>
          <w:p>
            <w:pPr>
              <w:rPr>
                <w:color w:val="auto"/>
                <w:highlight w:val="none"/>
              </w:rPr>
            </w:pPr>
            <w:r>
              <w:rPr>
                <w:rFonts w:hint="eastAsia"/>
                <w:color w:val="auto"/>
                <w:highlight w:val="none"/>
              </w:rPr>
              <w:t>医疗保障基金结算清单数量统计查询接口规则制定，对接口传输定点医药机构编号、医疗类别的集合、统计开始时间、统计结束时间等字段制定检测规则，作为检测依据。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87" w:type="pct"/>
            <w:vAlign w:val="center"/>
          </w:tcPr>
          <w:p>
            <w:pPr>
              <w:jc w:val="center"/>
              <w:rPr>
                <w:color w:val="auto"/>
                <w:highlight w:val="none"/>
              </w:rPr>
            </w:pPr>
            <w:r>
              <w:rPr>
                <w:rFonts w:hint="eastAsia"/>
                <w:color w:val="auto"/>
                <w:highlight w:val="none"/>
              </w:rPr>
              <w:t>2.2.110</w:t>
            </w:r>
          </w:p>
        </w:tc>
        <w:tc>
          <w:tcPr>
            <w:tcW w:w="2014" w:type="pct"/>
            <w:vAlign w:val="center"/>
          </w:tcPr>
          <w:p>
            <w:pPr>
              <w:jc w:val="center"/>
              <w:rPr>
                <w:color w:val="auto"/>
                <w:highlight w:val="none"/>
              </w:rPr>
            </w:pPr>
            <w:r>
              <w:rPr>
                <w:rFonts w:hint="eastAsia"/>
                <w:color w:val="auto"/>
                <w:highlight w:val="none"/>
              </w:rPr>
              <w:t>自费病人费用明细信息上传接口规则制定</w:t>
            </w:r>
          </w:p>
        </w:tc>
        <w:tc>
          <w:tcPr>
            <w:tcW w:w="2297" w:type="pct"/>
          </w:tcPr>
          <w:p>
            <w:pPr>
              <w:rPr>
                <w:color w:val="auto"/>
                <w:highlight w:val="none"/>
              </w:rPr>
            </w:pPr>
            <w:r>
              <w:rPr>
                <w:rFonts w:hint="eastAsia"/>
                <w:color w:val="auto"/>
                <w:highlight w:val="none"/>
              </w:rPr>
              <w:t>自费病人费用明细信息上传接口规则制定，对接口传输就医流水号、住院/门诊号、医疗类别、收费批次号等字段制定检测规则，作为检测依据。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87" w:type="pct"/>
            <w:vAlign w:val="center"/>
          </w:tcPr>
          <w:p>
            <w:pPr>
              <w:jc w:val="center"/>
              <w:rPr>
                <w:color w:val="auto"/>
                <w:highlight w:val="none"/>
              </w:rPr>
            </w:pPr>
            <w:r>
              <w:rPr>
                <w:rFonts w:hint="eastAsia"/>
                <w:color w:val="auto"/>
                <w:highlight w:val="none"/>
              </w:rPr>
              <w:t>2.2.111</w:t>
            </w:r>
          </w:p>
        </w:tc>
        <w:tc>
          <w:tcPr>
            <w:tcW w:w="2014" w:type="pct"/>
            <w:vAlign w:val="center"/>
          </w:tcPr>
          <w:p>
            <w:pPr>
              <w:jc w:val="center"/>
              <w:rPr>
                <w:color w:val="auto"/>
                <w:highlight w:val="none"/>
              </w:rPr>
            </w:pPr>
            <w:r>
              <w:rPr>
                <w:rFonts w:hint="eastAsia"/>
                <w:color w:val="auto"/>
                <w:highlight w:val="none"/>
              </w:rPr>
              <w:t>自费病人住院费用明细信息上传接口规则制定</w:t>
            </w:r>
          </w:p>
        </w:tc>
        <w:tc>
          <w:tcPr>
            <w:tcW w:w="2297" w:type="pct"/>
          </w:tcPr>
          <w:p>
            <w:pPr>
              <w:rPr>
                <w:color w:val="auto"/>
                <w:highlight w:val="none"/>
              </w:rPr>
            </w:pPr>
            <w:r>
              <w:rPr>
                <w:rFonts w:hint="eastAsia"/>
                <w:color w:val="auto"/>
                <w:highlight w:val="none"/>
              </w:rPr>
              <w:t>自费病人住院费用明细信息上传接口规则制定，对接口传输医药机构就诊ID、医疗类别、记账流水号、明细项目费用总额等字段制定检测规则，作为检测依据。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87" w:type="pct"/>
            <w:vAlign w:val="center"/>
          </w:tcPr>
          <w:p>
            <w:pPr>
              <w:jc w:val="center"/>
              <w:rPr>
                <w:color w:val="auto"/>
                <w:highlight w:val="none"/>
              </w:rPr>
            </w:pPr>
            <w:r>
              <w:rPr>
                <w:rFonts w:hint="eastAsia"/>
                <w:color w:val="auto"/>
                <w:highlight w:val="none"/>
              </w:rPr>
              <w:t>2.2.112</w:t>
            </w:r>
          </w:p>
        </w:tc>
        <w:tc>
          <w:tcPr>
            <w:tcW w:w="2014" w:type="pct"/>
            <w:vAlign w:val="center"/>
          </w:tcPr>
          <w:p>
            <w:pPr>
              <w:jc w:val="center"/>
              <w:rPr>
                <w:color w:val="auto"/>
                <w:highlight w:val="none"/>
              </w:rPr>
            </w:pPr>
            <w:r>
              <w:rPr>
                <w:rFonts w:hint="eastAsia"/>
                <w:color w:val="auto"/>
                <w:highlight w:val="none"/>
              </w:rPr>
              <w:t>自费病人住院就诊和诊断信息上传接口规则制定</w:t>
            </w:r>
          </w:p>
        </w:tc>
        <w:tc>
          <w:tcPr>
            <w:tcW w:w="2297" w:type="pct"/>
          </w:tcPr>
          <w:p>
            <w:pPr>
              <w:rPr>
                <w:color w:val="auto"/>
                <w:highlight w:val="none"/>
              </w:rPr>
            </w:pPr>
            <w:r>
              <w:rPr>
                <w:rFonts w:hint="eastAsia"/>
                <w:color w:val="auto"/>
                <w:highlight w:val="none"/>
              </w:rPr>
              <w:t>自费病人住院就诊和诊断信息上传接口规则制定，对接口传输医药机构就诊ID、定点医药机构编号、定点医药机构名称、人员证件类型等字段制定检测规则，作为检测依据。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trPr>
        <w:tc>
          <w:tcPr>
            <w:tcW w:w="687" w:type="pct"/>
            <w:vAlign w:val="center"/>
          </w:tcPr>
          <w:p>
            <w:pPr>
              <w:jc w:val="center"/>
              <w:rPr>
                <w:color w:val="auto"/>
                <w:highlight w:val="none"/>
              </w:rPr>
            </w:pPr>
            <w:r>
              <w:rPr>
                <w:rFonts w:hint="eastAsia"/>
                <w:color w:val="auto"/>
                <w:highlight w:val="none"/>
              </w:rPr>
              <w:t>2.2.113</w:t>
            </w:r>
          </w:p>
        </w:tc>
        <w:tc>
          <w:tcPr>
            <w:tcW w:w="2014" w:type="pct"/>
            <w:vAlign w:val="center"/>
          </w:tcPr>
          <w:p>
            <w:pPr>
              <w:jc w:val="center"/>
              <w:rPr>
                <w:color w:val="auto"/>
                <w:highlight w:val="none"/>
              </w:rPr>
            </w:pPr>
            <w:r>
              <w:rPr>
                <w:rFonts w:hint="eastAsia"/>
                <w:color w:val="auto"/>
                <w:highlight w:val="none"/>
              </w:rPr>
              <w:t>自费病人就诊以及费用明细上传完成标识修改接口规则制定</w:t>
            </w:r>
          </w:p>
        </w:tc>
        <w:tc>
          <w:tcPr>
            <w:tcW w:w="2297" w:type="pct"/>
          </w:tcPr>
          <w:p>
            <w:pPr>
              <w:rPr>
                <w:color w:val="auto"/>
                <w:highlight w:val="none"/>
              </w:rPr>
            </w:pPr>
            <w:r>
              <w:rPr>
                <w:rFonts w:hint="eastAsia"/>
                <w:color w:val="auto"/>
                <w:highlight w:val="none"/>
              </w:rPr>
              <w:t>自费病人就诊以及费用明细上传完成标识修改接口规则制定，对接口传输已上传就诊信息的医药机构就诊ID、定点医药机构编号、完成标志等字段制定检测规则，作为检测依据。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trPr>
        <w:tc>
          <w:tcPr>
            <w:tcW w:w="687" w:type="pct"/>
            <w:vAlign w:val="center"/>
          </w:tcPr>
          <w:p>
            <w:pPr>
              <w:jc w:val="center"/>
              <w:rPr>
                <w:color w:val="auto"/>
                <w:highlight w:val="none"/>
              </w:rPr>
            </w:pPr>
            <w:r>
              <w:rPr>
                <w:rFonts w:hint="eastAsia"/>
                <w:color w:val="auto"/>
                <w:highlight w:val="none"/>
              </w:rPr>
              <w:t>2.2.114</w:t>
            </w:r>
          </w:p>
        </w:tc>
        <w:tc>
          <w:tcPr>
            <w:tcW w:w="2014" w:type="pct"/>
            <w:vAlign w:val="center"/>
          </w:tcPr>
          <w:p>
            <w:pPr>
              <w:jc w:val="center"/>
              <w:rPr>
                <w:color w:val="auto"/>
                <w:highlight w:val="none"/>
              </w:rPr>
            </w:pPr>
            <w:r>
              <w:rPr>
                <w:rFonts w:hint="eastAsia"/>
                <w:color w:val="auto"/>
                <w:highlight w:val="none"/>
              </w:rPr>
              <w:t>自费病人住院费用明细删除接口规则制定</w:t>
            </w:r>
          </w:p>
        </w:tc>
        <w:tc>
          <w:tcPr>
            <w:tcW w:w="2297" w:type="pct"/>
          </w:tcPr>
          <w:p>
            <w:pPr>
              <w:rPr>
                <w:color w:val="auto"/>
                <w:highlight w:val="none"/>
              </w:rPr>
            </w:pPr>
            <w:r>
              <w:rPr>
                <w:rFonts w:hint="eastAsia"/>
                <w:color w:val="auto"/>
                <w:highlight w:val="none"/>
              </w:rPr>
              <w:t>自费病人住院费用明细删除接口规则制定，对接口传输已上传就诊信息的医药机构就诊ID、定点医药机构编号、已经上传就诊信息的记账流水号等字段制定检测规则，作为检测依据。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trPr>
        <w:tc>
          <w:tcPr>
            <w:tcW w:w="687" w:type="pct"/>
            <w:vAlign w:val="center"/>
          </w:tcPr>
          <w:p>
            <w:pPr>
              <w:jc w:val="center"/>
              <w:rPr>
                <w:color w:val="auto"/>
                <w:highlight w:val="none"/>
              </w:rPr>
            </w:pPr>
            <w:r>
              <w:rPr>
                <w:rFonts w:hint="eastAsia"/>
                <w:color w:val="auto"/>
                <w:highlight w:val="none"/>
              </w:rPr>
              <w:t>2.2.115</w:t>
            </w:r>
          </w:p>
        </w:tc>
        <w:tc>
          <w:tcPr>
            <w:tcW w:w="2014" w:type="pct"/>
            <w:vAlign w:val="center"/>
          </w:tcPr>
          <w:p>
            <w:pPr>
              <w:jc w:val="center"/>
              <w:rPr>
                <w:color w:val="auto"/>
                <w:highlight w:val="none"/>
              </w:rPr>
            </w:pPr>
            <w:r>
              <w:rPr>
                <w:rFonts w:hint="eastAsia"/>
                <w:color w:val="auto"/>
                <w:highlight w:val="none"/>
              </w:rPr>
              <w:t>自费病人门诊就医信息上传接口规则制定</w:t>
            </w:r>
          </w:p>
        </w:tc>
        <w:tc>
          <w:tcPr>
            <w:tcW w:w="2297" w:type="pct"/>
          </w:tcPr>
          <w:p>
            <w:pPr>
              <w:rPr>
                <w:color w:val="auto"/>
                <w:highlight w:val="none"/>
              </w:rPr>
            </w:pPr>
            <w:r>
              <w:rPr>
                <w:rFonts w:hint="eastAsia"/>
                <w:color w:val="auto"/>
                <w:highlight w:val="none"/>
              </w:rPr>
              <w:t>自费病人门诊就医信息上传接口规则制定，对接口传输已上传就诊信息的医药机构就诊ID、定点医药机构编号、定点医药机构名称、人员证件类型、病种编码、病种名称等字段制定检测规则，作为检测依据。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87" w:type="pct"/>
            <w:vAlign w:val="center"/>
          </w:tcPr>
          <w:p>
            <w:pPr>
              <w:jc w:val="center"/>
              <w:rPr>
                <w:color w:val="auto"/>
                <w:highlight w:val="none"/>
              </w:rPr>
            </w:pPr>
            <w:r>
              <w:rPr>
                <w:rFonts w:hint="eastAsia"/>
                <w:color w:val="auto"/>
                <w:highlight w:val="none"/>
              </w:rPr>
              <w:t>2.2.116</w:t>
            </w:r>
          </w:p>
        </w:tc>
        <w:tc>
          <w:tcPr>
            <w:tcW w:w="2014" w:type="pct"/>
            <w:vAlign w:val="center"/>
          </w:tcPr>
          <w:p>
            <w:pPr>
              <w:jc w:val="center"/>
              <w:rPr>
                <w:color w:val="auto"/>
                <w:highlight w:val="none"/>
              </w:rPr>
            </w:pPr>
            <w:r>
              <w:rPr>
                <w:rFonts w:hint="eastAsia"/>
                <w:color w:val="auto"/>
                <w:highlight w:val="none"/>
              </w:rPr>
              <w:t>自费病人门诊就医信息删除接口规则制定</w:t>
            </w:r>
          </w:p>
        </w:tc>
        <w:tc>
          <w:tcPr>
            <w:tcW w:w="2297" w:type="pct"/>
          </w:tcPr>
          <w:p>
            <w:pPr>
              <w:rPr>
                <w:color w:val="auto"/>
                <w:highlight w:val="none"/>
              </w:rPr>
            </w:pPr>
            <w:r>
              <w:rPr>
                <w:rFonts w:hint="eastAsia"/>
                <w:color w:val="auto"/>
                <w:highlight w:val="none"/>
              </w:rPr>
              <w:t>自费病人门诊就医信息删除接口规则制定，对接口传输医药机构就诊ID、定点医药机构编号等字段制定检测规则，作为检测依据。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87" w:type="pct"/>
            <w:vAlign w:val="center"/>
          </w:tcPr>
          <w:p>
            <w:pPr>
              <w:jc w:val="center"/>
              <w:rPr>
                <w:color w:val="auto"/>
                <w:highlight w:val="none"/>
              </w:rPr>
            </w:pPr>
            <w:r>
              <w:rPr>
                <w:rFonts w:hint="eastAsia"/>
                <w:color w:val="auto"/>
                <w:highlight w:val="none"/>
              </w:rPr>
              <w:t>2.2.117</w:t>
            </w:r>
          </w:p>
        </w:tc>
        <w:tc>
          <w:tcPr>
            <w:tcW w:w="2014" w:type="pct"/>
            <w:vAlign w:val="center"/>
          </w:tcPr>
          <w:p>
            <w:pPr>
              <w:jc w:val="center"/>
              <w:rPr>
                <w:color w:val="auto"/>
                <w:highlight w:val="none"/>
              </w:rPr>
            </w:pPr>
            <w:r>
              <w:rPr>
                <w:rFonts w:hint="eastAsia"/>
                <w:color w:val="auto"/>
                <w:highlight w:val="none"/>
              </w:rPr>
              <w:t>自费病人就医费用明细查询接口规则制定</w:t>
            </w:r>
          </w:p>
        </w:tc>
        <w:tc>
          <w:tcPr>
            <w:tcW w:w="2297" w:type="pct"/>
          </w:tcPr>
          <w:p>
            <w:pPr>
              <w:rPr>
                <w:color w:val="auto"/>
                <w:highlight w:val="none"/>
              </w:rPr>
            </w:pPr>
            <w:r>
              <w:rPr>
                <w:rFonts w:hint="eastAsia"/>
                <w:color w:val="auto"/>
                <w:highlight w:val="none"/>
              </w:rPr>
              <w:t>自费病人就医费用明细查询接口规则制定，对接口传输医药机构就诊ID、定点医药机构编号、当前页数、本页数据量等字段制定检测规则，作为检测依据。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87" w:type="pct"/>
            <w:vAlign w:val="center"/>
          </w:tcPr>
          <w:p>
            <w:pPr>
              <w:jc w:val="center"/>
              <w:rPr>
                <w:color w:val="auto"/>
                <w:highlight w:val="none"/>
              </w:rPr>
            </w:pPr>
            <w:r>
              <w:rPr>
                <w:rFonts w:hint="eastAsia"/>
                <w:color w:val="auto"/>
                <w:highlight w:val="none"/>
              </w:rPr>
              <w:t>2.2.118</w:t>
            </w:r>
          </w:p>
        </w:tc>
        <w:tc>
          <w:tcPr>
            <w:tcW w:w="2014" w:type="pct"/>
            <w:vAlign w:val="center"/>
          </w:tcPr>
          <w:p>
            <w:pPr>
              <w:jc w:val="center"/>
              <w:rPr>
                <w:color w:val="auto"/>
                <w:highlight w:val="none"/>
              </w:rPr>
            </w:pPr>
            <w:r>
              <w:rPr>
                <w:rFonts w:hint="eastAsia"/>
                <w:color w:val="auto"/>
                <w:highlight w:val="none"/>
              </w:rPr>
              <w:t>自费病人就医就诊信息查询接口规则制定</w:t>
            </w:r>
          </w:p>
        </w:tc>
        <w:tc>
          <w:tcPr>
            <w:tcW w:w="2297" w:type="pct"/>
          </w:tcPr>
          <w:p>
            <w:pPr>
              <w:rPr>
                <w:color w:val="auto"/>
                <w:highlight w:val="none"/>
              </w:rPr>
            </w:pPr>
            <w:r>
              <w:rPr>
                <w:rFonts w:hint="eastAsia"/>
                <w:color w:val="auto"/>
                <w:highlight w:val="none"/>
              </w:rPr>
              <w:t>自费病人就医就诊信息查询接口规则制定，对接口传输人员证件类型证件号码、人员姓名、开始时间、结束时间、医疗类别等字段制定检测规则，作为检测依据。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87" w:type="pct"/>
            <w:vAlign w:val="center"/>
          </w:tcPr>
          <w:p>
            <w:pPr>
              <w:jc w:val="center"/>
              <w:rPr>
                <w:color w:val="auto"/>
                <w:highlight w:val="none"/>
              </w:rPr>
            </w:pPr>
            <w:r>
              <w:rPr>
                <w:rFonts w:hint="eastAsia"/>
                <w:color w:val="auto"/>
                <w:highlight w:val="none"/>
              </w:rPr>
              <w:t>2.2.119</w:t>
            </w:r>
          </w:p>
        </w:tc>
        <w:tc>
          <w:tcPr>
            <w:tcW w:w="2014" w:type="pct"/>
            <w:vAlign w:val="center"/>
          </w:tcPr>
          <w:p>
            <w:pPr>
              <w:jc w:val="center"/>
              <w:rPr>
                <w:color w:val="auto"/>
                <w:highlight w:val="none"/>
              </w:rPr>
            </w:pPr>
            <w:r>
              <w:rPr>
                <w:rFonts w:hint="eastAsia"/>
                <w:color w:val="auto"/>
                <w:highlight w:val="none"/>
              </w:rPr>
              <w:t>自费病人就医诊断信息查询接口规则制定</w:t>
            </w:r>
          </w:p>
        </w:tc>
        <w:tc>
          <w:tcPr>
            <w:tcW w:w="2297" w:type="pct"/>
          </w:tcPr>
          <w:p>
            <w:pPr>
              <w:rPr>
                <w:color w:val="auto"/>
                <w:highlight w:val="none"/>
              </w:rPr>
            </w:pPr>
            <w:r>
              <w:rPr>
                <w:rFonts w:hint="eastAsia"/>
                <w:color w:val="auto"/>
                <w:highlight w:val="none"/>
              </w:rPr>
              <w:t>自费病人就医诊断信息查询接口规则制定，对接口传输医药机构就诊ID、定点医药机构编号、当前页数、本页数据量等字段制定检测规则，作为检测依据。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87" w:type="pct"/>
            <w:vAlign w:val="center"/>
          </w:tcPr>
          <w:p>
            <w:pPr>
              <w:jc w:val="center"/>
              <w:rPr>
                <w:color w:val="auto"/>
                <w:highlight w:val="none"/>
              </w:rPr>
            </w:pPr>
            <w:r>
              <w:rPr>
                <w:rFonts w:hint="eastAsia"/>
                <w:color w:val="auto"/>
                <w:highlight w:val="none"/>
              </w:rPr>
              <w:t>2.2.120</w:t>
            </w:r>
          </w:p>
        </w:tc>
        <w:tc>
          <w:tcPr>
            <w:tcW w:w="2014" w:type="pct"/>
            <w:vAlign w:val="center"/>
          </w:tcPr>
          <w:p>
            <w:pPr>
              <w:jc w:val="center"/>
              <w:rPr>
                <w:color w:val="auto"/>
                <w:highlight w:val="none"/>
              </w:rPr>
            </w:pPr>
            <w:r>
              <w:rPr>
                <w:rFonts w:hint="eastAsia"/>
                <w:color w:val="auto"/>
                <w:highlight w:val="none"/>
              </w:rPr>
              <w:t>门急诊诊疗记录接口规则制定</w:t>
            </w:r>
          </w:p>
        </w:tc>
        <w:tc>
          <w:tcPr>
            <w:tcW w:w="2297" w:type="pct"/>
          </w:tcPr>
          <w:p>
            <w:pPr>
              <w:rPr>
                <w:color w:val="auto"/>
                <w:highlight w:val="none"/>
              </w:rPr>
            </w:pPr>
            <w:r>
              <w:rPr>
                <w:rFonts w:hint="eastAsia"/>
                <w:color w:val="auto"/>
                <w:highlight w:val="none"/>
              </w:rPr>
              <w:t>门急诊诊疗记录接口规则制定，对接口传输就医流水号、就诊ID、人员编号、挂号类别代码、挂号方式代码等字段制定检测规则，作为检测依据。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87" w:type="pct"/>
            <w:vAlign w:val="center"/>
          </w:tcPr>
          <w:p>
            <w:pPr>
              <w:jc w:val="center"/>
              <w:rPr>
                <w:color w:val="auto"/>
                <w:highlight w:val="none"/>
              </w:rPr>
            </w:pPr>
            <w:r>
              <w:rPr>
                <w:rFonts w:hint="eastAsia"/>
                <w:color w:val="auto"/>
                <w:highlight w:val="none"/>
              </w:rPr>
              <w:t>2.2.121</w:t>
            </w:r>
          </w:p>
        </w:tc>
        <w:tc>
          <w:tcPr>
            <w:tcW w:w="2014" w:type="pct"/>
            <w:vAlign w:val="center"/>
          </w:tcPr>
          <w:p>
            <w:pPr>
              <w:jc w:val="center"/>
              <w:rPr>
                <w:color w:val="auto"/>
                <w:highlight w:val="none"/>
              </w:rPr>
            </w:pPr>
            <w:r>
              <w:rPr>
                <w:rFonts w:hint="eastAsia"/>
                <w:color w:val="auto"/>
                <w:highlight w:val="none"/>
              </w:rPr>
              <w:t>急诊留观手术及抢救信息接口规则制定</w:t>
            </w:r>
          </w:p>
        </w:tc>
        <w:tc>
          <w:tcPr>
            <w:tcW w:w="2297" w:type="pct"/>
          </w:tcPr>
          <w:p>
            <w:pPr>
              <w:rPr>
                <w:color w:val="auto"/>
                <w:highlight w:val="none"/>
              </w:rPr>
            </w:pPr>
            <w:r>
              <w:rPr>
                <w:rFonts w:hint="eastAsia"/>
                <w:color w:val="auto"/>
                <w:highlight w:val="none"/>
              </w:rPr>
              <w:t>急诊留观手术及抢救信息接口规则制定，对接口传输就医流水号、就诊ID、人员编号、病历号、手术操作序号、手术操作代码等字段制定检测规则，作为检测依据。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87" w:type="pct"/>
            <w:vAlign w:val="center"/>
          </w:tcPr>
          <w:p>
            <w:pPr>
              <w:jc w:val="center"/>
              <w:rPr>
                <w:color w:val="auto"/>
                <w:highlight w:val="none"/>
              </w:rPr>
            </w:pPr>
            <w:r>
              <w:rPr>
                <w:rFonts w:hint="eastAsia"/>
                <w:color w:val="auto"/>
                <w:highlight w:val="none"/>
              </w:rPr>
              <w:t>2.2.122</w:t>
            </w:r>
          </w:p>
        </w:tc>
        <w:tc>
          <w:tcPr>
            <w:tcW w:w="2014" w:type="pct"/>
            <w:vAlign w:val="center"/>
          </w:tcPr>
          <w:p>
            <w:pPr>
              <w:jc w:val="center"/>
              <w:rPr>
                <w:color w:val="auto"/>
                <w:highlight w:val="none"/>
              </w:rPr>
            </w:pPr>
            <w:r>
              <w:rPr>
                <w:rFonts w:hint="eastAsia"/>
                <w:color w:val="auto"/>
                <w:highlight w:val="none"/>
              </w:rPr>
              <w:t>住院病案首页信息接口规则制定</w:t>
            </w:r>
          </w:p>
        </w:tc>
        <w:tc>
          <w:tcPr>
            <w:tcW w:w="2297" w:type="pct"/>
          </w:tcPr>
          <w:p>
            <w:pPr>
              <w:rPr>
                <w:color w:val="auto"/>
                <w:highlight w:val="none"/>
              </w:rPr>
            </w:pPr>
            <w:r>
              <w:rPr>
                <w:rFonts w:hint="eastAsia"/>
                <w:color w:val="auto"/>
                <w:highlight w:val="none"/>
              </w:rPr>
              <w:t>住院病案首页信息接口规则制定，对接口传输就医流水号、就诊ID、人员编号、患者住院次数、住院号、病案号等字段制定检测规则，作为检测依据。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87" w:type="pct"/>
            <w:vAlign w:val="center"/>
          </w:tcPr>
          <w:p>
            <w:pPr>
              <w:jc w:val="center"/>
              <w:rPr>
                <w:color w:val="auto"/>
                <w:highlight w:val="none"/>
              </w:rPr>
            </w:pPr>
            <w:r>
              <w:rPr>
                <w:rFonts w:hint="eastAsia"/>
                <w:color w:val="auto"/>
                <w:highlight w:val="none"/>
              </w:rPr>
              <w:t>2.2.123</w:t>
            </w:r>
          </w:p>
        </w:tc>
        <w:tc>
          <w:tcPr>
            <w:tcW w:w="2014" w:type="pct"/>
            <w:vAlign w:val="center"/>
          </w:tcPr>
          <w:p>
            <w:pPr>
              <w:jc w:val="center"/>
              <w:rPr>
                <w:color w:val="auto"/>
                <w:highlight w:val="none"/>
              </w:rPr>
            </w:pPr>
            <w:r>
              <w:rPr>
                <w:rFonts w:hint="eastAsia"/>
                <w:color w:val="auto"/>
                <w:highlight w:val="none"/>
              </w:rPr>
              <w:t>住院医嘱记录接口规则制定</w:t>
            </w:r>
          </w:p>
        </w:tc>
        <w:tc>
          <w:tcPr>
            <w:tcW w:w="2297" w:type="pct"/>
          </w:tcPr>
          <w:p>
            <w:pPr>
              <w:rPr>
                <w:color w:val="auto"/>
                <w:highlight w:val="none"/>
              </w:rPr>
            </w:pPr>
            <w:r>
              <w:rPr>
                <w:rFonts w:hint="eastAsia"/>
                <w:color w:val="auto"/>
                <w:highlight w:val="none"/>
              </w:rPr>
              <w:t>住院医嘱记录接口规则制定，对接口传输就医流水号、就诊ID、人员编号、住院床号、医嘱号等字段制定检测规则，作为检测依据。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87" w:type="pct"/>
            <w:vAlign w:val="center"/>
          </w:tcPr>
          <w:p>
            <w:pPr>
              <w:jc w:val="center"/>
              <w:rPr>
                <w:color w:val="auto"/>
                <w:highlight w:val="none"/>
              </w:rPr>
            </w:pPr>
            <w:r>
              <w:rPr>
                <w:rFonts w:hint="eastAsia"/>
                <w:color w:val="auto"/>
                <w:highlight w:val="none"/>
              </w:rPr>
              <w:t>2.2.124</w:t>
            </w:r>
          </w:p>
        </w:tc>
        <w:tc>
          <w:tcPr>
            <w:tcW w:w="2014" w:type="pct"/>
            <w:vAlign w:val="center"/>
          </w:tcPr>
          <w:p>
            <w:pPr>
              <w:jc w:val="center"/>
              <w:rPr>
                <w:color w:val="auto"/>
                <w:highlight w:val="none"/>
              </w:rPr>
            </w:pPr>
            <w:r>
              <w:rPr>
                <w:rFonts w:hint="eastAsia"/>
                <w:color w:val="auto"/>
                <w:highlight w:val="none"/>
              </w:rPr>
              <w:t>住院医嘱记录A接口规则制定</w:t>
            </w:r>
          </w:p>
        </w:tc>
        <w:tc>
          <w:tcPr>
            <w:tcW w:w="2297" w:type="pct"/>
          </w:tcPr>
          <w:p>
            <w:pPr>
              <w:rPr>
                <w:color w:val="auto"/>
                <w:highlight w:val="none"/>
              </w:rPr>
            </w:pPr>
            <w:r>
              <w:rPr>
                <w:rFonts w:hint="eastAsia"/>
                <w:color w:val="auto"/>
                <w:highlight w:val="none"/>
              </w:rPr>
              <w:t>住院医嘱记录A接口规则制定，对接口传输人员编号、住院床号、医嘱号、下达科室代码等字段制定检测规则，作为检测依据。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87" w:type="pct"/>
            <w:vAlign w:val="center"/>
          </w:tcPr>
          <w:p>
            <w:pPr>
              <w:jc w:val="center"/>
              <w:rPr>
                <w:color w:val="auto"/>
                <w:highlight w:val="none"/>
              </w:rPr>
            </w:pPr>
            <w:r>
              <w:rPr>
                <w:rFonts w:hint="eastAsia"/>
                <w:color w:val="auto"/>
                <w:highlight w:val="none"/>
              </w:rPr>
              <w:t>2.2.125</w:t>
            </w:r>
          </w:p>
        </w:tc>
        <w:tc>
          <w:tcPr>
            <w:tcW w:w="2014" w:type="pct"/>
            <w:vAlign w:val="center"/>
          </w:tcPr>
          <w:p>
            <w:pPr>
              <w:jc w:val="center"/>
              <w:rPr>
                <w:color w:val="auto"/>
                <w:highlight w:val="none"/>
              </w:rPr>
            </w:pPr>
            <w:r>
              <w:rPr>
                <w:rFonts w:hint="eastAsia"/>
                <w:color w:val="auto"/>
                <w:highlight w:val="none"/>
              </w:rPr>
              <w:t>临床检查报告记录接口规则制定</w:t>
            </w:r>
          </w:p>
        </w:tc>
        <w:tc>
          <w:tcPr>
            <w:tcW w:w="2297" w:type="pct"/>
          </w:tcPr>
          <w:p>
            <w:pPr>
              <w:rPr>
                <w:color w:val="auto"/>
                <w:highlight w:val="none"/>
              </w:rPr>
            </w:pPr>
            <w:r>
              <w:rPr>
                <w:rFonts w:hint="eastAsia"/>
                <w:color w:val="auto"/>
                <w:highlight w:val="none"/>
              </w:rPr>
              <w:t>临床检查报告记录接口规则制定，对接口传输就医流水号、就诊ID、人员编号、申请单号、申请单据名称等字段制定检测规则，作为检测依据。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87" w:type="pct"/>
            <w:vAlign w:val="center"/>
          </w:tcPr>
          <w:p>
            <w:pPr>
              <w:jc w:val="center"/>
              <w:rPr>
                <w:color w:val="auto"/>
                <w:highlight w:val="none"/>
              </w:rPr>
            </w:pPr>
            <w:r>
              <w:rPr>
                <w:rFonts w:hint="eastAsia"/>
                <w:color w:val="auto"/>
                <w:highlight w:val="none"/>
              </w:rPr>
              <w:t>2.2.126</w:t>
            </w:r>
          </w:p>
        </w:tc>
        <w:tc>
          <w:tcPr>
            <w:tcW w:w="2014" w:type="pct"/>
            <w:vAlign w:val="center"/>
          </w:tcPr>
          <w:p>
            <w:pPr>
              <w:jc w:val="center"/>
              <w:rPr>
                <w:color w:val="auto"/>
                <w:highlight w:val="none"/>
              </w:rPr>
            </w:pPr>
            <w:r>
              <w:rPr>
                <w:rFonts w:hint="eastAsia"/>
                <w:color w:val="auto"/>
                <w:highlight w:val="none"/>
              </w:rPr>
              <w:t>临床检验报告记录接口规则制定</w:t>
            </w:r>
          </w:p>
        </w:tc>
        <w:tc>
          <w:tcPr>
            <w:tcW w:w="2297" w:type="pct"/>
          </w:tcPr>
          <w:p>
            <w:pPr>
              <w:rPr>
                <w:color w:val="auto"/>
                <w:highlight w:val="none"/>
              </w:rPr>
            </w:pPr>
            <w:r>
              <w:rPr>
                <w:rFonts w:hint="eastAsia"/>
                <w:color w:val="auto"/>
                <w:highlight w:val="none"/>
              </w:rPr>
              <w:t>临床检验报告记录接口规则制定，对接口传输就医流水号、就诊ID、人员编号、申请单号等字段制定检测规则，作为检测依据。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87" w:type="pct"/>
            <w:vAlign w:val="center"/>
          </w:tcPr>
          <w:p>
            <w:pPr>
              <w:jc w:val="center"/>
              <w:rPr>
                <w:color w:val="auto"/>
                <w:highlight w:val="none"/>
              </w:rPr>
            </w:pPr>
            <w:r>
              <w:rPr>
                <w:rFonts w:hint="eastAsia"/>
                <w:color w:val="auto"/>
                <w:highlight w:val="none"/>
              </w:rPr>
              <w:t>2.2.127</w:t>
            </w:r>
          </w:p>
        </w:tc>
        <w:tc>
          <w:tcPr>
            <w:tcW w:w="2014" w:type="pct"/>
            <w:vAlign w:val="center"/>
          </w:tcPr>
          <w:p>
            <w:pPr>
              <w:jc w:val="center"/>
              <w:rPr>
                <w:color w:val="auto"/>
                <w:highlight w:val="none"/>
              </w:rPr>
            </w:pPr>
            <w:r>
              <w:rPr>
                <w:rFonts w:hint="eastAsia"/>
                <w:color w:val="auto"/>
                <w:highlight w:val="none"/>
              </w:rPr>
              <w:t>细菌培养报告记录接口规则制定</w:t>
            </w:r>
          </w:p>
        </w:tc>
        <w:tc>
          <w:tcPr>
            <w:tcW w:w="2297" w:type="pct"/>
          </w:tcPr>
          <w:p>
            <w:pPr>
              <w:rPr>
                <w:color w:val="auto"/>
                <w:highlight w:val="none"/>
              </w:rPr>
            </w:pPr>
            <w:r>
              <w:rPr>
                <w:rFonts w:hint="eastAsia"/>
                <w:color w:val="auto"/>
                <w:highlight w:val="none"/>
              </w:rPr>
              <w:t>细菌培养报告记录接口规则制定，对接口传输就诊ID、人员编号、申请单号、报告单号、细菌代号、细菌名称等字段制定检测规则，作为检测依据。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87" w:type="pct"/>
            <w:vAlign w:val="center"/>
          </w:tcPr>
          <w:p>
            <w:pPr>
              <w:jc w:val="center"/>
              <w:rPr>
                <w:color w:val="auto"/>
                <w:highlight w:val="none"/>
              </w:rPr>
            </w:pPr>
            <w:r>
              <w:rPr>
                <w:rFonts w:hint="eastAsia"/>
                <w:color w:val="auto"/>
                <w:highlight w:val="none"/>
              </w:rPr>
              <w:t>2.2.128</w:t>
            </w:r>
          </w:p>
        </w:tc>
        <w:tc>
          <w:tcPr>
            <w:tcW w:w="2014" w:type="pct"/>
            <w:vAlign w:val="center"/>
          </w:tcPr>
          <w:p>
            <w:pPr>
              <w:jc w:val="center"/>
              <w:rPr>
                <w:color w:val="auto"/>
                <w:highlight w:val="none"/>
              </w:rPr>
            </w:pPr>
            <w:r>
              <w:rPr>
                <w:rFonts w:hint="eastAsia"/>
                <w:color w:val="auto"/>
                <w:highlight w:val="none"/>
              </w:rPr>
              <w:t>药敏记录报告记录接口规则制定</w:t>
            </w:r>
          </w:p>
        </w:tc>
        <w:tc>
          <w:tcPr>
            <w:tcW w:w="2297" w:type="pct"/>
          </w:tcPr>
          <w:p>
            <w:pPr>
              <w:rPr>
                <w:color w:val="auto"/>
                <w:highlight w:val="none"/>
              </w:rPr>
            </w:pPr>
            <w:r>
              <w:rPr>
                <w:rFonts w:hint="eastAsia"/>
                <w:color w:val="auto"/>
                <w:highlight w:val="none"/>
              </w:rPr>
              <w:t>药敏记录报告记录接口规则制定，对接口传输药敏代码、药敏名称、抗药结果代码、抗药结果等字段制定检测规则，作为检测依据。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87" w:type="pct"/>
            <w:vAlign w:val="center"/>
          </w:tcPr>
          <w:p>
            <w:pPr>
              <w:jc w:val="center"/>
              <w:rPr>
                <w:color w:val="auto"/>
                <w:highlight w:val="none"/>
              </w:rPr>
            </w:pPr>
            <w:r>
              <w:rPr>
                <w:rFonts w:hint="eastAsia"/>
                <w:color w:val="auto"/>
                <w:highlight w:val="none"/>
              </w:rPr>
              <w:t>2.2.129</w:t>
            </w:r>
          </w:p>
        </w:tc>
        <w:tc>
          <w:tcPr>
            <w:tcW w:w="2014" w:type="pct"/>
            <w:vAlign w:val="center"/>
          </w:tcPr>
          <w:p>
            <w:pPr>
              <w:jc w:val="center"/>
              <w:rPr>
                <w:color w:val="auto"/>
                <w:highlight w:val="none"/>
              </w:rPr>
            </w:pPr>
            <w:r>
              <w:rPr>
                <w:rFonts w:hint="eastAsia"/>
                <w:color w:val="auto"/>
                <w:highlight w:val="none"/>
              </w:rPr>
              <w:t>病理检查报告记录接口规则制定</w:t>
            </w:r>
          </w:p>
        </w:tc>
        <w:tc>
          <w:tcPr>
            <w:tcW w:w="2297" w:type="pct"/>
          </w:tcPr>
          <w:p>
            <w:pPr>
              <w:rPr>
                <w:color w:val="auto"/>
                <w:highlight w:val="none"/>
              </w:rPr>
            </w:pPr>
            <w:r>
              <w:rPr>
                <w:rFonts w:hint="eastAsia"/>
                <w:color w:val="auto"/>
                <w:highlight w:val="none"/>
              </w:rPr>
              <w:t>病理检查报告记录接口规则制定，对接口传输就医流水号、就诊ID、人员编号、病理号等字段制定检测规则，作为检测依据。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87" w:type="pct"/>
            <w:vAlign w:val="center"/>
          </w:tcPr>
          <w:p>
            <w:pPr>
              <w:jc w:val="center"/>
              <w:rPr>
                <w:color w:val="auto"/>
                <w:highlight w:val="none"/>
              </w:rPr>
            </w:pPr>
            <w:r>
              <w:rPr>
                <w:rFonts w:hint="eastAsia"/>
                <w:color w:val="auto"/>
                <w:highlight w:val="none"/>
              </w:rPr>
              <w:t>2.2.130</w:t>
            </w:r>
          </w:p>
        </w:tc>
        <w:tc>
          <w:tcPr>
            <w:tcW w:w="2014" w:type="pct"/>
            <w:vAlign w:val="center"/>
          </w:tcPr>
          <w:p>
            <w:pPr>
              <w:jc w:val="center"/>
              <w:rPr>
                <w:color w:val="auto"/>
                <w:highlight w:val="none"/>
              </w:rPr>
            </w:pPr>
            <w:r>
              <w:rPr>
                <w:rFonts w:hint="eastAsia"/>
                <w:color w:val="auto"/>
                <w:highlight w:val="none"/>
              </w:rPr>
              <w:t>非结构化报告记录接口规则制定</w:t>
            </w:r>
          </w:p>
        </w:tc>
        <w:tc>
          <w:tcPr>
            <w:tcW w:w="2297" w:type="pct"/>
          </w:tcPr>
          <w:p>
            <w:pPr>
              <w:rPr>
                <w:color w:val="auto"/>
                <w:highlight w:val="none"/>
              </w:rPr>
            </w:pPr>
            <w:r>
              <w:rPr>
                <w:rFonts w:hint="eastAsia"/>
                <w:color w:val="auto"/>
                <w:highlight w:val="none"/>
              </w:rPr>
              <w:t>非结构化报告记录接口规则制定，对接口传输就医流水号、就诊ID、人员编号、门诊/住院标志、检查/检验标志等字段制定检测规则，作为检测依据。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87" w:type="pct"/>
            <w:vAlign w:val="center"/>
          </w:tcPr>
          <w:p>
            <w:pPr>
              <w:jc w:val="center"/>
              <w:rPr>
                <w:color w:val="auto"/>
                <w:highlight w:val="none"/>
              </w:rPr>
            </w:pPr>
            <w:r>
              <w:rPr>
                <w:rFonts w:hint="eastAsia"/>
                <w:color w:val="auto"/>
                <w:highlight w:val="none"/>
              </w:rPr>
              <w:t>2.2.131</w:t>
            </w:r>
          </w:p>
        </w:tc>
        <w:tc>
          <w:tcPr>
            <w:tcW w:w="2014" w:type="pct"/>
            <w:vAlign w:val="center"/>
          </w:tcPr>
          <w:p>
            <w:pPr>
              <w:jc w:val="center"/>
              <w:rPr>
                <w:color w:val="auto"/>
                <w:highlight w:val="none"/>
              </w:rPr>
            </w:pPr>
            <w:r>
              <w:rPr>
                <w:rFonts w:hint="eastAsia"/>
                <w:color w:val="auto"/>
                <w:highlight w:val="none"/>
              </w:rPr>
              <w:t>临床检查报告记录查询接口规则制定</w:t>
            </w:r>
          </w:p>
        </w:tc>
        <w:tc>
          <w:tcPr>
            <w:tcW w:w="2297" w:type="pct"/>
          </w:tcPr>
          <w:p>
            <w:pPr>
              <w:rPr>
                <w:color w:val="auto"/>
                <w:highlight w:val="none"/>
              </w:rPr>
            </w:pPr>
            <w:r>
              <w:rPr>
                <w:rFonts w:hint="eastAsia"/>
                <w:color w:val="auto"/>
                <w:highlight w:val="none"/>
              </w:rPr>
              <w:t>临床检查报告记录查询接口规则制定，对接口传输人员编号、医疗机构代码、检查-项目代码、检查-项目名称等字段制定检测规则，作为检测依据。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87" w:type="pct"/>
            <w:vAlign w:val="center"/>
          </w:tcPr>
          <w:p>
            <w:pPr>
              <w:jc w:val="center"/>
              <w:rPr>
                <w:color w:val="auto"/>
                <w:highlight w:val="none"/>
              </w:rPr>
            </w:pPr>
            <w:r>
              <w:rPr>
                <w:rFonts w:hint="eastAsia"/>
                <w:color w:val="auto"/>
                <w:highlight w:val="none"/>
              </w:rPr>
              <w:t>2.2.132</w:t>
            </w:r>
          </w:p>
        </w:tc>
        <w:tc>
          <w:tcPr>
            <w:tcW w:w="2014" w:type="pct"/>
            <w:vAlign w:val="center"/>
          </w:tcPr>
          <w:p>
            <w:pPr>
              <w:jc w:val="center"/>
              <w:rPr>
                <w:color w:val="auto"/>
                <w:highlight w:val="none"/>
              </w:rPr>
            </w:pPr>
            <w:r>
              <w:rPr>
                <w:rFonts w:hint="eastAsia"/>
                <w:color w:val="auto"/>
                <w:highlight w:val="none"/>
              </w:rPr>
              <w:t>细菌培养报告记录查询接口规则制</w:t>
            </w:r>
          </w:p>
        </w:tc>
        <w:tc>
          <w:tcPr>
            <w:tcW w:w="2297" w:type="pct"/>
          </w:tcPr>
          <w:p>
            <w:pPr>
              <w:rPr>
                <w:color w:val="auto"/>
                <w:highlight w:val="none"/>
              </w:rPr>
            </w:pPr>
            <w:r>
              <w:rPr>
                <w:rFonts w:hint="eastAsia"/>
                <w:color w:val="auto"/>
                <w:highlight w:val="none"/>
              </w:rPr>
              <w:t>细菌培养报告记录查询接口规则制定，对接口传输人员编号、当前页数、本页数据量、检验机构名称等字段制定检测规则，作为检测依据。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87" w:type="pct"/>
            <w:vAlign w:val="center"/>
          </w:tcPr>
          <w:p>
            <w:pPr>
              <w:jc w:val="center"/>
              <w:rPr>
                <w:color w:val="auto"/>
                <w:highlight w:val="none"/>
              </w:rPr>
            </w:pPr>
            <w:r>
              <w:rPr>
                <w:rFonts w:hint="eastAsia"/>
                <w:color w:val="auto"/>
                <w:highlight w:val="none"/>
              </w:rPr>
              <w:t>2.2.133</w:t>
            </w:r>
          </w:p>
        </w:tc>
        <w:tc>
          <w:tcPr>
            <w:tcW w:w="2014" w:type="pct"/>
            <w:vAlign w:val="center"/>
          </w:tcPr>
          <w:p>
            <w:pPr>
              <w:jc w:val="center"/>
              <w:rPr>
                <w:color w:val="auto"/>
                <w:highlight w:val="none"/>
              </w:rPr>
            </w:pPr>
            <w:r>
              <w:rPr>
                <w:rFonts w:hint="eastAsia"/>
                <w:color w:val="auto"/>
                <w:highlight w:val="none"/>
              </w:rPr>
              <w:t>药敏检查报告记录查询接口规则制定</w:t>
            </w:r>
          </w:p>
        </w:tc>
        <w:tc>
          <w:tcPr>
            <w:tcW w:w="2297" w:type="pct"/>
          </w:tcPr>
          <w:p>
            <w:pPr>
              <w:rPr>
                <w:color w:val="auto"/>
                <w:highlight w:val="none"/>
              </w:rPr>
            </w:pPr>
            <w:r>
              <w:rPr>
                <w:rFonts w:hint="eastAsia"/>
                <w:color w:val="auto"/>
                <w:highlight w:val="none"/>
              </w:rPr>
              <w:t>药敏检查报告记录查询接口规则制定，对接口传输人员编号、当前页数、本页数据量、药敏代码、药敏名称等字段制定检测规则，作为检测依据。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87" w:type="pct"/>
            <w:vAlign w:val="center"/>
          </w:tcPr>
          <w:p>
            <w:pPr>
              <w:jc w:val="center"/>
              <w:rPr>
                <w:color w:val="auto"/>
                <w:highlight w:val="none"/>
              </w:rPr>
            </w:pPr>
            <w:r>
              <w:rPr>
                <w:rFonts w:hint="eastAsia"/>
                <w:color w:val="auto"/>
                <w:highlight w:val="none"/>
              </w:rPr>
              <w:t>2.2.134</w:t>
            </w:r>
          </w:p>
        </w:tc>
        <w:tc>
          <w:tcPr>
            <w:tcW w:w="2014" w:type="pct"/>
            <w:vAlign w:val="center"/>
          </w:tcPr>
          <w:p>
            <w:pPr>
              <w:jc w:val="center"/>
              <w:rPr>
                <w:color w:val="auto"/>
                <w:highlight w:val="none"/>
              </w:rPr>
            </w:pPr>
            <w:r>
              <w:rPr>
                <w:rFonts w:hint="eastAsia"/>
                <w:color w:val="auto"/>
                <w:highlight w:val="none"/>
              </w:rPr>
              <w:t>病理检查报告记录查询接口规则制定</w:t>
            </w:r>
          </w:p>
        </w:tc>
        <w:tc>
          <w:tcPr>
            <w:tcW w:w="2297" w:type="pct"/>
          </w:tcPr>
          <w:p>
            <w:pPr>
              <w:rPr>
                <w:color w:val="auto"/>
                <w:highlight w:val="none"/>
              </w:rPr>
            </w:pPr>
            <w:r>
              <w:rPr>
                <w:rFonts w:hint="eastAsia"/>
                <w:color w:val="auto"/>
                <w:highlight w:val="none"/>
              </w:rPr>
              <w:t>病理检查报告记录查询接口规则制定，对接口传输人员编号、当前页数、本页数据量、定点医药机构编号等字段制定检测规则，作为检测依据。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87" w:type="pct"/>
            <w:vAlign w:val="center"/>
          </w:tcPr>
          <w:p>
            <w:pPr>
              <w:jc w:val="center"/>
              <w:rPr>
                <w:color w:val="auto"/>
                <w:highlight w:val="none"/>
              </w:rPr>
            </w:pPr>
            <w:r>
              <w:rPr>
                <w:rFonts w:hint="eastAsia"/>
                <w:color w:val="auto"/>
                <w:highlight w:val="none"/>
              </w:rPr>
              <w:t>2.2.135</w:t>
            </w:r>
          </w:p>
        </w:tc>
        <w:tc>
          <w:tcPr>
            <w:tcW w:w="2014" w:type="pct"/>
            <w:vAlign w:val="center"/>
          </w:tcPr>
          <w:p>
            <w:pPr>
              <w:jc w:val="center"/>
              <w:rPr>
                <w:color w:val="auto"/>
                <w:highlight w:val="none"/>
              </w:rPr>
            </w:pPr>
            <w:r>
              <w:rPr>
                <w:rFonts w:hint="eastAsia"/>
                <w:color w:val="auto"/>
                <w:highlight w:val="none"/>
              </w:rPr>
              <w:t>非结构化报告记录查询接口规则制定</w:t>
            </w:r>
          </w:p>
        </w:tc>
        <w:tc>
          <w:tcPr>
            <w:tcW w:w="2297" w:type="pct"/>
          </w:tcPr>
          <w:p>
            <w:pPr>
              <w:rPr>
                <w:color w:val="auto"/>
                <w:highlight w:val="none"/>
              </w:rPr>
            </w:pPr>
            <w:r>
              <w:rPr>
                <w:rFonts w:hint="eastAsia"/>
                <w:color w:val="auto"/>
                <w:highlight w:val="none"/>
              </w:rPr>
              <w:t>非结构化报告记录查询接口规则制定，对接口传输人员编号、当前页数、本页数据量、定点医药机构编号等字段制定检测规则，作为检测依据。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87" w:type="pct"/>
            <w:vAlign w:val="center"/>
          </w:tcPr>
          <w:p>
            <w:pPr>
              <w:jc w:val="center"/>
              <w:rPr>
                <w:color w:val="auto"/>
                <w:highlight w:val="none"/>
              </w:rPr>
            </w:pPr>
            <w:r>
              <w:rPr>
                <w:rFonts w:hint="eastAsia"/>
                <w:color w:val="auto"/>
                <w:highlight w:val="none"/>
              </w:rPr>
              <w:t>2.2.136</w:t>
            </w:r>
          </w:p>
        </w:tc>
        <w:tc>
          <w:tcPr>
            <w:tcW w:w="2014" w:type="pct"/>
            <w:vAlign w:val="center"/>
          </w:tcPr>
          <w:p>
            <w:pPr>
              <w:jc w:val="center"/>
              <w:rPr>
                <w:color w:val="auto"/>
                <w:highlight w:val="none"/>
              </w:rPr>
            </w:pPr>
            <w:r>
              <w:rPr>
                <w:rFonts w:hint="eastAsia"/>
                <w:color w:val="auto"/>
                <w:highlight w:val="none"/>
              </w:rPr>
              <w:t>输血信息接口规则制定</w:t>
            </w:r>
          </w:p>
        </w:tc>
        <w:tc>
          <w:tcPr>
            <w:tcW w:w="2297" w:type="pct"/>
          </w:tcPr>
          <w:p>
            <w:pPr>
              <w:rPr>
                <w:color w:val="auto"/>
                <w:highlight w:val="none"/>
              </w:rPr>
            </w:pPr>
            <w:r>
              <w:rPr>
                <w:rFonts w:hint="eastAsia"/>
                <w:color w:val="auto"/>
                <w:highlight w:val="none"/>
              </w:rPr>
              <w:t>输血信息接口规则制定，对接口传输就医流水号、就诊ID、人员编号、ABO血型代码、Rh血型代码等字段制定检测规则，作为检测依据。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87" w:type="pct"/>
            <w:vAlign w:val="center"/>
          </w:tcPr>
          <w:p>
            <w:pPr>
              <w:jc w:val="center"/>
              <w:rPr>
                <w:color w:val="auto"/>
                <w:highlight w:val="none"/>
              </w:rPr>
            </w:pPr>
            <w:r>
              <w:rPr>
                <w:rFonts w:hint="eastAsia"/>
                <w:color w:val="auto"/>
                <w:highlight w:val="none"/>
              </w:rPr>
              <w:t>2.2.137</w:t>
            </w:r>
          </w:p>
        </w:tc>
        <w:tc>
          <w:tcPr>
            <w:tcW w:w="2014" w:type="pct"/>
            <w:vAlign w:val="center"/>
          </w:tcPr>
          <w:p>
            <w:pPr>
              <w:jc w:val="center"/>
              <w:rPr>
                <w:color w:val="auto"/>
                <w:highlight w:val="none"/>
              </w:rPr>
            </w:pPr>
            <w:r>
              <w:rPr>
                <w:rFonts w:hint="eastAsia"/>
                <w:color w:val="auto"/>
                <w:highlight w:val="none"/>
              </w:rPr>
              <w:t>护理操作生命体征测量记录接口规则制定</w:t>
            </w:r>
          </w:p>
        </w:tc>
        <w:tc>
          <w:tcPr>
            <w:tcW w:w="2297" w:type="pct"/>
          </w:tcPr>
          <w:p>
            <w:pPr>
              <w:rPr>
                <w:color w:val="auto"/>
                <w:highlight w:val="none"/>
              </w:rPr>
            </w:pPr>
            <w:r>
              <w:rPr>
                <w:rFonts w:hint="eastAsia"/>
                <w:color w:val="auto"/>
                <w:highlight w:val="none"/>
              </w:rPr>
              <w:t>护理操作生命体征测量记录接口规则制定，对接口传输就医流水号、就诊ID、人员编号、科室代码、科室名称、病区名称等字段制定检测规则，作为检测依据。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87" w:type="pct"/>
            <w:vAlign w:val="center"/>
          </w:tcPr>
          <w:p>
            <w:pPr>
              <w:jc w:val="center"/>
              <w:rPr>
                <w:color w:val="auto"/>
                <w:highlight w:val="none"/>
              </w:rPr>
            </w:pPr>
            <w:r>
              <w:rPr>
                <w:rFonts w:hint="eastAsia"/>
                <w:color w:val="auto"/>
                <w:highlight w:val="none"/>
              </w:rPr>
              <w:t>2.2.138</w:t>
            </w:r>
          </w:p>
        </w:tc>
        <w:tc>
          <w:tcPr>
            <w:tcW w:w="2014" w:type="pct"/>
            <w:vAlign w:val="center"/>
          </w:tcPr>
          <w:p>
            <w:pPr>
              <w:jc w:val="center"/>
              <w:rPr>
                <w:color w:val="auto"/>
                <w:highlight w:val="none"/>
              </w:rPr>
            </w:pPr>
            <w:r>
              <w:rPr>
                <w:rFonts w:hint="eastAsia"/>
                <w:color w:val="auto"/>
                <w:highlight w:val="none"/>
              </w:rPr>
              <w:t>电子病历上传接口规则制定</w:t>
            </w:r>
          </w:p>
        </w:tc>
        <w:tc>
          <w:tcPr>
            <w:tcW w:w="2297" w:type="pct"/>
          </w:tcPr>
          <w:p>
            <w:pPr>
              <w:rPr>
                <w:color w:val="auto"/>
                <w:highlight w:val="none"/>
              </w:rPr>
            </w:pPr>
            <w:r>
              <w:rPr>
                <w:rFonts w:hint="eastAsia"/>
                <w:color w:val="auto"/>
                <w:highlight w:val="none"/>
              </w:rPr>
              <w:t>电子病历上传接口规则制定，对接口传输就医流水号、就诊ID、人员编号、住院号等字段制定检测规则，作为检测依据。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87" w:type="pct"/>
            <w:vAlign w:val="center"/>
          </w:tcPr>
          <w:p>
            <w:pPr>
              <w:jc w:val="center"/>
              <w:rPr>
                <w:color w:val="auto"/>
                <w:highlight w:val="none"/>
              </w:rPr>
            </w:pPr>
            <w:r>
              <w:rPr>
                <w:rFonts w:hint="eastAsia"/>
                <w:color w:val="auto"/>
                <w:highlight w:val="none"/>
              </w:rPr>
              <w:t>2.2.139</w:t>
            </w:r>
          </w:p>
        </w:tc>
        <w:tc>
          <w:tcPr>
            <w:tcW w:w="2014" w:type="pct"/>
            <w:vAlign w:val="center"/>
          </w:tcPr>
          <w:p>
            <w:pPr>
              <w:jc w:val="center"/>
              <w:rPr>
                <w:color w:val="auto"/>
                <w:highlight w:val="none"/>
              </w:rPr>
            </w:pPr>
            <w:r>
              <w:rPr>
                <w:rFonts w:hint="eastAsia"/>
                <w:color w:val="auto"/>
                <w:highlight w:val="none"/>
              </w:rPr>
              <w:t>科室信息查询接口规则制定</w:t>
            </w:r>
          </w:p>
        </w:tc>
        <w:tc>
          <w:tcPr>
            <w:tcW w:w="2297" w:type="pct"/>
          </w:tcPr>
          <w:p>
            <w:pPr>
              <w:rPr>
                <w:color w:val="auto"/>
                <w:highlight w:val="none"/>
              </w:rPr>
            </w:pPr>
            <w:r>
              <w:rPr>
                <w:rFonts w:hint="eastAsia"/>
                <w:color w:val="auto"/>
                <w:highlight w:val="none"/>
              </w:rPr>
              <w:t>科室信息查询接口规则制定，对接口传输交易编号、发送方报文ID、就医地医保区划、参保地医保区划、接收方系统代码等字段制定检测规则，作为检测依据。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87" w:type="pct"/>
            <w:vAlign w:val="center"/>
          </w:tcPr>
          <w:p>
            <w:pPr>
              <w:jc w:val="center"/>
              <w:rPr>
                <w:color w:val="auto"/>
                <w:highlight w:val="none"/>
              </w:rPr>
            </w:pPr>
            <w:r>
              <w:rPr>
                <w:rFonts w:hint="eastAsia"/>
                <w:color w:val="auto"/>
                <w:highlight w:val="none"/>
              </w:rPr>
              <w:t>2.2.140</w:t>
            </w:r>
          </w:p>
        </w:tc>
        <w:tc>
          <w:tcPr>
            <w:tcW w:w="2014" w:type="pct"/>
            <w:vAlign w:val="center"/>
          </w:tcPr>
          <w:p>
            <w:pPr>
              <w:jc w:val="center"/>
              <w:rPr>
                <w:color w:val="auto"/>
                <w:highlight w:val="none"/>
              </w:rPr>
            </w:pPr>
            <w:r>
              <w:rPr>
                <w:rFonts w:hint="eastAsia"/>
                <w:color w:val="auto"/>
                <w:highlight w:val="none"/>
              </w:rPr>
              <w:t>医执人员信息查询接口规则制</w:t>
            </w:r>
          </w:p>
        </w:tc>
        <w:tc>
          <w:tcPr>
            <w:tcW w:w="2297" w:type="pct"/>
          </w:tcPr>
          <w:p>
            <w:pPr>
              <w:rPr>
                <w:color w:val="auto"/>
                <w:highlight w:val="none"/>
              </w:rPr>
            </w:pPr>
            <w:r>
              <w:rPr>
                <w:rFonts w:hint="eastAsia"/>
                <w:color w:val="auto"/>
                <w:highlight w:val="none"/>
              </w:rPr>
              <w:t>医执人员信息查询接口规则制定，对接口传输执业人员分类、人员证件类型、证件号码、执业人员姓名、执业人员代码等字段制定检测规则，作为检测依据。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87" w:type="pct"/>
            <w:vAlign w:val="center"/>
          </w:tcPr>
          <w:p>
            <w:pPr>
              <w:jc w:val="center"/>
              <w:rPr>
                <w:color w:val="auto"/>
                <w:highlight w:val="none"/>
              </w:rPr>
            </w:pPr>
            <w:r>
              <w:rPr>
                <w:rFonts w:hint="eastAsia"/>
                <w:color w:val="auto"/>
                <w:highlight w:val="none"/>
              </w:rPr>
              <w:t>2.2.141</w:t>
            </w:r>
          </w:p>
        </w:tc>
        <w:tc>
          <w:tcPr>
            <w:tcW w:w="2014" w:type="pct"/>
            <w:vAlign w:val="center"/>
          </w:tcPr>
          <w:p>
            <w:pPr>
              <w:jc w:val="center"/>
              <w:rPr>
                <w:color w:val="auto"/>
                <w:highlight w:val="none"/>
              </w:rPr>
            </w:pPr>
            <w:r>
              <w:rPr>
                <w:rFonts w:hint="eastAsia"/>
                <w:color w:val="auto"/>
                <w:highlight w:val="none"/>
              </w:rPr>
              <w:t>就诊信息查询接口规则制定</w:t>
            </w:r>
          </w:p>
        </w:tc>
        <w:tc>
          <w:tcPr>
            <w:tcW w:w="2297" w:type="pct"/>
          </w:tcPr>
          <w:p>
            <w:pPr>
              <w:rPr>
                <w:color w:val="auto"/>
                <w:highlight w:val="none"/>
              </w:rPr>
            </w:pPr>
            <w:r>
              <w:rPr>
                <w:rFonts w:hint="eastAsia"/>
                <w:color w:val="auto"/>
                <w:highlight w:val="none"/>
              </w:rPr>
              <w:t>就诊信息查询接口规则制定，对接口传输人员编号、开始时间、结束时间、医疗类别、就诊ID等字段制定检测规则，作为检测依据。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87" w:type="pct"/>
            <w:vAlign w:val="center"/>
          </w:tcPr>
          <w:p>
            <w:pPr>
              <w:jc w:val="center"/>
              <w:rPr>
                <w:color w:val="auto"/>
                <w:highlight w:val="none"/>
              </w:rPr>
            </w:pPr>
            <w:r>
              <w:rPr>
                <w:rFonts w:hint="eastAsia"/>
                <w:color w:val="auto"/>
                <w:highlight w:val="none"/>
              </w:rPr>
              <w:t>2.2.142</w:t>
            </w:r>
          </w:p>
        </w:tc>
        <w:tc>
          <w:tcPr>
            <w:tcW w:w="2014" w:type="pct"/>
            <w:vAlign w:val="center"/>
          </w:tcPr>
          <w:p>
            <w:pPr>
              <w:jc w:val="center"/>
              <w:rPr>
                <w:color w:val="auto"/>
                <w:highlight w:val="none"/>
              </w:rPr>
            </w:pPr>
            <w:r>
              <w:rPr>
                <w:rFonts w:hint="eastAsia"/>
                <w:color w:val="auto"/>
                <w:highlight w:val="none"/>
              </w:rPr>
              <w:t>结算信息查询接口规则制定</w:t>
            </w:r>
          </w:p>
        </w:tc>
        <w:tc>
          <w:tcPr>
            <w:tcW w:w="2297" w:type="pct"/>
          </w:tcPr>
          <w:p>
            <w:pPr>
              <w:rPr>
                <w:color w:val="auto"/>
                <w:highlight w:val="none"/>
              </w:rPr>
            </w:pPr>
            <w:r>
              <w:rPr>
                <w:rFonts w:hint="eastAsia"/>
                <w:color w:val="auto"/>
                <w:highlight w:val="none"/>
              </w:rPr>
              <w:t>结算信息查询接口规则制定，对接口传输人员编号、结算ID、就诊ID等字段制定检测规则，作为检测依据。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87" w:type="pct"/>
            <w:vAlign w:val="center"/>
          </w:tcPr>
          <w:p>
            <w:pPr>
              <w:jc w:val="center"/>
              <w:rPr>
                <w:color w:val="auto"/>
                <w:highlight w:val="none"/>
              </w:rPr>
            </w:pPr>
            <w:r>
              <w:rPr>
                <w:rFonts w:hint="eastAsia"/>
                <w:color w:val="auto"/>
                <w:highlight w:val="none"/>
              </w:rPr>
              <w:t>2.2.143</w:t>
            </w:r>
          </w:p>
        </w:tc>
        <w:tc>
          <w:tcPr>
            <w:tcW w:w="2014" w:type="pct"/>
            <w:vAlign w:val="center"/>
          </w:tcPr>
          <w:p>
            <w:pPr>
              <w:jc w:val="center"/>
              <w:rPr>
                <w:color w:val="auto"/>
                <w:highlight w:val="none"/>
              </w:rPr>
            </w:pPr>
            <w:r>
              <w:rPr>
                <w:rFonts w:hint="eastAsia"/>
                <w:color w:val="auto"/>
                <w:highlight w:val="none"/>
              </w:rPr>
              <w:t>费用明细查询接口规则制定</w:t>
            </w:r>
          </w:p>
        </w:tc>
        <w:tc>
          <w:tcPr>
            <w:tcW w:w="2297" w:type="pct"/>
          </w:tcPr>
          <w:p>
            <w:pPr>
              <w:rPr>
                <w:color w:val="auto"/>
                <w:highlight w:val="none"/>
              </w:rPr>
            </w:pPr>
            <w:r>
              <w:rPr>
                <w:rFonts w:hint="eastAsia"/>
                <w:color w:val="auto"/>
                <w:highlight w:val="none"/>
              </w:rPr>
              <w:t>费用明细查询接口规则制定，对接口传输人员编号、结算ID、就诊ID等字段制定检测规则，作为检测依据。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87" w:type="pct"/>
            <w:vAlign w:val="center"/>
          </w:tcPr>
          <w:p>
            <w:pPr>
              <w:jc w:val="center"/>
              <w:rPr>
                <w:color w:val="auto"/>
                <w:highlight w:val="none"/>
              </w:rPr>
            </w:pPr>
            <w:r>
              <w:rPr>
                <w:rFonts w:hint="eastAsia"/>
                <w:color w:val="auto"/>
                <w:highlight w:val="none"/>
              </w:rPr>
              <w:t>2.2.144</w:t>
            </w:r>
          </w:p>
        </w:tc>
        <w:tc>
          <w:tcPr>
            <w:tcW w:w="2014" w:type="pct"/>
            <w:vAlign w:val="center"/>
          </w:tcPr>
          <w:p>
            <w:pPr>
              <w:jc w:val="center"/>
              <w:rPr>
                <w:color w:val="auto"/>
                <w:highlight w:val="none"/>
              </w:rPr>
            </w:pPr>
            <w:r>
              <w:rPr>
                <w:rFonts w:hint="eastAsia"/>
                <w:color w:val="auto"/>
                <w:highlight w:val="none"/>
              </w:rPr>
              <w:t>人员慢特病用药记录查询接口规则制定</w:t>
            </w:r>
          </w:p>
        </w:tc>
        <w:tc>
          <w:tcPr>
            <w:tcW w:w="2297" w:type="pct"/>
          </w:tcPr>
          <w:p>
            <w:pPr>
              <w:rPr>
                <w:color w:val="auto"/>
                <w:highlight w:val="none"/>
              </w:rPr>
            </w:pPr>
            <w:r>
              <w:rPr>
                <w:rFonts w:hint="eastAsia"/>
                <w:color w:val="auto"/>
                <w:highlight w:val="none"/>
              </w:rPr>
              <w:t>人员慢特病用药记录查询接口规则制定，对接口传输人员编号、开始时间、结束时间等字段制定检测规则，作为检测依据。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87" w:type="pct"/>
            <w:vAlign w:val="center"/>
          </w:tcPr>
          <w:p>
            <w:pPr>
              <w:jc w:val="center"/>
              <w:rPr>
                <w:color w:val="auto"/>
                <w:highlight w:val="none"/>
              </w:rPr>
            </w:pPr>
            <w:r>
              <w:rPr>
                <w:rFonts w:hint="eastAsia"/>
                <w:color w:val="auto"/>
                <w:highlight w:val="none"/>
              </w:rPr>
              <w:t>2.2.145</w:t>
            </w:r>
          </w:p>
        </w:tc>
        <w:tc>
          <w:tcPr>
            <w:tcW w:w="2014" w:type="pct"/>
            <w:vAlign w:val="center"/>
          </w:tcPr>
          <w:p>
            <w:pPr>
              <w:jc w:val="center"/>
              <w:rPr>
                <w:color w:val="auto"/>
                <w:highlight w:val="none"/>
              </w:rPr>
            </w:pPr>
            <w:r>
              <w:rPr>
                <w:rFonts w:hint="eastAsia"/>
                <w:color w:val="auto"/>
                <w:highlight w:val="none"/>
              </w:rPr>
              <w:t>人员累计信息查询接口规则制定</w:t>
            </w:r>
          </w:p>
        </w:tc>
        <w:tc>
          <w:tcPr>
            <w:tcW w:w="2297" w:type="pct"/>
          </w:tcPr>
          <w:p>
            <w:pPr>
              <w:rPr>
                <w:color w:val="auto"/>
                <w:highlight w:val="none"/>
              </w:rPr>
            </w:pPr>
            <w:r>
              <w:rPr>
                <w:rFonts w:hint="eastAsia"/>
                <w:color w:val="auto"/>
                <w:highlight w:val="none"/>
              </w:rPr>
              <w:t>人员累计信息查询接口规则制定，对接口传输人员编号、累计年月等字段制定检测规则，作为检测依据。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87" w:type="pct"/>
            <w:vAlign w:val="center"/>
          </w:tcPr>
          <w:p>
            <w:pPr>
              <w:jc w:val="center"/>
              <w:rPr>
                <w:color w:val="auto"/>
                <w:highlight w:val="none"/>
              </w:rPr>
            </w:pPr>
            <w:r>
              <w:rPr>
                <w:rFonts w:hint="eastAsia"/>
                <w:color w:val="auto"/>
                <w:highlight w:val="none"/>
              </w:rPr>
              <w:t>2.2.146</w:t>
            </w:r>
          </w:p>
        </w:tc>
        <w:tc>
          <w:tcPr>
            <w:tcW w:w="2014" w:type="pct"/>
            <w:vAlign w:val="center"/>
          </w:tcPr>
          <w:p>
            <w:pPr>
              <w:jc w:val="center"/>
              <w:rPr>
                <w:color w:val="auto"/>
                <w:highlight w:val="none"/>
              </w:rPr>
            </w:pPr>
            <w:r>
              <w:rPr>
                <w:rFonts w:hint="eastAsia"/>
                <w:color w:val="auto"/>
                <w:highlight w:val="none"/>
              </w:rPr>
              <w:t>人员慢特病备案查询接口规则制定</w:t>
            </w:r>
          </w:p>
        </w:tc>
        <w:tc>
          <w:tcPr>
            <w:tcW w:w="2297" w:type="pct"/>
          </w:tcPr>
          <w:p>
            <w:pPr>
              <w:rPr>
                <w:color w:val="auto"/>
                <w:highlight w:val="none"/>
              </w:rPr>
            </w:pPr>
            <w:r>
              <w:rPr>
                <w:rFonts w:hint="eastAsia"/>
                <w:color w:val="auto"/>
                <w:highlight w:val="none"/>
              </w:rPr>
              <w:t>人员慢特病备案查询接口规则制定，对接口传输人员编号等字段制定检测规则，作为检测依据。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87" w:type="pct"/>
            <w:vAlign w:val="center"/>
          </w:tcPr>
          <w:p>
            <w:pPr>
              <w:jc w:val="center"/>
              <w:rPr>
                <w:color w:val="auto"/>
                <w:highlight w:val="none"/>
              </w:rPr>
            </w:pPr>
            <w:r>
              <w:rPr>
                <w:rFonts w:hint="eastAsia"/>
                <w:color w:val="auto"/>
                <w:highlight w:val="none"/>
              </w:rPr>
              <w:t>2.2.147</w:t>
            </w:r>
          </w:p>
        </w:tc>
        <w:tc>
          <w:tcPr>
            <w:tcW w:w="2014" w:type="pct"/>
            <w:vAlign w:val="center"/>
          </w:tcPr>
          <w:p>
            <w:pPr>
              <w:jc w:val="center"/>
              <w:rPr>
                <w:color w:val="auto"/>
                <w:highlight w:val="none"/>
              </w:rPr>
            </w:pPr>
            <w:r>
              <w:rPr>
                <w:rFonts w:hint="eastAsia"/>
                <w:color w:val="auto"/>
                <w:highlight w:val="none"/>
              </w:rPr>
              <w:t>在院信息查询接口规则制定</w:t>
            </w:r>
          </w:p>
        </w:tc>
        <w:tc>
          <w:tcPr>
            <w:tcW w:w="2297" w:type="pct"/>
          </w:tcPr>
          <w:p>
            <w:pPr>
              <w:rPr>
                <w:color w:val="auto"/>
                <w:highlight w:val="none"/>
              </w:rPr>
            </w:pPr>
            <w:r>
              <w:rPr>
                <w:rFonts w:hint="eastAsia"/>
                <w:color w:val="auto"/>
                <w:highlight w:val="none"/>
              </w:rPr>
              <w:t>在院信息查询接口规则制定，对接口传输人员编号、开始时间、结束时间等字段制定检测规则，作为检测依据。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87" w:type="pct"/>
            <w:vAlign w:val="center"/>
          </w:tcPr>
          <w:p>
            <w:pPr>
              <w:jc w:val="center"/>
              <w:rPr>
                <w:color w:val="auto"/>
                <w:highlight w:val="none"/>
              </w:rPr>
            </w:pPr>
            <w:r>
              <w:rPr>
                <w:rFonts w:hint="eastAsia"/>
                <w:color w:val="auto"/>
                <w:highlight w:val="none"/>
              </w:rPr>
              <w:t>2.2.148</w:t>
            </w:r>
          </w:p>
        </w:tc>
        <w:tc>
          <w:tcPr>
            <w:tcW w:w="2014" w:type="pct"/>
            <w:vAlign w:val="center"/>
          </w:tcPr>
          <w:p>
            <w:pPr>
              <w:jc w:val="center"/>
              <w:rPr>
                <w:color w:val="auto"/>
                <w:highlight w:val="none"/>
              </w:rPr>
            </w:pPr>
            <w:r>
              <w:rPr>
                <w:rFonts w:hint="eastAsia"/>
                <w:color w:val="auto"/>
                <w:highlight w:val="none"/>
              </w:rPr>
              <w:t>转院信息查询接口规则制定</w:t>
            </w:r>
          </w:p>
        </w:tc>
        <w:tc>
          <w:tcPr>
            <w:tcW w:w="2297" w:type="pct"/>
          </w:tcPr>
          <w:p>
            <w:pPr>
              <w:rPr>
                <w:color w:val="auto"/>
                <w:highlight w:val="none"/>
              </w:rPr>
            </w:pPr>
            <w:r>
              <w:rPr>
                <w:rFonts w:hint="eastAsia"/>
                <w:color w:val="auto"/>
                <w:highlight w:val="none"/>
              </w:rPr>
              <w:t>转院信息查询接口规则制定，对接口传输人员编号、开始时间、结束时间等字段制定检测规则，作为检测依据。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87" w:type="pct"/>
            <w:vAlign w:val="center"/>
          </w:tcPr>
          <w:p>
            <w:pPr>
              <w:jc w:val="center"/>
              <w:rPr>
                <w:color w:val="auto"/>
                <w:highlight w:val="none"/>
              </w:rPr>
            </w:pPr>
            <w:r>
              <w:rPr>
                <w:rFonts w:hint="eastAsia"/>
                <w:color w:val="auto"/>
                <w:highlight w:val="none"/>
              </w:rPr>
              <w:t>2.2.149</w:t>
            </w:r>
          </w:p>
        </w:tc>
        <w:tc>
          <w:tcPr>
            <w:tcW w:w="2014" w:type="pct"/>
            <w:vAlign w:val="center"/>
          </w:tcPr>
          <w:p>
            <w:pPr>
              <w:jc w:val="center"/>
              <w:rPr>
                <w:color w:val="auto"/>
                <w:highlight w:val="none"/>
              </w:rPr>
            </w:pPr>
            <w:r>
              <w:rPr>
                <w:rFonts w:hint="eastAsia"/>
                <w:color w:val="auto"/>
                <w:highlight w:val="none"/>
              </w:rPr>
              <w:t>项目互认信息查询接口规则制定</w:t>
            </w:r>
          </w:p>
        </w:tc>
        <w:tc>
          <w:tcPr>
            <w:tcW w:w="2297" w:type="pct"/>
          </w:tcPr>
          <w:p>
            <w:pPr>
              <w:rPr>
                <w:color w:val="auto"/>
                <w:highlight w:val="none"/>
              </w:rPr>
            </w:pPr>
            <w:r>
              <w:rPr>
                <w:rFonts w:hint="eastAsia"/>
                <w:color w:val="auto"/>
                <w:highlight w:val="none"/>
              </w:rPr>
              <w:t>项目互认信息查询接口规则制定，对接口传输人员编号、检查机构代码、检查机构名称、检查-项目代码、检查-项目名称等字段制定检测规则，作为检测依据。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87" w:type="pct"/>
            <w:vAlign w:val="center"/>
          </w:tcPr>
          <w:p>
            <w:pPr>
              <w:jc w:val="center"/>
              <w:rPr>
                <w:color w:val="auto"/>
                <w:highlight w:val="none"/>
              </w:rPr>
            </w:pPr>
            <w:r>
              <w:rPr>
                <w:rFonts w:hint="eastAsia"/>
                <w:color w:val="auto"/>
                <w:highlight w:val="none"/>
              </w:rPr>
              <w:t>2.2.150</w:t>
            </w:r>
          </w:p>
        </w:tc>
        <w:tc>
          <w:tcPr>
            <w:tcW w:w="2014" w:type="pct"/>
            <w:vAlign w:val="center"/>
          </w:tcPr>
          <w:p>
            <w:pPr>
              <w:jc w:val="center"/>
              <w:rPr>
                <w:color w:val="auto"/>
                <w:highlight w:val="none"/>
              </w:rPr>
            </w:pPr>
            <w:r>
              <w:rPr>
                <w:rFonts w:hint="eastAsia"/>
                <w:color w:val="auto"/>
                <w:highlight w:val="none"/>
              </w:rPr>
              <w:t>报告明细信息查询接口规则制定</w:t>
            </w:r>
          </w:p>
        </w:tc>
        <w:tc>
          <w:tcPr>
            <w:tcW w:w="2297" w:type="pct"/>
          </w:tcPr>
          <w:p>
            <w:pPr>
              <w:rPr>
                <w:color w:val="auto"/>
                <w:highlight w:val="none"/>
              </w:rPr>
            </w:pPr>
            <w:r>
              <w:rPr>
                <w:rFonts w:hint="eastAsia"/>
                <w:color w:val="auto"/>
                <w:highlight w:val="none"/>
              </w:rPr>
              <w:t>报告明细信息查询接口规则制定，对接口传输人员编号、报告单号机构编号等字段制定检测规则，作为检测依据。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87" w:type="pct"/>
            <w:vAlign w:val="center"/>
          </w:tcPr>
          <w:p>
            <w:pPr>
              <w:jc w:val="center"/>
              <w:rPr>
                <w:color w:val="auto"/>
                <w:highlight w:val="none"/>
              </w:rPr>
            </w:pPr>
            <w:r>
              <w:rPr>
                <w:rFonts w:hint="eastAsia"/>
                <w:color w:val="auto"/>
                <w:highlight w:val="none"/>
              </w:rPr>
              <w:t>2.2.151</w:t>
            </w:r>
          </w:p>
        </w:tc>
        <w:tc>
          <w:tcPr>
            <w:tcW w:w="2014" w:type="pct"/>
            <w:vAlign w:val="center"/>
          </w:tcPr>
          <w:p>
            <w:pPr>
              <w:jc w:val="center"/>
              <w:rPr>
                <w:color w:val="auto"/>
                <w:highlight w:val="none"/>
              </w:rPr>
            </w:pPr>
            <w:r>
              <w:rPr>
                <w:rFonts w:hint="eastAsia"/>
                <w:color w:val="auto"/>
                <w:highlight w:val="none"/>
              </w:rPr>
              <w:t>解析医保电子凭证二维码接口规则制定</w:t>
            </w:r>
          </w:p>
        </w:tc>
        <w:tc>
          <w:tcPr>
            <w:tcW w:w="2297" w:type="pct"/>
          </w:tcPr>
          <w:p>
            <w:pPr>
              <w:rPr>
                <w:color w:val="auto"/>
                <w:highlight w:val="none"/>
              </w:rPr>
            </w:pPr>
            <w:r>
              <w:rPr>
                <w:rFonts w:hint="eastAsia"/>
                <w:color w:val="auto"/>
                <w:highlight w:val="none"/>
              </w:rPr>
              <w:t>解析医保电子凭证二维码接口规则制定，对接口传输机构ID、用码业务类型、用码业务信息、操作员工号、操作员姓名等字段制定检测规则，作为检测依据。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87" w:type="pct"/>
            <w:vAlign w:val="center"/>
          </w:tcPr>
          <w:p>
            <w:pPr>
              <w:jc w:val="center"/>
              <w:rPr>
                <w:color w:val="auto"/>
                <w:highlight w:val="none"/>
              </w:rPr>
            </w:pPr>
            <w:r>
              <w:rPr>
                <w:rFonts w:hint="eastAsia"/>
                <w:color w:val="auto"/>
                <w:highlight w:val="none"/>
              </w:rPr>
              <w:t>2.2.152</w:t>
            </w:r>
          </w:p>
        </w:tc>
        <w:tc>
          <w:tcPr>
            <w:tcW w:w="2014" w:type="pct"/>
            <w:vAlign w:val="center"/>
          </w:tcPr>
          <w:p>
            <w:pPr>
              <w:jc w:val="center"/>
              <w:rPr>
                <w:color w:val="auto"/>
                <w:highlight w:val="none"/>
              </w:rPr>
            </w:pPr>
            <w:r>
              <w:rPr>
                <w:rFonts w:hint="eastAsia"/>
                <w:color w:val="auto"/>
                <w:highlight w:val="none"/>
              </w:rPr>
              <w:t>费用明细上传接口规则制定</w:t>
            </w:r>
          </w:p>
        </w:tc>
        <w:tc>
          <w:tcPr>
            <w:tcW w:w="2297" w:type="pct"/>
          </w:tcPr>
          <w:p>
            <w:pPr>
              <w:rPr>
                <w:color w:val="auto"/>
                <w:highlight w:val="none"/>
              </w:rPr>
            </w:pPr>
            <w:r>
              <w:rPr>
                <w:rFonts w:hint="eastAsia"/>
                <w:color w:val="auto"/>
                <w:highlight w:val="none"/>
              </w:rPr>
              <w:t>费用明细上传接口规则制定，对接口传输机构编码、电子凭证机构号、人员编号、险种类型、医疗机构订单号等字段制定检测规则，作为检测依据。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87" w:type="pct"/>
            <w:vAlign w:val="center"/>
          </w:tcPr>
          <w:p>
            <w:pPr>
              <w:jc w:val="center"/>
              <w:rPr>
                <w:color w:val="auto"/>
                <w:highlight w:val="none"/>
              </w:rPr>
            </w:pPr>
            <w:r>
              <w:rPr>
                <w:rFonts w:hint="eastAsia"/>
                <w:color w:val="auto"/>
                <w:highlight w:val="none"/>
              </w:rPr>
              <w:t>2.2.153</w:t>
            </w:r>
          </w:p>
        </w:tc>
        <w:tc>
          <w:tcPr>
            <w:tcW w:w="2014" w:type="pct"/>
            <w:vAlign w:val="center"/>
          </w:tcPr>
          <w:p>
            <w:pPr>
              <w:jc w:val="center"/>
              <w:rPr>
                <w:color w:val="auto"/>
                <w:highlight w:val="none"/>
              </w:rPr>
            </w:pPr>
            <w:r>
              <w:rPr>
                <w:rFonts w:hint="eastAsia"/>
                <w:color w:val="auto"/>
                <w:highlight w:val="none"/>
              </w:rPr>
              <w:t>支付下单接口规则制定</w:t>
            </w:r>
          </w:p>
        </w:tc>
        <w:tc>
          <w:tcPr>
            <w:tcW w:w="2297" w:type="pct"/>
          </w:tcPr>
          <w:p>
            <w:pPr>
              <w:rPr>
                <w:color w:val="auto"/>
                <w:highlight w:val="none"/>
              </w:rPr>
            </w:pPr>
            <w:r>
              <w:rPr>
                <w:rFonts w:hint="eastAsia"/>
                <w:color w:val="auto"/>
                <w:highlight w:val="none"/>
              </w:rPr>
              <w:t>支付下单接口规则制定，对接口传输定点机构编码、业务流水号、收费批次号、费用类别等字段制定检测规则，作为检测依据。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87" w:type="pct"/>
            <w:vAlign w:val="center"/>
          </w:tcPr>
          <w:p>
            <w:pPr>
              <w:jc w:val="center"/>
              <w:rPr>
                <w:color w:val="auto"/>
                <w:highlight w:val="none"/>
              </w:rPr>
            </w:pPr>
            <w:r>
              <w:rPr>
                <w:rFonts w:hint="eastAsia"/>
                <w:color w:val="auto"/>
                <w:highlight w:val="none"/>
              </w:rPr>
              <w:t>2.2.154</w:t>
            </w:r>
          </w:p>
        </w:tc>
        <w:tc>
          <w:tcPr>
            <w:tcW w:w="2014" w:type="pct"/>
            <w:vAlign w:val="center"/>
          </w:tcPr>
          <w:p>
            <w:pPr>
              <w:jc w:val="center"/>
              <w:rPr>
                <w:color w:val="auto"/>
                <w:highlight w:val="none"/>
              </w:rPr>
            </w:pPr>
            <w:r>
              <w:rPr>
                <w:rFonts w:hint="eastAsia"/>
                <w:color w:val="auto"/>
                <w:highlight w:val="none"/>
              </w:rPr>
              <w:t>医保退费接口规则制定</w:t>
            </w:r>
          </w:p>
        </w:tc>
        <w:tc>
          <w:tcPr>
            <w:tcW w:w="2297" w:type="pct"/>
          </w:tcPr>
          <w:p>
            <w:pPr>
              <w:rPr>
                <w:color w:val="auto"/>
                <w:highlight w:val="none"/>
              </w:rPr>
            </w:pPr>
            <w:r>
              <w:rPr>
                <w:rFonts w:hint="eastAsia"/>
                <w:color w:val="auto"/>
                <w:highlight w:val="none"/>
              </w:rPr>
              <w:t>医保退费接口规则制定，对接口传输支付订单号、应用退款流水号、应用退费时间、总退费金额等字段制定检测规则，作为检测依据。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87" w:type="pct"/>
            <w:vAlign w:val="center"/>
          </w:tcPr>
          <w:p>
            <w:pPr>
              <w:jc w:val="center"/>
              <w:rPr>
                <w:color w:val="auto"/>
                <w:highlight w:val="none"/>
              </w:rPr>
            </w:pPr>
            <w:r>
              <w:rPr>
                <w:rFonts w:hint="eastAsia"/>
                <w:color w:val="auto"/>
                <w:highlight w:val="none"/>
              </w:rPr>
              <w:t>2.2.155</w:t>
            </w:r>
          </w:p>
        </w:tc>
        <w:tc>
          <w:tcPr>
            <w:tcW w:w="2014" w:type="pct"/>
            <w:vAlign w:val="center"/>
          </w:tcPr>
          <w:p>
            <w:pPr>
              <w:jc w:val="center"/>
              <w:rPr>
                <w:color w:val="auto"/>
                <w:highlight w:val="none"/>
              </w:rPr>
            </w:pPr>
            <w:r>
              <w:rPr>
                <w:rFonts w:hint="eastAsia"/>
                <w:color w:val="auto"/>
                <w:highlight w:val="none"/>
              </w:rPr>
              <w:t>医保订单信息同步接口规则制定</w:t>
            </w:r>
          </w:p>
        </w:tc>
        <w:tc>
          <w:tcPr>
            <w:tcW w:w="2297" w:type="pct"/>
          </w:tcPr>
          <w:p>
            <w:pPr>
              <w:rPr>
                <w:color w:val="auto"/>
                <w:highlight w:val="none"/>
              </w:rPr>
            </w:pPr>
            <w:r>
              <w:rPr>
                <w:rFonts w:hint="eastAsia"/>
                <w:color w:val="auto"/>
                <w:highlight w:val="none"/>
              </w:rPr>
              <w:t>医保订单信息同步接口规则制定，对接口传输支付订单号、医院订单号、费用总金额、现金自付等字段制定检测规则，作为检测依据。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87" w:type="pct"/>
            <w:vAlign w:val="center"/>
          </w:tcPr>
          <w:p>
            <w:pPr>
              <w:jc w:val="center"/>
              <w:rPr>
                <w:color w:val="auto"/>
                <w:highlight w:val="none"/>
              </w:rPr>
            </w:pPr>
            <w:r>
              <w:rPr>
                <w:rFonts w:hint="eastAsia"/>
                <w:color w:val="auto"/>
                <w:highlight w:val="none"/>
              </w:rPr>
              <w:t>2.2.156</w:t>
            </w:r>
          </w:p>
        </w:tc>
        <w:tc>
          <w:tcPr>
            <w:tcW w:w="2014" w:type="pct"/>
            <w:vAlign w:val="center"/>
          </w:tcPr>
          <w:p>
            <w:pPr>
              <w:jc w:val="center"/>
              <w:rPr>
                <w:color w:val="auto"/>
                <w:highlight w:val="none"/>
              </w:rPr>
            </w:pPr>
            <w:r>
              <w:rPr>
                <w:rFonts w:hint="eastAsia"/>
                <w:color w:val="auto"/>
                <w:highlight w:val="none"/>
              </w:rPr>
              <w:t>银行卡支付下单接口规则制定</w:t>
            </w:r>
          </w:p>
        </w:tc>
        <w:tc>
          <w:tcPr>
            <w:tcW w:w="2297" w:type="pct"/>
          </w:tcPr>
          <w:p>
            <w:pPr>
              <w:rPr>
                <w:color w:val="auto"/>
                <w:highlight w:val="none"/>
              </w:rPr>
            </w:pPr>
            <w:r>
              <w:rPr>
                <w:rFonts w:hint="eastAsia"/>
                <w:color w:val="auto"/>
                <w:highlight w:val="none"/>
              </w:rPr>
              <w:t>银行卡支付下单接口规则制定，对接口传输支付授权码、待支付订单号等字段制定检测规则，作为检测依据。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87" w:type="pct"/>
            <w:vAlign w:val="center"/>
          </w:tcPr>
          <w:p>
            <w:pPr>
              <w:jc w:val="center"/>
              <w:rPr>
                <w:color w:val="auto"/>
                <w:highlight w:val="none"/>
              </w:rPr>
            </w:pPr>
            <w:r>
              <w:rPr>
                <w:rFonts w:hint="eastAsia"/>
                <w:color w:val="auto"/>
                <w:highlight w:val="none"/>
              </w:rPr>
              <w:t>2.2.157</w:t>
            </w:r>
          </w:p>
        </w:tc>
        <w:tc>
          <w:tcPr>
            <w:tcW w:w="2014" w:type="pct"/>
            <w:vAlign w:val="center"/>
          </w:tcPr>
          <w:p>
            <w:pPr>
              <w:jc w:val="center"/>
              <w:rPr>
                <w:color w:val="auto"/>
                <w:highlight w:val="none"/>
              </w:rPr>
            </w:pPr>
            <w:r>
              <w:rPr>
                <w:rFonts w:hint="eastAsia"/>
                <w:color w:val="auto"/>
                <w:highlight w:val="none"/>
              </w:rPr>
              <w:t>医保订单结算结果查询接口规则制定</w:t>
            </w:r>
          </w:p>
        </w:tc>
        <w:tc>
          <w:tcPr>
            <w:tcW w:w="2297" w:type="pct"/>
          </w:tcPr>
          <w:p>
            <w:pPr>
              <w:rPr>
                <w:color w:val="auto"/>
                <w:highlight w:val="none"/>
              </w:rPr>
            </w:pPr>
            <w:r>
              <w:rPr>
                <w:rFonts w:hint="eastAsia"/>
                <w:color w:val="auto"/>
                <w:highlight w:val="none"/>
              </w:rPr>
              <w:t>医保订单结算结果查询接口规则制定，对接口传输证件号码、用户姓名、证件类别等字段制定检测规则，作为检测依据。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87" w:type="pct"/>
            <w:vAlign w:val="center"/>
          </w:tcPr>
          <w:p>
            <w:pPr>
              <w:jc w:val="center"/>
              <w:rPr>
                <w:color w:val="auto"/>
                <w:highlight w:val="none"/>
              </w:rPr>
            </w:pPr>
            <w:r>
              <w:rPr>
                <w:rFonts w:hint="eastAsia"/>
                <w:color w:val="auto"/>
                <w:highlight w:val="none"/>
              </w:rPr>
              <w:t>2.2.158</w:t>
            </w:r>
          </w:p>
        </w:tc>
        <w:tc>
          <w:tcPr>
            <w:tcW w:w="2014" w:type="pct"/>
            <w:vAlign w:val="center"/>
          </w:tcPr>
          <w:p>
            <w:pPr>
              <w:jc w:val="center"/>
              <w:rPr>
                <w:color w:val="auto"/>
                <w:highlight w:val="none"/>
              </w:rPr>
            </w:pPr>
            <w:r>
              <w:rPr>
                <w:rFonts w:hint="eastAsia"/>
                <w:color w:val="auto"/>
                <w:highlight w:val="none"/>
              </w:rPr>
              <w:t>医保结算结果通知接口规则制定</w:t>
            </w:r>
          </w:p>
        </w:tc>
        <w:tc>
          <w:tcPr>
            <w:tcW w:w="2297" w:type="pct"/>
          </w:tcPr>
          <w:p>
            <w:pPr>
              <w:rPr>
                <w:color w:val="auto"/>
                <w:highlight w:val="none"/>
              </w:rPr>
            </w:pPr>
            <w:r>
              <w:rPr>
                <w:rFonts w:hint="eastAsia"/>
                <w:color w:val="auto"/>
                <w:highlight w:val="none"/>
              </w:rPr>
              <w:t>医保结算结果通知接口规则制定，对接口传输支付订单号、回调类型、医院订单号、交易时间等字段制定检测规则，作为检测依据。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87" w:type="pct"/>
            <w:vAlign w:val="center"/>
          </w:tcPr>
          <w:p>
            <w:pPr>
              <w:jc w:val="center"/>
              <w:rPr>
                <w:color w:val="auto"/>
                <w:highlight w:val="none"/>
              </w:rPr>
            </w:pPr>
            <w:r>
              <w:rPr>
                <w:rFonts w:hint="eastAsia"/>
                <w:color w:val="auto"/>
                <w:highlight w:val="none"/>
              </w:rPr>
              <w:t>2.2.159</w:t>
            </w:r>
          </w:p>
        </w:tc>
        <w:tc>
          <w:tcPr>
            <w:tcW w:w="2014" w:type="pct"/>
            <w:vAlign w:val="center"/>
          </w:tcPr>
          <w:p>
            <w:pPr>
              <w:jc w:val="center"/>
              <w:rPr>
                <w:color w:val="auto"/>
                <w:highlight w:val="none"/>
              </w:rPr>
            </w:pPr>
            <w:r>
              <w:rPr>
                <w:rFonts w:hint="eastAsia"/>
                <w:color w:val="auto"/>
                <w:highlight w:val="none"/>
              </w:rPr>
              <w:t>费用明细上传撤销接口规则制定</w:t>
            </w:r>
          </w:p>
        </w:tc>
        <w:tc>
          <w:tcPr>
            <w:tcW w:w="2297" w:type="pct"/>
          </w:tcPr>
          <w:p>
            <w:pPr>
              <w:rPr>
                <w:color w:val="auto"/>
                <w:highlight w:val="none"/>
              </w:rPr>
            </w:pPr>
            <w:r>
              <w:rPr>
                <w:rFonts w:hint="eastAsia"/>
                <w:color w:val="auto"/>
                <w:highlight w:val="none"/>
              </w:rPr>
              <w:t>费用明细上传撤销接口规则制定，对接口传输证件号码、用户姓名、证件类别、扩展数据等字段制定检测规则，作为检测依据。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87" w:type="pct"/>
            <w:vAlign w:val="center"/>
          </w:tcPr>
          <w:p>
            <w:pPr>
              <w:jc w:val="center"/>
              <w:rPr>
                <w:color w:val="auto"/>
                <w:highlight w:val="none"/>
              </w:rPr>
            </w:pPr>
            <w:r>
              <w:rPr>
                <w:rFonts w:hint="eastAsia"/>
                <w:color w:val="auto"/>
                <w:highlight w:val="none"/>
              </w:rPr>
              <w:t>2.2.160</w:t>
            </w:r>
          </w:p>
        </w:tc>
        <w:tc>
          <w:tcPr>
            <w:tcW w:w="2014" w:type="pct"/>
            <w:vAlign w:val="center"/>
          </w:tcPr>
          <w:p>
            <w:pPr>
              <w:jc w:val="center"/>
              <w:rPr>
                <w:color w:val="auto"/>
                <w:highlight w:val="none"/>
              </w:rPr>
            </w:pPr>
            <w:r>
              <w:rPr>
                <w:rFonts w:hint="eastAsia"/>
                <w:color w:val="auto"/>
                <w:highlight w:val="none"/>
              </w:rPr>
              <w:t>电子处方上传预核验接口规则制定</w:t>
            </w:r>
          </w:p>
        </w:tc>
        <w:tc>
          <w:tcPr>
            <w:tcW w:w="2297" w:type="pct"/>
          </w:tcPr>
          <w:p>
            <w:pPr>
              <w:rPr>
                <w:color w:val="auto"/>
                <w:highlight w:val="none"/>
              </w:rPr>
            </w:pPr>
            <w:r>
              <w:rPr>
                <w:rFonts w:hint="eastAsia"/>
                <w:color w:val="auto"/>
                <w:highlight w:val="none"/>
              </w:rPr>
              <w:t>电子处方上传预核验接口规则制定，对接口传输就诊凭证类型、就诊凭证编号卡识别码、业务类型代码、处方附加属性代码等字段制定检测规则，作为检测依据。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87" w:type="pct"/>
            <w:vAlign w:val="center"/>
          </w:tcPr>
          <w:p>
            <w:pPr>
              <w:jc w:val="center"/>
              <w:rPr>
                <w:color w:val="auto"/>
                <w:highlight w:val="none"/>
              </w:rPr>
            </w:pPr>
            <w:r>
              <w:rPr>
                <w:rFonts w:hint="eastAsia"/>
                <w:color w:val="auto"/>
                <w:highlight w:val="none"/>
              </w:rPr>
              <w:t>2.2.161</w:t>
            </w:r>
          </w:p>
        </w:tc>
        <w:tc>
          <w:tcPr>
            <w:tcW w:w="2014" w:type="pct"/>
            <w:vAlign w:val="center"/>
          </w:tcPr>
          <w:p>
            <w:pPr>
              <w:jc w:val="center"/>
              <w:rPr>
                <w:color w:val="auto"/>
                <w:highlight w:val="none"/>
              </w:rPr>
            </w:pPr>
            <w:r>
              <w:rPr>
                <w:rFonts w:hint="eastAsia"/>
                <w:color w:val="auto"/>
                <w:highlight w:val="none"/>
              </w:rPr>
              <w:t>电子处方医保电子签名接口规则制定</w:t>
            </w:r>
          </w:p>
        </w:tc>
        <w:tc>
          <w:tcPr>
            <w:tcW w:w="2297" w:type="pct"/>
          </w:tcPr>
          <w:p>
            <w:pPr>
              <w:rPr>
                <w:color w:val="auto"/>
                <w:highlight w:val="none"/>
              </w:rPr>
            </w:pPr>
            <w:r>
              <w:rPr>
                <w:rFonts w:hint="eastAsia"/>
                <w:color w:val="auto"/>
                <w:highlight w:val="none"/>
              </w:rPr>
              <w:t>电子处方医保电子签名接口规则制定，对接口传输定点机构代码、原始待签名处方信息、原始待签名处方文件等字段制定检测规则，作为检测依据。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87" w:type="pct"/>
            <w:vAlign w:val="center"/>
          </w:tcPr>
          <w:p>
            <w:pPr>
              <w:jc w:val="center"/>
              <w:rPr>
                <w:color w:val="auto"/>
                <w:highlight w:val="none"/>
              </w:rPr>
            </w:pPr>
            <w:r>
              <w:rPr>
                <w:rFonts w:hint="eastAsia"/>
                <w:color w:val="auto"/>
                <w:highlight w:val="none"/>
              </w:rPr>
              <w:t>2.2.162</w:t>
            </w:r>
          </w:p>
        </w:tc>
        <w:tc>
          <w:tcPr>
            <w:tcW w:w="2014" w:type="pct"/>
            <w:vAlign w:val="center"/>
          </w:tcPr>
          <w:p>
            <w:pPr>
              <w:jc w:val="center"/>
              <w:rPr>
                <w:color w:val="auto"/>
                <w:highlight w:val="none"/>
              </w:rPr>
            </w:pPr>
            <w:r>
              <w:rPr>
                <w:rFonts w:hint="eastAsia"/>
                <w:color w:val="auto"/>
                <w:highlight w:val="none"/>
              </w:rPr>
              <w:t>电子处方上传接口规则制定</w:t>
            </w:r>
          </w:p>
        </w:tc>
        <w:tc>
          <w:tcPr>
            <w:tcW w:w="2297" w:type="pct"/>
          </w:tcPr>
          <w:p>
            <w:pPr>
              <w:rPr>
                <w:color w:val="auto"/>
                <w:highlight w:val="none"/>
              </w:rPr>
            </w:pPr>
            <w:r>
              <w:rPr>
                <w:rFonts w:hint="eastAsia"/>
                <w:color w:val="auto"/>
                <w:highlight w:val="none"/>
              </w:rPr>
              <w:t>电子处方上传接口规则制定，对接口传输医保处方编号、医保就诊ID、患者姓名、人员证件类型等字段制定检测规则，作为检测依据。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87" w:type="pct"/>
            <w:vAlign w:val="center"/>
          </w:tcPr>
          <w:p>
            <w:pPr>
              <w:jc w:val="center"/>
              <w:rPr>
                <w:color w:val="auto"/>
                <w:highlight w:val="none"/>
              </w:rPr>
            </w:pPr>
            <w:r>
              <w:rPr>
                <w:rFonts w:hint="eastAsia"/>
                <w:color w:val="auto"/>
                <w:highlight w:val="none"/>
              </w:rPr>
              <w:t>2.2.163</w:t>
            </w:r>
          </w:p>
        </w:tc>
        <w:tc>
          <w:tcPr>
            <w:tcW w:w="2014" w:type="pct"/>
            <w:vAlign w:val="center"/>
          </w:tcPr>
          <w:p>
            <w:pPr>
              <w:jc w:val="center"/>
              <w:rPr>
                <w:color w:val="auto"/>
                <w:highlight w:val="none"/>
              </w:rPr>
            </w:pPr>
            <w:r>
              <w:rPr>
                <w:rFonts w:hint="eastAsia"/>
                <w:color w:val="auto"/>
                <w:highlight w:val="none"/>
              </w:rPr>
              <w:t>电子处方撤销接口规则制定</w:t>
            </w:r>
          </w:p>
        </w:tc>
        <w:tc>
          <w:tcPr>
            <w:tcW w:w="2297" w:type="pct"/>
          </w:tcPr>
          <w:p>
            <w:pPr>
              <w:rPr>
                <w:color w:val="auto"/>
                <w:highlight w:val="none"/>
              </w:rPr>
            </w:pPr>
            <w:r>
              <w:rPr>
                <w:rFonts w:hint="eastAsia"/>
                <w:color w:val="auto"/>
                <w:highlight w:val="none"/>
              </w:rPr>
              <w:t>电子处方撤销接口规则制定，对接口传输医保处方编号、定点医疗机构编号、撤销医师的医保医师代码等字段制定检测规则，作为检测依据。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87" w:type="pct"/>
            <w:vAlign w:val="center"/>
          </w:tcPr>
          <w:p>
            <w:pPr>
              <w:jc w:val="center"/>
              <w:rPr>
                <w:color w:val="auto"/>
                <w:highlight w:val="none"/>
              </w:rPr>
            </w:pPr>
            <w:r>
              <w:rPr>
                <w:rFonts w:hint="eastAsia"/>
                <w:color w:val="auto"/>
                <w:highlight w:val="none"/>
              </w:rPr>
              <w:t>2.2.164</w:t>
            </w:r>
          </w:p>
        </w:tc>
        <w:tc>
          <w:tcPr>
            <w:tcW w:w="2014" w:type="pct"/>
            <w:vAlign w:val="center"/>
          </w:tcPr>
          <w:p>
            <w:pPr>
              <w:jc w:val="center"/>
              <w:rPr>
                <w:color w:val="auto"/>
                <w:highlight w:val="none"/>
              </w:rPr>
            </w:pPr>
            <w:r>
              <w:rPr>
                <w:rFonts w:hint="eastAsia"/>
                <w:color w:val="auto"/>
                <w:highlight w:val="none"/>
              </w:rPr>
              <w:t>电子处方信息查询接口规则制定</w:t>
            </w:r>
          </w:p>
        </w:tc>
        <w:tc>
          <w:tcPr>
            <w:tcW w:w="2297" w:type="pct"/>
          </w:tcPr>
          <w:p>
            <w:pPr>
              <w:rPr>
                <w:color w:val="auto"/>
                <w:highlight w:val="none"/>
              </w:rPr>
            </w:pPr>
            <w:r>
              <w:rPr>
                <w:rFonts w:hint="eastAsia"/>
                <w:color w:val="auto"/>
                <w:highlight w:val="none"/>
              </w:rPr>
              <w:t>电子处方信息查询接口规则制定，对接口传输定点医疗机构编号、医保处方号、医保就诊ID、人员名称等字段制定检测规则，作为检测依据。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87" w:type="pct"/>
            <w:vAlign w:val="center"/>
          </w:tcPr>
          <w:p>
            <w:pPr>
              <w:jc w:val="center"/>
              <w:rPr>
                <w:color w:val="auto"/>
                <w:highlight w:val="none"/>
              </w:rPr>
            </w:pPr>
            <w:r>
              <w:rPr>
                <w:rFonts w:hint="eastAsia"/>
                <w:color w:val="auto"/>
                <w:highlight w:val="none"/>
              </w:rPr>
              <w:t>2.2.165</w:t>
            </w:r>
          </w:p>
        </w:tc>
        <w:tc>
          <w:tcPr>
            <w:tcW w:w="2014" w:type="pct"/>
            <w:vAlign w:val="center"/>
          </w:tcPr>
          <w:p>
            <w:pPr>
              <w:jc w:val="center"/>
              <w:rPr>
                <w:color w:val="auto"/>
                <w:highlight w:val="none"/>
              </w:rPr>
            </w:pPr>
            <w:r>
              <w:rPr>
                <w:rFonts w:hint="eastAsia"/>
                <w:color w:val="auto"/>
                <w:highlight w:val="none"/>
              </w:rPr>
              <w:t>电子处方审核结果查询接口规则制定</w:t>
            </w:r>
          </w:p>
        </w:tc>
        <w:tc>
          <w:tcPr>
            <w:tcW w:w="2297" w:type="pct"/>
          </w:tcPr>
          <w:p>
            <w:pPr>
              <w:rPr>
                <w:color w:val="auto"/>
                <w:highlight w:val="none"/>
              </w:rPr>
            </w:pPr>
            <w:r>
              <w:rPr>
                <w:rFonts w:hint="eastAsia"/>
                <w:color w:val="auto"/>
                <w:highlight w:val="none"/>
              </w:rPr>
              <w:t>电子处方审核结果查询接口规则制定，对接口传输医保处方编号、定点医疗机构编号、医保就诊ID、人员名称、人员证件类型等字段制定检测规则，作为检测依据。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trPr>
        <w:tc>
          <w:tcPr>
            <w:tcW w:w="687" w:type="pct"/>
            <w:vAlign w:val="center"/>
          </w:tcPr>
          <w:p>
            <w:pPr>
              <w:jc w:val="center"/>
              <w:rPr>
                <w:color w:val="auto"/>
                <w:highlight w:val="none"/>
              </w:rPr>
            </w:pPr>
            <w:r>
              <w:rPr>
                <w:rFonts w:hint="eastAsia"/>
                <w:color w:val="auto"/>
                <w:highlight w:val="none"/>
              </w:rPr>
              <w:t>2.2.166</w:t>
            </w:r>
          </w:p>
        </w:tc>
        <w:tc>
          <w:tcPr>
            <w:tcW w:w="2014" w:type="pct"/>
            <w:vAlign w:val="center"/>
          </w:tcPr>
          <w:p>
            <w:pPr>
              <w:jc w:val="center"/>
              <w:rPr>
                <w:color w:val="auto"/>
                <w:highlight w:val="none"/>
              </w:rPr>
            </w:pPr>
            <w:r>
              <w:rPr>
                <w:rFonts w:hint="eastAsia"/>
                <w:color w:val="auto"/>
                <w:highlight w:val="none"/>
              </w:rPr>
              <w:t>电子处方取药结果查询接口规则制定</w:t>
            </w:r>
          </w:p>
        </w:tc>
        <w:tc>
          <w:tcPr>
            <w:tcW w:w="2297" w:type="pct"/>
          </w:tcPr>
          <w:p>
            <w:pPr>
              <w:rPr>
                <w:color w:val="auto"/>
                <w:highlight w:val="none"/>
              </w:rPr>
            </w:pPr>
            <w:r>
              <w:rPr>
                <w:rFonts w:hint="eastAsia"/>
                <w:color w:val="auto"/>
                <w:highlight w:val="none"/>
              </w:rPr>
              <w:t>电子处方取药结果查询接口规则制定，对接口传输医保处方编号、定点医疗机构编号、医保就诊ID、人员名称、人员证件类型、证件号码等字段制定检测规则，作为检测依据。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87" w:type="pct"/>
            <w:vAlign w:val="center"/>
          </w:tcPr>
          <w:p>
            <w:pPr>
              <w:jc w:val="center"/>
              <w:rPr>
                <w:color w:val="auto"/>
                <w:highlight w:val="none"/>
              </w:rPr>
            </w:pPr>
            <w:r>
              <w:rPr>
                <w:rFonts w:hint="eastAsia"/>
                <w:color w:val="auto"/>
                <w:highlight w:val="none"/>
              </w:rPr>
              <w:t>2.2.167</w:t>
            </w:r>
          </w:p>
        </w:tc>
        <w:tc>
          <w:tcPr>
            <w:tcW w:w="2014" w:type="pct"/>
            <w:vAlign w:val="center"/>
          </w:tcPr>
          <w:p>
            <w:pPr>
              <w:jc w:val="center"/>
              <w:rPr>
                <w:color w:val="auto"/>
                <w:highlight w:val="none"/>
              </w:rPr>
            </w:pPr>
            <w:r>
              <w:rPr>
                <w:rFonts w:hint="eastAsia"/>
                <w:color w:val="auto"/>
                <w:highlight w:val="none"/>
              </w:rPr>
              <w:t>电子处方审核结果通知接口规则制定</w:t>
            </w:r>
          </w:p>
        </w:tc>
        <w:tc>
          <w:tcPr>
            <w:tcW w:w="2297" w:type="pct"/>
          </w:tcPr>
          <w:p>
            <w:pPr>
              <w:rPr>
                <w:color w:val="auto"/>
                <w:highlight w:val="none"/>
              </w:rPr>
            </w:pPr>
            <w:r>
              <w:rPr>
                <w:rFonts w:hint="eastAsia"/>
                <w:color w:val="auto"/>
                <w:highlight w:val="none"/>
              </w:rPr>
              <w:t>电子处方审核结果通知接口规则制定，对接口传输医保处方编号、医保药师姓名、医保药师代码、处方审核状态代码、处方审核意见等字段制定检测规则，作为检测依据。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87" w:type="pct"/>
            <w:vAlign w:val="center"/>
          </w:tcPr>
          <w:p>
            <w:pPr>
              <w:jc w:val="center"/>
              <w:rPr>
                <w:color w:val="auto"/>
                <w:highlight w:val="none"/>
              </w:rPr>
            </w:pPr>
            <w:r>
              <w:rPr>
                <w:rFonts w:hint="eastAsia"/>
                <w:color w:val="auto"/>
                <w:highlight w:val="none"/>
              </w:rPr>
              <w:t>2.2.168</w:t>
            </w:r>
          </w:p>
        </w:tc>
        <w:tc>
          <w:tcPr>
            <w:tcW w:w="2014" w:type="pct"/>
            <w:vAlign w:val="center"/>
          </w:tcPr>
          <w:p>
            <w:pPr>
              <w:jc w:val="center"/>
              <w:rPr>
                <w:color w:val="auto"/>
                <w:highlight w:val="none"/>
              </w:rPr>
            </w:pPr>
            <w:r>
              <w:rPr>
                <w:rFonts w:hint="eastAsia"/>
                <w:color w:val="auto"/>
                <w:highlight w:val="none"/>
              </w:rPr>
              <w:t>电子处方结算结果通知接口规则制定</w:t>
            </w:r>
          </w:p>
        </w:tc>
        <w:tc>
          <w:tcPr>
            <w:tcW w:w="2297" w:type="pct"/>
          </w:tcPr>
          <w:p>
            <w:pPr>
              <w:rPr>
                <w:color w:val="auto"/>
                <w:highlight w:val="none"/>
              </w:rPr>
            </w:pPr>
            <w:r>
              <w:rPr>
                <w:rFonts w:hint="eastAsia"/>
                <w:color w:val="auto"/>
                <w:highlight w:val="none"/>
              </w:rPr>
              <w:t>电子处方结算结果通知接口规则制定，对接口传输医保处方编号、医保结算时间、医保处方状态编码、医保处方状态名称等字段制定检测规则，作为检测依据。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87" w:type="pct"/>
            <w:vAlign w:val="center"/>
          </w:tcPr>
          <w:p>
            <w:pPr>
              <w:jc w:val="center"/>
              <w:rPr>
                <w:color w:val="auto"/>
                <w:highlight w:val="none"/>
              </w:rPr>
            </w:pPr>
            <w:r>
              <w:rPr>
                <w:rFonts w:hint="eastAsia"/>
                <w:color w:val="auto"/>
                <w:highlight w:val="none"/>
              </w:rPr>
              <w:t>2.2.169</w:t>
            </w:r>
          </w:p>
        </w:tc>
        <w:tc>
          <w:tcPr>
            <w:tcW w:w="2014" w:type="pct"/>
            <w:vAlign w:val="center"/>
          </w:tcPr>
          <w:p>
            <w:pPr>
              <w:jc w:val="center"/>
              <w:rPr>
                <w:color w:val="auto"/>
                <w:highlight w:val="none"/>
              </w:rPr>
            </w:pPr>
            <w:r>
              <w:rPr>
                <w:rFonts w:hint="eastAsia"/>
                <w:color w:val="auto"/>
                <w:highlight w:val="none"/>
              </w:rPr>
              <w:t>电子处方线下流转授权接口规则制定</w:t>
            </w:r>
          </w:p>
        </w:tc>
        <w:tc>
          <w:tcPr>
            <w:tcW w:w="2297" w:type="pct"/>
          </w:tcPr>
          <w:p>
            <w:pPr>
              <w:rPr>
                <w:color w:val="auto"/>
                <w:highlight w:val="none"/>
              </w:rPr>
            </w:pPr>
            <w:r>
              <w:rPr>
                <w:rFonts w:hint="eastAsia"/>
                <w:color w:val="auto"/>
                <w:highlight w:val="none"/>
              </w:rPr>
              <w:t>电子处方线下流转授权接口规则制定，对接口传输定点医药机构编号、人员姓名、人员证件类型、证件号码、电子凭证令牌等字段制定检测规则，作为检测依据。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87" w:type="pct"/>
            <w:vAlign w:val="center"/>
          </w:tcPr>
          <w:p>
            <w:pPr>
              <w:jc w:val="center"/>
              <w:rPr>
                <w:color w:val="auto"/>
                <w:highlight w:val="none"/>
              </w:rPr>
            </w:pPr>
            <w:r>
              <w:rPr>
                <w:rFonts w:hint="eastAsia"/>
                <w:color w:val="auto"/>
                <w:highlight w:val="none"/>
              </w:rPr>
              <w:t>2.2.170</w:t>
            </w:r>
          </w:p>
        </w:tc>
        <w:tc>
          <w:tcPr>
            <w:tcW w:w="2014" w:type="pct"/>
            <w:vAlign w:val="center"/>
          </w:tcPr>
          <w:p>
            <w:pPr>
              <w:jc w:val="center"/>
              <w:rPr>
                <w:color w:val="auto"/>
                <w:highlight w:val="none"/>
              </w:rPr>
            </w:pPr>
            <w:r>
              <w:rPr>
                <w:rFonts w:hint="eastAsia"/>
                <w:color w:val="auto"/>
                <w:highlight w:val="none"/>
              </w:rPr>
              <w:t>电子处方线上流转查询接口规则制</w:t>
            </w:r>
          </w:p>
        </w:tc>
        <w:tc>
          <w:tcPr>
            <w:tcW w:w="2297" w:type="pct"/>
          </w:tcPr>
          <w:p>
            <w:pPr>
              <w:rPr>
                <w:color w:val="auto"/>
                <w:highlight w:val="none"/>
              </w:rPr>
            </w:pPr>
            <w:r>
              <w:rPr>
                <w:rFonts w:hint="eastAsia"/>
                <w:color w:val="auto"/>
                <w:highlight w:val="none"/>
              </w:rPr>
              <w:t>电子处方线上流转查询接口规则制定，对接口传输医保处方编号、定点医药机构编号、线上流转授权业务流水号等字段制定检测规则，作为检测依据。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87" w:type="pct"/>
            <w:vAlign w:val="center"/>
          </w:tcPr>
          <w:p>
            <w:pPr>
              <w:jc w:val="center"/>
              <w:rPr>
                <w:color w:val="auto"/>
                <w:highlight w:val="none"/>
              </w:rPr>
            </w:pPr>
            <w:r>
              <w:rPr>
                <w:rFonts w:hint="eastAsia"/>
                <w:color w:val="auto"/>
                <w:highlight w:val="none"/>
              </w:rPr>
              <w:t>2.2.171</w:t>
            </w:r>
          </w:p>
        </w:tc>
        <w:tc>
          <w:tcPr>
            <w:tcW w:w="2014" w:type="pct"/>
            <w:vAlign w:val="center"/>
          </w:tcPr>
          <w:p>
            <w:pPr>
              <w:jc w:val="center"/>
              <w:rPr>
                <w:color w:val="auto"/>
                <w:highlight w:val="none"/>
              </w:rPr>
            </w:pPr>
            <w:r>
              <w:rPr>
                <w:rFonts w:hint="eastAsia"/>
                <w:color w:val="auto"/>
                <w:highlight w:val="none"/>
              </w:rPr>
              <w:t>电子处方二维码解码接口规则制定</w:t>
            </w:r>
          </w:p>
        </w:tc>
        <w:tc>
          <w:tcPr>
            <w:tcW w:w="2297" w:type="pct"/>
          </w:tcPr>
          <w:p>
            <w:pPr>
              <w:rPr>
                <w:color w:val="auto"/>
                <w:highlight w:val="none"/>
              </w:rPr>
            </w:pPr>
            <w:r>
              <w:rPr>
                <w:rFonts w:hint="eastAsia"/>
                <w:color w:val="auto"/>
                <w:highlight w:val="none"/>
              </w:rPr>
              <w:t>电子处方二维码解码接口规则制定，对接口传输电子处方二维码码值、定点医药机构编号、终端信息、终端IP等字段制定检测规则，作为检测依据。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87" w:type="pct"/>
            <w:vAlign w:val="center"/>
          </w:tcPr>
          <w:p>
            <w:pPr>
              <w:jc w:val="center"/>
              <w:rPr>
                <w:color w:val="auto"/>
                <w:highlight w:val="none"/>
              </w:rPr>
            </w:pPr>
            <w:r>
              <w:rPr>
                <w:rFonts w:hint="eastAsia"/>
                <w:color w:val="auto"/>
                <w:highlight w:val="none"/>
              </w:rPr>
              <w:t>2.2.172</w:t>
            </w:r>
          </w:p>
        </w:tc>
        <w:tc>
          <w:tcPr>
            <w:tcW w:w="2014" w:type="pct"/>
            <w:vAlign w:val="center"/>
          </w:tcPr>
          <w:p>
            <w:pPr>
              <w:jc w:val="center"/>
              <w:rPr>
                <w:color w:val="auto"/>
                <w:highlight w:val="none"/>
              </w:rPr>
            </w:pPr>
            <w:r>
              <w:rPr>
                <w:rFonts w:hint="eastAsia"/>
                <w:color w:val="auto"/>
                <w:highlight w:val="none"/>
              </w:rPr>
              <w:t>电子处方下载接口规则制定</w:t>
            </w:r>
          </w:p>
        </w:tc>
        <w:tc>
          <w:tcPr>
            <w:tcW w:w="2297" w:type="pct"/>
          </w:tcPr>
          <w:p>
            <w:pPr>
              <w:rPr>
                <w:color w:val="auto"/>
                <w:highlight w:val="none"/>
              </w:rPr>
            </w:pPr>
            <w:r>
              <w:rPr>
                <w:rFonts w:hint="eastAsia"/>
                <w:color w:val="auto"/>
                <w:highlight w:val="none"/>
              </w:rPr>
              <w:t>电子处方下载接口规则制定，对接口传输电子处方令牌、医保处方授权编号、定点医药机构编号、终端信息、终端IP等字段制定检测规则，作为检测依据。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87" w:type="pct"/>
            <w:vAlign w:val="center"/>
          </w:tcPr>
          <w:p>
            <w:pPr>
              <w:jc w:val="center"/>
              <w:rPr>
                <w:color w:val="auto"/>
                <w:highlight w:val="none"/>
              </w:rPr>
            </w:pPr>
            <w:r>
              <w:rPr>
                <w:rFonts w:hint="eastAsia"/>
                <w:color w:val="auto"/>
                <w:highlight w:val="none"/>
              </w:rPr>
              <w:t>2.2.173</w:t>
            </w:r>
          </w:p>
        </w:tc>
        <w:tc>
          <w:tcPr>
            <w:tcW w:w="2014" w:type="pct"/>
            <w:vAlign w:val="center"/>
          </w:tcPr>
          <w:p>
            <w:pPr>
              <w:jc w:val="center"/>
              <w:rPr>
                <w:color w:val="auto"/>
                <w:highlight w:val="none"/>
              </w:rPr>
            </w:pPr>
            <w:r>
              <w:rPr>
                <w:rFonts w:hint="eastAsia"/>
                <w:color w:val="auto"/>
                <w:highlight w:val="none"/>
              </w:rPr>
              <w:t>电子处方审核信息上传接口规则制定</w:t>
            </w:r>
          </w:p>
        </w:tc>
        <w:tc>
          <w:tcPr>
            <w:tcW w:w="2297" w:type="pct"/>
          </w:tcPr>
          <w:p>
            <w:pPr>
              <w:rPr>
                <w:color w:val="auto"/>
                <w:highlight w:val="none"/>
              </w:rPr>
            </w:pPr>
            <w:r>
              <w:rPr>
                <w:rFonts w:hint="eastAsia"/>
                <w:color w:val="auto"/>
                <w:highlight w:val="none"/>
              </w:rPr>
              <w:t>电子处方审核信息上传接口规则制定，对接口传输医保处方编号、电子处方令牌、审方药师电子凭证令牌、定点医药机构编号等字段制定检测规则，作为检测依据。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trPr>
        <w:tc>
          <w:tcPr>
            <w:tcW w:w="687" w:type="pct"/>
            <w:vAlign w:val="center"/>
          </w:tcPr>
          <w:p>
            <w:pPr>
              <w:jc w:val="center"/>
              <w:rPr>
                <w:color w:val="auto"/>
                <w:highlight w:val="none"/>
              </w:rPr>
            </w:pPr>
            <w:r>
              <w:rPr>
                <w:rFonts w:hint="eastAsia"/>
                <w:color w:val="auto"/>
                <w:highlight w:val="none"/>
              </w:rPr>
              <w:t>2.2.174</w:t>
            </w:r>
          </w:p>
        </w:tc>
        <w:tc>
          <w:tcPr>
            <w:tcW w:w="2014" w:type="pct"/>
            <w:vAlign w:val="center"/>
          </w:tcPr>
          <w:p>
            <w:pPr>
              <w:jc w:val="center"/>
              <w:rPr>
                <w:color w:val="auto"/>
                <w:highlight w:val="none"/>
              </w:rPr>
            </w:pPr>
            <w:r>
              <w:rPr>
                <w:rFonts w:hint="eastAsia"/>
                <w:color w:val="auto"/>
                <w:highlight w:val="none"/>
              </w:rPr>
              <w:t>药品销售出库明细上传接口规则制定</w:t>
            </w:r>
          </w:p>
        </w:tc>
        <w:tc>
          <w:tcPr>
            <w:tcW w:w="2297" w:type="pct"/>
          </w:tcPr>
          <w:p>
            <w:pPr>
              <w:rPr>
                <w:color w:val="auto"/>
                <w:highlight w:val="none"/>
              </w:rPr>
            </w:pPr>
            <w:r>
              <w:rPr>
                <w:rFonts w:hint="eastAsia"/>
                <w:color w:val="auto"/>
                <w:highlight w:val="none"/>
              </w:rPr>
              <w:t>药品销售出库明细上传接口规则制定，对接口传输医保处方编号、定点医药机构编号、定点医药机构名称、复核药师证件类型、复核药师证件编号等字段制定检测规则，作为检测依据。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87" w:type="pct"/>
            <w:vAlign w:val="center"/>
          </w:tcPr>
          <w:p>
            <w:pPr>
              <w:jc w:val="center"/>
              <w:rPr>
                <w:color w:val="auto"/>
                <w:highlight w:val="none"/>
              </w:rPr>
            </w:pPr>
            <w:r>
              <w:rPr>
                <w:rFonts w:hint="eastAsia"/>
                <w:color w:val="auto"/>
                <w:highlight w:val="none"/>
              </w:rPr>
              <w:t>2.2.175</w:t>
            </w:r>
          </w:p>
        </w:tc>
        <w:tc>
          <w:tcPr>
            <w:tcW w:w="2014" w:type="pct"/>
            <w:vAlign w:val="center"/>
          </w:tcPr>
          <w:p>
            <w:pPr>
              <w:jc w:val="center"/>
              <w:rPr>
                <w:color w:val="auto"/>
                <w:highlight w:val="none"/>
              </w:rPr>
            </w:pPr>
            <w:r>
              <w:rPr>
                <w:rFonts w:hint="eastAsia"/>
                <w:color w:val="auto"/>
                <w:highlight w:val="none"/>
              </w:rPr>
              <w:t>药品销售出库明细撤销接口规则制定</w:t>
            </w:r>
          </w:p>
        </w:tc>
        <w:tc>
          <w:tcPr>
            <w:tcW w:w="2297" w:type="pct"/>
          </w:tcPr>
          <w:p>
            <w:pPr>
              <w:rPr>
                <w:color w:val="auto"/>
                <w:highlight w:val="none"/>
              </w:rPr>
            </w:pPr>
            <w:r>
              <w:rPr>
                <w:rFonts w:hint="eastAsia"/>
                <w:color w:val="auto"/>
                <w:highlight w:val="none"/>
              </w:rPr>
              <w:t>药品销售出库明细撤销接口规则制定，对接口传输医保处方编号、定点医药机构编号、医疗保险结算标志位、销售出库流水号等字段制定检测规则，作为检测依据。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87" w:type="pct"/>
            <w:vAlign w:val="center"/>
          </w:tcPr>
          <w:p>
            <w:pPr>
              <w:jc w:val="center"/>
              <w:rPr>
                <w:color w:val="auto"/>
                <w:highlight w:val="none"/>
              </w:rPr>
            </w:pPr>
            <w:r>
              <w:rPr>
                <w:rFonts w:hint="eastAsia"/>
                <w:color w:val="auto"/>
                <w:highlight w:val="none"/>
              </w:rPr>
              <w:t>2.2.176</w:t>
            </w:r>
          </w:p>
        </w:tc>
        <w:tc>
          <w:tcPr>
            <w:tcW w:w="2014" w:type="pct"/>
            <w:vAlign w:val="center"/>
          </w:tcPr>
          <w:p>
            <w:pPr>
              <w:jc w:val="center"/>
              <w:rPr>
                <w:color w:val="auto"/>
                <w:highlight w:val="none"/>
              </w:rPr>
            </w:pPr>
            <w:r>
              <w:rPr>
                <w:rFonts w:hint="eastAsia"/>
                <w:color w:val="auto"/>
                <w:highlight w:val="none"/>
              </w:rPr>
              <w:t>药品配送信息同步接口规则制定</w:t>
            </w:r>
          </w:p>
        </w:tc>
        <w:tc>
          <w:tcPr>
            <w:tcW w:w="2297" w:type="pct"/>
          </w:tcPr>
          <w:p>
            <w:pPr>
              <w:rPr>
                <w:color w:val="auto"/>
                <w:highlight w:val="none"/>
              </w:rPr>
            </w:pPr>
            <w:r>
              <w:rPr>
                <w:rFonts w:hint="eastAsia"/>
                <w:color w:val="auto"/>
                <w:highlight w:val="none"/>
              </w:rPr>
              <w:t>药品配送信息同步接口规则制定，对接口传输医保处方编号、配送单业务编号、配送地址、配送距离等字段制定检测规则，作为检测依据。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87" w:type="pct"/>
            <w:vAlign w:val="center"/>
          </w:tcPr>
          <w:p>
            <w:pPr>
              <w:jc w:val="center"/>
              <w:rPr>
                <w:color w:val="auto"/>
                <w:highlight w:val="none"/>
              </w:rPr>
            </w:pPr>
            <w:r>
              <w:rPr>
                <w:rFonts w:hint="eastAsia"/>
                <w:color w:val="auto"/>
                <w:highlight w:val="none"/>
              </w:rPr>
              <w:t>2.2.177</w:t>
            </w:r>
          </w:p>
        </w:tc>
        <w:tc>
          <w:tcPr>
            <w:tcW w:w="2014" w:type="pct"/>
            <w:vAlign w:val="center"/>
          </w:tcPr>
          <w:p>
            <w:pPr>
              <w:jc w:val="center"/>
              <w:rPr>
                <w:color w:val="auto"/>
                <w:highlight w:val="none"/>
              </w:rPr>
            </w:pPr>
            <w:r>
              <w:rPr>
                <w:rFonts w:hint="eastAsia"/>
                <w:color w:val="auto"/>
                <w:highlight w:val="none"/>
              </w:rPr>
              <w:t>药品配送签收确认接口规则制定</w:t>
            </w:r>
          </w:p>
        </w:tc>
        <w:tc>
          <w:tcPr>
            <w:tcW w:w="2297" w:type="pct"/>
          </w:tcPr>
          <w:p>
            <w:pPr>
              <w:rPr>
                <w:color w:val="auto"/>
                <w:highlight w:val="none"/>
              </w:rPr>
            </w:pPr>
            <w:r>
              <w:rPr>
                <w:rFonts w:hint="eastAsia"/>
                <w:color w:val="auto"/>
                <w:highlight w:val="none"/>
              </w:rPr>
              <w:t>药品配送签收确认接口规则制定，对接口传输医保处方编号、配送单业务编号、状态描述、配送员证件类型、配送员证件编号等字段制定检测规则，作为检测依据。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87" w:type="pct"/>
            <w:vAlign w:val="center"/>
          </w:tcPr>
          <w:p>
            <w:pPr>
              <w:jc w:val="center"/>
              <w:rPr>
                <w:color w:val="auto"/>
                <w:highlight w:val="none"/>
              </w:rPr>
            </w:pPr>
            <w:r>
              <w:rPr>
                <w:rFonts w:hint="eastAsia"/>
                <w:color w:val="auto"/>
                <w:highlight w:val="none"/>
              </w:rPr>
              <w:t>2.2.178</w:t>
            </w:r>
          </w:p>
        </w:tc>
        <w:tc>
          <w:tcPr>
            <w:tcW w:w="2014" w:type="pct"/>
            <w:vAlign w:val="center"/>
          </w:tcPr>
          <w:p>
            <w:pPr>
              <w:jc w:val="center"/>
              <w:rPr>
                <w:color w:val="auto"/>
                <w:highlight w:val="none"/>
              </w:rPr>
            </w:pPr>
            <w:r>
              <w:rPr>
                <w:rFonts w:hint="eastAsia"/>
                <w:color w:val="auto"/>
                <w:highlight w:val="none"/>
              </w:rPr>
              <w:t>电子处方药品目录查询接口规则制定</w:t>
            </w:r>
          </w:p>
        </w:tc>
        <w:tc>
          <w:tcPr>
            <w:tcW w:w="2297" w:type="pct"/>
          </w:tcPr>
          <w:p>
            <w:pPr>
              <w:rPr>
                <w:color w:val="auto"/>
                <w:highlight w:val="none"/>
              </w:rPr>
            </w:pPr>
            <w:r>
              <w:rPr>
                <w:rFonts w:hint="eastAsia"/>
                <w:color w:val="auto"/>
                <w:highlight w:val="none"/>
              </w:rPr>
              <w:t>电子处方药品目录查询接口规则制定，对接口传输定点医药机构编号、医疗目录编码、医疗目录编码列表、医疗目录药品名称等字段制定检测规则，作为检测依据。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87" w:type="pct"/>
            <w:vAlign w:val="center"/>
          </w:tcPr>
          <w:p>
            <w:pPr>
              <w:jc w:val="center"/>
              <w:rPr>
                <w:color w:val="auto"/>
                <w:highlight w:val="none"/>
              </w:rPr>
            </w:pPr>
            <w:r>
              <w:rPr>
                <w:rFonts w:hint="eastAsia"/>
                <w:color w:val="auto"/>
                <w:highlight w:val="none"/>
              </w:rPr>
              <w:t>2.2.179</w:t>
            </w:r>
          </w:p>
        </w:tc>
        <w:tc>
          <w:tcPr>
            <w:tcW w:w="2014" w:type="pct"/>
            <w:vAlign w:val="center"/>
          </w:tcPr>
          <w:p>
            <w:pPr>
              <w:jc w:val="center"/>
              <w:rPr>
                <w:color w:val="auto"/>
                <w:highlight w:val="none"/>
              </w:rPr>
            </w:pPr>
            <w:r>
              <w:rPr>
                <w:rFonts w:hint="eastAsia"/>
                <w:color w:val="auto"/>
                <w:highlight w:val="none"/>
              </w:rPr>
              <w:t>签到接口规则制定</w:t>
            </w:r>
          </w:p>
        </w:tc>
        <w:tc>
          <w:tcPr>
            <w:tcW w:w="2297" w:type="pct"/>
          </w:tcPr>
          <w:p>
            <w:pPr>
              <w:rPr>
                <w:color w:val="auto"/>
                <w:highlight w:val="none"/>
              </w:rPr>
            </w:pPr>
            <w:r>
              <w:rPr>
                <w:rFonts w:hint="eastAsia"/>
                <w:color w:val="auto"/>
                <w:highlight w:val="none"/>
              </w:rPr>
              <w:t>签到接口规则制定，对接口传输操作员编号、签到MAC地址、签到IP地址等字段制定检测规则，作为检测依据。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87" w:type="pct"/>
            <w:vAlign w:val="center"/>
          </w:tcPr>
          <w:p>
            <w:pPr>
              <w:jc w:val="center"/>
              <w:rPr>
                <w:color w:val="auto"/>
                <w:highlight w:val="none"/>
              </w:rPr>
            </w:pPr>
            <w:r>
              <w:rPr>
                <w:rFonts w:hint="eastAsia"/>
                <w:color w:val="auto"/>
                <w:highlight w:val="none"/>
              </w:rPr>
              <w:t>2.2.180</w:t>
            </w:r>
          </w:p>
        </w:tc>
        <w:tc>
          <w:tcPr>
            <w:tcW w:w="2014" w:type="pct"/>
            <w:vAlign w:val="center"/>
          </w:tcPr>
          <w:p>
            <w:pPr>
              <w:jc w:val="center"/>
              <w:rPr>
                <w:color w:val="auto"/>
                <w:highlight w:val="none"/>
              </w:rPr>
            </w:pPr>
            <w:r>
              <w:rPr>
                <w:rFonts w:hint="eastAsia"/>
                <w:color w:val="auto"/>
                <w:highlight w:val="none"/>
              </w:rPr>
              <w:t>签退接口规则制定</w:t>
            </w:r>
          </w:p>
        </w:tc>
        <w:tc>
          <w:tcPr>
            <w:tcW w:w="2297" w:type="pct"/>
          </w:tcPr>
          <w:p>
            <w:pPr>
              <w:rPr>
                <w:color w:val="auto"/>
                <w:highlight w:val="none"/>
              </w:rPr>
            </w:pPr>
            <w:r>
              <w:rPr>
                <w:rFonts w:hint="eastAsia"/>
                <w:color w:val="auto"/>
                <w:highlight w:val="none"/>
              </w:rPr>
              <w:t>签退接口规则制定，对接口传输签到编号、操作员编号等字段制定检测规则，作为检测依据。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87" w:type="pct"/>
            <w:vAlign w:val="center"/>
          </w:tcPr>
          <w:p>
            <w:pPr>
              <w:jc w:val="center"/>
              <w:rPr>
                <w:color w:val="auto"/>
                <w:highlight w:val="none"/>
              </w:rPr>
            </w:pPr>
            <w:r>
              <w:rPr>
                <w:rFonts w:hint="eastAsia"/>
                <w:color w:val="auto"/>
                <w:highlight w:val="none"/>
              </w:rPr>
              <w:t>2.2.181</w:t>
            </w:r>
          </w:p>
        </w:tc>
        <w:tc>
          <w:tcPr>
            <w:tcW w:w="2014" w:type="pct"/>
            <w:vAlign w:val="center"/>
          </w:tcPr>
          <w:p>
            <w:pPr>
              <w:jc w:val="center"/>
              <w:rPr>
                <w:color w:val="auto"/>
                <w:highlight w:val="none"/>
              </w:rPr>
            </w:pPr>
            <w:r>
              <w:rPr>
                <w:rFonts w:hint="eastAsia"/>
                <w:color w:val="auto"/>
                <w:highlight w:val="none"/>
              </w:rPr>
              <w:t>文件上传接口规则制定</w:t>
            </w:r>
          </w:p>
        </w:tc>
        <w:tc>
          <w:tcPr>
            <w:tcW w:w="2297" w:type="pct"/>
          </w:tcPr>
          <w:p>
            <w:pPr>
              <w:rPr>
                <w:color w:val="auto"/>
                <w:highlight w:val="none"/>
              </w:rPr>
            </w:pPr>
            <w:r>
              <w:rPr>
                <w:rFonts w:hint="eastAsia"/>
                <w:color w:val="auto"/>
                <w:highlight w:val="none"/>
              </w:rPr>
              <w:t>文件上传接口规则制定，对接口传输文件数据、文件名、医药机构编号等字段制定检测规则，作为检测依据。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87" w:type="pct"/>
            <w:vAlign w:val="center"/>
          </w:tcPr>
          <w:p>
            <w:pPr>
              <w:jc w:val="center"/>
              <w:rPr>
                <w:color w:val="auto"/>
                <w:highlight w:val="none"/>
              </w:rPr>
            </w:pPr>
            <w:r>
              <w:rPr>
                <w:rFonts w:hint="eastAsia"/>
                <w:color w:val="auto"/>
                <w:highlight w:val="none"/>
              </w:rPr>
              <w:t>2.2.182</w:t>
            </w:r>
          </w:p>
        </w:tc>
        <w:tc>
          <w:tcPr>
            <w:tcW w:w="2014" w:type="pct"/>
            <w:vAlign w:val="center"/>
          </w:tcPr>
          <w:p>
            <w:pPr>
              <w:jc w:val="center"/>
              <w:rPr>
                <w:color w:val="auto"/>
                <w:highlight w:val="none"/>
              </w:rPr>
            </w:pPr>
            <w:r>
              <w:rPr>
                <w:rFonts w:hint="eastAsia"/>
                <w:color w:val="auto"/>
                <w:highlight w:val="none"/>
              </w:rPr>
              <w:t>文件下载接口规则制定</w:t>
            </w:r>
          </w:p>
        </w:tc>
        <w:tc>
          <w:tcPr>
            <w:tcW w:w="2297" w:type="pct"/>
          </w:tcPr>
          <w:p>
            <w:pPr>
              <w:rPr>
                <w:color w:val="auto"/>
                <w:highlight w:val="none"/>
              </w:rPr>
            </w:pPr>
            <w:r>
              <w:rPr>
                <w:rFonts w:hint="eastAsia"/>
                <w:color w:val="auto"/>
                <w:highlight w:val="none"/>
              </w:rPr>
              <w:t>文件下载接口规则制定，对接口传输文件查询号、文件名、医药机构编号等字段制定检测规则，作为检测依据。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trPr>
        <w:tc>
          <w:tcPr>
            <w:tcW w:w="687" w:type="pct"/>
            <w:vAlign w:val="center"/>
          </w:tcPr>
          <w:p>
            <w:pPr>
              <w:jc w:val="center"/>
              <w:rPr>
                <w:color w:val="auto"/>
                <w:highlight w:val="none"/>
              </w:rPr>
            </w:pPr>
            <w:r>
              <w:rPr>
                <w:rFonts w:hint="eastAsia"/>
                <w:color w:val="auto"/>
                <w:highlight w:val="none"/>
              </w:rPr>
              <w:t>2.2.183</w:t>
            </w:r>
          </w:p>
        </w:tc>
        <w:tc>
          <w:tcPr>
            <w:tcW w:w="2014" w:type="pct"/>
            <w:vAlign w:val="center"/>
          </w:tcPr>
          <w:p>
            <w:pPr>
              <w:jc w:val="center"/>
              <w:rPr>
                <w:color w:val="auto"/>
                <w:highlight w:val="none"/>
              </w:rPr>
            </w:pPr>
            <w:r>
              <w:rPr>
                <w:rFonts w:hint="eastAsia"/>
                <w:color w:val="auto"/>
                <w:highlight w:val="none"/>
              </w:rPr>
              <w:t>查询电子结算凭证状态接口规则制定</w:t>
            </w:r>
          </w:p>
        </w:tc>
        <w:tc>
          <w:tcPr>
            <w:tcW w:w="2297" w:type="pct"/>
          </w:tcPr>
          <w:p>
            <w:pPr>
              <w:rPr>
                <w:color w:val="auto"/>
                <w:highlight w:val="none"/>
              </w:rPr>
            </w:pPr>
            <w:r>
              <w:rPr>
                <w:rFonts w:hint="eastAsia"/>
                <w:color w:val="auto"/>
                <w:highlight w:val="none"/>
              </w:rPr>
              <w:t>查询电子结算凭证状态接口规则制定，对接口传输定点医疗机构编号、定点医疗机构名称、电子结算凭证代码、电子结算凭证号码、电子结算凭证校验码等字段制定检测规则，作为检测依据。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trPr>
        <w:tc>
          <w:tcPr>
            <w:tcW w:w="687" w:type="pct"/>
            <w:vAlign w:val="center"/>
          </w:tcPr>
          <w:p>
            <w:pPr>
              <w:jc w:val="center"/>
              <w:rPr>
                <w:color w:val="auto"/>
                <w:highlight w:val="none"/>
              </w:rPr>
            </w:pPr>
            <w:r>
              <w:rPr>
                <w:rFonts w:hint="eastAsia"/>
                <w:color w:val="auto"/>
                <w:highlight w:val="none"/>
              </w:rPr>
              <w:t>2.2.184</w:t>
            </w:r>
          </w:p>
        </w:tc>
        <w:tc>
          <w:tcPr>
            <w:tcW w:w="2014" w:type="pct"/>
            <w:vAlign w:val="center"/>
          </w:tcPr>
          <w:p>
            <w:pPr>
              <w:jc w:val="center"/>
              <w:rPr>
                <w:color w:val="auto"/>
                <w:highlight w:val="none"/>
              </w:rPr>
            </w:pPr>
            <w:r>
              <w:rPr>
                <w:rFonts w:hint="eastAsia"/>
                <w:color w:val="auto"/>
                <w:highlight w:val="none"/>
              </w:rPr>
              <w:t>医疗机构上传电子结算凭证接口规则制定</w:t>
            </w:r>
          </w:p>
        </w:tc>
        <w:tc>
          <w:tcPr>
            <w:tcW w:w="2297" w:type="pct"/>
          </w:tcPr>
          <w:p>
            <w:pPr>
              <w:rPr>
                <w:color w:val="auto"/>
                <w:highlight w:val="none"/>
              </w:rPr>
            </w:pPr>
            <w:r>
              <w:rPr>
                <w:rFonts w:hint="eastAsia"/>
                <w:color w:val="auto"/>
                <w:highlight w:val="none"/>
              </w:rPr>
              <w:t>医疗机构上传电子结算凭证接口规则制定，对接口传输票据信息、电子结算凭证代码、电子结算凭证号码、电子结算凭证校验码、电子结算凭证类型等字段制定检测规则，作为检测依据。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87" w:type="pct"/>
            <w:vAlign w:val="center"/>
          </w:tcPr>
          <w:p>
            <w:pPr>
              <w:jc w:val="center"/>
              <w:rPr>
                <w:color w:val="auto"/>
                <w:highlight w:val="none"/>
              </w:rPr>
            </w:pPr>
            <w:r>
              <w:rPr>
                <w:rFonts w:hint="eastAsia"/>
                <w:color w:val="auto"/>
                <w:highlight w:val="none"/>
              </w:rPr>
              <w:t>2.2.185</w:t>
            </w:r>
          </w:p>
        </w:tc>
        <w:tc>
          <w:tcPr>
            <w:tcW w:w="2014" w:type="pct"/>
            <w:vAlign w:val="center"/>
          </w:tcPr>
          <w:p>
            <w:pPr>
              <w:jc w:val="center"/>
              <w:rPr>
                <w:color w:val="auto"/>
                <w:highlight w:val="none"/>
              </w:rPr>
            </w:pPr>
            <w:r>
              <w:rPr>
                <w:rFonts w:hint="eastAsia"/>
                <w:color w:val="auto"/>
                <w:highlight w:val="none"/>
              </w:rPr>
              <w:t>查询医疗机构电子结算凭证上传结果接口规则制定</w:t>
            </w:r>
          </w:p>
        </w:tc>
        <w:tc>
          <w:tcPr>
            <w:tcW w:w="2297" w:type="pct"/>
          </w:tcPr>
          <w:p>
            <w:pPr>
              <w:rPr>
                <w:color w:val="auto"/>
                <w:highlight w:val="none"/>
              </w:rPr>
            </w:pPr>
            <w:r>
              <w:rPr>
                <w:rFonts w:hint="eastAsia"/>
                <w:color w:val="auto"/>
                <w:highlight w:val="none"/>
              </w:rPr>
              <w:t>查询医疗机构电子结算凭证上传结果接口规则制定，对接口传输定点医疗机构编号、定点医疗机构名称、业务区间、上传批次号等字段制定检测规则，作为检测依据。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trPr>
        <w:tc>
          <w:tcPr>
            <w:tcW w:w="687" w:type="pct"/>
            <w:vAlign w:val="center"/>
          </w:tcPr>
          <w:p>
            <w:pPr>
              <w:jc w:val="center"/>
              <w:rPr>
                <w:color w:val="auto"/>
                <w:highlight w:val="none"/>
              </w:rPr>
            </w:pPr>
            <w:r>
              <w:rPr>
                <w:rFonts w:hint="eastAsia"/>
                <w:color w:val="auto"/>
                <w:highlight w:val="none"/>
              </w:rPr>
              <w:t>2.2.186</w:t>
            </w:r>
          </w:p>
        </w:tc>
        <w:tc>
          <w:tcPr>
            <w:tcW w:w="2014" w:type="pct"/>
            <w:vAlign w:val="center"/>
          </w:tcPr>
          <w:p>
            <w:pPr>
              <w:jc w:val="center"/>
              <w:rPr>
                <w:color w:val="auto"/>
                <w:highlight w:val="none"/>
              </w:rPr>
            </w:pPr>
            <w:r>
              <w:rPr>
                <w:rFonts w:hint="eastAsia"/>
                <w:color w:val="auto"/>
                <w:highlight w:val="none"/>
              </w:rPr>
              <w:t>医疗机构上传电子结算凭证基本信息接口规则制定</w:t>
            </w:r>
          </w:p>
        </w:tc>
        <w:tc>
          <w:tcPr>
            <w:tcW w:w="2297" w:type="pct"/>
          </w:tcPr>
          <w:p>
            <w:pPr>
              <w:rPr>
                <w:color w:val="auto"/>
                <w:highlight w:val="none"/>
              </w:rPr>
            </w:pPr>
            <w:r>
              <w:rPr>
                <w:rFonts w:hint="eastAsia"/>
                <w:color w:val="auto"/>
                <w:highlight w:val="none"/>
              </w:rPr>
              <w:t>医疗机构上传电子结算凭证基本信息接口规则制定，对接口传输票据信息、电子结算凭证代码、电子结算凭证号码、电子结算凭证校验码等字段制定检测规则，作为检测依据。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trPr>
        <w:tc>
          <w:tcPr>
            <w:tcW w:w="687" w:type="pct"/>
            <w:vAlign w:val="center"/>
          </w:tcPr>
          <w:p>
            <w:pPr>
              <w:jc w:val="center"/>
              <w:rPr>
                <w:color w:val="auto"/>
                <w:highlight w:val="none"/>
              </w:rPr>
            </w:pPr>
            <w:r>
              <w:rPr>
                <w:rFonts w:hint="eastAsia"/>
                <w:color w:val="auto"/>
                <w:highlight w:val="none"/>
              </w:rPr>
              <w:t>2.2.187</w:t>
            </w:r>
          </w:p>
        </w:tc>
        <w:tc>
          <w:tcPr>
            <w:tcW w:w="2014" w:type="pct"/>
            <w:vAlign w:val="center"/>
          </w:tcPr>
          <w:p>
            <w:pPr>
              <w:jc w:val="center"/>
              <w:rPr>
                <w:color w:val="auto"/>
                <w:highlight w:val="none"/>
              </w:rPr>
            </w:pPr>
            <w:r>
              <w:rPr>
                <w:rFonts w:hint="eastAsia"/>
                <w:color w:val="auto"/>
                <w:highlight w:val="none"/>
              </w:rPr>
              <w:t>查询医疗机构电子结算凭证基本信息上传结果接口规则制定</w:t>
            </w:r>
          </w:p>
        </w:tc>
        <w:tc>
          <w:tcPr>
            <w:tcW w:w="2297" w:type="pct"/>
          </w:tcPr>
          <w:p>
            <w:pPr>
              <w:rPr>
                <w:color w:val="auto"/>
                <w:highlight w:val="none"/>
              </w:rPr>
            </w:pPr>
            <w:r>
              <w:rPr>
                <w:rFonts w:hint="eastAsia"/>
                <w:color w:val="auto"/>
                <w:highlight w:val="none"/>
              </w:rPr>
              <w:t>查询医疗机构电子结算凭证基本信息上传结果接口规则制定，对接口传输定点医疗机构编号、定点医疗机构名称、业务区间、上传批次号等字段制定检测规则，作为检测依据。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87" w:type="pct"/>
            <w:vAlign w:val="center"/>
          </w:tcPr>
          <w:p>
            <w:pPr>
              <w:jc w:val="center"/>
              <w:rPr>
                <w:color w:val="auto"/>
                <w:highlight w:val="none"/>
              </w:rPr>
            </w:pPr>
            <w:r>
              <w:rPr>
                <w:rFonts w:hint="eastAsia"/>
                <w:color w:val="auto"/>
                <w:highlight w:val="none"/>
              </w:rPr>
              <w:t>2.2.188</w:t>
            </w:r>
          </w:p>
        </w:tc>
        <w:tc>
          <w:tcPr>
            <w:tcW w:w="2014" w:type="pct"/>
            <w:vAlign w:val="center"/>
          </w:tcPr>
          <w:p>
            <w:pPr>
              <w:jc w:val="center"/>
              <w:rPr>
                <w:color w:val="auto"/>
                <w:highlight w:val="none"/>
              </w:rPr>
            </w:pPr>
            <w:r>
              <w:rPr>
                <w:rFonts w:hint="eastAsia"/>
                <w:color w:val="auto"/>
                <w:highlight w:val="none"/>
              </w:rPr>
              <w:t>两定机构接口规范文档导入</w:t>
            </w:r>
          </w:p>
        </w:tc>
        <w:tc>
          <w:tcPr>
            <w:tcW w:w="2297" w:type="pct"/>
          </w:tcPr>
          <w:p>
            <w:pPr>
              <w:rPr>
                <w:color w:val="auto"/>
                <w:highlight w:val="none"/>
              </w:rPr>
            </w:pPr>
            <w:r>
              <w:rPr>
                <w:rFonts w:hint="eastAsia"/>
                <w:color w:val="auto"/>
                <w:highlight w:val="none"/>
              </w:rPr>
              <w:t>支持导入两定机构接口规范文档，将文档中的接口数据、数据要求自动维护成检测规则，支持检测规则的新增、修改、删除。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87" w:type="pct"/>
            <w:vAlign w:val="center"/>
          </w:tcPr>
          <w:p>
            <w:pPr>
              <w:jc w:val="center"/>
              <w:rPr>
                <w:b/>
                <w:bCs/>
                <w:color w:val="auto"/>
                <w:highlight w:val="none"/>
              </w:rPr>
            </w:pPr>
            <w:r>
              <w:rPr>
                <w:rFonts w:hint="eastAsia"/>
                <w:b/>
                <w:bCs/>
                <w:color w:val="auto"/>
                <w:highlight w:val="none"/>
              </w:rPr>
              <w:t>2.3</w:t>
            </w:r>
          </w:p>
        </w:tc>
        <w:tc>
          <w:tcPr>
            <w:tcW w:w="2014" w:type="pct"/>
            <w:vAlign w:val="center"/>
          </w:tcPr>
          <w:p>
            <w:pPr>
              <w:jc w:val="center"/>
              <w:rPr>
                <w:b/>
                <w:bCs/>
                <w:color w:val="auto"/>
                <w:highlight w:val="none"/>
              </w:rPr>
            </w:pPr>
            <w:r>
              <w:rPr>
                <w:rFonts w:hint="eastAsia"/>
                <w:b/>
                <w:bCs/>
                <w:color w:val="auto"/>
                <w:highlight w:val="none"/>
              </w:rPr>
              <w:t>两定机构结算清单质控规则维护</w:t>
            </w:r>
          </w:p>
        </w:tc>
        <w:tc>
          <w:tcPr>
            <w:tcW w:w="2297" w:type="pct"/>
          </w:tcPr>
          <w:p>
            <w:pPr>
              <w:rPr>
                <w:color w:val="auto"/>
                <w:highlight w:val="none"/>
              </w:rPr>
            </w:pPr>
            <w:r>
              <w:rPr>
                <w:rFonts w:hint="eastAsia"/>
                <w:color w:val="auto"/>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87" w:type="pct"/>
            <w:vAlign w:val="center"/>
          </w:tcPr>
          <w:p>
            <w:pPr>
              <w:jc w:val="center"/>
              <w:rPr>
                <w:color w:val="auto"/>
                <w:highlight w:val="none"/>
              </w:rPr>
            </w:pPr>
            <w:r>
              <w:rPr>
                <w:rFonts w:hint="eastAsia"/>
                <w:color w:val="auto"/>
                <w:highlight w:val="none"/>
              </w:rPr>
              <w:t>2.3.1</w:t>
            </w:r>
          </w:p>
        </w:tc>
        <w:tc>
          <w:tcPr>
            <w:tcW w:w="2014" w:type="pct"/>
            <w:vAlign w:val="center"/>
          </w:tcPr>
          <w:p>
            <w:pPr>
              <w:jc w:val="center"/>
              <w:rPr>
                <w:color w:val="auto"/>
                <w:highlight w:val="none"/>
              </w:rPr>
            </w:pPr>
            <w:r>
              <w:rPr>
                <w:rFonts w:hint="eastAsia"/>
                <w:color w:val="auto"/>
                <w:highlight w:val="none"/>
              </w:rPr>
              <w:t>结算清单质控规则分发给采集探针</w:t>
            </w:r>
          </w:p>
        </w:tc>
        <w:tc>
          <w:tcPr>
            <w:tcW w:w="2297" w:type="pct"/>
          </w:tcPr>
          <w:p>
            <w:pPr>
              <w:rPr>
                <w:color w:val="auto"/>
                <w:highlight w:val="none"/>
              </w:rPr>
            </w:pPr>
            <w:r>
              <w:rPr>
                <w:rFonts w:hint="eastAsia"/>
                <w:color w:val="auto"/>
                <w:highlight w:val="none"/>
              </w:rPr>
              <w:t>在线维护结算清单质控规则，保存后自动下发至数据探针，探针根据质控规则对两定机构上传结算清单数据进行检测，发现问题结算清单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87" w:type="pct"/>
            <w:vAlign w:val="center"/>
          </w:tcPr>
          <w:p>
            <w:pPr>
              <w:jc w:val="center"/>
              <w:rPr>
                <w:color w:val="auto"/>
                <w:highlight w:val="none"/>
              </w:rPr>
            </w:pPr>
            <w:r>
              <w:rPr>
                <w:rFonts w:hint="eastAsia"/>
                <w:color w:val="auto"/>
                <w:highlight w:val="none"/>
              </w:rPr>
              <w:t>2.3.2</w:t>
            </w:r>
          </w:p>
        </w:tc>
        <w:tc>
          <w:tcPr>
            <w:tcW w:w="2014" w:type="pct"/>
            <w:vAlign w:val="center"/>
          </w:tcPr>
          <w:p>
            <w:pPr>
              <w:jc w:val="center"/>
              <w:rPr>
                <w:color w:val="auto"/>
                <w:highlight w:val="none"/>
              </w:rPr>
            </w:pPr>
            <w:r>
              <w:rPr>
                <w:rFonts w:hint="eastAsia"/>
                <w:color w:val="auto"/>
                <w:highlight w:val="none"/>
              </w:rPr>
              <w:t>结算清单质控规则维护</w:t>
            </w:r>
          </w:p>
        </w:tc>
        <w:tc>
          <w:tcPr>
            <w:tcW w:w="2297" w:type="pct"/>
          </w:tcPr>
          <w:p>
            <w:pPr>
              <w:rPr>
                <w:color w:val="auto"/>
                <w:highlight w:val="none"/>
              </w:rPr>
            </w:pPr>
            <w:r>
              <w:rPr>
                <w:rFonts w:hint="eastAsia"/>
                <w:color w:val="auto"/>
                <w:highlight w:val="none"/>
              </w:rPr>
              <w:t>支持结算清单质控规则的新增、修改、删除。结算清单质控规则类型包括：一致性规则、完整性规则、规范性规则、合理性规则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87" w:type="pct"/>
            <w:vAlign w:val="center"/>
          </w:tcPr>
          <w:p>
            <w:pPr>
              <w:jc w:val="center"/>
              <w:rPr>
                <w:color w:val="auto"/>
                <w:highlight w:val="none"/>
              </w:rPr>
            </w:pPr>
            <w:r>
              <w:rPr>
                <w:rFonts w:hint="eastAsia"/>
                <w:color w:val="auto"/>
                <w:highlight w:val="none"/>
              </w:rPr>
              <w:t>2.3.3</w:t>
            </w:r>
          </w:p>
        </w:tc>
        <w:tc>
          <w:tcPr>
            <w:tcW w:w="2014" w:type="pct"/>
            <w:vAlign w:val="center"/>
          </w:tcPr>
          <w:p>
            <w:pPr>
              <w:jc w:val="center"/>
              <w:rPr>
                <w:color w:val="auto"/>
                <w:highlight w:val="none"/>
              </w:rPr>
            </w:pPr>
            <w:r>
              <w:rPr>
                <w:rFonts w:hint="eastAsia"/>
                <w:color w:val="auto"/>
                <w:highlight w:val="none"/>
              </w:rPr>
              <w:t>结算清单质控规则自定义</w:t>
            </w:r>
          </w:p>
        </w:tc>
        <w:tc>
          <w:tcPr>
            <w:tcW w:w="2297" w:type="pct"/>
          </w:tcPr>
          <w:p>
            <w:pPr>
              <w:rPr>
                <w:color w:val="auto"/>
                <w:highlight w:val="none"/>
              </w:rPr>
            </w:pPr>
            <w:r>
              <w:rPr>
                <w:rFonts w:hint="eastAsia"/>
                <w:color w:val="auto"/>
                <w:highlight w:val="none"/>
              </w:rPr>
              <w:t>支持结算清单质控规则自定义，选择需要检测的字段，以及判断规则（格式、数值、复杂逻辑，支持正则表达式），预期数据标准，满足质控规则本地化、定制化需要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87" w:type="pct"/>
            <w:vAlign w:val="center"/>
          </w:tcPr>
          <w:p>
            <w:pPr>
              <w:jc w:val="center"/>
              <w:rPr>
                <w:b/>
                <w:bCs/>
                <w:color w:val="auto"/>
                <w:highlight w:val="none"/>
              </w:rPr>
            </w:pPr>
            <w:r>
              <w:rPr>
                <w:rFonts w:hint="eastAsia"/>
                <w:b/>
                <w:bCs/>
                <w:color w:val="auto"/>
                <w:highlight w:val="none"/>
              </w:rPr>
              <w:t>2.4</w:t>
            </w:r>
          </w:p>
        </w:tc>
        <w:tc>
          <w:tcPr>
            <w:tcW w:w="2014" w:type="pct"/>
            <w:vAlign w:val="center"/>
          </w:tcPr>
          <w:p>
            <w:pPr>
              <w:jc w:val="center"/>
              <w:rPr>
                <w:b/>
                <w:bCs/>
                <w:color w:val="auto"/>
                <w:highlight w:val="none"/>
              </w:rPr>
            </w:pPr>
            <w:r>
              <w:rPr>
                <w:rFonts w:hint="eastAsia"/>
                <w:b/>
                <w:bCs/>
                <w:color w:val="auto"/>
                <w:highlight w:val="none"/>
              </w:rPr>
              <w:t>地市医保数据质量考核规则维护</w:t>
            </w:r>
          </w:p>
        </w:tc>
        <w:tc>
          <w:tcPr>
            <w:tcW w:w="2297" w:type="pct"/>
          </w:tcPr>
          <w:p>
            <w:pPr>
              <w:rPr>
                <w:color w:val="auto"/>
                <w:highlight w:val="none"/>
              </w:rPr>
            </w:pPr>
            <w:r>
              <w:rPr>
                <w:rFonts w:hint="eastAsia"/>
                <w:color w:val="auto"/>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87" w:type="pct"/>
            <w:vAlign w:val="center"/>
          </w:tcPr>
          <w:p>
            <w:pPr>
              <w:jc w:val="center"/>
              <w:rPr>
                <w:color w:val="auto"/>
                <w:highlight w:val="none"/>
              </w:rPr>
            </w:pPr>
            <w:r>
              <w:rPr>
                <w:rFonts w:hint="eastAsia"/>
                <w:color w:val="auto"/>
                <w:highlight w:val="none"/>
              </w:rPr>
              <w:t>2.4.1</w:t>
            </w:r>
          </w:p>
        </w:tc>
        <w:tc>
          <w:tcPr>
            <w:tcW w:w="2014" w:type="pct"/>
            <w:vAlign w:val="center"/>
          </w:tcPr>
          <w:p>
            <w:pPr>
              <w:jc w:val="center"/>
              <w:rPr>
                <w:color w:val="auto"/>
                <w:highlight w:val="none"/>
              </w:rPr>
            </w:pPr>
            <w:r>
              <w:rPr>
                <w:rFonts w:hint="eastAsia"/>
                <w:color w:val="auto"/>
                <w:highlight w:val="none"/>
              </w:rPr>
              <w:t>定制地市医保考核指标</w:t>
            </w:r>
          </w:p>
        </w:tc>
        <w:tc>
          <w:tcPr>
            <w:tcW w:w="2297" w:type="pct"/>
          </w:tcPr>
          <w:p>
            <w:pPr>
              <w:rPr>
                <w:color w:val="auto"/>
                <w:highlight w:val="none"/>
              </w:rPr>
            </w:pPr>
            <w:r>
              <w:rPr>
                <w:rFonts w:hint="eastAsia"/>
                <w:color w:val="auto"/>
                <w:highlight w:val="none"/>
              </w:rPr>
              <w:t>基于广西医保两定机构数据质量的客观统计数据，定制地市医保考核指标，如：不合规机构数、不合规机构占比等，作为考核地市医保数据质量的关键指标。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0" w:hRule="atLeast"/>
        </w:trPr>
        <w:tc>
          <w:tcPr>
            <w:tcW w:w="687" w:type="pct"/>
            <w:vAlign w:val="center"/>
          </w:tcPr>
          <w:p>
            <w:pPr>
              <w:jc w:val="center"/>
              <w:rPr>
                <w:color w:val="auto"/>
                <w:highlight w:val="none"/>
              </w:rPr>
            </w:pPr>
            <w:r>
              <w:rPr>
                <w:rFonts w:hint="eastAsia"/>
                <w:color w:val="auto"/>
                <w:highlight w:val="none"/>
              </w:rPr>
              <w:t>2.4.2</w:t>
            </w:r>
          </w:p>
        </w:tc>
        <w:tc>
          <w:tcPr>
            <w:tcW w:w="2014" w:type="pct"/>
            <w:vAlign w:val="center"/>
          </w:tcPr>
          <w:p>
            <w:pPr>
              <w:jc w:val="center"/>
              <w:rPr>
                <w:color w:val="auto"/>
                <w:highlight w:val="none"/>
              </w:rPr>
            </w:pPr>
            <w:r>
              <w:rPr>
                <w:rFonts w:hint="eastAsia"/>
                <w:color w:val="auto"/>
                <w:highlight w:val="none"/>
              </w:rPr>
              <w:t>定制地市医保考核打分标准</w:t>
            </w:r>
          </w:p>
        </w:tc>
        <w:tc>
          <w:tcPr>
            <w:tcW w:w="2297" w:type="pct"/>
          </w:tcPr>
          <w:p>
            <w:pPr>
              <w:rPr>
                <w:color w:val="auto"/>
                <w:highlight w:val="none"/>
              </w:rPr>
            </w:pPr>
            <w:r>
              <w:rPr>
                <w:rFonts w:hint="eastAsia"/>
                <w:color w:val="auto"/>
                <w:highlight w:val="none"/>
              </w:rPr>
              <w:t>确定地市医保考核指标后，针对考核指标，制定考核打分标准，如：不合规机构数，不合规数据超50%的机构数占比＜10% 不扣分；10~30% 扣1分；30%~60%（含）扣2分；＞60% 扣3分，根据实际数据自动计算考核分数。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87" w:type="pct"/>
            <w:vAlign w:val="center"/>
          </w:tcPr>
          <w:p>
            <w:pPr>
              <w:jc w:val="center"/>
              <w:rPr>
                <w:b/>
                <w:bCs/>
                <w:color w:val="auto"/>
                <w:highlight w:val="none"/>
              </w:rPr>
            </w:pPr>
            <w:r>
              <w:rPr>
                <w:rFonts w:hint="eastAsia"/>
                <w:b/>
                <w:bCs/>
                <w:color w:val="auto"/>
                <w:highlight w:val="none"/>
              </w:rPr>
              <w:t>2.5</w:t>
            </w:r>
          </w:p>
        </w:tc>
        <w:tc>
          <w:tcPr>
            <w:tcW w:w="2014" w:type="pct"/>
            <w:vAlign w:val="center"/>
          </w:tcPr>
          <w:p>
            <w:pPr>
              <w:jc w:val="center"/>
              <w:rPr>
                <w:b/>
                <w:bCs/>
                <w:color w:val="auto"/>
                <w:highlight w:val="none"/>
              </w:rPr>
            </w:pPr>
            <w:r>
              <w:rPr>
                <w:rFonts w:hint="eastAsia"/>
                <w:b/>
                <w:bCs/>
                <w:color w:val="auto"/>
                <w:highlight w:val="none"/>
              </w:rPr>
              <w:t>两定机构数据质量考核规则维护</w:t>
            </w:r>
          </w:p>
        </w:tc>
        <w:tc>
          <w:tcPr>
            <w:tcW w:w="2297" w:type="pct"/>
          </w:tcPr>
          <w:p>
            <w:pPr>
              <w:rPr>
                <w:color w:val="auto"/>
                <w:highlight w:val="none"/>
              </w:rPr>
            </w:pPr>
            <w:r>
              <w:rPr>
                <w:rFonts w:hint="eastAsia"/>
                <w:color w:val="auto"/>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trPr>
        <w:tc>
          <w:tcPr>
            <w:tcW w:w="687" w:type="pct"/>
            <w:vAlign w:val="center"/>
          </w:tcPr>
          <w:p>
            <w:pPr>
              <w:jc w:val="center"/>
              <w:rPr>
                <w:color w:val="auto"/>
                <w:highlight w:val="none"/>
              </w:rPr>
            </w:pPr>
            <w:r>
              <w:rPr>
                <w:rFonts w:hint="eastAsia"/>
                <w:color w:val="auto"/>
                <w:highlight w:val="none"/>
              </w:rPr>
              <w:t>2.5.1</w:t>
            </w:r>
          </w:p>
        </w:tc>
        <w:tc>
          <w:tcPr>
            <w:tcW w:w="2014" w:type="pct"/>
            <w:vAlign w:val="center"/>
          </w:tcPr>
          <w:p>
            <w:pPr>
              <w:jc w:val="center"/>
              <w:rPr>
                <w:color w:val="auto"/>
                <w:highlight w:val="none"/>
              </w:rPr>
            </w:pPr>
            <w:r>
              <w:rPr>
                <w:rFonts w:hint="eastAsia"/>
                <w:color w:val="auto"/>
                <w:highlight w:val="none"/>
              </w:rPr>
              <w:t>制定两定机构考核指标</w:t>
            </w:r>
          </w:p>
        </w:tc>
        <w:tc>
          <w:tcPr>
            <w:tcW w:w="2297" w:type="pct"/>
          </w:tcPr>
          <w:p>
            <w:pPr>
              <w:rPr>
                <w:color w:val="auto"/>
                <w:highlight w:val="none"/>
              </w:rPr>
            </w:pPr>
            <w:r>
              <w:rPr>
                <w:rFonts w:hint="eastAsia"/>
                <w:color w:val="auto"/>
                <w:highlight w:val="none"/>
              </w:rPr>
              <w:t>基于地市医保两定机构数据质量的客观统计数据，在两定机构接口数据检测系统，制定两定机构考核指标。如：不合规调用次数、不合规调用率、不合规接口率等，作为考核地市医保数据质量的关键指标。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trPr>
        <w:tc>
          <w:tcPr>
            <w:tcW w:w="687" w:type="pct"/>
            <w:vAlign w:val="center"/>
          </w:tcPr>
          <w:p>
            <w:pPr>
              <w:jc w:val="center"/>
              <w:rPr>
                <w:color w:val="auto"/>
                <w:highlight w:val="none"/>
              </w:rPr>
            </w:pPr>
            <w:r>
              <w:rPr>
                <w:rFonts w:hint="eastAsia"/>
                <w:color w:val="auto"/>
                <w:highlight w:val="none"/>
              </w:rPr>
              <w:t>2.5.2</w:t>
            </w:r>
          </w:p>
        </w:tc>
        <w:tc>
          <w:tcPr>
            <w:tcW w:w="2014" w:type="pct"/>
            <w:vAlign w:val="center"/>
          </w:tcPr>
          <w:p>
            <w:pPr>
              <w:jc w:val="center"/>
              <w:rPr>
                <w:color w:val="auto"/>
                <w:highlight w:val="none"/>
              </w:rPr>
            </w:pPr>
            <w:r>
              <w:rPr>
                <w:rFonts w:hint="eastAsia"/>
                <w:color w:val="auto"/>
                <w:highlight w:val="none"/>
              </w:rPr>
              <w:t>制定两定机构考核打分指标</w:t>
            </w:r>
          </w:p>
        </w:tc>
        <w:tc>
          <w:tcPr>
            <w:tcW w:w="2297" w:type="pct"/>
          </w:tcPr>
          <w:p>
            <w:pPr>
              <w:rPr>
                <w:color w:val="auto"/>
                <w:highlight w:val="none"/>
              </w:rPr>
            </w:pPr>
            <w:r>
              <w:rPr>
                <w:rFonts w:hint="eastAsia"/>
                <w:color w:val="auto"/>
                <w:highlight w:val="none"/>
              </w:rPr>
              <w:t>确定两定机构考核指标后，针对考核指标，制定考核打分标准，如：不合规接口率，0%-5%（含）不扣分；5% - 20%（含）扣1分；20%-50%（含）扣2分；大于50% 扣3分，根据实际数据自动计算考核分数。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87" w:type="pct"/>
            <w:vAlign w:val="center"/>
          </w:tcPr>
          <w:p>
            <w:pPr>
              <w:jc w:val="center"/>
              <w:rPr>
                <w:b/>
                <w:bCs/>
                <w:color w:val="auto"/>
                <w:highlight w:val="none"/>
              </w:rPr>
            </w:pPr>
            <w:r>
              <w:rPr>
                <w:rFonts w:hint="eastAsia"/>
                <w:b/>
                <w:bCs/>
                <w:color w:val="auto"/>
                <w:highlight w:val="none"/>
              </w:rPr>
              <w:t>2.6</w:t>
            </w:r>
          </w:p>
        </w:tc>
        <w:tc>
          <w:tcPr>
            <w:tcW w:w="2014" w:type="pct"/>
            <w:vAlign w:val="center"/>
          </w:tcPr>
          <w:p>
            <w:pPr>
              <w:jc w:val="center"/>
              <w:rPr>
                <w:b/>
                <w:bCs/>
                <w:color w:val="auto"/>
                <w:highlight w:val="none"/>
              </w:rPr>
            </w:pPr>
            <w:r>
              <w:rPr>
                <w:rFonts w:hint="eastAsia"/>
                <w:b/>
                <w:bCs/>
                <w:color w:val="auto"/>
                <w:highlight w:val="none"/>
              </w:rPr>
              <w:t>按医保区划问题数据查询</w:t>
            </w:r>
          </w:p>
        </w:tc>
        <w:tc>
          <w:tcPr>
            <w:tcW w:w="2297" w:type="pct"/>
          </w:tcPr>
          <w:p>
            <w:pPr>
              <w:rPr>
                <w:color w:val="auto"/>
                <w:highlight w:val="none"/>
              </w:rPr>
            </w:pPr>
            <w:r>
              <w:rPr>
                <w:rFonts w:hint="eastAsia"/>
                <w:color w:val="auto"/>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87" w:type="pct"/>
            <w:vAlign w:val="center"/>
          </w:tcPr>
          <w:p>
            <w:pPr>
              <w:jc w:val="center"/>
              <w:rPr>
                <w:color w:val="auto"/>
                <w:highlight w:val="none"/>
              </w:rPr>
            </w:pPr>
            <w:r>
              <w:rPr>
                <w:rFonts w:hint="eastAsia"/>
                <w:color w:val="auto"/>
                <w:highlight w:val="none"/>
              </w:rPr>
              <w:t>2.6.1</w:t>
            </w:r>
          </w:p>
        </w:tc>
        <w:tc>
          <w:tcPr>
            <w:tcW w:w="2014" w:type="pct"/>
            <w:vAlign w:val="center"/>
          </w:tcPr>
          <w:p>
            <w:pPr>
              <w:jc w:val="center"/>
              <w:rPr>
                <w:color w:val="auto"/>
                <w:highlight w:val="none"/>
              </w:rPr>
            </w:pPr>
            <w:r>
              <w:rPr>
                <w:rFonts w:hint="eastAsia"/>
                <w:color w:val="auto"/>
                <w:highlight w:val="none"/>
              </w:rPr>
              <w:t>按医保区划问题数据查询</w:t>
            </w:r>
          </w:p>
        </w:tc>
        <w:tc>
          <w:tcPr>
            <w:tcW w:w="2297" w:type="pct"/>
          </w:tcPr>
          <w:p>
            <w:pPr>
              <w:rPr>
                <w:color w:val="auto"/>
                <w:highlight w:val="none"/>
              </w:rPr>
            </w:pPr>
            <w:r>
              <w:rPr>
                <w:rFonts w:hint="eastAsia"/>
                <w:color w:val="auto"/>
                <w:highlight w:val="none"/>
              </w:rPr>
              <w:t>按自治区、地市医保区划维度，统计各医保区划调用次数、不合规次数、不合规率，以列表直观展示各医保区划数据质量。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87" w:type="pct"/>
            <w:vAlign w:val="center"/>
          </w:tcPr>
          <w:p>
            <w:pPr>
              <w:jc w:val="center"/>
              <w:rPr>
                <w:color w:val="auto"/>
                <w:highlight w:val="none"/>
              </w:rPr>
            </w:pPr>
            <w:r>
              <w:rPr>
                <w:rFonts w:hint="eastAsia"/>
                <w:color w:val="auto"/>
                <w:highlight w:val="none"/>
              </w:rPr>
              <w:t>2.6.2</w:t>
            </w:r>
          </w:p>
        </w:tc>
        <w:tc>
          <w:tcPr>
            <w:tcW w:w="2014" w:type="pct"/>
            <w:vAlign w:val="center"/>
          </w:tcPr>
          <w:p>
            <w:pPr>
              <w:jc w:val="center"/>
              <w:rPr>
                <w:color w:val="auto"/>
                <w:highlight w:val="none"/>
              </w:rPr>
            </w:pPr>
            <w:r>
              <w:rPr>
                <w:rFonts w:hint="eastAsia"/>
                <w:color w:val="auto"/>
                <w:highlight w:val="none"/>
              </w:rPr>
              <w:t>医保区划接口数据质量分析</w:t>
            </w:r>
          </w:p>
        </w:tc>
        <w:tc>
          <w:tcPr>
            <w:tcW w:w="2297" w:type="pct"/>
          </w:tcPr>
          <w:p>
            <w:pPr>
              <w:rPr>
                <w:color w:val="auto"/>
                <w:highlight w:val="none"/>
              </w:rPr>
            </w:pPr>
            <w:r>
              <w:rPr>
                <w:rFonts w:hint="eastAsia"/>
                <w:color w:val="auto"/>
                <w:highlight w:val="none"/>
              </w:rPr>
              <w:t>下钻查看某医保区划的各类业务接口的调用次数、不合规次数、不合规率。分析医保区划的各业务接口数据质量。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87" w:type="pct"/>
            <w:vAlign w:val="center"/>
          </w:tcPr>
          <w:p>
            <w:pPr>
              <w:jc w:val="center"/>
              <w:rPr>
                <w:b/>
                <w:bCs/>
                <w:color w:val="auto"/>
                <w:highlight w:val="none"/>
              </w:rPr>
            </w:pPr>
            <w:r>
              <w:rPr>
                <w:rFonts w:hint="eastAsia"/>
                <w:b/>
                <w:bCs/>
                <w:color w:val="auto"/>
                <w:highlight w:val="none"/>
              </w:rPr>
              <w:t>2.7</w:t>
            </w:r>
          </w:p>
        </w:tc>
        <w:tc>
          <w:tcPr>
            <w:tcW w:w="2014" w:type="pct"/>
            <w:vAlign w:val="center"/>
          </w:tcPr>
          <w:p>
            <w:pPr>
              <w:jc w:val="center"/>
              <w:rPr>
                <w:b/>
                <w:bCs/>
                <w:color w:val="auto"/>
                <w:highlight w:val="none"/>
              </w:rPr>
            </w:pPr>
            <w:r>
              <w:rPr>
                <w:rFonts w:hint="eastAsia"/>
                <w:b/>
                <w:bCs/>
                <w:color w:val="auto"/>
                <w:highlight w:val="none"/>
              </w:rPr>
              <w:t>按业务接口问题数据查询</w:t>
            </w:r>
          </w:p>
        </w:tc>
        <w:tc>
          <w:tcPr>
            <w:tcW w:w="2297" w:type="pct"/>
          </w:tcPr>
          <w:p>
            <w:pPr>
              <w:rPr>
                <w:color w:val="auto"/>
                <w:highlight w:val="none"/>
              </w:rPr>
            </w:pPr>
            <w:r>
              <w:rPr>
                <w:rFonts w:hint="eastAsia"/>
                <w:color w:val="auto"/>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87" w:type="pct"/>
            <w:vAlign w:val="center"/>
          </w:tcPr>
          <w:p>
            <w:pPr>
              <w:jc w:val="center"/>
              <w:rPr>
                <w:color w:val="auto"/>
                <w:highlight w:val="none"/>
              </w:rPr>
            </w:pPr>
            <w:r>
              <w:rPr>
                <w:rFonts w:hint="eastAsia"/>
                <w:color w:val="auto"/>
                <w:highlight w:val="none"/>
              </w:rPr>
              <w:t>2.7.1</w:t>
            </w:r>
          </w:p>
        </w:tc>
        <w:tc>
          <w:tcPr>
            <w:tcW w:w="2014" w:type="pct"/>
            <w:vAlign w:val="center"/>
          </w:tcPr>
          <w:p>
            <w:pPr>
              <w:jc w:val="center"/>
              <w:rPr>
                <w:color w:val="auto"/>
                <w:highlight w:val="none"/>
              </w:rPr>
            </w:pPr>
            <w:r>
              <w:rPr>
                <w:rFonts w:hint="eastAsia"/>
                <w:color w:val="auto"/>
                <w:highlight w:val="none"/>
              </w:rPr>
              <w:t>按业务接口问题数据查询</w:t>
            </w:r>
          </w:p>
        </w:tc>
        <w:tc>
          <w:tcPr>
            <w:tcW w:w="2297" w:type="pct"/>
          </w:tcPr>
          <w:p>
            <w:pPr>
              <w:rPr>
                <w:color w:val="auto"/>
                <w:highlight w:val="none"/>
              </w:rPr>
            </w:pPr>
            <w:r>
              <w:rPr>
                <w:rFonts w:hint="eastAsia"/>
                <w:color w:val="auto"/>
                <w:highlight w:val="none"/>
              </w:rPr>
              <w:t>按业务接口维度，统计各业务接口的调用次数、不合规次数、不合规率，以列表直观展示各业务接口数据质量。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87" w:type="pct"/>
            <w:vAlign w:val="center"/>
          </w:tcPr>
          <w:p>
            <w:pPr>
              <w:jc w:val="center"/>
              <w:rPr>
                <w:color w:val="auto"/>
                <w:highlight w:val="none"/>
              </w:rPr>
            </w:pPr>
            <w:r>
              <w:rPr>
                <w:rFonts w:hint="eastAsia"/>
                <w:color w:val="auto"/>
                <w:highlight w:val="none"/>
              </w:rPr>
              <w:t>2.7.2</w:t>
            </w:r>
          </w:p>
        </w:tc>
        <w:tc>
          <w:tcPr>
            <w:tcW w:w="2014" w:type="pct"/>
            <w:vAlign w:val="center"/>
          </w:tcPr>
          <w:p>
            <w:pPr>
              <w:jc w:val="center"/>
              <w:rPr>
                <w:color w:val="auto"/>
                <w:highlight w:val="none"/>
              </w:rPr>
            </w:pPr>
            <w:r>
              <w:rPr>
                <w:rFonts w:hint="eastAsia"/>
                <w:color w:val="auto"/>
                <w:highlight w:val="none"/>
              </w:rPr>
              <w:t>按业务接口分析问题数据</w:t>
            </w:r>
          </w:p>
        </w:tc>
        <w:tc>
          <w:tcPr>
            <w:tcW w:w="2297" w:type="pct"/>
          </w:tcPr>
          <w:p>
            <w:pPr>
              <w:rPr>
                <w:color w:val="auto"/>
                <w:highlight w:val="none"/>
              </w:rPr>
            </w:pPr>
            <w:r>
              <w:rPr>
                <w:rFonts w:hint="eastAsia"/>
                <w:color w:val="auto"/>
                <w:highlight w:val="none"/>
              </w:rPr>
              <w:t>展开查看自治区、地市医保区划、两定机构的调用次数、不合规次数、不合规率，分析业务接口相关两定机构数据质量。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87" w:type="pct"/>
            <w:vAlign w:val="center"/>
          </w:tcPr>
          <w:p>
            <w:pPr>
              <w:jc w:val="center"/>
              <w:rPr>
                <w:b/>
                <w:bCs/>
                <w:color w:val="auto"/>
                <w:highlight w:val="none"/>
              </w:rPr>
            </w:pPr>
            <w:r>
              <w:rPr>
                <w:rFonts w:hint="eastAsia"/>
                <w:b/>
                <w:bCs/>
                <w:color w:val="auto"/>
                <w:highlight w:val="none"/>
              </w:rPr>
              <w:t>2.8</w:t>
            </w:r>
          </w:p>
        </w:tc>
        <w:tc>
          <w:tcPr>
            <w:tcW w:w="2014" w:type="pct"/>
            <w:vAlign w:val="center"/>
          </w:tcPr>
          <w:p>
            <w:pPr>
              <w:jc w:val="center"/>
              <w:rPr>
                <w:b/>
                <w:bCs/>
                <w:color w:val="auto"/>
                <w:highlight w:val="none"/>
              </w:rPr>
            </w:pPr>
            <w:r>
              <w:rPr>
                <w:rFonts w:hint="eastAsia"/>
                <w:b/>
                <w:bCs/>
                <w:color w:val="auto"/>
                <w:highlight w:val="none"/>
              </w:rPr>
              <w:t>按两定机构问题数据查询</w:t>
            </w:r>
          </w:p>
        </w:tc>
        <w:tc>
          <w:tcPr>
            <w:tcW w:w="2297" w:type="pct"/>
          </w:tcPr>
          <w:p>
            <w:pPr>
              <w:rPr>
                <w:color w:val="auto"/>
                <w:highlight w:val="none"/>
              </w:rPr>
            </w:pPr>
            <w:r>
              <w:rPr>
                <w:rFonts w:hint="eastAsia"/>
                <w:color w:val="auto"/>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87" w:type="pct"/>
            <w:vAlign w:val="center"/>
          </w:tcPr>
          <w:p>
            <w:pPr>
              <w:jc w:val="center"/>
              <w:rPr>
                <w:color w:val="auto"/>
                <w:highlight w:val="none"/>
              </w:rPr>
            </w:pPr>
            <w:r>
              <w:rPr>
                <w:rFonts w:hint="eastAsia"/>
                <w:color w:val="auto"/>
                <w:highlight w:val="none"/>
              </w:rPr>
              <w:t>2.8.1</w:t>
            </w:r>
          </w:p>
        </w:tc>
        <w:tc>
          <w:tcPr>
            <w:tcW w:w="2014" w:type="pct"/>
            <w:vAlign w:val="center"/>
          </w:tcPr>
          <w:p>
            <w:pPr>
              <w:jc w:val="center"/>
              <w:rPr>
                <w:color w:val="auto"/>
                <w:highlight w:val="none"/>
              </w:rPr>
            </w:pPr>
            <w:r>
              <w:rPr>
                <w:rFonts w:hint="eastAsia"/>
                <w:color w:val="auto"/>
                <w:highlight w:val="none"/>
              </w:rPr>
              <w:t>按两定机构问题数据查询</w:t>
            </w:r>
          </w:p>
        </w:tc>
        <w:tc>
          <w:tcPr>
            <w:tcW w:w="2297" w:type="pct"/>
          </w:tcPr>
          <w:p>
            <w:pPr>
              <w:rPr>
                <w:color w:val="auto"/>
                <w:highlight w:val="none"/>
              </w:rPr>
            </w:pPr>
            <w:r>
              <w:rPr>
                <w:rFonts w:hint="eastAsia"/>
                <w:color w:val="auto"/>
                <w:highlight w:val="none"/>
              </w:rPr>
              <w:t>按两定机构维度，统计两定机构调用次数、不合规次数、不合规率。以列表直观展示各两定机构数据质量。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87" w:type="pct"/>
            <w:vAlign w:val="center"/>
          </w:tcPr>
          <w:p>
            <w:pPr>
              <w:jc w:val="center"/>
              <w:rPr>
                <w:color w:val="auto"/>
                <w:highlight w:val="none"/>
              </w:rPr>
            </w:pPr>
            <w:r>
              <w:rPr>
                <w:rFonts w:hint="eastAsia"/>
                <w:color w:val="auto"/>
                <w:highlight w:val="none"/>
              </w:rPr>
              <w:t>2.8.2</w:t>
            </w:r>
          </w:p>
        </w:tc>
        <w:tc>
          <w:tcPr>
            <w:tcW w:w="2014" w:type="pct"/>
            <w:vAlign w:val="center"/>
          </w:tcPr>
          <w:p>
            <w:pPr>
              <w:jc w:val="center"/>
              <w:rPr>
                <w:color w:val="auto"/>
                <w:highlight w:val="none"/>
              </w:rPr>
            </w:pPr>
            <w:r>
              <w:rPr>
                <w:rFonts w:hint="eastAsia"/>
                <w:color w:val="auto"/>
                <w:highlight w:val="none"/>
              </w:rPr>
              <w:t>按两定机构分析问题数据</w:t>
            </w:r>
          </w:p>
        </w:tc>
        <w:tc>
          <w:tcPr>
            <w:tcW w:w="2297" w:type="pct"/>
          </w:tcPr>
          <w:p>
            <w:pPr>
              <w:rPr>
                <w:color w:val="auto"/>
                <w:highlight w:val="none"/>
              </w:rPr>
            </w:pPr>
            <w:r>
              <w:rPr>
                <w:rFonts w:hint="eastAsia"/>
                <w:color w:val="auto"/>
                <w:highlight w:val="none"/>
              </w:rPr>
              <w:t>下钻查看两定机构的问题数据清单、不合规类型、规范描述，以及完整输入数据，标注问题字段，分析两定机构数据质量问题。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87" w:type="pct"/>
            <w:vAlign w:val="center"/>
          </w:tcPr>
          <w:p>
            <w:pPr>
              <w:jc w:val="center"/>
              <w:rPr>
                <w:b/>
                <w:bCs/>
                <w:color w:val="auto"/>
                <w:highlight w:val="none"/>
              </w:rPr>
            </w:pPr>
            <w:r>
              <w:rPr>
                <w:rFonts w:hint="eastAsia"/>
                <w:b/>
                <w:bCs/>
                <w:color w:val="auto"/>
                <w:highlight w:val="none"/>
              </w:rPr>
              <w:t>2.9</w:t>
            </w:r>
          </w:p>
        </w:tc>
        <w:tc>
          <w:tcPr>
            <w:tcW w:w="2014" w:type="pct"/>
            <w:vAlign w:val="center"/>
          </w:tcPr>
          <w:p>
            <w:pPr>
              <w:jc w:val="center"/>
              <w:rPr>
                <w:b/>
                <w:bCs/>
                <w:color w:val="auto"/>
                <w:highlight w:val="none"/>
              </w:rPr>
            </w:pPr>
            <w:r>
              <w:rPr>
                <w:rFonts w:hint="eastAsia"/>
                <w:b/>
                <w:bCs/>
                <w:color w:val="auto"/>
                <w:highlight w:val="none"/>
              </w:rPr>
              <w:t>自治区医保两定机构接口调用分析</w:t>
            </w:r>
          </w:p>
        </w:tc>
        <w:tc>
          <w:tcPr>
            <w:tcW w:w="2297" w:type="pct"/>
          </w:tcPr>
          <w:p>
            <w:pPr>
              <w:rPr>
                <w:color w:val="auto"/>
                <w:highlight w:val="none"/>
              </w:rPr>
            </w:pPr>
            <w:r>
              <w:rPr>
                <w:rFonts w:hint="eastAsia"/>
                <w:color w:val="auto"/>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trPr>
        <w:tc>
          <w:tcPr>
            <w:tcW w:w="687" w:type="pct"/>
            <w:vAlign w:val="center"/>
          </w:tcPr>
          <w:p>
            <w:pPr>
              <w:jc w:val="center"/>
              <w:rPr>
                <w:color w:val="auto"/>
                <w:highlight w:val="none"/>
              </w:rPr>
            </w:pPr>
            <w:r>
              <w:rPr>
                <w:rFonts w:hint="eastAsia"/>
                <w:color w:val="auto"/>
                <w:highlight w:val="none"/>
              </w:rPr>
              <w:t>2.9.1</w:t>
            </w:r>
          </w:p>
        </w:tc>
        <w:tc>
          <w:tcPr>
            <w:tcW w:w="2014" w:type="pct"/>
            <w:vAlign w:val="center"/>
          </w:tcPr>
          <w:p>
            <w:pPr>
              <w:jc w:val="center"/>
              <w:rPr>
                <w:color w:val="auto"/>
                <w:highlight w:val="none"/>
              </w:rPr>
            </w:pPr>
            <w:r>
              <w:rPr>
                <w:rFonts w:hint="eastAsia"/>
                <w:color w:val="auto"/>
                <w:highlight w:val="none"/>
              </w:rPr>
              <w:t>自治区医保医疗机构接口调用分析</w:t>
            </w:r>
          </w:p>
        </w:tc>
        <w:tc>
          <w:tcPr>
            <w:tcW w:w="2297" w:type="pct"/>
          </w:tcPr>
          <w:p>
            <w:pPr>
              <w:rPr>
                <w:color w:val="auto"/>
                <w:highlight w:val="none"/>
              </w:rPr>
            </w:pPr>
            <w:r>
              <w:rPr>
                <w:rFonts w:hint="eastAsia"/>
                <w:color w:val="auto"/>
                <w:highlight w:val="none"/>
              </w:rPr>
              <w:t>地市医保定点医疗机构调用率排名，统计各地市医保的定点医疗机构的接口调用次数、应调接口数、实调接口数据、接口调用率，并按接口调用率进行排名，掌握地市医保的定点医疗机构接口改造、调用实际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trPr>
        <w:tc>
          <w:tcPr>
            <w:tcW w:w="687" w:type="pct"/>
            <w:vAlign w:val="center"/>
          </w:tcPr>
          <w:p>
            <w:pPr>
              <w:jc w:val="center"/>
              <w:rPr>
                <w:color w:val="auto"/>
                <w:highlight w:val="none"/>
              </w:rPr>
            </w:pPr>
            <w:r>
              <w:rPr>
                <w:rFonts w:hint="eastAsia"/>
                <w:color w:val="auto"/>
                <w:highlight w:val="none"/>
              </w:rPr>
              <w:t>2.9.2</w:t>
            </w:r>
          </w:p>
        </w:tc>
        <w:tc>
          <w:tcPr>
            <w:tcW w:w="2014" w:type="pct"/>
            <w:vAlign w:val="center"/>
          </w:tcPr>
          <w:p>
            <w:pPr>
              <w:jc w:val="center"/>
              <w:rPr>
                <w:color w:val="auto"/>
                <w:highlight w:val="none"/>
              </w:rPr>
            </w:pPr>
            <w:r>
              <w:rPr>
                <w:rFonts w:hint="eastAsia"/>
                <w:color w:val="auto"/>
                <w:highlight w:val="none"/>
              </w:rPr>
              <w:t>自治区医保零售药店接口调用分析</w:t>
            </w:r>
          </w:p>
        </w:tc>
        <w:tc>
          <w:tcPr>
            <w:tcW w:w="2297" w:type="pct"/>
          </w:tcPr>
          <w:p>
            <w:pPr>
              <w:rPr>
                <w:color w:val="auto"/>
                <w:highlight w:val="none"/>
              </w:rPr>
            </w:pPr>
            <w:r>
              <w:rPr>
                <w:rFonts w:hint="eastAsia"/>
                <w:color w:val="auto"/>
                <w:highlight w:val="none"/>
              </w:rPr>
              <w:t>地市医保定点零售药店调用率排名，统计各地市医保的定点零售药店的接口调用次数、应调接口数、实调接口数据、接口调用率，并按接口调用率进行排名，掌握地市医保的定点零售药店接口改造、调用实际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87" w:type="pct"/>
            <w:vAlign w:val="center"/>
          </w:tcPr>
          <w:p>
            <w:pPr>
              <w:jc w:val="center"/>
              <w:rPr>
                <w:b/>
                <w:bCs/>
                <w:color w:val="auto"/>
                <w:highlight w:val="none"/>
              </w:rPr>
            </w:pPr>
            <w:r>
              <w:rPr>
                <w:rFonts w:hint="eastAsia"/>
                <w:b/>
                <w:bCs/>
                <w:color w:val="auto"/>
                <w:highlight w:val="none"/>
              </w:rPr>
              <w:t>2.10</w:t>
            </w:r>
          </w:p>
        </w:tc>
        <w:tc>
          <w:tcPr>
            <w:tcW w:w="2014" w:type="pct"/>
            <w:vAlign w:val="center"/>
          </w:tcPr>
          <w:p>
            <w:pPr>
              <w:jc w:val="center"/>
              <w:rPr>
                <w:b/>
                <w:bCs/>
                <w:color w:val="auto"/>
                <w:highlight w:val="none"/>
              </w:rPr>
            </w:pPr>
            <w:r>
              <w:rPr>
                <w:rFonts w:hint="eastAsia"/>
                <w:b/>
                <w:bCs/>
                <w:color w:val="auto"/>
                <w:highlight w:val="none"/>
              </w:rPr>
              <w:t>地市医保两定机构接口调用分析</w:t>
            </w:r>
          </w:p>
        </w:tc>
        <w:tc>
          <w:tcPr>
            <w:tcW w:w="2297" w:type="pct"/>
          </w:tcPr>
          <w:p>
            <w:pPr>
              <w:rPr>
                <w:color w:val="auto"/>
                <w:highlight w:val="none"/>
              </w:rPr>
            </w:pPr>
            <w:r>
              <w:rPr>
                <w:rFonts w:hint="eastAsia"/>
                <w:color w:val="auto"/>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trPr>
        <w:tc>
          <w:tcPr>
            <w:tcW w:w="687" w:type="pct"/>
            <w:vAlign w:val="center"/>
          </w:tcPr>
          <w:p>
            <w:pPr>
              <w:jc w:val="center"/>
              <w:rPr>
                <w:color w:val="auto"/>
                <w:highlight w:val="none"/>
              </w:rPr>
            </w:pPr>
            <w:r>
              <w:rPr>
                <w:rFonts w:hint="eastAsia"/>
                <w:color w:val="auto"/>
                <w:highlight w:val="none"/>
              </w:rPr>
              <w:t>2.10.1</w:t>
            </w:r>
          </w:p>
        </w:tc>
        <w:tc>
          <w:tcPr>
            <w:tcW w:w="2014" w:type="pct"/>
            <w:vAlign w:val="center"/>
          </w:tcPr>
          <w:p>
            <w:pPr>
              <w:jc w:val="center"/>
              <w:rPr>
                <w:color w:val="auto"/>
                <w:highlight w:val="none"/>
              </w:rPr>
            </w:pPr>
            <w:r>
              <w:rPr>
                <w:rFonts w:hint="eastAsia"/>
                <w:color w:val="auto"/>
                <w:highlight w:val="none"/>
              </w:rPr>
              <w:t>地市医保医疗机构接口调用分析</w:t>
            </w:r>
          </w:p>
        </w:tc>
        <w:tc>
          <w:tcPr>
            <w:tcW w:w="2297" w:type="pct"/>
          </w:tcPr>
          <w:p>
            <w:pPr>
              <w:rPr>
                <w:color w:val="auto"/>
                <w:highlight w:val="none"/>
              </w:rPr>
            </w:pPr>
            <w:r>
              <w:rPr>
                <w:rFonts w:hint="eastAsia"/>
                <w:color w:val="auto"/>
                <w:highlight w:val="none"/>
              </w:rPr>
              <w:t>定点医疗机构接口调用率排名，统计各定点医疗机构接口调用次数、应调接口数、实调接口数据、接口调用率，并按接口调用率进行排名，掌握定点医疗机构接口改造、调用实际情况。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trPr>
        <w:tc>
          <w:tcPr>
            <w:tcW w:w="687" w:type="pct"/>
            <w:vAlign w:val="center"/>
          </w:tcPr>
          <w:p>
            <w:pPr>
              <w:jc w:val="center"/>
              <w:rPr>
                <w:color w:val="auto"/>
                <w:highlight w:val="none"/>
              </w:rPr>
            </w:pPr>
            <w:r>
              <w:rPr>
                <w:rFonts w:hint="eastAsia"/>
                <w:color w:val="auto"/>
                <w:highlight w:val="none"/>
              </w:rPr>
              <w:t>2.10.2</w:t>
            </w:r>
          </w:p>
        </w:tc>
        <w:tc>
          <w:tcPr>
            <w:tcW w:w="2014" w:type="pct"/>
            <w:vAlign w:val="center"/>
          </w:tcPr>
          <w:p>
            <w:pPr>
              <w:jc w:val="center"/>
              <w:rPr>
                <w:color w:val="auto"/>
                <w:highlight w:val="none"/>
              </w:rPr>
            </w:pPr>
            <w:r>
              <w:rPr>
                <w:rFonts w:hint="eastAsia"/>
                <w:color w:val="auto"/>
                <w:highlight w:val="none"/>
              </w:rPr>
              <w:t>地市医保零售药店接口调用分析</w:t>
            </w:r>
          </w:p>
        </w:tc>
        <w:tc>
          <w:tcPr>
            <w:tcW w:w="2297" w:type="pct"/>
          </w:tcPr>
          <w:p>
            <w:pPr>
              <w:rPr>
                <w:color w:val="auto"/>
                <w:highlight w:val="none"/>
              </w:rPr>
            </w:pPr>
            <w:r>
              <w:rPr>
                <w:rFonts w:hint="eastAsia"/>
                <w:color w:val="auto"/>
                <w:highlight w:val="none"/>
              </w:rPr>
              <w:t>定点零售药店接口调用率排名，统计各定点零售药店接口调用次数、应调接口数、实调接口数据、接口调用率，并按接口调用率进行排名，掌握定点零售药店接口改造、调用实际情况。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87" w:type="pct"/>
            <w:vAlign w:val="center"/>
          </w:tcPr>
          <w:p>
            <w:pPr>
              <w:jc w:val="center"/>
              <w:rPr>
                <w:b/>
                <w:bCs/>
                <w:color w:val="auto"/>
                <w:highlight w:val="none"/>
              </w:rPr>
            </w:pPr>
            <w:r>
              <w:rPr>
                <w:rFonts w:hint="eastAsia"/>
                <w:b/>
                <w:bCs/>
                <w:color w:val="auto"/>
                <w:highlight w:val="none"/>
              </w:rPr>
              <w:t>2.11</w:t>
            </w:r>
          </w:p>
        </w:tc>
        <w:tc>
          <w:tcPr>
            <w:tcW w:w="2014" w:type="pct"/>
            <w:vAlign w:val="center"/>
          </w:tcPr>
          <w:p>
            <w:pPr>
              <w:jc w:val="center"/>
              <w:rPr>
                <w:b/>
                <w:bCs/>
                <w:color w:val="auto"/>
                <w:highlight w:val="none"/>
              </w:rPr>
            </w:pPr>
            <w:r>
              <w:rPr>
                <w:rFonts w:hint="eastAsia"/>
                <w:b/>
                <w:bCs/>
                <w:color w:val="auto"/>
                <w:highlight w:val="none"/>
              </w:rPr>
              <w:t>两定机构接口调用分析</w:t>
            </w:r>
          </w:p>
        </w:tc>
        <w:tc>
          <w:tcPr>
            <w:tcW w:w="2297" w:type="pct"/>
          </w:tcPr>
          <w:p>
            <w:pPr>
              <w:rPr>
                <w:color w:val="auto"/>
                <w:highlight w:val="none"/>
              </w:rPr>
            </w:pPr>
            <w:r>
              <w:rPr>
                <w:rFonts w:hint="eastAsia"/>
                <w:color w:val="auto"/>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trPr>
        <w:tc>
          <w:tcPr>
            <w:tcW w:w="687" w:type="pct"/>
            <w:vAlign w:val="center"/>
          </w:tcPr>
          <w:p>
            <w:pPr>
              <w:jc w:val="center"/>
              <w:rPr>
                <w:color w:val="auto"/>
                <w:highlight w:val="none"/>
              </w:rPr>
            </w:pPr>
            <w:r>
              <w:rPr>
                <w:rFonts w:hint="eastAsia"/>
                <w:color w:val="auto"/>
                <w:highlight w:val="none"/>
              </w:rPr>
              <w:t>2.11.1</w:t>
            </w:r>
          </w:p>
        </w:tc>
        <w:tc>
          <w:tcPr>
            <w:tcW w:w="2014" w:type="pct"/>
            <w:vAlign w:val="center"/>
          </w:tcPr>
          <w:p>
            <w:pPr>
              <w:jc w:val="center"/>
              <w:rPr>
                <w:color w:val="auto"/>
                <w:highlight w:val="none"/>
              </w:rPr>
            </w:pPr>
            <w:r>
              <w:rPr>
                <w:rFonts w:hint="eastAsia"/>
                <w:color w:val="auto"/>
                <w:highlight w:val="none"/>
              </w:rPr>
              <w:t>进销存接口调用分析</w:t>
            </w:r>
          </w:p>
        </w:tc>
        <w:tc>
          <w:tcPr>
            <w:tcW w:w="2297" w:type="pct"/>
          </w:tcPr>
          <w:p>
            <w:pPr>
              <w:rPr>
                <w:color w:val="auto"/>
                <w:highlight w:val="none"/>
              </w:rPr>
            </w:pPr>
            <w:r>
              <w:rPr>
                <w:rFonts w:hint="eastAsia"/>
                <w:color w:val="auto"/>
                <w:highlight w:val="none"/>
              </w:rPr>
              <w:t>进销存接口调用分析，分析两定机构进销存业务相关接口调用次数占比，包括：商品盘存上传接口、商品库存变更接口、商品采购接口、商品采购退货接口、商品销售接口、商品销售退货接口、商品信息删除接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87" w:type="pct"/>
            <w:vAlign w:val="center"/>
          </w:tcPr>
          <w:p>
            <w:pPr>
              <w:jc w:val="center"/>
              <w:rPr>
                <w:color w:val="auto"/>
                <w:highlight w:val="none"/>
              </w:rPr>
            </w:pPr>
            <w:r>
              <w:rPr>
                <w:rFonts w:hint="eastAsia"/>
                <w:color w:val="auto"/>
                <w:highlight w:val="none"/>
              </w:rPr>
              <w:t>2.11.2</w:t>
            </w:r>
          </w:p>
        </w:tc>
        <w:tc>
          <w:tcPr>
            <w:tcW w:w="2014" w:type="pct"/>
            <w:vAlign w:val="center"/>
          </w:tcPr>
          <w:p>
            <w:pPr>
              <w:jc w:val="center"/>
              <w:rPr>
                <w:color w:val="auto"/>
                <w:highlight w:val="none"/>
              </w:rPr>
            </w:pPr>
            <w:r>
              <w:rPr>
                <w:rFonts w:hint="eastAsia"/>
                <w:color w:val="auto"/>
                <w:highlight w:val="none"/>
              </w:rPr>
              <w:t>医保电子凭证结算分析</w:t>
            </w:r>
          </w:p>
        </w:tc>
        <w:tc>
          <w:tcPr>
            <w:tcW w:w="2297" w:type="pct"/>
          </w:tcPr>
          <w:p>
            <w:pPr>
              <w:rPr>
                <w:color w:val="auto"/>
                <w:highlight w:val="none"/>
              </w:rPr>
            </w:pPr>
            <w:r>
              <w:rPr>
                <w:rFonts w:hint="eastAsia"/>
                <w:color w:val="auto"/>
                <w:highlight w:val="none"/>
              </w:rPr>
              <w:t>医保电子凭证结算分析，分析两定机构医保电子凭证结算比例，分析医保电子凭证结算占总结算类型比例，反映两定机构医保电子凭证结算推广情况。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87" w:type="pct"/>
            <w:vAlign w:val="center"/>
          </w:tcPr>
          <w:p>
            <w:pPr>
              <w:jc w:val="center"/>
              <w:rPr>
                <w:color w:val="auto"/>
                <w:highlight w:val="none"/>
              </w:rPr>
            </w:pPr>
            <w:r>
              <w:rPr>
                <w:rFonts w:hint="eastAsia"/>
                <w:color w:val="auto"/>
                <w:highlight w:val="none"/>
              </w:rPr>
              <w:t>2.11.3</w:t>
            </w:r>
          </w:p>
        </w:tc>
        <w:tc>
          <w:tcPr>
            <w:tcW w:w="2014" w:type="pct"/>
            <w:vAlign w:val="center"/>
          </w:tcPr>
          <w:p>
            <w:pPr>
              <w:jc w:val="center"/>
              <w:rPr>
                <w:color w:val="auto"/>
                <w:highlight w:val="none"/>
              </w:rPr>
            </w:pPr>
            <w:r>
              <w:rPr>
                <w:rFonts w:hint="eastAsia"/>
                <w:color w:val="auto"/>
                <w:highlight w:val="none"/>
              </w:rPr>
              <w:t>医保电子凭证全流程应用分析</w:t>
            </w:r>
          </w:p>
        </w:tc>
        <w:tc>
          <w:tcPr>
            <w:tcW w:w="2297" w:type="pct"/>
          </w:tcPr>
          <w:p>
            <w:pPr>
              <w:rPr>
                <w:color w:val="auto"/>
                <w:highlight w:val="none"/>
              </w:rPr>
            </w:pPr>
            <w:r>
              <w:rPr>
                <w:rFonts w:hint="eastAsia"/>
                <w:color w:val="auto"/>
                <w:highlight w:val="none"/>
              </w:rPr>
              <w:t>医保电子凭证全流程应用分析，分析两定机构医保电子凭证涉及的用码业务，如：挂号、结算、查报告等，反映两定机构医保电子凭证的应用场景。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87" w:type="pct"/>
            <w:vAlign w:val="center"/>
          </w:tcPr>
          <w:p>
            <w:pPr>
              <w:jc w:val="center"/>
              <w:rPr>
                <w:b/>
                <w:bCs/>
                <w:color w:val="auto"/>
                <w:highlight w:val="none"/>
              </w:rPr>
            </w:pPr>
            <w:r>
              <w:rPr>
                <w:rFonts w:hint="eastAsia"/>
                <w:b/>
                <w:bCs/>
                <w:color w:val="auto"/>
                <w:highlight w:val="none"/>
              </w:rPr>
              <w:t>2.12</w:t>
            </w:r>
          </w:p>
        </w:tc>
        <w:tc>
          <w:tcPr>
            <w:tcW w:w="2014" w:type="pct"/>
            <w:vAlign w:val="center"/>
          </w:tcPr>
          <w:p>
            <w:pPr>
              <w:jc w:val="center"/>
              <w:rPr>
                <w:b/>
                <w:bCs/>
                <w:color w:val="auto"/>
                <w:highlight w:val="none"/>
              </w:rPr>
            </w:pPr>
            <w:r>
              <w:rPr>
                <w:rFonts w:hint="eastAsia"/>
                <w:b/>
                <w:bCs/>
                <w:color w:val="auto"/>
                <w:highlight w:val="none"/>
              </w:rPr>
              <w:t>自治区医保两定机构数据质量分析</w:t>
            </w:r>
          </w:p>
        </w:tc>
        <w:tc>
          <w:tcPr>
            <w:tcW w:w="2297" w:type="pct"/>
          </w:tcPr>
          <w:p>
            <w:pPr>
              <w:rPr>
                <w:color w:val="auto"/>
                <w:highlight w:val="none"/>
              </w:rPr>
            </w:pPr>
            <w:r>
              <w:rPr>
                <w:rFonts w:hint="eastAsia"/>
                <w:color w:val="auto"/>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87" w:type="pct"/>
            <w:vAlign w:val="center"/>
          </w:tcPr>
          <w:p>
            <w:pPr>
              <w:jc w:val="center"/>
              <w:rPr>
                <w:color w:val="auto"/>
                <w:highlight w:val="none"/>
              </w:rPr>
            </w:pPr>
            <w:r>
              <w:rPr>
                <w:rFonts w:hint="eastAsia"/>
                <w:color w:val="auto"/>
                <w:highlight w:val="none"/>
              </w:rPr>
              <w:t>2.12.1</w:t>
            </w:r>
          </w:p>
        </w:tc>
        <w:tc>
          <w:tcPr>
            <w:tcW w:w="2014" w:type="pct"/>
            <w:vAlign w:val="center"/>
          </w:tcPr>
          <w:p>
            <w:pPr>
              <w:jc w:val="center"/>
              <w:rPr>
                <w:color w:val="auto"/>
                <w:highlight w:val="none"/>
              </w:rPr>
            </w:pPr>
            <w:r>
              <w:rPr>
                <w:rFonts w:hint="eastAsia"/>
                <w:color w:val="auto"/>
                <w:highlight w:val="none"/>
              </w:rPr>
              <w:t>地市医保数据不合规率排名</w:t>
            </w:r>
          </w:p>
        </w:tc>
        <w:tc>
          <w:tcPr>
            <w:tcW w:w="2297" w:type="pct"/>
          </w:tcPr>
          <w:p>
            <w:pPr>
              <w:rPr>
                <w:color w:val="auto"/>
                <w:highlight w:val="none"/>
              </w:rPr>
            </w:pPr>
            <w:r>
              <w:rPr>
                <w:rFonts w:hint="eastAsia"/>
                <w:color w:val="auto"/>
                <w:highlight w:val="none"/>
              </w:rPr>
              <w:t>地市医保数据不合规率排名，统计各地市医保的两定机构接口调用次数、不合规调用次数、不合规率，按不合规调用数对各地市医保进行排名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trPr>
        <w:tc>
          <w:tcPr>
            <w:tcW w:w="687" w:type="pct"/>
            <w:vAlign w:val="center"/>
          </w:tcPr>
          <w:p>
            <w:pPr>
              <w:jc w:val="center"/>
              <w:rPr>
                <w:color w:val="auto"/>
                <w:highlight w:val="none"/>
              </w:rPr>
            </w:pPr>
            <w:r>
              <w:rPr>
                <w:rFonts w:hint="eastAsia"/>
                <w:color w:val="auto"/>
                <w:highlight w:val="none"/>
              </w:rPr>
              <w:t>2.12.2</w:t>
            </w:r>
          </w:p>
        </w:tc>
        <w:tc>
          <w:tcPr>
            <w:tcW w:w="2014" w:type="pct"/>
            <w:vAlign w:val="center"/>
          </w:tcPr>
          <w:p>
            <w:pPr>
              <w:jc w:val="center"/>
              <w:rPr>
                <w:color w:val="auto"/>
                <w:highlight w:val="none"/>
              </w:rPr>
            </w:pPr>
            <w:r>
              <w:rPr>
                <w:rFonts w:hint="eastAsia"/>
                <w:color w:val="auto"/>
                <w:highlight w:val="none"/>
              </w:rPr>
              <w:t>自治区医保不合规问题分析</w:t>
            </w:r>
          </w:p>
        </w:tc>
        <w:tc>
          <w:tcPr>
            <w:tcW w:w="2297" w:type="pct"/>
          </w:tcPr>
          <w:p>
            <w:pPr>
              <w:rPr>
                <w:color w:val="auto"/>
                <w:highlight w:val="none"/>
              </w:rPr>
            </w:pPr>
            <w:r>
              <w:rPr>
                <w:rFonts w:hint="eastAsia"/>
                <w:color w:val="auto"/>
                <w:highlight w:val="none"/>
              </w:rPr>
              <w:t>自治区医保不合规问题分析，分析自治区医保两定机构不合规问题类型占比，不合规类型包括：交易字段缺失、字段值缺失、字段长度错误、字段精度错误、字段格式错误、字段代码值错误。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0" w:hRule="atLeast"/>
        </w:trPr>
        <w:tc>
          <w:tcPr>
            <w:tcW w:w="687" w:type="pct"/>
            <w:vAlign w:val="center"/>
          </w:tcPr>
          <w:p>
            <w:pPr>
              <w:jc w:val="center"/>
              <w:rPr>
                <w:color w:val="auto"/>
                <w:highlight w:val="none"/>
              </w:rPr>
            </w:pPr>
            <w:r>
              <w:rPr>
                <w:rFonts w:hint="eastAsia"/>
                <w:color w:val="auto"/>
                <w:highlight w:val="none"/>
              </w:rPr>
              <w:t>2.12.3</w:t>
            </w:r>
          </w:p>
        </w:tc>
        <w:tc>
          <w:tcPr>
            <w:tcW w:w="2014" w:type="pct"/>
            <w:vAlign w:val="center"/>
          </w:tcPr>
          <w:p>
            <w:pPr>
              <w:jc w:val="center"/>
              <w:rPr>
                <w:color w:val="auto"/>
                <w:highlight w:val="none"/>
              </w:rPr>
            </w:pPr>
            <w:r>
              <w:rPr>
                <w:rFonts w:hint="eastAsia"/>
                <w:color w:val="auto"/>
                <w:highlight w:val="none"/>
              </w:rPr>
              <w:t>自治区医保业务编码问题分析</w:t>
            </w:r>
          </w:p>
        </w:tc>
        <w:tc>
          <w:tcPr>
            <w:tcW w:w="2297" w:type="pct"/>
          </w:tcPr>
          <w:p>
            <w:pPr>
              <w:rPr>
                <w:color w:val="auto"/>
                <w:highlight w:val="none"/>
              </w:rPr>
            </w:pPr>
            <w:r>
              <w:rPr>
                <w:rFonts w:hint="eastAsia"/>
                <w:color w:val="auto"/>
                <w:highlight w:val="none"/>
              </w:rPr>
              <w:t>自治区医保业务编码问题分析，分析自治区医保两定机构业务编码类型问题数量占比，业务编码类型包括：定点医疗机构编码、医保医师编码、医保护士编码、定点零售药店编码、医保药师编码、医保系统单位编码、医保系统工作人员编码、医保门诊慢特病病种编码、医保按病种结算病种编码、医保日间手术病种编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87" w:type="pct"/>
            <w:vAlign w:val="center"/>
          </w:tcPr>
          <w:p>
            <w:pPr>
              <w:jc w:val="center"/>
              <w:rPr>
                <w:b/>
                <w:bCs/>
                <w:color w:val="auto"/>
                <w:highlight w:val="none"/>
              </w:rPr>
            </w:pPr>
            <w:r>
              <w:rPr>
                <w:rFonts w:hint="eastAsia"/>
                <w:b/>
                <w:bCs/>
                <w:color w:val="auto"/>
                <w:highlight w:val="none"/>
              </w:rPr>
              <w:t>2.13</w:t>
            </w:r>
          </w:p>
        </w:tc>
        <w:tc>
          <w:tcPr>
            <w:tcW w:w="2014" w:type="pct"/>
            <w:vAlign w:val="center"/>
          </w:tcPr>
          <w:p>
            <w:pPr>
              <w:jc w:val="center"/>
              <w:rPr>
                <w:b/>
                <w:bCs/>
                <w:color w:val="auto"/>
                <w:highlight w:val="none"/>
              </w:rPr>
            </w:pPr>
            <w:r>
              <w:rPr>
                <w:rFonts w:hint="eastAsia"/>
                <w:b/>
                <w:bCs/>
                <w:color w:val="auto"/>
                <w:highlight w:val="none"/>
              </w:rPr>
              <w:t>地市医保两定机构数据质量分析</w:t>
            </w:r>
          </w:p>
        </w:tc>
        <w:tc>
          <w:tcPr>
            <w:tcW w:w="2297" w:type="pct"/>
          </w:tcPr>
          <w:p>
            <w:pPr>
              <w:rPr>
                <w:color w:val="auto"/>
                <w:highlight w:val="none"/>
              </w:rPr>
            </w:pPr>
            <w:r>
              <w:rPr>
                <w:rFonts w:hint="eastAsia"/>
                <w:color w:val="auto"/>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87" w:type="pct"/>
            <w:vAlign w:val="center"/>
          </w:tcPr>
          <w:p>
            <w:pPr>
              <w:jc w:val="center"/>
              <w:rPr>
                <w:color w:val="auto"/>
                <w:highlight w:val="none"/>
              </w:rPr>
            </w:pPr>
            <w:r>
              <w:rPr>
                <w:rFonts w:hint="eastAsia"/>
                <w:color w:val="auto"/>
                <w:highlight w:val="none"/>
              </w:rPr>
              <w:t>2.13.1</w:t>
            </w:r>
          </w:p>
        </w:tc>
        <w:tc>
          <w:tcPr>
            <w:tcW w:w="2014" w:type="pct"/>
            <w:vAlign w:val="center"/>
          </w:tcPr>
          <w:p>
            <w:pPr>
              <w:jc w:val="center"/>
              <w:rPr>
                <w:color w:val="auto"/>
                <w:highlight w:val="none"/>
              </w:rPr>
            </w:pPr>
            <w:r>
              <w:rPr>
                <w:rFonts w:hint="eastAsia"/>
                <w:color w:val="auto"/>
                <w:highlight w:val="none"/>
              </w:rPr>
              <w:t>两定机构不合规率排名</w:t>
            </w:r>
          </w:p>
        </w:tc>
        <w:tc>
          <w:tcPr>
            <w:tcW w:w="2297" w:type="pct"/>
          </w:tcPr>
          <w:p>
            <w:pPr>
              <w:rPr>
                <w:color w:val="auto"/>
                <w:highlight w:val="none"/>
              </w:rPr>
            </w:pPr>
            <w:r>
              <w:rPr>
                <w:rFonts w:hint="eastAsia"/>
                <w:color w:val="auto"/>
                <w:highlight w:val="none"/>
              </w:rPr>
              <w:t>两定机构不合规率排名，统计地市医保的两定机构接口调用次数、不合规调用次数、不合规率，按不合规调用数对定点医疗机构、定点零售药店进行排名。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trPr>
        <w:tc>
          <w:tcPr>
            <w:tcW w:w="687" w:type="pct"/>
            <w:vAlign w:val="center"/>
          </w:tcPr>
          <w:p>
            <w:pPr>
              <w:jc w:val="center"/>
              <w:rPr>
                <w:color w:val="auto"/>
                <w:highlight w:val="none"/>
              </w:rPr>
            </w:pPr>
            <w:r>
              <w:rPr>
                <w:rFonts w:hint="eastAsia"/>
                <w:color w:val="auto"/>
                <w:highlight w:val="none"/>
              </w:rPr>
              <w:t>2.13.2</w:t>
            </w:r>
          </w:p>
        </w:tc>
        <w:tc>
          <w:tcPr>
            <w:tcW w:w="2014" w:type="pct"/>
            <w:vAlign w:val="center"/>
          </w:tcPr>
          <w:p>
            <w:pPr>
              <w:jc w:val="center"/>
              <w:rPr>
                <w:color w:val="auto"/>
                <w:highlight w:val="none"/>
              </w:rPr>
            </w:pPr>
            <w:r>
              <w:rPr>
                <w:rFonts w:hint="eastAsia"/>
                <w:color w:val="auto"/>
                <w:highlight w:val="none"/>
              </w:rPr>
              <w:t>地市医保不合规问题分析</w:t>
            </w:r>
          </w:p>
        </w:tc>
        <w:tc>
          <w:tcPr>
            <w:tcW w:w="2297" w:type="pct"/>
          </w:tcPr>
          <w:p>
            <w:pPr>
              <w:rPr>
                <w:color w:val="auto"/>
                <w:highlight w:val="none"/>
              </w:rPr>
            </w:pPr>
            <w:r>
              <w:rPr>
                <w:rFonts w:hint="eastAsia"/>
                <w:color w:val="auto"/>
                <w:highlight w:val="none"/>
              </w:rPr>
              <w:t>地市医保不合规问题分析，分析地市医保的不合规问题类型占比，不合规类型包括：交易字段缺失、字段值缺失、字段长度错误、字段精度错误、字段格式错误、字段代码值错误。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0" w:hRule="atLeast"/>
        </w:trPr>
        <w:tc>
          <w:tcPr>
            <w:tcW w:w="687" w:type="pct"/>
            <w:vAlign w:val="center"/>
          </w:tcPr>
          <w:p>
            <w:pPr>
              <w:jc w:val="center"/>
              <w:rPr>
                <w:color w:val="auto"/>
                <w:highlight w:val="none"/>
              </w:rPr>
            </w:pPr>
            <w:r>
              <w:rPr>
                <w:rFonts w:hint="eastAsia"/>
                <w:color w:val="auto"/>
                <w:highlight w:val="none"/>
              </w:rPr>
              <w:t>2.13.3</w:t>
            </w:r>
          </w:p>
        </w:tc>
        <w:tc>
          <w:tcPr>
            <w:tcW w:w="2014" w:type="pct"/>
            <w:vAlign w:val="center"/>
          </w:tcPr>
          <w:p>
            <w:pPr>
              <w:jc w:val="center"/>
              <w:rPr>
                <w:color w:val="auto"/>
                <w:highlight w:val="none"/>
              </w:rPr>
            </w:pPr>
            <w:r>
              <w:rPr>
                <w:rFonts w:hint="eastAsia"/>
                <w:color w:val="auto"/>
                <w:highlight w:val="none"/>
              </w:rPr>
              <w:t>地市医保业务编码问题分析</w:t>
            </w:r>
          </w:p>
        </w:tc>
        <w:tc>
          <w:tcPr>
            <w:tcW w:w="2297" w:type="pct"/>
          </w:tcPr>
          <w:p>
            <w:pPr>
              <w:rPr>
                <w:color w:val="auto"/>
                <w:highlight w:val="none"/>
              </w:rPr>
            </w:pPr>
            <w:r>
              <w:rPr>
                <w:rFonts w:hint="eastAsia"/>
                <w:color w:val="auto"/>
                <w:highlight w:val="none"/>
              </w:rPr>
              <w:t>地市医保业务编码问题分析，分析地市医保的业务编码类型问题数量占比，业务编码类型包括：定点医疗机构编码、医保医师编码、医保护士编码、定点零售药店编码、医保药师编码、医保系统单位编码、医保系统工作人员编码、医保门诊慢特病病种编码、医保按病种结算病种编码、医保日间手术病种编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87" w:type="pct"/>
            <w:vAlign w:val="center"/>
          </w:tcPr>
          <w:p>
            <w:pPr>
              <w:jc w:val="center"/>
              <w:rPr>
                <w:b/>
                <w:bCs/>
                <w:color w:val="auto"/>
                <w:highlight w:val="none"/>
              </w:rPr>
            </w:pPr>
            <w:r>
              <w:rPr>
                <w:rFonts w:hint="eastAsia"/>
                <w:b/>
                <w:bCs/>
                <w:color w:val="auto"/>
                <w:highlight w:val="none"/>
              </w:rPr>
              <w:t>2.14</w:t>
            </w:r>
          </w:p>
        </w:tc>
        <w:tc>
          <w:tcPr>
            <w:tcW w:w="2014" w:type="pct"/>
            <w:vAlign w:val="center"/>
          </w:tcPr>
          <w:p>
            <w:pPr>
              <w:jc w:val="center"/>
              <w:rPr>
                <w:b/>
                <w:bCs/>
                <w:color w:val="auto"/>
                <w:highlight w:val="none"/>
              </w:rPr>
            </w:pPr>
            <w:r>
              <w:rPr>
                <w:rFonts w:hint="eastAsia"/>
                <w:b/>
                <w:bCs/>
                <w:color w:val="auto"/>
                <w:highlight w:val="none"/>
              </w:rPr>
              <w:t>两定机构数据质量分析</w:t>
            </w:r>
          </w:p>
        </w:tc>
        <w:tc>
          <w:tcPr>
            <w:tcW w:w="2297" w:type="pct"/>
          </w:tcPr>
          <w:p>
            <w:pPr>
              <w:rPr>
                <w:color w:val="auto"/>
                <w:highlight w:val="none"/>
              </w:rPr>
            </w:pPr>
            <w:r>
              <w:rPr>
                <w:rFonts w:hint="eastAsia"/>
                <w:color w:val="auto"/>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87" w:type="pct"/>
            <w:vAlign w:val="center"/>
          </w:tcPr>
          <w:p>
            <w:pPr>
              <w:jc w:val="center"/>
              <w:rPr>
                <w:color w:val="auto"/>
                <w:highlight w:val="none"/>
              </w:rPr>
            </w:pPr>
            <w:r>
              <w:rPr>
                <w:rFonts w:hint="eastAsia"/>
                <w:color w:val="auto"/>
                <w:highlight w:val="none"/>
              </w:rPr>
              <w:t>2.14.1</w:t>
            </w:r>
          </w:p>
        </w:tc>
        <w:tc>
          <w:tcPr>
            <w:tcW w:w="2014" w:type="pct"/>
            <w:vAlign w:val="center"/>
          </w:tcPr>
          <w:p>
            <w:pPr>
              <w:jc w:val="center"/>
              <w:rPr>
                <w:color w:val="auto"/>
                <w:highlight w:val="none"/>
              </w:rPr>
            </w:pPr>
            <w:r>
              <w:rPr>
                <w:rFonts w:hint="eastAsia"/>
                <w:color w:val="auto"/>
                <w:highlight w:val="none"/>
              </w:rPr>
              <w:t>两定机构接口不合规率排名</w:t>
            </w:r>
          </w:p>
        </w:tc>
        <w:tc>
          <w:tcPr>
            <w:tcW w:w="2297" w:type="pct"/>
          </w:tcPr>
          <w:p>
            <w:pPr>
              <w:rPr>
                <w:color w:val="auto"/>
                <w:highlight w:val="none"/>
              </w:rPr>
            </w:pPr>
            <w:r>
              <w:rPr>
                <w:rFonts w:hint="eastAsia"/>
                <w:color w:val="auto"/>
                <w:highlight w:val="none"/>
              </w:rPr>
              <w:t>两定机构接口不合规率排名，分析某定点医疗机构、定点零售药店，每类接口的调用数、不合规调用数、不合规率，并按照不合规率对接口进行排名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trPr>
        <w:tc>
          <w:tcPr>
            <w:tcW w:w="687" w:type="pct"/>
            <w:vAlign w:val="center"/>
          </w:tcPr>
          <w:p>
            <w:pPr>
              <w:jc w:val="center"/>
              <w:rPr>
                <w:color w:val="auto"/>
                <w:highlight w:val="none"/>
              </w:rPr>
            </w:pPr>
            <w:r>
              <w:rPr>
                <w:rFonts w:hint="eastAsia"/>
                <w:color w:val="auto"/>
                <w:highlight w:val="none"/>
              </w:rPr>
              <w:t>2.14.2</w:t>
            </w:r>
          </w:p>
        </w:tc>
        <w:tc>
          <w:tcPr>
            <w:tcW w:w="2014" w:type="pct"/>
            <w:vAlign w:val="center"/>
          </w:tcPr>
          <w:p>
            <w:pPr>
              <w:jc w:val="center"/>
              <w:rPr>
                <w:color w:val="auto"/>
                <w:highlight w:val="none"/>
              </w:rPr>
            </w:pPr>
            <w:r>
              <w:rPr>
                <w:rFonts w:hint="eastAsia"/>
                <w:color w:val="auto"/>
                <w:highlight w:val="none"/>
              </w:rPr>
              <w:t>两定机构不合规问题分析</w:t>
            </w:r>
          </w:p>
        </w:tc>
        <w:tc>
          <w:tcPr>
            <w:tcW w:w="2297" w:type="pct"/>
          </w:tcPr>
          <w:p>
            <w:pPr>
              <w:rPr>
                <w:color w:val="auto"/>
                <w:highlight w:val="none"/>
              </w:rPr>
            </w:pPr>
            <w:r>
              <w:rPr>
                <w:rFonts w:hint="eastAsia"/>
                <w:color w:val="auto"/>
                <w:highlight w:val="none"/>
              </w:rPr>
              <w:t>两定机构不合规问题分析，分析某两定机构的不合规问题类型占比，不合规类型包括：交易字段缺失、字段值缺失、字段长度错误、字段精度错误、字段格式错误、字段代码值错误。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0" w:hRule="atLeast"/>
        </w:trPr>
        <w:tc>
          <w:tcPr>
            <w:tcW w:w="687" w:type="pct"/>
            <w:vAlign w:val="center"/>
          </w:tcPr>
          <w:p>
            <w:pPr>
              <w:jc w:val="center"/>
              <w:rPr>
                <w:color w:val="auto"/>
                <w:highlight w:val="none"/>
              </w:rPr>
            </w:pPr>
            <w:r>
              <w:rPr>
                <w:rFonts w:hint="eastAsia"/>
                <w:color w:val="auto"/>
                <w:highlight w:val="none"/>
              </w:rPr>
              <w:t>2.14.3</w:t>
            </w:r>
          </w:p>
        </w:tc>
        <w:tc>
          <w:tcPr>
            <w:tcW w:w="2014" w:type="pct"/>
            <w:vAlign w:val="center"/>
          </w:tcPr>
          <w:p>
            <w:pPr>
              <w:jc w:val="center"/>
              <w:rPr>
                <w:color w:val="auto"/>
                <w:highlight w:val="none"/>
              </w:rPr>
            </w:pPr>
            <w:r>
              <w:rPr>
                <w:rFonts w:hint="eastAsia"/>
                <w:color w:val="auto"/>
                <w:highlight w:val="none"/>
              </w:rPr>
              <w:t>两定机构业务编码问题分析</w:t>
            </w:r>
          </w:p>
        </w:tc>
        <w:tc>
          <w:tcPr>
            <w:tcW w:w="2297" w:type="pct"/>
          </w:tcPr>
          <w:p>
            <w:pPr>
              <w:rPr>
                <w:color w:val="auto"/>
                <w:highlight w:val="none"/>
              </w:rPr>
            </w:pPr>
            <w:r>
              <w:rPr>
                <w:rFonts w:hint="eastAsia"/>
                <w:color w:val="auto"/>
                <w:highlight w:val="none"/>
              </w:rPr>
              <w:t>两定机构业务编码问题分析，分析某两定机构的业务编码类型问题数量占比，业务编码类型包括：定点医疗机构编码、医保医师编码、医保护士编码、定点零售药店编码、医保药师编码、医保系统单位编码、医保系统工作人员编码、医保门诊慢特病病种编码、医保按病种结算病种编码、医保日间手术病种编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87" w:type="pct"/>
            <w:vAlign w:val="center"/>
          </w:tcPr>
          <w:p>
            <w:pPr>
              <w:jc w:val="center"/>
              <w:rPr>
                <w:b/>
                <w:bCs/>
                <w:color w:val="auto"/>
                <w:highlight w:val="none"/>
              </w:rPr>
            </w:pPr>
            <w:r>
              <w:rPr>
                <w:rFonts w:hint="eastAsia"/>
                <w:b/>
                <w:bCs/>
                <w:color w:val="auto"/>
                <w:highlight w:val="none"/>
              </w:rPr>
              <w:t>2.15</w:t>
            </w:r>
          </w:p>
        </w:tc>
        <w:tc>
          <w:tcPr>
            <w:tcW w:w="2014" w:type="pct"/>
            <w:vAlign w:val="center"/>
          </w:tcPr>
          <w:p>
            <w:pPr>
              <w:jc w:val="center"/>
              <w:rPr>
                <w:b/>
                <w:bCs/>
                <w:color w:val="auto"/>
                <w:highlight w:val="none"/>
              </w:rPr>
            </w:pPr>
            <w:r>
              <w:rPr>
                <w:rFonts w:hint="eastAsia"/>
                <w:b/>
                <w:bCs/>
                <w:color w:val="auto"/>
                <w:highlight w:val="none"/>
              </w:rPr>
              <w:t>两定机构数据质量问题汇总</w:t>
            </w:r>
          </w:p>
        </w:tc>
        <w:tc>
          <w:tcPr>
            <w:tcW w:w="2297" w:type="pct"/>
          </w:tcPr>
          <w:p>
            <w:pPr>
              <w:rPr>
                <w:color w:val="auto"/>
                <w:highlight w:val="none"/>
              </w:rPr>
            </w:pPr>
            <w:r>
              <w:rPr>
                <w:rFonts w:hint="eastAsia"/>
                <w:color w:val="auto"/>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87" w:type="pct"/>
            <w:vAlign w:val="center"/>
          </w:tcPr>
          <w:p>
            <w:pPr>
              <w:jc w:val="center"/>
              <w:rPr>
                <w:color w:val="auto"/>
                <w:highlight w:val="none"/>
              </w:rPr>
            </w:pPr>
            <w:r>
              <w:rPr>
                <w:rFonts w:hint="eastAsia"/>
                <w:color w:val="auto"/>
                <w:highlight w:val="none"/>
              </w:rPr>
              <w:t>2.15.1</w:t>
            </w:r>
          </w:p>
        </w:tc>
        <w:tc>
          <w:tcPr>
            <w:tcW w:w="2014" w:type="pct"/>
            <w:vAlign w:val="center"/>
          </w:tcPr>
          <w:p>
            <w:pPr>
              <w:jc w:val="center"/>
              <w:rPr>
                <w:color w:val="auto"/>
                <w:highlight w:val="none"/>
              </w:rPr>
            </w:pPr>
            <w:r>
              <w:rPr>
                <w:rFonts w:hint="eastAsia"/>
                <w:color w:val="auto"/>
                <w:highlight w:val="none"/>
              </w:rPr>
              <w:t>数据规范问题清单生成</w:t>
            </w:r>
          </w:p>
        </w:tc>
        <w:tc>
          <w:tcPr>
            <w:tcW w:w="2297" w:type="pct"/>
          </w:tcPr>
          <w:p>
            <w:pPr>
              <w:rPr>
                <w:color w:val="auto"/>
                <w:highlight w:val="none"/>
              </w:rPr>
            </w:pPr>
            <w:r>
              <w:rPr>
                <w:rFonts w:hint="eastAsia"/>
                <w:color w:val="auto"/>
                <w:highlight w:val="none"/>
              </w:rPr>
              <w:t>将定点医疗机构、定点零售药店检测出的不合规数据形成数据规范问题清单，作为数据规范整改依据，量化数据规范问题。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87" w:type="pct"/>
            <w:vAlign w:val="center"/>
          </w:tcPr>
          <w:p>
            <w:pPr>
              <w:jc w:val="center"/>
              <w:rPr>
                <w:color w:val="auto"/>
                <w:highlight w:val="none"/>
              </w:rPr>
            </w:pPr>
            <w:r>
              <w:rPr>
                <w:rFonts w:hint="eastAsia"/>
                <w:color w:val="auto"/>
                <w:highlight w:val="none"/>
              </w:rPr>
              <w:t>2.15.2</w:t>
            </w:r>
          </w:p>
        </w:tc>
        <w:tc>
          <w:tcPr>
            <w:tcW w:w="2014" w:type="pct"/>
            <w:vAlign w:val="center"/>
          </w:tcPr>
          <w:p>
            <w:pPr>
              <w:jc w:val="center"/>
              <w:rPr>
                <w:color w:val="auto"/>
                <w:highlight w:val="none"/>
              </w:rPr>
            </w:pPr>
            <w:r>
              <w:rPr>
                <w:rFonts w:hint="eastAsia"/>
                <w:color w:val="auto"/>
                <w:highlight w:val="none"/>
              </w:rPr>
              <w:t>数据规范问题清单分析</w:t>
            </w:r>
          </w:p>
        </w:tc>
        <w:tc>
          <w:tcPr>
            <w:tcW w:w="2297" w:type="pct"/>
          </w:tcPr>
          <w:p>
            <w:pPr>
              <w:rPr>
                <w:color w:val="auto"/>
                <w:highlight w:val="none"/>
              </w:rPr>
            </w:pPr>
            <w:r>
              <w:rPr>
                <w:rFonts w:hint="eastAsia"/>
                <w:color w:val="auto"/>
                <w:highlight w:val="none"/>
              </w:rPr>
              <w:t>定位不合规数据的两定机构、业务接口，以及两定机构上传的明细数据，列出其中问题字段以及不合规描述，帮助两定机构更好进行整改。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87" w:type="pct"/>
            <w:vAlign w:val="center"/>
          </w:tcPr>
          <w:p>
            <w:pPr>
              <w:jc w:val="center"/>
              <w:rPr>
                <w:color w:val="auto"/>
                <w:highlight w:val="none"/>
              </w:rPr>
            </w:pPr>
            <w:r>
              <w:rPr>
                <w:rFonts w:hint="eastAsia"/>
                <w:color w:val="auto"/>
                <w:highlight w:val="none"/>
              </w:rPr>
              <w:t>2.15.3</w:t>
            </w:r>
          </w:p>
        </w:tc>
        <w:tc>
          <w:tcPr>
            <w:tcW w:w="2014" w:type="pct"/>
            <w:vAlign w:val="center"/>
          </w:tcPr>
          <w:p>
            <w:pPr>
              <w:jc w:val="center"/>
              <w:rPr>
                <w:color w:val="auto"/>
                <w:highlight w:val="none"/>
              </w:rPr>
            </w:pPr>
            <w:r>
              <w:rPr>
                <w:rFonts w:hint="eastAsia"/>
                <w:color w:val="auto"/>
                <w:highlight w:val="none"/>
              </w:rPr>
              <w:t>问题明细数据链接生成</w:t>
            </w:r>
          </w:p>
        </w:tc>
        <w:tc>
          <w:tcPr>
            <w:tcW w:w="2297" w:type="pct"/>
          </w:tcPr>
          <w:p>
            <w:pPr>
              <w:rPr>
                <w:color w:val="auto"/>
                <w:highlight w:val="none"/>
              </w:rPr>
            </w:pPr>
            <w:r>
              <w:rPr>
                <w:rFonts w:hint="eastAsia"/>
                <w:color w:val="auto"/>
                <w:highlight w:val="none"/>
              </w:rPr>
              <w:t>提供明细数据链接，展示接口输入完整数据，标注问题字段，方便结合完整数据排查问题数据。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87" w:type="pct"/>
            <w:vAlign w:val="center"/>
          </w:tcPr>
          <w:p>
            <w:pPr>
              <w:jc w:val="center"/>
              <w:rPr>
                <w:b/>
                <w:bCs/>
                <w:color w:val="auto"/>
                <w:highlight w:val="none"/>
              </w:rPr>
            </w:pPr>
            <w:r>
              <w:rPr>
                <w:rFonts w:hint="eastAsia"/>
                <w:b/>
                <w:bCs/>
                <w:color w:val="auto"/>
                <w:highlight w:val="none"/>
              </w:rPr>
              <w:t>2.16</w:t>
            </w:r>
          </w:p>
        </w:tc>
        <w:tc>
          <w:tcPr>
            <w:tcW w:w="2014" w:type="pct"/>
            <w:vAlign w:val="center"/>
          </w:tcPr>
          <w:p>
            <w:pPr>
              <w:jc w:val="center"/>
              <w:rPr>
                <w:b/>
                <w:bCs/>
                <w:color w:val="auto"/>
                <w:highlight w:val="none"/>
              </w:rPr>
            </w:pPr>
            <w:r>
              <w:rPr>
                <w:rFonts w:hint="eastAsia"/>
                <w:b/>
                <w:bCs/>
                <w:color w:val="auto"/>
                <w:highlight w:val="none"/>
              </w:rPr>
              <w:t>两定机构结算清单质控分析报告内容定制</w:t>
            </w:r>
          </w:p>
        </w:tc>
        <w:tc>
          <w:tcPr>
            <w:tcW w:w="2297" w:type="pct"/>
          </w:tcPr>
          <w:p>
            <w:pPr>
              <w:rPr>
                <w:color w:val="auto"/>
                <w:highlight w:val="none"/>
              </w:rPr>
            </w:pPr>
            <w:r>
              <w:rPr>
                <w:rFonts w:hint="eastAsia"/>
                <w:color w:val="auto"/>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trPr>
        <w:tc>
          <w:tcPr>
            <w:tcW w:w="687" w:type="pct"/>
            <w:vAlign w:val="center"/>
          </w:tcPr>
          <w:p>
            <w:pPr>
              <w:jc w:val="center"/>
              <w:rPr>
                <w:color w:val="auto"/>
                <w:highlight w:val="none"/>
              </w:rPr>
            </w:pPr>
            <w:r>
              <w:rPr>
                <w:rFonts w:hint="eastAsia"/>
                <w:color w:val="auto"/>
                <w:highlight w:val="none"/>
              </w:rPr>
              <w:t>2.16.1</w:t>
            </w:r>
          </w:p>
        </w:tc>
        <w:tc>
          <w:tcPr>
            <w:tcW w:w="2014" w:type="pct"/>
            <w:vAlign w:val="center"/>
          </w:tcPr>
          <w:p>
            <w:pPr>
              <w:jc w:val="center"/>
              <w:rPr>
                <w:color w:val="auto"/>
                <w:highlight w:val="none"/>
              </w:rPr>
            </w:pPr>
            <w:r>
              <w:rPr>
                <w:rFonts w:hint="eastAsia"/>
                <w:color w:val="auto"/>
                <w:highlight w:val="none"/>
              </w:rPr>
              <w:t>两定机构结算清单上传数统计</w:t>
            </w:r>
          </w:p>
        </w:tc>
        <w:tc>
          <w:tcPr>
            <w:tcW w:w="2297" w:type="pct"/>
          </w:tcPr>
          <w:p>
            <w:pPr>
              <w:rPr>
                <w:color w:val="auto"/>
                <w:highlight w:val="none"/>
              </w:rPr>
            </w:pPr>
            <w:r>
              <w:rPr>
                <w:rFonts w:hint="eastAsia"/>
                <w:color w:val="auto"/>
                <w:highlight w:val="none"/>
              </w:rPr>
              <w:t>统计两定机构结算清单上传数，异常数、异常率，统计结算清单一致性问题、完整性问题、规范性问题、合理性问题占比，分析异常结算清单数量趋势，掌握某两定机构结算清单质控情况。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87" w:type="pct"/>
            <w:vAlign w:val="center"/>
          </w:tcPr>
          <w:p>
            <w:pPr>
              <w:jc w:val="center"/>
              <w:rPr>
                <w:color w:val="auto"/>
                <w:highlight w:val="none"/>
              </w:rPr>
            </w:pPr>
            <w:r>
              <w:rPr>
                <w:rFonts w:hint="eastAsia"/>
                <w:color w:val="auto"/>
                <w:highlight w:val="none"/>
              </w:rPr>
              <w:t>2.16.2</w:t>
            </w:r>
          </w:p>
        </w:tc>
        <w:tc>
          <w:tcPr>
            <w:tcW w:w="2014" w:type="pct"/>
            <w:vAlign w:val="center"/>
          </w:tcPr>
          <w:p>
            <w:pPr>
              <w:jc w:val="center"/>
              <w:rPr>
                <w:color w:val="auto"/>
                <w:highlight w:val="none"/>
              </w:rPr>
            </w:pPr>
            <w:r>
              <w:rPr>
                <w:rFonts w:hint="eastAsia"/>
                <w:color w:val="auto"/>
                <w:highlight w:val="none"/>
              </w:rPr>
              <w:t>一致性问题分析</w:t>
            </w:r>
          </w:p>
        </w:tc>
        <w:tc>
          <w:tcPr>
            <w:tcW w:w="2297" w:type="pct"/>
          </w:tcPr>
          <w:p>
            <w:pPr>
              <w:rPr>
                <w:color w:val="auto"/>
                <w:highlight w:val="none"/>
              </w:rPr>
            </w:pPr>
            <w:r>
              <w:rPr>
                <w:rFonts w:hint="eastAsia"/>
                <w:color w:val="auto"/>
                <w:highlight w:val="none"/>
              </w:rPr>
              <w:t>一致性问题分析，检测两定机构上传结算清单数据一致性，通过数据间比对分析，检测上传数据与实际数据是否一致，统计两定机构触发的一致性规则。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87" w:type="pct"/>
            <w:vAlign w:val="center"/>
          </w:tcPr>
          <w:p>
            <w:pPr>
              <w:jc w:val="center"/>
              <w:rPr>
                <w:color w:val="auto"/>
                <w:highlight w:val="none"/>
              </w:rPr>
            </w:pPr>
            <w:r>
              <w:rPr>
                <w:rFonts w:hint="eastAsia"/>
                <w:color w:val="auto"/>
                <w:highlight w:val="none"/>
              </w:rPr>
              <w:t>2.16.3</w:t>
            </w:r>
          </w:p>
        </w:tc>
        <w:tc>
          <w:tcPr>
            <w:tcW w:w="2014" w:type="pct"/>
            <w:vAlign w:val="center"/>
          </w:tcPr>
          <w:p>
            <w:pPr>
              <w:jc w:val="center"/>
              <w:rPr>
                <w:color w:val="auto"/>
                <w:highlight w:val="none"/>
              </w:rPr>
            </w:pPr>
            <w:r>
              <w:rPr>
                <w:rFonts w:hint="eastAsia"/>
                <w:color w:val="auto"/>
                <w:highlight w:val="none"/>
              </w:rPr>
              <w:t>完整性问题分析</w:t>
            </w:r>
          </w:p>
        </w:tc>
        <w:tc>
          <w:tcPr>
            <w:tcW w:w="2297" w:type="pct"/>
          </w:tcPr>
          <w:p>
            <w:pPr>
              <w:rPr>
                <w:color w:val="auto"/>
                <w:highlight w:val="none"/>
              </w:rPr>
            </w:pPr>
            <w:r>
              <w:rPr>
                <w:rFonts w:hint="eastAsia"/>
                <w:color w:val="auto"/>
                <w:highlight w:val="none"/>
              </w:rPr>
              <w:t>完整性问题分析，检测两定机构上传结算清单数据完整性，检测结算清单关键字段是否为空，统计两定机构触发的完整性规则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87" w:type="pct"/>
            <w:vAlign w:val="center"/>
          </w:tcPr>
          <w:p>
            <w:pPr>
              <w:jc w:val="center"/>
              <w:rPr>
                <w:color w:val="auto"/>
                <w:highlight w:val="none"/>
              </w:rPr>
            </w:pPr>
            <w:r>
              <w:rPr>
                <w:rFonts w:hint="eastAsia"/>
                <w:color w:val="auto"/>
                <w:highlight w:val="none"/>
              </w:rPr>
              <w:t>2.16.4</w:t>
            </w:r>
          </w:p>
        </w:tc>
        <w:tc>
          <w:tcPr>
            <w:tcW w:w="2014" w:type="pct"/>
            <w:vAlign w:val="center"/>
          </w:tcPr>
          <w:p>
            <w:pPr>
              <w:jc w:val="center"/>
              <w:rPr>
                <w:color w:val="auto"/>
                <w:highlight w:val="none"/>
              </w:rPr>
            </w:pPr>
            <w:r>
              <w:rPr>
                <w:rFonts w:hint="eastAsia"/>
                <w:color w:val="auto"/>
                <w:highlight w:val="none"/>
              </w:rPr>
              <w:t>规范性问题分析</w:t>
            </w:r>
          </w:p>
        </w:tc>
        <w:tc>
          <w:tcPr>
            <w:tcW w:w="2297" w:type="pct"/>
          </w:tcPr>
          <w:p>
            <w:pPr>
              <w:rPr>
                <w:color w:val="auto"/>
                <w:highlight w:val="none"/>
              </w:rPr>
            </w:pPr>
            <w:r>
              <w:rPr>
                <w:rFonts w:hint="eastAsia"/>
                <w:color w:val="auto"/>
                <w:highlight w:val="none"/>
              </w:rPr>
              <w:t>规范性问题分析，检测两定机构上传结算清单数据规范性，检测结算清单填写数据是否符合业务规范、格式，统计两定机构触发的规范性规则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87" w:type="pct"/>
            <w:vAlign w:val="center"/>
          </w:tcPr>
          <w:p>
            <w:pPr>
              <w:jc w:val="center"/>
              <w:rPr>
                <w:color w:val="auto"/>
                <w:highlight w:val="none"/>
              </w:rPr>
            </w:pPr>
            <w:r>
              <w:rPr>
                <w:rFonts w:hint="eastAsia"/>
                <w:color w:val="auto"/>
                <w:highlight w:val="none"/>
              </w:rPr>
              <w:t>2.16.5</w:t>
            </w:r>
          </w:p>
        </w:tc>
        <w:tc>
          <w:tcPr>
            <w:tcW w:w="2014" w:type="pct"/>
            <w:vAlign w:val="center"/>
          </w:tcPr>
          <w:p>
            <w:pPr>
              <w:jc w:val="center"/>
              <w:rPr>
                <w:color w:val="auto"/>
                <w:highlight w:val="none"/>
              </w:rPr>
            </w:pPr>
            <w:r>
              <w:rPr>
                <w:rFonts w:hint="eastAsia"/>
                <w:color w:val="auto"/>
                <w:highlight w:val="none"/>
              </w:rPr>
              <w:t>合理性问题分析</w:t>
            </w:r>
          </w:p>
        </w:tc>
        <w:tc>
          <w:tcPr>
            <w:tcW w:w="2297" w:type="pct"/>
          </w:tcPr>
          <w:p>
            <w:pPr>
              <w:rPr>
                <w:color w:val="auto"/>
                <w:highlight w:val="none"/>
              </w:rPr>
            </w:pPr>
            <w:r>
              <w:rPr>
                <w:rFonts w:hint="eastAsia"/>
                <w:color w:val="auto"/>
                <w:highlight w:val="none"/>
              </w:rPr>
              <w:t>合理性问题分析，检测两定机构上传结算清单数据合理性，检测结算清单填写数据是否存在逻辑问题，统计两定机构触发的合理性规则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87" w:type="pct"/>
            <w:vAlign w:val="center"/>
          </w:tcPr>
          <w:p>
            <w:pPr>
              <w:jc w:val="center"/>
              <w:rPr>
                <w:b/>
                <w:bCs/>
                <w:color w:val="auto"/>
                <w:highlight w:val="none"/>
              </w:rPr>
            </w:pPr>
            <w:r>
              <w:rPr>
                <w:rFonts w:hint="eastAsia"/>
                <w:b/>
                <w:bCs/>
                <w:color w:val="auto"/>
                <w:highlight w:val="none"/>
              </w:rPr>
              <w:t>2.17</w:t>
            </w:r>
          </w:p>
        </w:tc>
        <w:tc>
          <w:tcPr>
            <w:tcW w:w="2014" w:type="pct"/>
            <w:vAlign w:val="center"/>
          </w:tcPr>
          <w:p>
            <w:pPr>
              <w:jc w:val="center"/>
              <w:rPr>
                <w:b/>
                <w:bCs/>
                <w:color w:val="auto"/>
                <w:highlight w:val="none"/>
              </w:rPr>
            </w:pPr>
            <w:r>
              <w:rPr>
                <w:rFonts w:hint="eastAsia"/>
                <w:b/>
                <w:bCs/>
                <w:color w:val="auto"/>
                <w:highlight w:val="none"/>
              </w:rPr>
              <w:t>两定机构结算清单问题汇总</w:t>
            </w:r>
          </w:p>
        </w:tc>
        <w:tc>
          <w:tcPr>
            <w:tcW w:w="2297" w:type="pct"/>
          </w:tcPr>
          <w:p>
            <w:pPr>
              <w:rPr>
                <w:color w:val="auto"/>
                <w:highlight w:val="none"/>
              </w:rPr>
            </w:pPr>
            <w:r>
              <w:rPr>
                <w:rFonts w:hint="eastAsia"/>
                <w:color w:val="auto"/>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87" w:type="pct"/>
            <w:vAlign w:val="center"/>
          </w:tcPr>
          <w:p>
            <w:pPr>
              <w:jc w:val="center"/>
              <w:rPr>
                <w:color w:val="auto"/>
                <w:highlight w:val="none"/>
              </w:rPr>
            </w:pPr>
            <w:r>
              <w:rPr>
                <w:rFonts w:hint="eastAsia"/>
                <w:color w:val="auto"/>
                <w:highlight w:val="none"/>
              </w:rPr>
              <w:t>2.17.1</w:t>
            </w:r>
          </w:p>
        </w:tc>
        <w:tc>
          <w:tcPr>
            <w:tcW w:w="2014" w:type="pct"/>
            <w:vAlign w:val="center"/>
          </w:tcPr>
          <w:p>
            <w:pPr>
              <w:jc w:val="center"/>
              <w:rPr>
                <w:color w:val="auto"/>
                <w:highlight w:val="none"/>
              </w:rPr>
            </w:pPr>
            <w:r>
              <w:rPr>
                <w:rFonts w:hint="eastAsia"/>
                <w:color w:val="auto"/>
                <w:highlight w:val="none"/>
              </w:rPr>
              <w:t>两定机构结算清单问题记录</w:t>
            </w:r>
          </w:p>
        </w:tc>
        <w:tc>
          <w:tcPr>
            <w:tcW w:w="2297" w:type="pct"/>
          </w:tcPr>
          <w:p>
            <w:pPr>
              <w:rPr>
                <w:color w:val="auto"/>
                <w:highlight w:val="none"/>
              </w:rPr>
            </w:pPr>
            <w:r>
              <w:rPr>
                <w:rFonts w:hint="eastAsia"/>
                <w:color w:val="auto"/>
                <w:highlight w:val="none"/>
              </w:rPr>
              <w:t>以结算清单为单位，汇总每个结算清单的一致性、完整性、规范性、合理性问题，形成结算清单问题记录，掌握单笔结算清单异常问题。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87" w:type="pct"/>
            <w:vAlign w:val="center"/>
          </w:tcPr>
          <w:p>
            <w:pPr>
              <w:jc w:val="center"/>
              <w:rPr>
                <w:color w:val="auto"/>
                <w:highlight w:val="none"/>
              </w:rPr>
            </w:pPr>
            <w:r>
              <w:rPr>
                <w:rFonts w:hint="eastAsia"/>
                <w:color w:val="auto"/>
                <w:highlight w:val="none"/>
              </w:rPr>
              <w:t>2.17.2</w:t>
            </w:r>
          </w:p>
        </w:tc>
        <w:tc>
          <w:tcPr>
            <w:tcW w:w="2014" w:type="pct"/>
            <w:vAlign w:val="center"/>
          </w:tcPr>
          <w:p>
            <w:pPr>
              <w:jc w:val="center"/>
              <w:rPr>
                <w:color w:val="auto"/>
                <w:highlight w:val="none"/>
              </w:rPr>
            </w:pPr>
            <w:r>
              <w:rPr>
                <w:rFonts w:hint="eastAsia"/>
                <w:color w:val="auto"/>
                <w:highlight w:val="none"/>
              </w:rPr>
              <w:t>异常结算清单机构定位</w:t>
            </w:r>
          </w:p>
        </w:tc>
        <w:tc>
          <w:tcPr>
            <w:tcW w:w="2297" w:type="pct"/>
          </w:tcPr>
          <w:p>
            <w:pPr>
              <w:rPr>
                <w:color w:val="auto"/>
                <w:highlight w:val="none"/>
              </w:rPr>
            </w:pPr>
            <w:r>
              <w:rPr>
                <w:rFonts w:hint="eastAsia"/>
                <w:color w:val="auto"/>
                <w:highlight w:val="none"/>
              </w:rPr>
              <w:t>定位上传异常结算清单的两定机构，定位清单流水号以便在两定机构端追溯，详细可定位结算清单中问题字段，为两定机构结算清单质控提供有效依据。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87" w:type="pct"/>
            <w:vAlign w:val="center"/>
          </w:tcPr>
          <w:p>
            <w:pPr>
              <w:jc w:val="center"/>
              <w:rPr>
                <w:b/>
                <w:bCs/>
                <w:color w:val="auto"/>
                <w:highlight w:val="none"/>
              </w:rPr>
            </w:pPr>
            <w:r>
              <w:rPr>
                <w:rFonts w:hint="eastAsia"/>
                <w:b/>
                <w:bCs/>
                <w:color w:val="auto"/>
                <w:highlight w:val="none"/>
              </w:rPr>
              <w:t>2.18</w:t>
            </w:r>
          </w:p>
        </w:tc>
        <w:tc>
          <w:tcPr>
            <w:tcW w:w="2014" w:type="pct"/>
            <w:vAlign w:val="center"/>
          </w:tcPr>
          <w:p>
            <w:pPr>
              <w:jc w:val="center"/>
              <w:rPr>
                <w:b/>
                <w:bCs/>
                <w:color w:val="auto"/>
                <w:highlight w:val="none"/>
              </w:rPr>
            </w:pPr>
            <w:r>
              <w:rPr>
                <w:rFonts w:hint="eastAsia"/>
                <w:b/>
                <w:bCs/>
                <w:color w:val="auto"/>
                <w:highlight w:val="none"/>
              </w:rPr>
              <w:t>地市医保两定机构整改分析</w:t>
            </w:r>
          </w:p>
        </w:tc>
        <w:tc>
          <w:tcPr>
            <w:tcW w:w="2297" w:type="pct"/>
          </w:tcPr>
          <w:p>
            <w:pPr>
              <w:rPr>
                <w:color w:val="auto"/>
                <w:highlight w:val="none"/>
              </w:rPr>
            </w:pPr>
            <w:r>
              <w:rPr>
                <w:rFonts w:hint="eastAsia"/>
                <w:color w:val="auto"/>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0" w:hRule="atLeast"/>
        </w:trPr>
        <w:tc>
          <w:tcPr>
            <w:tcW w:w="687" w:type="pct"/>
            <w:vAlign w:val="center"/>
          </w:tcPr>
          <w:p>
            <w:pPr>
              <w:jc w:val="center"/>
              <w:rPr>
                <w:color w:val="auto"/>
                <w:highlight w:val="none"/>
              </w:rPr>
            </w:pPr>
            <w:r>
              <w:rPr>
                <w:rFonts w:hint="eastAsia"/>
                <w:color w:val="auto"/>
                <w:highlight w:val="none"/>
              </w:rPr>
              <w:t>2.18.1</w:t>
            </w:r>
          </w:p>
        </w:tc>
        <w:tc>
          <w:tcPr>
            <w:tcW w:w="2014" w:type="pct"/>
            <w:vAlign w:val="center"/>
          </w:tcPr>
          <w:p>
            <w:pPr>
              <w:jc w:val="center"/>
              <w:rPr>
                <w:color w:val="auto"/>
                <w:highlight w:val="none"/>
              </w:rPr>
            </w:pPr>
            <w:r>
              <w:rPr>
                <w:rFonts w:hint="eastAsia"/>
                <w:color w:val="auto"/>
                <w:highlight w:val="none"/>
              </w:rPr>
              <w:t>地市医保两定机构整改分析</w:t>
            </w:r>
          </w:p>
        </w:tc>
        <w:tc>
          <w:tcPr>
            <w:tcW w:w="2297" w:type="pct"/>
          </w:tcPr>
          <w:p>
            <w:pPr>
              <w:rPr>
                <w:color w:val="auto"/>
                <w:highlight w:val="none"/>
              </w:rPr>
            </w:pPr>
            <w:r>
              <w:rPr>
                <w:rFonts w:hint="eastAsia"/>
                <w:color w:val="auto"/>
                <w:highlight w:val="none"/>
              </w:rPr>
              <w:t>定期对各地市医保的两定机构的接口改造调用、数据规范性进行分析。环比上周/月的接口调用率、不合规率，形成各地市医保两定机构接口改造调用环比分析报告、数据质量环比分析报告，掌握各地市医保两定机构实际数据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87" w:type="pct"/>
            <w:vAlign w:val="center"/>
          </w:tcPr>
          <w:p>
            <w:pPr>
              <w:jc w:val="center"/>
              <w:rPr>
                <w:b/>
                <w:bCs/>
                <w:color w:val="auto"/>
                <w:highlight w:val="none"/>
              </w:rPr>
            </w:pPr>
            <w:r>
              <w:rPr>
                <w:rFonts w:hint="eastAsia"/>
                <w:b/>
                <w:bCs/>
                <w:color w:val="auto"/>
                <w:highlight w:val="none"/>
              </w:rPr>
              <w:t>2.19</w:t>
            </w:r>
          </w:p>
        </w:tc>
        <w:tc>
          <w:tcPr>
            <w:tcW w:w="2014" w:type="pct"/>
            <w:vAlign w:val="center"/>
          </w:tcPr>
          <w:p>
            <w:pPr>
              <w:jc w:val="center"/>
              <w:rPr>
                <w:b/>
                <w:bCs/>
                <w:color w:val="auto"/>
                <w:highlight w:val="none"/>
              </w:rPr>
            </w:pPr>
            <w:r>
              <w:rPr>
                <w:rFonts w:hint="eastAsia"/>
                <w:b/>
                <w:bCs/>
                <w:color w:val="auto"/>
                <w:highlight w:val="none"/>
              </w:rPr>
              <w:t>两定机构整改分析</w:t>
            </w:r>
          </w:p>
        </w:tc>
        <w:tc>
          <w:tcPr>
            <w:tcW w:w="2297" w:type="pct"/>
          </w:tcPr>
          <w:p>
            <w:pPr>
              <w:rPr>
                <w:color w:val="auto"/>
                <w:highlight w:val="none"/>
              </w:rPr>
            </w:pPr>
            <w:r>
              <w:rPr>
                <w:rFonts w:hint="eastAsia"/>
                <w:color w:val="auto"/>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0" w:hRule="atLeast"/>
        </w:trPr>
        <w:tc>
          <w:tcPr>
            <w:tcW w:w="687" w:type="pct"/>
            <w:vAlign w:val="center"/>
          </w:tcPr>
          <w:p>
            <w:pPr>
              <w:jc w:val="center"/>
              <w:rPr>
                <w:color w:val="auto"/>
                <w:highlight w:val="none"/>
              </w:rPr>
            </w:pPr>
            <w:r>
              <w:rPr>
                <w:rFonts w:hint="eastAsia"/>
                <w:color w:val="auto"/>
                <w:highlight w:val="none"/>
              </w:rPr>
              <w:t>2.19.1</w:t>
            </w:r>
          </w:p>
        </w:tc>
        <w:tc>
          <w:tcPr>
            <w:tcW w:w="2014" w:type="pct"/>
            <w:vAlign w:val="center"/>
          </w:tcPr>
          <w:p>
            <w:pPr>
              <w:jc w:val="center"/>
              <w:rPr>
                <w:color w:val="auto"/>
                <w:highlight w:val="none"/>
              </w:rPr>
            </w:pPr>
            <w:r>
              <w:rPr>
                <w:rFonts w:hint="eastAsia"/>
                <w:color w:val="auto"/>
                <w:highlight w:val="none"/>
              </w:rPr>
              <w:t>两定机构整改分析</w:t>
            </w:r>
          </w:p>
        </w:tc>
        <w:tc>
          <w:tcPr>
            <w:tcW w:w="2297" w:type="pct"/>
          </w:tcPr>
          <w:p>
            <w:pPr>
              <w:rPr>
                <w:color w:val="auto"/>
                <w:highlight w:val="none"/>
              </w:rPr>
            </w:pPr>
            <w:r>
              <w:rPr>
                <w:rFonts w:hint="eastAsia"/>
                <w:color w:val="auto"/>
                <w:highlight w:val="none"/>
              </w:rPr>
              <w:t>定期对两定机构的接口改造调用、数据规范整改结果进行汇总分析。环比上周/月的接口调用率、不合规率，形成两定机构接口改造调用环比分析报告、数据规范环比分析报告，掌握各两定机构实际整改效果是提升还是下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687" w:type="pct"/>
            <w:noWrap/>
            <w:vAlign w:val="center"/>
          </w:tcPr>
          <w:p>
            <w:pPr>
              <w:jc w:val="center"/>
              <w:rPr>
                <w:b/>
                <w:bCs/>
                <w:color w:val="auto"/>
                <w:highlight w:val="none"/>
              </w:rPr>
            </w:pPr>
            <w:r>
              <w:rPr>
                <w:rFonts w:hint="eastAsia"/>
                <w:b/>
                <w:bCs/>
                <w:color w:val="auto"/>
                <w:highlight w:val="none"/>
              </w:rPr>
              <w:t>2.20</w:t>
            </w:r>
          </w:p>
        </w:tc>
        <w:tc>
          <w:tcPr>
            <w:tcW w:w="2014" w:type="pct"/>
            <w:noWrap/>
            <w:vAlign w:val="center"/>
          </w:tcPr>
          <w:p>
            <w:pPr>
              <w:jc w:val="center"/>
              <w:rPr>
                <w:b/>
                <w:bCs/>
                <w:color w:val="auto"/>
                <w:highlight w:val="none"/>
              </w:rPr>
            </w:pPr>
            <w:r>
              <w:rPr>
                <w:rFonts w:hint="eastAsia"/>
                <w:b/>
                <w:bCs/>
                <w:color w:val="auto"/>
                <w:highlight w:val="none"/>
              </w:rPr>
              <w:t>全区两定机构数据质量大屏</w:t>
            </w:r>
          </w:p>
        </w:tc>
        <w:tc>
          <w:tcPr>
            <w:tcW w:w="2297" w:type="pct"/>
          </w:tcPr>
          <w:p>
            <w:pPr>
              <w:rPr>
                <w:color w:val="auto"/>
                <w:highlight w:val="none"/>
              </w:rPr>
            </w:pPr>
            <w:r>
              <w:rPr>
                <w:rFonts w:hint="eastAsia"/>
                <w:color w:val="auto"/>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87" w:type="pct"/>
            <w:vAlign w:val="center"/>
          </w:tcPr>
          <w:p>
            <w:pPr>
              <w:jc w:val="center"/>
              <w:rPr>
                <w:color w:val="auto"/>
                <w:highlight w:val="none"/>
              </w:rPr>
            </w:pPr>
            <w:r>
              <w:rPr>
                <w:rFonts w:hint="eastAsia"/>
                <w:color w:val="auto"/>
                <w:highlight w:val="none"/>
              </w:rPr>
              <w:t>2.20.1</w:t>
            </w:r>
          </w:p>
        </w:tc>
        <w:tc>
          <w:tcPr>
            <w:tcW w:w="2014" w:type="pct"/>
            <w:vAlign w:val="center"/>
          </w:tcPr>
          <w:p>
            <w:pPr>
              <w:jc w:val="center"/>
              <w:rPr>
                <w:color w:val="auto"/>
                <w:highlight w:val="none"/>
              </w:rPr>
            </w:pPr>
            <w:r>
              <w:rPr>
                <w:rFonts w:hint="eastAsia"/>
                <w:color w:val="auto"/>
                <w:highlight w:val="none"/>
              </w:rPr>
              <w:t>全区两定机构接口调用情况可视化展示</w:t>
            </w:r>
          </w:p>
        </w:tc>
        <w:tc>
          <w:tcPr>
            <w:tcW w:w="2297" w:type="pct"/>
          </w:tcPr>
          <w:p>
            <w:pPr>
              <w:rPr>
                <w:color w:val="auto"/>
                <w:highlight w:val="none"/>
              </w:rPr>
            </w:pPr>
            <w:r>
              <w:rPr>
                <w:rFonts w:hint="eastAsia"/>
                <w:color w:val="auto"/>
                <w:highlight w:val="none"/>
              </w:rPr>
              <w:t>以大屏可视化，实时展示次数、不合规调用次数、不合规率，即时更新。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87" w:type="pct"/>
            <w:vAlign w:val="center"/>
          </w:tcPr>
          <w:p>
            <w:pPr>
              <w:jc w:val="center"/>
              <w:rPr>
                <w:color w:val="auto"/>
                <w:highlight w:val="none"/>
              </w:rPr>
            </w:pPr>
            <w:r>
              <w:rPr>
                <w:rFonts w:hint="eastAsia"/>
                <w:color w:val="auto"/>
                <w:highlight w:val="none"/>
              </w:rPr>
              <w:t>2.20.2</w:t>
            </w:r>
          </w:p>
        </w:tc>
        <w:tc>
          <w:tcPr>
            <w:tcW w:w="2014" w:type="pct"/>
            <w:vAlign w:val="center"/>
          </w:tcPr>
          <w:p>
            <w:pPr>
              <w:jc w:val="center"/>
              <w:rPr>
                <w:color w:val="auto"/>
                <w:highlight w:val="none"/>
              </w:rPr>
            </w:pPr>
            <w:r>
              <w:rPr>
                <w:rFonts w:hint="eastAsia"/>
                <w:color w:val="auto"/>
                <w:highlight w:val="none"/>
              </w:rPr>
              <w:t>全区两定机构不合规调用排名可视化展示</w:t>
            </w:r>
          </w:p>
        </w:tc>
        <w:tc>
          <w:tcPr>
            <w:tcW w:w="2297" w:type="pct"/>
          </w:tcPr>
          <w:p>
            <w:pPr>
              <w:rPr>
                <w:color w:val="auto"/>
                <w:highlight w:val="none"/>
              </w:rPr>
            </w:pPr>
            <w:r>
              <w:rPr>
                <w:rFonts w:hint="eastAsia"/>
                <w:color w:val="auto"/>
                <w:highlight w:val="none"/>
              </w:rPr>
              <w:t>统计定点医疗机构不合规调用次数排名，定点零售药店不合规调用次数排名，即时更新。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87" w:type="pct"/>
            <w:vAlign w:val="center"/>
          </w:tcPr>
          <w:p>
            <w:pPr>
              <w:jc w:val="center"/>
              <w:rPr>
                <w:color w:val="auto"/>
                <w:highlight w:val="none"/>
              </w:rPr>
            </w:pPr>
            <w:r>
              <w:rPr>
                <w:rFonts w:hint="eastAsia"/>
                <w:color w:val="auto"/>
                <w:highlight w:val="none"/>
              </w:rPr>
              <w:t>2.20.3</w:t>
            </w:r>
          </w:p>
        </w:tc>
        <w:tc>
          <w:tcPr>
            <w:tcW w:w="2014" w:type="pct"/>
            <w:vAlign w:val="center"/>
          </w:tcPr>
          <w:p>
            <w:pPr>
              <w:jc w:val="center"/>
              <w:rPr>
                <w:color w:val="auto"/>
                <w:highlight w:val="none"/>
              </w:rPr>
            </w:pPr>
            <w:r>
              <w:rPr>
                <w:rFonts w:hint="eastAsia"/>
                <w:color w:val="auto"/>
                <w:highlight w:val="none"/>
              </w:rPr>
              <w:t>全区两定机构不合规问题类型占比分析</w:t>
            </w:r>
          </w:p>
        </w:tc>
        <w:tc>
          <w:tcPr>
            <w:tcW w:w="2297" w:type="pct"/>
          </w:tcPr>
          <w:p>
            <w:pPr>
              <w:rPr>
                <w:color w:val="auto"/>
                <w:highlight w:val="none"/>
              </w:rPr>
            </w:pPr>
            <w:r>
              <w:rPr>
                <w:rFonts w:hint="eastAsia"/>
                <w:color w:val="auto"/>
                <w:highlight w:val="none"/>
              </w:rPr>
              <w:t>不合规问题类型占比分析，自治区医保两定机构不合规调用趋势，即时更新。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687" w:type="pct"/>
            <w:noWrap/>
            <w:vAlign w:val="center"/>
          </w:tcPr>
          <w:p>
            <w:pPr>
              <w:jc w:val="center"/>
              <w:rPr>
                <w:b/>
                <w:bCs/>
                <w:color w:val="auto"/>
                <w:highlight w:val="none"/>
              </w:rPr>
            </w:pPr>
            <w:r>
              <w:rPr>
                <w:rFonts w:hint="eastAsia"/>
                <w:b/>
                <w:bCs/>
                <w:color w:val="auto"/>
                <w:highlight w:val="none"/>
              </w:rPr>
              <w:t>2.21</w:t>
            </w:r>
          </w:p>
        </w:tc>
        <w:tc>
          <w:tcPr>
            <w:tcW w:w="2014" w:type="pct"/>
            <w:noWrap/>
            <w:vAlign w:val="center"/>
          </w:tcPr>
          <w:p>
            <w:pPr>
              <w:jc w:val="center"/>
              <w:rPr>
                <w:b/>
                <w:bCs/>
                <w:color w:val="auto"/>
                <w:highlight w:val="none"/>
              </w:rPr>
            </w:pPr>
            <w:r>
              <w:rPr>
                <w:rFonts w:hint="eastAsia"/>
                <w:b/>
                <w:bCs/>
                <w:color w:val="auto"/>
                <w:highlight w:val="none"/>
              </w:rPr>
              <w:t>两定机构药品结算分析</w:t>
            </w:r>
          </w:p>
        </w:tc>
        <w:tc>
          <w:tcPr>
            <w:tcW w:w="2297" w:type="pct"/>
          </w:tcPr>
          <w:p>
            <w:pPr>
              <w:rPr>
                <w:color w:val="auto"/>
                <w:highlight w:val="none"/>
              </w:rPr>
            </w:pPr>
            <w:r>
              <w:rPr>
                <w:rFonts w:hint="eastAsia"/>
                <w:color w:val="auto"/>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0" w:hRule="atLeast"/>
        </w:trPr>
        <w:tc>
          <w:tcPr>
            <w:tcW w:w="687" w:type="pct"/>
            <w:vAlign w:val="center"/>
          </w:tcPr>
          <w:p>
            <w:pPr>
              <w:jc w:val="center"/>
              <w:rPr>
                <w:color w:val="auto"/>
                <w:highlight w:val="none"/>
              </w:rPr>
            </w:pPr>
            <w:r>
              <w:rPr>
                <w:rFonts w:hint="eastAsia"/>
                <w:color w:val="auto"/>
                <w:highlight w:val="none"/>
              </w:rPr>
              <w:t>2.21.1</w:t>
            </w:r>
          </w:p>
        </w:tc>
        <w:tc>
          <w:tcPr>
            <w:tcW w:w="2014" w:type="pct"/>
            <w:vAlign w:val="center"/>
          </w:tcPr>
          <w:p>
            <w:pPr>
              <w:jc w:val="center"/>
              <w:rPr>
                <w:color w:val="auto"/>
                <w:highlight w:val="none"/>
              </w:rPr>
            </w:pPr>
            <w:r>
              <w:rPr>
                <w:rFonts w:hint="eastAsia"/>
                <w:color w:val="auto"/>
                <w:highlight w:val="none"/>
              </w:rPr>
              <w:t>两定机构药品结算分析</w:t>
            </w:r>
          </w:p>
        </w:tc>
        <w:tc>
          <w:tcPr>
            <w:tcW w:w="2297" w:type="pct"/>
          </w:tcPr>
          <w:p>
            <w:pPr>
              <w:rPr>
                <w:color w:val="auto"/>
                <w:highlight w:val="none"/>
              </w:rPr>
            </w:pPr>
            <w:r>
              <w:rPr>
                <w:rFonts w:hint="eastAsia"/>
                <w:color w:val="auto"/>
                <w:highlight w:val="none"/>
              </w:rPr>
              <w:t>超目录价格结算分析，对两定机构门诊、住院、药店结算的药品价格数据进行分析，发现并定位超医保药品目录价格的结算交易，包括：时间、定点医药机构编码、定点医药机构名称、接口编号、接口名称、本次交易超目录价金额。下钻查看本次交易超目录价的药品编码、药品名称、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0" w:hRule="atLeast"/>
        </w:trPr>
        <w:tc>
          <w:tcPr>
            <w:tcW w:w="687" w:type="pct"/>
            <w:vAlign w:val="center"/>
          </w:tcPr>
          <w:p>
            <w:pPr>
              <w:jc w:val="center"/>
              <w:rPr>
                <w:color w:val="auto"/>
                <w:highlight w:val="none"/>
              </w:rPr>
            </w:pPr>
            <w:r>
              <w:rPr>
                <w:rFonts w:hint="eastAsia"/>
                <w:color w:val="auto"/>
                <w:highlight w:val="none"/>
              </w:rPr>
              <w:t>2.21.2</w:t>
            </w:r>
          </w:p>
        </w:tc>
        <w:tc>
          <w:tcPr>
            <w:tcW w:w="2014" w:type="pct"/>
            <w:vAlign w:val="center"/>
          </w:tcPr>
          <w:p>
            <w:pPr>
              <w:jc w:val="center"/>
              <w:rPr>
                <w:color w:val="auto"/>
                <w:highlight w:val="none"/>
              </w:rPr>
            </w:pPr>
            <w:r>
              <w:rPr>
                <w:rFonts w:hint="eastAsia"/>
                <w:color w:val="auto"/>
                <w:highlight w:val="none"/>
              </w:rPr>
              <w:t>超目录价格机构分析</w:t>
            </w:r>
          </w:p>
        </w:tc>
        <w:tc>
          <w:tcPr>
            <w:tcW w:w="2297" w:type="pct"/>
          </w:tcPr>
          <w:p>
            <w:pPr>
              <w:rPr>
                <w:color w:val="auto"/>
                <w:highlight w:val="none"/>
              </w:rPr>
            </w:pPr>
            <w:r>
              <w:rPr>
                <w:rFonts w:hint="eastAsia"/>
                <w:color w:val="auto"/>
                <w:highlight w:val="none"/>
              </w:rPr>
              <w:t>超目录价格机构分析，对超医保药品目录价格结算的两定机构进行分析，统计两定机构的药品结算次数、超目录价金额，下钻查看本机构的超药品目录价格结算交易，再下钻查看本次交易超目录价的药品编码、药品名称、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687" w:type="pct"/>
            <w:noWrap/>
            <w:vAlign w:val="center"/>
          </w:tcPr>
          <w:p>
            <w:pPr>
              <w:jc w:val="center"/>
              <w:rPr>
                <w:b/>
                <w:bCs/>
                <w:color w:val="auto"/>
                <w:highlight w:val="none"/>
              </w:rPr>
            </w:pPr>
            <w:r>
              <w:rPr>
                <w:rFonts w:hint="eastAsia"/>
                <w:b/>
                <w:bCs/>
                <w:color w:val="auto"/>
                <w:highlight w:val="none"/>
              </w:rPr>
              <w:t>2.22</w:t>
            </w:r>
          </w:p>
        </w:tc>
        <w:tc>
          <w:tcPr>
            <w:tcW w:w="2014" w:type="pct"/>
            <w:noWrap/>
            <w:vAlign w:val="center"/>
          </w:tcPr>
          <w:p>
            <w:pPr>
              <w:jc w:val="center"/>
              <w:rPr>
                <w:b/>
                <w:bCs/>
                <w:color w:val="auto"/>
                <w:highlight w:val="none"/>
              </w:rPr>
            </w:pPr>
            <w:r>
              <w:rPr>
                <w:rFonts w:hint="eastAsia"/>
                <w:b/>
                <w:bCs/>
                <w:color w:val="auto"/>
                <w:highlight w:val="none"/>
              </w:rPr>
              <w:t>两定机构进销存分析</w:t>
            </w:r>
          </w:p>
        </w:tc>
        <w:tc>
          <w:tcPr>
            <w:tcW w:w="2297" w:type="pct"/>
          </w:tcPr>
          <w:p>
            <w:pPr>
              <w:rPr>
                <w:color w:val="auto"/>
                <w:highlight w:val="none"/>
              </w:rPr>
            </w:pPr>
            <w:r>
              <w:rPr>
                <w:rFonts w:hint="eastAsia"/>
                <w:color w:val="auto"/>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87" w:type="pct"/>
            <w:vAlign w:val="center"/>
          </w:tcPr>
          <w:p>
            <w:pPr>
              <w:jc w:val="center"/>
              <w:rPr>
                <w:color w:val="auto"/>
                <w:highlight w:val="none"/>
              </w:rPr>
            </w:pPr>
            <w:r>
              <w:rPr>
                <w:rFonts w:hint="eastAsia"/>
                <w:color w:val="auto"/>
                <w:highlight w:val="none"/>
              </w:rPr>
              <w:t>2.22.1</w:t>
            </w:r>
          </w:p>
        </w:tc>
        <w:tc>
          <w:tcPr>
            <w:tcW w:w="2014" w:type="pct"/>
            <w:vAlign w:val="center"/>
          </w:tcPr>
          <w:p>
            <w:pPr>
              <w:jc w:val="center"/>
              <w:rPr>
                <w:color w:val="auto"/>
                <w:highlight w:val="none"/>
              </w:rPr>
            </w:pPr>
            <w:r>
              <w:rPr>
                <w:rFonts w:hint="eastAsia"/>
                <w:color w:val="auto"/>
                <w:highlight w:val="none"/>
              </w:rPr>
              <w:t>库存变更合理性检查</w:t>
            </w:r>
          </w:p>
        </w:tc>
        <w:tc>
          <w:tcPr>
            <w:tcW w:w="2297" w:type="pct"/>
          </w:tcPr>
          <w:p>
            <w:pPr>
              <w:rPr>
                <w:color w:val="auto"/>
                <w:highlight w:val="none"/>
              </w:rPr>
            </w:pPr>
            <w:r>
              <w:rPr>
                <w:rFonts w:hint="eastAsia"/>
                <w:color w:val="auto"/>
                <w:highlight w:val="none"/>
              </w:rPr>
              <w:t>库存变更合理性检查，检查两定机构上传商品库存变更数据前，是否上传商品采购、销售、退货数据，判断库存变更真实性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trPr>
        <w:tc>
          <w:tcPr>
            <w:tcW w:w="687" w:type="pct"/>
            <w:vAlign w:val="center"/>
          </w:tcPr>
          <w:p>
            <w:pPr>
              <w:jc w:val="center"/>
              <w:rPr>
                <w:color w:val="auto"/>
                <w:highlight w:val="none"/>
              </w:rPr>
            </w:pPr>
            <w:r>
              <w:rPr>
                <w:rFonts w:hint="eastAsia"/>
                <w:color w:val="auto"/>
                <w:highlight w:val="none"/>
              </w:rPr>
              <w:t>2.22.2</w:t>
            </w:r>
          </w:p>
        </w:tc>
        <w:tc>
          <w:tcPr>
            <w:tcW w:w="2014" w:type="pct"/>
            <w:vAlign w:val="center"/>
          </w:tcPr>
          <w:p>
            <w:pPr>
              <w:jc w:val="center"/>
              <w:rPr>
                <w:color w:val="auto"/>
                <w:highlight w:val="none"/>
              </w:rPr>
            </w:pPr>
            <w:r>
              <w:rPr>
                <w:rFonts w:hint="eastAsia"/>
                <w:color w:val="auto"/>
                <w:highlight w:val="none"/>
              </w:rPr>
              <w:t>同批次药品进销存合理性检查</w:t>
            </w:r>
          </w:p>
        </w:tc>
        <w:tc>
          <w:tcPr>
            <w:tcW w:w="2297" w:type="pct"/>
          </w:tcPr>
          <w:p>
            <w:pPr>
              <w:rPr>
                <w:color w:val="auto"/>
                <w:highlight w:val="none"/>
              </w:rPr>
            </w:pPr>
            <w:r>
              <w:rPr>
                <w:rFonts w:hint="eastAsia"/>
                <w:color w:val="auto"/>
                <w:highlight w:val="none"/>
              </w:rPr>
              <w:t>同批次药品进销存合理性检查，检查两定机构同批次药品进销存数据真实性、合理性，同批次药品采购量是否等于销售量加库存量，防止两定机构利用不同批次药品进行数据造假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87" w:type="pct"/>
            <w:vAlign w:val="center"/>
          </w:tcPr>
          <w:p>
            <w:pPr>
              <w:jc w:val="center"/>
              <w:rPr>
                <w:color w:val="auto"/>
                <w:highlight w:val="none"/>
              </w:rPr>
            </w:pPr>
            <w:r>
              <w:rPr>
                <w:rFonts w:hint="eastAsia"/>
                <w:color w:val="auto"/>
                <w:highlight w:val="none"/>
              </w:rPr>
              <w:t>2.22.3</w:t>
            </w:r>
          </w:p>
        </w:tc>
        <w:tc>
          <w:tcPr>
            <w:tcW w:w="2014" w:type="pct"/>
            <w:vAlign w:val="center"/>
          </w:tcPr>
          <w:p>
            <w:pPr>
              <w:jc w:val="center"/>
              <w:rPr>
                <w:color w:val="auto"/>
                <w:highlight w:val="none"/>
              </w:rPr>
            </w:pPr>
            <w:r>
              <w:rPr>
                <w:rFonts w:hint="eastAsia"/>
                <w:color w:val="auto"/>
                <w:highlight w:val="none"/>
              </w:rPr>
              <w:t>进销存明细数据审计</w:t>
            </w:r>
          </w:p>
        </w:tc>
        <w:tc>
          <w:tcPr>
            <w:tcW w:w="2297" w:type="pct"/>
          </w:tcPr>
          <w:p>
            <w:pPr>
              <w:rPr>
                <w:color w:val="auto"/>
                <w:highlight w:val="none"/>
              </w:rPr>
            </w:pPr>
            <w:r>
              <w:rPr>
                <w:rFonts w:hint="eastAsia"/>
                <w:color w:val="auto"/>
                <w:highlight w:val="none"/>
              </w:rPr>
              <w:t>进销存明细数据审计，审计两定机构上传的商品盘存、库存变更、采购、销售、退货、信息删除数据，以及明细详情，形成进销存数据记录，用于两定机构进销存数据追溯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687" w:type="pct"/>
            <w:noWrap/>
            <w:vAlign w:val="center"/>
          </w:tcPr>
          <w:p>
            <w:pPr>
              <w:jc w:val="center"/>
              <w:rPr>
                <w:b/>
                <w:bCs/>
                <w:color w:val="auto"/>
                <w:highlight w:val="none"/>
              </w:rPr>
            </w:pPr>
            <w:r>
              <w:rPr>
                <w:rFonts w:hint="eastAsia"/>
                <w:b/>
                <w:bCs/>
                <w:color w:val="auto"/>
                <w:highlight w:val="none"/>
              </w:rPr>
              <w:t>2.23</w:t>
            </w:r>
          </w:p>
        </w:tc>
        <w:tc>
          <w:tcPr>
            <w:tcW w:w="2014" w:type="pct"/>
            <w:noWrap/>
            <w:vAlign w:val="center"/>
          </w:tcPr>
          <w:p>
            <w:pPr>
              <w:jc w:val="center"/>
              <w:rPr>
                <w:b/>
                <w:bCs/>
                <w:color w:val="auto"/>
                <w:highlight w:val="none"/>
              </w:rPr>
            </w:pPr>
            <w:r>
              <w:rPr>
                <w:rFonts w:hint="eastAsia"/>
                <w:b/>
                <w:bCs/>
                <w:color w:val="auto"/>
                <w:highlight w:val="none"/>
              </w:rPr>
              <w:t>数据分析报告模板</w:t>
            </w:r>
          </w:p>
        </w:tc>
        <w:tc>
          <w:tcPr>
            <w:tcW w:w="2297" w:type="pct"/>
          </w:tcPr>
          <w:p>
            <w:pPr>
              <w:rPr>
                <w:color w:val="auto"/>
                <w:highlight w:val="none"/>
              </w:rPr>
            </w:pPr>
            <w:r>
              <w:rPr>
                <w:rFonts w:hint="eastAsia"/>
                <w:color w:val="auto"/>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87" w:type="pct"/>
            <w:vAlign w:val="center"/>
          </w:tcPr>
          <w:p>
            <w:pPr>
              <w:jc w:val="center"/>
              <w:rPr>
                <w:color w:val="auto"/>
                <w:highlight w:val="none"/>
              </w:rPr>
            </w:pPr>
            <w:r>
              <w:rPr>
                <w:rFonts w:hint="eastAsia"/>
                <w:color w:val="auto"/>
                <w:highlight w:val="none"/>
              </w:rPr>
              <w:t>2.23.1</w:t>
            </w:r>
          </w:p>
        </w:tc>
        <w:tc>
          <w:tcPr>
            <w:tcW w:w="2014" w:type="pct"/>
            <w:vAlign w:val="center"/>
          </w:tcPr>
          <w:p>
            <w:pPr>
              <w:jc w:val="center"/>
              <w:rPr>
                <w:color w:val="auto"/>
                <w:highlight w:val="none"/>
              </w:rPr>
            </w:pPr>
            <w:r>
              <w:rPr>
                <w:rFonts w:hint="eastAsia"/>
                <w:color w:val="auto"/>
                <w:highlight w:val="none"/>
              </w:rPr>
              <w:t>两定机构接口调用分析报告内容定制</w:t>
            </w:r>
          </w:p>
        </w:tc>
        <w:tc>
          <w:tcPr>
            <w:tcW w:w="2297" w:type="pct"/>
          </w:tcPr>
          <w:p>
            <w:pPr>
              <w:rPr>
                <w:color w:val="auto"/>
                <w:highlight w:val="none"/>
              </w:rPr>
            </w:pPr>
            <w:r>
              <w:rPr>
                <w:rFonts w:hint="eastAsia"/>
                <w:color w:val="auto"/>
                <w:highlight w:val="none"/>
              </w:rPr>
              <w:t>定制两定机构接口调用分析报告内容。作为数据分析报告模板，可视化展示两定机构数据，可根据需求调整数据分析报告模板。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87" w:type="pct"/>
            <w:vAlign w:val="center"/>
          </w:tcPr>
          <w:p>
            <w:pPr>
              <w:jc w:val="center"/>
              <w:rPr>
                <w:color w:val="auto"/>
                <w:highlight w:val="none"/>
              </w:rPr>
            </w:pPr>
            <w:r>
              <w:rPr>
                <w:rFonts w:hint="eastAsia"/>
                <w:color w:val="auto"/>
                <w:highlight w:val="none"/>
              </w:rPr>
              <w:t>2.23.2</w:t>
            </w:r>
          </w:p>
        </w:tc>
        <w:tc>
          <w:tcPr>
            <w:tcW w:w="2014" w:type="pct"/>
            <w:vAlign w:val="center"/>
          </w:tcPr>
          <w:p>
            <w:pPr>
              <w:jc w:val="center"/>
              <w:rPr>
                <w:color w:val="auto"/>
                <w:highlight w:val="none"/>
              </w:rPr>
            </w:pPr>
            <w:r>
              <w:rPr>
                <w:rFonts w:hint="eastAsia"/>
                <w:color w:val="auto"/>
                <w:highlight w:val="none"/>
              </w:rPr>
              <w:t>两定机构数据质量分析报告内容定制</w:t>
            </w:r>
          </w:p>
        </w:tc>
        <w:tc>
          <w:tcPr>
            <w:tcW w:w="2297" w:type="pct"/>
          </w:tcPr>
          <w:p>
            <w:pPr>
              <w:rPr>
                <w:color w:val="auto"/>
                <w:highlight w:val="none"/>
              </w:rPr>
            </w:pPr>
            <w:r>
              <w:rPr>
                <w:rFonts w:hint="eastAsia"/>
                <w:color w:val="auto"/>
                <w:highlight w:val="none"/>
              </w:rPr>
              <w:t>定制两定机构数据质量分析报告内容。作为数据分析报告模板，可视化展示两定机构数据，可根据需求调整数据分析报告模板。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87" w:type="pct"/>
            <w:vAlign w:val="center"/>
          </w:tcPr>
          <w:p>
            <w:pPr>
              <w:jc w:val="center"/>
              <w:rPr>
                <w:color w:val="auto"/>
                <w:highlight w:val="none"/>
              </w:rPr>
            </w:pPr>
            <w:r>
              <w:rPr>
                <w:rFonts w:hint="eastAsia"/>
                <w:color w:val="auto"/>
                <w:highlight w:val="none"/>
              </w:rPr>
              <w:t>2.23.3</w:t>
            </w:r>
          </w:p>
        </w:tc>
        <w:tc>
          <w:tcPr>
            <w:tcW w:w="2014" w:type="pct"/>
            <w:vAlign w:val="center"/>
          </w:tcPr>
          <w:p>
            <w:pPr>
              <w:jc w:val="center"/>
              <w:rPr>
                <w:color w:val="auto"/>
                <w:highlight w:val="none"/>
              </w:rPr>
            </w:pPr>
            <w:r>
              <w:rPr>
                <w:rFonts w:hint="eastAsia"/>
                <w:color w:val="auto"/>
                <w:highlight w:val="none"/>
              </w:rPr>
              <w:t>两定机构结算清单质控分析报告内容定制</w:t>
            </w:r>
          </w:p>
        </w:tc>
        <w:tc>
          <w:tcPr>
            <w:tcW w:w="2297" w:type="pct"/>
          </w:tcPr>
          <w:p>
            <w:pPr>
              <w:rPr>
                <w:color w:val="auto"/>
                <w:highlight w:val="none"/>
              </w:rPr>
            </w:pPr>
            <w:r>
              <w:rPr>
                <w:rFonts w:hint="eastAsia"/>
                <w:color w:val="auto"/>
                <w:highlight w:val="none"/>
              </w:rPr>
              <w:t>定制两定机构结算清单质控分析报告内容。作为数据分析报告模板，可视化展示两定机构数据，可根据需求调整数据分析报告模板。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687" w:type="pct"/>
            <w:noWrap/>
            <w:vAlign w:val="center"/>
          </w:tcPr>
          <w:p>
            <w:pPr>
              <w:jc w:val="center"/>
              <w:rPr>
                <w:b/>
                <w:bCs/>
                <w:color w:val="auto"/>
                <w:highlight w:val="none"/>
              </w:rPr>
            </w:pPr>
            <w:r>
              <w:rPr>
                <w:rFonts w:hint="eastAsia"/>
                <w:b/>
                <w:bCs/>
                <w:color w:val="auto"/>
                <w:highlight w:val="none"/>
              </w:rPr>
              <w:t>2.24</w:t>
            </w:r>
          </w:p>
        </w:tc>
        <w:tc>
          <w:tcPr>
            <w:tcW w:w="2014" w:type="pct"/>
            <w:noWrap/>
            <w:vAlign w:val="center"/>
          </w:tcPr>
          <w:p>
            <w:pPr>
              <w:jc w:val="center"/>
              <w:rPr>
                <w:b/>
                <w:bCs/>
                <w:color w:val="auto"/>
                <w:highlight w:val="none"/>
              </w:rPr>
            </w:pPr>
            <w:r>
              <w:rPr>
                <w:rFonts w:hint="eastAsia"/>
                <w:b/>
                <w:bCs/>
                <w:color w:val="auto"/>
                <w:highlight w:val="none"/>
              </w:rPr>
              <w:t>数据分析报告计划</w:t>
            </w:r>
          </w:p>
        </w:tc>
        <w:tc>
          <w:tcPr>
            <w:tcW w:w="2297" w:type="pct"/>
          </w:tcPr>
          <w:p>
            <w:pPr>
              <w:rPr>
                <w:color w:val="auto"/>
                <w:highlight w:val="none"/>
              </w:rPr>
            </w:pPr>
            <w:r>
              <w:rPr>
                <w:rFonts w:hint="eastAsia"/>
                <w:color w:val="auto"/>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87" w:type="pct"/>
            <w:vAlign w:val="center"/>
          </w:tcPr>
          <w:p>
            <w:pPr>
              <w:jc w:val="center"/>
              <w:rPr>
                <w:color w:val="auto"/>
                <w:highlight w:val="none"/>
              </w:rPr>
            </w:pPr>
            <w:r>
              <w:rPr>
                <w:rFonts w:hint="eastAsia"/>
                <w:color w:val="auto"/>
                <w:highlight w:val="none"/>
              </w:rPr>
              <w:t>2.24.1</w:t>
            </w:r>
          </w:p>
        </w:tc>
        <w:tc>
          <w:tcPr>
            <w:tcW w:w="2014" w:type="pct"/>
            <w:vAlign w:val="center"/>
          </w:tcPr>
          <w:p>
            <w:pPr>
              <w:jc w:val="center"/>
              <w:rPr>
                <w:color w:val="auto"/>
                <w:highlight w:val="none"/>
              </w:rPr>
            </w:pPr>
            <w:r>
              <w:rPr>
                <w:rFonts w:hint="eastAsia"/>
                <w:color w:val="auto"/>
                <w:highlight w:val="none"/>
              </w:rPr>
              <w:t>数据分析报告计划</w:t>
            </w:r>
          </w:p>
        </w:tc>
        <w:tc>
          <w:tcPr>
            <w:tcW w:w="2297" w:type="pct"/>
          </w:tcPr>
          <w:p>
            <w:pPr>
              <w:rPr>
                <w:color w:val="auto"/>
                <w:highlight w:val="none"/>
              </w:rPr>
            </w:pPr>
            <w:r>
              <w:rPr>
                <w:rFonts w:hint="eastAsia"/>
                <w:color w:val="auto"/>
                <w:highlight w:val="none"/>
              </w:rPr>
              <w:t>报告计划支出选择数据分析报告模板、数据范围、时间范围，以及报告生成时间、周期。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87" w:type="pct"/>
            <w:vAlign w:val="center"/>
          </w:tcPr>
          <w:p>
            <w:pPr>
              <w:jc w:val="center"/>
              <w:rPr>
                <w:color w:val="auto"/>
                <w:highlight w:val="none"/>
              </w:rPr>
            </w:pPr>
            <w:r>
              <w:rPr>
                <w:rFonts w:hint="eastAsia"/>
                <w:color w:val="auto"/>
                <w:highlight w:val="none"/>
              </w:rPr>
              <w:t>2.24.2</w:t>
            </w:r>
          </w:p>
        </w:tc>
        <w:tc>
          <w:tcPr>
            <w:tcW w:w="2014" w:type="pct"/>
            <w:vAlign w:val="center"/>
          </w:tcPr>
          <w:p>
            <w:pPr>
              <w:jc w:val="center"/>
              <w:rPr>
                <w:color w:val="auto"/>
                <w:highlight w:val="none"/>
              </w:rPr>
            </w:pPr>
            <w:r>
              <w:rPr>
                <w:rFonts w:hint="eastAsia"/>
                <w:color w:val="auto"/>
                <w:highlight w:val="none"/>
              </w:rPr>
              <w:t>数据分析报告自动生成</w:t>
            </w:r>
          </w:p>
        </w:tc>
        <w:tc>
          <w:tcPr>
            <w:tcW w:w="2297" w:type="pct"/>
          </w:tcPr>
          <w:p>
            <w:pPr>
              <w:rPr>
                <w:color w:val="auto"/>
                <w:highlight w:val="none"/>
              </w:rPr>
            </w:pPr>
            <w:r>
              <w:rPr>
                <w:rFonts w:hint="eastAsia"/>
                <w:color w:val="auto"/>
                <w:highlight w:val="none"/>
              </w:rPr>
              <w:t>根据报告计划，自动形成可视化数据分析报告，支持在线预览，可设置报告保存周期，自动清理周期外的数据分析报告。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87" w:type="pct"/>
            <w:vAlign w:val="center"/>
          </w:tcPr>
          <w:p>
            <w:pPr>
              <w:jc w:val="center"/>
              <w:rPr>
                <w:color w:val="auto"/>
                <w:highlight w:val="none"/>
              </w:rPr>
            </w:pPr>
            <w:r>
              <w:rPr>
                <w:rFonts w:hint="eastAsia"/>
                <w:color w:val="auto"/>
                <w:highlight w:val="none"/>
              </w:rPr>
              <w:t>2.24.3</w:t>
            </w:r>
          </w:p>
        </w:tc>
        <w:tc>
          <w:tcPr>
            <w:tcW w:w="2014" w:type="pct"/>
            <w:vAlign w:val="center"/>
          </w:tcPr>
          <w:p>
            <w:pPr>
              <w:jc w:val="center"/>
              <w:rPr>
                <w:color w:val="auto"/>
                <w:highlight w:val="none"/>
              </w:rPr>
            </w:pPr>
            <w:r>
              <w:rPr>
                <w:rFonts w:hint="eastAsia"/>
                <w:color w:val="auto"/>
                <w:highlight w:val="none"/>
              </w:rPr>
              <w:t>数据分析报告导出</w:t>
            </w:r>
          </w:p>
        </w:tc>
        <w:tc>
          <w:tcPr>
            <w:tcW w:w="2297" w:type="pct"/>
          </w:tcPr>
          <w:p>
            <w:pPr>
              <w:rPr>
                <w:color w:val="auto"/>
                <w:highlight w:val="none"/>
              </w:rPr>
            </w:pPr>
            <w:r>
              <w:rPr>
                <w:rFonts w:hint="eastAsia"/>
                <w:color w:val="auto"/>
                <w:highlight w:val="none"/>
              </w:rPr>
              <w:t>支持导出为WORD、PDF文件。方便管理人员定期了解两定机构数据情况，以及在报告的基础上进行手动添加内容。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687" w:type="pct"/>
            <w:noWrap/>
            <w:vAlign w:val="center"/>
          </w:tcPr>
          <w:p>
            <w:pPr>
              <w:jc w:val="center"/>
              <w:rPr>
                <w:b/>
                <w:bCs/>
                <w:color w:val="auto"/>
                <w:highlight w:val="none"/>
              </w:rPr>
            </w:pPr>
            <w:r>
              <w:rPr>
                <w:rFonts w:hint="eastAsia"/>
                <w:b/>
                <w:bCs/>
                <w:color w:val="auto"/>
                <w:highlight w:val="none"/>
              </w:rPr>
              <w:t>2.25</w:t>
            </w:r>
          </w:p>
        </w:tc>
        <w:tc>
          <w:tcPr>
            <w:tcW w:w="2014" w:type="pct"/>
            <w:noWrap/>
            <w:vAlign w:val="center"/>
          </w:tcPr>
          <w:p>
            <w:pPr>
              <w:jc w:val="center"/>
              <w:rPr>
                <w:b/>
                <w:bCs/>
                <w:color w:val="auto"/>
                <w:highlight w:val="none"/>
              </w:rPr>
            </w:pPr>
            <w:r>
              <w:rPr>
                <w:rFonts w:hint="eastAsia"/>
                <w:b/>
                <w:bCs/>
                <w:color w:val="auto"/>
                <w:highlight w:val="none"/>
              </w:rPr>
              <w:t>用户分级管理</w:t>
            </w:r>
          </w:p>
        </w:tc>
        <w:tc>
          <w:tcPr>
            <w:tcW w:w="2297" w:type="pct"/>
          </w:tcPr>
          <w:p>
            <w:pPr>
              <w:rPr>
                <w:color w:val="auto"/>
                <w:highlight w:val="none"/>
              </w:rPr>
            </w:pPr>
            <w:r>
              <w:rPr>
                <w:rFonts w:hint="eastAsia"/>
                <w:color w:val="auto"/>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87" w:type="pct"/>
            <w:vAlign w:val="center"/>
          </w:tcPr>
          <w:p>
            <w:pPr>
              <w:jc w:val="center"/>
              <w:rPr>
                <w:color w:val="auto"/>
                <w:highlight w:val="none"/>
              </w:rPr>
            </w:pPr>
            <w:r>
              <w:rPr>
                <w:rFonts w:hint="eastAsia"/>
                <w:color w:val="auto"/>
                <w:highlight w:val="none"/>
              </w:rPr>
              <w:t>2.25.1</w:t>
            </w:r>
          </w:p>
        </w:tc>
        <w:tc>
          <w:tcPr>
            <w:tcW w:w="2014" w:type="pct"/>
            <w:vAlign w:val="center"/>
          </w:tcPr>
          <w:p>
            <w:pPr>
              <w:jc w:val="center"/>
              <w:rPr>
                <w:color w:val="auto"/>
                <w:highlight w:val="none"/>
              </w:rPr>
            </w:pPr>
            <w:r>
              <w:rPr>
                <w:rFonts w:hint="eastAsia"/>
                <w:color w:val="auto"/>
                <w:highlight w:val="none"/>
              </w:rPr>
              <w:t>用户分级管理</w:t>
            </w:r>
          </w:p>
        </w:tc>
        <w:tc>
          <w:tcPr>
            <w:tcW w:w="2297" w:type="pct"/>
          </w:tcPr>
          <w:p>
            <w:pPr>
              <w:rPr>
                <w:color w:val="auto"/>
                <w:highlight w:val="none"/>
              </w:rPr>
            </w:pPr>
            <w:r>
              <w:rPr>
                <w:rFonts w:hint="eastAsia"/>
                <w:color w:val="auto"/>
                <w:highlight w:val="none"/>
              </w:rPr>
              <w:t>针对自治区医保、各地市医保、两定机构，在两定机构接口数据检测系统建立各级管理员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87" w:type="pct"/>
            <w:vAlign w:val="center"/>
          </w:tcPr>
          <w:p>
            <w:pPr>
              <w:jc w:val="center"/>
              <w:rPr>
                <w:color w:val="auto"/>
                <w:highlight w:val="none"/>
              </w:rPr>
            </w:pPr>
            <w:r>
              <w:rPr>
                <w:rFonts w:hint="eastAsia"/>
                <w:color w:val="auto"/>
                <w:highlight w:val="none"/>
              </w:rPr>
              <w:t>2.25.2</w:t>
            </w:r>
          </w:p>
        </w:tc>
        <w:tc>
          <w:tcPr>
            <w:tcW w:w="2014" w:type="pct"/>
            <w:vAlign w:val="center"/>
          </w:tcPr>
          <w:p>
            <w:pPr>
              <w:jc w:val="center"/>
              <w:rPr>
                <w:color w:val="auto"/>
                <w:highlight w:val="none"/>
              </w:rPr>
            </w:pPr>
            <w:r>
              <w:rPr>
                <w:rFonts w:hint="eastAsia"/>
                <w:color w:val="auto"/>
                <w:highlight w:val="none"/>
              </w:rPr>
              <w:t>用户角色权限管理</w:t>
            </w:r>
          </w:p>
        </w:tc>
        <w:tc>
          <w:tcPr>
            <w:tcW w:w="2297" w:type="pct"/>
          </w:tcPr>
          <w:p>
            <w:pPr>
              <w:rPr>
                <w:color w:val="auto"/>
                <w:highlight w:val="none"/>
              </w:rPr>
            </w:pPr>
            <w:r>
              <w:rPr>
                <w:rFonts w:hint="eastAsia"/>
                <w:color w:val="auto"/>
                <w:highlight w:val="none"/>
              </w:rPr>
              <w:t>各级管理员只能查看本级医保以及下级两定机构的数据质量检测结果、数据分析报告，无法查看上级医保数据。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687" w:type="pct"/>
            <w:noWrap/>
            <w:vAlign w:val="center"/>
          </w:tcPr>
          <w:p>
            <w:pPr>
              <w:jc w:val="center"/>
              <w:rPr>
                <w:b/>
                <w:bCs/>
                <w:color w:val="auto"/>
                <w:highlight w:val="none"/>
              </w:rPr>
            </w:pPr>
            <w:r>
              <w:rPr>
                <w:rFonts w:hint="eastAsia"/>
                <w:b/>
                <w:bCs/>
                <w:color w:val="auto"/>
                <w:highlight w:val="none"/>
              </w:rPr>
              <w:t>2.26</w:t>
            </w:r>
          </w:p>
        </w:tc>
        <w:tc>
          <w:tcPr>
            <w:tcW w:w="2014" w:type="pct"/>
            <w:noWrap/>
            <w:vAlign w:val="center"/>
          </w:tcPr>
          <w:p>
            <w:pPr>
              <w:jc w:val="center"/>
              <w:rPr>
                <w:b/>
                <w:bCs/>
                <w:color w:val="auto"/>
                <w:highlight w:val="none"/>
              </w:rPr>
            </w:pPr>
            <w:r>
              <w:rPr>
                <w:rFonts w:hint="eastAsia"/>
                <w:b/>
                <w:bCs/>
                <w:color w:val="auto"/>
                <w:highlight w:val="none"/>
              </w:rPr>
              <w:t>数据操作权限</w:t>
            </w:r>
          </w:p>
        </w:tc>
        <w:tc>
          <w:tcPr>
            <w:tcW w:w="2297" w:type="pct"/>
          </w:tcPr>
          <w:p>
            <w:pPr>
              <w:rPr>
                <w:color w:val="auto"/>
                <w:highlight w:val="none"/>
              </w:rPr>
            </w:pPr>
            <w:r>
              <w:rPr>
                <w:rFonts w:hint="eastAsia"/>
                <w:color w:val="auto"/>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87" w:type="pct"/>
            <w:vAlign w:val="center"/>
          </w:tcPr>
          <w:p>
            <w:pPr>
              <w:jc w:val="center"/>
              <w:rPr>
                <w:color w:val="auto"/>
                <w:highlight w:val="none"/>
              </w:rPr>
            </w:pPr>
            <w:r>
              <w:rPr>
                <w:rFonts w:hint="eastAsia"/>
                <w:color w:val="auto"/>
                <w:highlight w:val="none"/>
              </w:rPr>
              <w:t>2.26.1</w:t>
            </w:r>
          </w:p>
        </w:tc>
        <w:tc>
          <w:tcPr>
            <w:tcW w:w="2014" w:type="pct"/>
            <w:vAlign w:val="center"/>
          </w:tcPr>
          <w:p>
            <w:pPr>
              <w:jc w:val="center"/>
              <w:rPr>
                <w:color w:val="auto"/>
                <w:highlight w:val="none"/>
              </w:rPr>
            </w:pPr>
            <w:r>
              <w:rPr>
                <w:rFonts w:hint="eastAsia"/>
                <w:color w:val="auto"/>
                <w:highlight w:val="none"/>
              </w:rPr>
              <w:t>数据操作权限</w:t>
            </w:r>
          </w:p>
        </w:tc>
        <w:tc>
          <w:tcPr>
            <w:tcW w:w="2297" w:type="pct"/>
          </w:tcPr>
          <w:p>
            <w:pPr>
              <w:rPr>
                <w:color w:val="auto"/>
                <w:highlight w:val="none"/>
              </w:rPr>
            </w:pPr>
            <w:r>
              <w:rPr>
                <w:rFonts w:hint="eastAsia"/>
                <w:color w:val="auto"/>
                <w:highlight w:val="none"/>
              </w:rPr>
              <w:t>通过权限控制，控制各级管理员的数据操作权限，地市医保检测结果由自治区医保管理员进行分发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87" w:type="pct"/>
            <w:vAlign w:val="center"/>
          </w:tcPr>
          <w:p>
            <w:pPr>
              <w:jc w:val="center"/>
              <w:rPr>
                <w:color w:val="auto"/>
                <w:highlight w:val="none"/>
              </w:rPr>
            </w:pPr>
            <w:r>
              <w:rPr>
                <w:rFonts w:hint="eastAsia"/>
                <w:color w:val="auto"/>
                <w:highlight w:val="none"/>
              </w:rPr>
              <w:t>2.26.2</w:t>
            </w:r>
          </w:p>
        </w:tc>
        <w:tc>
          <w:tcPr>
            <w:tcW w:w="2014" w:type="pct"/>
            <w:vAlign w:val="center"/>
          </w:tcPr>
          <w:p>
            <w:pPr>
              <w:jc w:val="center"/>
              <w:rPr>
                <w:color w:val="auto"/>
                <w:highlight w:val="none"/>
              </w:rPr>
            </w:pPr>
            <w:r>
              <w:rPr>
                <w:rFonts w:hint="eastAsia"/>
                <w:color w:val="auto"/>
                <w:highlight w:val="none"/>
              </w:rPr>
              <w:t>两定机构检测结果分发</w:t>
            </w:r>
          </w:p>
        </w:tc>
        <w:tc>
          <w:tcPr>
            <w:tcW w:w="2297" w:type="pct"/>
          </w:tcPr>
          <w:p>
            <w:pPr>
              <w:rPr>
                <w:color w:val="auto"/>
                <w:highlight w:val="none"/>
              </w:rPr>
            </w:pPr>
            <w:r>
              <w:rPr>
                <w:rFonts w:hint="eastAsia"/>
                <w:color w:val="auto"/>
                <w:highlight w:val="none"/>
              </w:rPr>
              <w:t>两定机构检测结果由地市医保管理员进行分发。实现两定机构数据的分级管理。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687" w:type="pct"/>
            <w:noWrap/>
            <w:vAlign w:val="center"/>
          </w:tcPr>
          <w:p>
            <w:pPr>
              <w:jc w:val="center"/>
              <w:rPr>
                <w:b/>
                <w:bCs/>
                <w:color w:val="auto"/>
                <w:highlight w:val="none"/>
              </w:rPr>
            </w:pPr>
            <w:r>
              <w:rPr>
                <w:rFonts w:hint="eastAsia"/>
                <w:b/>
                <w:bCs/>
                <w:color w:val="auto"/>
                <w:highlight w:val="none"/>
              </w:rPr>
              <w:t>2.27</w:t>
            </w:r>
          </w:p>
        </w:tc>
        <w:tc>
          <w:tcPr>
            <w:tcW w:w="2014" w:type="pct"/>
            <w:noWrap/>
            <w:vAlign w:val="center"/>
          </w:tcPr>
          <w:p>
            <w:pPr>
              <w:jc w:val="center"/>
              <w:rPr>
                <w:b/>
                <w:bCs/>
                <w:color w:val="auto"/>
                <w:highlight w:val="none"/>
              </w:rPr>
            </w:pPr>
            <w:r>
              <w:rPr>
                <w:rFonts w:hint="eastAsia"/>
                <w:b/>
                <w:bCs/>
                <w:color w:val="auto"/>
                <w:highlight w:val="none"/>
              </w:rPr>
              <w:t>医保统一门户对接</w:t>
            </w:r>
          </w:p>
        </w:tc>
        <w:tc>
          <w:tcPr>
            <w:tcW w:w="2297" w:type="pct"/>
          </w:tcPr>
          <w:p>
            <w:pPr>
              <w:rPr>
                <w:color w:val="auto"/>
                <w:highlight w:val="none"/>
              </w:rPr>
            </w:pPr>
            <w:r>
              <w:rPr>
                <w:rFonts w:hint="eastAsia"/>
                <w:color w:val="auto"/>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87" w:type="pct"/>
            <w:vAlign w:val="center"/>
          </w:tcPr>
          <w:p>
            <w:pPr>
              <w:jc w:val="center"/>
              <w:rPr>
                <w:color w:val="auto"/>
                <w:highlight w:val="none"/>
              </w:rPr>
            </w:pPr>
            <w:r>
              <w:rPr>
                <w:rFonts w:hint="eastAsia"/>
                <w:color w:val="auto"/>
                <w:highlight w:val="none"/>
              </w:rPr>
              <w:t>2.27.1</w:t>
            </w:r>
          </w:p>
        </w:tc>
        <w:tc>
          <w:tcPr>
            <w:tcW w:w="2014" w:type="pct"/>
            <w:vAlign w:val="center"/>
          </w:tcPr>
          <w:p>
            <w:pPr>
              <w:jc w:val="center"/>
              <w:rPr>
                <w:color w:val="auto"/>
                <w:highlight w:val="none"/>
              </w:rPr>
            </w:pPr>
            <w:r>
              <w:rPr>
                <w:rFonts w:hint="eastAsia"/>
                <w:color w:val="auto"/>
                <w:highlight w:val="none"/>
              </w:rPr>
              <w:t>统一两定机构用户账号</w:t>
            </w:r>
          </w:p>
        </w:tc>
        <w:tc>
          <w:tcPr>
            <w:tcW w:w="2297" w:type="pct"/>
          </w:tcPr>
          <w:p>
            <w:pPr>
              <w:rPr>
                <w:color w:val="auto"/>
                <w:highlight w:val="none"/>
              </w:rPr>
            </w:pPr>
            <w:r>
              <w:rPr>
                <w:rFonts w:hint="eastAsia"/>
                <w:color w:val="auto"/>
                <w:highlight w:val="none"/>
              </w:rPr>
              <w:t>同步医保统一门户系统自治区医保、地市医保、两定机构用户账号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87" w:type="pct"/>
            <w:vAlign w:val="center"/>
          </w:tcPr>
          <w:p>
            <w:pPr>
              <w:jc w:val="center"/>
              <w:rPr>
                <w:color w:val="auto"/>
                <w:highlight w:val="none"/>
              </w:rPr>
            </w:pPr>
            <w:r>
              <w:rPr>
                <w:rFonts w:hint="eastAsia"/>
                <w:color w:val="auto"/>
                <w:highlight w:val="none"/>
              </w:rPr>
              <w:t>2.27.2</w:t>
            </w:r>
          </w:p>
        </w:tc>
        <w:tc>
          <w:tcPr>
            <w:tcW w:w="2014" w:type="pct"/>
            <w:vAlign w:val="center"/>
          </w:tcPr>
          <w:p>
            <w:pPr>
              <w:jc w:val="center"/>
              <w:rPr>
                <w:color w:val="auto"/>
                <w:highlight w:val="none"/>
              </w:rPr>
            </w:pPr>
            <w:r>
              <w:rPr>
                <w:rFonts w:hint="eastAsia"/>
                <w:color w:val="auto"/>
                <w:highlight w:val="none"/>
              </w:rPr>
              <w:t>医保统一门户单点登录</w:t>
            </w:r>
          </w:p>
        </w:tc>
        <w:tc>
          <w:tcPr>
            <w:tcW w:w="2297" w:type="pct"/>
          </w:tcPr>
          <w:p>
            <w:pPr>
              <w:rPr>
                <w:color w:val="auto"/>
                <w:highlight w:val="none"/>
              </w:rPr>
            </w:pPr>
            <w:r>
              <w:rPr>
                <w:rFonts w:hint="eastAsia"/>
                <w:color w:val="auto"/>
                <w:highlight w:val="none"/>
              </w:rPr>
              <w:t>医保统一门户单点登录，在医保统一门户系统完成身份认证、登录后，无需再次登录即可访问两定机构接口数据检测系统功能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87" w:type="pct"/>
            <w:vAlign w:val="center"/>
          </w:tcPr>
          <w:p>
            <w:pPr>
              <w:jc w:val="center"/>
              <w:rPr>
                <w:color w:val="auto"/>
                <w:highlight w:val="none"/>
              </w:rPr>
            </w:pPr>
            <w:r>
              <w:rPr>
                <w:rFonts w:hint="eastAsia"/>
                <w:color w:val="auto"/>
                <w:highlight w:val="none"/>
              </w:rPr>
              <w:t>2.27.3</w:t>
            </w:r>
          </w:p>
        </w:tc>
        <w:tc>
          <w:tcPr>
            <w:tcW w:w="2014" w:type="pct"/>
            <w:vAlign w:val="center"/>
          </w:tcPr>
          <w:p>
            <w:pPr>
              <w:jc w:val="center"/>
              <w:rPr>
                <w:color w:val="auto"/>
                <w:highlight w:val="none"/>
              </w:rPr>
            </w:pPr>
            <w:r>
              <w:rPr>
                <w:rFonts w:hint="eastAsia"/>
                <w:color w:val="auto"/>
                <w:highlight w:val="none"/>
              </w:rPr>
              <w:t>用户访问权限同步</w:t>
            </w:r>
          </w:p>
        </w:tc>
        <w:tc>
          <w:tcPr>
            <w:tcW w:w="2297" w:type="pct"/>
          </w:tcPr>
          <w:p>
            <w:pPr>
              <w:rPr>
                <w:color w:val="auto"/>
                <w:highlight w:val="none"/>
              </w:rPr>
            </w:pPr>
            <w:r>
              <w:rPr>
                <w:rFonts w:hint="eastAsia"/>
                <w:color w:val="auto"/>
                <w:highlight w:val="none"/>
              </w:rPr>
              <w:t>同步用户的功能操作、数据访问权限，用户在医保统一门户系统仅能操作、查看权限内的两定机构接口数据检测系统功能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87" w:type="pct"/>
            <w:vAlign w:val="center"/>
          </w:tcPr>
          <w:p>
            <w:pPr>
              <w:jc w:val="center"/>
              <w:rPr>
                <w:color w:val="auto"/>
                <w:highlight w:val="none"/>
              </w:rPr>
            </w:pPr>
            <w:r>
              <w:rPr>
                <w:rFonts w:hint="eastAsia"/>
                <w:color w:val="auto"/>
                <w:highlight w:val="none"/>
              </w:rPr>
              <w:t>2.27.4</w:t>
            </w:r>
          </w:p>
        </w:tc>
        <w:tc>
          <w:tcPr>
            <w:tcW w:w="2014" w:type="pct"/>
            <w:vAlign w:val="center"/>
          </w:tcPr>
          <w:p>
            <w:pPr>
              <w:jc w:val="center"/>
              <w:rPr>
                <w:color w:val="auto"/>
                <w:highlight w:val="none"/>
              </w:rPr>
            </w:pPr>
            <w:r>
              <w:rPr>
                <w:rFonts w:hint="eastAsia"/>
                <w:color w:val="auto"/>
                <w:highlight w:val="none"/>
              </w:rPr>
              <w:t>统一门户菜单嵌入</w:t>
            </w:r>
          </w:p>
        </w:tc>
        <w:tc>
          <w:tcPr>
            <w:tcW w:w="2297" w:type="pct"/>
          </w:tcPr>
          <w:p>
            <w:pPr>
              <w:rPr>
                <w:color w:val="auto"/>
                <w:highlight w:val="none"/>
              </w:rPr>
            </w:pPr>
            <w:r>
              <w:rPr>
                <w:rFonts w:hint="eastAsia"/>
                <w:color w:val="auto"/>
                <w:highlight w:val="none"/>
              </w:rPr>
              <w:t>将两定机构接口数据检测系统功能菜单挂载到统一门户系统界面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87" w:type="pct"/>
            <w:vAlign w:val="center"/>
          </w:tcPr>
          <w:p>
            <w:pPr>
              <w:jc w:val="center"/>
              <w:rPr>
                <w:color w:val="auto"/>
                <w:highlight w:val="none"/>
              </w:rPr>
            </w:pPr>
            <w:r>
              <w:rPr>
                <w:rFonts w:hint="eastAsia"/>
                <w:color w:val="auto"/>
                <w:highlight w:val="none"/>
              </w:rPr>
              <w:t>2.27.5</w:t>
            </w:r>
          </w:p>
        </w:tc>
        <w:tc>
          <w:tcPr>
            <w:tcW w:w="2014" w:type="pct"/>
            <w:vAlign w:val="center"/>
          </w:tcPr>
          <w:p>
            <w:pPr>
              <w:jc w:val="center"/>
              <w:rPr>
                <w:color w:val="auto"/>
                <w:highlight w:val="none"/>
              </w:rPr>
            </w:pPr>
            <w:r>
              <w:rPr>
                <w:rFonts w:hint="eastAsia"/>
                <w:color w:val="auto"/>
                <w:highlight w:val="none"/>
              </w:rPr>
              <w:t>系统功能配色规范化</w:t>
            </w:r>
          </w:p>
        </w:tc>
        <w:tc>
          <w:tcPr>
            <w:tcW w:w="2297" w:type="pct"/>
          </w:tcPr>
          <w:p>
            <w:pPr>
              <w:rPr>
                <w:color w:val="auto"/>
                <w:highlight w:val="none"/>
              </w:rPr>
            </w:pPr>
            <w:r>
              <w:rPr>
                <w:rFonts w:hint="eastAsia"/>
                <w:color w:val="auto"/>
                <w:highlight w:val="none"/>
              </w:rPr>
              <w:t>根据《医疗保障信息平台用户界面规范》调整两定机构接口数据检测系统功能配色，与医保统一门户系统保持一致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87" w:type="pct"/>
            <w:vAlign w:val="center"/>
          </w:tcPr>
          <w:p>
            <w:pPr>
              <w:jc w:val="center"/>
              <w:rPr>
                <w:color w:val="auto"/>
                <w:highlight w:val="none"/>
              </w:rPr>
            </w:pPr>
            <w:r>
              <w:rPr>
                <w:rFonts w:hint="eastAsia"/>
                <w:color w:val="auto"/>
                <w:highlight w:val="none"/>
              </w:rPr>
              <w:t>2.27.6</w:t>
            </w:r>
          </w:p>
        </w:tc>
        <w:tc>
          <w:tcPr>
            <w:tcW w:w="2014" w:type="pct"/>
            <w:vAlign w:val="center"/>
          </w:tcPr>
          <w:p>
            <w:pPr>
              <w:jc w:val="center"/>
              <w:rPr>
                <w:color w:val="auto"/>
                <w:highlight w:val="none"/>
              </w:rPr>
            </w:pPr>
            <w:r>
              <w:rPr>
                <w:rFonts w:hint="eastAsia"/>
                <w:color w:val="auto"/>
                <w:highlight w:val="none"/>
              </w:rPr>
              <w:t>系统功能字体规范化</w:t>
            </w:r>
          </w:p>
        </w:tc>
        <w:tc>
          <w:tcPr>
            <w:tcW w:w="2297" w:type="pct"/>
          </w:tcPr>
          <w:p>
            <w:pPr>
              <w:rPr>
                <w:color w:val="auto"/>
                <w:highlight w:val="none"/>
              </w:rPr>
            </w:pPr>
            <w:r>
              <w:rPr>
                <w:rFonts w:hint="eastAsia"/>
                <w:color w:val="auto"/>
                <w:highlight w:val="none"/>
              </w:rPr>
              <w:t>根据《医疗保障信息平台用户界面规范》调整两定机构接口数据检测系统功能字体、字号，与医保统一门户系统保持一致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87" w:type="pct"/>
            <w:vAlign w:val="center"/>
          </w:tcPr>
          <w:p>
            <w:pPr>
              <w:jc w:val="center"/>
              <w:rPr>
                <w:color w:val="auto"/>
                <w:highlight w:val="none"/>
              </w:rPr>
            </w:pPr>
            <w:r>
              <w:rPr>
                <w:rFonts w:hint="eastAsia"/>
                <w:color w:val="auto"/>
                <w:highlight w:val="none"/>
              </w:rPr>
              <w:t>2.27.7</w:t>
            </w:r>
          </w:p>
        </w:tc>
        <w:tc>
          <w:tcPr>
            <w:tcW w:w="2014" w:type="pct"/>
            <w:vAlign w:val="center"/>
          </w:tcPr>
          <w:p>
            <w:pPr>
              <w:jc w:val="center"/>
              <w:rPr>
                <w:color w:val="auto"/>
                <w:highlight w:val="none"/>
              </w:rPr>
            </w:pPr>
            <w:r>
              <w:rPr>
                <w:rFonts w:hint="eastAsia"/>
                <w:color w:val="auto"/>
                <w:highlight w:val="none"/>
              </w:rPr>
              <w:t>系统功能界面规范化</w:t>
            </w:r>
          </w:p>
        </w:tc>
        <w:tc>
          <w:tcPr>
            <w:tcW w:w="2297" w:type="pct"/>
          </w:tcPr>
          <w:p>
            <w:pPr>
              <w:rPr>
                <w:color w:val="auto"/>
                <w:highlight w:val="none"/>
              </w:rPr>
            </w:pPr>
            <w:r>
              <w:rPr>
                <w:rFonts w:hint="eastAsia"/>
                <w:color w:val="auto"/>
                <w:highlight w:val="none"/>
              </w:rPr>
              <w:t>根据《医疗保障信息平台用户界面规范》调整两定机构接口数据检测系统功能界面风格，与医保统一门户系统保持一致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87" w:type="pct"/>
            <w:vAlign w:val="center"/>
          </w:tcPr>
          <w:p>
            <w:pPr>
              <w:jc w:val="center"/>
              <w:rPr>
                <w:color w:val="auto"/>
                <w:highlight w:val="none"/>
              </w:rPr>
            </w:pPr>
            <w:r>
              <w:rPr>
                <w:rFonts w:hint="eastAsia"/>
                <w:color w:val="auto"/>
                <w:highlight w:val="none"/>
              </w:rPr>
              <w:t>2.27.8</w:t>
            </w:r>
          </w:p>
        </w:tc>
        <w:tc>
          <w:tcPr>
            <w:tcW w:w="2014" w:type="pct"/>
            <w:vAlign w:val="center"/>
          </w:tcPr>
          <w:p>
            <w:pPr>
              <w:jc w:val="center"/>
              <w:rPr>
                <w:color w:val="auto"/>
                <w:highlight w:val="none"/>
              </w:rPr>
            </w:pPr>
            <w:r>
              <w:rPr>
                <w:rFonts w:hint="eastAsia"/>
                <w:color w:val="auto"/>
                <w:highlight w:val="none"/>
              </w:rPr>
              <w:t>系统功能前端组件规范化</w:t>
            </w:r>
          </w:p>
        </w:tc>
        <w:tc>
          <w:tcPr>
            <w:tcW w:w="2297" w:type="pct"/>
          </w:tcPr>
          <w:p>
            <w:pPr>
              <w:rPr>
                <w:color w:val="auto"/>
                <w:highlight w:val="none"/>
              </w:rPr>
            </w:pPr>
            <w:r>
              <w:rPr>
                <w:rFonts w:hint="eastAsia"/>
                <w:color w:val="auto"/>
                <w:highlight w:val="none"/>
              </w:rPr>
              <w:t>根据《医疗保障信息平台用户界面规范》调整两定机构接口数据检测系统功能前端组件（按钮、输入框等），与医保统一门户系统保持一致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87" w:type="pct"/>
            <w:vAlign w:val="center"/>
          </w:tcPr>
          <w:p>
            <w:pPr>
              <w:jc w:val="center"/>
              <w:rPr>
                <w:color w:val="auto"/>
                <w:highlight w:val="none"/>
              </w:rPr>
            </w:pPr>
            <w:r>
              <w:rPr>
                <w:rFonts w:hint="eastAsia"/>
                <w:color w:val="auto"/>
                <w:highlight w:val="none"/>
              </w:rPr>
              <w:t>2.27.9</w:t>
            </w:r>
          </w:p>
        </w:tc>
        <w:tc>
          <w:tcPr>
            <w:tcW w:w="2014" w:type="pct"/>
            <w:vAlign w:val="center"/>
          </w:tcPr>
          <w:p>
            <w:pPr>
              <w:jc w:val="center"/>
              <w:rPr>
                <w:color w:val="auto"/>
                <w:highlight w:val="none"/>
              </w:rPr>
            </w:pPr>
            <w:r>
              <w:rPr>
                <w:rFonts w:hint="eastAsia"/>
                <w:color w:val="auto"/>
                <w:highlight w:val="none"/>
              </w:rPr>
              <w:t>系统功能图表样式规范化</w:t>
            </w:r>
          </w:p>
        </w:tc>
        <w:tc>
          <w:tcPr>
            <w:tcW w:w="2297" w:type="pct"/>
          </w:tcPr>
          <w:p>
            <w:pPr>
              <w:rPr>
                <w:color w:val="auto"/>
                <w:highlight w:val="none"/>
              </w:rPr>
            </w:pPr>
            <w:r>
              <w:rPr>
                <w:rFonts w:hint="eastAsia"/>
                <w:color w:val="auto"/>
                <w:highlight w:val="none"/>
              </w:rPr>
              <w:t>根据《医疗保障信息平台用户界面规范》调整两定机构接口数据检测系统功能图表样式，与医保统一门户系统保持一致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87" w:type="pct"/>
            <w:vAlign w:val="center"/>
          </w:tcPr>
          <w:p>
            <w:pPr>
              <w:jc w:val="center"/>
              <w:rPr>
                <w:b/>
                <w:bCs/>
                <w:color w:val="auto"/>
                <w:highlight w:val="none"/>
              </w:rPr>
            </w:pPr>
            <w:r>
              <w:rPr>
                <w:rFonts w:hint="eastAsia"/>
                <w:b/>
                <w:bCs/>
                <w:color w:val="auto"/>
                <w:highlight w:val="none"/>
              </w:rPr>
              <w:t>2.28</w:t>
            </w:r>
          </w:p>
        </w:tc>
        <w:tc>
          <w:tcPr>
            <w:tcW w:w="2014" w:type="pct"/>
            <w:vAlign w:val="center"/>
          </w:tcPr>
          <w:p>
            <w:pPr>
              <w:jc w:val="center"/>
              <w:rPr>
                <w:b/>
                <w:bCs/>
                <w:color w:val="auto"/>
                <w:highlight w:val="none"/>
              </w:rPr>
            </w:pPr>
            <w:r>
              <w:rPr>
                <w:rFonts w:hint="eastAsia"/>
                <w:b/>
                <w:bCs/>
                <w:color w:val="auto"/>
                <w:highlight w:val="none"/>
              </w:rPr>
              <w:t>虚拟化运维系统对接</w:t>
            </w:r>
          </w:p>
        </w:tc>
        <w:tc>
          <w:tcPr>
            <w:tcW w:w="2297" w:type="pct"/>
          </w:tcPr>
          <w:p>
            <w:pPr>
              <w:rPr>
                <w:color w:val="auto"/>
                <w:highlight w:val="none"/>
              </w:rPr>
            </w:pPr>
            <w:r>
              <w:rPr>
                <w:rFonts w:hint="eastAsia"/>
                <w:color w:val="auto"/>
                <w:highlight w:val="none"/>
              </w:rPr>
              <w:t>将两定机构接口数据检测系统生成报告推送至虚拟化运维系统，由虚拟化运维系统进行报告分发</w:t>
            </w:r>
          </w:p>
        </w:tc>
      </w:tr>
    </w:tbl>
    <w:p>
      <w:pPr>
        <w:rPr>
          <w:color w:val="auto"/>
          <w:highlight w:val="none"/>
        </w:rPr>
      </w:pPr>
    </w:p>
    <w:p>
      <w:pPr>
        <w:pStyle w:val="8"/>
        <w:rPr>
          <w:color w:val="auto"/>
          <w:highlight w:val="none"/>
        </w:rPr>
      </w:pPr>
      <w:r>
        <w:rPr>
          <w:rFonts w:hint="eastAsia"/>
          <w:color w:val="auto"/>
          <w:highlight w:val="none"/>
        </w:rPr>
        <w:t>（2）运维系统升级</w:t>
      </w:r>
    </w:p>
    <w:tbl>
      <w:tblPr>
        <w:tblStyle w:val="5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07"/>
        <w:gridCol w:w="3395"/>
        <w:gridCol w:w="50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627" w:type="pct"/>
            <w:vMerge w:val="restart"/>
          </w:tcPr>
          <w:p>
            <w:pPr>
              <w:jc w:val="center"/>
              <w:rPr>
                <w:color w:val="auto"/>
                <w:highlight w:val="none"/>
              </w:rPr>
            </w:pPr>
            <w:r>
              <w:rPr>
                <w:rFonts w:hint="eastAsia"/>
                <w:color w:val="auto"/>
                <w:highlight w:val="none"/>
              </w:rPr>
              <w:t>序号</w:t>
            </w:r>
          </w:p>
        </w:tc>
        <w:tc>
          <w:tcPr>
            <w:tcW w:w="1763" w:type="pct"/>
            <w:vMerge w:val="restart"/>
          </w:tcPr>
          <w:p>
            <w:pPr>
              <w:jc w:val="center"/>
              <w:rPr>
                <w:color w:val="auto"/>
                <w:highlight w:val="none"/>
              </w:rPr>
            </w:pPr>
            <w:r>
              <w:rPr>
                <w:rFonts w:hint="eastAsia"/>
                <w:color w:val="auto"/>
                <w:highlight w:val="none"/>
              </w:rPr>
              <w:t>项目阶段及功能</w:t>
            </w:r>
          </w:p>
        </w:tc>
        <w:tc>
          <w:tcPr>
            <w:tcW w:w="2608" w:type="pct"/>
            <w:vMerge w:val="restart"/>
          </w:tcPr>
          <w:p>
            <w:pPr>
              <w:jc w:val="center"/>
              <w:rPr>
                <w:color w:val="auto"/>
                <w:highlight w:val="none"/>
              </w:rPr>
            </w:pPr>
            <w:r>
              <w:rPr>
                <w:rFonts w:hint="eastAsia"/>
                <w:color w:val="auto"/>
                <w:highlight w:val="none"/>
              </w:rPr>
              <w:t>需求描述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627" w:type="pct"/>
            <w:vMerge w:val="continue"/>
          </w:tcPr>
          <w:p>
            <w:pPr>
              <w:rPr>
                <w:color w:val="auto"/>
                <w:highlight w:val="none"/>
              </w:rPr>
            </w:pPr>
          </w:p>
        </w:tc>
        <w:tc>
          <w:tcPr>
            <w:tcW w:w="1763" w:type="pct"/>
            <w:vMerge w:val="continue"/>
          </w:tcPr>
          <w:p>
            <w:pPr>
              <w:rPr>
                <w:color w:val="auto"/>
                <w:highlight w:val="none"/>
              </w:rPr>
            </w:pPr>
          </w:p>
        </w:tc>
        <w:tc>
          <w:tcPr>
            <w:tcW w:w="2608" w:type="pct"/>
            <w:vMerge w:val="continue"/>
          </w:tcPr>
          <w:p>
            <w:pP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27" w:type="pct"/>
            <w:vAlign w:val="center"/>
          </w:tcPr>
          <w:p>
            <w:pPr>
              <w:jc w:val="center"/>
              <w:rPr>
                <w:b/>
                <w:bCs/>
                <w:color w:val="auto"/>
                <w:highlight w:val="none"/>
              </w:rPr>
            </w:pPr>
            <w:r>
              <w:rPr>
                <w:rFonts w:hint="eastAsia"/>
                <w:b/>
                <w:bCs/>
                <w:color w:val="auto"/>
                <w:highlight w:val="none"/>
              </w:rPr>
              <w:t>1</w:t>
            </w:r>
          </w:p>
        </w:tc>
        <w:tc>
          <w:tcPr>
            <w:tcW w:w="1763" w:type="pct"/>
            <w:vAlign w:val="center"/>
          </w:tcPr>
          <w:p>
            <w:pPr>
              <w:jc w:val="center"/>
              <w:rPr>
                <w:b/>
                <w:bCs/>
                <w:color w:val="auto"/>
                <w:highlight w:val="none"/>
              </w:rPr>
            </w:pPr>
            <w:r>
              <w:rPr>
                <w:rFonts w:hint="eastAsia"/>
                <w:b/>
                <w:bCs/>
                <w:color w:val="auto"/>
                <w:highlight w:val="none"/>
              </w:rPr>
              <w:t>虚拟化运维系统信创国产化改造</w:t>
            </w:r>
          </w:p>
        </w:tc>
        <w:tc>
          <w:tcPr>
            <w:tcW w:w="2608" w:type="pct"/>
          </w:tcPr>
          <w:p>
            <w:pPr>
              <w:rPr>
                <w:color w:val="auto"/>
                <w:highlight w:val="none"/>
              </w:rPr>
            </w:pPr>
            <w:r>
              <w:rPr>
                <w:rFonts w:hint="eastAsia"/>
                <w:color w:val="auto"/>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27" w:type="pct"/>
            <w:vAlign w:val="center"/>
          </w:tcPr>
          <w:p>
            <w:pPr>
              <w:jc w:val="center"/>
              <w:rPr>
                <w:b/>
                <w:bCs/>
                <w:color w:val="auto"/>
                <w:highlight w:val="none"/>
              </w:rPr>
            </w:pPr>
            <w:r>
              <w:rPr>
                <w:rFonts w:hint="eastAsia"/>
                <w:b/>
                <w:bCs/>
                <w:color w:val="auto"/>
                <w:highlight w:val="none"/>
              </w:rPr>
              <w:t>1.1</w:t>
            </w:r>
          </w:p>
        </w:tc>
        <w:tc>
          <w:tcPr>
            <w:tcW w:w="1763" w:type="pct"/>
            <w:vAlign w:val="center"/>
          </w:tcPr>
          <w:p>
            <w:pPr>
              <w:jc w:val="center"/>
              <w:rPr>
                <w:b/>
                <w:bCs/>
                <w:color w:val="auto"/>
                <w:highlight w:val="none"/>
              </w:rPr>
            </w:pPr>
            <w:r>
              <w:rPr>
                <w:rFonts w:hint="eastAsia"/>
                <w:b/>
                <w:bCs/>
                <w:color w:val="auto"/>
                <w:highlight w:val="none"/>
              </w:rPr>
              <w:t>虚拟化运维系统国产操作系统适配</w:t>
            </w:r>
          </w:p>
        </w:tc>
        <w:tc>
          <w:tcPr>
            <w:tcW w:w="2608" w:type="pct"/>
          </w:tcPr>
          <w:p>
            <w:pPr>
              <w:rPr>
                <w:color w:val="auto"/>
                <w:highlight w:val="none"/>
              </w:rPr>
            </w:pPr>
            <w:r>
              <w:rPr>
                <w:rFonts w:hint="eastAsia"/>
                <w:color w:val="auto"/>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0" w:hRule="atLeast"/>
        </w:trPr>
        <w:tc>
          <w:tcPr>
            <w:tcW w:w="627" w:type="pct"/>
            <w:vAlign w:val="center"/>
          </w:tcPr>
          <w:p>
            <w:pPr>
              <w:jc w:val="center"/>
              <w:rPr>
                <w:color w:val="auto"/>
                <w:highlight w:val="none"/>
              </w:rPr>
            </w:pPr>
            <w:r>
              <w:rPr>
                <w:rFonts w:hint="eastAsia"/>
                <w:color w:val="auto"/>
                <w:highlight w:val="none"/>
              </w:rPr>
              <w:t>1.1.1</w:t>
            </w:r>
          </w:p>
        </w:tc>
        <w:tc>
          <w:tcPr>
            <w:tcW w:w="1763" w:type="pct"/>
            <w:vAlign w:val="center"/>
          </w:tcPr>
          <w:p>
            <w:pPr>
              <w:jc w:val="center"/>
              <w:rPr>
                <w:color w:val="auto"/>
                <w:highlight w:val="none"/>
              </w:rPr>
            </w:pPr>
            <w:r>
              <w:rPr>
                <w:rFonts w:hint="eastAsia"/>
                <w:color w:val="auto"/>
                <w:highlight w:val="none"/>
              </w:rPr>
              <w:t>系统架构重构</w:t>
            </w:r>
          </w:p>
        </w:tc>
        <w:tc>
          <w:tcPr>
            <w:tcW w:w="2608" w:type="pct"/>
          </w:tcPr>
          <w:p>
            <w:pPr>
              <w:rPr>
                <w:color w:val="auto"/>
                <w:highlight w:val="none"/>
              </w:rPr>
            </w:pPr>
            <w:r>
              <w:rPr>
                <w:rFonts w:hint="eastAsia"/>
                <w:color w:val="auto"/>
                <w:highlight w:val="none"/>
              </w:rPr>
              <w:t>对现有系统的应用组件和技术环境进行全面调研，由于国产化操作系统与现有操作系统在底层架构和系统调用接口上存在差异，需要对应用程序进行深度修改和重构，包括系统调用替换、依赖库重新编译和特定功能重写。将深入理解应用程序的内部逻辑，确保在新的操作系统上实现功能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trPr>
        <w:tc>
          <w:tcPr>
            <w:tcW w:w="627" w:type="pct"/>
            <w:vAlign w:val="center"/>
          </w:tcPr>
          <w:p>
            <w:pPr>
              <w:jc w:val="center"/>
              <w:rPr>
                <w:color w:val="auto"/>
                <w:highlight w:val="none"/>
              </w:rPr>
            </w:pPr>
            <w:r>
              <w:rPr>
                <w:rFonts w:hint="eastAsia"/>
                <w:color w:val="auto"/>
                <w:highlight w:val="none"/>
              </w:rPr>
              <w:t>1.1.2</w:t>
            </w:r>
          </w:p>
        </w:tc>
        <w:tc>
          <w:tcPr>
            <w:tcW w:w="1763" w:type="pct"/>
            <w:vAlign w:val="center"/>
          </w:tcPr>
          <w:p>
            <w:pPr>
              <w:jc w:val="center"/>
              <w:rPr>
                <w:color w:val="auto"/>
                <w:highlight w:val="none"/>
              </w:rPr>
            </w:pPr>
            <w:r>
              <w:rPr>
                <w:rFonts w:hint="eastAsia"/>
                <w:color w:val="auto"/>
                <w:highlight w:val="none"/>
              </w:rPr>
              <w:t>系统性能调优</w:t>
            </w:r>
          </w:p>
        </w:tc>
        <w:tc>
          <w:tcPr>
            <w:tcW w:w="2608" w:type="pct"/>
          </w:tcPr>
          <w:p>
            <w:pPr>
              <w:rPr>
                <w:color w:val="auto"/>
                <w:highlight w:val="none"/>
              </w:rPr>
            </w:pPr>
            <w:r>
              <w:rPr>
                <w:rFonts w:hint="eastAsia"/>
                <w:color w:val="auto"/>
                <w:highlight w:val="none"/>
              </w:rPr>
              <w:t>适配过程中，将特别关注性能和兼容性问题。将进行广泛的性能测试和调优，优化性能敏感组件的代码路径或算法，并通过长时间的压力测试和边界条件测试，验证应用程序在国产操作系统上的稳定性。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trPr>
        <w:tc>
          <w:tcPr>
            <w:tcW w:w="627" w:type="pct"/>
            <w:vAlign w:val="center"/>
          </w:tcPr>
          <w:p>
            <w:pPr>
              <w:jc w:val="center"/>
              <w:rPr>
                <w:color w:val="auto"/>
                <w:highlight w:val="none"/>
              </w:rPr>
            </w:pPr>
            <w:r>
              <w:rPr>
                <w:rFonts w:hint="eastAsia"/>
                <w:color w:val="auto"/>
                <w:highlight w:val="none"/>
              </w:rPr>
              <w:t>1.1.3</w:t>
            </w:r>
          </w:p>
        </w:tc>
        <w:tc>
          <w:tcPr>
            <w:tcW w:w="1763" w:type="pct"/>
            <w:vAlign w:val="center"/>
          </w:tcPr>
          <w:p>
            <w:pPr>
              <w:jc w:val="center"/>
              <w:rPr>
                <w:color w:val="auto"/>
                <w:highlight w:val="none"/>
              </w:rPr>
            </w:pPr>
            <w:r>
              <w:rPr>
                <w:rFonts w:hint="eastAsia"/>
                <w:color w:val="auto"/>
                <w:highlight w:val="none"/>
              </w:rPr>
              <w:t>系统功能及接口调试</w:t>
            </w:r>
          </w:p>
        </w:tc>
        <w:tc>
          <w:tcPr>
            <w:tcW w:w="2608" w:type="pct"/>
          </w:tcPr>
          <w:p>
            <w:pPr>
              <w:rPr>
                <w:color w:val="auto"/>
                <w:highlight w:val="none"/>
              </w:rPr>
            </w:pPr>
            <w:r>
              <w:rPr>
                <w:rFonts w:hint="eastAsia"/>
                <w:color w:val="auto"/>
                <w:highlight w:val="none"/>
              </w:rPr>
              <w:t>在国产操作系统上部署完整的系统服务，并根据调试的情况对功能和接口进行优化，适应国产操作系统的特性。这包括网络通信协议调整和数据序列化格式的兼容性处理，以确保系统稳定运行。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27" w:type="pct"/>
            <w:vAlign w:val="center"/>
          </w:tcPr>
          <w:p>
            <w:pPr>
              <w:jc w:val="center"/>
              <w:rPr>
                <w:b/>
                <w:bCs/>
                <w:color w:val="auto"/>
                <w:highlight w:val="none"/>
              </w:rPr>
            </w:pPr>
            <w:r>
              <w:rPr>
                <w:rFonts w:hint="eastAsia"/>
                <w:b/>
                <w:bCs/>
                <w:color w:val="auto"/>
                <w:highlight w:val="none"/>
              </w:rPr>
              <w:t>1.2</w:t>
            </w:r>
          </w:p>
        </w:tc>
        <w:tc>
          <w:tcPr>
            <w:tcW w:w="1763" w:type="pct"/>
            <w:vAlign w:val="center"/>
          </w:tcPr>
          <w:p>
            <w:pPr>
              <w:jc w:val="center"/>
              <w:rPr>
                <w:b/>
                <w:bCs/>
                <w:color w:val="auto"/>
                <w:highlight w:val="none"/>
              </w:rPr>
            </w:pPr>
            <w:r>
              <w:rPr>
                <w:rFonts w:hint="eastAsia"/>
                <w:b/>
                <w:bCs/>
                <w:color w:val="auto"/>
                <w:highlight w:val="none"/>
              </w:rPr>
              <w:t>虚拟化运维系统国产中间件适配</w:t>
            </w:r>
          </w:p>
        </w:tc>
        <w:tc>
          <w:tcPr>
            <w:tcW w:w="2608" w:type="pct"/>
          </w:tcPr>
          <w:p>
            <w:pPr>
              <w:rPr>
                <w:color w:val="auto"/>
                <w:highlight w:val="none"/>
              </w:rPr>
            </w:pPr>
            <w:r>
              <w:rPr>
                <w:rFonts w:hint="eastAsia"/>
                <w:color w:val="auto"/>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trPr>
        <w:tc>
          <w:tcPr>
            <w:tcW w:w="627" w:type="pct"/>
            <w:vAlign w:val="center"/>
          </w:tcPr>
          <w:p>
            <w:pPr>
              <w:jc w:val="center"/>
              <w:rPr>
                <w:color w:val="auto"/>
                <w:highlight w:val="none"/>
              </w:rPr>
            </w:pPr>
            <w:r>
              <w:rPr>
                <w:rFonts w:hint="eastAsia"/>
                <w:color w:val="auto"/>
                <w:highlight w:val="none"/>
              </w:rPr>
              <w:t>1.2.1</w:t>
            </w:r>
          </w:p>
        </w:tc>
        <w:tc>
          <w:tcPr>
            <w:tcW w:w="1763" w:type="pct"/>
            <w:vAlign w:val="center"/>
          </w:tcPr>
          <w:p>
            <w:pPr>
              <w:jc w:val="center"/>
              <w:rPr>
                <w:color w:val="auto"/>
                <w:highlight w:val="none"/>
              </w:rPr>
            </w:pPr>
            <w:r>
              <w:rPr>
                <w:rFonts w:hint="eastAsia"/>
                <w:color w:val="auto"/>
                <w:highlight w:val="none"/>
              </w:rPr>
              <w:t>中间件交互代码开发</w:t>
            </w:r>
          </w:p>
        </w:tc>
        <w:tc>
          <w:tcPr>
            <w:tcW w:w="2608" w:type="pct"/>
          </w:tcPr>
          <w:p>
            <w:pPr>
              <w:rPr>
                <w:color w:val="auto"/>
                <w:highlight w:val="none"/>
              </w:rPr>
            </w:pPr>
            <w:r>
              <w:rPr>
                <w:rFonts w:hint="eastAsia"/>
                <w:color w:val="auto"/>
                <w:highlight w:val="none"/>
              </w:rPr>
              <w:t>在应用服务程序中，根据国产中间件的 API 文档和接口规范，编写与国产中间件交互的代码。采用国产中间件提供的相关库和函数，以及采用国产中间件的数据格式和协议。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27" w:type="pct"/>
            <w:vAlign w:val="center"/>
          </w:tcPr>
          <w:p>
            <w:pPr>
              <w:jc w:val="center"/>
              <w:rPr>
                <w:color w:val="auto"/>
                <w:highlight w:val="none"/>
              </w:rPr>
            </w:pPr>
            <w:r>
              <w:rPr>
                <w:rFonts w:hint="eastAsia"/>
                <w:color w:val="auto"/>
                <w:highlight w:val="none"/>
              </w:rPr>
              <w:t>1.2.2</w:t>
            </w:r>
          </w:p>
        </w:tc>
        <w:tc>
          <w:tcPr>
            <w:tcW w:w="1763" w:type="pct"/>
            <w:vAlign w:val="center"/>
          </w:tcPr>
          <w:p>
            <w:pPr>
              <w:jc w:val="center"/>
              <w:rPr>
                <w:color w:val="auto"/>
                <w:highlight w:val="none"/>
              </w:rPr>
            </w:pPr>
            <w:r>
              <w:rPr>
                <w:rFonts w:hint="eastAsia"/>
                <w:color w:val="auto"/>
                <w:highlight w:val="none"/>
              </w:rPr>
              <w:t>中间件安全机制开发</w:t>
            </w:r>
          </w:p>
        </w:tc>
        <w:tc>
          <w:tcPr>
            <w:tcW w:w="2608" w:type="pct"/>
          </w:tcPr>
          <w:p>
            <w:pPr>
              <w:rPr>
                <w:color w:val="auto"/>
                <w:highlight w:val="none"/>
              </w:rPr>
            </w:pPr>
            <w:r>
              <w:rPr>
                <w:rFonts w:hint="eastAsia"/>
                <w:color w:val="auto"/>
                <w:highlight w:val="none"/>
              </w:rPr>
              <w:t>使用国产中间件提供的安全机制，如加密、认证和授权等，来保护应用服务程序与国产中间件之间的通信。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27" w:type="pct"/>
            <w:vAlign w:val="center"/>
          </w:tcPr>
          <w:p>
            <w:pPr>
              <w:jc w:val="center"/>
              <w:rPr>
                <w:color w:val="auto"/>
                <w:highlight w:val="none"/>
              </w:rPr>
            </w:pPr>
            <w:r>
              <w:rPr>
                <w:rFonts w:hint="eastAsia"/>
                <w:color w:val="auto"/>
                <w:highlight w:val="none"/>
              </w:rPr>
              <w:t>1.2.3</w:t>
            </w:r>
          </w:p>
        </w:tc>
        <w:tc>
          <w:tcPr>
            <w:tcW w:w="1763" w:type="pct"/>
            <w:vAlign w:val="center"/>
          </w:tcPr>
          <w:p>
            <w:pPr>
              <w:jc w:val="center"/>
              <w:rPr>
                <w:color w:val="auto"/>
                <w:highlight w:val="none"/>
              </w:rPr>
            </w:pPr>
            <w:r>
              <w:rPr>
                <w:rFonts w:hint="eastAsia"/>
                <w:color w:val="auto"/>
                <w:highlight w:val="none"/>
              </w:rPr>
              <w:t>系统调优与中间件适配</w:t>
            </w:r>
          </w:p>
        </w:tc>
        <w:tc>
          <w:tcPr>
            <w:tcW w:w="2608" w:type="pct"/>
          </w:tcPr>
          <w:p>
            <w:pPr>
              <w:rPr>
                <w:color w:val="auto"/>
                <w:highlight w:val="none"/>
              </w:rPr>
            </w:pPr>
            <w:r>
              <w:rPr>
                <w:rFonts w:hint="eastAsia"/>
                <w:color w:val="auto"/>
                <w:highlight w:val="none"/>
              </w:rPr>
              <w:t>根据国产中间件的升级计划和发布版本，对应用服务程序进行相应的适配和调整并处理出现的兼容性问题。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0" w:hRule="atLeast"/>
        </w:trPr>
        <w:tc>
          <w:tcPr>
            <w:tcW w:w="627" w:type="pct"/>
            <w:vAlign w:val="center"/>
          </w:tcPr>
          <w:p>
            <w:pPr>
              <w:jc w:val="center"/>
              <w:rPr>
                <w:color w:val="auto"/>
                <w:highlight w:val="none"/>
              </w:rPr>
            </w:pPr>
            <w:r>
              <w:rPr>
                <w:rFonts w:hint="eastAsia"/>
                <w:color w:val="auto"/>
                <w:highlight w:val="none"/>
              </w:rPr>
              <w:t>1.2.4</w:t>
            </w:r>
          </w:p>
        </w:tc>
        <w:tc>
          <w:tcPr>
            <w:tcW w:w="1763" w:type="pct"/>
            <w:vAlign w:val="center"/>
          </w:tcPr>
          <w:p>
            <w:pPr>
              <w:jc w:val="center"/>
              <w:rPr>
                <w:color w:val="auto"/>
                <w:highlight w:val="none"/>
              </w:rPr>
            </w:pPr>
            <w:r>
              <w:rPr>
                <w:rFonts w:hint="eastAsia"/>
                <w:color w:val="auto"/>
                <w:highlight w:val="none"/>
              </w:rPr>
              <w:t>调整缓存大小</w:t>
            </w:r>
          </w:p>
        </w:tc>
        <w:tc>
          <w:tcPr>
            <w:tcW w:w="2608" w:type="pct"/>
          </w:tcPr>
          <w:p>
            <w:pPr>
              <w:rPr>
                <w:color w:val="auto"/>
                <w:highlight w:val="none"/>
              </w:rPr>
            </w:pPr>
            <w:r>
              <w:rPr>
                <w:rFonts w:hint="eastAsia"/>
                <w:color w:val="auto"/>
                <w:highlight w:val="none"/>
              </w:rPr>
              <w:t>调整缓存大小：依据业务场景、数据特性及内存资源上限，通过监控实时内存使用率动态或静态配置缓存容量。设置合理值，避免过小导致频繁穿透、过大引发内存溢出，平衡性能与资源效率，确保系统稳定运行同时降低浪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0" w:hRule="atLeast"/>
        </w:trPr>
        <w:tc>
          <w:tcPr>
            <w:tcW w:w="627" w:type="pct"/>
            <w:vAlign w:val="center"/>
          </w:tcPr>
          <w:p>
            <w:pPr>
              <w:jc w:val="center"/>
              <w:rPr>
                <w:color w:val="auto"/>
                <w:highlight w:val="none"/>
              </w:rPr>
            </w:pPr>
            <w:r>
              <w:rPr>
                <w:rFonts w:hint="eastAsia"/>
                <w:color w:val="auto"/>
                <w:highlight w:val="none"/>
              </w:rPr>
              <w:t>1.2.5</w:t>
            </w:r>
          </w:p>
        </w:tc>
        <w:tc>
          <w:tcPr>
            <w:tcW w:w="1763" w:type="pct"/>
            <w:vAlign w:val="center"/>
          </w:tcPr>
          <w:p>
            <w:pPr>
              <w:jc w:val="center"/>
              <w:rPr>
                <w:color w:val="auto"/>
                <w:highlight w:val="none"/>
              </w:rPr>
            </w:pPr>
            <w:r>
              <w:rPr>
                <w:rFonts w:hint="eastAsia"/>
                <w:color w:val="auto"/>
                <w:highlight w:val="none"/>
              </w:rPr>
              <w:t>优化数据结构</w:t>
            </w:r>
          </w:p>
        </w:tc>
        <w:tc>
          <w:tcPr>
            <w:tcW w:w="2608" w:type="pct"/>
          </w:tcPr>
          <w:p>
            <w:pPr>
              <w:rPr>
                <w:color w:val="auto"/>
                <w:highlight w:val="none"/>
              </w:rPr>
            </w:pPr>
            <w:r>
              <w:rPr>
                <w:rFonts w:hint="eastAsia"/>
                <w:color w:val="auto"/>
                <w:highlight w:val="none"/>
              </w:rPr>
              <w:t>优化数据结构：依据业务场景与数据访问特性，优先选用简单高效的数据结构，避免冗余复杂类型。合理定义字段数据类型，控制内存占用，降低计算开销，提升数据读写效率，同时适配国产化技术栈的数据存储规范，平衡性能与资源利用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27" w:type="pct"/>
            <w:vAlign w:val="center"/>
          </w:tcPr>
          <w:p>
            <w:pPr>
              <w:jc w:val="center"/>
              <w:rPr>
                <w:color w:val="auto"/>
                <w:highlight w:val="none"/>
              </w:rPr>
            </w:pPr>
            <w:r>
              <w:rPr>
                <w:rFonts w:hint="eastAsia"/>
                <w:color w:val="auto"/>
                <w:highlight w:val="none"/>
              </w:rPr>
              <w:t>1.2.6</w:t>
            </w:r>
          </w:p>
        </w:tc>
        <w:tc>
          <w:tcPr>
            <w:tcW w:w="1763" w:type="pct"/>
            <w:vAlign w:val="center"/>
          </w:tcPr>
          <w:p>
            <w:pPr>
              <w:jc w:val="center"/>
              <w:rPr>
                <w:color w:val="auto"/>
                <w:highlight w:val="none"/>
              </w:rPr>
            </w:pPr>
            <w:r>
              <w:rPr>
                <w:rFonts w:hint="eastAsia"/>
                <w:color w:val="auto"/>
                <w:highlight w:val="none"/>
              </w:rPr>
              <w:t>减少不必要的对象创建</w:t>
            </w:r>
          </w:p>
        </w:tc>
        <w:tc>
          <w:tcPr>
            <w:tcW w:w="2608" w:type="pct"/>
          </w:tcPr>
          <w:p>
            <w:pPr>
              <w:rPr>
                <w:color w:val="auto"/>
                <w:highlight w:val="none"/>
              </w:rPr>
            </w:pPr>
            <w:r>
              <w:rPr>
                <w:rFonts w:hint="eastAsia"/>
                <w:color w:val="auto"/>
                <w:highlight w:val="none"/>
              </w:rPr>
              <w:t>减少不必要的对象创建：避免在代码中频繁创建和销毁对象，可以使用对象重用机制来减少内存占用。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27" w:type="pct"/>
            <w:vAlign w:val="center"/>
          </w:tcPr>
          <w:p>
            <w:pPr>
              <w:jc w:val="center"/>
              <w:rPr>
                <w:color w:val="auto"/>
                <w:highlight w:val="none"/>
              </w:rPr>
            </w:pPr>
            <w:r>
              <w:rPr>
                <w:rFonts w:hint="eastAsia"/>
                <w:color w:val="auto"/>
                <w:highlight w:val="none"/>
              </w:rPr>
              <w:t>1.2.7</w:t>
            </w:r>
          </w:p>
        </w:tc>
        <w:tc>
          <w:tcPr>
            <w:tcW w:w="1763" w:type="pct"/>
            <w:vAlign w:val="center"/>
          </w:tcPr>
          <w:p>
            <w:pPr>
              <w:jc w:val="center"/>
              <w:rPr>
                <w:color w:val="auto"/>
                <w:highlight w:val="none"/>
              </w:rPr>
            </w:pPr>
            <w:r>
              <w:rPr>
                <w:rFonts w:hint="eastAsia"/>
                <w:color w:val="auto"/>
                <w:highlight w:val="none"/>
              </w:rPr>
              <w:t>内存监控</w:t>
            </w:r>
          </w:p>
        </w:tc>
        <w:tc>
          <w:tcPr>
            <w:tcW w:w="2608" w:type="pct"/>
          </w:tcPr>
          <w:p>
            <w:pPr>
              <w:rPr>
                <w:color w:val="auto"/>
                <w:highlight w:val="none"/>
              </w:rPr>
            </w:pPr>
            <w:r>
              <w:rPr>
                <w:rFonts w:hint="eastAsia"/>
                <w:color w:val="auto"/>
                <w:highlight w:val="none"/>
              </w:rPr>
              <w:t>内存监控：使用内存监控工具，分析内存占用情况，找出潜在的内存泄漏和无用对象。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27" w:type="pct"/>
            <w:vAlign w:val="center"/>
          </w:tcPr>
          <w:p>
            <w:pPr>
              <w:jc w:val="center"/>
              <w:rPr>
                <w:color w:val="auto"/>
                <w:highlight w:val="none"/>
              </w:rPr>
            </w:pPr>
            <w:r>
              <w:rPr>
                <w:rFonts w:hint="eastAsia"/>
                <w:color w:val="auto"/>
                <w:highlight w:val="none"/>
              </w:rPr>
              <w:t>1.2.8</w:t>
            </w:r>
          </w:p>
        </w:tc>
        <w:tc>
          <w:tcPr>
            <w:tcW w:w="1763" w:type="pct"/>
            <w:vAlign w:val="center"/>
          </w:tcPr>
          <w:p>
            <w:pPr>
              <w:jc w:val="center"/>
              <w:rPr>
                <w:color w:val="auto"/>
                <w:highlight w:val="none"/>
              </w:rPr>
            </w:pPr>
            <w:r>
              <w:rPr>
                <w:rFonts w:hint="eastAsia"/>
                <w:color w:val="auto"/>
                <w:highlight w:val="none"/>
              </w:rPr>
              <w:t>调整线程池大小</w:t>
            </w:r>
          </w:p>
        </w:tc>
        <w:tc>
          <w:tcPr>
            <w:tcW w:w="2608" w:type="pct"/>
          </w:tcPr>
          <w:p>
            <w:pPr>
              <w:rPr>
                <w:color w:val="auto"/>
                <w:highlight w:val="none"/>
              </w:rPr>
            </w:pPr>
            <w:r>
              <w:rPr>
                <w:rFonts w:hint="eastAsia"/>
                <w:color w:val="auto"/>
                <w:highlight w:val="none"/>
              </w:rPr>
              <w:t>调整线程池大小：根据实际情况调整线程池大小，以充分利用系统资源并避免线程过多导致的上下文切换开销。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27" w:type="pct"/>
            <w:vAlign w:val="center"/>
          </w:tcPr>
          <w:p>
            <w:pPr>
              <w:jc w:val="center"/>
              <w:rPr>
                <w:color w:val="auto"/>
                <w:highlight w:val="none"/>
              </w:rPr>
            </w:pPr>
            <w:r>
              <w:rPr>
                <w:rFonts w:hint="eastAsia"/>
                <w:color w:val="auto"/>
                <w:highlight w:val="none"/>
              </w:rPr>
              <w:t>1.2.9</w:t>
            </w:r>
          </w:p>
        </w:tc>
        <w:tc>
          <w:tcPr>
            <w:tcW w:w="1763" w:type="pct"/>
            <w:vAlign w:val="center"/>
          </w:tcPr>
          <w:p>
            <w:pPr>
              <w:jc w:val="center"/>
              <w:rPr>
                <w:color w:val="auto"/>
                <w:highlight w:val="none"/>
              </w:rPr>
            </w:pPr>
            <w:r>
              <w:rPr>
                <w:rFonts w:hint="eastAsia"/>
                <w:color w:val="auto"/>
                <w:highlight w:val="none"/>
              </w:rPr>
              <w:t>优化数据库连接</w:t>
            </w:r>
          </w:p>
        </w:tc>
        <w:tc>
          <w:tcPr>
            <w:tcW w:w="2608" w:type="pct"/>
          </w:tcPr>
          <w:p>
            <w:pPr>
              <w:rPr>
                <w:color w:val="auto"/>
                <w:highlight w:val="none"/>
              </w:rPr>
            </w:pPr>
            <w:r>
              <w:rPr>
                <w:rFonts w:hint="eastAsia"/>
                <w:color w:val="auto"/>
                <w:highlight w:val="none"/>
              </w:rPr>
              <w:t>优化数据库连接：使用连接池技术，避免频繁创建和销毁数据库连接，提高数据库访问效率。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27" w:type="pct"/>
            <w:vAlign w:val="center"/>
          </w:tcPr>
          <w:p>
            <w:pPr>
              <w:jc w:val="center"/>
              <w:rPr>
                <w:color w:val="auto"/>
                <w:highlight w:val="none"/>
              </w:rPr>
            </w:pPr>
            <w:r>
              <w:rPr>
                <w:rFonts w:hint="eastAsia"/>
                <w:color w:val="auto"/>
                <w:highlight w:val="none"/>
              </w:rPr>
              <w:t>1.2.10</w:t>
            </w:r>
          </w:p>
        </w:tc>
        <w:tc>
          <w:tcPr>
            <w:tcW w:w="1763" w:type="pct"/>
            <w:vAlign w:val="center"/>
          </w:tcPr>
          <w:p>
            <w:pPr>
              <w:jc w:val="center"/>
              <w:rPr>
                <w:color w:val="auto"/>
                <w:highlight w:val="none"/>
              </w:rPr>
            </w:pPr>
            <w:r>
              <w:rPr>
                <w:rFonts w:hint="eastAsia"/>
                <w:color w:val="auto"/>
                <w:highlight w:val="none"/>
              </w:rPr>
              <w:t>分层调优</w:t>
            </w:r>
          </w:p>
        </w:tc>
        <w:tc>
          <w:tcPr>
            <w:tcW w:w="2608" w:type="pct"/>
          </w:tcPr>
          <w:p>
            <w:pPr>
              <w:rPr>
                <w:color w:val="auto"/>
                <w:highlight w:val="none"/>
              </w:rPr>
            </w:pPr>
            <w:r>
              <w:rPr>
                <w:rFonts w:hint="eastAsia"/>
                <w:color w:val="auto"/>
                <w:highlight w:val="none"/>
              </w:rPr>
              <w:t>分层调优：根据系统的实际情况，对系统进行分层，对不同层次的节点进行不同的调优策略，如对 Web 层进行缓存优化，对业务层进行算法优化等。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27" w:type="pct"/>
            <w:vAlign w:val="center"/>
          </w:tcPr>
          <w:p>
            <w:pPr>
              <w:jc w:val="center"/>
              <w:rPr>
                <w:color w:val="auto"/>
                <w:highlight w:val="none"/>
              </w:rPr>
            </w:pPr>
            <w:r>
              <w:rPr>
                <w:rFonts w:hint="eastAsia"/>
                <w:color w:val="auto"/>
                <w:highlight w:val="none"/>
              </w:rPr>
              <w:t>1.2.11</w:t>
            </w:r>
          </w:p>
        </w:tc>
        <w:tc>
          <w:tcPr>
            <w:tcW w:w="1763" w:type="pct"/>
            <w:vAlign w:val="center"/>
          </w:tcPr>
          <w:p>
            <w:pPr>
              <w:jc w:val="center"/>
              <w:rPr>
                <w:color w:val="auto"/>
                <w:highlight w:val="none"/>
              </w:rPr>
            </w:pPr>
            <w:r>
              <w:rPr>
                <w:rFonts w:hint="eastAsia"/>
                <w:color w:val="auto"/>
                <w:highlight w:val="none"/>
              </w:rPr>
              <w:t>使用负载均衡</w:t>
            </w:r>
          </w:p>
        </w:tc>
        <w:tc>
          <w:tcPr>
            <w:tcW w:w="2608" w:type="pct"/>
          </w:tcPr>
          <w:p>
            <w:pPr>
              <w:rPr>
                <w:color w:val="auto"/>
                <w:highlight w:val="none"/>
              </w:rPr>
            </w:pPr>
            <w:r>
              <w:rPr>
                <w:rFonts w:hint="eastAsia"/>
                <w:color w:val="auto"/>
                <w:highlight w:val="none"/>
              </w:rPr>
              <w:t>使用负载均衡：采用负载均衡技术，如轮询、加权轮询等，将请求分散到多个节点上，提高系统的并发处理能力。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27" w:type="pct"/>
            <w:vAlign w:val="center"/>
          </w:tcPr>
          <w:p>
            <w:pPr>
              <w:jc w:val="center"/>
              <w:rPr>
                <w:b/>
                <w:bCs/>
                <w:color w:val="auto"/>
                <w:highlight w:val="none"/>
              </w:rPr>
            </w:pPr>
            <w:r>
              <w:rPr>
                <w:rFonts w:hint="eastAsia"/>
                <w:b/>
                <w:bCs/>
                <w:color w:val="auto"/>
                <w:highlight w:val="none"/>
              </w:rPr>
              <w:t>1.3</w:t>
            </w:r>
          </w:p>
        </w:tc>
        <w:tc>
          <w:tcPr>
            <w:tcW w:w="1763" w:type="pct"/>
            <w:vAlign w:val="center"/>
          </w:tcPr>
          <w:p>
            <w:pPr>
              <w:jc w:val="center"/>
              <w:rPr>
                <w:b/>
                <w:bCs/>
                <w:color w:val="auto"/>
                <w:highlight w:val="none"/>
              </w:rPr>
            </w:pPr>
            <w:r>
              <w:rPr>
                <w:rFonts w:hint="eastAsia"/>
                <w:b/>
                <w:bCs/>
                <w:color w:val="auto"/>
                <w:highlight w:val="none"/>
              </w:rPr>
              <w:t>虚拟化运维系统国产数据库适配</w:t>
            </w:r>
          </w:p>
        </w:tc>
        <w:tc>
          <w:tcPr>
            <w:tcW w:w="2608" w:type="pct"/>
          </w:tcPr>
          <w:p>
            <w:pPr>
              <w:rPr>
                <w:color w:val="auto"/>
                <w:highlight w:val="none"/>
              </w:rPr>
            </w:pPr>
            <w:r>
              <w:rPr>
                <w:rFonts w:hint="eastAsia"/>
                <w:color w:val="auto"/>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0" w:hRule="atLeast"/>
        </w:trPr>
        <w:tc>
          <w:tcPr>
            <w:tcW w:w="627" w:type="pct"/>
            <w:vAlign w:val="center"/>
          </w:tcPr>
          <w:p>
            <w:pPr>
              <w:jc w:val="center"/>
              <w:rPr>
                <w:color w:val="auto"/>
                <w:highlight w:val="none"/>
              </w:rPr>
            </w:pPr>
            <w:r>
              <w:rPr>
                <w:rFonts w:hint="eastAsia"/>
                <w:color w:val="auto"/>
                <w:highlight w:val="none"/>
              </w:rPr>
              <w:t>1.3.1</w:t>
            </w:r>
          </w:p>
        </w:tc>
        <w:tc>
          <w:tcPr>
            <w:tcW w:w="1763" w:type="pct"/>
            <w:vAlign w:val="center"/>
          </w:tcPr>
          <w:p>
            <w:pPr>
              <w:jc w:val="center"/>
              <w:rPr>
                <w:color w:val="auto"/>
                <w:highlight w:val="none"/>
              </w:rPr>
            </w:pPr>
            <w:r>
              <w:rPr>
                <w:rFonts w:hint="eastAsia"/>
                <w:color w:val="auto"/>
                <w:highlight w:val="none"/>
              </w:rPr>
              <w:t>梳理虚拟化运维系统各数据表详细信息</w:t>
            </w:r>
          </w:p>
        </w:tc>
        <w:tc>
          <w:tcPr>
            <w:tcW w:w="2608" w:type="pct"/>
          </w:tcPr>
          <w:p>
            <w:pPr>
              <w:rPr>
                <w:color w:val="auto"/>
                <w:highlight w:val="none"/>
              </w:rPr>
            </w:pPr>
            <w:r>
              <w:rPr>
                <w:rFonts w:hint="eastAsia"/>
                <w:color w:val="auto"/>
                <w:highlight w:val="none"/>
              </w:rPr>
              <w:t>为了使基础数据能够正确地迁移和兼容，需要全面梳理虚拟化运维系统各数据表的表名、字段、数据类型、主键、外键、约束条件、索引、触发器、视图、事务、存储过程、函数使用的情况，并完整的记录下来，形成适配改造的基数数据和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0" w:hRule="atLeast"/>
        </w:trPr>
        <w:tc>
          <w:tcPr>
            <w:tcW w:w="627" w:type="pct"/>
            <w:vAlign w:val="center"/>
          </w:tcPr>
          <w:p>
            <w:pPr>
              <w:jc w:val="center"/>
              <w:rPr>
                <w:color w:val="auto"/>
                <w:highlight w:val="none"/>
              </w:rPr>
            </w:pPr>
            <w:r>
              <w:rPr>
                <w:rFonts w:hint="eastAsia"/>
                <w:color w:val="auto"/>
                <w:highlight w:val="none"/>
              </w:rPr>
              <w:t>1.3.2</w:t>
            </w:r>
          </w:p>
        </w:tc>
        <w:tc>
          <w:tcPr>
            <w:tcW w:w="1763" w:type="pct"/>
            <w:vAlign w:val="center"/>
          </w:tcPr>
          <w:p>
            <w:pPr>
              <w:jc w:val="center"/>
              <w:rPr>
                <w:color w:val="auto"/>
                <w:highlight w:val="none"/>
              </w:rPr>
            </w:pPr>
            <w:r>
              <w:rPr>
                <w:rFonts w:hint="eastAsia"/>
                <w:color w:val="auto"/>
                <w:highlight w:val="none"/>
              </w:rPr>
              <w:t>数据类型转换</w:t>
            </w:r>
          </w:p>
        </w:tc>
        <w:tc>
          <w:tcPr>
            <w:tcW w:w="2608" w:type="pct"/>
          </w:tcPr>
          <w:p>
            <w:pPr>
              <w:rPr>
                <w:color w:val="auto"/>
                <w:highlight w:val="none"/>
              </w:rPr>
            </w:pPr>
            <w:r>
              <w:rPr>
                <w:rFonts w:hint="eastAsia"/>
                <w:color w:val="auto"/>
                <w:highlight w:val="none"/>
              </w:rPr>
              <w:t>数据类型转换：将源数据库的字段类型转换成国产数据库的类型，对于数值和字符串类型，需要调整长度和精度，要注意特殊数据类型的处理，如日期/时间类型（例如，将 DATETIME 转换为 TIMESTAMP）和枚举类型的处理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27" w:type="pct"/>
            <w:vAlign w:val="center"/>
          </w:tcPr>
          <w:p>
            <w:pPr>
              <w:jc w:val="center"/>
              <w:rPr>
                <w:color w:val="auto"/>
                <w:highlight w:val="none"/>
              </w:rPr>
            </w:pPr>
            <w:r>
              <w:rPr>
                <w:rFonts w:hint="eastAsia"/>
                <w:color w:val="auto"/>
                <w:highlight w:val="none"/>
              </w:rPr>
              <w:t>1.3.3</w:t>
            </w:r>
          </w:p>
        </w:tc>
        <w:tc>
          <w:tcPr>
            <w:tcW w:w="1763" w:type="pct"/>
            <w:vAlign w:val="center"/>
          </w:tcPr>
          <w:p>
            <w:pPr>
              <w:jc w:val="center"/>
              <w:rPr>
                <w:color w:val="auto"/>
                <w:highlight w:val="none"/>
              </w:rPr>
            </w:pPr>
            <w:r>
              <w:rPr>
                <w:rFonts w:hint="eastAsia"/>
                <w:color w:val="auto"/>
                <w:highlight w:val="none"/>
              </w:rPr>
              <w:t>主键和索引适配</w:t>
            </w:r>
          </w:p>
        </w:tc>
        <w:tc>
          <w:tcPr>
            <w:tcW w:w="2608" w:type="pct"/>
          </w:tcPr>
          <w:p>
            <w:pPr>
              <w:rPr>
                <w:color w:val="auto"/>
                <w:highlight w:val="none"/>
              </w:rPr>
            </w:pPr>
            <w:r>
              <w:rPr>
                <w:rFonts w:hint="eastAsia"/>
                <w:color w:val="auto"/>
                <w:highlight w:val="none"/>
              </w:rPr>
              <w:t>主键和索引适配：确保主键约束在国产数据库中正确设置，需要考虑复合主键的转换；根据国产数据库的性能特点，调整索引策略和存储方式，并对索引类型进行转换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27" w:type="pct"/>
            <w:vAlign w:val="center"/>
          </w:tcPr>
          <w:p>
            <w:pPr>
              <w:jc w:val="center"/>
              <w:rPr>
                <w:color w:val="auto"/>
                <w:highlight w:val="none"/>
              </w:rPr>
            </w:pPr>
            <w:r>
              <w:rPr>
                <w:rFonts w:hint="eastAsia"/>
                <w:color w:val="auto"/>
                <w:highlight w:val="none"/>
              </w:rPr>
              <w:t>1.3.4</w:t>
            </w:r>
          </w:p>
        </w:tc>
        <w:tc>
          <w:tcPr>
            <w:tcW w:w="1763" w:type="pct"/>
            <w:vAlign w:val="center"/>
          </w:tcPr>
          <w:p>
            <w:pPr>
              <w:jc w:val="center"/>
              <w:rPr>
                <w:color w:val="auto"/>
                <w:highlight w:val="none"/>
              </w:rPr>
            </w:pPr>
            <w:r>
              <w:rPr>
                <w:rFonts w:hint="eastAsia"/>
                <w:color w:val="auto"/>
                <w:highlight w:val="none"/>
              </w:rPr>
              <w:t>约束适配</w:t>
            </w:r>
          </w:p>
        </w:tc>
        <w:tc>
          <w:tcPr>
            <w:tcW w:w="2608" w:type="pct"/>
          </w:tcPr>
          <w:p>
            <w:pPr>
              <w:rPr>
                <w:color w:val="auto"/>
                <w:highlight w:val="none"/>
              </w:rPr>
            </w:pPr>
            <w:r>
              <w:rPr>
                <w:rFonts w:hint="eastAsia"/>
                <w:color w:val="auto"/>
                <w:highlight w:val="none"/>
              </w:rPr>
              <w:t>约束适配：外键约束按照国产数据库的标准进行调整，包括引用的表和字段，检查唯一约束是否在国产数据库中生效，并对约束语法进行调整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27" w:type="pct"/>
            <w:vAlign w:val="center"/>
          </w:tcPr>
          <w:p>
            <w:pPr>
              <w:jc w:val="center"/>
              <w:rPr>
                <w:color w:val="auto"/>
                <w:highlight w:val="none"/>
              </w:rPr>
            </w:pPr>
            <w:r>
              <w:rPr>
                <w:rFonts w:hint="eastAsia"/>
                <w:color w:val="auto"/>
                <w:highlight w:val="none"/>
              </w:rPr>
              <w:t>1.3.5</w:t>
            </w:r>
          </w:p>
        </w:tc>
        <w:tc>
          <w:tcPr>
            <w:tcW w:w="1763" w:type="pct"/>
            <w:vAlign w:val="center"/>
          </w:tcPr>
          <w:p>
            <w:pPr>
              <w:jc w:val="center"/>
              <w:rPr>
                <w:color w:val="auto"/>
                <w:highlight w:val="none"/>
              </w:rPr>
            </w:pPr>
            <w:r>
              <w:rPr>
                <w:rFonts w:hint="eastAsia"/>
                <w:color w:val="auto"/>
                <w:highlight w:val="none"/>
              </w:rPr>
              <w:t>存储过程与函数调整</w:t>
            </w:r>
          </w:p>
        </w:tc>
        <w:tc>
          <w:tcPr>
            <w:tcW w:w="2608" w:type="pct"/>
          </w:tcPr>
          <w:p>
            <w:pPr>
              <w:rPr>
                <w:color w:val="auto"/>
                <w:highlight w:val="none"/>
              </w:rPr>
            </w:pPr>
            <w:r>
              <w:rPr>
                <w:rFonts w:hint="eastAsia"/>
                <w:color w:val="auto"/>
                <w:highlight w:val="none"/>
              </w:rPr>
              <w:t>存储过程与函数：按照国产数据库的语法标准进行存储过程及函数的调整，根据实际应用情况，将内置函数转换为通用的SQL函数或国产数据库的等效函数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0" w:hRule="atLeast"/>
        </w:trPr>
        <w:tc>
          <w:tcPr>
            <w:tcW w:w="627" w:type="pct"/>
            <w:vAlign w:val="center"/>
          </w:tcPr>
          <w:p>
            <w:pPr>
              <w:jc w:val="center"/>
              <w:rPr>
                <w:color w:val="auto"/>
                <w:highlight w:val="none"/>
              </w:rPr>
            </w:pPr>
            <w:r>
              <w:rPr>
                <w:rFonts w:hint="eastAsia"/>
                <w:color w:val="auto"/>
                <w:highlight w:val="none"/>
              </w:rPr>
              <w:t>1.3.6</w:t>
            </w:r>
          </w:p>
        </w:tc>
        <w:tc>
          <w:tcPr>
            <w:tcW w:w="1763" w:type="pct"/>
            <w:vAlign w:val="center"/>
          </w:tcPr>
          <w:p>
            <w:pPr>
              <w:jc w:val="center"/>
              <w:rPr>
                <w:color w:val="auto"/>
                <w:highlight w:val="none"/>
              </w:rPr>
            </w:pPr>
            <w:r>
              <w:rPr>
                <w:rFonts w:hint="eastAsia"/>
                <w:color w:val="auto"/>
                <w:highlight w:val="none"/>
              </w:rPr>
              <w:t>适配国产数据库语法</w:t>
            </w:r>
          </w:p>
        </w:tc>
        <w:tc>
          <w:tcPr>
            <w:tcW w:w="2608" w:type="pct"/>
          </w:tcPr>
          <w:p>
            <w:pPr>
              <w:rPr>
                <w:color w:val="auto"/>
                <w:highlight w:val="none"/>
              </w:rPr>
            </w:pPr>
            <w:r>
              <w:rPr>
                <w:rFonts w:hint="eastAsia"/>
                <w:color w:val="auto"/>
                <w:highlight w:val="none"/>
              </w:rPr>
              <w:t>按国产数据库语法调整触发时机、类型，修正语法差异。结合业务逻辑（数据校验、关联表更新、日志记录）优化处理逻辑，确保触发条件精准，避免递归触发或性能损耗，保障数据一致性与操作合规性，适配国产化数据库执行引擎特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trPr>
        <w:tc>
          <w:tcPr>
            <w:tcW w:w="627" w:type="pct"/>
            <w:vAlign w:val="center"/>
          </w:tcPr>
          <w:p>
            <w:pPr>
              <w:jc w:val="center"/>
              <w:rPr>
                <w:color w:val="auto"/>
                <w:highlight w:val="none"/>
              </w:rPr>
            </w:pPr>
            <w:r>
              <w:rPr>
                <w:rFonts w:hint="eastAsia"/>
                <w:color w:val="auto"/>
                <w:highlight w:val="none"/>
              </w:rPr>
              <w:t>1.3.7</w:t>
            </w:r>
          </w:p>
        </w:tc>
        <w:tc>
          <w:tcPr>
            <w:tcW w:w="1763" w:type="pct"/>
            <w:vAlign w:val="center"/>
          </w:tcPr>
          <w:p>
            <w:pPr>
              <w:jc w:val="center"/>
              <w:rPr>
                <w:color w:val="auto"/>
                <w:highlight w:val="none"/>
              </w:rPr>
            </w:pPr>
            <w:r>
              <w:rPr>
                <w:rFonts w:hint="eastAsia"/>
                <w:color w:val="auto"/>
                <w:highlight w:val="none"/>
              </w:rPr>
              <w:t>数据库性能调试</w:t>
            </w:r>
          </w:p>
        </w:tc>
        <w:tc>
          <w:tcPr>
            <w:tcW w:w="2608" w:type="pct"/>
          </w:tcPr>
          <w:p>
            <w:pPr>
              <w:rPr>
                <w:color w:val="auto"/>
                <w:highlight w:val="none"/>
              </w:rPr>
            </w:pPr>
            <w:r>
              <w:rPr>
                <w:rFonts w:hint="eastAsia"/>
                <w:color w:val="auto"/>
                <w:highlight w:val="none"/>
              </w:rPr>
              <w:t>性能调试：根据国产数据库的缓存机制、查询优化器特点等，调整表结构中的分区策略、字段顺序等，以提高查询和数据处理的效率。同时还需要结合国产数据库的资源管理特性，对表的存储参数等进行优化设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trPr>
        <w:tc>
          <w:tcPr>
            <w:tcW w:w="627" w:type="pct"/>
            <w:vAlign w:val="center"/>
          </w:tcPr>
          <w:p>
            <w:pPr>
              <w:jc w:val="center"/>
              <w:rPr>
                <w:color w:val="auto"/>
                <w:highlight w:val="none"/>
              </w:rPr>
            </w:pPr>
            <w:r>
              <w:rPr>
                <w:rFonts w:hint="eastAsia"/>
                <w:color w:val="auto"/>
                <w:highlight w:val="none"/>
              </w:rPr>
              <w:t>1.3.8</w:t>
            </w:r>
          </w:p>
        </w:tc>
        <w:tc>
          <w:tcPr>
            <w:tcW w:w="1763" w:type="pct"/>
            <w:vAlign w:val="center"/>
          </w:tcPr>
          <w:p>
            <w:pPr>
              <w:jc w:val="center"/>
              <w:rPr>
                <w:color w:val="auto"/>
                <w:highlight w:val="none"/>
              </w:rPr>
            </w:pPr>
            <w:r>
              <w:rPr>
                <w:rFonts w:hint="eastAsia"/>
                <w:color w:val="auto"/>
                <w:highlight w:val="none"/>
              </w:rPr>
              <w:t>遍历系统功能模块及数据库表</w:t>
            </w:r>
          </w:p>
        </w:tc>
        <w:tc>
          <w:tcPr>
            <w:tcW w:w="2608" w:type="pct"/>
          </w:tcPr>
          <w:p>
            <w:pPr>
              <w:rPr>
                <w:color w:val="auto"/>
                <w:highlight w:val="none"/>
              </w:rPr>
            </w:pPr>
            <w:r>
              <w:rPr>
                <w:rFonts w:hint="eastAsia"/>
                <w:color w:val="auto"/>
                <w:highlight w:val="none"/>
              </w:rPr>
              <w:t>遍历虚拟化运维系统功能模块及数据库表，对照国产数据库SQL语法标准，逐项检查语法差异、数据类型适配及逻辑问题（如跨库函数调用错误），记录不兼容语句的位置、问题类型及影响范围，形成整改清单。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0" w:hRule="atLeast"/>
        </w:trPr>
        <w:tc>
          <w:tcPr>
            <w:tcW w:w="627" w:type="pct"/>
            <w:vAlign w:val="center"/>
          </w:tcPr>
          <w:p>
            <w:pPr>
              <w:jc w:val="center"/>
              <w:rPr>
                <w:color w:val="auto"/>
                <w:highlight w:val="none"/>
              </w:rPr>
            </w:pPr>
            <w:r>
              <w:rPr>
                <w:rFonts w:hint="eastAsia"/>
                <w:color w:val="auto"/>
                <w:highlight w:val="none"/>
              </w:rPr>
              <w:t>1.3.9</w:t>
            </w:r>
          </w:p>
        </w:tc>
        <w:tc>
          <w:tcPr>
            <w:tcW w:w="1763" w:type="pct"/>
            <w:vAlign w:val="center"/>
          </w:tcPr>
          <w:p>
            <w:pPr>
              <w:jc w:val="center"/>
              <w:rPr>
                <w:color w:val="auto"/>
                <w:highlight w:val="none"/>
              </w:rPr>
            </w:pPr>
            <w:r>
              <w:rPr>
                <w:rFonts w:hint="eastAsia"/>
                <w:color w:val="auto"/>
                <w:highlight w:val="none"/>
              </w:rPr>
              <w:t>SQL语句国产化适配</w:t>
            </w:r>
          </w:p>
        </w:tc>
        <w:tc>
          <w:tcPr>
            <w:tcW w:w="2608" w:type="pct"/>
          </w:tcPr>
          <w:p>
            <w:pPr>
              <w:rPr>
                <w:color w:val="auto"/>
                <w:highlight w:val="none"/>
              </w:rPr>
            </w:pPr>
            <w:r>
              <w:rPr>
                <w:rFonts w:hint="eastAsia"/>
                <w:color w:val="auto"/>
                <w:highlight w:val="none"/>
              </w:rPr>
              <w:t>针对排查问题修正SQL语法，替换非标准关键字，调整函数用法，优化执行逻辑。结合执行计划分析性能瓶颈，确保整改后语句符合国产数据库解析规则与优化器特性，保障数据操作的兼容性、效率及稳定性，完成全系统SQL语句的国产化适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0" w:hRule="atLeast"/>
        </w:trPr>
        <w:tc>
          <w:tcPr>
            <w:tcW w:w="627" w:type="pct"/>
            <w:vAlign w:val="center"/>
          </w:tcPr>
          <w:p>
            <w:pPr>
              <w:jc w:val="center"/>
              <w:rPr>
                <w:color w:val="auto"/>
                <w:highlight w:val="none"/>
              </w:rPr>
            </w:pPr>
            <w:r>
              <w:rPr>
                <w:rFonts w:hint="eastAsia"/>
                <w:color w:val="auto"/>
                <w:highlight w:val="none"/>
              </w:rPr>
              <w:t>1.3.10</w:t>
            </w:r>
          </w:p>
        </w:tc>
        <w:tc>
          <w:tcPr>
            <w:tcW w:w="1763" w:type="pct"/>
            <w:vAlign w:val="center"/>
          </w:tcPr>
          <w:p>
            <w:pPr>
              <w:jc w:val="center"/>
              <w:rPr>
                <w:color w:val="auto"/>
                <w:highlight w:val="none"/>
              </w:rPr>
            </w:pPr>
            <w:r>
              <w:rPr>
                <w:rFonts w:hint="eastAsia"/>
                <w:color w:val="auto"/>
                <w:highlight w:val="none"/>
              </w:rPr>
              <w:t>区分数据类型语法</w:t>
            </w:r>
          </w:p>
        </w:tc>
        <w:tc>
          <w:tcPr>
            <w:tcW w:w="2608" w:type="pct"/>
          </w:tcPr>
          <w:p>
            <w:pPr>
              <w:rPr>
                <w:color w:val="auto"/>
                <w:highlight w:val="none"/>
              </w:rPr>
            </w:pPr>
            <w:r>
              <w:rPr>
                <w:rFonts w:hint="eastAsia"/>
                <w:color w:val="auto"/>
                <w:highlight w:val="none"/>
              </w:rPr>
              <w:t>在国产数据库SQL标准中，字符串与日期值须使用单引号包围，以明确区分数据类型并避免解析错误；数字与布尔值通常无需引号。同时，双引号在国产数据库中多用于引用标识符，而非数据值，遵循单引号包裹字符型数据的标准，可确保SQL语句的语法正确性与跨库兼容性，避免因引号使用不当导致的解析异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0" w:hRule="atLeast"/>
        </w:trPr>
        <w:tc>
          <w:tcPr>
            <w:tcW w:w="627" w:type="pct"/>
            <w:vAlign w:val="center"/>
          </w:tcPr>
          <w:p>
            <w:pPr>
              <w:jc w:val="center"/>
              <w:rPr>
                <w:color w:val="auto"/>
                <w:highlight w:val="none"/>
              </w:rPr>
            </w:pPr>
            <w:r>
              <w:rPr>
                <w:rFonts w:hint="eastAsia"/>
                <w:color w:val="auto"/>
                <w:highlight w:val="none"/>
              </w:rPr>
              <w:t>1.3.11</w:t>
            </w:r>
          </w:p>
        </w:tc>
        <w:tc>
          <w:tcPr>
            <w:tcW w:w="1763" w:type="pct"/>
            <w:vAlign w:val="center"/>
          </w:tcPr>
          <w:p>
            <w:pPr>
              <w:jc w:val="center"/>
              <w:rPr>
                <w:color w:val="auto"/>
                <w:highlight w:val="none"/>
              </w:rPr>
            </w:pPr>
            <w:r>
              <w:rPr>
                <w:rFonts w:hint="eastAsia"/>
                <w:color w:val="auto"/>
                <w:highlight w:val="none"/>
              </w:rPr>
              <w:t>适配国产数据库的标识符解析规则</w:t>
            </w:r>
          </w:p>
        </w:tc>
        <w:tc>
          <w:tcPr>
            <w:tcW w:w="2608" w:type="pct"/>
          </w:tcPr>
          <w:p>
            <w:pPr>
              <w:rPr>
                <w:color w:val="auto"/>
                <w:highlight w:val="none"/>
              </w:rPr>
            </w:pPr>
            <w:r>
              <w:rPr>
                <w:rFonts w:hint="eastAsia"/>
                <w:color w:val="auto"/>
                <w:highlight w:val="none"/>
              </w:rPr>
              <w:t>在国产数据库SQL标准中，表名与字段名默认不区分大小写，即 SQL 语句中使用大写、小写或混合写法均指向同一对象。开发时需统一命名规范，避免因大小写混淆导致语法错误或逻辑混乱，确保跨数据库迁移时的兼容性，同时遵循SQL语句书写习惯以提升代码可读性与维护效率，适配国产化环境的标识符解析规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27" w:type="pct"/>
            <w:vAlign w:val="center"/>
          </w:tcPr>
          <w:p>
            <w:pPr>
              <w:jc w:val="center"/>
              <w:rPr>
                <w:color w:val="auto"/>
                <w:highlight w:val="none"/>
              </w:rPr>
            </w:pPr>
            <w:r>
              <w:rPr>
                <w:rFonts w:hint="eastAsia"/>
                <w:color w:val="auto"/>
                <w:highlight w:val="none"/>
              </w:rPr>
              <w:t>1.3.12</w:t>
            </w:r>
          </w:p>
        </w:tc>
        <w:tc>
          <w:tcPr>
            <w:tcW w:w="1763" w:type="pct"/>
            <w:vAlign w:val="center"/>
          </w:tcPr>
          <w:p>
            <w:pPr>
              <w:jc w:val="center"/>
              <w:rPr>
                <w:color w:val="auto"/>
                <w:highlight w:val="none"/>
              </w:rPr>
            </w:pPr>
            <w:r>
              <w:rPr>
                <w:rFonts w:hint="eastAsia"/>
                <w:color w:val="auto"/>
                <w:highlight w:val="none"/>
              </w:rPr>
              <w:t>关键字的转义</w:t>
            </w:r>
          </w:p>
        </w:tc>
        <w:tc>
          <w:tcPr>
            <w:tcW w:w="2608" w:type="pct"/>
          </w:tcPr>
          <w:p>
            <w:pPr>
              <w:rPr>
                <w:color w:val="auto"/>
                <w:highlight w:val="none"/>
              </w:rPr>
            </w:pPr>
            <w:r>
              <w:rPr>
                <w:rFonts w:hint="eastAsia"/>
                <w:color w:val="auto"/>
                <w:highlight w:val="none"/>
              </w:rPr>
              <w:t>关键字的转义：在国产数据库SQL标准中，关键字应该使用反引号包围，以区分它们与其他数据库对象的名称。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27" w:type="pct"/>
            <w:vAlign w:val="center"/>
          </w:tcPr>
          <w:p>
            <w:pPr>
              <w:jc w:val="center"/>
              <w:rPr>
                <w:color w:val="auto"/>
                <w:highlight w:val="none"/>
              </w:rPr>
            </w:pPr>
            <w:r>
              <w:rPr>
                <w:rFonts w:hint="eastAsia"/>
                <w:color w:val="auto"/>
                <w:highlight w:val="none"/>
              </w:rPr>
              <w:t>1.3.13</w:t>
            </w:r>
          </w:p>
        </w:tc>
        <w:tc>
          <w:tcPr>
            <w:tcW w:w="1763" w:type="pct"/>
            <w:vAlign w:val="center"/>
          </w:tcPr>
          <w:p>
            <w:pPr>
              <w:jc w:val="center"/>
              <w:rPr>
                <w:color w:val="auto"/>
                <w:highlight w:val="none"/>
              </w:rPr>
            </w:pPr>
            <w:r>
              <w:rPr>
                <w:rFonts w:hint="eastAsia"/>
                <w:color w:val="auto"/>
                <w:highlight w:val="none"/>
              </w:rPr>
              <w:t>语法定义与修改</w:t>
            </w:r>
          </w:p>
        </w:tc>
        <w:tc>
          <w:tcPr>
            <w:tcW w:w="2608" w:type="pct"/>
          </w:tcPr>
          <w:p>
            <w:pPr>
              <w:rPr>
                <w:color w:val="auto"/>
                <w:highlight w:val="none"/>
              </w:rPr>
            </w:pPr>
            <w:r>
              <w:rPr>
                <w:rFonts w:hint="eastAsia"/>
                <w:color w:val="auto"/>
                <w:highlight w:val="none"/>
              </w:rPr>
              <w:t>语法定义：需要根据国产数据库的技术文档进行相应的语法修改。检查语法错误时，可以尝试在数据库管理工具中执行SQL语句或使用语法检查工具进行检查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27" w:type="pct"/>
            <w:vAlign w:val="center"/>
          </w:tcPr>
          <w:p>
            <w:pPr>
              <w:jc w:val="center"/>
              <w:rPr>
                <w:color w:val="auto"/>
                <w:highlight w:val="none"/>
              </w:rPr>
            </w:pPr>
            <w:r>
              <w:rPr>
                <w:rFonts w:hint="eastAsia"/>
                <w:color w:val="auto"/>
                <w:highlight w:val="none"/>
              </w:rPr>
              <w:t>1.3.14</w:t>
            </w:r>
          </w:p>
        </w:tc>
        <w:tc>
          <w:tcPr>
            <w:tcW w:w="1763" w:type="pct"/>
            <w:vAlign w:val="center"/>
          </w:tcPr>
          <w:p>
            <w:pPr>
              <w:jc w:val="center"/>
              <w:rPr>
                <w:color w:val="auto"/>
                <w:highlight w:val="none"/>
              </w:rPr>
            </w:pPr>
            <w:r>
              <w:rPr>
                <w:rFonts w:hint="eastAsia"/>
                <w:color w:val="auto"/>
                <w:highlight w:val="none"/>
              </w:rPr>
              <w:t>优化SQL语句</w:t>
            </w:r>
          </w:p>
        </w:tc>
        <w:tc>
          <w:tcPr>
            <w:tcW w:w="2608" w:type="pct"/>
          </w:tcPr>
          <w:p>
            <w:pPr>
              <w:rPr>
                <w:color w:val="auto"/>
                <w:highlight w:val="none"/>
              </w:rPr>
            </w:pPr>
            <w:r>
              <w:rPr>
                <w:rFonts w:hint="eastAsia"/>
                <w:color w:val="auto"/>
                <w:highlight w:val="none"/>
              </w:rPr>
              <w:t>优化SQL语句：对SQL语句进行优化，避免使用低效的查询方式，比如避免全表扫描，合理使用索引，优化查询顺序等。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27" w:type="pct"/>
            <w:vAlign w:val="center"/>
          </w:tcPr>
          <w:p>
            <w:pPr>
              <w:jc w:val="center"/>
              <w:rPr>
                <w:color w:val="auto"/>
                <w:highlight w:val="none"/>
              </w:rPr>
            </w:pPr>
            <w:r>
              <w:rPr>
                <w:rFonts w:hint="eastAsia"/>
                <w:color w:val="auto"/>
                <w:highlight w:val="none"/>
              </w:rPr>
              <w:t>1.3.15</w:t>
            </w:r>
          </w:p>
        </w:tc>
        <w:tc>
          <w:tcPr>
            <w:tcW w:w="1763" w:type="pct"/>
            <w:vAlign w:val="center"/>
          </w:tcPr>
          <w:p>
            <w:pPr>
              <w:jc w:val="center"/>
              <w:rPr>
                <w:color w:val="auto"/>
                <w:highlight w:val="none"/>
              </w:rPr>
            </w:pPr>
            <w:r>
              <w:rPr>
                <w:rFonts w:hint="eastAsia"/>
                <w:color w:val="auto"/>
                <w:highlight w:val="none"/>
              </w:rPr>
              <w:t>调整数据库参数</w:t>
            </w:r>
          </w:p>
        </w:tc>
        <w:tc>
          <w:tcPr>
            <w:tcW w:w="2608" w:type="pct"/>
          </w:tcPr>
          <w:p>
            <w:pPr>
              <w:rPr>
                <w:color w:val="auto"/>
                <w:highlight w:val="none"/>
              </w:rPr>
            </w:pPr>
            <w:r>
              <w:rPr>
                <w:rFonts w:hint="eastAsia"/>
                <w:color w:val="auto"/>
                <w:highlight w:val="none"/>
              </w:rPr>
              <w:t>调整数据库参数：根据实际适配的国产数据库的情况调整数据库参数，从缓存大小、连接数、日志级别等参数进行调整，以此提高数据库性能。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0" w:hRule="atLeast"/>
        </w:trPr>
        <w:tc>
          <w:tcPr>
            <w:tcW w:w="627" w:type="pct"/>
            <w:vAlign w:val="center"/>
          </w:tcPr>
          <w:p>
            <w:pPr>
              <w:jc w:val="center"/>
              <w:rPr>
                <w:color w:val="auto"/>
                <w:highlight w:val="none"/>
              </w:rPr>
            </w:pPr>
            <w:r>
              <w:rPr>
                <w:rFonts w:hint="eastAsia"/>
                <w:color w:val="auto"/>
                <w:highlight w:val="none"/>
              </w:rPr>
              <w:t>1.3.16</w:t>
            </w:r>
          </w:p>
        </w:tc>
        <w:tc>
          <w:tcPr>
            <w:tcW w:w="1763" w:type="pct"/>
            <w:vAlign w:val="center"/>
          </w:tcPr>
          <w:p>
            <w:pPr>
              <w:jc w:val="center"/>
              <w:rPr>
                <w:color w:val="auto"/>
                <w:highlight w:val="none"/>
              </w:rPr>
            </w:pPr>
            <w:r>
              <w:rPr>
                <w:rFonts w:hint="eastAsia"/>
                <w:color w:val="auto"/>
                <w:highlight w:val="none"/>
              </w:rPr>
              <w:t>优化数据库表结构</w:t>
            </w:r>
          </w:p>
        </w:tc>
        <w:tc>
          <w:tcPr>
            <w:tcW w:w="2608" w:type="pct"/>
          </w:tcPr>
          <w:p>
            <w:pPr>
              <w:rPr>
                <w:color w:val="auto"/>
                <w:highlight w:val="none"/>
              </w:rPr>
            </w:pPr>
            <w:r>
              <w:rPr>
                <w:rFonts w:hint="eastAsia"/>
                <w:color w:val="auto"/>
                <w:highlight w:val="none"/>
              </w:rPr>
              <w:t>优化数据库表结构时，需避免大量小表带来的性能与维护问题：合并业务关联性强、字段数量少的小表，减少表间连接开销；合理应用反范式设计，通过适度冗余关键字段降低跨表查询频率；同时保留必要范式约束，确保表结构简洁且符合业务逻辑。优化后需评估数据冗余度与查询效率平衡，减少碎片化存储，提升数据库整体操作性能与管理便捷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27" w:type="pct"/>
            <w:vAlign w:val="center"/>
          </w:tcPr>
          <w:p>
            <w:pPr>
              <w:jc w:val="center"/>
              <w:rPr>
                <w:color w:val="auto"/>
                <w:highlight w:val="none"/>
              </w:rPr>
            </w:pPr>
            <w:r>
              <w:rPr>
                <w:rFonts w:hint="eastAsia"/>
                <w:color w:val="auto"/>
                <w:highlight w:val="none"/>
              </w:rPr>
              <w:t>1.3.17</w:t>
            </w:r>
          </w:p>
        </w:tc>
        <w:tc>
          <w:tcPr>
            <w:tcW w:w="1763" w:type="pct"/>
            <w:vAlign w:val="center"/>
          </w:tcPr>
          <w:p>
            <w:pPr>
              <w:jc w:val="center"/>
              <w:rPr>
                <w:color w:val="auto"/>
                <w:highlight w:val="none"/>
              </w:rPr>
            </w:pPr>
            <w:r>
              <w:rPr>
                <w:rFonts w:hint="eastAsia"/>
                <w:color w:val="auto"/>
                <w:highlight w:val="none"/>
              </w:rPr>
              <w:t>文件系统参数调整</w:t>
            </w:r>
          </w:p>
        </w:tc>
        <w:tc>
          <w:tcPr>
            <w:tcW w:w="2608" w:type="pct"/>
          </w:tcPr>
          <w:p>
            <w:pPr>
              <w:rPr>
                <w:color w:val="auto"/>
                <w:highlight w:val="none"/>
              </w:rPr>
            </w:pPr>
            <w:r>
              <w:rPr>
                <w:rFonts w:hint="eastAsia"/>
                <w:color w:val="auto"/>
                <w:highlight w:val="none"/>
              </w:rPr>
              <w:t>参数调整：按照国产操作系统相关参数要求调整文件系统参数、网络参数等，以提高数据库性能。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27" w:type="pct"/>
            <w:vAlign w:val="center"/>
          </w:tcPr>
          <w:p>
            <w:pPr>
              <w:jc w:val="center"/>
              <w:rPr>
                <w:b/>
                <w:bCs/>
                <w:color w:val="auto"/>
                <w:highlight w:val="none"/>
              </w:rPr>
            </w:pPr>
            <w:r>
              <w:rPr>
                <w:rFonts w:hint="eastAsia"/>
                <w:b/>
                <w:bCs/>
                <w:color w:val="auto"/>
                <w:highlight w:val="none"/>
              </w:rPr>
              <w:t>1.4</w:t>
            </w:r>
          </w:p>
        </w:tc>
        <w:tc>
          <w:tcPr>
            <w:tcW w:w="1763" w:type="pct"/>
            <w:vAlign w:val="center"/>
          </w:tcPr>
          <w:p>
            <w:pPr>
              <w:jc w:val="center"/>
              <w:rPr>
                <w:b/>
                <w:bCs/>
                <w:color w:val="auto"/>
                <w:highlight w:val="none"/>
              </w:rPr>
            </w:pPr>
            <w:r>
              <w:rPr>
                <w:rFonts w:hint="eastAsia"/>
                <w:b/>
                <w:bCs/>
                <w:color w:val="auto"/>
                <w:highlight w:val="none"/>
              </w:rPr>
              <w:t>虚拟化运维系统国密算法改造</w:t>
            </w:r>
          </w:p>
        </w:tc>
        <w:tc>
          <w:tcPr>
            <w:tcW w:w="2608" w:type="pct"/>
          </w:tcPr>
          <w:p>
            <w:pPr>
              <w:rPr>
                <w:color w:val="auto"/>
                <w:highlight w:val="none"/>
              </w:rPr>
            </w:pPr>
            <w:r>
              <w:rPr>
                <w:rFonts w:hint="eastAsia"/>
                <w:color w:val="auto"/>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trPr>
        <w:tc>
          <w:tcPr>
            <w:tcW w:w="627" w:type="pct"/>
            <w:vAlign w:val="center"/>
          </w:tcPr>
          <w:p>
            <w:pPr>
              <w:jc w:val="center"/>
              <w:rPr>
                <w:color w:val="auto"/>
                <w:highlight w:val="none"/>
              </w:rPr>
            </w:pPr>
            <w:r>
              <w:rPr>
                <w:rFonts w:hint="eastAsia"/>
                <w:color w:val="auto"/>
                <w:highlight w:val="none"/>
              </w:rPr>
              <w:t>1.4.1</w:t>
            </w:r>
          </w:p>
        </w:tc>
        <w:tc>
          <w:tcPr>
            <w:tcW w:w="1763" w:type="pct"/>
            <w:vAlign w:val="center"/>
          </w:tcPr>
          <w:p>
            <w:pPr>
              <w:jc w:val="center"/>
              <w:rPr>
                <w:color w:val="auto"/>
                <w:highlight w:val="none"/>
              </w:rPr>
            </w:pPr>
            <w:r>
              <w:rPr>
                <w:rFonts w:hint="eastAsia"/>
                <w:color w:val="auto"/>
                <w:highlight w:val="none"/>
              </w:rPr>
              <w:t>认证方式国密改造</w:t>
            </w:r>
          </w:p>
        </w:tc>
        <w:tc>
          <w:tcPr>
            <w:tcW w:w="2608" w:type="pct"/>
          </w:tcPr>
          <w:p>
            <w:pPr>
              <w:rPr>
                <w:color w:val="auto"/>
                <w:highlight w:val="none"/>
              </w:rPr>
            </w:pPr>
            <w:r>
              <w:rPr>
                <w:rFonts w:hint="eastAsia"/>
                <w:color w:val="auto"/>
                <w:highlight w:val="none"/>
              </w:rPr>
              <w:t>全面梳理认证方式，识别敏感数据交互节点。采用国密算法实现证书认证，替换传统等弱哈希，对用户凭证进行哈希加盐处理，确保认证过程中身份信息存储与传输的安全性，阻断未授权访问敏感数据的入口。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27" w:type="pct"/>
            <w:vAlign w:val="center"/>
          </w:tcPr>
          <w:p>
            <w:pPr>
              <w:jc w:val="center"/>
              <w:rPr>
                <w:color w:val="auto"/>
                <w:highlight w:val="none"/>
              </w:rPr>
            </w:pPr>
            <w:r>
              <w:rPr>
                <w:rFonts w:hint="eastAsia"/>
                <w:color w:val="auto"/>
                <w:highlight w:val="none"/>
              </w:rPr>
              <w:t>1.4.2</w:t>
            </w:r>
          </w:p>
        </w:tc>
        <w:tc>
          <w:tcPr>
            <w:tcW w:w="1763" w:type="pct"/>
            <w:vAlign w:val="center"/>
          </w:tcPr>
          <w:p>
            <w:pPr>
              <w:jc w:val="center"/>
              <w:rPr>
                <w:color w:val="auto"/>
                <w:highlight w:val="none"/>
              </w:rPr>
            </w:pPr>
            <w:r>
              <w:rPr>
                <w:rFonts w:hint="eastAsia"/>
                <w:color w:val="auto"/>
                <w:highlight w:val="none"/>
              </w:rPr>
              <w:t>权限配置文件国密改造</w:t>
            </w:r>
          </w:p>
        </w:tc>
        <w:tc>
          <w:tcPr>
            <w:tcW w:w="2608" w:type="pct"/>
          </w:tcPr>
          <w:p>
            <w:pPr>
              <w:rPr>
                <w:color w:val="auto"/>
                <w:highlight w:val="none"/>
              </w:rPr>
            </w:pPr>
            <w:r>
              <w:rPr>
                <w:rFonts w:hint="eastAsia"/>
                <w:color w:val="auto"/>
                <w:highlight w:val="none"/>
              </w:rPr>
              <w:t>基于角色权限模型，细化敏感数据操作权限，对权限配置文件及策略规则进行国密加密存储。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27" w:type="pct"/>
            <w:vAlign w:val="center"/>
          </w:tcPr>
          <w:p>
            <w:pPr>
              <w:jc w:val="center"/>
              <w:rPr>
                <w:color w:val="auto"/>
                <w:highlight w:val="none"/>
              </w:rPr>
            </w:pPr>
            <w:r>
              <w:rPr>
                <w:rFonts w:hint="eastAsia"/>
                <w:color w:val="auto"/>
                <w:highlight w:val="none"/>
              </w:rPr>
              <w:t>1.4.3</w:t>
            </w:r>
          </w:p>
        </w:tc>
        <w:tc>
          <w:tcPr>
            <w:tcW w:w="1763" w:type="pct"/>
            <w:vAlign w:val="center"/>
          </w:tcPr>
          <w:p>
            <w:pPr>
              <w:jc w:val="center"/>
              <w:rPr>
                <w:color w:val="auto"/>
                <w:highlight w:val="none"/>
              </w:rPr>
            </w:pPr>
            <w:r>
              <w:rPr>
                <w:rFonts w:hint="eastAsia"/>
                <w:color w:val="auto"/>
                <w:highlight w:val="none"/>
              </w:rPr>
              <w:t>静态敏感数据国密改造</w:t>
            </w:r>
          </w:p>
        </w:tc>
        <w:tc>
          <w:tcPr>
            <w:tcW w:w="2608" w:type="pct"/>
          </w:tcPr>
          <w:p>
            <w:pPr>
              <w:rPr>
                <w:color w:val="auto"/>
                <w:highlight w:val="none"/>
              </w:rPr>
            </w:pPr>
            <w:r>
              <w:rPr>
                <w:rFonts w:hint="eastAsia"/>
                <w:color w:val="auto"/>
                <w:highlight w:val="none"/>
              </w:rPr>
              <w:t>定位数据库表、文件系统、缓存中等敏感数据存储位置，按国密标准实施加密，确保静态数据防泄露与合规性。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0" w:hRule="atLeast"/>
        </w:trPr>
        <w:tc>
          <w:tcPr>
            <w:tcW w:w="627" w:type="pct"/>
            <w:vAlign w:val="center"/>
          </w:tcPr>
          <w:p>
            <w:pPr>
              <w:jc w:val="center"/>
              <w:rPr>
                <w:color w:val="auto"/>
                <w:highlight w:val="none"/>
              </w:rPr>
            </w:pPr>
            <w:r>
              <w:rPr>
                <w:rFonts w:hint="eastAsia"/>
                <w:color w:val="auto"/>
                <w:highlight w:val="none"/>
              </w:rPr>
              <w:t>1.4.4</w:t>
            </w:r>
          </w:p>
        </w:tc>
        <w:tc>
          <w:tcPr>
            <w:tcW w:w="1763" w:type="pct"/>
            <w:vAlign w:val="center"/>
          </w:tcPr>
          <w:p>
            <w:pPr>
              <w:jc w:val="center"/>
              <w:rPr>
                <w:color w:val="auto"/>
                <w:highlight w:val="none"/>
              </w:rPr>
            </w:pPr>
            <w:r>
              <w:rPr>
                <w:rFonts w:hint="eastAsia"/>
                <w:color w:val="auto"/>
                <w:highlight w:val="none"/>
              </w:rPr>
              <w:t>国密算法校验</w:t>
            </w:r>
          </w:p>
        </w:tc>
        <w:tc>
          <w:tcPr>
            <w:tcW w:w="2608" w:type="pct"/>
          </w:tcPr>
          <w:p>
            <w:pPr>
              <w:rPr>
                <w:color w:val="auto"/>
                <w:highlight w:val="none"/>
              </w:rPr>
            </w:pPr>
            <w:r>
              <w:rPr>
                <w:rFonts w:hint="eastAsia"/>
                <w:color w:val="auto"/>
                <w:highlight w:val="none"/>
              </w:rPr>
              <w:t>分析API接口、消息队列、文件传输等通道，对传输中的敏感数据强制启用国密传输协议，数据封装时添加国密算法校验，传输前进行分组加密，落地前验证完整性与来源合法性，阻断传输链路中的窃听与篡改风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27" w:type="pct"/>
            <w:vAlign w:val="center"/>
          </w:tcPr>
          <w:p>
            <w:pPr>
              <w:jc w:val="center"/>
              <w:rPr>
                <w:color w:val="auto"/>
                <w:highlight w:val="none"/>
              </w:rPr>
            </w:pPr>
            <w:r>
              <w:rPr>
                <w:rFonts w:hint="eastAsia"/>
                <w:color w:val="auto"/>
                <w:highlight w:val="none"/>
              </w:rPr>
              <w:t>1.4.5</w:t>
            </w:r>
          </w:p>
        </w:tc>
        <w:tc>
          <w:tcPr>
            <w:tcW w:w="1763" w:type="pct"/>
            <w:vAlign w:val="center"/>
          </w:tcPr>
          <w:p>
            <w:pPr>
              <w:jc w:val="center"/>
              <w:rPr>
                <w:color w:val="auto"/>
                <w:highlight w:val="none"/>
              </w:rPr>
            </w:pPr>
            <w:r>
              <w:rPr>
                <w:rFonts w:hint="eastAsia"/>
                <w:color w:val="auto"/>
                <w:highlight w:val="none"/>
              </w:rPr>
              <w:t>数据迁移</w:t>
            </w:r>
          </w:p>
        </w:tc>
        <w:tc>
          <w:tcPr>
            <w:tcW w:w="2608" w:type="pct"/>
          </w:tcPr>
          <w:p>
            <w:pPr>
              <w:rPr>
                <w:color w:val="auto"/>
                <w:highlight w:val="none"/>
              </w:rPr>
            </w:pPr>
            <w:r>
              <w:rPr>
                <w:rFonts w:hint="eastAsia"/>
                <w:color w:val="auto"/>
                <w:highlight w:val="none"/>
              </w:rPr>
              <w:t>替换现有的加密算法和调整应用程序中的加解密代码。此外，设计安全的数据迁移方案，确保在迁移过程中数据不丢失、不篡改。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trPr>
        <w:tc>
          <w:tcPr>
            <w:tcW w:w="627" w:type="pct"/>
            <w:vAlign w:val="center"/>
          </w:tcPr>
          <w:p>
            <w:pPr>
              <w:jc w:val="center"/>
              <w:rPr>
                <w:color w:val="auto"/>
                <w:highlight w:val="none"/>
              </w:rPr>
            </w:pPr>
            <w:r>
              <w:rPr>
                <w:rFonts w:hint="eastAsia"/>
                <w:color w:val="auto"/>
                <w:highlight w:val="none"/>
              </w:rPr>
              <w:t>1.4.6</w:t>
            </w:r>
          </w:p>
        </w:tc>
        <w:tc>
          <w:tcPr>
            <w:tcW w:w="1763" w:type="pct"/>
            <w:vAlign w:val="center"/>
          </w:tcPr>
          <w:p>
            <w:pPr>
              <w:jc w:val="center"/>
              <w:rPr>
                <w:color w:val="auto"/>
                <w:highlight w:val="none"/>
              </w:rPr>
            </w:pPr>
            <w:r>
              <w:rPr>
                <w:rFonts w:hint="eastAsia"/>
                <w:color w:val="auto"/>
                <w:highlight w:val="none"/>
              </w:rPr>
              <w:t>传输协议国密改造</w:t>
            </w:r>
          </w:p>
        </w:tc>
        <w:tc>
          <w:tcPr>
            <w:tcW w:w="2608" w:type="pct"/>
          </w:tcPr>
          <w:p>
            <w:pPr>
              <w:rPr>
                <w:color w:val="auto"/>
                <w:highlight w:val="none"/>
              </w:rPr>
            </w:pPr>
            <w:r>
              <w:rPr>
                <w:rFonts w:hint="eastAsia"/>
                <w:color w:val="auto"/>
                <w:highlight w:val="none"/>
              </w:rPr>
              <w:t>在数据传输过程中，调整现有传输协议，引入支持国密算法的加密模块，确保所有数据传输经过国密算法加密。同时，优化通信双方的密钥管理机制，确保密钥的生成、分发和存储过程安全可靠。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trPr>
        <w:tc>
          <w:tcPr>
            <w:tcW w:w="627" w:type="pct"/>
            <w:vAlign w:val="center"/>
          </w:tcPr>
          <w:p>
            <w:pPr>
              <w:jc w:val="center"/>
              <w:rPr>
                <w:color w:val="auto"/>
                <w:highlight w:val="none"/>
              </w:rPr>
            </w:pPr>
            <w:r>
              <w:rPr>
                <w:rFonts w:hint="eastAsia"/>
                <w:color w:val="auto"/>
                <w:highlight w:val="none"/>
              </w:rPr>
              <w:t>1.4.7</w:t>
            </w:r>
          </w:p>
        </w:tc>
        <w:tc>
          <w:tcPr>
            <w:tcW w:w="1763" w:type="pct"/>
            <w:vAlign w:val="center"/>
          </w:tcPr>
          <w:p>
            <w:pPr>
              <w:jc w:val="center"/>
              <w:rPr>
                <w:color w:val="auto"/>
                <w:highlight w:val="none"/>
              </w:rPr>
            </w:pPr>
            <w:r>
              <w:rPr>
                <w:rFonts w:hint="eastAsia"/>
                <w:color w:val="auto"/>
                <w:highlight w:val="none"/>
              </w:rPr>
              <w:t>用户名密码国密改造</w:t>
            </w:r>
          </w:p>
        </w:tc>
        <w:tc>
          <w:tcPr>
            <w:tcW w:w="2608" w:type="pct"/>
          </w:tcPr>
          <w:p>
            <w:pPr>
              <w:rPr>
                <w:color w:val="auto"/>
                <w:highlight w:val="none"/>
              </w:rPr>
            </w:pPr>
            <w:r>
              <w:rPr>
                <w:rFonts w:hint="eastAsia"/>
                <w:color w:val="auto"/>
                <w:highlight w:val="none"/>
              </w:rPr>
              <w:t>在账号登录环节，前端向后端传输用户名和密码时，需将原本采用的 DES 加密方式替换为 SM4 加密。提升加密强度，保障数据在传输过程中的安全性，符合更高级别的安全标准。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0" w:hRule="atLeast"/>
        </w:trPr>
        <w:tc>
          <w:tcPr>
            <w:tcW w:w="627" w:type="pct"/>
            <w:vAlign w:val="center"/>
          </w:tcPr>
          <w:p>
            <w:pPr>
              <w:jc w:val="center"/>
              <w:rPr>
                <w:color w:val="auto"/>
                <w:highlight w:val="none"/>
              </w:rPr>
            </w:pPr>
            <w:r>
              <w:rPr>
                <w:rFonts w:hint="eastAsia"/>
                <w:color w:val="auto"/>
                <w:highlight w:val="none"/>
              </w:rPr>
              <w:t>1.4.8</w:t>
            </w:r>
          </w:p>
        </w:tc>
        <w:tc>
          <w:tcPr>
            <w:tcW w:w="1763" w:type="pct"/>
            <w:vAlign w:val="center"/>
          </w:tcPr>
          <w:p>
            <w:pPr>
              <w:jc w:val="center"/>
              <w:rPr>
                <w:color w:val="auto"/>
                <w:highlight w:val="none"/>
              </w:rPr>
            </w:pPr>
            <w:r>
              <w:rPr>
                <w:rFonts w:hint="eastAsia"/>
                <w:color w:val="auto"/>
                <w:highlight w:val="none"/>
              </w:rPr>
              <w:t>登录账号历史密码兼容国密校验</w:t>
            </w:r>
          </w:p>
        </w:tc>
        <w:tc>
          <w:tcPr>
            <w:tcW w:w="2608" w:type="pct"/>
          </w:tcPr>
          <w:p>
            <w:pPr>
              <w:rPr>
                <w:color w:val="auto"/>
                <w:highlight w:val="none"/>
              </w:rPr>
            </w:pPr>
            <w:r>
              <w:rPr>
                <w:rFonts w:hint="eastAsia"/>
                <w:color w:val="auto"/>
                <w:highlight w:val="none"/>
              </w:rPr>
              <w:t>在登录流程中，后端密码校验机制调整为同时支持 SHA-1 与国密 SM3 两种哈希算法：对历史存量密码（SHA-1 格式）保持兼容校验，新注册或修改密码采用 SM3 算法。通过双算法并行策略，在保障旧有业务连续性的同时，逐步推进密码校验体系向国产化安全标准升级，平衡兼容性与安全性需求，确保用户认证环节符合多层次安全规范。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trPr>
        <w:tc>
          <w:tcPr>
            <w:tcW w:w="627" w:type="pct"/>
            <w:vAlign w:val="center"/>
          </w:tcPr>
          <w:p>
            <w:pPr>
              <w:jc w:val="center"/>
              <w:rPr>
                <w:color w:val="auto"/>
                <w:highlight w:val="none"/>
              </w:rPr>
            </w:pPr>
            <w:r>
              <w:rPr>
                <w:rFonts w:hint="eastAsia"/>
                <w:color w:val="auto"/>
                <w:highlight w:val="none"/>
              </w:rPr>
              <w:t>1.4.9</w:t>
            </w:r>
          </w:p>
        </w:tc>
        <w:tc>
          <w:tcPr>
            <w:tcW w:w="1763" w:type="pct"/>
            <w:vAlign w:val="center"/>
          </w:tcPr>
          <w:p>
            <w:pPr>
              <w:jc w:val="center"/>
              <w:rPr>
                <w:color w:val="auto"/>
                <w:highlight w:val="none"/>
              </w:rPr>
            </w:pPr>
            <w:r>
              <w:rPr>
                <w:rFonts w:hint="eastAsia"/>
                <w:color w:val="auto"/>
                <w:highlight w:val="none"/>
              </w:rPr>
              <w:t>修改密码过程国密改造</w:t>
            </w:r>
          </w:p>
        </w:tc>
        <w:tc>
          <w:tcPr>
            <w:tcW w:w="2608" w:type="pct"/>
          </w:tcPr>
          <w:p>
            <w:pPr>
              <w:rPr>
                <w:color w:val="auto"/>
                <w:highlight w:val="none"/>
              </w:rPr>
            </w:pPr>
            <w:r>
              <w:rPr>
                <w:rFonts w:hint="eastAsia"/>
                <w:color w:val="auto"/>
                <w:highlight w:val="none"/>
              </w:rPr>
              <w:t>在修改用户密码和密保操作里，前端向后端传输密码时，要把原本的 DES 加密方式更换为 SM4 加密。SM4 加密强度更高，能有效增强传输中密码的安全性，更好地保护用户敏感信息。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trPr>
        <w:tc>
          <w:tcPr>
            <w:tcW w:w="627" w:type="pct"/>
            <w:vAlign w:val="center"/>
          </w:tcPr>
          <w:p>
            <w:pPr>
              <w:jc w:val="center"/>
              <w:rPr>
                <w:color w:val="auto"/>
                <w:highlight w:val="none"/>
              </w:rPr>
            </w:pPr>
            <w:r>
              <w:rPr>
                <w:rFonts w:hint="eastAsia"/>
                <w:color w:val="auto"/>
                <w:highlight w:val="none"/>
              </w:rPr>
              <w:t>1.4.10</w:t>
            </w:r>
          </w:p>
        </w:tc>
        <w:tc>
          <w:tcPr>
            <w:tcW w:w="1763" w:type="pct"/>
            <w:vAlign w:val="center"/>
          </w:tcPr>
          <w:p>
            <w:pPr>
              <w:jc w:val="center"/>
              <w:rPr>
                <w:color w:val="auto"/>
                <w:highlight w:val="none"/>
              </w:rPr>
            </w:pPr>
            <w:r>
              <w:rPr>
                <w:rFonts w:hint="eastAsia"/>
                <w:color w:val="auto"/>
                <w:highlight w:val="none"/>
              </w:rPr>
              <w:t>修改密码存储国密改造</w:t>
            </w:r>
          </w:p>
        </w:tc>
        <w:tc>
          <w:tcPr>
            <w:tcW w:w="2608" w:type="pct"/>
          </w:tcPr>
          <w:p>
            <w:pPr>
              <w:rPr>
                <w:color w:val="auto"/>
                <w:highlight w:val="none"/>
              </w:rPr>
            </w:pPr>
            <w:r>
              <w:rPr>
                <w:rFonts w:hint="eastAsia"/>
                <w:color w:val="auto"/>
                <w:highlight w:val="none"/>
              </w:rPr>
              <w:t>在修改用户密码和密保相关操作中，对数据库存储的数据加密方式进行更新。将原本使用的 SHA - 1 算法替换为 SM3 算法，以提升数据存储的安全性，符合更严格的安全标准和规范。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27" w:type="pct"/>
            <w:vAlign w:val="center"/>
          </w:tcPr>
          <w:p>
            <w:pPr>
              <w:jc w:val="center"/>
              <w:rPr>
                <w:color w:val="auto"/>
                <w:highlight w:val="none"/>
              </w:rPr>
            </w:pPr>
            <w:r>
              <w:rPr>
                <w:rFonts w:hint="eastAsia"/>
                <w:color w:val="auto"/>
                <w:highlight w:val="none"/>
              </w:rPr>
              <w:t>1.4.11</w:t>
            </w:r>
          </w:p>
        </w:tc>
        <w:tc>
          <w:tcPr>
            <w:tcW w:w="1763" w:type="pct"/>
            <w:vAlign w:val="center"/>
          </w:tcPr>
          <w:p>
            <w:pPr>
              <w:jc w:val="center"/>
              <w:rPr>
                <w:color w:val="auto"/>
                <w:highlight w:val="none"/>
              </w:rPr>
            </w:pPr>
            <w:r>
              <w:rPr>
                <w:rFonts w:hint="eastAsia"/>
                <w:color w:val="auto"/>
                <w:highlight w:val="none"/>
              </w:rPr>
              <w:t>重置密码操作国密改造</w:t>
            </w:r>
          </w:p>
        </w:tc>
        <w:tc>
          <w:tcPr>
            <w:tcW w:w="2608" w:type="pct"/>
          </w:tcPr>
          <w:p>
            <w:pPr>
              <w:rPr>
                <w:color w:val="auto"/>
                <w:highlight w:val="none"/>
              </w:rPr>
            </w:pPr>
            <w:r>
              <w:rPr>
                <w:rFonts w:hint="eastAsia"/>
                <w:color w:val="auto"/>
                <w:highlight w:val="none"/>
              </w:rPr>
              <w:t>在用户列表中，当管理员进行重置密码操作时，数据库保存密码的加密算法将从 SHA - 1 更换为 SM3。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27" w:type="pct"/>
            <w:vAlign w:val="center"/>
          </w:tcPr>
          <w:p>
            <w:pPr>
              <w:jc w:val="center"/>
              <w:rPr>
                <w:color w:val="auto"/>
                <w:highlight w:val="none"/>
              </w:rPr>
            </w:pPr>
            <w:r>
              <w:rPr>
                <w:rFonts w:hint="eastAsia"/>
                <w:color w:val="auto"/>
                <w:highlight w:val="none"/>
              </w:rPr>
              <w:t>1.4.12</w:t>
            </w:r>
          </w:p>
        </w:tc>
        <w:tc>
          <w:tcPr>
            <w:tcW w:w="1763" w:type="pct"/>
            <w:vAlign w:val="center"/>
          </w:tcPr>
          <w:p>
            <w:pPr>
              <w:jc w:val="center"/>
              <w:rPr>
                <w:color w:val="auto"/>
                <w:highlight w:val="none"/>
              </w:rPr>
            </w:pPr>
            <w:r>
              <w:rPr>
                <w:rFonts w:hint="eastAsia"/>
                <w:color w:val="auto"/>
                <w:highlight w:val="none"/>
              </w:rPr>
              <w:t>资产账号密码国密改造</w:t>
            </w:r>
          </w:p>
        </w:tc>
        <w:tc>
          <w:tcPr>
            <w:tcW w:w="2608" w:type="pct"/>
          </w:tcPr>
          <w:p>
            <w:pPr>
              <w:rPr>
                <w:color w:val="auto"/>
                <w:highlight w:val="none"/>
              </w:rPr>
            </w:pPr>
            <w:r>
              <w:rPr>
                <w:rFonts w:hint="eastAsia"/>
                <w:color w:val="auto"/>
                <w:highlight w:val="none"/>
              </w:rPr>
              <w:t>运维资产设备账号密码的存储方式发生改变，从原本的 DES 加密变为 SM4 加密。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0" w:hRule="atLeast"/>
        </w:trPr>
        <w:tc>
          <w:tcPr>
            <w:tcW w:w="627" w:type="pct"/>
            <w:vAlign w:val="center"/>
          </w:tcPr>
          <w:p>
            <w:pPr>
              <w:jc w:val="center"/>
              <w:rPr>
                <w:color w:val="auto"/>
                <w:highlight w:val="none"/>
              </w:rPr>
            </w:pPr>
            <w:r>
              <w:rPr>
                <w:rFonts w:hint="eastAsia"/>
                <w:color w:val="auto"/>
                <w:highlight w:val="none"/>
              </w:rPr>
              <w:t>1.4.13</w:t>
            </w:r>
          </w:p>
        </w:tc>
        <w:tc>
          <w:tcPr>
            <w:tcW w:w="1763" w:type="pct"/>
            <w:vAlign w:val="center"/>
          </w:tcPr>
          <w:p>
            <w:pPr>
              <w:jc w:val="center"/>
              <w:rPr>
                <w:color w:val="auto"/>
                <w:highlight w:val="none"/>
              </w:rPr>
            </w:pPr>
            <w:r>
              <w:rPr>
                <w:rFonts w:hint="eastAsia"/>
                <w:color w:val="auto"/>
                <w:highlight w:val="none"/>
              </w:rPr>
              <w:t>资产账号密码历史数据兼容国密校验</w:t>
            </w:r>
          </w:p>
        </w:tc>
        <w:tc>
          <w:tcPr>
            <w:tcW w:w="2608" w:type="pct"/>
          </w:tcPr>
          <w:p>
            <w:pPr>
              <w:rPr>
                <w:color w:val="auto"/>
                <w:highlight w:val="none"/>
              </w:rPr>
            </w:pPr>
            <w:r>
              <w:rPr>
                <w:rFonts w:hint="eastAsia"/>
                <w:color w:val="auto"/>
                <w:highlight w:val="none"/>
              </w:rPr>
              <w:t>在资产设备账号密码备份场景中，解密机制需同时兼容 SM4 与 DES 两种加密算法：对历史采用 DES 加密的备份数据，保留其解密支持以确保旧数据可恢复；新生成的 SM4 加密备份数据则通过对应算法解密，通过双算法兼容策略，保障备份系统在加密算法升级过渡期间的数据完整性与可用性，避免因加密方式不匹配导致的解密失败风险，确保运维操作中密码备份与恢复流程的连续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0" w:hRule="atLeast"/>
        </w:trPr>
        <w:tc>
          <w:tcPr>
            <w:tcW w:w="627" w:type="pct"/>
            <w:vAlign w:val="center"/>
          </w:tcPr>
          <w:p>
            <w:pPr>
              <w:jc w:val="center"/>
              <w:rPr>
                <w:color w:val="auto"/>
                <w:highlight w:val="none"/>
              </w:rPr>
            </w:pPr>
            <w:r>
              <w:rPr>
                <w:rFonts w:hint="eastAsia"/>
                <w:color w:val="auto"/>
                <w:highlight w:val="none"/>
              </w:rPr>
              <w:t>1.4.14</w:t>
            </w:r>
          </w:p>
        </w:tc>
        <w:tc>
          <w:tcPr>
            <w:tcW w:w="1763" w:type="pct"/>
            <w:vAlign w:val="center"/>
          </w:tcPr>
          <w:p>
            <w:pPr>
              <w:jc w:val="center"/>
              <w:rPr>
                <w:color w:val="auto"/>
                <w:highlight w:val="none"/>
              </w:rPr>
            </w:pPr>
            <w:r>
              <w:rPr>
                <w:rFonts w:hint="eastAsia"/>
                <w:color w:val="auto"/>
                <w:highlight w:val="none"/>
              </w:rPr>
              <w:t>数字签名国密改造</w:t>
            </w:r>
          </w:p>
        </w:tc>
        <w:tc>
          <w:tcPr>
            <w:tcW w:w="2608" w:type="pct"/>
          </w:tcPr>
          <w:p>
            <w:pPr>
              <w:rPr>
                <w:color w:val="auto"/>
                <w:highlight w:val="none"/>
              </w:rPr>
            </w:pPr>
            <w:r>
              <w:rPr>
                <w:rFonts w:hint="eastAsia"/>
                <w:color w:val="auto"/>
                <w:highlight w:val="none"/>
              </w:rPr>
              <w:t>在日志表中新增 sign 字段，采用国密 SM3/SM2 等算法对整条日志内容进行哈希或数字签名，生成唯一签名值并与日志数据一同存储至数据库。通过签名机制确保日志完整性，防止篡改，支持后续通过校验签名值验证日志真实性，提升系统审计数据的可信度与安全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trPr>
        <w:tc>
          <w:tcPr>
            <w:tcW w:w="627" w:type="pct"/>
            <w:vAlign w:val="center"/>
          </w:tcPr>
          <w:p>
            <w:pPr>
              <w:jc w:val="center"/>
              <w:rPr>
                <w:color w:val="auto"/>
                <w:highlight w:val="none"/>
              </w:rPr>
            </w:pPr>
            <w:r>
              <w:rPr>
                <w:rFonts w:hint="eastAsia"/>
                <w:color w:val="auto"/>
                <w:highlight w:val="none"/>
              </w:rPr>
              <w:t>1.4.15</w:t>
            </w:r>
          </w:p>
        </w:tc>
        <w:tc>
          <w:tcPr>
            <w:tcW w:w="1763" w:type="pct"/>
            <w:vAlign w:val="center"/>
          </w:tcPr>
          <w:p>
            <w:pPr>
              <w:jc w:val="center"/>
              <w:rPr>
                <w:color w:val="auto"/>
                <w:highlight w:val="none"/>
              </w:rPr>
            </w:pPr>
            <w:r>
              <w:rPr>
                <w:rFonts w:hint="eastAsia"/>
                <w:color w:val="auto"/>
                <w:highlight w:val="none"/>
              </w:rPr>
              <w:t>https加密算法改造</w:t>
            </w:r>
          </w:p>
        </w:tc>
        <w:tc>
          <w:tcPr>
            <w:tcW w:w="2608" w:type="pct"/>
          </w:tcPr>
          <w:p>
            <w:pPr>
              <w:rPr>
                <w:color w:val="auto"/>
                <w:highlight w:val="none"/>
              </w:rPr>
            </w:pPr>
            <w:r>
              <w:rPr>
                <w:rFonts w:hint="eastAsia"/>
                <w:color w:val="auto"/>
                <w:highlight w:val="none"/>
              </w:rPr>
              <w:t>将 HTTPS 加密算法从 RSA 替换为国密 SM2：改造证书体系（使用 SM2 签名证书），调整密钥交换机制（SM2 密钥协商），替换数字签名算法（SM2 替代 RSA 签名）。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27" w:type="pct"/>
            <w:vAlign w:val="center"/>
          </w:tcPr>
          <w:p>
            <w:pPr>
              <w:jc w:val="center"/>
              <w:rPr>
                <w:b/>
                <w:bCs/>
                <w:color w:val="auto"/>
                <w:highlight w:val="none"/>
              </w:rPr>
            </w:pPr>
            <w:r>
              <w:rPr>
                <w:rFonts w:hint="eastAsia"/>
                <w:b/>
                <w:bCs/>
                <w:color w:val="auto"/>
                <w:highlight w:val="none"/>
              </w:rPr>
              <w:t>1.5</w:t>
            </w:r>
          </w:p>
        </w:tc>
        <w:tc>
          <w:tcPr>
            <w:tcW w:w="1763" w:type="pct"/>
            <w:vAlign w:val="center"/>
          </w:tcPr>
          <w:p>
            <w:pPr>
              <w:jc w:val="center"/>
              <w:rPr>
                <w:b/>
                <w:bCs/>
                <w:color w:val="auto"/>
                <w:highlight w:val="none"/>
              </w:rPr>
            </w:pPr>
            <w:r>
              <w:rPr>
                <w:rFonts w:hint="eastAsia"/>
                <w:b/>
                <w:bCs/>
                <w:color w:val="auto"/>
                <w:highlight w:val="none"/>
              </w:rPr>
              <w:t>虚拟化运维系统国密浏览器适配</w:t>
            </w:r>
          </w:p>
        </w:tc>
        <w:tc>
          <w:tcPr>
            <w:tcW w:w="2608" w:type="pct"/>
          </w:tcPr>
          <w:p>
            <w:pPr>
              <w:rPr>
                <w:color w:val="auto"/>
                <w:highlight w:val="none"/>
              </w:rPr>
            </w:pPr>
            <w:r>
              <w:rPr>
                <w:rFonts w:hint="eastAsia"/>
                <w:color w:val="auto"/>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27" w:type="pct"/>
            <w:vAlign w:val="center"/>
          </w:tcPr>
          <w:p>
            <w:pPr>
              <w:jc w:val="center"/>
              <w:rPr>
                <w:color w:val="auto"/>
                <w:highlight w:val="none"/>
              </w:rPr>
            </w:pPr>
            <w:r>
              <w:rPr>
                <w:rFonts w:hint="eastAsia"/>
                <w:color w:val="auto"/>
                <w:highlight w:val="none"/>
              </w:rPr>
              <w:t>1.5.1</w:t>
            </w:r>
          </w:p>
        </w:tc>
        <w:tc>
          <w:tcPr>
            <w:tcW w:w="1763" w:type="pct"/>
            <w:vAlign w:val="center"/>
          </w:tcPr>
          <w:p>
            <w:pPr>
              <w:jc w:val="center"/>
              <w:rPr>
                <w:color w:val="auto"/>
                <w:highlight w:val="none"/>
              </w:rPr>
            </w:pPr>
            <w:r>
              <w:rPr>
                <w:rFonts w:hint="eastAsia"/>
                <w:color w:val="auto"/>
                <w:highlight w:val="none"/>
              </w:rPr>
              <w:t>主流国密浏览器适配</w:t>
            </w:r>
          </w:p>
        </w:tc>
        <w:tc>
          <w:tcPr>
            <w:tcW w:w="2608" w:type="pct"/>
          </w:tcPr>
          <w:p>
            <w:pPr>
              <w:rPr>
                <w:color w:val="auto"/>
                <w:highlight w:val="none"/>
              </w:rPr>
            </w:pPr>
            <w:r>
              <w:rPr>
                <w:rFonts w:hint="eastAsia"/>
                <w:color w:val="auto"/>
                <w:highlight w:val="none"/>
              </w:rPr>
              <w:t>适配市面上主流的国密浏览器，如奇安信浏览器、红莲花浏览器、密信浏览器等，并处理相关的兼容性问题，保证系统各项功能的正常显示和使用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27" w:type="pct"/>
            <w:vAlign w:val="center"/>
          </w:tcPr>
          <w:p>
            <w:pPr>
              <w:jc w:val="center"/>
              <w:rPr>
                <w:color w:val="auto"/>
                <w:highlight w:val="none"/>
              </w:rPr>
            </w:pPr>
            <w:r>
              <w:rPr>
                <w:rFonts w:hint="eastAsia"/>
                <w:color w:val="auto"/>
                <w:highlight w:val="none"/>
              </w:rPr>
              <w:t>1.5.2</w:t>
            </w:r>
          </w:p>
        </w:tc>
        <w:tc>
          <w:tcPr>
            <w:tcW w:w="1763" w:type="pct"/>
            <w:vAlign w:val="center"/>
          </w:tcPr>
          <w:p>
            <w:pPr>
              <w:jc w:val="center"/>
              <w:rPr>
                <w:color w:val="auto"/>
                <w:highlight w:val="none"/>
              </w:rPr>
            </w:pPr>
            <w:r>
              <w:rPr>
                <w:rFonts w:hint="eastAsia"/>
                <w:color w:val="auto"/>
                <w:highlight w:val="none"/>
              </w:rPr>
              <w:t>国密浏览器兼容性测试</w:t>
            </w:r>
          </w:p>
        </w:tc>
        <w:tc>
          <w:tcPr>
            <w:tcW w:w="2608" w:type="pct"/>
          </w:tcPr>
          <w:p>
            <w:pPr>
              <w:rPr>
                <w:color w:val="auto"/>
                <w:highlight w:val="none"/>
              </w:rPr>
            </w:pPr>
            <w:r>
              <w:rPr>
                <w:rFonts w:hint="eastAsia"/>
                <w:color w:val="auto"/>
                <w:highlight w:val="none"/>
              </w:rPr>
              <w:t>测试和兼容性测试：在多个国密浏览器上测试系统的登录页面和系统首页，以确保其在不同浏览器上的表现一致。使用自动化测试工具或手动测试来执行此操作。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0" w:hRule="atLeast"/>
        </w:trPr>
        <w:tc>
          <w:tcPr>
            <w:tcW w:w="627" w:type="pct"/>
            <w:vAlign w:val="center"/>
          </w:tcPr>
          <w:p>
            <w:pPr>
              <w:jc w:val="center"/>
              <w:rPr>
                <w:color w:val="auto"/>
                <w:highlight w:val="none"/>
              </w:rPr>
            </w:pPr>
            <w:r>
              <w:rPr>
                <w:rFonts w:hint="eastAsia"/>
                <w:color w:val="auto"/>
                <w:highlight w:val="none"/>
              </w:rPr>
              <w:t>1.5.3</w:t>
            </w:r>
          </w:p>
        </w:tc>
        <w:tc>
          <w:tcPr>
            <w:tcW w:w="1763" w:type="pct"/>
            <w:vAlign w:val="center"/>
          </w:tcPr>
          <w:p>
            <w:pPr>
              <w:jc w:val="center"/>
              <w:rPr>
                <w:color w:val="auto"/>
                <w:highlight w:val="none"/>
              </w:rPr>
            </w:pPr>
            <w:r>
              <w:rPr>
                <w:rFonts w:hint="eastAsia"/>
                <w:color w:val="auto"/>
                <w:highlight w:val="none"/>
              </w:rPr>
              <w:t>国密浏览器算法适配</w:t>
            </w:r>
          </w:p>
        </w:tc>
        <w:tc>
          <w:tcPr>
            <w:tcW w:w="2608" w:type="pct"/>
          </w:tcPr>
          <w:p>
            <w:pPr>
              <w:rPr>
                <w:color w:val="auto"/>
                <w:highlight w:val="none"/>
              </w:rPr>
            </w:pPr>
            <w:r>
              <w:rPr>
                <w:rFonts w:hint="eastAsia"/>
                <w:color w:val="auto"/>
                <w:highlight w:val="none"/>
              </w:rPr>
              <w:t>系统需采用符合 W3C 标准的 Web 技术，适配国密浏览器对 SM2/SM3/SM4 等算法的支持，兼容其证书验证、加密传输等特有机制。通过标准化代码编写、浏览器特性检测及适配，解决不同国密浏览器的差异，确保页面渲染、加密交互及功能调用的一致性，提升跨浏览器兼容性与国产化环境适配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0" w:hRule="atLeast"/>
        </w:trPr>
        <w:tc>
          <w:tcPr>
            <w:tcW w:w="627" w:type="pct"/>
            <w:vAlign w:val="center"/>
          </w:tcPr>
          <w:p>
            <w:pPr>
              <w:jc w:val="center"/>
              <w:rPr>
                <w:color w:val="auto"/>
                <w:highlight w:val="none"/>
              </w:rPr>
            </w:pPr>
            <w:r>
              <w:rPr>
                <w:rFonts w:hint="eastAsia"/>
                <w:color w:val="auto"/>
                <w:highlight w:val="none"/>
              </w:rPr>
              <w:t>1.5.4</w:t>
            </w:r>
          </w:p>
        </w:tc>
        <w:tc>
          <w:tcPr>
            <w:tcW w:w="1763" w:type="pct"/>
            <w:vAlign w:val="center"/>
          </w:tcPr>
          <w:p>
            <w:pPr>
              <w:jc w:val="center"/>
              <w:rPr>
                <w:color w:val="auto"/>
                <w:highlight w:val="none"/>
              </w:rPr>
            </w:pPr>
            <w:r>
              <w:rPr>
                <w:rFonts w:hint="eastAsia"/>
                <w:color w:val="auto"/>
                <w:highlight w:val="none"/>
              </w:rPr>
              <w:t>自定义CSS样式</w:t>
            </w:r>
          </w:p>
        </w:tc>
        <w:tc>
          <w:tcPr>
            <w:tcW w:w="2608" w:type="pct"/>
          </w:tcPr>
          <w:p>
            <w:pPr>
              <w:rPr>
                <w:color w:val="auto"/>
                <w:highlight w:val="none"/>
              </w:rPr>
            </w:pPr>
            <w:r>
              <w:rPr>
                <w:rFonts w:hint="eastAsia"/>
                <w:color w:val="auto"/>
                <w:highlight w:val="none"/>
              </w:rPr>
              <w:t>通过编写自定义 CSS 样式，针对不同浏览器内核的渲染差异（盒模型、动画解析、字体渲染等），添加浏览器前缀、使用条件注释或特性查询，解决样式解析不一致、布局错位、元素显示异常等兼容性问题，确保页面在不同浏览器上视觉效果与功能表现统一，提升跨浏览器显示一致性与用户体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27" w:type="pct"/>
            <w:vAlign w:val="center"/>
          </w:tcPr>
          <w:p>
            <w:pPr>
              <w:jc w:val="center"/>
              <w:rPr>
                <w:b/>
                <w:bCs/>
                <w:color w:val="auto"/>
                <w:highlight w:val="none"/>
              </w:rPr>
            </w:pPr>
            <w:r>
              <w:rPr>
                <w:rFonts w:hint="eastAsia"/>
                <w:b/>
                <w:bCs/>
                <w:color w:val="auto"/>
                <w:highlight w:val="none"/>
              </w:rPr>
              <w:t>1.6</w:t>
            </w:r>
          </w:p>
        </w:tc>
        <w:tc>
          <w:tcPr>
            <w:tcW w:w="1763" w:type="pct"/>
            <w:vAlign w:val="center"/>
          </w:tcPr>
          <w:p>
            <w:pPr>
              <w:jc w:val="center"/>
              <w:rPr>
                <w:b/>
                <w:bCs/>
                <w:color w:val="auto"/>
                <w:highlight w:val="none"/>
              </w:rPr>
            </w:pPr>
            <w:r>
              <w:rPr>
                <w:rFonts w:hint="eastAsia"/>
                <w:b/>
                <w:bCs/>
                <w:color w:val="auto"/>
                <w:highlight w:val="none"/>
              </w:rPr>
              <w:t>虚拟化运维系统国产运维工具适配</w:t>
            </w:r>
          </w:p>
        </w:tc>
        <w:tc>
          <w:tcPr>
            <w:tcW w:w="2608" w:type="pct"/>
          </w:tcPr>
          <w:p>
            <w:pPr>
              <w:rPr>
                <w:color w:val="auto"/>
                <w:highlight w:val="none"/>
              </w:rPr>
            </w:pPr>
            <w:r>
              <w:rPr>
                <w:rFonts w:hint="eastAsia"/>
                <w:color w:val="auto"/>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0" w:hRule="atLeast"/>
        </w:trPr>
        <w:tc>
          <w:tcPr>
            <w:tcW w:w="627" w:type="pct"/>
            <w:vAlign w:val="center"/>
          </w:tcPr>
          <w:p>
            <w:pPr>
              <w:jc w:val="center"/>
              <w:rPr>
                <w:color w:val="auto"/>
                <w:highlight w:val="none"/>
              </w:rPr>
            </w:pPr>
            <w:r>
              <w:rPr>
                <w:rFonts w:hint="eastAsia"/>
                <w:color w:val="auto"/>
                <w:highlight w:val="none"/>
              </w:rPr>
              <w:t>1.6.1</w:t>
            </w:r>
          </w:p>
        </w:tc>
        <w:tc>
          <w:tcPr>
            <w:tcW w:w="1763" w:type="pct"/>
            <w:vAlign w:val="center"/>
          </w:tcPr>
          <w:p>
            <w:pPr>
              <w:jc w:val="center"/>
              <w:rPr>
                <w:color w:val="auto"/>
                <w:highlight w:val="none"/>
              </w:rPr>
            </w:pPr>
            <w:r>
              <w:rPr>
                <w:rFonts w:hint="eastAsia"/>
                <w:color w:val="auto"/>
                <w:highlight w:val="none"/>
              </w:rPr>
              <w:t>国产运维工具适配与接口开发</w:t>
            </w:r>
          </w:p>
        </w:tc>
        <w:tc>
          <w:tcPr>
            <w:tcW w:w="2608" w:type="pct"/>
          </w:tcPr>
          <w:p>
            <w:pPr>
              <w:rPr>
                <w:color w:val="auto"/>
                <w:highlight w:val="none"/>
              </w:rPr>
            </w:pPr>
            <w:r>
              <w:rPr>
                <w:rFonts w:hint="eastAsia"/>
                <w:color w:val="auto"/>
                <w:highlight w:val="none"/>
              </w:rPr>
              <w:t>针对自治区医保局业务系统运维需求，全面收集确认国产运维协议、运维工具及国产数据库相关信息。通过开发定制化接口、插件或适配工具，实现对人大金仓、达梦数据库工具及国密浏览器等国产工具的跨平台调用与系统集成，解决不同工具间的兼容性问题，构建统一运维管理入口，提升国产运维工具的协同工作效率，推动业务系统运维体系向国产化、标准化升级，保障运维操作的规范性与高效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27" w:type="pct"/>
            <w:vAlign w:val="center"/>
          </w:tcPr>
          <w:p>
            <w:pPr>
              <w:jc w:val="center"/>
              <w:rPr>
                <w:color w:val="auto"/>
                <w:highlight w:val="none"/>
              </w:rPr>
            </w:pPr>
            <w:r>
              <w:rPr>
                <w:rFonts w:hint="eastAsia"/>
                <w:color w:val="auto"/>
                <w:highlight w:val="none"/>
              </w:rPr>
              <w:t>1.6.2</w:t>
            </w:r>
          </w:p>
        </w:tc>
        <w:tc>
          <w:tcPr>
            <w:tcW w:w="1763" w:type="pct"/>
            <w:vAlign w:val="center"/>
          </w:tcPr>
          <w:p>
            <w:pPr>
              <w:jc w:val="center"/>
              <w:rPr>
                <w:color w:val="auto"/>
                <w:highlight w:val="none"/>
              </w:rPr>
            </w:pPr>
            <w:r>
              <w:rPr>
                <w:rFonts w:hint="eastAsia"/>
                <w:color w:val="auto"/>
                <w:highlight w:val="none"/>
              </w:rPr>
              <w:t>国产运维工具密码代填模块开发</w:t>
            </w:r>
          </w:p>
        </w:tc>
        <w:tc>
          <w:tcPr>
            <w:tcW w:w="2608" w:type="pct"/>
          </w:tcPr>
          <w:p>
            <w:pPr>
              <w:rPr>
                <w:color w:val="auto"/>
                <w:highlight w:val="none"/>
              </w:rPr>
            </w:pPr>
            <w:r>
              <w:rPr>
                <w:rFonts w:hint="eastAsia"/>
                <w:color w:val="auto"/>
                <w:highlight w:val="none"/>
              </w:rPr>
              <w:t>通过开发密码代填功能模块，确保国产运维工具的密码信息安全存储和调用，将密码加密存储、自动填充功能结合起来，防止密码泄露和增加运维操作的便捷性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27" w:type="pct"/>
            <w:vAlign w:val="center"/>
          </w:tcPr>
          <w:p>
            <w:pPr>
              <w:jc w:val="center"/>
              <w:rPr>
                <w:color w:val="auto"/>
                <w:highlight w:val="none"/>
              </w:rPr>
            </w:pPr>
            <w:r>
              <w:rPr>
                <w:rFonts w:hint="eastAsia"/>
                <w:color w:val="auto"/>
                <w:highlight w:val="none"/>
              </w:rPr>
              <w:t>1.6.3</w:t>
            </w:r>
          </w:p>
        </w:tc>
        <w:tc>
          <w:tcPr>
            <w:tcW w:w="1763" w:type="pct"/>
            <w:vAlign w:val="center"/>
          </w:tcPr>
          <w:p>
            <w:pPr>
              <w:jc w:val="center"/>
              <w:rPr>
                <w:color w:val="auto"/>
                <w:highlight w:val="none"/>
              </w:rPr>
            </w:pPr>
            <w:r>
              <w:rPr>
                <w:rFonts w:hint="eastAsia"/>
                <w:color w:val="auto"/>
                <w:highlight w:val="none"/>
              </w:rPr>
              <w:t>国产运维工具审计录像</w:t>
            </w:r>
          </w:p>
        </w:tc>
        <w:tc>
          <w:tcPr>
            <w:tcW w:w="2608" w:type="pct"/>
          </w:tcPr>
          <w:p>
            <w:pPr>
              <w:rPr>
                <w:color w:val="auto"/>
                <w:highlight w:val="none"/>
              </w:rPr>
            </w:pPr>
            <w:r>
              <w:rPr>
                <w:rFonts w:hint="eastAsia"/>
                <w:color w:val="auto"/>
                <w:highlight w:val="none"/>
              </w:rPr>
              <w:t>对国产环境下运维协议、运维工具的使用过程进行全过程审计录像，记录操作的起始时间以及操作账号、操作类型等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27" w:type="pct"/>
            <w:vAlign w:val="center"/>
          </w:tcPr>
          <w:p>
            <w:pPr>
              <w:jc w:val="center"/>
              <w:rPr>
                <w:color w:val="auto"/>
                <w:highlight w:val="none"/>
              </w:rPr>
            </w:pPr>
            <w:r>
              <w:rPr>
                <w:rFonts w:hint="eastAsia"/>
                <w:color w:val="auto"/>
                <w:highlight w:val="none"/>
              </w:rPr>
              <w:t>1.6.4</w:t>
            </w:r>
          </w:p>
        </w:tc>
        <w:tc>
          <w:tcPr>
            <w:tcW w:w="1763" w:type="pct"/>
            <w:vAlign w:val="center"/>
          </w:tcPr>
          <w:p>
            <w:pPr>
              <w:jc w:val="center"/>
              <w:rPr>
                <w:color w:val="auto"/>
                <w:highlight w:val="none"/>
              </w:rPr>
            </w:pPr>
            <w:r>
              <w:rPr>
                <w:rFonts w:hint="eastAsia"/>
                <w:color w:val="auto"/>
                <w:highlight w:val="none"/>
              </w:rPr>
              <w:t>国产运维工具实时过程监控</w:t>
            </w:r>
          </w:p>
        </w:tc>
        <w:tc>
          <w:tcPr>
            <w:tcW w:w="2608" w:type="pct"/>
          </w:tcPr>
          <w:p>
            <w:pPr>
              <w:rPr>
                <w:color w:val="auto"/>
                <w:highlight w:val="none"/>
              </w:rPr>
            </w:pPr>
            <w:r>
              <w:rPr>
                <w:rFonts w:hint="eastAsia"/>
                <w:color w:val="auto"/>
                <w:highlight w:val="none"/>
              </w:rPr>
              <w:t>需要支持在国产运维协议、运维工具环境下对运维会话实时监控，并可以随时进行会话切断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27" w:type="pct"/>
            <w:vAlign w:val="center"/>
          </w:tcPr>
          <w:p>
            <w:pPr>
              <w:jc w:val="center"/>
              <w:rPr>
                <w:color w:val="auto"/>
                <w:highlight w:val="none"/>
              </w:rPr>
            </w:pPr>
            <w:r>
              <w:rPr>
                <w:rFonts w:hint="eastAsia"/>
                <w:color w:val="auto"/>
                <w:highlight w:val="none"/>
              </w:rPr>
              <w:t>1.6.5</w:t>
            </w:r>
          </w:p>
        </w:tc>
        <w:tc>
          <w:tcPr>
            <w:tcW w:w="1763" w:type="pct"/>
            <w:vAlign w:val="center"/>
          </w:tcPr>
          <w:p>
            <w:pPr>
              <w:jc w:val="center"/>
              <w:rPr>
                <w:color w:val="auto"/>
                <w:highlight w:val="none"/>
              </w:rPr>
            </w:pPr>
            <w:r>
              <w:rPr>
                <w:rFonts w:hint="eastAsia"/>
                <w:color w:val="auto"/>
                <w:highlight w:val="none"/>
              </w:rPr>
              <w:t>国产运维工具操作命令识别</w:t>
            </w:r>
          </w:p>
        </w:tc>
        <w:tc>
          <w:tcPr>
            <w:tcW w:w="2608" w:type="pct"/>
          </w:tcPr>
          <w:p>
            <w:pPr>
              <w:rPr>
                <w:color w:val="auto"/>
                <w:highlight w:val="none"/>
              </w:rPr>
            </w:pPr>
            <w:r>
              <w:rPr>
                <w:rFonts w:hint="eastAsia"/>
                <w:color w:val="auto"/>
                <w:highlight w:val="none"/>
              </w:rPr>
              <w:t>需要识别国产运维协议、运维工具操作的字符类会话在操作过程中涉及到的操作命令，并记录与命令相关的操作时间、操作人员等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27" w:type="pct"/>
            <w:vAlign w:val="center"/>
          </w:tcPr>
          <w:p>
            <w:pPr>
              <w:jc w:val="center"/>
              <w:rPr>
                <w:b/>
                <w:bCs/>
                <w:color w:val="auto"/>
                <w:highlight w:val="none"/>
              </w:rPr>
            </w:pPr>
            <w:r>
              <w:rPr>
                <w:rFonts w:hint="eastAsia"/>
                <w:b/>
                <w:bCs/>
                <w:color w:val="auto"/>
                <w:highlight w:val="none"/>
              </w:rPr>
              <w:t>1.7</w:t>
            </w:r>
          </w:p>
        </w:tc>
        <w:tc>
          <w:tcPr>
            <w:tcW w:w="1763" w:type="pct"/>
            <w:vAlign w:val="center"/>
          </w:tcPr>
          <w:p>
            <w:pPr>
              <w:jc w:val="center"/>
              <w:rPr>
                <w:b/>
                <w:bCs/>
                <w:color w:val="auto"/>
                <w:highlight w:val="none"/>
              </w:rPr>
            </w:pPr>
            <w:r>
              <w:rPr>
                <w:rFonts w:hint="eastAsia"/>
                <w:b/>
                <w:bCs/>
                <w:color w:val="auto"/>
                <w:highlight w:val="none"/>
              </w:rPr>
              <w:t>虚拟化运维系统功能国产化改造</w:t>
            </w:r>
          </w:p>
        </w:tc>
        <w:tc>
          <w:tcPr>
            <w:tcW w:w="2608" w:type="pct"/>
          </w:tcPr>
          <w:p>
            <w:pPr>
              <w:rPr>
                <w:color w:val="auto"/>
                <w:highlight w:val="none"/>
              </w:rPr>
            </w:pPr>
            <w:r>
              <w:rPr>
                <w:rFonts w:hint="eastAsia"/>
                <w:color w:val="auto"/>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trPr>
        <w:tc>
          <w:tcPr>
            <w:tcW w:w="627" w:type="pct"/>
            <w:vAlign w:val="center"/>
          </w:tcPr>
          <w:p>
            <w:pPr>
              <w:jc w:val="center"/>
              <w:rPr>
                <w:color w:val="auto"/>
                <w:highlight w:val="none"/>
              </w:rPr>
            </w:pPr>
            <w:r>
              <w:rPr>
                <w:rFonts w:hint="eastAsia"/>
                <w:color w:val="auto"/>
                <w:highlight w:val="none"/>
              </w:rPr>
              <w:t>1.7.1</w:t>
            </w:r>
          </w:p>
        </w:tc>
        <w:tc>
          <w:tcPr>
            <w:tcW w:w="1763" w:type="pct"/>
            <w:vAlign w:val="center"/>
          </w:tcPr>
          <w:p>
            <w:pPr>
              <w:jc w:val="center"/>
              <w:rPr>
                <w:color w:val="auto"/>
                <w:highlight w:val="none"/>
              </w:rPr>
            </w:pPr>
            <w:r>
              <w:rPr>
                <w:rFonts w:hint="eastAsia"/>
                <w:color w:val="auto"/>
                <w:highlight w:val="none"/>
              </w:rPr>
              <w:t>运维方式</w:t>
            </w:r>
          </w:p>
        </w:tc>
        <w:tc>
          <w:tcPr>
            <w:tcW w:w="2608" w:type="pct"/>
          </w:tcPr>
          <w:p>
            <w:pPr>
              <w:rPr>
                <w:color w:val="auto"/>
                <w:highlight w:val="none"/>
              </w:rPr>
            </w:pPr>
            <w:r>
              <w:rPr>
                <w:rFonts w:hint="eastAsia"/>
                <w:color w:val="auto"/>
                <w:highlight w:val="none"/>
              </w:rPr>
              <w:t>运维方式：通过国密浏览器可直接访问运维资产，无需调用本地运维工具或安装其他插件，可以看到所有授权给自己的设备帐号的树状列表，选中对应的运维资产可发起运维会话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trPr>
        <w:tc>
          <w:tcPr>
            <w:tcW w:w="627" w:type="pct"/>
            <w:vAlign w:val="center"/>
          </w:tcPr>
          <w:p>
            <w:pPr>
              <w:jc w:val="center"/>
              <w:rPr>
                <w:color w:val="auto"/>
                <w:highlight w:val="none"/>
              </w:rPr>
            </w:pPr>
            <w:r>
              <w:rPr>
                <w:rFonts w:hint="eastAsia"/>
                <w:color w:val="auto"/>
                <w:highlight w:val="none"/>
              </w:rPr>
              <w:t>1.7.2</w:t>
            </w:r>
          </w:p>
        </w:tc>
        <w:tc>
          <w:tcPr>
            <w:tcW w:w="1763" w:type="pct"/>
            <w:vAlign w:val="center"/>
          </w:tcPr>
          <w:p>
            <w:pPr>
              <w:jc w:val="center"/>
              <w:rPr>
                <w:color w:val="auto"/>
                <w:highlight w:val="none"/>
              </w:rPr>
            </w:pPr>
            <w:r>
              <w:rPr>
                <w:rFonts w:hint="eastAsia"/>
                <w:color w:val="auto"/>
                <w:highlight w:val="none"/>
              </w:rPr>
              <w:t>运维工作台</w:t>
            </w:r>
          </w:p>
        </w:tc>
        <w:tc>
          <w:tcPr>
            <w:tcW w:w="2608" w:type="pct"/>
          </w:tcPr>
          <w:p>
            <w:pPr>
              <w:rPr>
                <w:color w:val="auto"/>
                <w:highlight w:val="none"/>
              </w:rPr>
            </w:pPr>
            <w:r>
              <w:rPr>
                <w:rFonts w:hint="eastAsia"/>
                <w:color w:val="auto"/>
                <w:highlight w:val="none"/>
              </w:rPr>
              <w:t>运维工作台：在国产化环境下需要支持展示当前用户可发起的流程工单类型，以及待处理、已处理、我发起、与我相关的流程工单，并查看流程工单的详细信息和当前流转节点，可进行工单审批、处理。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0" w:hRule="atLeast"/>
        </w:trPr>
        <w:tc>
          <w:tcPr>
            <w:tcW w:w="627" w:type="pct"/>
            <w:vAlign w:val="center"/>
          </w:tcPr>
          <w:p>
            <w:pPr>
              <w:jc w:val="center"/>
              <w:rPr>
                <w:color w:val="auto"/>
                <w:highlight w:val="none"/>
              </w:rPr>
            </w:pPr>
            <w:r>
              <w:rPr>
                <w:rFonts w:hint="eastAsia"/>
                <w:color w:val="auto"/>
                <w:highlight w:val="none"/>
              </w:rPr>
              <w:t>1.7.3</w:t>
            </w:r>
          </w:p>
        </w:tc>
        <w:tc>
          <w:tcPr>
            <w:tcW w:w="1763" w:type="pct"/>
            <w:vAlign w:val="center"/>
          </w:tcPr>
          <w:p>
            <w:pPr>
              <w:jc w:val="center"/>
              <w:rPr>
                <w:color w:val="auto"/>
                <w:highlight w:val="none"/>
              </w:rPr>
            </w:pPr>
            <w:r>
              <w:rPr>
                <w:rFonts w:hint="eastAsia"/>
                <w:color w:val="auto"/>
                <w:highlight w:val="none"/>
              </w:rPr>
              <w:t>系统公告</w:t>
            </w:r>
          </w:p>
        </w:tc>
        <w:tc>
          <w:tcPr>
            <w:tcW w:w="2608" w:type="pct"/>
          </w:tcPr>
          <w:p>
            <w:pPr>
              <w:rPr>
                <w:color w:val="auto"/>
                <w:highlight w:val="none"/>
              </w:rPr>
            </w:pPr>
            <w:r>
              <w:rPr>
                <w:rFonts w:hint="eastAsia"/>
                <w:color w:val="auto"/>
                <w:highlight w:val="none"/>
              </w:rPr>
              <w:t>系统公告：在国产化环境下需要支持管理员可通过系统公告发布各类通知、公告或重要信息，例如系统维护通知、系统升级等内容。将重要公告弹窗或发布在信息区显示，确保用户可以第一时间看到关键信息，避免遗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27" w:type="pct"/>
            <w:vAlign w:val="center"/>
          </w:tcPr>
          <w:p>
            <w:pPr>
              <w:jc w:val="center"/>
              <w:rPr>
                <w:color w:val="auto"/>
                <w:highlight w:val="none"/>
              </w:rPr>
            </w:pPr>
            <w:r>
              <w:rPr>
                <w:rFonts w:hint="eastAsia"/>
                <w:color w:val="auto"/>
                <w:highlight w:val="none"/>
              </w:rPr>
              <w:t>1.7.4</w:t>
            </w:r>
          </w:p>
        </w:tc>
        <w:tc>
          <w:tcPr>
            <w:tcW w:w="1763" w:type="pct"/>
            <w:vAlign w:val="center"/>
          </w:tcPr>
          <w:p>
            <w:pPr>
              <w:jc w:val="center"/>
              <w:rPr>
                <w:color w:val="auto"/>
                <w:highlight w:val="none"/>
              </w:rPr>
            </w:pPr>
            <w:r>
              <w:rPr>
                <w:rFonts w:hint="eastAsia"/>
                <w:color w:val="auto"/>
                <w:highlight w:val="none"/>
              </w:rPr>
              <w:t>设备组管理</w:t>
            </w:r>
          </w:p>
        </w:tc>
        <w:tc>
          <w:tcPr>
            <w:tcW w:w="2608" w:type="pct"/>
          </w:tcPr>
          <w:p>
            <w:pPr>
              <w:rPr>
                <w:color w:val="auto"/>
                <w:highlight w:val="none"/>
              </w:rPr>
            </w:pPr>
            <w:r>
              <w:rPr>
                <w:rFonts w:hint="eastAsia"/>
                <w:color w:val="auto"/>
                <w:highlight w:val="none"/>
              </w:rPr>
              <w:t>设备组管理：在国产化环境下需要支持按照系统、公司等方式对运维设备进行分组管理，展示设备组和组织机构的从属关系，以及设备组下的设备信息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27" w:type="pct"/>
            <w:vAlign w:val="center"/>
          </w:tcPr>
          <w:p>
            <w:pPr>
              <w:jc w:val="center"/>
              <w:rPr>
                <w:color w:val="auto"/>
                <w:highlight w:val="none"/>
              </w:rPr>
            </w:pPr>
            <w:r>
              <w:rPr>
                <w:rFonts w:hint="eastAsia"/>
                <w:color w:val="auto"/>
                <w:highlight w:val="none"/>
              </w:rPr>
              <w:t>1.7.5</w:t>
            </w:r>
          </w:p>
        </w:tc>
        <w:tc>
          <w:tcPr>
            <w:tcW w:w="1763" w:type="pct"/>
            <w:vAlign w:val="center"/>
          </w:tcPr>
          <w:p>
            <w:pPr>
              <w:jc w:val="center"/>
              <w:rPr>
                <w:color w:val="auto"/>
                <w:highlight w:val="none"/>
              </w:rPr>
            </w:pPr>
            <w:r>
              <w:rPr>
                <w:rFonts w:hint="eastAsia"/>
                <w:color w:val="auto"/>
                <w:highlight w:val="none"/>
              </w:rPr>
              <w:t>设备管理</w:t>
            </w:r>
          </w:p>
        </w:tc>
        <w:tc>
          <w:tcPr>
            <w:tcW w:w="2608" w:type="pct"/>
          </w:tcPr>
          <w:p>
            <w:pPr>
              <w:rPr>
                <w:color w:val="auto"/>
                <w:highlight w:val="none"/>
              </w:rPr>
            </w:pPr>
            <w:r>
              <w:rPr>
                <w:rFonts w:hint="eastAsia"/>
                <w:color w:val="auto"/>
                <w:highlight w:val="none"/>
              </w:rPr>
              <w:t>设备管理：在国产化环境下需要支持维护服务器、虚拟机、交换机等设备信息，包括设备名称、IP地址、设备组等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27" w:type="pct"/>
            <w:vAlign w:val="center"/>
          </w:tcPr>
          <w:p>
            <w:pPr>
              <w:jc w:val="center"/>
              <w:rPr>
                <w:color w:val="auto"/>
                <w:highlight w:val="none"/>
              </w:rPr>
            </w:pPr>
            <w:r>
              <w:rPr>
                <w:rFonts w:hint="eastAsia"/>
                <w:color w:val="auto"/>
                <w:highlight w:val="none"/>
              </w:rPr>
              <w:t>1.7.6</w:t>
            </w:r>
          </w:p>
        </w:tc>
        <w:tc>
          <w:tcPr>
            <w:tcW w:w="1763" w:type="pct"/>
            <w:vAlign w:val="center"/>
          </w:tcPr>
          <w:p>
            <w:pPr>
              <w:jc w:val="center"/>
              <w:rPr>
                <w:color w:val="auto"/>
                <w:highlight w:val="none"/>
              </w:rPr>
            </w:pPr>
            <w:r>
              <w:rPr>
                <w:rFonts w:hint="eastAsia"/>
                <w:color w:val="auto"/>
                <w:highlight w:val="none"/>
              </w:rPr>
              <w:t>账号管理</w:t>
            </w:r>
          </w:p>
        </w:tc>
        <w:tc>
          <w:tcPr>
            <w:tcW w:w="2608" w:type="pct"/>
          </w:tcPr>
          <w:p>
            <w:pPr>
              <w:rPr>
                <w:color w:val="auto"/>
                <w:highlight w:val="none"/>
              </w:rPr>
            </w:pPr>
            <w:r>
              <w:rPr>
                <w:rFonts w:hint="eastAsia"/>
                <w:color w:val="auto"/>
                <w:highlight w:val="none"/>
              </w:rPr>
              <w:t>账号管理：在国产化环境下需要支持维护操作系统、数据库等账号信息，包括账号类型、账号端口、账号名称、账号密码、所属设备等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27" w:type="pct"/>
            <w:vAlign w:val="center"/>
          </w:tcPr>
          <w:p>
            <w:pPr>
              <w:jc w:val="center"/>
              <w:rPr>
                <w:color w:val="auto"/>
                <w:highlight w:val="none"/>
              </w:rPr>
            </w:pPr>
            <w:r>
              <w:rPr>
                <w:rFonts w:hint="eastAsia"/>
                <w:color w:val="auto"/>
                <w:highlight w:val="none"/>
              </w:rPr>
              <w:t>1.7.7</w:t>
            </w:r>
          </w:p>
        </w:tc>
        <w:tc>
          <w:tcPr>
            <w:tcW w:w="1763" w:type="pct"/>
            <w:vAlign w:val="center"/>
          </w:tcPr>
          <w:p>
            <w:pPr>
              <w:jc w:val="center"/>
              <w:rPr>
                <w:color w:val="auto"/>
                <w:highlight w:val="none"/>
              </w:rPr>
            </w:pPr>
            <w:r>
              <w:rPr>
                <w:rFonts w:hint="eastAsia"/>
                <w:color w:val="auto"/>
                <w:highlight w:val="none"/>
              </w:rPr>
              <w:t>账号有效性检查</w:t>
            </w:r>
          </w:p>
        </w:tc>
        <w:tc>
          <w:tcPr>
            <w:tcW w:w="2608" w:type="pct"/>
          </w:tcPr>
          <w:p>
            <w:pPr>
              <w:rPr>
                <w:color w:val="auto"/>
                <w:highlight w:val="none"/>
              </w:rPr>
            </w:pPr>
            <w:r>
              <w:rPr>
                <w:rFonts w:hint="eastAsia"/>
                <w:color w:val="auto"/>
                <w:highlight w:val="none"/>
              </w:rPr>
              <w:t>账号有效性检查：在国产化环境下需要支持维批量针对账号进行密码有效性、账号连通性进行检查，检查结果可导出，需要支持国产操作系统账号的检查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trPr>
        <w:tc>
          <w:tcPr>
            <w:tcW w:w="627" w:type="pct"/>
            <w:vAlign w:val="center"/>
          </w:tcPr>
          <w:p>
            <w:pPr>
              <w:jc w:val="center"/>
              <w:rPr>
                <w:color w:val="auto"/>
                <w:highlight w:val="none"/>
              </w:rPr>
            </w:pPr>
            <w:r>
              <w:rPr>
                <w:rFonts w:hint="eastAsia"/>
                <w:color w:val="auto"/>
                <w:highlight w:val="none"/>
              </w:rPr>
              <w:t>1.7.8</w:t>
            </w:r>
          </w:p>
        </w:tc>
        <w:tc>
          <w:tcPr>
            <w:tcW w:w="1763" w:type="pct"/>
            <w:vAlign w:val="center"/>
          </w:tcPr>
          <w:p>
            <w:pPr>
              <w:jc w:val="center"/>
              <w:rPr>
                <w:color w:val="auto"/>
                <w:highlight w:val="none"/>
              </w:rPr>
            </w:pPr>
            <w:r>
              <w:rPr>
                <w:rFonts w:hint="eastAsia"/>
                <w:color w:val="auto"/>
                <w:highlight w:val="none"/>
              </w:rPr>
              <w:t>账号密码代填</w:t>
            </w:r>
          </w:p>
        </w:tc>
        <w:tc>
          <w:tcPr>
            <w:tcW w:w="2608" w:type="pct"/>
          </w:tcPr>
          <w:p>
            <w:pPr>
              <w:rPr>
                <w:color w:val="auto"/>
                <w:highlight w:val="none"/>
              </w:rPr>
            </w:pPr>
            <w:r>
              <w:rPr>
                <w:rFonts w:hint="eastAsia"/>
                <w:color w:val="auto"/>
                <w:highlight w:val="none"/>
              </w:rPr>
              <w:t>账号密码代填：在国产化环境下需要支持对运维资产的账号或密码进行代填，在登录资产时自动代填资产账号密码，运维人员无需知道服务器帐号及密码，避免账号密码共享、泄露、篡改等问题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trPr>
        <w:tc>
          <w:tcPr>
            <w:tcW w:w="627" w:type="pct"/>
            <w:vAlign w:val="center"/>
          </w:tcPr>
          <w:p>
            <w:pPr>
              <w:jc w:val="center"/>
              <w:rPr>
                <w:color w:val="auto"/>
                <w:highlight w:val="none"/>
              </w:rPr>
            </w:pPr>
            <w:r>
              <w:rPr>
                <w:rFonts w:hint="eastAsia"/>
                <w:color w:val="auto"/>
                <w:highlight w:val="none"/>
              </w:rPr>
              <w:t>1.7.9</w:t>
            </w:r>
          </w:p>
        </w:tc>
        <w:tc>
          <w:tcPr>
            <w:tcW w:w="1763" w:type="pct"/>
            <w:vAlign w:val="center"/>
          </w:tcPr>
          <w:p>
            <w:pPr>
              <w:jc w:val="center"/>
              <w:rPr>
                <w:color w:val="auto"/>
                <w:highlight w:val="none"/>
              </w:rPr>
            </w:pPr>
            <w:r>
              <w:rPr>
                <w:rFonts w:hint="eastAsia"/>
                <w:color w:val="auto"/>
                <w:highlight w:val="none"/>
              </w:rPr>
              <w:t>账号自动改密</w:t>
            </w:r>
          </w:p>
        </w:tc>
        <w:tc>
          <w:tcPr>
            <w:tcW w:w="2608" w:type="pct"/>
          </w:tcPr>
          <w:p>
            <w:pPr>
              <w:rPr>
                <w:color w:val="auto"/>
                <w:highlight w:val="none"/>
              </w:rPr>
            </w:pPr>
            <w:r>
              <w:rPr>
                <w:rFonts w:hint="eastAsia"/>
                <w:color w:val="auto"/>
                <w:highlight w:val="none"/>
              </w:rPr>
              <w:t>账号自动改密：在国产化环境下需要支持</w:t>
            </w:r>
            <w:r>
              <w:rPr>
                <w:rFonts w:hint="eastAsia"/>
                <w:color w:val="auto"/>
                <w:kern w:val="0"/>
                <w:sz w:val="20"/>
                <w:highlight w:val="none"/>
              </w:rPr>
              <w:t>SSH、telnet账号类型</w:t>
            </w:r>
            <w:r>
              <w:rPr>
                <w:rFonts w:hint="eastAsia"/>
                <w:color w:val="auto"/>
                <w:highlight w:val="none"/>
              </w:rPr>
              <w:t>自动改密，设置改密账号范围、改密周期、执行时间，以及密码复杂度，按计划自动改密并展示结果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trPr>
        <w:tc>
          <w:tcPr>
            <w:tcW w:w="627" w:type="pct"/>
            <w:vAlign w:val="center"/>
          </w:tcPr>
          <w:p>
            <w:pPr>
              <w:jc w:val="center"/>
              <w:rPr>
                <w:color w:val="auto"/>
                <w:highlight w:val="none"/>
              </w:rPr>
            </w:pPr>
            <w:r>
              <w:rPr>
                <w:rFonts w:hint="eastAsia"/>
                <w:color w:val="auto"/>
                <w:highlight w:val="none"/>
              </w:rPr>
              <w:t>1.7.10</w:t>
            </w:r>
          </w:p>
        </w:tc>
        <w:tc>
          <w:tcPr>
            <w:tcW w:w="1763" w:type="pct"/>
            <w:vAlign w:val="center"/>
          </w:tcPr>
          <w:p>
            <w:pPr>
              <w:jc w:val="center"/>
              <w:rPr>
                <w:color w:val="auto"/>
                <w:highlight w:val="none"/>
              </w:rPr>
            </w:pPr>
            <w:r>
              <w:rPr>
                <w:rFonts w:hint="eastAsia"/>
                <w:color w:val="auto"/>
                <w:highlight w:val="none"/>
              </w:rPr>
              <w:t>账号密码备份</w:t>
            </w:r>
          </w:p>
        </w:tc>
        <w:tc>
          <w:tcPr>
            <w:tcW w:w="2608" w:type="pct"/>
          </w:tcPr>
          <w:p>
            <w:pPr>
              <w:rPr>
                <w:color w:val="auto"/>
                <w:highlight w:val="none"/>
              </w:rPr>
            </w:pPr>
            <w:r>
              <w:rPr>
                <w:rFonts w:hint="eastAsia"/>
                <w:color w:val="auto"/>
                <w:highlight w:val="none"/>
              </w:rPr>
              <w:t>账号密码备份：在国产化环境下需要支持可选择需要备份账号的范围，形成加密的备份文件，并生成密码证书，通过专用工具载入密码证书对账号密码备份数据进行解密，保障运维账号的安全性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trPr>
        <w:tc>
          <w:tcPr>
            <w:tcW w:w="627" w:type="pct"/>
            <w:vAlign w:val="center"/>
          </w:tcPr>
          <w:p>
            <w:pPr>
              <w:jc w:val="center"/>
              <w:rPr>
                <w:color w:val="auto"/>
                <w:highlight w:val="none"/>
              </w:rPr>
            </w:pPr>
            <w:r>
              <w:rPr>
                <w:rFonts w:hint="eastAsia"/>
                <w:color w:val="auto"/>
                <w:highlight w:val="none"/>
              </w:rPr>
              <w:t>1.7.11</w:t>
            </w:r>
          </w:p>
        </w:tc>
        <w:tc>
          <w:tcPr>
            <w:tcW w:w="1763" w:type="pct"/>
            <w:vAlign w:val="center"/>
          </w:tcPr>
          <w:p>
            <w:pPr>
              <w:jc w:val="center"/>
              <w:rPr>
                <w:color w:val="auto"/>
                <w:highlight w:val="none"/>
              </w:rPr>
            </w:pPr>
            <w:r>
              <w:rPr>
                <w:rFonts w:hint="eastAsia"/>
                <w:color w:val="auto"/>
                <w:highlight w:val="none"/>
              </w:rPr>
              <w:t>自定义流程</w:t>
            </w:r>
          </w:p>
        </w:tc>
        <w:tc>
          <w:tcPr>
            <w:tcW w:w="2608" w:type="pct"/>
          </w:tcPr>
          <w:p>
            <w:pPr>
              <w:rPr>
                <w:color w:val="auto"/>
                <w:highlight w:val="none"/>
              </w:rPr>
            </w:pPr>
            <w:r>
              <w:rPr>
                <w:rFonts w:hint="eastAsia"/>
                <w:color w:val="auto"/>
                <w:highlight w:val="none"/>
              </w:rPr>
              <w:t>自定义流程：在国产化环境下需要支持流程自定义，根据运维管理需要以图形拖拽的方式设置流程节点，配置节点需要提交的表单字段、节点的审核人/角色，以及设置流程分支、流程结束条件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trPr>
        <w:tc>
          <w:tcPr>
            <w:tcW w:w="627" w:type="pct"/>
            <w:vAlign w:val="center"/>
          </w:tcPr>
          <w:p>
            <w:pPr>
              <w:jc w:val="center"/>
              <w:rPr>
                <w:color w:val="auto"/>
                <w:highlight w:val="none"/>
              </w:rPr>
            </w:pPr>
            <w:r>
              <w:rPr>
                <w:rFonts w:hint="eastAsia"/>
                <w:color w:val="auto"/>
                <w:highlight w:val="none"/>
              </w:rPr>
              <w:t>1.7.12</w:t>
            </w:r>
          </w:p>
        </w:tc>
        <w:tc>
          <w:tcPr>
            <w:tcW w:w="1763" w:type="pct"/>
            <w:vAlign w:val="center"/>
          </w:tcPr>
          <w:p>
            <w:pPr>
              <w:jc w:val="center"/>
              <w:rPr>
                <w:color w:val="auto"/>
                <w:highlight w:val="none"/>
              </w:rPr>
            </w:pPr>
            <w:r>
              <w:rPr>
                <w:rFonts w:hint="eastAsia"/>
                <w:color w:val="auto"/>
                <w:highlight w:val="none"/>
              </w:rPr>
              <w:t>流程模板</w:t>
            </w:r>
          </w:p>
        </w:tc>
        <w:tc>
          <w:tcPr>
            <w:tcW w:w="2608" w:type="pct"/>
          </w:tcPr>
          <w:p>
            <w:pPr>
              <w:rPr>
                <w:color w:val="auto"/>
                <w:highlight w:val="none"/>
              </w:rPr>
            </w:pPr>
            <w:r>
              <w:rPr>
                <w:rFonts w:hint="eastAsia"/>
                <w:color w:val="auto"/>
                <w:highlight w:val="none"/>
              </w:rPr>
              <w:t>流程模板：在国产化环境下需要支持预置权限申请和数据库脚本执行流程模板，满足问题处理、服务请求、升级变更、运维巡检、权限申请等日常运维场景。并支持对流程模板进行调整和修改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27" w:type="pct"/>
            <w:vAlign w:val="center"/>
          </w:tcPr>
          <w:p>
            <w:pPr>
              <w:jc w:val="center"/>
              <w:rPr>
                <w:color w:val="auto"/>
                <w:highlight w:val="none"/>
              </w:rPr>
            </w:pPr>
            <w:r>
              <w:rPr>
                <w:rFonts w:hint="eastAsia"/>
                <w:color w:val="auto"/>
                <w:highlight w:val="none"/>
              </w:rPr>
              <w:t>1.7.13</w:t>
            </w:r>
          </w:p>
        </w:tc>
        <w:tc>
          <w:tcPr>
            <w:tcW w:w="1763" w:type="pct"/>
            <w:vAlign w:val="center"/>
          </w:tcPr>
          <w:p>
            <w:pPr>
              <w:jc w:val="center"/>
              <w:rPr>
                <w:color w:val="auto"/>
                <w:highlight w:val="none"/>
              </w:rPr>
            </w:pPr>
            <w:r>
              <w:rPr>
                <w:rFonts w:hint="eastAsia"/>
                <w:color w:val="auto"/>
                <w:highlight w:val="none"/>
              </w:rPr>
              <w:t>流程发布</w:t>
            </w:r>
          </w:p>
        </w:tc>
        <w:tc>
          <w:tcPr>
            <w:tcW w:w="2608" w:type="pct"/>
          </w:tcPr>
          <w:p>
            <w:pPr>
              <w:rPr>
                <w:color w:val="auto"/>
                <w:highlight w:val="none"/>
              </w:rPr>
            </w:pPr>
            <w:r>
              <w:rPr>
                <w:rFonts w:hint="eastAsia"/>
                <w:color w:val="auto"/>
                <w:highlight w:val="none"/>
              </w:rPr>
              <w:t>流程发布：在国产化环境下需要支持维护流程版本，记录每次更新发布的流程版本，新版本发布后，在途运维流程使用旧版，后续发起流程使用新版本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27" w:type="pct"/>
            <w:vAlign w:val="center"/>
          </w:tcPr>
          <w:p>
            <w:pPr>
              <w:jc w:val="center"/>
              <w:rPr>
                <w:color w:val="auto"/>
                <w:highlight w:val="none"/>
              </w:rPr>
            </w:pPr>
            <w:r>
              <w:rPr>
                <w:rFonts w:hint="eastAsia"/>
                <w:color w:val="auto"/>
                <w:highlight w:val="none"/>
              </w:rPr>
              <w:t>1.7.14</w:t>
            </w:r>
          </w:p>
        </w:tc>
        <w:tc>
          <w:tcPr>
            <w:tcW w:w="1763" w:type="pct"/>
            <w:vAlign w:val="center"/>
          </w:tcPr>
          <w:p>
            <w:pPr>
              <w:jc w:val="center"/>
              <w:rPr>
                <w:color w:val="auto"/>
                <w:highlight w:val="none"/>
              </w:rPr>
            </w:pPr>
            <w:r>
              <w:rPr>
                <w:rFonts w:hint="eastAsia"/>
                <w:color w:val="auto"/>
                <w:highlight w:val="none"/>
              </w:rPr>
              <w:t>流程权限</w:t>
            </w:r>
          </w:p>
        </w:tc>
        <w:tc>
          <w:tcPr>
            <w:tcW w:w="2608" w:type="pct"/>
          </w:tcPr>
          <w:p>
            <w:pPr>
              <w:rPr>
                <w:color w:val="auto"/>
                <w:highlight w:val="none"/>
              </w:rPr>
            </w:pPr>
            <w:r>
              <w:rPr>
                <w:rFonts w:hint="eastAsia"/>
                <w:color w:val="auto"/>
                <w:highlight w:val="none"/>
              </w:rPr>
              <w:t>流程权限：在国产化环境下需要支持可按角色、机构、用户设置发起、访问不同运维流程的权限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27" w:type="pct"/>
            <w:vAlign w:val="center"/>
          </w:tcPr>
          <w:p>
            <w:pPr>
              <w:jc w:val="center"/>
              <w:rPr>
                <w:color w:val="auto"/>
                <w:highlight w:val="none"/>
              </w:rPr>
            </w:pPr>
            <w:r>
              <w:rPr>
                <w:rFonts w:hint="eastAsia"/>
                <w:color w:val="auto"/>
                <w:highlight w:val="none"/>
              </w:rPr>
              <w:t>1.7.15</w:t>
            </w:r>
          </w:p>
        </w:tc>
        <w:tc>
          <w:tcPr>
            <w:tcW w:w="1763" w:type="pct"/>
            <w:vAlign w:val="center"/>
          </w:tcPr>
          <w:p>
            <w:pPr>
              <w:jc w:val="center"/>
              <w:rPr>
                <w:color w:val="auto"/>
                <w:highlight w:val="none"/>
              </w:rPr>
            </w:pPr>
            <w:r>
              <w:rPr>
                <w:rFonts w:hint="eastAsia"/>
                <w:color w:val="auto"/>
                <w:highlight w:val="none"/>
              </w:rPr>
              <w:t>工作委托</w:t>
            </w:r>
          </w:p>
        </w:tc>
        <w:tc>
          <w:tcPr>
            <w:tcW w:w="2608" w:type="pct"/>
          </w:tcPr>
          <w:p>
            <w:pPr>
              <w:rPr>
                <w:color w:val="auto"/>
                <w:highlight w:val="none"/>
              </w:rPr>
            </w:pPr>
            <w:r>
              <w:rPr>
                <w:rFonts w:hint="eastAsia"/>
                <w:color w:val="auto"/>
                <w:highlight w:val="none"/>
              </w:rPr>
              <w:t>工作委托：在国产化环境下需要实现运维人员工作权限委托处理，在委托时间内被委托人拥有委托人的相关权限，超过委托时间段后，被委托的权限将自动收回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trPr>
        <w:tc>
          <w:tcPr>
            <w:tcW w:w="627" w:type="pct"/>
            <w:vAlign w:val="center"/>
          </w:tcPr>
          <w:p>
            <w:pPr>
              <w:jc w:val="center"/>
              <w:rPr>
                <w:color w:val="auto"/>
                <w:highlight w:val="none"/>
              </w:rPr>
            </w:pPr>
            <w:r>
              <w:rPr>
                <w:rFonts w:hint="eastAsia"/>
                <w:color w:val="auto"/>
                <w:highlight w:val="none"/>
              </w:rPr>
              <w:t>1.7.16</w:t>
            </w:r>
          </w:p>
        </w:tc>
        <w:tc>
          <w:tcPr>
            <w:tcW w:w="1763" w:type="pct"/>
            <w:vAlign w:val="center"/>
          </w:tcPr>
          <w:p>
            <w:pPr>
              <w:jc w:val="center"/>
              <w:rPr>
                <w:color w:val="auto"/>
                <w:highlight w:val="none"/>
              </w:rPr>
            </w:pPr>
            <w:r>
              <w:rPr>
                <w:rFonts w:hint="eastAsia"/>
                <w:color w:val="auto"/>
                <w:highlight w:val="none"/>
              </w:rPr>
              <w:t>自由授权</w:t>
            </w:r>
          </w:p>
        </w:tc>
        <w:tc>
          <w:tcPr>
            <w:tcW w:w="2608" w:type="pct"/>
          </w:tcPr>
          <w:p>
            <w:pPr>
              <w:rPr>
                <w:color w:val="auto"/>
                <w:highlight w:val="none"/>
              </w:rPr>
            </w:pPr>
            <w:r>
              <w:rPr>
                <w:rFonts w:hint="eastAsia"/>
                <w:color w:val="auto"/>
                <w:highlight w:val="none"/>
              </w:rPr>
              <w:t>自由授权：在国产化环境下需要支持针对长期固定权限，可配置用户与设备、账号的权限关系，所配置的用户永久获得该设备账号的访问权限，可随时取消授权，取消后运维用户不再拥有该资产的访问权限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0" w:hRule="atLeast"/>
        </w:trPr>
        <w:tc>
          <w:tcPr>
            <w:tcW w:w="627" w:type="pct"/>
            <w:vAlign w:val="center"/>
          </w:tcPr>
          <w:p>
            <w:pPr>
              <w:jc w:val="center"/>
              <w:rPr>
                <w:color w:val="auto"/>
                <w:highlight w:val="none"/>
              </w:rPr>
            </w:pPr>
            <w:r>
              <w:rPr>
                <w:rFonts w:hint="eastAsia"/>
                <w:color w:val="auto"/>
                <w:highlight w:val="none"/>
              </w:rPr>
              <w:t>1.7.17</w:t>
            </w:r>
          </w:p>
        </w:tc>
        <w:tc>
          <w:tcPr>
            <w:tcW w:w="1763" w:type="pct"/>
            <w:vAlign w:val="center"/>
          </w:tcPr>
          <w:p>
            <w:pPr>
              <w:jc w:val="center"/>
              <w:rPr>
                <w:color w:val="auto"/>
                <w:highlight w:val="none"/>
              </w:rPr>
            </w:pPr>
            <w:r>
              <w:rPr>
                <w:rFonts w:hint="eastAsia"/>
                <w:color w:val="auto"/>
                <w:highlight w:val="none"/>
              </w:rPr>
              <w:t>工单授权</w:t>
            </w:r>
          </w:p>
        </w:tc>
        <w:tc>
          <w:tcPr>
            <w:tcW w:w="2608" w:type="pct"/>
          </w:tcPr>
          <w:p>
            <w:pPr>
              <w:rPr>
                <w:color w:val="auto"/>
                <w:highlight w:val="none"/>
              </w:rPr>
            </w:pPr>
            <w:r>
              <w:rPr>
                <w:rFonts w:hint="eastAsia"/>
                <w:color w:val="auto"/>
                <w:highlight w:val="none"/>
              </w:rPr>
              <w:t>工单授权：在国产化环境下需要支持针对系统后台运维、数据库运维等场景，结合运维流程，通过工单申请运维执行人、需要访问的设备和账号、以及运维时长，经过工单审批权限自动开放给运维执行人，关闭工单或超过运维时长自动回收权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trPr>
        <w:tc>
          <w:tcPr>
            <w:tcW w:w="627" w:type="pct"/>
            <w:vAlign w:val="center"/>
          </w:tcPr>
          <w:p>
            <w:pPr>
              <w:jc w:val="center"/>
              <w:rPr>
                <w:color w:val="auto"/>
                <w:highlight w:val="none"/>
              </w:rPr>
            </w:pPr>
            <w:r>
              <w:rPr>
                <w:rFonts w:hint="eastAsia"/>
                <w:color w:val="auto"/>
                <w:highlight w:val="none"/>
              </w:rPr>
              <w:t>1.7.18</w:t>
            </w:r>
          </w:p>
        </w:tc>
        <w:tc>
          <w:tcPr>
            <w:tcW w:w="1763" w:type="pct"/>
            <w:vAlign w:val="center"/>
          </w:tcPr>
          <w:p>
            <w:pPr>
              <w:jc w:val="center"/>
              <w:rPr>
                <w:color w:val="auto"/>
                <w:highlight w:val="none"/>
              </w:rPr>
            </w:pPr>
            <w:r>
              <w:rPr>
                <w:rFonts w:hint="eastAsia"/>
                <w:color w:val="auto"/>
                <w:highlight w:val="none"/>
              </w:rPr>
              <w:t>策略授权</w:t>
            </w:r>
          </w:p>
        </w:tc>
        <w:tc>
          <w:tcPr>
            <w:tcW w:w="2608" w:type="pct"/>
          </w:tcPr>
          <w:p>
            <w:pPr>
              <w:rPr>
                <w:color w:val="auto"/>
                <w:highlight w:val="none"/>
              </w:rPr>
            </w:pPr>
            <w:r>
              <w:rPr>
                <w:rFonts w:hint="eastAsia"/>
                <w:color w:val="auto"/>
                <w:highlight w:val="none"/>
              </w:rPr>
              <w:t>策略授权：在国产化环境下需要支持针对组织机构负责特定设备运维的情况，可设置组</w:t>
            </w:r>
            <w:r>
              <w:rPr>
                <w:rFonts w:hint="eastAsia"/>
                <w:color w:val="auto"/>
                <w:kern w:val="0"/>
                <w:sz w:val="20"/>
                <w:highlight w:val="none"/>
              </w:rPr>
              <w:t>所属部门与资产组</w:t>
            </w:r>
            <w:r>
              <w:rPr>
                <w:rFonts w:hint="eastAsia"/>
                <w:color w:val="auto"/>
                <w:highlight w:val="none"/>
              </w:rPr>
              <w:t>的权限关系，</w:t>
            </w:r>
            <w:r>
              <w:rPr>
                <w:rFonts w:hint="eastAsia"/>
                <w:color w:val="auto"/>
                <w:kern w:val="0"/>
                <w:sz w:val="20"/>
                <w:highlight w:val="none"/>
              </w:rPr>
              <w:t>所属部门</w:t>
            </w:r>
            <w:r>
              <w:rPr>
                <w:rFonts w:hint="eastAsia"/>
                <w:color w:val="auto"/>
                <w:highlight w:val="none"/>
              </w:rPr>
              <w:t>下的用户具有资产、账号访问权限，部门新增用户自动继承权限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trPr>
        <w:tc>
          <w:tcPr>
            <w:tcW w:w="627" w:type="pct"/>
            <w:vAlign w:val="center"/>
          </w:tcPr>
          <w:p>
            <w:pPr>
              <w:jc w:val="center"/>
              <w:rPr>
                <w:color w:val="auto"/>
                <w:highlight w:val="none"/>
              </w:rPr>
            </w:pPr>
            <w:r>
              <w:rPr>
                <w:rFonts w:hint="eastAsia"/>
                <w:color w:val="auto"/>
                <w:highlight w:val="none"/>
              </w:rPr>
              <w:t>1.7.19</w:t>
            </w:r>
          </w:p>
        </w:tc>
        <w:tc>
          <w:tcPr>
            <w:tcW w:w="1763" w:type="pct"/>
            <w:vAlign w:val="center"/>
          </w:tcPr>
          <w:p>
            <w:pPr>
              <w:jc w:val="center"/>
              <w:rPr>
                <w:color w:val="auto"/>
                <w:highlight w:val="none"/>
              </w:rPr>
            </w:pPr>
            <w:r>
              <w:rPr>
                <w:rFonts w:hint="eastAsia"/>
                <w:color w:val="auto"/>
                <w:highlight w:val="none"/>
              </w:rPr>
              <w:t>运维权限检查</w:t>
            </w:r>
          </w:p>
        </w:tc>
        <w:tc>
          <w:tcPr>
            <w:tcW w:w="2608" w:type="pct"/>
          </w:tcPr>
          <w:p>
            <w:pPr>
              <w:rPr>
                <w:color w:val="auto"/>
                <w:highlight w:val="none"/>
              </w:rPr>
            </w:pPr>
            <w:r>
              <w:rPr>
                <w:rFonts w:hint="eastAsia"/>
                <w:color w:val="auto"/>
                <w:highlight w:val="none"/>
              </w:rPr>
              <w:t>运维权限检查：在国产化环境下需要支持针对查看当前已授权的用户、设备、账号信息以及授权方式，支持以用户维度查看授权的设备、账号信息，也支持以设备账号维度查看被授权的用户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27" w:type="pct"/>
            <w:vAlign w:val="center"/>
          </w:tcPr>
          <w:p>
            <w:pPr>
              <w:jc w:val="center"/>
              <w:rPr>
                <w:color w:val="auto"/>
                <w:highlight w:val="none"/>
              </w:rPr>
            </w:pPr>
            <w:r>
              <w:rPr>
                <w:rFonts w:hint="eastAsia"/>
                <w:color w:val="auto"/>
                <w:highlight w:val="none"/>
              </w:rPr>
              <w:t>1.7.20</w:t>
            </w:r>
          </w:p>
        </w:tc>
        <w:tc>
          <w:tcPr>
            <w:tcW w:w="1763" w:type="pct"/>
            <w:vAlign w:val="center"/>
          </w:tcPr>
          <w:p>
            <w:pPr>
              <w:jc w:val="center"/>
              <w:rPr>
                <w:color w:val="auto"/>
                <w:highlight w:val="none"/>
              </w:rPr>
            </w:pPr>
            <w:r>
              <w:rPr>
                <w:rFonts w:hint="eastAsia"/>
                <w:color w:val="auto"/>
                <w:highlight w:val="none"/>
              </w:rPr>
              <w:t>字符命令管控</w:t>
            </w:r>
          </w:p>
        </w:tc>
        <w:tc>
          <w:tcPr>
            <w:tcW w:w="2608" w:type="pct"/>
          </w:tcPr>
          <w:p>
            <w:pPr>
              <w:rPr>
                <w:color w:val="auto"/>
                <w:highlight w:val="none"/>
              </w:rPr>
            </w:pPr>
            <w:r>
              <w:rPr>
                <w:rFonts w:hint="eastAsia"/>
                <w:color w:val="auto"/>
                <w:highlight w:val="none"/>
              </w:rPr>
              <w:t>字符命令管控：在国产化环境下需要支持针对字符操作的命令进行控制，通过制定命令</w:t>
            </w:r>
            <w:r>
              <w:rPr>
                <w:rFonts w:hint="eastAsia"/>
                <w:color w:val="auto"/>
                <w:kern w:val="0"/>
                <w:sz w:val="20"/>
                <w:highlight w:val="none"/>
              </w:rPr>
              <w:t>匹配策略</w:t>
            </w:r>
            <w:r>
              <w:rPr>
                <w:rFonts w:hint="eastAsia"/>
                <w:color w:val="auto"/>
                <w:highlight w:val="none"/>
              </w:rPr>
              <w:t>实现对命令的有效管理，在触发策略后，将禁止高危敏感操作命令执行并提示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trPr>
        <w:tc>
          <w:tcPr>
            <w:tcW w:w="627" w:type="pct"/>
            <w:vAlign w:val="center"/>
          </w:tcPr>
          <w:p>
            <w:pPr>
              <w:jc w:val="center"/>
              <w:rPr>
                <w:color w:val="auto"/>
                <w:highlight w:val="none"/>
              </w:rPr>
            </w:pPr>
            <w:r>
              <w:rPr>
                <w:rFonts w:hint="eastAsia"/>
                <w:color w:val="auto"/>
                <w:highlight w:val="none"/>
              </w:rPr>
              <w:t>1.7.21</w:t>
            </w:r>
          </w:p>
        </w:tc>
        <w:tc>
          <w:tcPr>
            <w:tcW w:w="1763" w:type="pct"/>
            <w:vAlign w:val="center"/>
          </w:tcPr>
          <w:p>
            <w:pPr>
              <w:jc w:val="center"/>
              <w:rPr>
                <w:color w:val="auto"/>
                <w:highlight w:val="none"/>
              </w:rPr>
            </w:pPr>
            <w:r>
              <w:rPr>
                <w:rFonts w:hint="eastAsia"/>
                <w:color w:val="auto"/>
                <w:highlight w:val="none"/>
              </w:rPr>
              <w:t>文件传输管控</w:t>
            </w:r>
          </w:p>
        </w:tc>
        <w:tc>
          <w:tcPr>
            <w:tcW w:w="2608" w:type="pct"/>
          </w:tcPr>
          <w:p>
            <w:pPr>
              <w:rPr>
                <w:color w:val="auto"/>
                <w:highlight w:val="none"/>
              </w:rPr>
            </w:pPr>
            <w:r>
              <w:rPr>
                <w:rFonts w:hint="eastAsia"/>
                <w:color w:val="auto"/>
                <w:highlight w:val="none"/>
              </w:rPr>
              <w:t>文件传输管控：在国产化环境下需要支持</w:t>
            </w:r>
            <w:r>
              <w:rPr>
                <w:rFonts w:hint="eastAsia"/>
                <w:color w:val="auto"/>
                <w:kern w:val="0"/>
                <w:sz w:val="20"/>
                <w:highlight w:val="none"/>
              </w:rPr>
              <w:t>文件传输控制</w:t>
            </w:r>
            <w:r>
              <w:rPr>
                <w:rFonts w:hint="eastAsia"/>
                <w:color w:val="auto"/>
                <w:highlight w:val="none"/>
              </w:rPr>
              <w:t>策略，实现 FTP、SFTP、RDP文件上传下载控制，支持双向允许/禁止、允许上传禁止下载、允许下载禁止上传的细粒度控制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27" w:type="pct"/>
            <w:vAlign w:val="center"/>
          </w:tcPr>
          <w:p>
            <w:pPr>
              <w:jc w:val="center"/>
              <w:rPr>
                <w:color w:val="auto"/>
                <w:highlight w:val="none"/>
              </w:rPr>
            </w:pPr>
            <w:r>
              <w:rPr>
                <w:rFonts w:hint="eastAsia"/>
                <w:color w:val="auto"/>
                <w:highlight w:val="none"/>
              </w:rPr>
              <w:t>1.7.22</w:t>
            </w:r>
          </w:p>
        </w:tc>
        <w:tc>
          <w:tcPr>
            <w:tcW w:w="1763" w:type="pct"/>
            <w:vAlign w:val="center"/>
          </w:tcPr>
          <w:p>
            <w:pPr>
              <w:jc w:val="center"/>
              <w:rPr>
                <w:color w:val="auto"/>
                <w:highlight w:val="none"/>
              </w:rPr>
            </w:pPr>
            <w:r>
              <w:rPr>
                <w:rFonts w:hint="eastAsia"/>
                <w:color w:val="auto"/>
                <w:highlight w:val="none"/>
              </w:rPr>
              <w:t>运维二次授权</w:t>
            </w:r>
          </w:p>
        </w:tc>
        <w:tc>
          <w:tcPr>
            <w:tcW w:w="2608" w:type="pct"/>
          </w:tcPr>
          <w:p>
            <w:pPr>
              <w:rPr>
                <w:color w:val="auto"/>
                <w:highlight w:val="none"/>
              </w:rPr>
            </w:pPr>
            <w:r>
              <w:rPr>
                <w:rFonts w:hint="eastAsia"/>
                <w:color w:val="auto"/>
                <w:highlight w:val="none"/>
              </w:rPr>
              <w:t>运维二次授权：在国产化环境下需要支持对于指定的运维用户、运维资产账号在特定时间发起运维会话或使用特定命令时，需要管理人员再次审批方可继续操作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27" w:type="pct"/>
            <w:vAlign w:val="center"/>
          </w:tcPr>
          <w:p>
            <w:pPr>
              <w:jc w:val="center"/>
              <w:rPr>
                <w:color w:val="auto"/>
                <w:highlight w:val="none"/>
              </w:rPr>
            </w:pPr>
            <w:r>
              <w:rPr>
                <w:rFonts w:hint="eastAsia"/>
                <w:color w:val="auto"/>
                <w:highlight w:val="none"/>
              </w:rPr>
              <w:t>1.7.23</w:t>
            </w:r>
          </w:p>
        </w:tc>
        <w:tc>
          <w:tcPr>
            <w:tcW w:w="1763" w:type="pct"/>
            <w:vAlign w:val="center"/>
          </w:tcPr>
          <w:p>
            <w:pPr>
              <w:jc w:val="center"/>
              <w:rPr>
                <w:color w:val="auto"/>
                <w:highlight w:val="none"/>
              </w:rPr>
            </w:pPr>
            <w:r>
              <w:rPr>
                <w:rFonts w:hint="eastAsia"/>
                <w:color w:val="auto"/>
                <w:highlight w:val="none"/>
              </w:rPr>
              <w:t>日志自动备份</w:t>
            </w:r>
          </w:p>
        </w:tc>
        <w:tc>
          <w:tcPr>
            <w:tcW w:w="2608" w:type="pct"/>
          </w:tcPr>
          <w:p>
            <w:pPr>
              <w:rPr>
                <w:color w:val="auto"/>
                <w:highlight w:val="none"/>
              </w:rPr>
            </w:pPr>
            <w:r>
              <w:rPr>
                <w:rFonts w:hint="eastAsia"/>
                <w:color w:val="auto"/>
                <w:highlight w:val="none"/>
              </w:rPr>
              <w:t>日志自动备份：在国产化环境下需要支持设置日志备份计划，包括备份位置、执行频率、执行时间，将日志定期备份到FTP服务器，并记录每次备份结果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27" w:type="pct"/>
            <w:vAlign w:val="center"/>
          </w:tcPr>
          <w:p>
            <w:pPr>
              <w:jc w:val="center"/>
              <w:rPr>
                <w:color w:val="auto"/>
                <w:highlight w:val="none"/>
              </w:rPr>
            </w:pPr>
            <w:r>
              <w:rPr>
                <w:rFonts w:hint="eastAsia"/>
                <w:color w:val="auto"/>
                <w:highlight w:val="none"/>
              </w:rPr>
              <w:t>1.7.24</w:t>
            </w:r>
          </w:p>
        </w:tc>
        <w:tc>
          <w:tcPr>
            <w:tcW w:w="1763" w:type="pct"/>
            <w:vAlign w:val="center"/>
          </w:tcPr>
          <w:p>
            <w:pPr>
              <w:jc w:val="center"/>
              <w:rPr>
                <w:color w:val="auto"/>
                <w:highlight w:val="none"/>
              </w:rPr>
            </w:pPr>
            <w:r>
              <w:rPr>
                <w:rFonts w:hint="eastAsia"/>
                <w:color w:val="auto"/>
                <w:highlight w:val="none"/>
              </w:rPr>
              <w:t>日志自动清理</w:t>
            </w:r>
          </w:p>
        </w:tc>
        <w:tc>
          <w:tcPr>
            <w:tcW w:w="2608" w:type="pct"/>
          </w:tcPr>
          <w:p>
            <w:pPr>
              <w:rPr>
                <w:color w:val="auto"/>
                <w:highlight w:val="none"/>
              </w:rPr>
            </w:pPr>
            <w:r>
              <w:rPr>
                <w:rFonts w:hint="eastAsia"/>
                <w:color w:val="auto"/>
                <w:highlight w:val="none"/>
              </w:rPr>
              <w:t>日志自动清理：在国产化环境下需要支持设置日志清理计划，配置日志保留时间自动清理运维日志，防止日志占满存储空间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trPr>
        <w:tc>
          <w:tcPr>
            <w:tcW w:w="627" w:type="pct"/>
            <w:vAlign w:val="center"/>
          </w:tcPr>
          <w:p>
            <w:pPr>
              <w:jc w:val="center"/>
              <w:rPr>
                <w:color w:val="auto"/>
                <w:highlight w:val="none"/>
              </w:rPr>
            </w:pPr>
            <w:r>
              <w:rPr>
                <w:rFonts w:hint="eastAsia"/>
                <w:color w:val="auto"/>
                <w:highlight w:val="none"/>
              </w:rPr>
              <w:t>1.7.25</w:t>
            </w:r>
          </w:p>
        </w:tc>
        <w:tc>
          <w:tcPr>
            <w:tcW w:w="1763" w:type="pct"/>
            <w:vAlign w:val="center"/>
          </w:tcPr>
          <w:p>
            <w:pPr>
              <w:jc w:val="center"/>
              <w:rPr>
                <w:color w:val="auto"/>
                <w:highlight w:val="none"/>
              </w:rPr>
            </w:pPr>
            <w:r>
              <w:rPr>
                <w:rFonts w:hint="eastAsia"/>
                <w:color w:val="auto"/>
                <w:highlight w:val="none"/>
              </w:rPr>
              <w:t>字符运维审计</w:t>
            </w:r>
          </w:p>
        </w:tc>
        <w:tc>
          <w:tcPr>
            <w:tcW w:w="2608" w:type="pct"/>
          </w:tcPr>
          <w:p>
            <w:pPr>
              <w:rPr>
                <w:color w:val="auto"/>
                <w:highlight w:val="none"/>
              </w:rPr>
            </w:pPr>
            <w:r>
              <w:rPr>
                <w:rFonts w:hint="eastAsia"/>
                <w:color w:val="auto"/>
                <w:highlight w:val="none"/>
              </w:rPr>
              <w:t>字符运维审计：在国产化环境下需要支持针对</w:t>
            </w:r>
            <w:r>
              <w:rPr>
                <w:rFonts w:hint="eastAsia"/>
                <w:color w:val="auto"/>
                <w:kern w:val="0"/>
                <w:sz w:val="20"/>
                <w:highlight w:val="none"/>
              </w:rPr>
              <w:t>SSH、TELNET等</w:t>
            </w:r>
            <w:r>
              <w:rPr>
                <w:rFonts w:hint="eastAsia"/>
                <w:color w:val="auto"/>
                <w:highlight w:val="none"/>
              </w:rPr>
              <w:t>字符运维会话，监控运维操作全过程形成录像日志，并识别过程中输入的字符命令，点击命令可跳转到相应的视频位置，用于事后审计追溯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27" w:type="pct"/>
            <w:vAlign w:val="center"/>
          </w:tcPr>
          <w:p>
            <w:pPr>
              <w:jc w:val="center"/>
              <w:rPr>
                <w:color w:val="auto"/>
                <w:highlight w:val="none"/>
              </w:rPr>
            </w:pPr>
            <w:r>
              <w:rPr>
                <w:rFonts w:hint="eastAsia"/>
                <w:color w:val="auto"/>
                <w:highlight w:val="none"/>
              </w:rPr>
              <w:t>1.7.26</w:t>
            </w:r>
          </w:p>
        </w:tc>
        <w:tc>
          <w:tcPr>
            <w:tcW w:w="1763" w:type="pct"/>
            <w:vAlign w:val="center"/>
          </w:tcPr>
          <w:p>
            <w:pPr>
              <w:jc w:val="center"/>
              <w:rPr>
                <w:color w:val="auto"/>
                <w:highlight w:val="none"/>
              </w:rPr>
            </w:pPr>
            <w:r>
              <w:rPr>
                <w:rFonts w:hint="eastAsia"/>
                <w:color w:val="auto"/>
                <w:highlight w:val="none"/>
              </w:rPr>
              <w:t>图形运维审计</w:t>
            </w:r>
          </w:p>
        </w:tc>
        <w:tc>
          <w:tcPr>
            <w:tcW w:w="2608" w:type="pct"/>
          </w:tcPr>
          <w:p>
            <w:pPr>
              <w:rPr>
                <w:color w:val="auto"/>
                <w:highlight w:val="none"/>
              </w:rPr>
            </w:pPr>
            <w:r>
              <w:rPr>
                <w:rFonts w:hint="eastAsia"/>
                <w:color w:val="auto"/>
                <w:highlight w:val="none"/>
              </w:rPr>
              <w:t>图形运维审计：在国产化环境下需要支持针对</w:t>
            </w:r>
            <w:r>
              <w:rPr>
                <w:rFonts w:hint="eastAsia"/>
                <w:color w:val="auto"/>
                <w:kern w:val="0"/>
                <w:sz w:val="20"/>
                <w:highlight w:val="none"/>
              </w:rPr>
              <w:t>RDP等</w:t>
            </w:r>
            <w:r>
              <w:rPr>
                <w:rFonts w:hint="eastAsia"/>
                <w:color w:val="auto"/>
                <w:highlight w:val="none"/>
              </w:rPr>
              <w:t>图形会话运维进行审计，监控运维操作全过程形成录像日志，用于事后审计追溯。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27" w:type="pct"/>
            <w:vAlign w:val="center"/>
          </w:tcPr>
          <w:p>
            <w:pPr>
              <w:jc w:val="center"/>
              <w:rPr>
                <w:color w:val="auto"/>
                <w:highlight w:val="none"/>
              </w:rPr>
            </w:pPr>
            <w:r>
              <w:rPr>
                <w:rFonts w:hint="eastAsia"/>
                <w:color w:val="auto"/>
                <w:highlight w:val="none"/>
              </w:rPr>
              <w:t>1.7.27</w:t>
            </w:r>
          </w:p>
        </w:tc>
        <w:tc>
          <w:tcPr>
            <w:tcW w:w="1763" w:type="pct"/>
            <w:vAlign w:val="center"/>
          </w:tcPr>
          <w:p>
            <w:pPr>
              <w:jc w:val="center"/>
              <w:rPr>
                <w:color w:val="auto"/>
                <w:highlight w:val="none"/>
              </w:rPr>
            </w:pPr>
            <w:r>
              <w:rPr>
                <w:rFonts w:hint="eastAsia"/>
                <w:color w:val="auto"/>
                <w:highlight w:val="none"/>
              </w:rPr>
              <w:t>文件传输审计</w:t>
            </w:r>
          </w:p>
        </w:tc>
        <w:tc>
          <w:tcPr>
            <w:tcW w:w="2608" w:type="pct"/>
          </w:tcPr>
          <w:p>
            <w:pPr>
              <w:rPr>
                <w:color w:val="auto"/>
                <w:highlight w:val="none"/>
              </w:rPr>
            </w:pPr>
            <w:r>
              <w:rPr>
                <w:rFonts w:hint="eastAsia"/>
                <w:color w:val="auto"/>
                <w:highlight w:val="none"/>
              </w:rPr>
              <w:t>文件传输审计：在国产化环境下需要支持针对FTP、SFTP等文件传输协议的审计，监控运维操作全过程形成录像日志，并识别过程中上传、下载的文件，用于事后审计追溯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trPr>
        <w:tc>
          <w:tcPr>
            <w:tcW w:w="627" w:type="pct"/>
            <w:vAlign w:val="center"/>
          </w:tcPr>
          <w:p>
            <w:pPr>
              <w:jc w:val="center"/>
              <w:rPr>
                <w:color w:val="auto"/>
                <w:highlight w:val="none"/>
              </w:rPr>
            </w:pPr>
            <w:r>
              <w:rPr>
                <w:rFonts w:hint="eastAsia"/>
                <w:color w:val="auto"/>
                <w:highlight w:val="none"/>
              </w:rPr>
              <w:t>1.7.28</w:t>
            </w:r>
          </w:p>
        </w:tc>
        <w:tc>
          <w:tcPr>
            <w:tcW w:w="1763" w:type="pct"/>
            <w:vAlign w:val="center"/>
          </w:tcPr>
          <w:p>
            <w:pPr>
              <w:jc w:val="center"/>
              <w:rPr>
                <w:color w:val="auto"/>
                <w:highlight w:val="none"/>
              </w:rPr>
            </w:pPr>
            <w:r>
              <w:rPr>
                <w:rFonts w:hint="eastAsia"/>
                <w:color w:val="auto"/>
                <w:highlight w:val="none"/>
              </w:rPr>
              <w:t>运维考核规则</w:t>
            </w:r>
          </w:p>
        </w:tc>
        <w:tc>
          <w:tcPr>
            <w:tcW w:w="2608" w:type="pct"/>
          </w:tcPr>
          <w:p>
            <w:pPr>
              <w:rPr>
                <w:color w:val="auto"/>
                <w:highlight w:val="none"/>
              </w:rPr>
            </w:pPr>
            <w:r>
              <w:rPr>
                <w:rFonts w:hint="eastAsia"/>
                <w:color w:val="auto"/>
                <w:highlight w:val="none"/>
              </w:rPr>
              <w:t>运维考核规则：在国产化环境下需要支持可针对不同运维流程的节点的响应时间、处理时间设置评价标准，对紧急、高、中、低等级的流程工单设置不同评价标准，并设置评价时间范围（工作日、节假日）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27" w:type="pct"/>
            <w:vAlign w:val="center"/>
          </w:tcPr>
          <w:p>
            <w:pPr>
              <w:jc w:val="center"/>
              <w:rPr>
                <w:color w:val="auto"/>
                <w:highlight w:val="none"/>
              </w:rPr>
            </w:pPr>
            <w:r>
              <w:rPr>
                <w:rFonts w:hint="eastAsia"/>
                <w:color w:val="auto"/>
                <w:highlight w:val="none"/>
              </w:rPr>
              <w:t>1.7.29</w:t>
            </w:r>
          </w:p>
        </w:tc>
        <w:tc>
          <w:tcPr>
            <w:tcW w:w="1763" w:type="pct"/>
            <w:vAlign w:val="center"/>
          </w:tcPr>
          <w:p>
            <w:pPr>
              <w:jc w:val="center"/>
              <w:rPr>
                <w:color w:val="auto"/>
                <w:highlight w:val="none"/>
              </w:rPr>
            </w:pPr>
            <w:r>
              <w:rPr>
                <w:rFonts w:hint="eastAsia"/>
                <w:color w:val="auto"/>
                <w:highlight w:val="none"/>
              </w:rPr>
              <w:t>整体效率分析</w:t>
            </w:r>
          </w:p>
        </w:tc>
        <w:tc>
          <w:tcPr>
            <w:tcW w:w="2608" w:type="pct"/>
          </w:tcPr>
          <w:p>
            <w:pPr>
              <w:rPr>
                <w:color w:val="auto"/>
                <w:highlight w:val="none"/>
              </w:rPr>
            </w:pPr>
            <w:r>
              <w:rPr>
                <w:rFonts w:hint="eastAsia"/>
                <w:color w:val="auto"/>
                <w:highlight w:val="none"/>
              </w:rPr>
              <w:t>整体效率分析：在国产化环境下需要支持可视化展示整体运维效率的情况，对各公司的运维效率进行排名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27" w:type="pct"/>
            <w:vAlign w:val="center"/>
          </w:tcPr>
          <w:p>
            <w:pPr>
              <w:jc w:val="center"/>
              <w:rPr>
                <w:color w:val="auto"/>
                <w:highlight w:val="none"/>
              </w:rPr>
            </w:pPr>
            <w:r>
              <w:rPr>
                <w:rFonts w:hint="eastAsia"/>
                <w:color w:val="auto"/>
                <w:highlight w:val="none"/>
              </w:rPr>
              <w:t>1.7.30</w:t>
            </w:r>
          </w:p>
        </w:tc>
        <w:tc>
          <w:tcPr>
            <w:tcW w:w="1763" w:type="pct"/>
            <w:vAlign w:val="center"/>
          </w:tcPr>
          <w:p>
            <w:pPr>
              <w:jc w:val="center"/>
              <w:rPr>
                <w:color w:val="auto"/>
                <w:highlight w:val="none"/>
              </w:rPr>
            </w:pPr>
            <w:r>
              <w:rPr>
                <w:rFonts w:hint="eastAsia"/>
                <w:color w:val="auto"/>
                <w:highlight w:val="none"/>
              </w:rPr>
              <w:t>公司效率分析</w:t>
            </w:r>
          </w:p>
        </w:tc>
        <w:tc>
          <w:tcPr>
            <w:tcW w:w="2608" w:type="pct"/>
          </w:tcPr>
          <w:p>
            <w:pPr>
              <w:rPr>
                <w:color w:val="auto"/>
                <w:highlight w:val="none"/>
              </w:rPr>
            </w:pPr>
            <w:r>
              <w:rPr>
                <w:rFonts w:hint="eastAsia"/>
                <w:color w:val="auto"/>
                <w:highlight w:val="none"/>
              </w:rPr>
              <w:t>公司效率分析：在国产化环境下需要支持统计各公司的运维效率指标，可视化展示单个公司的运维效率情况，以及对该公司人员的运维效率进行排名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trPr>
        <w:tc>
          <w:tcPr>
            <w:tcW w:w="627" w:type="pct"/>
            <w:vAlign w:val="center"/>
          </w:tcPr>
          <w:p>
            <w:pPr>
              <w:jc w:val="center"/>
              <w:rPr>
                <w:color w:val="auto"/>
                <w:highlight w:val="none"/>
              </w:rPr>
            </w:pPr>
            <w:r>
              <w:rPr>
                <w:rFonts w:hint="eastAsia"/>
                <w:color w:val="auto"/>
                <w:highlight w:val="none"/>
              </w:rPr>
              <w:t>1.7.31</w:t>
            </w:r>
          </w:p>
        </w:tc>
        <w:tc>
          <w:tcPr>
            <w:tcW w:w="1763" w:type="pct"/>
            <w:vAlign w:val="center"/>
          </w:tcPr>
          <w:p>
            <w:pPr>
              <w:jc w:val="center"/>
              <w:rPr>
                <w:color w:val="auto"/>
                <w:highlight w:val="none"/>
              </w:rPr>
            </w:pPr>
            <w:r>
              <w:rPr>
                <w:rFonts w:hint="eastAsia"/>
                <w:color w:val="auto"/>
                <w:highlight w:val="none"/>
              </w:rPr>
              <w:t>运维工单分析</w:t>
            </w:r>
          </w:p>
        </w:tc>
        <w:tc>
          <w:tcPr>
            <w:tcW w:w="2608" w:type="pct"/>
          </w:tcPr>
          <w:p>
            <w:pPr>
              <w:rPr>
                <w:color w:val="auto"/>
                <w:highlight w:val="none"/>
              </w:rPr>
            </w:pPr>
            <w:r>
              <w:rPr>
                <w:rFonts w:hint="eastAsia"/>
                <w:color w:val="auto"/>
                <w:highlight w:val="none"/>
              </w:rPr>
              <w:t>运维工单分析：在国产化环境下需要提供运维整体分析和运维公司两个维度的分析报告，以图表形式统计展示工单类型、工单流程占比、工单量排名、工单趋势变化、工单处理时长等信息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trPr>
        <w:tc>
          <w:tcPr>
            <w:tcW w:w="627" w:type="pct"/>
            <w:vAlign w:val="center"/>
          </w:tcPr>
          <w:p>
            <w:pPr>
              <w:jc w:val="center"/>
              <w:rPr>
                <w:color w:val="auto"/>
                <w:highlight w:val="none"/>
              </w:rPr>
            </w:pPr>
            <w:r>
              <w:rPr>
                <w:rFonts w:hint="eastAsia"/>
                <w:color w:val="auto"/>
                <w:highlight w:val="none"/>
              </w:rPr>
              <w:t>1.7.32</w:t>
            </w:r>
          </w:p>
        </w:tc>
        <w:tc>
          <w:tcPr>
            <w:tcW w:w="1763" w:type="pct"/>
            <w:vAlign w:val="center"/>
          </w:tcPr>
          <w:p>
            <w:pPr>
              <w:jc w:val="center"/>
              <w:rPr>
                <w:color w:val="auto"/>
                <w:highlight w:val="none"/>
              </w:rPr>
            </w:pPr>
            <w:r>
              <w:rPr>
                <w:rFonts w:hint="eastAsia"/>
                <w:color w:val="auto"/>
                <w:highlight w:val="none"/>
              </w:rPr>
              <w:t>运维工作分析</w:t>
            </w:r>
          </w:p>
        </w:tc>
        <w:tc>
          <w:tcPr>
            <w:tcW w:w="2608" w:type="pct"/>
          </w:tcPr>
          <w:p>
            <w:pPr>
              <w:rPr>
                <w:color w:val="auto"/>
                <w:highlight w:val="none"/>
              </w:rPr>
            </w:pPr>
            <w:r>
              <w:rPr>
                <w:rFonts w:hint="eastAsia"/>
                <w:color w:val="auto"/>
                <w:highlight w:val="none"/>
              </w:rPr>
              <w:t>运维工作分析：在国产化环境下需要提供运维整体分析和运维公司两个维度的分析报告，以图表形式统计展示运维用户、运维设备、运维账号类型占比、公司运维时长排名、运维工作趋势变化等信息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27" w:type="pct"/>
            <w:vAlign w:val="center"/>
          </w:tcPr>
          <w:p>
            <w:pPr>
              <w:jc w:val="center"/>
              <w:rPr>
                <w:color w:val="auto"/>
                <w:highlight w:val="none"/>
              </w:rPr>
            </w:pPr>
            <w:r>
              <w:rPr>
                <w:rFonts w:hint="eastAsia"/>
                <w:color w:val="auto"/>
                <w:highlight w:val="none"/>
              </w:rPr>
              <w:t>1.7.33</w:t>
            </w:r>
          </w:p>
        </w:tc>
        <w:tc>
          <w:tcPr>
            <w:tcW w:w="1763" w:type="pct"/>
            <w:vAlign w:val="center"/>
          </w:tcPr>
          <w:p>
            <w:pPr>
              <w:jc w:val="center"/>
              <w:rPr>
                <w:color w:val="auto"/>
                <w:highlight w:val="none"/>
              </w:rPr>
            </w:pPr>
            <w:r>
              <w:rPr>
                <w:rFonts w:hint="eastAsia"/>
                <w:color w:val="auto"/>
                <w:highlight w:val="none"/>
              </w:rPr>
              <w:t>运维界面水印</w:t>
            </w:r>
          </w:p>
        </w:tc>
        <w:tc>
          <w:tcPr>
            <w:tcW w:w="2608" w:type="pct"/>
          </w:tcPr>
          <w:p>
            <w:pPr>
              <w:rPr>
                <w:color w:val="auto"/>
                <w:highlight w:val="none"/>
              </w:rPr>
            </w:pPr>
            <w:r>
              <w:rPr>
                <w:rFonts w:hint="eastAsia"/>
                <w:color w:val="auto"/>
                <w:highlight w:val="none"/>
              </w:rPr>
              <w:t>运维界面水印：在国产化环境下需要支持开启运维界面屏幕水印，水印内容、颜色、透明度、密度可自定义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27" w:type="pct"/>
            <w:vAlign w:val="center"/>
          </w:tcPr>
          <w:p>
            <w:pPr>
              <w:jc w:val="center"/>
              <w:rPr>
                <w:color w:val="auto"/>
                <w:highlight w:val="none"/>
              </w:rPr>
            </w:pPr>
            <w:r>
              <w:rPr>
                <w:rFonts w:hint="eastAsia"/>
                <w:color w:val="auto"/>
                <w:highlight w:val="none"/>
              </w:rPr>
              <w:t>1.7.34</w:t>
            </w:r>
          </w:p>
        </w:tc>
        <w:tc>
          <w:tcPr>
            <w:tcW w:w="1763" w:type="pct"/>
            <w:vAlign w:val="center"/>
          </w:tcPr>
          <w:p>
            <w:pPr>
              <w:jc w:val="center"/>
              <w:rPr>
                <w:color w:val="auto"/>
                <w:highlight w:val="none"/>
              </w:rPr>
            </w:pPr>
            <w:r>
              <w:rPr>
                <w:rFonts w:hint="eastAsia"/>
                <w:color w:val="auto"/>
                <w:highlight w:val="none"/>
              </w:rPr>
              <w:t>运维知识管理</w:t>
            </w:r>
          </w:p>
        </w:tc>
        <w:tc>
          <w:tcPr>
            <w:tcW w:w="2608" w:type="pct"/>
          </w:tcPr>
          <w:p>
            <w:pPr>
              <w:rPr>
                <w:color w:val="auto"/>
                <w:highlight w:val="none"/>
              </w:rPr>
            </w:pPr>
            <w:r>
              <w:rPr>
                <w:rFonts w:hint="eastAsia"/>
                <w:color w:val="auto"/>
                <w:highlight w:val="none"/>
              </w:rPr>
              <w:t>运维知识管理：在国产化环境下需要支持系统用户可在此查询运维知识以及发布、收藏知识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27" w:type="pct"/>
            <w:vAlign w:val="center"/>
          </w:tcPr>
          <w:p>
            <w:pPr>
              <w:jc w:val="center"/>
              <w:rPr>
                <w:color w:val="auto"/>
                <w:highlight w:val="none"/>
              </w:rPr>
            </w:pPr>
            <w:r>
              <w:rPr>
                <w:rFonts w:hint="eastAsia"/>
                <w:color w:val="auto"/>
                <w:highlight w:val="none"/>
              </w:rPr>
              <w:t>1.7.35</w:t>
            </w:r>
          </w:p>
        </w:tc>
        <w:tc>
          <w:tcPr>
            <w:tcW w:w="1763" w:type="pct"/>
            <w:vAlign w:val="center"/>
          </w:tcPr>
          <w:p>
            <w:pPr>
              <w:jc w:val="center"/>
              <w:rPr>
                <w:color w:val="auto"/>
                <w:highlight w:val="none"/>
              </w:rPr>
            </w:pPr>
            <w:r>
              <w:rPr>
                <w:rFonts w:hint="eastAsia"/>
                <w:color w:val="auto"/>
                <w:highlight w:val="none"/>
              </w:rPr>
              <w:t>运维资料共享</w:t>
            </w:r>
          </w:p>
        </w:tc>
        <w:tc>
          <w:tcPr>
            <w:tcW w:w="2608" w:type="pct"/>
          </w:tcPr>
          <w:p>
            <w:pPr>
              <w:rPr>
                <w:color w:val="auto"/>
                <w:highlight w:val="none"/>
              </w:rPr>
            </w:pPr>
            <w:r>
              <w:rPr>
                <w:rFonts w:hint="eastAsia"/>
                <w:color w:val="auto"/>
                <w:highlight w:val="none"/>
              </w:rPr>
              <w:t>运维资料共享：在国产化环境下需要支持系统用户可通过批量上传（下载）资料文档进行知识库资料的维护、查看和编辑，支持在线预览</w:t>
            </w:r>
            <w:r>
              <w:rPr>
                <w:rFonts w:hint="eastAsia"/>
                <w:color w:val="auto"/>
                <w:kern w:val="0"/>
                <w:sz w:val="20"/>
                <w:highlight w:val="none"/>
              </w:rPr>
              <w:t>相关文本文件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27" w:type="pct"/>
            <w:vAlign w:val="center"/>
          </w:tcPr>
          <w:p>
            <w:pPr>
              <w:jc w:val="center"/>
              <w:rPr>
                <w:color w:val="auto"/>
                <w:highlight w:val="none"/>
              </w:rPr>
            </w:pPr>
            <w:r>
              <w:rPr>
                <w:rFonts w:hint="eastAsia"/>
                <w:color w:val="auto"/>
                <w:highlight w:val="none"/>
              </w:rPr>
              <w:t>1.7.36</w:t>
            </w:r>
          </w:p>
        </w:tc>
        <w:tc>
          <w:tcPr>
            <w:tcW w:w="1763" w:type="pct"/>
            <w:vAlign w:val="center"/>
          </w:tcPr>
          <w:p>
            <w:pPr>
              <w:jc w:val="center"/>
              <w:rPr>
                <w:color w:val="auto"/>
                <w:highlight w:val="none"/>
              </w:rPr>
            </w:pPr>
            <w:r>
              <w:rPr>
                <w:rFonts w:hint="eastAsia"/>
                <w:color w:val="auto"/>
                <w:highlight w:val="none"/>
              </w:rPr>
              <w:t>知识分类</w:t>
            </w:r>
          </w:p>
        </w:tc>
        <w:tc>
          <w:tcPr>
            <w:tcW w:w="2608" w:type="pct"/>
          </w:tcPr>
          <w:p>
            <w:pPr>
              <w:rPr>
                <w:color w:val="auto"/>
                <w:highlight w:val="none"/>
              </w:rPr>
            </w:pPr>
            <w:r>
              <w:rPr>
                <w:rFonts w:hint="eastAsia"/>
                <w:color w:val="auto"/>
                <w:highlight w:val="none"/>
              </w:rPr>
              <w:t>知识分类：在国产化环境下需要支持配置运维知识的类型，可包括业务知识、操作系统、数据库知识、运维问题处理方面的知识类型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27" w:type="pct"/>
            <w:vAlign w:val="center"/>
          </w:tcPr>
          <w:p>
            <w:pPr>
              <w:jc w:val="center"/>
              <w:rPr>
                <w:b/>
                <w:bCs/>
                <w:color w:val="auto"/>
                <w:highlight w:val="none"/>
              </w:rPr>
            </w:pPr>
            <w:r>
              <w:rPr>
                <w:rFonts w:hint="eastAsia"/>
                <w:b/>
                <w:bCs/>
                <w:color w:val="auto"/>
                <w:highlight w:val="none"/>
              </w:rPr>
              <w:t>2</w:t>
            </w:r>
          </w:p>
        </w:tc>
        <w:tc>
          <w:tcPr>
            <w:tcW w:w="1763" w:type="pct"/>
            <w:vAlign w:val="center"/>
          </w:tcPr>
          <w:p>
            <w:pPr>
              <w:jc w:val="center"/>
              <w:rPr>
                <w:b/>
                <w:bCs/>
                <w:color w:val="auto"/>
                <w:highlight w:val="none"/>
              </w:rPr>
            </w:pPr>
            <w:r>
              <w:rPr>
                <w:rFonts w:hint="eastAsia"/>
                <w:b/>
                <w:bCs/>
                <w:color w:val="auto"/>
                <w:highlight w:val="none"/>
              </w:rPr>
              <w:t>虚拟桌面系统软件平台国产化替换</w:t>
            </w:r>
          </w:p>
        </w:tc>
        <w:tc>
          <w:tcPr>
            <w:tcW w:w="2608" w:type="pct"/>
          </w:tcPr>
          <w:p>
            <w:pPr>
              <w:rPr>
                <w:color w:val="auto"/>
                <w:highlight w:val="none"/>
              </w:rPr>
            </w:pPr>
            <w:r>
              <w:rPr>
                <w:rFonts w:hint="eastAsia"/>
                <w:color w:val="auto"/>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27" w:type="pct"/>
            <w:vAlign w:val="center"/>
          </w:tcPr>
          <w:p>
            <w:pPr>
              <w:jc w:val="center"/>
              <w:rPr>
                <w:b/>
                <w:bCs/>
                <w:color w:val="auto"/>
                <w:highlight w:val="none"/>
              </w:rPr>
            </w:pPr>
            <w:r>
              <w:rPr>
                <w:rFonts w:hint="eastAsia"/>
                <w:b/>
                <w:bCs/>
                <w:color w:val="auto"/>
                <w:highlight w:val="none"/>
              </w:rPr>
              <w:t>2.1</w:t>
            </w:r>
          </w:p>
        </w:tc>
        <w:tc>
          <w:tcPr>
            <w:tcW w:w="1763" w:type="pct"/>
            <w:vAlign w:val="center"/>
          </w:tcPr>
          <w:p>
            <w:pPr>
              <w:jc w:val="center"/>
              <w:rPr>
                <w:b/>
                <w:bCs/>
                <w:color w:val="auto"/>
                <w:highlight w:val="none"/>
              </w:rPr>
            </w:pPr>
            <w:r>
              <w:rPr>
                <w:rFonts w:hint="eastAsia"/>
                <w:b/>
                <w:bCs/>
                <w:color w:val="auto"/>
                <w:highlight w:val="none"/>
              </w:rPr>
              <w:t>虚拟桌面系统国产芯片适配</w:t>
            </w:r>
          </w:p>
        </w:tc>
        <w:tc>
          <w:tcPr>
            <w:tcW w:w="2608" w:type="pct"/>
          </w:tcPr>
          <w:p>
            <w:pPr>
              <w:rPr>
                <w:color w:val="auto"/>
                <w:highlight w:val="none"/>
              </w:rPr>
            </w:pPr>
            <w:r>
              <w:rPr>
                <w:rFonts w:hint="eastAsia"/>
                <w:color w:val="auto"/>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0" w:hRule="atLeast"/>
        </w:trPr>
        <w:tc>
          <w:tcPr>
            <w:tcW w:w="627" w:type="pct"/>
            <w:vAlign w:val="center"/>
          </w:tcPr>
          <w:p>
            <w:pPr>
              <w:jc w:val="center"/>
              <w:rPr>
                <w:color w:val="auto"/>
                <w:highlight w:val="none"/>
              </w:rPr>
            </w:pPr>
            <w:r>
              <w:rPr>
                <w:rFonts w:hint="eastAsia"/>
                <w:color w:val="auto"/>
                <w:highlight w:val="none"/>
              </w:rPr>
              <w:t>2.1.1</w:t>
            </w:r>
          </w:p>
        </w:tc>
        <w:tc>
          <w:tcPr>
            <w:tcW w:w="1763" w:type="pct"/>
            <w:vAlign w:val="center"/>
          </w:tcPr>
          <w:p>
            <w:pPr>
              <w:jc w:val="center"/>
              <w:rPr>
                <w:color w:val="auto"/>
                <w:highlight w:val="none"/>
              </w:rPr>
            </w:pPr>
            <w:r>
              <w:rPr>
                <w:rFonts w:hint="eastAsia"/>
                <w:color w:val="auto"/>
                <w:highlight w:val="none"/>
              </w:rPr>
              <w:t>芯片架构编译参数调整</w:t>
            </w:r>
          </w:p>
        </w:tc>
        <w:tc>
          <w:tcPr>
            <w:tcW w:w="2608" w:type="pct"/>
          </w:tcPr>
          <w:p>
            <w:pPr>
              <w:rPr>
                <w:color w:val="auto"/>
                <w:highlight w:val="none"/>
              </w:rPr>
            </w:pPr>
            <w:r>
              <w:rPr>
                <w:rFonts w:hint="eastAsia"/>
                <w:color w:val="auto"/>
                <w:highlight w:val="none"/>
              </w:rPr>
              <w:t>在虚拟桌面系统国产化改造中，需针对国产芯片进行适配，选用其优化的专用编译器，通过调整编译参数实现应用程序高效编译；同时修改代码中与硬件架构强相关部分（如内存对齐、汇编指令），适配国产芯片的指令集及架构特性（多核调度、缓存机制），确保软件在国产化硬件平台上编译效率与运行性能达标，推动系统整体国产化适配落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0" w:hRule="atLeast"/>
        </w:trPr>
        <w:tc>
          <w:tcPr>
            <w:tcW w:w="627" w:type="pct"/>
            <w:vAlign w:val="center"/>
          </w:tcPr>
          <w:p>
            <w:pPr>
              <w:jc w:val="center"/>
              <w:rPr>
                <w:color w:val="auto"/>
                <w:highlight w:val="none"/>
              </w:rPr>
            </w:pPr>
            <w:r>
              <w:rPr>
                <w:rFonts w:hint="eastAsia"/>
                <w:color w:val="auto"/>
                <w:highlight w:val="none"/>
              </w:rPr>
              <w:t>2.1.2</w:t>
            </w:r>
          </w:p>
        </w:tc>
        <w:tc>
          <w:tcPr>
            <w:tcW w:w="1763" w:type="pct"/>
            <w:vAlign w:val="center"/>
          </w:tcPr>
          <w:p>
            <w:pPr>
              <w:jc w:val="center"/>
              <w:rPr>
                <w:color w:val="auto"/>
                <w:highlight w:val="none"/>
              </w:rPr>
            </w:pPr>
            <w:r>
              <w:rPr>
                <w:rFonts w:hint="eastAsia"/>
                <w:color w:val="auto"/>
                <w:highlight w:val="none"/>
              </w:rPr>
              <w:t>国产芯片平台性能调优</w:t>
            </w:r>
          </w:p>
        </w:tc>
        <w:tc>
          <w:tcPr>
            <w:tcW w:w="2608" w:type="pct"/>
          </w:tcPr>
          <w:p>
            <w:pPr>
              <w:rPr>
                <w:color w:val="auto"/>
                <w:highlight w:val="none"/>
              </w:rPr>
            </w:pPr>
            <w:r>
              <w:rPr>
                <w:rFonts w:hint="eastAsia"/>
                <w:color w:val="auto"/>
                <w:highlight w:val="none"/>
              </w:rPr>
              <w:t>在国产芯片深度适配与性能调优中，聚焦多线程并行处理与缓存机制优化：针对国产芯片架构，优化线程调度策略，提升并行计算效率；通过缓存亲和性设计降低缓存命中延迟，结合指令集特性优化代码逻辑。同步验证内存管理、中断处理与硬件协同机制，确保系统在国产化硬件环境下稳定运行，满足高并发、低延迟等性能指标，实现软硬件协同的高效适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0" w:hRule="atLeast"/>
        </w:trPr>
        <w:tc>
          <w:tcPr>
            <w:tcW w:w="627" w:type="pct"/>
            <w:vAlign w:val="center"/>
          </w:tcPr>
          <w:p>
            <w:pPr>
              <w:jc w:val="center"/>
              <w:rPr>
                <w:color w:val="auto"/>
                <w:highlight w:val="none"/>
              </w:rPr>
            </w:pPr>
            <w:r>
              <w:rPr>
                <w:rFonts w:hint="eastAsia"/>
                <w:color w:val="auto"/>
                <w:highlight w:val="none"/>
              </w:rPr>
              <w:t>2.1.3</w:t>
            </w:r>
          </w:p>
        </w:tc>
        <w:tc>
          <w:tcPr>
            <w:tcW w:w="1763" w:type="pct"/>
            <w:vAlign w:val="center"/>
          </w:tcPr>
          <w:p>
            <w:pPr>
              <w:jc w:val="center"/>
              <w:rPr>
                <w:color w:val="auto"/>
                <w:highlight w:val="none"/>
              </w:rPr>
            </w:pPr>
            <w:r>
              <w:rPr>
                <w:rFonts w:hint="eastAsia"/>
                <w:color w:val="auto"/>
                <w:highlight w:val="none"/>
              </w:rPr>
              <w:t>调整系统内核参数与硬件驱动程序</w:t>
            </w:r>
          </w:p>
        </w:tc>
        <w:tc>
          <w:tcPr>
            <w:tcW w:w="2608" w:type="pct"/>
          </w:tcPr>
          <w:p>
            <w:pPr>
              <w:rPr>
                <w:color w:val="auto"/>
                <w:highlight w:val="none"/>
              </w:rPr>
            </w:pPr>
            <w:r>
              <w:rPr>
                <w:rFonts w:hint="eastAsia"/>
                <w:color w:val="auto"/>
                <w:highlight w:val="none"/>
              </w:rPr>
              <w:t>针对国产芯片架构，调整系统内核参数（如 CPU 调度、内存分配策略）与硬件驱动程序，优化驱动接口与芯片指令集兼容性，修复中断处理与资源分配冲突，同步调整虚拟化层配置，降低 I/O 延迟与资源开销。通过兼容性测试与性能调优，保障虚拟化桌面在国产硬件上的稳定运行及图形、网络等模块的高效协同，实现软硬件深度适配。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27" w:type="pct"/>
            <w:vAlign w:val="center"/>
          </w:tcPr>
          <w:p>
            <w:pPr>
              <w:jc w:val="center"/>
              <w:rPr>
                <w:b/>
                <w:bCs/>
                <w:color w:val="auto"/>
                <w:highlight w:val="none"/>
              </w:rPr>
            </w:pPr>
            <w:r>
              <w:rPr>
                <w:rFonts w:hint="eastAsia"/>
                <w:b/>
                <w:bCs/>
                <w:color w:val="auto"/>
                <w:highlight w:val="none"/>
              </w:rPr>
              <w:t>2.2</w:t>
            </w:r>
          </w:p>
        </w:tc>
        <w:tc>
          <w:tcPr>
            <w:tcW w:w="1763" w:type="pct"/>
            <w:vAlign w:val="center"/>
          </w:tcPr>
          <w:p>
            <w:pPr>
              <w:jc w:val="center"/>
              <w:rPr>
                <w:b/>
                <w:bCs/>
                <w:color w:val="auto"/>
                <w:highlight w:val="none"/>
              </w:rPr>
            </w:pPr>
            <w:r>
              <w:rPr>
                <w:rFonts w:hint="eastAsia"/>
                <w:b/>
                <w:bCs/>
                <w:color w:val="auto"/>
                <w:highlight w:val="none"/>
              </w:rPr>
              <w:t>虚拟桌面系统国产操作系统适配</w:t>
            </w:r>
          </w:p>
        </w:tc>
        <w:tc>
          <w:tcPr>
            <w:tcW w:w="2608" w:type="pct"/>
          </w:tcPr>
          <w:p>
            <w:pPr>
              <w:rPr>
                <w:color w:val="auto"/>
                <w:highlight w:val="none"/>
              </w:rPr>
            </w:pPr>
            <w:r>
              <w:rPr>
                <w:rFonts w:hint="eastAsia"/>
                <w:color w:val="auto"/>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0" w:hRule="atLeast"/>
        </w:trPr>
        <w:tc>
          <w:tcPr>
            <w:tcW w:w="627" w:type="pct"/>
            <w:vAlign w:val="center"/>
          </w:tcPr>
          <w:p>
            <w:pPr>
              <w:jc w:val="center"/>
              <w:rPr>
                <w:color w:val="auto"/>
                <w:highlight w:val="none"/>
              </w:rPr>
            </w:pPr>
            <w:r>
              <w:rPr>
                <w:rFonts w:hint="eastAsia"/>
                <w:color w:val="auto"/>
                <w:highlight w:val="none"/>
              </w:rPr>
              <w:t>2.2.1</w:t>
            </w:r>
          </w:p>
        </w:tc>
        <w:tc>
          <w:tcPr>
            <w:tcW w:w="1763" w:type="pct"/>
            <w:vAlign w:val="center"/>
          </w:tcPr>
          <w:p>
            <w:pPr>
              <w:jc w:val="center"/>
              <w:rPr>
                <w:color w:val="auto"/>
                <w:highlight w:val="none"/>
              </w:rPr>
            </w:pPr>
            <w:r>
              <w:rPr>
                <w:rFonts w:hint="eastAsia"/>
                <w:color w:val="auto"/>
                <w:highlight w:val="none"/>
              </w:rPr>
              <w:t>虚拟桌面系统应用程序深度重构</w:t>
            </w:r>
          </w:p>
        </w:tc>
        <w:tc>
          <w:tcPr>
            <w:tcW w:w="2608" w:type="pct"/>
          </w:tcPr>
          <w:p>
            <w:pPr>
              <w:rPr>
                <w:color w:val="auto"/>
                <w:highlight w:val="none"/>
              </w:rPr>
            </w:pPr>
            <w:r>
              <w:rPr>
                <w:rFonts w:hint="eastAsia"/>
                <w:color w:val="auto"/>
                <w:highlight w:val="none"/>
              </w:rPr>
              <w:t>对现有的虚拟桌面系统的应用组件和技术环境进行全面调研，由于国产化操作系统与现有操作系统在底层架构和系统调用接口上存在差异，需要对应用程序进行深度修改和重构，包括系统调用替换、依赖库重新编译和特定功能重写。将深入理解应用程序的内部逻辑，确保在新的操作系统上实现功能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trPr>
        <w:tc>
          <w:tcPr>
            <w:tcW w:w="627" w:type="pct"/>
            <w:vAlign w:val="center"/>
          </w:tcPr>
          <w:p>
            <w:pPr>
              <w:jc w:val="center"/>
              <w:rPr>
                <w:color w:val="auto"/>
                <w:highlight w:val="none"/>
              </w:rPr>
            </w:pPr>
            <w:r>
              <w:rPr>
                <w:rFonts w:hint="eastAsia"/>
                <w:color w:val="auto"/>
                <w:highlight w:val="none"/>
              </w:rPr>
              <w:t>2.2.2</w:t>
            </w:r>
          </w:p>
        </w:tc>
        <w:tc>
          <w:tcPr>
            <w:tcW w:w="1763" w:type="pct"/>
            <w:vAlign w:val="center"/>
          </w:tcPr>
          <w:p>
            <w:pPr>
              <w:jc w:val="center"/>
              <w:rPr>
                <w:color w:val="auto"/>
                <w:highlight w:val="none"/>
              </w:rPr>
            </w:pPr>
            <w:r>
              <w:rPr>
                <w:rFonts w:hint="eastAsia"/>
                <w:color w:val="auto"/>
                <w:highlight w:val="none"/>
              </w:rPr>
              <w:t>虚拟桌面性能测试和调优</w:t>
            </w:r>
          </w:p>
        </w:tc>
        <w:tc>
          <w:tcPr>
            <w:tcW w:w="2608" w:type="pct"/>
          </w:tcPr>
          <w:p>
            <w:pPr>
              <w:rPr>
                <w:color w:val="auto"/>
                <w:highlight w:val="none"/>
              </w:rPr>
            </w:pPr>
            <w:r>
              <w:rPr>
                <w:rFonts w:hint="eastAsia"/>
                <w:color w:val="auto"/>
                <w:highlight w:val="none"/>
              </w:rPr>
              <w:t>适配过程中，将特别关注性能和兼容性问题。将进行广泛的性能测试和调优，优化性能敏感组件的代码路径或算法，并通过长时间的压力测试和边界条件测试，验证应用程序在国产操作系统上的稳定性。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trPr>
        <w:tc>
          <w:tcPr>
            <w:tcW w:w="627" w:type="pct"/>
            <w:vAlign w:val="center"/>
          </w:tcPr>
          <w:p>
            <w:pPr>
              <w:jc w:val="center"/>
              <w:rPr>
                <w:color w:val="auto"/>
                <w:highlight w:val="none"/>
              </w:rPr>
            </w:pPr>
            <w:r>
              <w:rPr>
                <w:rFonts w:hint="eastAsia"/>
                <w:color w:val="auto"/>
                <w:highlight w:val="none"/>
              </w:rPr>
              <w:t>2.2.3</w:t>
            </w:r>
          </w:p>
        </w:tc>
        <w:tc>
          <w:tcPr>
            <w:tcW w:w="1763" w:type="pct"/>
            <w:vAlign w:val="center"/>
          </w:tcPr>
          <w:p>
            <w:pPr>
              <w:jc w:val="center"/>
              <w:rPr>
                <w:color w:val="auto"/>
                <w:highlight w:val="none"/>
              </w:rPr>
            </w:pPr>
            <w:r>
              <w:rPr>
                <w:rFonts w:hint="eastAsia"/>
                <w:color w:val="auto"/>
                <w:highlight w:val="none"/>
              </w:rPr>
              <w:t>虚拟桌面功能和接口优化</w:t>
            </w:r>
          </w:p>
        </w:tc>
        <w:tc>
          <w:tcPr>
            <w:tcW w:w="2608" w:type="pct"/>
          </w:tcPr>
          <w:p>
            <w:pPr>
              <w:rPr>
                <w:color w:val="auto"/>
                <w:highlight w:val="none"/>
              </w:rPr>
            </w:pPr>
            <w:r>
              <w:rPr>
                <w:rFonts w:hint="eastAsia"/>
                <w:color w:val="auto"/>
                <w:highlight w:val="none"/>
              </w:rPr>
              <w:t>在国产操作系统上部署完整的虚拟桌面系统服务，并根据调试的情况对功能和接口进行优化，适应国产操作系统的特性。包括对网络通信协议调整和数据序列化格式的兼容性处理。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27" w:type="pct"/>
            <w:vAlign w:val="center"/>
          </w:tcPr>
          <w:p>
            <w:pPr>
              <w:jc w:val="center"/>
              <w:rPr>
                <w:b/>
                <w:bCs/>
                <w:color w:val="auto"/>
                <w:highlight w:val="none"/>
              </w:rPr>
            </w:pPr>
            <w:r>
              <w:rPr>
                <w:rFonts w:hint="eastAsia"/>
                <w:b/>
                <w:bCs/>
                <w:color w:val="auto"/>
                <w:highlight w:val="none"/>
              </w:rPr>
              <w:t>2.3</w:t>
            </w:r>
          </w:p>
        </w:tc>
        <w:tc>
          <w:tcPr>
            <w:tcW w:w="1763" w:type="pct"/>
            <w:vAlign w:val="center"/>
          </w:tcPr>
          <w:p>
            <w:pPr>
              <w:jc w:val="center"/>
              <w:rPr>
                <w:b/>
                <w:bCs/>
                <w:color w:val="auto"/>
                <w:highlight w:val="none"/>
              </w:rPr>
            </w:pPr>
            <w:r>
              <w:rPr>
                <w:rFonts w:hint="eastAsia"/>
                <w:b/>
                <w:bCs/>
                <w:color w:val="auto"/>
                <w:highlight w:val="none"/>
              </w:rPr>
              <w:t>虚拟桌面系统国产数据库适配</w:t>
            </w:r>
          </w:p>
        </w:tc>
        <w:tc>
          <w:tcPr>
            <w:tcW w:w="2608" w:type="pct"/>
          </w:tcPr>
          <w:p>
            <w:pPr>
              <w:rPr>
                <w:color w:val="auto"/>
                <w:highlight w:val="none"/>
              </w:rPr>
            </w:pPr>
            <w:r>
              <w:rPr>
                <w:rFonts w:hint="eastAsia"/>
                <w:color w:val="auto"/>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0" w:hRule="atLeast"/>
        </w:trPr>
        <w:tc>
          <w:tcPr>
            <w:tcW w:w="627" w:type="pct"/>
            <w:vAlign w:val="center"/>
          </w:tcPr>
          <w:p>
            <w:pPr>
              <w:jc w:val="center"/>
              <w:rPr>
                <w:color w:val="auto"/>
                <w:highlight w:val="none"/>
              </w:rPr>
            </w:pPr>
            <w:r>
              <w:rPr>
                <w:rFonts w:hint="eastAsia"/>
                <w:color w:val="auto"/>
                <w:highlight w:val="none"/>
              </w:rPr>
              <w:t>2.3.1</w:t>
            </w:r>
          </w:p>
        </w:tc>
        <w:tc>
          <w:tcPr>
            <w:tcW w:w="1763" w:type="pct"/>
            <w:vAlign w:val="center"/>
          </w:tcPr>
          <w:p>
            <w:pPr>
              <w:jc w:val="center"/>
              <w:rPr>
                <w:color w:val="auto"/>
                <w:highlight w:val="none"/>
              </w:rPr>
            </w:pPr>
            <w:r>
              <w:rPr>
                <w:rFonts w:hint="eastAsia"/>
                <w:color w:val="auto"/>
                <w:highlight w:val="none"/>
              </w:rPr>
              <w:t>虚拟桌面系统数据库表详细信息</w:t>
            </w:r>
          </w:p>
        </w:tc>
        <w:tc>
          <w:tcPr>
            <w:tcW w:w="2608" w:type="pct"/>
          </w:tcPr>
          <w:p>
            <w:pPr>
              <w:rPr>
                <w:color w:val="auto"/>
                <w:highlight w:val="none"/>
              </w:rPr>
            </w:pPr>
            <w:r>
              <w:rPr>
                <w:rFonts w:hint="eastAsia"/>
                <w:color w:val="auto"/>
                <w:highlight w:val="none"/>
              </w:rPr>
              <w:t>为了使基础数据能够正确地迁移和兼容，需要全面梳理虚拟桌面系统各数据表的表名、字段、数据类型、主键、外键、约束条件、索引、触发器、视图、事务、存储过程、函数使用的情况，并完整的记录下来，形成适配改造的基数数据和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trPr>
        <w:tc>
          <w:tcPr>
            <w:tcW w:w="627" w:type="pct"/>
            <w:vAlign w:val="center"/>
          </w:tcPr>
          <w:p>
            <w:pPr>
              <w:jc w:val="center"/>
              <w:rPr>
                <w:color w:val="auto"/>
                <w:highlight w:val="none"/>
              </w:rPr>
            </w:pPr>
            <w:r>
              <w:rPr>
                <w:rFonts w:hint="eastAsia"/>
                <w:color w:val="auto"/>
                <w:highlight w:val="none"/>
              </w:rPr>
              <w:t>2.3.2</w:t>
            </w:r>
          </w:p>
        </w:tc>
        <w:tc>
          <w:tcPr>
            <w:tcW w:w="1763" w:type="pct"/>
            <w:vAlign w:val="center"/>
          </w:tcPr>
          <w:p>
            <w:pPr>
              <w:jc w:val="center"/>
              <w:rPr>
                <w:color w:val="auto"/>
                <w:highlight w:val="none"/>
              </w:rPr>
            </w:pPr>
            <w:r>
              <w:rPr>
                <w:rFonts w:hint="eastAsia"/>
                <w:color w:val="auto"/>
                <w:highlight w:val="none"/>
              </w:rPr>
              <w:t>数据类型转换</w:t>
            </w:r>
          </w:p>
        </w:tc>
        <w:tc>
          <w:tcPr>
            <w:tcW w:w="2608" w:type="pct"/>
          </w:tcPr>
          <w:p>
            <w:pPr>
              <w:rPr>
                <w:color w:val="auto"/>
                <w:highlight w:val="none"/>
              </w:rPr>
            </w:pPr>
            <w:r>
              <w:rPr>
                <w:rFonts w:hint="eastAsia"/>
                <w:color w:val="auto"/>
                <w:highlight w:val="none"/>
              </w:rPr>
              <w:t>数据类型转换：将源数据库的字段类型转换成国产数据库的类型，对于数值和字符串类型，需要调整长度和精度，要注意特殊数据类型的处理，如日期/时间类型和枚举类型的处理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27" w:type="pct"/>
            <w:vAlign w:val="center"/>
          </w:tcPr>
          <w:p>
            <w:pPr>
              <w:jc w:val="center"/>
              <w:rPr>
                <w:color w:val="auto"/>
                <w:highlight w:val="none"/>
              </w:rPr>
            </w:pPr>
            <w:r>
              <w:rPr>
                <w:rFonts w:hint="eastAsia"/>
                <w:color w:val="auto"/>
                <w:highlight w:val="none"/>
              </w:rPr>
              <w:t>2.3.3</w:t>
            </w:r>
          </w:p>
        </w:tc>
        <w:tc>
          <w:tcPr>
            <w:tcW w:w="1763" w:type="pct"/>
            <w:vAlign w:val="center"/>
          </w:tcPr>
          <w:p>
            <w:pPr>
              <w:jc w:val="center"/>
              <w:rPr>
                <w:color w:val="auto"/>
                <w:highlight w:val="none"/>
              </w:rPr>
            </w:pPr>
            <w:r>
              <w:rPr>
                <w:rFonts w:hint="eastAsia"/>
                <w:color w:val="auto"/>
                <w:highlight w:val="none"/>
              </w:rPr>
              <w:t>主键和索引适配</w:t>
            </w:r>
          </w:p>
        </w:tc>
        <w:tc>
          <w:tcPr>
            <w:tcW w:w="2608" w:type="pct"/>
          </w:tcPr>
          <w:p>
            <w:pPr>
              <w:rPr>
                <w:color w:val="auto"/>
                <w:highlight w:val="none"/>
              </w:rPr>
            </w:pPr>
            <w:r>
              <w:rPr>
                <w:rFonts w:hint="eastAsia"/>
                <w:color w:val="auto"/>
                <w:highlight w:val="none"/>
              </w:rPr>
              <w:t>主键和索引适配：确保主键约束在国产数据库中正确设置，需要考虑复合主键的转换；根据国产数据库的性能特点，调整索引策略和存储方式，并对索引类型进行转换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27" w:type="pct"/>
            <w:vAlign w:val="center"/>
          </w:tcPr>
          <w:p>
            <w:pPr>
              <w:jc w:val="center"/>
              <w:rPr>
                <w:color w:val="auto"/>
                <w:highlight w:val="none"/>
              </w:rPr>
            </w:pPr>
            <w:r>
              <w:rPr>
                <w:rFonts w:hint="eastAsia"/>
                <w:color w:val="auto"/>
                <w:highlight w:val="none"/>
              </w:rPr>
              <w:t>2.3.4</w:t>
            </w:r>
          </w:p>
        </w:tc>
        <w:tc>
          <w:tcPr>
            <w:tcW w:w="1763" w:type="pct"/>
            <w:vAlign w:val="center"/>
          </w:tcPr>
          <w:p>
            <w:pPr>
              <w:jc w:val="center"/>
              <w:rPr>
                <w:color w:val="auto"/>
                <w:highlight w:val="none"/>
              </w:rPr>
            </w:pPr>
            <w:r>
              <w:rPr>
                <w:rFonts w:hint="eastAsia"/>
                <w:color w:val="auto"/>
                <w:highlight w:val="none"/>
              </w:rPr>
              <w:t>约束适配</w:t>
            </w:r>
          </w:p>
        </w:tc>
        <w:tc>
          <w:tcPr>
            <w:tcW w:w="2608" w:type="pct"/>
          </w:tcPr>
          <w:p>
            <w:pPr>
              <w:rPr>
                <w:color w:val="auto"/>
                <w:highlight w:val="none"/>
              </w:rPr>
            </w:pPr>
            <w:r>
              <w:rPr>
                <w:rFonts w:hint="eastAsia"/>
                <w:color w:val="auto"/>
                <w:highlight w:val="none"/>
              </w:rPr>
              <w:t>约束适配：外键约束按照国产数据库的标准进行调整，包括引用的表和字段，检查唯一约束是否在国产数据库中生效，并对约束语法进行调整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27" w:type="pct"/>
            <w:vAlign w:val="center"/>
          </w:tcPr>
          <w:p>
            <w:pPr>
              <w:jc w:val="center"/>
              <w:rPr>
                <w:color w:val="auto"/>
                <w:highlight w:val="none"/>
              </w:rPr>
            </w:pPr>
            <w:r>
              <w:rPr>
                <w:rFonts w:hint="eastAsia"/>
                <w:color w:val="auto"/>
                <w:highlight w:val="none"/>
              </w:rPr>
              <w:t>2.3.5</w:t>
            </w:r>
          </w:p>
        </w:tc>
        <w:tc>
          <w:tcPr>
            <w:tcW w:w="1763" w:type="pct"/>
            <w:vAlign w:val="center"/>
          </w:tcPr>
          <w:p>
            <w:pPr>
              <w:jc w:val="center"/>
              <w:rPr>
                <w:color w:val="auto"/>
                <w:highlight w:val="none"/>
              </w:rPr>
            </w:pPr>
            <w:r>
              <w:rPr>
                <w:rFonts w:hint="eastAsia"/>
                <w:color w:val="auto"/>
                <w:highlight w:val="none"/>
              </w:rPr>
              <w:t>存储过程与函数</w:t>
            </w:r>
          </w:p>
        </w:tc>
        <w:tc>
          <w:tcPr>
            <w:tcW w:w="2608" w:type="pct"/>
          </w:tcPr>
          <w:p>
            <w:pPr>
              <w:rPr>
                <w:color w:val="auto"/>
                <w:highlight w:val="none"/>
              </w:rPr>
            </w:pPr>
            <w:r>
              <w:rPr>
                <w:rFonts w:hint="eastAsia"/>
                <w:color w:val="auto"/>
                <w:highlight w:val="none"/>
              </w:rPr>
              <w:t>存储过程与函数：按照国产数据库的语法标准进行存储过程及函数的调整，根据实际应用情况，将内置函数转换为通用的SQL函数或国产数据库的等效函数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trPr>
        <w:tc>
          <w:tcPr>
            <w:tcW w:w="627" w:type="pct"/>
            <w:vAlign w:val="center"/>
          </w:tcPr>
          <w:p>
            <w:pPr>
              <w:jc w:val="center"/>
              <w:rPr>
                <w:color w:val="auto"/>
                <w:highlight w:val="none"/>
              </w:rPr>
            </w:pPr>
            <w:r>
              <w:rPr>
                <w:rFonts w:hint="eastAsia"/>
                <w:color w:val="auto"/>
                <w:highlight w:val="none"/>
              </w:rPr>
              <w:t>2.3.6</w:t>
            </w:r>
          </w:p>
        </w:tc>
        <w:tc>
          <w:tcPr>
            <w:tcW w:w="1763" w:type="pct"/>
            <w:vAlign w:val="center"/>
          </w:tcPr>
          <w:p>
            <w:pPr>
              <w:jc w:val="center"/>
              <w:rPr>
                <w:color w:val="auto"/>
                <w:highlight w:val="none"/>
              </w:rPr>
            </w:pPr>
            <w:r>
              <w:rPr>
                <w:rFonts w:hint="eastAsia"/>
                <w:color w:val="auto"/>
                <w:highlight w:val="none"/>
              </w:rPr>
              <w:t>触发器适配</w:t>
            </w:r>
          </w:p>
        </w:tc>
        <w:tc>
          <w:tcPr>
            <w:tcW w:w="2608" w:type="pct"/>
          </w:tcPr>
          <w:p>
            <w:pPr>
              <w:rPr>
                <w:color w:val="auto"/>
                <w:highlight w:val="none"/>
              </w:rPr>
            </w:pPr>
            <w:r>
              <w:rPr>
                <w:rFonts w:hint="eastAsia"/>
                <w:color w:val="auto"/>
                <w:highlight w:val="none"/>
              </w:rPr>
              <w:t>触发器适配：按照国产数据库的语法要求和标准，调整触发器的触发时机（如BEFORE或AFTER）和类型（如INSERT、UPDATE、DELETE），并按照实际功能调整触发器的处理逻辑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trPr>
        <w:tc>
          <w:tcPr>
            <w:tcW w:w="627" w:type="pct"/>
            <w:vAlign w:val="center"/>
          </w:tcPr>
          <w:p>
            <w:pPr>
              <w:jc w:val="center"/>
              <w:rPr>
                <w:color w:val="auto"/>
                <w:highlight w:val="none"/>
              </w:rPr>
            </w:pPr>
            <w:r>
              <w:rPr>
                <w:rFonts w:hint="eastAsia"/>
                <w:color w:val="auto"/>
                <w:highlight w:val="none"/>
              </w:rPr>
              <w:t>2.3.7</w:t>
            </w:r>
          </w:p>
        </w:tc>
        <w:tc>
          <w:tcPr>
            <w:tcW w:w="1763" w:type="pct"/>
            <w:vAlign w:val="center"/>
          </w:tcPr>
          <w:p>
            <w:pPr>
              <w:jc w:val="center"/>
              <w:rPr>
                <w:color w:val="auto"/>
                <w:highlight w:val="none"/>
              </w:rPr>
            </w:pPr>
            <w:r>
              <w:rPr>
                <w:rFonts w:hint="eastAsia"/>
                <w:color w:val="auto"/>
                <w:highlight w:val="none"/>
              </w:rPr>
              <w:t>虚拟桌面国产数据库性能调试</w:t>
            </w:r>
          </w:p>
        </w:tc>
        <w:tc>
          <w:tcPr>
            <w:tcW w:w="2608" w:type="pct"/>
          </w:tcPr>
          <w:p>
            <w:pPr>
              <w:rPr>
                <w:color w:val="auto"/>
                <w:highlight w:val="none"/>
              </w:rPr>
            </w:pPr>
            <w:r>
              <w:rPr>
                <w:rFonts w:hint="eastAsia"/>
                <w:color w:val="auto"/>
                <w:highlight w:val="none"/>
              </w:rPr>
              <w:t>性能调试：根据国产数据库的缓存机制、查询优化器特点等，调整表结构中的分区策略、字段顺序等，以提高查询和数据处理的效率。同时还需要结合国产数据库的资源管理特性，对表的存储参数等进行优化设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27" w:type="pct"/>
            <w:vAlign w:val="center"/>
          </w:tcPr>
          <w:p>
            <w:pPr>
              <w:jc w:val="center"/>
              <w:rPr>
                <w:color w:val="auto"/>
                <w:highlight w:val="none"/>
              </w:rPr>
            </w:pPr>
            <w:r>
              <w:rPr>
                <w:rFonts w:hint="eastAsia"/>
                <w:color w:val="auto"/>
                <w:highlight w:val="none"/>
              </w:rPr>
              <w:t>2.3.8</w:t>
            </w:r>
          </w:p>
        </w:tc>
        <w:tc>
          <w:tcPr>
            <w:tcW w:w="1763" w:type="pct"/>
            <w:vAlign w:val="center"/>
          </w:tcPr>
          <w:p>
            <w:pPr>
              <w:jc w:val="center"/>
              <w:rPr>
                <w:color w:val="auto"/>
                <w:highlight w:val="none"/>
              </w:rPr>
            </w:pPr>
            <w:r>
              <w:rPr>
                <w:rFonts w:hint="eastAsia"/>
                <w:color w:val="auto"/>
                <w:highlight w:val="none"/>
              </w:rPr>
              <w:t>国产数据库sql语句调整</w:t>
            </w:r>
          </w:p>
        </w:tc>
        <w:tc>
          <w:tcPr>
            <w:tcW w:w="2608" w:type="pct"/>
          </w:tcPr>
          <w:p>
            <w:pPr>
              <w:rPr>
                <w:color w:val="auto"/>
                <w:highlight w:val="none"/>
              </w:rPr>
            </w:pPr>
            <w:r>
              <w:rPr>
                <w:rFonts w:hint="eastAsia"/>
                <w:color w:val="auto"/>
                <w:highlight w:val="none"/>
              </w:rPr>
              <w:t>遍历虚拟桌面系统所有功能点和数据库表，对不符合国产数据库SQL标准的数据库SQL语句进行整改。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27" w:type="pct"/>
            <w:vAlign w:val="center"/>
          </w:tcPr>
          <w:p>
            <w:pPr>
              <w:jc w:val="center"/>
              <w:rPr>
                <w:color w:val="auto"/>
                <w:highlight w:val="none"/>
              </w:rPr>
            </w:pPr>
            <w:r>
              <w:rPr>
                <w:rFonts w:hint="eastAsia"/>
                <w:color w:val="auto"/>
                <w:highlight w:val="none"/>
              </w:rPr>
              <w:t>2.3.9</w:t>
            </w:r>
          </w:p>
        </w:tc>
        <w:tc>
          <w:tcPr>
            <w:tcW w:w="1763" w:type="pct"/>
            <w:vAlign w:val="center"/>
          </w:tcPr>
          <w:p>
            <w:pPr>
              <w:jc w:val="center"/>
              <w:rPr>
                <w:color w:val="auto"/>
                <w:highlight w:val="none"/>
              </w:rPr>
            </w:pPr>
            <w:r>
              <w:rPr>
                <w:rFonts w:hint="eastAsia"/>
                <w:color w:val="auto"/>
                <w:highlight w:val="none"/>
              </w:rPr>
              <w:t>国产数据库引号标准调整</w:t>
            </w:r>
          </w:p>
        </w:tc>
        <w:tc>
          <w:tcPr>
            <w:tcW w:w="2608" w:type="pct"/>
          </w:tcPr>
          <w:p>
            <w:pPr>
              <w:rPr>
                <w:color w:val="auto"/>
                <w:highlight w:val="none"/>
              </w:rPr>
            </w:pPr>
            <w:r>
              <w:rPr>
                <w:rFonts w:hint="eastAsia"/>
                <w:color w:val="auto"/>
                <w:highlight w:val="none"/>
              </w:rPr>
              <w:t>引号标准：在国产数据库SQL标准中，字符串和日期值应该使用引号包围，而不仅仅是数字和布尔值。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27" w:type="pct"/>
            <w:vAlign w:val="center"/>
          </w:tcPr>
          <w:p>
            <w:pPr>
              <w:jc w:val="center"/>
              <w:rPr>
                <w:color w:val="auto"/>
                <w:highlight w:val="none"/>
              </w:rPr>
            </w:pPr>
            <w:r>
              <w:rPr>
                <w:rFonts w:hint="eastAsia"/>
                <w:color w:val="auto"/>
                <w:highlight w:val="none"/>
              </w:rPr>
              <w:t>2.3.10</w:t>
            </w:r>
          </w:p>
        </w:tc>
        <w:tc>
          <w:tcPr>
            <w:tcW w:w="1763" w:type="pct"/>
            <w:vAlign w:val="center"/>
          </w:tcPr>
          <w:p>
            <w:pPr>
              <w:jc w:val="center"/>
              <w:rPr>
                <w:color w:val="auto"/>
                <w:highlight w:val="none"/>
              </w:rPr>
            </w:pPr>
            <w:r>
              <w:rPr>
                <w:rFonts w:hint="eastAsia"/>
                <w:color w:val="auto"/>
                <w:highlight w:val="none"/>
              </w:rPr>
              <w:t>大/小写敏感性</w:t>
            </w:r>
          </w:p>
        </w:tc>
        <w:tc>
          <w:tcPr>
            <w:tcW w:w="2608" w:type="pct"/>
          </w:tcPr>
          <w:p>
            <w:pPr>
              <w:rPr>
                <w:color w:val="auto"/>
                <w:highlight w:val="none"/>
              </w:rPr>
            </w:pPr>
            <w:r>
              <w:rPr>
                <w:rFonts w:hint="eastAsia"/>
                <w:color w:val="auto"/>
                <w:highlight w:val="none"/>
              </w:rPr>
              <w:t>大/小写敏感性：在国产数据库SQL标准中，表名和字段名是不区分大小写的。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27" w:type="pct"/>
            <w:vAlign w:val="center"/>
          </w:tcPr>
          <w:p>
            <w:pPr>
              <w:jc w:val="center"/>
              <w:rPr>
                <w:color w:val="auto"/>
                <w:highlight w:val="none"/>
              </w:rPr>
            </w:pPr>
            <w:r>
              <w:rPr>
                <w:rFonts w:hint="eastAsia"/>
                <w:color w:val="auto"/>
                <w:highlight w:val="none"/>
              </w:rPr>
              <w:t>2.3.11</w:t>
            </w:r>
          </w:p>
        </w:tc>
        <w:tc>
          <w:tcPr>
            <w:tcW w:w="1763" w:type="pct"/>
            <w:vAlign w:val="center"/>
          </w:tcPr>
          <w:p>
            <w:pPr>
              <w:jc w:val="center"/>
              <w:rPr>
                <w:color w:val="auto"/>
                <w:highlight w:val="none"/>
              </w:rPr>
            </w:pPr>
            <w:r>
              <w:rPr>
                <w:rFonts w:hint="eastAsia"/>
                <w:color w:val="auto"/>
                <w:highlight w:val="none"/>
              </w:rPr>
              <w:t>大/小写敏感性</w:t>
            </w:r>
          </w:p>
        </w:tc>
        <w:tc>
          <w:tcPr>
            <w:tcW w:w="2608" w:type="pct"/>
          </w:tcPr>
          <w:p>
            <w:pPr>
              <w:rPr>
                <w:color w:val="auto"/>
                <w:highlight w:val="none"/>
              </w:rPr>
            </w:pPr>
            <w:r>
              <w:rPr>
                <w:rFonts w:hint="eastAsia"/>
                <w:color w:val="auto"/>
                <w:highlight w:val="none"/>
              </w:rPr>
              <w:t>大/小写敏感性：在国产数据库SQL标准中，关键字应该使用反引号包围，以区分它们与其他数据库对象的名称。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27" w:type="pct"/>
            <w:vAlign w:val="center"/>
          </w:tcPr>
          <w:p>
            <w:pPr>
              <w:jc w:val="center"/>
              <w:rPr>
                <w:color w:val="auto"/>
                <w:highlight w:val="none"/>
              </w:rPr>
            </w:pPr>
            <w:r>
              <w:rPr>
                <w:rFonts w:hint="eastAsia"/>
                <w:color w:val="auto"/>
                <w:highlight w:val="none"/>
              </w:rPr>
              <w:t>2.3.12</w:t>
            </w:r>
          </w:p>
        </w:tc>
        <w:tc>
          <w:tcPr>
            <w:tcW w:w="1763" w:type="pct"/>
            <w:vAlign w:val="center"/>
          </w:tcPr>
          <w:p>
            <w:pPr>
              <w:jc w:val="center"/>
              <w:rPr>
                <w:color w:val="auto"/>
                <w:highlight w:val="none"/>
              </w:rPr>
            </w:pPr>
            <w:r>
              <w:rPr>
                <w:rFonts w:hint="eastAsia"/>
                <w:color w:val="auto"/>
                <w:highlight w:val="none"/>
              </w:rPr>
              <w:t>虚拟桌面语法定义与修改</w:t>
            </w:r>
          </w:p>
        </w:tc>
        <w:tc>
          <w:tcPr>
            <w:tcW w:w="2608" w:type="pct"/>
          </w:tcPr>
          <w:p>
            <w:pPr>
              <w:rPr>
                <w:color w:val="auto"/>
                <w:highlight w:val="none"/>
              </w:rPr>
            </w:pPr>
            <w:r>
              <w:rPr>
                <w:rFonts w:hint="eastAsia"/>
                <w:color w:val="auto"/>
                <w:highlight w:val="none"/>
              </w:rPr>
              <w:t>语法定义：需要根据国产数据库的技术文档进行相应的语法修改。检查语法错误时，可以尝试在数据库管理工具中执行SQL语句或使用语法检查工具进行检查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27" w:type="pct"/>
            <w:vAlign w:val="center"/>
          </w:tcPr>
          <w:p>
            <w:pPr>
              <w:jc w:val="center"/>
              <w:rPr>
                <w:color w:val="auto"/>
                <w:highlight w:val="none"/>
              </w:rPr>
            </w:pPr>
            <w:r>
              <w:rPr>
                <w:rFonts w:hint="eastAsia"/>
                <w:color w:val="auto"/>
                <w:highlight w:val="none"/>
              </w:rPr>
              <w:t>2.3.13</w:t>
            </w:r>
          </w:p>
        </w:tc>
        <w:tc>
          <w:tcPr>
            <w:tcW w:w="1763" w:type="pct"/>
            <w:vAlign w:val="center"/>
          </w:tcPr>
          <w:p>
            <w:pPr>
              <w:jc w:val="center"/>
              <w:rPr>
                <w:color w:val="auto"/>
                <w:highlight w:val="none"/>
              </w:rPr>
            </w:pPr>
            <w:r>
              <w:rPr>
                <w:rFonts w:hint="eastAsia"/>
                <w:color w:val="auto"/>
                <w:highlight w:val="none"/>
              </w:rPr>
              <w:t>优化SQL语句</w:t>
            </w:r>
          </w:p>
        </w:tc>
        <w:tc>
          <w:tcPr>
            <w:tcW w:w="2608" w:type="pct"/>
          </w:tcPr>
          <w:p>
            <w:pPr>
              <w:rPr>
                <w:color w:val="auto"/>
                <w:highlight w:val="none"/>
              </w:rPr>
            </w:pPr>
            <w:r>
              <w:rPr>
                <w:rFonts w:hint="eastAsia"/>
                <w:color w:val="auto"/>
                <w:highlight w:val="none"/>
              </w:rPr>
              <w:t>优化SQL语句：对SQL语句进行优化，避免使用低效的查询方式，比如避免全表扫描，合理使用索引，优化查询顺序等。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27" w:type="pct"/>
            <w:vAlign w:val="center"/>
          </w:tcPr>
          <w:p>
            <w:pPr>
              <w:jc w:val="center"/>
              <w:rPr>
                <w:color w:val="auto"/>
                <w:highlight w:val="none"/>
              </w:rPr>
            </w:pPr>
            <w:r>
              <w:rPr>
                <w:rFonts w:hint="eastAsia"/>
                <w:color w:val="auto"/>
                <w:highlight w:val="none"/>
              </w:rPr>
              <w:t>2.3.14</w:t>
            </w:r>
          </w:p>
        </w:tc>
        <w:tc>
          <w:tcPr>
            <w:tcW w:w="1763" w:type="pct"/>
            <w:vAlign w:val="center"/>
          </w:tcPr>
          <w:p>
            <w:pPr>
              <w:jc w:val="center"/>
              <w:rPr>
                <w:color w:val="auto"/>
                <w:highlight w:val="none"/>
              </w:rPr>
            </w:pPr>
            <w:r>
              <w:rPr>
                <w:rFonts w:hint="eastAsia"/>
                <w:color w:val="auto"/>
                <w:highlight w:val="none"/>
              </w:rPr>
              <w:t>调整数据库参数</w:t>
            </w:r>
          </w:p>
        </w:tc>
        <w:tc>
          <w:tcPr>
            <w:tcW w:w="2608" w:type="pct"/>
          </w:tcPr>
          <w:p>
            <w:pPr>
              <w:rPr>
                <w:color w:val="auto"/>
                <w:highlight w:val="none"/>
              </w:rPr>
            </w:pPr>
            <w:r>
              <w:rPr>
                <w:rFonts w:hint="eastAsia"/>
                <w:color w:val="auto"/>
                <w:highlight w:val="none"/>
              </w:rPr>
              <w:t>调整数据库参数：根据实际适配的国产数据库的情况调整数据库参数，从缓存大小、连接数、日志级别等参数进行调整，以此提高数据库性能。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27" w:type="pct"/>
            <w:vAlign w:val="center"/>
          </w:tcPr>
          <w:p>
            <w:pPr>
              <w:jc w:val="center"/>
              <w:rPr>
                <w:color w:val="auto"/>
                <w:highlight w:val="none"/>
              </w:rPr>
            </w:pPr>
            <w:r>
              <w:rPr>
                <w:rFonts w:hint="eastAsia"/>
                <w:color w:val="auto"/>
                <w:highlight w:val="none"/>
              </w:rPr>
              <w:t>2.3.15</w:t>
            </w:r>
          </w:p>
        </w:tc>
        <w:tc>
          <w:tcPr>
            <w:tcW w:w="1763" w:type="pct"/>
            <w:vAlign w:val="center"/>
          </w:tcPr>
          <w:p>
            <w:pPr>
              <w:jc w:val="center"/>
              <w:rPr>
                <w:color w:val="auto"/>
                <w:highlight w:val="none"/>
              </w:rPr>
            </w:pPr>
            <w:r>
              <w:rPr>
                <w:rFonts w:hint="eastAsia"/>
                <w:color w:val="auto"/>
                <w:highlight w:val="none"/>
              </w:rPr>
              <w:t>优化数据库结构</w:t>
            </w:r>
          </w:p>
        </w:tc>
        <w:tc>
          <w:tcPr>
            <w:tcW w:w="2608" w:type="pct"/>
          </w:tcPr>
          <w:p>
            <w:pPr>
              <w:rPr>
                <w:color w:val="auto"/>
                <w:highlight w:val="none"/>
              </w:rPr>
            </w:pPr>
            <w:r>
              <w:rPr>
                <w:rFonts w:hint="eastAsia"/>
                <w:color w:val="auto"/>
                <w:highlight w:val="none"/>
              </w:rPr>
              <w:t>优化数据库结构：对数据库表结构进行优化，避免使用大量小表等。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27" w:type="pct"/>
            <w:vAlign w:val="center"/>
          </w:tcPr>
          <w:p>
            <w:pPr>
              <w:jc w:val="center"/>
              <w:rPr>
                <w:color w:val="auto"/>
                <w:highlight w:val="none"/>
              </w:rPr>
            </w:pPr>
            <w:r>
              <w:rPr>
                <w:rFonts w:hint="eastAsia"/>
                <w:color w:val="auto"/>
                <w:highlight w:val="none"/>
              </w:rPr>
              <w:t>2.3.16</w:t>
            </w:r>
          </w:p>
        </w:tc>
        <w:tc>
          <w:tcPr>
            <w:tcW w:w="1763" w:type="pct"/>
            <w:vAlign w:val="center"/>
          </w:tcPr>
          <w:p>
            <w:pPr>
              <w:jc w:val="center"/>
              <w:rPr>
                <w:color w:val="auto"/>
                <w:highlight w:val="none"/>
              </w:rPr>
            </w:pPr>
            <w:r>
              <w:rPr>
                <w:rFonts w:hint="eastAsia"/>
                <w:color w:val="auto"/>
                <w:highlight w:val="none"/>
              </w:rPr>
              <w:t>文件系统参数、网络参数调整</w:t>
            </w:r>
          </w:p>
        </w:tc>
        <w:tc>
          <w:tcPr>
            <w:tcW w:w="2608" w:type="pct"/>
          </w:tcPr>
          <w:p>
            <w:pPr>
              <w:rPr>
                <w:color w:val="auto"/>
                <w:highlight w:val="none"/>
              </w:rPr>
            </w:pPr>
            <w:r>
              <w:rPr>
                <w:rFonts w:hint="eastAsia"/>
                <w:color w:val="auto"/>
                <w:highlight w:val="none"/>
              </w:rPr>
              <w:t>参数调整：按照国产操作系统相关参数要求调整文件系统参数、网络参数等，以提高数据库性能。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27" w:type="pct"/>
            <w:vAlign w:val="center"/>
          </w:tcPr>
          <w:p>
            <w:pPr>
              <w:jc w:val="center"/>
              <w:rPr>
                <w:b/>
                <w:bCs/>
                <w:color w:val="auto"/>
                <w:highlight w:val="none"/>
              </w:rPr>
            </w:pPr>
            <w:r>
              <w:rPr>
                <w:rFonts w:hint="eastAsia"/>
                <w:b/>
                <w:bCs/>
                <w:color w:val="auto"/>
                <w:highlight w:val="none"/>
              </w:rPr>
              <w:t>2.4</w:t>
            </w:r>
          </w:p>
        </w:tc>
        <w:tc>
          <w:tcPr>
            <w:tcW w:w="1763" w:type="pct"/>
            <w:vAlign w:val="center"/>
          </w:tcPr>
          <w:p>
            <w:pPr>
              <w:jc w:val="center"/>
              <w:rPr>
                <w:b/>
                <w:bCs/>
                <w:color w:val="auto"/>
                <w:highlight w:val="none"/>
              </w:rPr>
            </w:pPr>
            <w:r>
              <w:rPr>
                <w:rFonts w:hint="eastAsia"/>
                <w:b/>
                <w:bCs/>
                <w:color w:val="auto"/>
                <w:highlight w:val="none"/>
              </w:rPr>
              <w:t>虚拟桌面系统功能国产化改造</w:t>
            </w:r>
          </w:p>
        </w:tc>
        <w:tc>
          <w:tcPr>
            <w:tcW w:w="2608" w:type="pct"/>
          </w:tcPr>
          <w:p>
            <w:pPr>
              <w:rPr>
                <w:color w:val="auto"/>
                <w:highlight w:val="none"/>
              </w:rPr>
            </w:pPr>
            <w:r>
              <w:rPr>
                <w:rFonts w:hint="eastAsia"/>
                <w:color w:val="auto"/>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0" w:hRule="atLeast"/>
        </w:trPr>
        <w:tc>
          <w:tcPr>
            <w:tcW w:w="627" w:type="pct"/>
            <w:vAlign w:val="center"/>
          </w:tcPr>
          <w:p>
            <w:pPr>
              <w:jc w:val="center"/>
              <w:rPr>
                <w:color w:val="auto"/>
                <w:highlight w:val="none"/>
              </w:rPr>
            </w:pPr>
            <w:r>
              <w:rPr>
                <w:rFonts w:hint="eastAsia"/>
                <w:color w:val="auto"/>
                <w:highlight w:val="none"/>
              </w:rPr>
              <w:t>2.4.1</w:t>
            </w:r>
          </w:p>
        </w:tc>
        <w:tc>
          <w:tcPr>
            <w:tcW w:w="1763" w:type="pct"/>
            <w:vAlign w:val="center"/>
          </w:tcPr>
          <w:p>
            <w:pPr>
              <w:jc w:val="center"/>
              <w:rPr>
                <w:color w:val="auto"/>
                <w:highlight w:val="none"/>
              </w:rPr>
            </w:pPr>
            <w:r>
              <w:rPr>
                <w:rFonts w:hint="eastAsia"/>
                <w:color w:val="auto"/>
                <w:highlight w:val="none"/>
              </w:rPr>
              <w:t>虚拟桌面安全水印标识</w:t>
            </w:r>
          </w:p>
        </w:tc>
        <w:tc>
          <w:tcPr>
            <w:tcW w:w="2608" w:type="pct"/>
          </w:tcPr>
          <w:p>
            <w:pPr>
              <w:rPr>
                <w:color w:val="auto"/>
                <w:highlight w:val="none"/>
              </w:rPr>
            </w:pPr>
            <w:r>
              <w:rPr>
                <w:rFonts w:hint="eastAsia"/>
                <w:color w:val="auto"/>
                <w:highlight w:val="none"/>
              </w:rPr>
              <w:t>虚拟桌面安全水印标识：在国产化环境下安全云桌面需要实现桌面安全水印功能。支持灵活配置，以适应不同的安全策略，在虚拟桌面通过水印显示用户信息，防止拍照或截屏数据泄漏。系统还将实现水印的防护机制，确保水印不可删除或覆盖，并支持实时显示和动态更新，以满足最新的安全需求，防止用户。这些定制开发工作将实现虚拟桌面的安全标识功能，增强数据保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0" w:hRule="atLeast"/>
        </w:trPr>
        <w:tc>
          <w:tcPr>
            <w:tcW w:w="627" w:type="pct"/>
            <w:vAlign w:val="center"/>
          </w:tcPr>
          <w:p>
            <w:pPr>
              <w:jc w:val="center"/>
              <w:rPr>
                <w:color w:val="auto"/>
                <w:highlight w:val="none"/>
              </w:rPr>
            </w:pPr>
            <w:r>
              <w:rPr>
                <w:rFonts w:hint="eastAsia"/>
                <w:color w:val="auto"/>
                <w:highlight w:val="none"/>
              </w:rPr>
              <w:t>2.4.2</w:t>
            </w:r>
          </w:p>
        </w:tc>
        <w:tc>
          <w:tcPr>
            <w:tcW w:w="1763" w:type="pct"/>
            <w:vAlign w:val="center"/>
          </w:tcPr>
          <w:p>
            <w:pPr>
              <w:jc w:val="center"/>
              <w:rPr>
                <w:color w:val="auto"/>
                <w:highlight w:val="none"/>
              </w:rPr>
            </w:pPr>
            <w:r>
              <w:rPr>
                <w:rFonts w:hint="eastAsia"/>
                <w:color w:val="auto"/>
                <w:highlight w:val="none"/>
              </w:rPr>
              <w:t>桌面安全远程访问管理</w:t>
            </w:r>
          </w:p>
        </w:tc>
        <w:tc>
          <w:tcPr>
            <w:tcW w:w="2608" w:type="pct"/>
          </w:tcPr>
          <w:p>
            <w:pPr>
              <w:rPr>
                <w:color w:val="auto"/>
                <w:highlight w:val="none"/>
              </w:rPr>
            </w:pPr>
            <w:r>
              <w:rPr>
                <w:rFonts w:hint="eastAsia"/>
                <w:color w:val="auto"/>
                <w:highlight w:val="none"/>
              </w:rPr>
              <w:t>桌面安全远程访问管理：在国产化环境下可以为云桌面提供统一的远程访问入口，同时对远程访问云桌面的帐号行为进行记录和控制，使管理人员可以集中查看云桌面的远程访问连接状态，对行为可疑的帐号可以立即中断其与云桌面的远程访问连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0" w:hRule="atLeast"/>
        </w:trPr>
        <w:tc>
          <w:tcPr>
            <w:tcW w:w="627" w:type="pct"/>
            <w:vAlign w:val="center"/>
          </w:tcPr>
          <w:p>
            <w:pPr>
              <w:jc w:val="center"/>
              <w:rPr>
                <w:color w:val="auto"/>
                <w:highlight w:val="none"/>
              </w:rPr>
            </w:pPr>
            <w:r>
              <w:rPr>
                <w:rFonts w:hint="eastAsia"/>
                <w:color w:val="auto"/>
                <w:highlight w:val="none"/>
              </w:rPr>
              <w:t>2.4.3</w:t>
            </w:r>
          </w:p>
        </w:tc>
        <w:tc>
          <w:tcPr>
            <w:tcW w:w="1763" w:type="pct"/>
            <w:vAlign w:val="center"/>
          </w:tcPr>
          <w:p>
            <w:pPr>
              <w:jc w:val="center"/>
              <w:rPr>
                <w:color w:val="auto"/>
                <w:highlight w:val="none"/>
              </w:rPr>
            </w:pPr>
            <w:r>
              <w:rPr>
                <w:rFonts w:hint="eastAsia"/>
                <w:color w:val="auto"/>
                <w:highlight w:val="none"/>
              </w:rPr>
              <w:t>虚拟机数据加密管理</w:t>
            </w:r>
          </w:p>
        </w:tc>
        <w:tc>
          <w:tcPr>
            <w:tcW w:w="2608" w:type="pct"/>
          </w:tcPr>
          <w:p>
            <w:pPr>
              <w:rPr>
                <w:color w:val="auto"/>
                <w:highlight w:val="none"/>
              </w:rPr>
            </w:pPr>
            <w:r>
              <w:rPr>
                <w:rFonts w:hint="eastAsia"/>
                <w:color w:val="auto"/>
                <w:highlight w:val="none"/>
              </w:rPr>
              <w:t>虚拟机数据加密管理：在国产化环境下需要采用SM4等加密算法对虚拟机进行闭环加密保护，包括：虚拟机创建（在线安装）、虚拟机运行、虚拟机克隆、虚拟制作模板、虚拟机备份恢复（默认加密）、虚拟机导入导出、虚拟机迁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27" w:type="pct"/>
            <w:vAlign w:val="center"/>
          </w:tcPr>
          <w:p>
            <w:pPr>
              <w:jc w:val="center"/>
              <w:rPr>
                <w:color w:val="auto"/>
                <w:highlight w:val="none"/>
              </w:rPr>
            </w:pPr>
            <w:r>
              <w:rPr>
                <w:rFonts w:hint="eastAsia"/>
                <w:color w:val="auto"/>
                <w:highlight w:val="none"/>
              </w:rPr>
              <w:t>2.4.4</w:t>
            </w:r>
          </w:p>
        </w:tc>
        <w:tc>
          <w:tcPr>
            <w:tcW w:w="1763" w:type="pct"/>
            <w:vAlign w:val="center"/>
          </w:tcPr>
          <w:p>
            <w:pPr>
              <w:jc w:val="center"/>
              <w:rPr>
                <w:color w:val="auto"/>
                <w:highlight w:val="none"/>
              </w:rPr>
            </w:pPr>
            <w:r>
              <w:rPr>
                <w:rFonts w:hint="eastAsia"/>
                <w:color w:val="auto"/>
                <w:highlight w:val="none"/>
              </w:rPr>
              <w:t>桌面外设管理</w:t>
            </w:r>
          </w:p>
        </w:tc>
        <w:tc>
          <w:tcPr>
            <w:tcW w:w="2608" w:type="pct"/>
          </w:tcPr>
          <w:p>
            <w:pPr>
              <w:rPr>
                <w:color w:val="auto"/>
                <w:highlight w:val="none"/>
              </w:rPr>
            </w:pPr>
            <w:r>
              <w:rPr>
                <w:rFonts w:hint="eastAsia"/>
                <w:color w:val="auto"/>
                <w:highlight w:val="none"/>
              </w:rPr>
              <w:t>桌面外设管理：在国产化环境下安全云桌面需要支持基于部门、用户、桌面建立USB外设访问控制策略，对桌面外设使用权限进行管理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trPr>
        <w:tc>
          <w:tcPr>
            <w:tcW w:w="627" w:type="pct"/>
            <w:vAlign w:val="center"/>
          </w:tcPr>
          <w:p>
            <w:pPr>
              <w:jc w:val="center"/>
              <w:rPr>
                <w:color w:val="auto"/>
                <w:highlight w:val="none"/>
              </w:rPr>
            </w:pPr>
            <w:r>
              <w:rPr>
                <w:rFonts w:hint="eastAsia"/>
                <w:color w:val="auto"/>
                <w:highlight w:val="none"/>
              </w:rPr>
              <w:t>2.4.5</w:t>
            </w:r>
          </w:p>
        </w:tc>
        <w:tc>
          <w:tcPr>
            <w:tcW w:w="1763" w:type="pct"/>
            <w:vAlign w:val="center"/>
          </w:tcPr>
          <w:p>
            <w:pPr>
              <w:jc w:val="center"/>
              <w:rPr>
                <w:color w:val="auto"/>
                <w:highlight w:val="none"/>
              </w:rPr>
            </w:pPr>
            <w:r>
              <w:rPr>
                <w:rFonts w:hint="eastAsia"/>
                <w:color w:val="auto"/>
                <w:highlight w:val="none"/>
              </w:rPr>
              <w:t>数据安全保护</w:t>
            </w:r>
          </w:p>
        </w:tc>
        <w:tc>
          <w:tcPr>
            <w:tcW w:w="2608" w:type="pct"/>
          </w:tcPr>
          <w:p>
            <w:pPr>
              <w:rPr>
                <w:color w:val="auto"/>
                <w:highlight w:val="none"/>
              </w:rPr>
            </w:pPr>
            <w:r>
              <w:rPr>
                <w:rFonts w:hint="eastAsia"/>
                <w:color w:val="auto"/>
                <w:highlight w:val="none"/>
              </w:rPr>
              <w:t>数据安全保护：在国产化环境下需要对终端与安全云桌面系统之间的数据交换行为进行控制，保护安全云桌面系统所处理和存储的数据不被非法泄露和窃取，保证用户业务数据安全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0" w:hRule="atLeast"/>
        </w:trPr>
        <w:tc>
          <w:tcPr>
            <w:tcW w:w="627" w:type="pct"/>
            <w:vAlign w:val="center"/>
          </w:tcPr>
          <w:p>
            <w:pPr>
              <w:jc w:val="center"/>
              <w:rPr>
                <w:color w:val="auto"/>
                <w:highlight w:val="none"/>
              </w:rPr>
            </w:pPr>
            <w:r>
              <w:rPr>
                <w:rFonts w:hint="eastAsia"/>
                <w:color w:val="auto"/>
                <w:highlight w:val="none"/>
              </w:rPr>
              <w:t>2.4.6</w:t>
            </w:r>
          </w:p>
        </w:tc>
        <w:tc>
          <w:tcPr>
            <w:tcW w:w="1763" w:type="pct"/>
            <w:vAlign w:val="center"/>
          </w:tcPr>
          <w:p>
            <w:pPr>
              <w:jc w:val="center"/>
              <w:rPr>
                <w:color w:val="auto"/>
                <w:highlight w:val="none"/>
              </w:rPr>
            </w:pPr>
            <w:r>
              <w:rPr>
                <w:rFonts w:hint="eastAsia"/>
                <w:color w:val="auto"/>
                <w:highlight w:val="none"/>
              </w:rPr>
              <w:t>安全隔离管理</w:t>
            </w:r>
          </w:p>
        </w:tc>
        <w:tc>
          <w:tcPr>
            <w:tcW w:w="2608" w:type="pct"/>
          </w:tcPr>
          <w:p>
            <w:pPr>
              <w:rPr>
                <w:color w:val="auto"/>
                <w:highlight w:val="none"/>
              </w:rPr>
            </w:pPr>
            <w:r>
              <w:rPr>
                <w:rFonts w:hint="eastAsia"/>
                <w:color w:val="auto"/>
                <w:highlight w:val="none"/>
              </w:rPr>
              <w:t>安全隔离管理：在国产化环境下需要满足安全管理要求，系统将为虚拟桌面构建全面的安全隔离管理，包括CPU、内存、网络和存储方面的隔离。为每个虚拟桌面提供独立的计算资源、内存空间、和存储空间，确保它们的操作不会互相干扰或受到其他虚拟机的影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trPr>
        <w:tc>
          <w:tcPr>
            <w:tcW w:w="627" w:type="pct"/>
            <w:vAlign w:val="center"/>
          </w:tcPr>
          <w:p>
            <w:pPr>
              <w:jc w:val="center"/>
              <w:rPr>
                <w:color w:val="auto"/>
                <w:highlight w:val="none"/>
              </w:rPr>
            </w:pPr>
            <w:r>
              <w:rPr>
                <w:rFonts w:hint="eastAsia"/>
                <w:color w:val="auto"/>
                <w:highlight w:val="none"/>
              </w:rPr>
              <w:t>2.4.7</w:t>
            </w:r>
          </w:p>
        </w:tc>
        <w:tc>
          <w:tcPr>
            <w:tcW w:w="1763" w:type="pct"/>
            <w:vAlign w:val="center"/>
          </w:tcPr>
          <w:p>
            <w:pPr>
              <w:jc w:val="center"/>
              <w:rPr>
                <w:color w:val="auto"/>
                <w:highlight w:val="none"/>
              </w:rPr>
            </w:pPr>
            <w:r>
              <w:rPr>
                <w:rFonts w:hint="eastAsia"/>
                <w:color w:val="auto"/>
                <w:highlight w:val="none"/>
              </w:rPr>
              <w:t>安全隔离防护</w:t>
            </w:r>
          </w:p>
        </w:tc>
        <w:tc>
          <w:tcPr>
            <w:tcW w:w="2608" w:type="pct"/>
          </w:tcPr>
          <w:p>
            <w:pPr>
              <w:rPr>
                <w:color w:val="auto"/>
                <w:highlight w:val="none"/>
              </w:rPr>
            </w:pPr>
            <w:r>
              <w:rPr>
                <w:rFonts w:hint="eastAsia"/>
                <w:color w:val="auto"/>
                <w:highlight w:val="none"/>
              </w:rPr>
              <w:t>安全隔离防护：在国产化环境下需要实现在网络方面将实施严格的隔离措施，保障虚拟桌面之间的网络通信安全。所有的虚拟磁盘将会进行加密保护，以确保存储数据的安全。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0" w:hRule="atLeast"/>
        </w:trPr>
        <w:tc>
          <w:tcPr>
            <w:tcW w:w="627" w:type="pct"/>
            <w:vAlign w:val="center"/>
          </w:tcPr>
          <w:p>
            <w:pPr>
              <w:jc w:val="center"/>
              <w:rPr>
                <w:color w:val="auto"/>
                <w:highlight w:val="none"/>
              </w:rPr>
            </w:pPr>
            <w:r>
              <w:rPr>
                <w:rFonts w:hint="eastAsia"/>
                <w:color w:val="auto"/>
                <w:highlight w:val="none"/>
              </w:rPr>
              <w:t>2.4.8</w:t>
            </w:r>
          </w:p>
        </w:tc>
        <w:tc>
          <w:tcPr>
            <w:tcW w:w="1763" w:type="pct"/>
            <w:vAlign w:val="center"/>
          </w:tcPr>
          <w:p>
            <w:pPr>
              <w:jc w:val="center"/>
              <w:rPr>
                <w:color w:val="auto"/>
                <w:highlight w:val="none"/>
              </w:rPr>
            </w:pPr>
            <w:r>
              <w:rPr>
                <w:rFonts w:hint="eastAsia"/>
                <w:color w:val="auto"/>
                <w:highlight w:val="none"/>
              </w:rPr>
              <w:t>虚拟桌面操作审计</w:t>
            </w:r>
          </w:p>
        </w:tc>
        <w:tc>
          <w:tcPr>
            <w:tcW w:w="2608" w:type="pct"/>
          </w:tcPr>
          <w:p>
            <w:pPr>
              <w:rPr>
                <w:color w:val="auto"/>
                <w:highlight w:val="none"/>
              </w:rPr>
            </w:pPr>
            <w:r>
              <w:rPr>
                <w:rFonts w:hint="eastAsia"/>
                <w:color w:val="auto"/>
                <w:highlight w:val="none"/>
              </w:rPr>
              <w:t>虚拟桌面操作审计：在国产化环境下需要对虚拟桌面实施详细的操作日志审计功能，记录所有用户活动、系统事件和配置更改。系统将引入强有力的防篡改机制，通过加密技术和防篡改存储保护审计日志，确保其完整性和不可篡改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0" w:hRule="atLeast"/>
        </w:trPr>
        <w:tc>
          <w:tcPr>
            <w:tcW w:w="627" w:type="pct"/>
            <w:vAlign w:val="center"/>
          </w:tcPr>
          <w:p>
            <w:pPr>
              <w:jc w:val="center"/>
              <w:rPr>
                <w:color w:val="auto"/>
                <w:highlight w:val="none"/>
              </w:rPr>
            </w:pPr>
            <w:r>
              <w:rPr>
                <w:rFonts w:hint="eastAsia"/>
                <w:color w:val="auto"/>
                <w:highlight w:val="none"/>
              </w:rPr>
              <w:t>2.4.9</w:t>
            </w:r>
          </w:p>
        </w:tc>
        <w:tc>
          <w:tcPr>
            <w:tcW w:w="1763" w:type="pct"/>
            <w:vAlign w:val="center"/>
          </w:tcPr>
          <w:p>
            <w:pPr>
              <w:jc w:val="center"/>
              <w:rPr>
                <w:color w:val="auto"/>
                <w:highlight w:val="none"/>
              </w:rPr>
            </w:pPr>
            <w:r>
              <w:rPr>
                <w:rFonts w:hint="eastAsia"/>
                <w:color w:val="auto"/>
                <w:highlight w:val="none"/>
              </w:rPr>
              <w:t>虚拟桌面快照及备份恢复</w:t>
            </w:r>
          </w:p>
        </w:tc>
        <w:tc>
          <w:tcPr>
            <w:tcW w:w="2608" w:type="pct"/>
          </w:tcPr>
          <w:p>
            <w:pPr>
              <w:rPr>
                <w:color w:val="auto"/>
                <w:highlight w:val="none"/>
              </w:rPr>
            </w:pPr>
            <w:r>
              <w:rPr>
                <w:rFonts w:hint="eastAsia"/>
                <w:color w:val="auto"/>
                <w:highlight w:val="none"/>
              </w:rPr>
              <w:t>虚拟桌面快照及备份恢复：在国产化环境下需要支持在虚拟化桌面系统建设中，将对现有备份机制进行调研，并基于调研结果进行定制开发。这包括对备份类型、快照管理、备份存储位置等进行适配和优化，同时引入增量备份策略以提高备份效率。还需要开发和调整相关的网络通信协议和数据存储格式，以确保系统在高负载情况下的备份和恢复稳定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27" w:type="pct"/>
            <w:vAlign w:val="center"/>
          </w:tcPr>
          <w:p>
            <w:pPr>
              <w:jc w:val="center"/>
              <w:rPr>
                <w:color w:val="auto"/>
                <w:highlight w:val="none"/>
              </w:rPr>
            </w:pPr>
            <w:r>
              <w:rPr>
                <w:rFonts w:hint="eastAsia"/>
                <w:color w:val="auto"/>
                <w:highlight w:val="none"/>
              </w:rPr>
              <w:t>2.4.10</w:t>
            </w:r>
          </w:p>
        </w:tc>
        <w:tc>
          <w:tcPr>
            <w:tcW w:w="1763" w:type="pct"/>
            <w:vAlign w:val="center"/>
          </w:tcPr>
          <w:p>
            <w:pPr>
              <w:jc w:val="center"/>
              <w:rPr>
                <w:color w:val="auto"/>
                <w:highlight w:val="none"/>
              </w:rPr>
            </w:pPr>
            <w:r>
              <w:rPr>
                <w:rFonts w:hint="eastAsia"/>
                <w:color w:val="auto"/>
                <w:highlight w:val="none"/>
              </w:rPr>
              <w:t>个人信息维护管理</w:t>
            </w:r>
          </w:p>
        </w:tc>
        <w:tc>
          <w:tcPr>
            <w:tcW w:w="2608" w:type="pct"/>
          </w:tcPr>
          <w:p>
            <w:pPr>
              <w:rPr>
                <w:color w:val="auto"/>
                <w:highlight w:val="none"/>
              </w:rPr>
            </w:pPr>
            <w:r>
              <w:rPr>
                <w:rFonts w:hint="eastAsia"/>
                <w:color w:val="auto"/>
                <w:highlight w:val="none"/>
              </w:rPr>
              <w:t>个人信息维护管理：在国产化环境下需要支持对安全云桌面系统用户个人的基本信息进行维护以及系统用户个人的密码进行设置和修改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27" w:type="pct"/>
            <w:vAlign w:val="center"/>
          </w:tcPr>
          <w:p>
            <w:pPr>
              <w:jc w:val="center"/>
              <w:rPr>
                <w:color w:val="auto"/>
                <w:highlight w:val="none"/>
              </w:rPr>
            </w:pPr>
            <w:r>
              <w:rPr>
                <w:rFonts w:hint="eastAsia"/>
                <w:color w:val="auto"/>
                <w:highlight w:val="none"/>
              </w:rPr>
              <w:t>2.4.11</w:t>
            </w:r>
          </w:p>
        </w:tc>
        <w:tc>
          <w:tcPr>
            <w:tcW w:w="1763" w:type="pct"/>
            <w:vAlign w:val="center"/>
          </w:tcPr>
          <w:p>
            <w:pPr>
              <w:jc w:val="center"/>
              <w:rPr>
                <w:color w:val="auto"/>
                <w:highlight w:val="none"/>
              </w:rPr>
            </w:pPr>
            <w:r>
              <w:rPr>
                <w:rFonts w:hint="eastAsia"/>
                <w:color w:val="auto"/>
                <w:highlight w:val="none"/>
              </w:rPr>
              <w:t>云桌面维护管理</w:t>
            </w:r>
          </w:p>
        </w:tc>
        <w:tc>
          <w:tcPr>
            <w:tcW w:w="2608" w:type="pct"/>
          </w:tcPr>
          <w:p>
            <w:pPr>
              <w:rPr>
                <w:color w:val="auto"/>
                <w:highlight w:val="none"/>
              </w:rPr>
            </w:pPr>
            <w:r>
              <w:rPr>
                <w:rFonts w:hint="eastAsia"/>
                <w:color w:val="auto"/>
                <w:highlight w:val="none"/>
              </w:rPr>
              <w:t>云桌面维护管理：在国产化环境下需要支持对云桌面进行创建、删除、启动、停止、分配等操作；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27" w:type="pct"/>
            <w:vAlign w:val="center"/>
          </w:tcPr>
          <w:p>
            <w:pPr>
              <w:jc w:val="center"/>
              <w:rPr>
                <w:color w:val="auto"/>
                <w:highlight w:val="none"/>
              </w:rPr>
            </w:pPr>
            <w:r>
              <w:rPr>
                <w:rFonts w:hint="eastAsia"/>
                <w:color w:val="auto"/>
                <w:highlight w:val="none"/>
              </w:rPr>
              <w:t>2.4.12</w:t>
            </w:r>
          </w:p>
        </w:tc>
        <w:tc>
          <w:tcPr>
            <w:tcW w:w="1763" w:type="pct"/>
            <w:vAlign w:val="center"/>
          </w:tcPr>
          <w:p>
            <w:pPr>
              <w:jc w:val="center"/>
              <w:rPr>
                <w:color w:val="auto"/>
                <w:highlight w:val="none"/>
              </w:rPr>
            </w:pPr>
            <w:r>
              <w:rPr>
                <w:rFonts w:hint="eastAsia"/>
                <w:color w:val="auto"/>
                <w:highlight w:val="none"/>
              </w:rPr>
              <w:t>桌面连接池管理</w:t>
            </w:r>
          </w:p>
        </w:tc>
        <w:tc>
          <w:tcPr>
            <w:tcW w:w="2608" w:type="pct"/>
          </w:tcPr>
          <w:p>
            <w:pPr>
              <w:rPr>
                <w:color w:val="auto"/>
                <w:highlight w:val="none"/>
              </w:rPr>
            </w:pPr>
            <w:r>
              <w:rPr>
                <w:rFonts w:hint="eastAsia"/>
                <w:color w:val="auto"/>
                <w:highlight w:val="none"/>
              </w:rPr>
              <w:t>桌面连接池管理：在国产化环境下需要支持为用户创建分配云桌面连接池，创建连接池、批量云桌面启动或停止等管理操作；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27" w:type="pct"/>
            <w:vAlign w:val="center"/>
          </w:tcPr>
          <w:p>
            <w:pPr>
              <w:jc w:val="center"/>
              <w:rPr>
                <w:color w:val="auto"/>
                <w:highlight w:val="none"/>
              </w:rPr>
            </w:pPr>
            <w:r>
              <w:rPr>
                <w:rFonts w:hint="eastAsia"/>
                <w:color w:val="auto"/>
                <w:highlight w:val="none"/>
              </w:rPr>
              <w:t>2.4.13</w:t>
            </w:r>
          </w:p>
        </w:tc>
        <w:tc>
          <w:tcPr>
            <w:tcW w:w="1763" w:type="pct"/>
            <w:vAlign w:val="center"/>
          </w:tcPr>
          <w:p>
            <w:pPr>
              <w:jc w:val="center"/>
              <w:rPr>
                <w:color w:val="auto"/>
                <w:highlight w:val="none"/>
              </w:rPr>
            </w:pPr>
            <w:r>
              <w:rPr>
                <w:rFonts w:hint="eastAsia"/>
                <w:color w:val="auto"/>
                <w:highlight w:val="none"/>
              </w:rPr>
              <w:t>云桌面模板管理</w:t>
            </w:r>
          </w:p>
        </w:tc>
        <w:tc>
          <w:tcPr>
            <w:tcW w:w="2608" w:type="pct"/>
          </w:tcPr>
          <w:p>
            <w:pPr>
              <w:rPr>
                <w:color w:val="auto"/>
                <w:highlight w:val="none"/>
              </w:rPr>
            </w:pPr>
            <w:r>
              <w:rPr>
                <w:rFonts w:hint="eastAsia"/>
                <w:color w:val="auto"/>
                <w:highlight w:val="none"/>
              </w:rPr>
              <w:t>云桌面模板管理：在国产化环境下需要支持对云桌面模板进行提取、修改、删除、同步等操作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27" w:type="pct"/>
            <w:vAlign w:val="center"/>
          </w:tcPr>
          <w:p>
            <w:pPr>
              <w:jc w:val="center"/>
              <w:rPr>
                <w:color w:val="auto"/>
                <w:highlight w:val="none"/>
              </w:rPr>
            </w:pPr>
            <w:r>
              <w:rPr>
                <w:rFonts w:hint="eastAsia"/>
                <w:color w:val="auto"/>
                <w:highlight w:val="none"/>
              </w:rPr>
              <w:t>2.4.14</w:t>
            </w:r>
          </w:p>
        </w:tc>
        <w:tc>
          <w:tcPr>
            <w:tcW w:w="1763" w:type="pct"/>
            <w:vAlign w:val="center"/>
          </w:tcPr>
          <w:p>
            <w:pPr>
              <w:jc w:val="center"/>
              <w:rPr>
                <w:color w:val="auto"/>
                <w:highlight w:val="none"/>
              </w:rPr>
            </w:pPr>
            <w:r>
              <w:rPr>
                <w:rFonts w:hint="eastAsia"/>
                <w:color w:val="auto"/>
                <w:highlight w:val="none"/>
              </w:rPr>
              <w:t>网络端口管理</w:t>
            </w:r>
          </w:p>
        </w:tc>
        <w:tc>
          <w:tcPr>
            <w:tcW w:w="2608" w:type="pct"/>
          </w:tcPr>
          <w:p>
            <w:pPr>
              <w:rPr>
                <w:color w:val="auto"/>
                <w:highlight w:val="none"/>
              </w:rPr>
            </w:pPr>
            <w:r>
              <w:rPr>
                <w:rFonts w:hint="eastAsia"/>
                <w:color w:val="auto"/>
                <w:highlight w:val="none"/>
              </w:rPr>
              <w:t>网络端口管理：在国产化环境下需要支持对安全云桌面系统中资源池内的网络端口进行管理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27" w:type="pct"/>
            <w:vAlign w:val="center"/>
          </w:tcPr>
          <w:p>
            <w:pPr>
              <w:jc w:val="center"/>
              <w:rPr>
                <w:color w:val="auto"/>
                <w:highlight w:val="none"/>
              </w:rPr>
            </w:pPr>
            <w:r>
              <w:rPr>
                <w:rFonts w:hint="eastAsia"/>
                <w:color w:val="auto"/>
                <w:highlight w:val="none"/>
              </w:rPr>
              <w:t>2.4.15</w:t>
            </w:r>
          </w:p>
        </w:tc>
        <w:tc>
          <w:tcPr>
            <w:tcW w:w="1763" w:type="pct"/>
            <w:vAlign w:val="center"/>
          </w:tcPr>
          <w:p>
            <w:pPr>
              <w:jc w:val="center"/>
              <w:rPr>
                <w:color w:val="auto"/>
                <w:highlight w:val="none"/>
              </w:rPr>
            </w:pPr>
            <w:r>
              <w:rPr>
                <w:rFonts w:hint="eastAsia"/>
                <w:color w:val="auto"/>
                <w:highlight w:val="none"/>
              </w:rPr>
              <w:t>IP地址管理</w:t>
            </w:r>
          </w:p>
        </w:tc>
        <w:tc>
          <w:tcPr>
            <w:tcW w:w="2608" w:type="pct"/>
          </w:tcPr>
          <w:p>
            <w:pPr>
              <w:rPr>
                <w:color w:val="auto"/>
                <w:highlight w:val="none"/>
              </w:rPr>
            </w:pPr>
            <w:r>
              <w:rPr>
                <w:rFonts w:hint="eastAsia"/>
                <w:color w:val="auto"/>
                <w:highlight w:val="none"/>
              </w:rPr>
              <w:t>IP地址管理：在国产化环境下需要支持对安全云桌面系统中对应网络端口的IP地址进行管理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27" w:type="pct"/>
            <w:vAlign w:val="center"/>
          </w:tcPr>
          <w:p>
            <w:pPr>
              <w:jc w:val="center"/>
              <w:rPr>
                <w:color w:val="auto"/>
                <w:highlight w:val="none"/>
              </w:rPr>
            </w:pPr>
            <w:r>
              <w:rPr>
                <w:rFonts w:hint="eastAsia"/>
                <w:color w:val="auto"/>
                <w:highlight w:val="none"/>
              </w:rPr>
              <w:t>2.4.16</w:t>
            </w:r>
          </w:p>
        </w:tc>
        <w:tc>
          <w:tcPr>
            <w:tcW w:w="1763" w:type="pct"/>
            <w:vAlign w:val="center"/>
          </w:tcPr>
          <w:p>
            <w:pPr>
              <w:jc w:val="center"/>
              <w:rPr>
                <w:color w:val="auto"/>
                <w:highlight w:val="none"/>
              </w:rPr>
            </w:pPr>
            <w:r>
              <w:rPr>
                <w:rFonts w:hint="eastAsia"/>
                <w:color w:val="auto"/>
                <w:highlight w:val="none"/>
              </w:rPr>
              <w:t>部门管理</w:t>
            </w:r>
          </w:p>
        </w:tc>
        <w:tc>
          <w:tcPr>
            <w:tcW w:w="2608" w:type="pct"/>
          </w:tcPr>
          <w:p>
            <w:pPr>
              <w:rPr>
                <w:color w:val="auto"/>
                <w:highlight w:val="none"/>
              </w:rPr>
            </w:pPr>
            <w:r>
              <w:rPr>
                <w:rFonts w:hint="eastAsia"/>
                <w:color w:val="auto"/>
                <w:highlight w:val="none"/>
              </w:rPr>
              <w:t>部门管理：在国产化环境下需要支持对可以维护安全云桌面系统中的所有部门信息，包括新增、删除、查询、编辑等操作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27" w:type="pct"/>
            <w:vAlign w:val="center"/>
          </w:tcPr>
          <w:p>
            <w:pPr>
              <w:jc w:val="center"/>
              <w:rPr>
                <w:color w:val="auto"/>
                <w:highlight w:val="none"/>
              </w:rPr>
            </w:pPr>
            <w:r>
              <w:rPr>
                <w:rFonts w:hint="eastAsia"/>
                <w:color w:val="auto"/>
                <w:highlight w:val="none"/>
              </w:rPr>
              <w:t>2.4.17</w:t>
            </w:r>
          </w:p>
        </w:tc>
        <w:tc>
          <w:tcPr>
            <w:tcW w:w="1763" w:type="pct"/>
            <w:vAlign w:val="center"/>
          </w:tcPr>
          <w:p>
            <w:pPr>
              <w:jc w:val="center"/>
              <w:rPr>
                <w:color w:val="auto"/>
                <w:highlight w:val="none"/>
              </w:rPr>
            </w:pPr>
            <w:r>
              <w:rPr>
                <w:rFonts w:hint="eastAsia"/>
                <w:color w:val="auto"/>
                <w:highlight w:val="none"/>
              </w:rPr>
              <w:t>资源池管理</w:t>
            </w:r>
          </w:p>
        </w:tc>
        <w:tc>
          <w:tcPr>
            <w:tcW w:w="2608" w:type="pct"/>
          </w:tcPr>
          <w:p>
            <w:pPr>
              <w:rPr>
                <w:color w:val="auto"/>
                <w:highlight w:val="none"/>
              </w:rPr>
            </w:pPr>
            <w:r>
              <w:rPr>
                <w:rFonts w:hint="eastAsia"/>
                <w:color w:val="auto"/>
                <w:highlight w:val="none"/>
              </w:rPr>
              <w:t>资源池管理：在国产化环境下需要支持对云桌面的资源池信息维护，包括资源池的新增、删除、编辑、配额设置及SAG配置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27" w:type="pct"/>
            <w:vAlign w:val="center"/>
          </w:tcPr>
          <w:p>
            <w:pPr>
              <w:jc w:val="center"/>
              <w:rPr>
                <w:b/>
                <w:bCs/>
                <w:color w:val="auto"/>
                <w:highlight w:val="none"/>
              </w:rPr>
            </w:pPr>
            <w:r>
              <w:rPr>
                <w:rFonts w:hint="eastAsia"/>
                <w:b/>
                <w:bCs/>
                <w:color w:val="auto"/>
                <w:highlight w:val="none"/>
              </w:rPr>
              <w:t>3</w:t>
            </w:r>
          </w:p>
        </w:tc>
        <w:tc>
          <w:tcPr>
            <w:tcW w:w="1763" w:type="pct"/>
            <w:vAlign w:val="center"/>
          </w:tcPr>
          <w:p>
            <w:pPr>
              <w:jc w:val="center"/>
              <w:rPr>
                <w:b/>
                <w:bCs/>
                <w:color w:val="auto"/>
                <w:highlight w:val="none"/>
              </w:rPr>
            </w:pPr>
            <w:r>
              <w:rPr>
                <w:rFonts w:hint="eastAsia"/>
                <w:b/>
                <w:bCs/>
                <w:color w:val="auto"/>
                <w:highlight w:val="none"/>
              </w:rPr>
              <w:t>虚拟化运维系统与统一门户对接</w:t>
            </w:r>
          </w:p>
        </w:tc>
        <w:tc>
          <w:tcPr>
            <w:tcW w:w="2608" w:type="pct"/>
          </w:tcPr>
          <w:p>
            <w:pPr>
              <w:rPr>
                <w:color w:val="auto"/>
                <w:highlight w:val="none"/>
              </w:rPr>
            </w:pPr>
            <w:r>
              <w:rPr>
                <w:rFonts w:hint="eastAsia"/>
                <w:color w:val="auto"/>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27" w:type="pct"/>
            <w:vAlign w:val="center"/>
          </w:tcPr>
          <w:p>
            <w:pPr>
              <w:jc w:val="center"/>
              <w:rPr>
                <w:b/>
                <w:bCs/>
                <w:color w:val="auto"/>
                <w:highlight w:val="none"/>
              </w:rPr>
            </w:pPr>
            <w:r>
              <w:rPr>
                <w:rFonts w:hint="eastAsia"/>
                <w:b/>
                <w:bCs/>
                <w:color w:val="auto"/>
                <w:highlight w:val="none"/>
              </w:rPr>
              <w:t>3.1</w:t>
            </w:r>
          </w:p>
        </w:tc>
        <w:tc>
          <w:tcPr>
            <w:tcW w:w="1763" w:type="pct"/>
            <w:vAlign w:val="center"/>
          </w:tcPr>
          <w:p>
            <w:pPr>
              <w:jc w:val="center"/>
              <w:rPr>
                <w:b/>
                <w:bCs/>
                <w:color w:val="auto"/>
                <w:highlight w:val="none"/>
              </w:rPr>
            </w:pPr>
            <w:r>
              <w:rPr>
                <w:rFonts w:hint="eastAsia"/>
                <w:b/>
                <w:bCs/>
                <w:color w:val="auto"/>
                <w:highlight w:val="none"/>
              </w:rPr>
              <w:t>统一身份认证</w:t>
            </w:r>
          </w:p>
        </w:tc>
        <w:tc>
          <w:tcPr>
            <w:tcW w:w="2608" w:type="pct"/>
          </w:tcPr>
          <w:p>
            <w:pPr>
              <w:rPr>
                <w:color w:val="auto"/>
                <w:highlight w:val="none"/>
              </w:rPr>
            </w:pPr>
            <w:r>
              <w:rPr>
                <w:rFonts w:hint="eastAsia"/>
                <w:color w:val="auto"/>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27" w:type="pct"/>
            <w:vAlign w:val="center"/>
          </w:tcPr>
          <w:p>
            <w:pPr>
              <w:jc w:val="center"/>
              <w:rPr>
                <w:color w:val="auto"/>
                <w:highlight w:val="none"/>
              </w:rPr>
            </w:pPr>
            <w:r>
              <w:rPr>
                <w:rFonts w:hint="eastAsia"/>
                <w:color w:val="auto"/>
                <w:highlight w:val="none"/>
              </w:rPr>
              <w:t>3.1.1</w:t>
            </w:r>
          </w:p>
        </w:tc>
        <w:tc>
          <w:tcPr>
            <w:tcW w:w="1763" w:type="pct"/>
            <w:vAlign w:val="center"/>
          </w:tcPr>
          <w:p>
            <w:pPr>
              <w:jc w:val="center"/>
              <w:rPr>
                <w:color w:val="auto"/>
                <w:highlight w:val="none"/>
              </w:rPr>
            </w:pPr>
            <w:r>
              <w:rPr>
                <w:rFonts w:hint="eastAsia"/>
                <w:color w:val="auto"/>
                <w:highlight w:val="none"/>
              </w:rPr>
              <w:t>单点登录接口集成与开发</w:t>
            </w:r>
          </w:p>
        </w:tc>
        <w:tc>
          <w:tcPr>
            <w:tcW w:w="2608" w:type="pct"/>
          </w:tcPr>
          <w:p>
            <w:pPr>
              <w:rPr>
                <w:color w:val="auto"/>
                <w:highlight w:val="none"/>
              </w:rPr>
            </w:pPr>
            <w:r>
              <w:rPr>
                <w:rFonts w:hint="eastAsia"/>
                <w:color w:val="auto"/>
                <w:highlight w:val="none"/>
              </w:rPr>
              <w:t>在单点登录功能的定制开发中，基于统一门户提供的接口文档进行接口集成与开发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27" w:type="pct"/>
            <w:vAlign w:val="center"/>
          </w:tcPr>
          <w:p>
            <w:pPr>
              <w:jc w:val="center"/>
              <w:rPr>
                <w:color w:val="auto"/>
                <w:highlight w:val="none"/>
              </w:rPr>
            </w:pPr>
            <w:r>
              <w:rPr>
                <w:rFonts w:hint="eastAsia"/>
                <w:color w:val="auto"/>
                <w:highlight w:val="none"/>
              </w:rPr>
              <w:t>3.1.2</w:t>
            </w:r>
          </w:p>
        </w:tc>
        <w:tc>
          <w:tcPr>
            <w:tcW w:w="1763" w:type="pct"/>
            <w:vAlign w:val="center"/>
          </w:tcPr>
          <w:p>
            <w:pPr>
              <w:jc w:val="center"/>
              <w:rPr>
                <w:color w:val="auto"/>
                <w:highlight w:val="none"/>
              </w:rPr>
            </w:pPr>
            <w:r>
              <w:rPr>
                <w:rFonts w:hint="eastAsia"/>
                <w:color w:val="auto"/>
                <w:highlight w:val="none"/>
              </w:rPr>
              <w:t>单点登录处理认证请求和响应</w:t>
            </w:r>
          </w:p>
        </w:tc>
        <w:tc>
          <w:tcPr>
            <w:tcW w:w="2608" w:type="pct"/>
          </w:tcPr>
          <w:p>
            <w:pPr>
              <w:rPr>
                <w:color w:val="auto"/>
                <w:highlight w:val="none"/>
              </w:rPr>
            </w:pPr>
            <w:r>
              <w:rPr>
                <w:rFonts w:hint="eastAsia"/>
                <w:color w:val="auto"/>
                <w:highlight w:val="none"/>
              </w:rPr>
              <w:t>实现与统一门户认证协议相关的功能，包括授权码交换和令牌生成验证，处理认证请求和响应，确保数据安全传输。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27" w:type="pct"/>
            <w:vAlign w:val="center"/>
          </w:tcPr>
          <w:p>
            <w:pPr>
              <w:jc w:val="center"/>
              <w:rPr>
                <w:color w:val="auto"/>
                <w:highlight w:val="none"/>
              </w:rPr>
            </w:pPr>
            <w:r>
              <w:rPr>
                <w:rFonts w:hint="eastAsia"/>
                <w:color w:val="auto"/>
                <w:highlight w:val="none"/>
              </w:rPr>
              <w:t>3.1.3</w:t>
            </w:r>
          </w:p>
        </w:tc>
        <w:tc>
          <w:tcPr>
            <w:tcW w:w="1763" w:type="pct"/>
            <w:vAlign w:val="center"/>
          </w:tcPr>
          <w:p>
            <w:pPr>
              <w:jc w:val="center"/>
              <w:rPr>
                <w:color w:val="auto"/>
                <w:highlight w:val="none"/>
              </w:rPr>
            </w:pPr>
            <w:r>
              <w:rPr>
                <w:rFonts w:hint="eastAsia"/>
                <w:color w:val="auto"/>
                <w:highlight w:val="none"/>
              </w:rPr>
              <w:t>单点登录流程会话生成和管理</w:t>
            </w:r>
          </w:p>
        </w:tc>
        <w:tc>
          <w:tcPr>
            <w:tcW w:w="2608" w:type="pct"/>
          </w:tcPr>
          <w:p>
            <w:pPr>
              <w:rPr>
                <w:color w:val="auto"/>
                <w:highlight w:val="none"/>
              </w:rPr>
            </w:pPr>
            <w:r>
              <w:rPr>
                <w:rFonts w:hint="eastAsia"/>
                <w:color w:val="auto"/>
                <w:highlight w:val="none"/>
              </w:rPr>
              <w:t>采用用户会话管理功能，包括生成和管理会话ID，并进行单点登录流程优化，确保身份信息传递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27" w:type="pct"/>
            <w:vAlign w:val="center"/>
          </w:tcPr>
          <w:p>
            <w:pPr>
              <w:jc w:val="center"/>
              <w:rPr>
                <w:color w:val="auto"/>
                <w:highlight w:val="none"/>
              </w:rPr>
            </w:pPr>
            <w:r>
              <w:rPr>
                <w:rFonts w:hint="eastAsia"/>
                <w:color w:val="auto"/>
                <w:highlight w:val="none"/>
              </w:rPr>
              <w:t>3.1.4</w:t>
            </w:r>
          </w:p>
        </w:tc>
        <w:tc>
          <w:tcPr>
            <w:tcW w:w="1763" w:type="pct"/>
            <w:vAlign w:val="center"/>
          </w:tcPr>
          <w:p>
            <w:pPr>
              <w:jc w:val="center"/>
              <w:rPr>
                <w:color w:val="auto"/>
                <w:highlight w:val="none"/>
              </w:rPr>
            </w:pPr>
            <w:r>
              <w:rPr>
                <w:rFonts w:hint="eastAsia"/>
                <w:color w:val="auto"/>
                <w:highlight w:val="none"/>
              </w:rPr>
              <w:t>整合相应认证和授权机制</w:t>
            </w:r>
          </w:p>
        </w:tc>
        <w:tc>
          <w:tcPr>
            <w:tcW w:w="2608" w:type="pct"/>
          </w:tcPr>
          <w:p>
            <w:pPr>
              <w:rPr>
                <w:color w:val="auto"/>
                <w:highlight w:val="none"/>
              </w:rPr>
            </w:pPr>
            <w:r>
              <w:rPr>
                <w:rFonts w:hint="eastAsia"/>
                <w:color w:val="auto"/>
                <w:highlight w:val="none"/>
              </w:rPr>
              <w:t>整合相应的认证和授权机制，确保符合协议要求，并通过全面的测试与优化，调整认证功能在高并发环境下的稳定性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27" w:type="pct"/>
            <w:vAlign w:val="center"/>
          </w:tcPr>
          <w:p>
            <w:pPr>
              <w:jc w:val="center"/>
              <w:rPr>
                <w:b/>
                <w:bCs/>
                <w:color w:val="auto"/>
                <w:highlight w:val="none"/>
              </w:rPr>
            </w:pPr>
            <w:r>
              <w:rPr>
                <w:rFonts w:hint="eastAsia"/>
                <w:b/>
                <w:bCs/>
                <w:color w:val="auto"/>
                <w:highlight w:val="none"/>
              </w:rPr>
              <w:t>3.2</w:t>
            </w:r>
          </w:p>
        </w:tc>
        <w:tc>
          <w:tcPr>
            <w:tcW w:w="1763" w:type="pct"/>
            <w:vAlign w:val="center"/>
          </w:tcPr>
          <w:p>
            <w:pPr>
              <w:jc w:val="center"/>
              <w:rPr>
                <w:b/>
                <w:bCs/>
                <w:color w:val="auto"/>
                <w:highlight w:val="none"/>
              </w:rPr>
            </w:pPr>
            <w:r>
              <w:rPr>
                <w:rFonts w:hint="eastAsia"/>
                <w:b/>
                <w:bCs/>
                <w:color w:val="auto"/>
                <w:highlight w:val="none"/>
              </w:rPr>
              <w:t>前端界面对接开发</w:t>
            </w:r>
          </w:p>
        </w:tc>
        <w:tc>
          <w:tcPr>
            <w:tcW w:w="2608" w:type="pct"/>
          </w:tcPr>
          <w:p>
            <w:pPr>
              <w:rPr>
                <w:color w:val="auto"/>
                <w:highlight w:val="none"/>
              </w:rPr>
            </w:pPr>
            <w:r>
              <w:rPr>
                <w:rFonts w:hint="eastAsia"/>
                <w:color w:val="auto"/>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27" w:type="pct"/>
            <w:vAlign w:val="center"/>
          </w:tcPr>
          <w:p>
            <w:pPr>
              <w:jc w:val="center"/>
              <w:rPr>
                <w:color w:val="auto"/>
                <w:highlight w:val="none"/>
              </w:rPr>
            </w:pPr>
            <w:r>
              <w:rPr>
                <w:rFonts w:hint="eastAsia"/>
                <w:color w:val="auto"/>
                <w:highlight w:val="none"/>
              </w:rPr>
              <w:t>3.2.1</w:t>
            </w:r>
          </w:p>
        </w:tc>
        <w:tc>
          <w:tcPr>
            <w:tcW w:w="1763" w:type="pct"/>
            <w:vAlign w:val="center"/>
          </w:tcPr>
          <w:p>
            <w:pPr>
              <w:jc w:val="center"/>
              <w:rPr>
                <w:color w:val="auto"/>
                <w:highlight w:val="none"/>
              </w:rPr>
            </w:pPr>
            <w:r>
              <w:rPr>
                <w:rFonts w:hint="eastAsia"/>
                <w:color w:val="auto"/>
                <w:highlight w:val="none"/>
              </w:rPr>
              <w:t>前端页面分辨率大小制定</w:t>
            </w:r>
          </w:p>
        </w:tc>
        <w:tc>
          <w:tcPr>
            <w:tcW w:w="2608" w:type="pct"/>
          </w:tcPr>
          <w:p>
            <w:pPr>
              <w:rPr>
                <w:color w:val="auto"/>
                <w:highlight w:val="none"/>
              </w:rPr>
            </w:pPr>
            <w:r>
              <w:rPr>
                <w:rFonts w:hint="eastAsia"/>
                <w:color w:val="auto"/>
                <w:highlight w:val="none"/>
              </w:rPr>
              <w:t>页面设计采用常用分辨率的规格设计，页面分辨率设置、页面画布尺寸宽设置、中间内容区域宽度设置采用医保信息平台相关设计标准规范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27" w:type="pct"/>
            <w:vAlign w:val="center"/>
          </w:tcPr>
          <w:p>
            <w:pPr>
              <w:jc w:val="center"/>
              <w:rPr>
                <w:color w:val="auto"/>
                <w:highlight w:val="none"/>
              </w:rPr>
            </w:pPr>
            <w:r>
              <w:rPr>
                <w:rFonts w:hint="eastAsia"/>
                <w:color w:val="auto"/>
                <w:highlight w:val="none"/>
              </w:rPr>
              <w:t>3.2.2</w:t>
            </w:r>
          </w:p>
        </w:tc>
        <w:tc>
          <w:tcPr>
            <w:tcW w:w="1763" w:type="pct"/>
            <w:vAlign w:val="center"/>
          </w:tcPr>
          <w:p>
            <w:pPr>
              <w:jc w:val="center"/>
              <w:rPr>
                <w:color w:val="auto"/>
                <w:highlight w:val="none"/>
              </w:rPr>
            </w:pPr>
            <w:r>
              <w:rPr>
                <w:rFonts w:hint="eastAsia"/>
                <w:color w:val="auto"/>
                <w:highlight w:val="none"/>
              </w:rPr>
              <w:t>标准字型和字号制定</w:t>
            </w:r>
          </w:p>
        </w:tc>
        <w:tc>
          <w:tcPr>
            <w:tcW w:w="2608" w:type="pct"/>
          </w:tcPr>
          <w:p>
            <w:pPr>
              <w:rPr>
                <w:color w:val="auto"/>
                <w:highlight w:val="none"/>
              </w:rPr>
            </w:pPr>
            <w:r>
              <w:rPr>
                <w:rFonts w:hint="eastAsia"/>
                <w:color w:val="auto"/>
                <w:highlight w:val="none"/>
              </w:rPr>
              <w:t>使用符合用户习惯的标准字型和字号，同一类别的栏目和信息应使用同一模板，统一字型、字号、行间距和布局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trPr>
        <w:tc>
          <w:tcPr>
            <w:tcW w:w="627" w:type="pct"/>
            <w:vAlign w:val="center"/>
          </w:tcPr>
          <w:p>
            <w:pPr>
              <w:jc w:val="center"/>
              <w:rPr>
                <w:color w:val="auto"/>
                <w:highlight w:val="none"/>
              </w:rPr>
            </w:pPr>
            <w:r>
              <w:rPr>
                <w:rFonts w:hint="eastAsia"/>
                <w:color w:val="auto"/>
                <w:highlight w:val="none"/>
              </w:rPr>
              <w:t>3.2.3</w:t>
            </w:r>
          </w:p>
        </w:tc>
        <w:tc>
          <w:tcPr>
            <w:tcW w:w="1763" w:type="pct"/>
            <w:vAlign w:val="center"/>
          </w:tcPr>
          <w:p>
            <w:pPr>
              <w:jc w:val="center"/>
              <w:rPr>
                <w:color w:val="auto"/>
                <w:highlight w:val="none"/>
              </w:rPr>
            </w:pPr>
            <w:r>
              <w:rPr>
                <w:rFonts w:hint="eastAsia"/>
                <w:color w:val="auto"/>
                <w:highlight w:val="none"/>
              </w:rPr>
              <w:t>页面布局制定</w:t>
            </w:r>
          </w:p>
        </w:tc>
        <w:tc>
          <w:tcPr>
            <w:tcW w:w="2608" w:type="pct"/>
          </w:tcPr>
          <w:p>
            <w:pPr>
              <w:rPr>
                <w:color w:val="auto"/>
                <w:highlight w:val="none"/>
              </w:rPr>
            </w:pPr>
            <w:r>
              <w:rPr>
                <w:rFonts w:hint="eastAsia"/>
                <w:color w:val="auto"/>
                <w:highlight w:val="none"/>
              </w:rPr>
              <w:t>页面布局设计符合从左到右、从上到下的阅读习惯；首页页面设计不宜过长，尽量少使用过大的图片及音视频文件，在主流计算机配置和当地平均网速条件下，页面能较快加载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trPr>
        <w:tc>
          <w:tcPr>
            <w:tcW w:w="627" w:type="pct"/>
            <w:vAlign w:val="center"/>
          </w:tcPr>
          <w:p>
            <w:pPr>
              <w:jc w:val="center"/>
              <w:rPr>
                <w:color w:val="auto"/>
                <w:highlight w:val="none"/>
              </w:rPr>
            </w:pPr>
            <w:r>
              <w:rPr>
                <w:rFonts w:hint="eastAsia"/>
                <w:color w:val="auto"/>
                <w:highlight w:val="none"/>
              </w:rPr>
              <w:t>3.2.4</w:t>
            </w:r>
          </w:p>
        </w:tc>
        <w:tc>
          <w:tcPr>
            <w:tcW w:w="1763" w:type="pct"/>
            <w:vAlign w:val="center"/>
          </w:tcPr>
          <w:p>
            <w:pPr>
              <w:jc w:val="center"/>
              <w:rPr>
                <w:color w:val="auto"/>
                <w:highlight w:val="none"/>
              </w:rPr>
            </w:pPr>
            <w:r>
              <w:rPr>
                <w:rFonts w:hint="eastAsia"/>
                <w:color w:val="auto"/>
                <w:highlight w:val="none"/>
              </w:rPr>
              <w:t>子页面跳转开发</w:t>
            </w:r>
          </w:p>
        </w:tc>
        <w:tc>
          <w:tcPr>
            <w:tcW w:w="2608" w:type="pct"/>
          </w:tcPr>
          <w:p>
            <w:pPr>
              <w:rPr>
                <w:color w:val="auto"/>
                <w:highlight w:val="none"/>
              </w:rPr>
            </w:pPr>
            <w:r>
              <w:rPr>
                <w:rFonts w:hint="eastAsia"/>
                <w:color w:val="auto"/>
                <w:highlight w:val="none"/>
              </w:rPr>
              <w:t>除了首页以外，每个页面都应清晰地标注当前所访问页面所在的位置，并且可逐级访问各子页面；打开子页面时，应通过当前页面进行跳转，不宜打开新窗口展现；每个子页面都应设置跳转到首页的链接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27" w:type="pct"/>
            <w:vAlign w:val="center"/>
          </w:tcPr>
          <w:p>
            <w:pPr>
              <w:jc w:val="center"/>
              <w:rPr>
                <w:color w:val="auto"/>
                <w:highlight w:val="none"/>
              </w:rPr>
            </w:pPr>
            <w:r>
              <w:rPr>
                <w:rFonts w:hint="eastAsia"/>
                <w:color w:val="auto"/>
                <w:highlight w:val="none"/>
              </w:rPr>
              <w:t>3.2.5</w:t>
            </w:r>
          </w:p>
        </w:tc>
        <w:tc>
          <w:tcPr>
            <w:tcW w:w="1763" w:type="pct"/>
            <w:vAlign w:val="center"/>
          </w:tcPr>
          <w:p>
            <w:pPr>
              <w:jc w:val="center"/>
              <w:rPr>
                <w:color w:val="auto"/>
                <w:highlight w:val="none"/>
              </w:rPr>
            </w:pPr>
            <w:r>
              <w:rPr>
                <w:rFonts w:hint="eastAsia"/>
                <w:color w:val="auto"/>
                <w:highlight w:val="none"/>
              </w:rPr>
              <w:t>主流浏览器兼容处理</w:t>
            </w:r>
          </w:p>
        </w:tc>
        <w:tc>
          <w:tcPr>
            <w:tcW w:w="2608" w:type="pct"/>
          </w:tcPr>
          <w:p>
            <w:pPr>
              <w:rPr>
                <w:color w:val="auto"/>
                <w:highlight w:val="none"/>
              </w:rPr>
            </w:pPr>
            <w:r>
              <w:rPr>
                <w:rFonts w:hint="eastAsia"/>
                <w:color w:val="auto"/>
                <w:highlight w:val="none"/>
              </w:rPr>
              <w:t>对主流类别及常用版本浏览器具有较好的兼容性，页面整齐不变形，不出现文字错行、表格错位、功能和组件不可用的情况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trPr>
        <w:tc>
          <w:tcPr>
            <w:tcW w:w="627" w:type="pct"/>
            <w:vAlign w:val="center"/>
          </w:tcPr>
          <w:p>
            <w:pPr>
              <w:jc w:val="center"/>
              <w:rPr>
                <w:color w:val="auto"/>
                <w:highlight w:val="none"/>
              </w:rPr>
            </w:pPr>
            <w:r>
              <w:rPr>
                <w:rFonts w:hint="eastAsia"/>
                <w:color w:val="auto"/>
                <w:highlight w:val="none"/>
              </w:rPr>
              <w:t>3.2.6</w:t>
            </w:r>
          </w:p>
        </w:tc>
        <w:tc>
          <w:tcPr>
            <w:tcW w:w="1763" w:type="pct"/>
            <w:vAlign w:val="center"/>
          </w:tcPr>
          <w:p>
            <w:pPr>
              <w:jc w:val="center"/>
              <w:rPr>
                <w:color w:val="auto"/>
                <w:highlight w:val="none"/>
              </w:rPr>
            </w:pPr>
            <w:r>
              <w:rPr>
                <w:rFonts w:hint="eastAsia"/>
                <w:color w:val="auto"/>
                <w:highlight w:val="none"/>
              </w:rPr>
              <w:t>页面色彩处理</w:t>
            </w:r>
          </w:p>
        </w:tc>
        <w:tc>
          <w:tcPr>
            <w:tcW w:w="2608" w:type="pct"/>
          </w:tcPr>
          <w:p>
            <w:pPr>
              <w:rPr>
                <w:color w:val="auto"/>
                <w:highlight w:val="none"/>
              </w:rPr>
            </w:pPr>
            <w:r>
              <w:rPr>
                <w:rFonts w:hint="eastAsia"/>
                <w:color w:val="auto"/>
                <w:highlight w:val="none"/>
              </w:rPr>
              <w:t>色彩的运用原则上应首先考虑准确性，保证达到信息传递、操作指引、交互反馈，或是强化凸显某一个信息的目的，明确 1 种主色调，合理搭配辅助色调，总色调不宜超过 3 种色调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27" w:type="pct"/>
            <w:vAlign w:val="center"/>
          </w:tcPr>
          <w:p>
            <w:pPr>
              <w:jc w:val="center"/>
              <w:rPr>
                <w:color w:val="auto"/>
                <w:highlight w:val="none"/>
              </w:rPr>
            </w:pPr>
            <w:r>
              <w:rPr>
                <w:rFonts w:hint="eastAsia"/>
                <w:color w:val="auto"/>
                <w:highlight w:val="none"/>
              </w:rPr>
              <w:t>3.2.7</w:t>
            </w:r>
          </w:p>
        </w:tc>
        <w:tc>
          <w:tcPr>
            <w:tcW w:w="1763" w:type="pct"/>
            <w:vAlign w:val="center"/>
          </w:tcPr>
          <w:p>
            <w:pPr>
              <w:jc w:val="center"/>
              <w:rPr>
                <w:color w:val="auto"/>
                <w:highlight w:val="none"/>
              </w:rPr>
            </w:pPr>
            <w:r>
              <w:rPr>
                <w:rFonts w:hint="eastAsia"/>
                <w:color w:val="auto"/>
                <w:highlight w:val="none"/>
              </w:rPr>
              <w:t>页面样式处理</w:t>
            </w:r>
          </w:p>
        </w:tc>
        <w:tc>
          <w:tcPr>
            <w:tcW w:w="2608" w:type="pct"/>
          </w:tcPr>
          <w:p>
            <w:pPr>
              <w:rPr>
                <w:color w:val="auto"/>
                <w:highlight w:val="none"/>
              </w:rPr>
            </w:pPr>
            <w:r>
              <w:rPr>
                <w:rFonts w:hint="eastAsia"/>
                <w:color w:val="auto"/>
                <w:highlight w:val="none"/>
              </w:rPr>
              <w:t>同一类别的栏目和信息应使用同一字体、字号和行间距。如有特殊需要嵌入字体时，需考虑字体的可识别性，设计风格融合度，以及是否可免费商用。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27" w:type="pct"/>
            <w:vAlign w:val="center"/>
          </w:tcPr>
          <w:p>
            <w:pPr>
              <w:jc w:val="center"/>
              <w:rPr>
                <w:b/>
                <w:bCs/>
                <w:color w:val="auto"/>
                <w:highlight w:val="none"/>
              </w:rPr>
            </w:pPr>
            <w:r>
              <w:rPr>
                <w:rFonts w:hint="eastAsia"/>
                <w:b/>
                <w:bCs/>
                <w:color w:val="auto"/>
                <w:highlight w:val="none"/>
              </w:rPr>
              <w:t>3.3</w:t>
            </w:r>
          </w:p>
        </w:tc>
        <w:tc>
          <w:tcPr>
            <w:tcW w:w="1763" w:type="pct"/>
            <w:vAlign w:val="center"/>
          </w:tcPr>
          <w:p>
            <w:pPr>
              <w:jc w:val="center"/>
              <w:rPr>
                <w:b/>
                <w:bCs/>
                <w:color w:val="auto"/>
                <w:highlight w:val="none"/>
              </w:rPr>
            </w:pPr>
            <w:r>
              <w:rPr>
                <w:rFonts w:hint="eastAsia"/>
                <w:b/>
                <w:bCs/>
                <w:color w:val="auto"/>
                <w:highlight w:val="none"/>
              </w:rPr>
              <w:t>统一门户工单嵌入开发</w:t>
            </w:r>
          </w:p>
        </w:tc>
        <w:tc>
          <w:tcPr>
            <w:tcW w:w="2608" w:type="pct"/>
          </w:tcPr>
          <w:p>
            <w:pPr>
              <w:rPr>
                <w:color w:val="auto"/>
                <w:highlight w:val="none"/>
              </w:rPr>
            </w:pPr>
            <w:r>
              <w:rPr>
                <w:rFonts w:hint="eastAsia"/>
                <w:color w:val="auto"/>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27" w:type="pct"/>
            <w:vAlign w:val="center"/>
          </w:tcPr>
          <w:p>
            <w:pPr>
              <w:jc w:val="center"/>
              <w:rPr>
                <w:color w:val="auto"/>
                <w:highlight w:val="none"/>
              </w:rPr>
            </w:pPr>
            <w:r>
              <w:rPr>
                <w:rFonts w:hint="eastAsia"/>
                <w:color w:val="auto"/>
                <w:highlight w:val="none"/>
              </w:rPr>
              <w:t>3.3.1</w:t>
            </w:r>
          </w:p>
        </w:tc>
        <w:tc>
          <w:tcPr>
            <w:tcW w:w="1763" w:type="pct"/>
            <w:vAlign w:val="center"/>
          </w:tcPr>
          <w:p>
            <w:pPr>
              <w:jc w:val="center"/>
              <w:rPr>
                <w:color w:val="auto"/>
                <w:highlight w:val="none"/>
              </w:rPr>
            </w:pPr>
            <w:r>
              <w:rPr>
                <w:rFonts w:hint="eastAsia"/>
                <w:color w:val="auto"/>
                <w:highlight w:val="none"/>
              </w:rPr>
              <w:t>工作台单点登录对接</w:t>
            </w:r>
          </w:p>
        </w:tc>
        <w:tc>
          <w:tcPr>
            <w:tcW w:w="2608" w:type="pct"/>
          </w:tcPr>
          <w:p>
            <w:pPr>
              <w:rPr>
                <w:color w:val="auto"/>
                <w:highlight w:val="none"/>
              </w:rPr>
            </w:pPr>
            <w:r>
              <w:rPr>
                <w:rFonts w:hint="eastAsia"/>
                <w:color w:val="auto"/>
                <w:highlight w:val="none"/>
              </w:rPr>
              <w:t>进行单点登录（SSO）对接，选择适合的SSO协议，并开发接口以确保统一门户与工单模块的认证信息传递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27" w:type="pct"/>
            <w:vAlign w:val="center"/>
          </w:tcPr>
          <w:p>
            <w:pPr>
              <w:jc w:val="center"/>
              <w:rPr>
                <w:color w:val="auto"/>
                <w:highlight w:val="none"/>
              </w:rPr>
            </w:pPr>
            <w:r>
              <w:rPr>
                <w:rFonts w:hint="eastAsia"/>
                <w:color w:val="auto"/>
                <w:highlight w:val="none"/>
              </w:rPr>
              <w:t>3.3.2</w:t>
            </w:r>
          </w:p>
        </w:tc>
        <w:tc>
          <w:tcPr>
            <w:tcW w:w="1763" w:type="pct"/>
            <w:vAlign w:val="center"/>
          </w:tcPr>
          <w:p>
            <w:pPr>
              <w:jc w:val="center"/>
              <w:rPr>
                <w:color w:val="auto"/>
                <w:highlight w:val="none"/>
              </w:rPr>
            </w:pPr>
            <w:r>
              <w:rPr>
                <w:rFonts w:hint="eastAsia"/>
                <w:color w:val="auto"/>
                <w:highlight w:val="none"/>
              </w:rPr>
              <w:t>发起工单模块嵌入</w:t>
            </w:r>
          </w:p>
        </w:tc>
        <w:tc>
          <w:tcPr>
            <w:tcW w:w="2608" w:type="pct"/>
          </w:tcPr>
          <w:p>
            <w:pPr>
              <w:rPr>
                <w:color w:val="auto"/>
                <w:highlight w:val="none"/>
              </w:rPr>
            </w:pPr>
            <w:r>
              <w:rPr>
                <w:rFonts w:hint="eastAsia"/>
                <w:color w:val="auto"/>
                <w:highlight w:val="none"/>
              </w:rPr>
              <w:t>发起工单模块嵌入：系统用户可在此选择工单类型，并进行工单内容的填报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27" w:type="pct"/>
            <w:vAlign w:val="center"/>
          </w:tcPr>
          <w:p>
            <w:pPr>
              <w:jc w:val="center"/>
              <w:rPr>
                <w:color w:val="auto"/>
                <w:highlight w:val="none"/>
              </w:rPr>
            </w:pPr>
            <w:r>
              <w:rPr>
                <w:rFonts w:hint="eastAsia"/>
                <w:color w:val="auto"/>
                <w:highlight w:val="none"/>
              </w:rPr>
              <w:t>3.3.3</w:t>
            </w:r>
          </w:p>
        </w:tc>
        <w:tc>
          <w:tcPr>
            <w:tcW w:w="1763" w:type="pct"/>
            <w:vAlign w:val="center"/>
          </w:tcPr>
          <w:p>
            <w:pPr>
              <w:jc w:val="center"/>
              <w:rPr>
                <w:color w:val="auto"/>
                <w:highlight w:val="none"/>
              </w:rPr>
            </w:pPr>
            <w:r>
              <w:rPr>
                <w:rFonts w:hint="eastAsia"/>
                <w:color w:val="auto"/>
                <w:highlight w:val="none"/>
              </w:rPr>
              <w:t>待处理模块嵌入</w:t>
            </w:r>
          </w:p>
        </w:tc>
        <w:tc>
          <w:tcPr>
            <w:tcW w:w="2608" w:type="pct"/>
          </w:tcPr>
          <w:p>
            <w:pPr>
              <w:rPr>
                <w:color w:val="auto"/>
                <w:highlight w:val="none"/>
              </w:rPr>
            </w:pPr>
            <w:r>
              <w:rPr>
                <w:rFonts w:hint="eastAsia"/>
                <w:color w:val="auto"/>
                <w:highlight w:val="none"/>
              </w:rPr>
              <w:t>待处理模块嵌入：系统用户在此接受待处理的工单，可以对工单进行相关审批及其他处理，并可按照时间范围和工单标题等条件对工单数据进行检索查询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27" w:type="pct"/>
            <w:vAlign w:val="center"/>
          </w:tcPr>
          <w:p>
            <w:pPr>
              <w:jc w:val="center"/>
              <w:rPr>
                <w:color w:val="auto"/>
                <w:highlight w:val="none"/>
              </w:rPr>
            </w:pPr>
            <w:r>
              <w:rPr>
                <w:rFonts w:hint="eastAsia"/>
                <w:color w:val="auto"/>
                <w:highlight w:val="none"/>
              </w:rPr>
              <w:t>3.3.4</w:t>
            </w:r>
          </w:p>
        </w:tc>
        <w:tc>
          <w:tcPr>
            <w:tcW w:w="1763" w:type="pct"/>
            <w:vAlign w:val="center"/>
          </w:tcPr>
          <w:p>
            <w:pPr>
              <w:jc w:val="center"/>
              <w:rPr>
                <w:color w:val="auto"/>
                <w:highlight w:val="none"/>
              </w:rPr>
            </w:pPr>
            <w:r>
              <w:rPr>
                <w:rFonts w:hint="eastAsia"/>
                <w:color w:val="auto"/>
                <w:highlight w:val="none"/>
              </w:rPr>
              <w:t>已处理模块嵌入</w:t>
            </w:r>
          </w:p>
        </w:tc>
        <w:tc>
          <w:tcPr>
            <w:tcW w:w="2608" w:type="pct"/>
          </w:tcPr>
          <w:p>
            <w:pPr>
              <w:rPr>
                <w:color w:val="auto"/>
                <w:highlight w:val="none"/>
              </w:rPr>
            </w:pPr>
            <w:r>
              <w:rPr>
                <w:rFonts w:hint="eastAsia"/>
                <w:color w:val="auto"/>
                <w:highlight w:val="none"/>
              </w:rPr>
              <w:t>已处理模块嵌入：系统用户在此查看已处理的工单，可按照时间范围和工单标题等条件对工单数据进行检索查询以及其他操作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27" w:type="pct"/>
            <w:vAlign w:val="center"/>
          </w:tcPr>
          <w:p>
            <w:pPr>
              <w:jc w:val="center"/>
              <w:rPr>
                <w:color w:val="auto"/>
                <w:highlight w:val="none"/>
              </w:rPr>
            </w:pPr>
            <w:r>
              <w:rPr>
                <w:rFonts w:hint="eastAsia"/>
                <w:color w:val="auto"/>
                <w:highlight w:val="none"/>
              </w:rPr>
              <w:t>3.3.5</w:t>
            </w:r>
          </w:p>
        </w:tc>
        <w:tc>
          <w:tcPr>
            <w:tcW w:w="1763" w:type="pct"/>
            <w:vAlign w:val="center"/>
          </w:tcPr>
          <w:p>
            <w:pPr>
              <w:jc w:val="center"/>
              <w:rPr>
                <w:color w:val="auto"/>
                <w:highlight w:val="none"/>
              </w:rPr>
            </w:pPr>
            <w:r>
              <w:rPr>
                <w:rFonts w:hint="eastAsia"/>
                <w:color w:val="auto"/>
                <w:highlight w:val="none"/>
              </w:rPr>
              <w:t>我发起模块嵌入</w:t>
            </w:r>
          </w:p>
        </w:tc>
        <w:tc>
          <w:tcPr>
            <w:tcW w:w="2608" w:type="pct"/>
          </w:tcPr>
          <w:p>
            <w:pPr>
              <w:rPr>
                <w:color w:val="auto"/>
                <w:highlight w:val="none"/>
              </w:rPr>
            </w:pPr>
            <w:r>
              <w:rPr>
                <w:rFonts w:hint="eastAsia"/>
                <w:color w:val="auto"/>
                <w:highlight w:val="none"/>
              </w:rPr>
              <w:t>我发起模块嵌入：系统用户在此查看通过自己账号所发起的工单的处理情况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27" w:type="pct"/>
            <w:vAlign w:val="center"/>
          </w:tcPr>
          <w:p>
            <w:pPr>
              <w:jc w:val="center"/>
              <w:rPr>
                <w:b/>
                <w:bCs/>
                <w:color w:val="auto"/>
                <w:highlight w:val="none"/>
              </w:rPr>
            </w:pPr>
            <w:r>
              <w:rPr>
                <w:rFonts w:hint="eastAsia"/>
                <w:b/>
                <w:bCs/>
                <w:color w:val="auto"/>
                <w:highlight w:val="none"/>
              </w:rPr>
              <w:t>4</w:t>
            </w:r>
          </w:p>
        </w:tc>
        <w:tc>
          <w:tcPr>
            <w:tcW w:w="1763" w:type="pct"/>
            <w:vAlign w:val="center"/>
          </w:tcPr>
          <w:p>
            <w:pPr>
              <w:jc w:val="center"/>
              <w:rPr>
                <w:b/>
                <w:bCs/>
                <w:color w:val="auto"/>
                <w:highlight w:val="none"/>
              </w:rPr>
            </w:pPr>
            <w:r>
              <w:rPr>
                <w:rFonts w:hint="eastAsia"/>
                <w:b/>
                <w:bCs/>
                <w:color w:val="auto"/>
                <w:highlight w:val="none"/>
              </w:rPr>
              <w:t>虚拟化运维系统升级</w:t>
            </w:r>
          </w:p>
        </w:tc>
        <w:tc>
          <w:tcPr>
            <w:tcW w:w="2608" w:type="pct"/>
          </w:tcPr>
          <w:p>
            <w:pPr>
              <w:rPr>
                <w:color w:val="auto"/>
                <w:highlight w:val="none"/>
              </w:rPr>
            </w:pPr>
            <w:r>
              <w:rPr>
                <w:rFonts w:hint="eastAsia"/>
                <w:color w:val="auto"/>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27" w:type="pct"/>
            <w:vAlign w:val="center"/>
          </w:tcPr>
          <w:p>
            <w:pPr>
              <w:jc w:val="center"/>
              <w:rPr>
                <w:b/>
                <w:bCs/>
                <w:color w:val="auto"/>
                <w:highlight w:val="none"/>
              </w:rPr>
            </w:pPr>
            <w:r>
              <w:rPr>
                <w:rFonts w:hint="eastAsia"/>
                <w:b/>
                <w:bCs/>
                <w:color w:val="auto"/>
                <w:highlight w:val="none"/>
              </w:rPr>
              <w:t>4.1</w:t>
            </w:r>
          </w:p>
        </w:tc>
        <w:tc>
          <w:tcPr>
            <w:tcW w:w="1763" w:type="pct"/>
            <w:vAlign w:val="center"/>
          </w:tcPr>
          <w:p>
            <w:pPr>
              <w:jc w:val="center"/>
              <w:rPr>
                <w:b/>
                <w:bCs/>
                <w:color w:val="auto"/>
                <w:highlight w:val="none"/>
              </w:rPr>
            </w:pPr>
            <w:r>
              <w:rPr>
                <w:rFonts w:hint="eastAsia"/>
                <w:b/>
                <w:bCs/>
                <w:color w:val="auto"/>
                <w:highlight w:val="none"/>
              </w:rPr>
              <w:t>国产数据库运维管理工具开发</w:t>
            </w:r>
          </w:p>
        </w:tc>
        <w:tc>
          <w:tcPr>
            <w:tcW w:w="2608" w:type="pct"/>
          </w:tcPr>
          <w:p>
            <w:pPr>
              <w:rPr>
                <w:color w:val="auto"/>
                <w:highlight w:val="none"/>
              </w:rPr>
            </w:pPr>
            <w:r>
              <w:rPr>
                <w:rFonts w:hint="eastAsia"/>
                <w:color w:val="auto"/>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27" w:type="pct"/>
            <w:vAlign w:val="center"/>
          </w:tcPr>
          <w:p>
            <w:pPr>
              <w:jc w:val="center"/>
              <w:rPr>
                <w:color w:val="auto"/>
                <w:highlight w:val="none"/>
              </w:rPr>
            </w:pPr>
            <w:r>
              <w:rPr>
                <w:rFonts w:hint="eastAsia"/>
                <w:color w:val="auto"/>
                <w:highlight w:val="none"/>
              </w:rPr>
              <w:t>4.1.1</w:t>
            </w:r>
          </w:p>
        </w:tc>
        <w:tc>
          <w:tcPr>
            <w:tcW w:w="1763" w:type="pct"/>
            <w:vAlign w:val="center"/>
          </w:tcPr>
          <w:p>
            <w:pPr>
              <w:jc w:val="center"/>
              <w:rPr>
                <w:color w:val="auto"/>
                <w:highlight w:val="none"/>
              </w:rPr>
            </w:pPr>
            <w:r>
              <w:rPr>
                <w:rFonts w:hint="eastAsia"/>
                <w:color w:val="auto"/>
                <w:highlight w:val="none"/>
              </w:rPr>
              <w:t>国产数据库支持</w:t>
            </w:r>
          </w:p>
        </w:tc>
        <w:tc>
          <w:tcPr>
            <w:tcW w:w="2608" w:type="pct"/>
          </w:tcPr>
          <w:p>
            <w:pPr>
              <w:rPr>
                <w:color w:val="auto"/>
                <w:highlight w:val="none"/>
              </w:rPr>
            </w:pPr>
            <w:r>
              <w:rPr>
                <w:rFonts w:hint="eastAsia"/>
                <w:color w:val="auto"/>
                <w:highlight w:val="none"/>
              </w:rPr>
              <w:t>支持国产数据库类型，包括达梦、人大金仓等主流国产化数据库的连接和管理，在工具开发过程中，需要按照国产数据库的语法标准和接口进行适配调整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trPr>
        <w:tc>
          <w:tcPr>
            <w:tcW w:w="627" w:type="pct"/>
            <w:vAlign w:val="center"/>
          </w:tcPr>
          <w:p>
            <w:pPr>
              <w:jc w:val="center"/>
              <w:rPr>
                <w:color w:val="auto"/>
                <w:highlight w:val="none"/>
              </w:rPr>
            </w:pPr>
            <w:r>
              <w:rPr>
                <w:rFonts w:hint="eastAsia"/>
                <w:color w:val="auto"/>
                <w:highlight w:val="none"/>
              </w:rPr>
              <w:t>4.1.2</w:t>
            </w:r>
          </w:p>
        </w:tc>
        <w:tc>
          <w:tcPr>
            <w:tcW w:w="1763" w:type="pct"/>
            <w:vAlign w:val="center"/>
          </w:tcPr>
          <w:p>
            <w:pPr>
              <w:jc w:val="center"/>
              <w:rPr>
                <w:color w:val="auto"/>
                <w:highlight w:val="none"/>
              </w:rPr>
            </w:pPr>
            <w:r>
              <w:rPr>
                <w:rFonts w:hint="eastAsia"/>
                <w:color w:val="auto"/>
                <w:highlight w:val="none"/>
              </w:rPr>
              <w:t>国产数据库脚本执行与管理</w:t>
            </w:r>
          </w:p>
        </w:tc>
        <w:tc>
          <w:tcPr>
            <w:tcW w:w="2608" w:type="pct"/>
          </w:tcPr>
          <w:p>
            <w:pPr>
              <w:rPr>
                <w:color w:val="auto"/>
                <w:highlight w:val="none"/>
              </w:rPr>
            </w:pPr>
            <w:r>
              <w:rPr>
                <w:rFonts w:hint="eastAsia"/>
                <w:color w:val="auto"/>
                <w:highlight w:val="none"/>
              </w:rPr>
              <w:t>具备管理与执行国产数据库相关脚本的能力，涵盖人大金仓、达梦等国产数据库。可对脚本进行管理，还能依据业务需求准确执行脚本，保障数据库操作规范、高效，提升数据处理与管理水平。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trPr>
        <w:tc>
          <w:tcPr>
            <w:tcW w:w="627" w:type="pct"/>
            <w:vAlign w:val="center"/>
          </w:tcPr>
          <w:p>
            <w:pPr>
              <w:jc w:val="center"/>
              <w:rPr>
                <w:color w:val="auto"/>
                <w:highlight w:val="none"/>
              </w:rPr>
            </w:pPr>
            <w:r>
              <w:rPr>
                <w:rFonts w:hint="eastAsia"/>
                <w:color w:val="auto"/>
                <w:highlight w:val="none"/>
              </w:rPr>
              <w:t>4.1.3</w:t>
            </w:r>
          </w:p>
        </w:tc>
        <w:tc>
          <w:tcPr>
            <w:tcW w:w="1763" w:type="pct"/>
            <w:vAlign w:val="center"/>
          </w:tcPr>
          <w:p>
            <w:pPr>
              <w:jc w:val="center"/>
              <w:rPr>
                <w:color w:val="auto"/>
                <w:highlight w:val="none"/>
              </w:rPr>
            </w:pPr>
            <w:r>
              <w:rPr>
                <w:rFonts w:hint="eastAsia"/>
                <w:color w:val="auto"/>
                <w:highlight w:val="none"/>
              </w:rPr>
              <w:t>数据库工具基础功能管理</w:t>
            </w:r>
          </w:p>
        </w:tc>
        <w:tc>
          <w:tcPr>
            <w:tcW w:w="2608" w:type="pct"/>
          </w:tcPr>
          <w:p>
            <w:pPr>
              <w:rPr>
                <w:color w:val="auto"/>
                <w:highlight w:val="none"/>
              </w:rPr>
            </w:pPr>
            <w:r>
              <w:rPr>
                <w:rFonts w:hint="eastAsia"/>
                <w:color w:val="auto"/>
                <w:highlight w:val="none"/>
              </w:rPr>
              <w:t>数据库管理工具功能丰富，可对国产数据库如人大金仓、达梦等中的库、表、视图、索引、存储过程进行全生命周期管理，支持创建新对象、修改已有设置、删除不再需要的对象，操作便捷高效。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27" w:type="pct"/>
            <w:vAlign w:val="center"/>
          </w:tcPr>
          <w:p>
            <w:pPr>
              <w:jc w:val="center"/>
              <w:rPr>
                <w:color w:val="auto"/>
                <w:highlight w:val="none"/>
              </w:rPr>
            </w:pPr>
            <w:r>
              <w:rPr>
                <w:rFonts w:hint="eastAsia"/>
                <w:color w:val="auto"/>
                <w:highlight w:val="none"/>
              </w:rPr>
              <w:t>4.1.4</w:t>
            </w:r>
          </w:p>
        </w:tc>
        <w:tc>
          <w:tcPr>
            <w:tcW w:w="1763" w:type="pct"/>
            <w:vAlign w:val="center"/>
          </w:tcPr>
          <w:p>
            <w:pPr>
              <w:jc w:val="center"/>
              <w:rPr>
                <w:color w:val="auto"/>
                <w:highlight w:val="none"/>
              </w:rPr>
            </w:pPr>
            <w:r>
              <w:rPr>
                <w:rFonts w:hint="eastAsia"/>
                <w:color w:val="auto"/>
                <w:highlight w:val="none"/>
              </w:rPr>
              <w:t>统一SQL操作窗口</w:t>
            </w:r>
          </w:p>
        </w:tc>
        <w:tc>
          <w:tcPr>
            <w:tcW w:w="2608" w:type="pct"/>
          </w:tcPr>
          <w:p>
            <w:pPr>
              <w:rPr>
                <w:color w:val="auto"/>
                <w:highlight w:val="none"/>
              </w:rPr>
            </w:pPr>
            <w:r>
              <w:rPr>
                <w:rFonts w:hint="eastAsia"/>
                <w:color w:val="auto"/>
                <w:highlight w:val="none"/>
              </w:rPr>
              <w:t>提供统一的SQL操作窗口，支持多窗口并行工作，支持多条语句同时执行，自动生成多个结果集窗口，窗口支持放大缩写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27" w:type="pct"/>
            <w:vAlign w:val="center"/>
          </w:tcPr>
          <w:p>
            <w:pPr>
              <w:jc w:val="center"/>
              <w:rPr>
                <w:color w:val="auto"/>
                <w:highlight w:val="none"/>
              </w:rPr>
            </w:pPr>
            <w:r>
              <w:rPr>
                <w:rFonts w:hint="eastAsia"/>
                <w:color w:val="auto"/>
                <w:highlight w:val="none"/>
              </w:rPr>
              <w:t>4.1.5</w:t>
            </w:r>
          </w:p>
        </w:tc>
        <w:tc>
          <w:tcPr>
            <w:tcW w:w="1763" w:type="pct"/>
            <w:vAlign w:val="center"/>
          </w:tcPr>
          <w:p>
            <w:pPr>
              <w:jc w:val="center"/>
              <w:rPr>
                <w:color w:val="auto"/>
                <w:highlight w:val="none"/>
              </w:rPr>
            </w:pPr>
            <w:r>
              <w:rPr>
                <w:rFonts w:hint="eastAsia"/>
                <w:color w:val="auto"/>
                <w:highlight w:val="none"/>
              </w:rPr>
              <w:t>sql命令行编辑框</w:t>
            </w:r>
          </w:p>
        </w:tc>
        <w:tc>
          <w:tcPr>
            <w:tcW w:w="2608" w:type="pct"/>
          </w:tcPr>
          <w:p>
            <w:pPr>
              <w:rPr>
                <w:color w:val="auto"/>
                <w:highlight w:val="none"/>
              </w:rPr>
            </w:pPr>
            <w:r>
              <w:rPr>
                <w:rFonts w:hint="eastAsia"/>
                <w:color w:val="auto"/>
                <w:highlight w:val="none"/>
              </w:rPr>
              <w:t>提供sql命令行编辑框，支持sql语句的编辑和执行，sql命令行编辑框支持复制粘贴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trPr>
        <w:tc>
          <w:tcPr>
            <w:tcW w:w="627" w:type="pct"/>
            <w:vAlign w:val="center"/>
          </w:tcPr>
          <w:p>
            <w:pPr>
              <w:jc w:val="center"/>
              <w:rPr>
                <w:color w:val="auto"/>
                <w:highlight w:val="none"/>
              </w:rPr>
            </w:pPr>
            <w:r>
              <w:rPr>
                <w:rFonts w:hint="eastAsia"/>
                <w:color w:val="auto"/>
                <w:highlight w:val="none"/>
              </w:rPr>
              <w:t>4.1.6</w:t>
            </w:r>
          </w:p>
        </w:tc>
        <w:tc>
          <w:tcPr>
            <w:tcW w:w="1763" w:type="pct"/>
            <w:vAlign w:val="center"/>
          </w:tcPr>
          <w:p>
            <w:pPr>
              <w:jc w:val="center"/>
              <w:rPr>
                <w:color w:val="auto"/>
                <w:highlight w:val="none"/>
              </w:rPr>
            </w:pPr>
            <w:r>
              <w:rPr>
                <w:rFonts w:hint="eastAsia"/>
                <w:color w:val="auto"/>
                <w:highlight w:val="none"/>
              </w:rPr>
              <w:t>自动识别输入命令</w:t>
            </w:r>
          </w:p>
        </w:tc>
        <w:tc>
          <w:tcPr>
            <w:tcW w:w="2608" w:type="pct"/>
          </w:tcPr>
          <w:p>
            <w:pPr>
              <w:rPr>
                <w:color w:val="auto"/>
                <w:highlight w:val="none"/>
              </w:rPr>
            </w:pPr>
            <w:r>
              <w:rPr>
                <w:rFonts w:hint="eastAsia"/>
                <w:color w:val="auto"/>
                <w:highlight w:val="none"/>
              </w:rPr>
              <w:t>数据库管理工具具备智能特性，可自动识别用户输入命令并完成补全，提升输入效率。同时，能将命令执行后的查询结果，通过专门的结果集显示区域清晰展示，方便用户查看操作成效。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27" w:type="pct"/>
            <w:vAlign w:val="center"/>
          </w:tcPr>
          <w:p>
            <w:pPr>
              <w:jc w:val="center"/>
              <w:rPr>
                <w:color w:val="auto"/>
                <w:highlight w:val="none"/>
              </w:rPr>
            </w:pPr>
            <w:r>
              <w:rPr>
                <w:rFonts w:hint="eastAsia"/>
                <w:color w:val="auto"/>
                <w:highlight w:val="none"/>
              </w:rPr>
              <w:t>4.1.7</w:t>
            </w:r>
          </w:p>
        </w:tc>
        <w:tc>
          <w:tcPr>
            <w:tcW w:w="1763" w:type="pct"/>
            <w:vAlign w:val="center"/>
          </w:tcPr>
          <w:p>
            <w:pPr>
              <w:jc w:val="center"/>
              <w:rPr>
                <w:color w:val="auto"/>
                <w:highlight w:val="none"/>
              </w:rPr>
            </w:pPr>
            <w:r>
              <w:rPr>
                <w:rFonts w:hint="eastAsia"/>
                <w:color w:val="auto"/>
                <w:highlight w:val="none"/>
              </w:rPr>
              <w:t>数据库对象树形展示</w:t>
            </w:r>
          </w:p>
        </w:tc>
        <w:tc>
          <w:tcPr>
            <w:tcW w:w="2608" w:type="pct"/>
          </w:tcPr>
          <w:p>
            <w:pPr>
              <w:rPr>
                <w:color w:val="auto"/>
                <w:highlight w:val="none"/>
              </w:rPr>
            </w:pPr>
            <w:r>
              <w:rPr>
                <w:rFonts w:hint="eastAsia"/>
                <w:color w:val="auto"/>
                <w:highlight w:val="none"/>
              </w:rPr>
              <w:t>支持按照树形结构的方式展示数据库的各种对象，能够点击查看数据库内容包括：表、视图、函数、存储过程、字段、主键等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trPr>
        <w:tc>
          <w:tcPr>
            <w:tcW w:w="627" w:type="pct"/>
            <w:vAlign w:val="center"/>
          </w:tcPr>
          <w:p>
            <w:pPr>
              <w:jc w:val="center"/>
              <w:rPr>
                <w:color w:val="auto"/>
                <w:highlight w:val="none"/>
              </w:rPr>
            </w:pPr>
            <w:r>
              <w:rPr>
                <w:rFonts w:hint="eastAsia"/>
                <w:color w:val="auto"/>
                <w:highlight w:val="none"/>
              </w:rPr>
              <w:t>4.1.8</w:t>
            </w:r>
          </w:p>
        </w:tc>
        <w:tc>
          <w:tcPr>
            <w:tcW w:w="1763" w:type="pct"/>
            <w:vAlign w:val="center"/>
          </w:tcPr>
          <w:p>
            <w:pPr>
              <w:jc w:val="center"/>
              <w:rPr>
                <w:color w:val="auto"/>
                <w:highlight w:val="none"/>
              </w:rPr>
            </w:pPr>
            <w:r>
              <w:rPr>
                <w:rFonts w:hint="eastAsia"/>
                <w:color w:val="auto"/>
                <w:highlight w:val="none"/>
              </w:rPr>
              <w:t>全面的SQL编辑辅助功能</w:t>
            </w:r>
          </w:p>
        </w:tc>
        <w:tc>
          <w:tcPr>
            <w:tcW w:w="2608" w:type="pct"/>
          </w:tcPr>
          <w:p>
            <w:pPr>
              <w:rPr>
                <w:color w:val="auto"/>
                <w:highlight w:val="none"/>
              </w:rPr>
            </w:pPr>
            <w:r>
              <w:rPr>
                <w:rFonts w:hint="eastAsia"/>
                <w:color w:val="auto"/>
                <w:highlight w:val="none"/>
              </w:rPr>
              <w:t>提供全面SQL编辑辅助功能：支持语法提示（智能补全关键词）、实时语法检查（标记错误语句）、语法高亮、显示行号、相同文本高亮及 SQL 语法美化，有效提升代码编写效率与可读性，降低语法错误率。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27" w:type="pct"/>
            <w:vAlign w:val="center"/>
          </w:tcPr>
          <w:p>
            <w:pPr>
              <w:jc w:val="center"/>
              <w:rPr>
                <w:color w:val="auto"/>
                <w:highlight w:val="none"/>
              </w:rPr>
            </w:pPr>
            <w:r>
              <w:rPr>
                <w:rFonts w:hint="eastAsia"/>
                <w:color w:val="auto"/>
                <w:highlight w:val="none"/>
              </w:rPr>
              <w:t>4.1.9</w:t>
            </w:r>
          </w:p>
        </w:tc>
        <w:tc>
          <w:tcPr>
            <w:tcW w:w="1763" w:type="pct"/>
            <w:vAlign w:val="center"/>
          </w:tcPr>
          <w:p>
            <w:pPr>
              <w:jc w:val="center"/>
              <w:rPr>
                <w:color w:val="auto"/>
                <w:highlight w:val="none"/>
              </w:rPr>
            </w:pPr>
            <w:r>
              <w:rPr>
                <w:rFonts w:hint="eastAsia"/>
                <w:color w:val="auto"/>
                <w:highlight w:val="none"/>
              </w:rPr>
              <w:t>查询结果集以多种格式导出</w:t>
            </w:r>
          </w:p>
        </w:tc>
        <w:tc>
          <w:tcPr>
            <w:tcW w:w="2608" w:type="pct"/>
          </w:tcPr>
          <w:p>
            <w:pPr>
              <w:rPr>
                <w:color w:val="auto"/>
                <w:highlight w:val="none"/>
              </w:rPr>
            </w:pPr>
            <w:r>
              <w:rPr>
                <w:rFonts w:hint="eastAsia"/>
                <w:color w:val="auto"/>
                <w:highlight w:val="none"/>
              </w:rPr>
              <w:t>支持将数据查询结果集以多种格式导出，其中包括常见的 SQL 和 CSV 格式。这一功能方便用户根据不同需求进行数据保存和进一步分析。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27" w:type="pct"/>
            <w:vAlign w:val="center"/>
          </w:tcPr>
          <w:p>
            <w:pPr>
              <w:jc w:val="center"/>
              <w:rPr>
                <w:color w:val="auto"/>
                <w:highlight w:val="none"/>
              </w:rPr>
            </w:pPr>
            <w:r>
              <w:rPr>
                <w:rFonts w:hint="eastAsia"/>
                <w:color w:val="auto"/>
                <w:highlight w:val="none"/>
              </w:rPr>
              <w:t>4.1.10</w:t>
            </w:r>
          </w:p>
        </w:tc>
        <w:tc>
          <w:tcPr>
            <w:tcW w:w="1763" w:type="pct"/>
            <w:vAlign w:val="center"/>
          </w:tcPr>
          <w:p>
            <w:pPr>
              <w:jc w:val="center"/>
              <w:rPr>
                <w:color w:val="auto"/>
                <w:highlight w:val="none"/>
              </w:rPr>
            </w:pPr>
            <w:r>
              <w:rPr>
                <w:rFonts w:hint="eastAsia"/>
                <w:color w:val="auto"/>
                <w:highlight w:val="none"/>
              </w:rPr>
              <w:t>用户访问认证机制集成</w:t>
            </w:r>
          </w:p>
        </w:tc>
        <w:tc>
          <w:tcPr>
            <w:tcW w:w="2608" w:type="pct"/>
          </w:tcPr>
          <w:p>
            <w:pPr>
              <w:rPr>
                <w:color w:val="auto"/>
                <w:highlight w:val="none"/>
              </w:rPr>
            </w:pPr>
            <w:r>
              <w:rPr>
                <w:rFonts w:hint="eastAsia"/>
                <w:color w:val="auto"/>
                <w:highlight w:val="none"/>
              </w:rPr>
              <w:t>集成用户访问认证机制，确保只有授权用户可以访问数据库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27" w:type="pct"/>
            <w:vAlign w:val="center"/>
          </w:tcPr>
          <w:p>
            <w:pPr>
              <w:jc w:val="center"/>
              <w:rPr>
                <w:color w:val="auto"/>
                <w:highlight w:val="none"/>
              </w:rPr>
            </w:pPr>
            <w:r>
              <w:rPr>
                <w:rFonts w:hint="eastAsia"/>
                <w:color w:val="auto"/>
                <w:highlight w:val="none"/>
              </w:rPr>
              <w:t>4.1.11</w:t>
            </w:r>
          </w:p>
        </w:tc>
        <w:tc>
          <w:tcPr>
            <w:tcW w:w="1763" w:type="pct"/>
            <w:vAlign w:val="center"/>
          </w:tcPr>
          <w:p>
            <w:pPr>
              <w:jc w:val="center"/>
              <w:rPr>
                <w:color w:val="auto"/>
                <w:highlight w:val="none"/>
              </w:rPr>
            </w:pPr>
            <w:r>
              <w:rPr>
                <w:rFonts w:hint="eastAsia"/>
                <w:color w:val="auto"/>
                <w:highlight w:val="none"/>
              </w:rPr>
              <w:t>数据库变更日志</w:t>
            </w:r>
          </w:p>
        </w:tc>
        <w:tc>
          <w:tcPr>
            <w:tcW w:w="2608" w:type="pct"/>
          </w:tcPr>
          <w:p>
            <w:pPr>
              <w:rPr>
                <w:color w:val="auto"/>
                <w:highlight w:val="none"/>
              </w:rPr>
            </w:pPr>
            <w:r>
              <w:rPr>
                <w:rFonts w:hint="eastAsia"/>
                <w:color w:val="auto"/>
                <w:highlight w:val="none"/>
              </w:rPr>
              <w:t>记录用户操作和数据库变更日志，便于审计和故障排查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27" w:type="pct"/>
            <w:vAlign w:val="center"/>
          </w:tcPr>
          <w:p>
            <w:pPr>
              <w:jc w:val="center"/>
              <w:rPr>
                <w:b/>
                <w:bCs/>
                <w:color w:val="auto"/>
                <w:highlight w:val="none"/>
              </w:rPr>
            </w:pPr>
            <w:r>
              <w:rPr>
                <w:rFonts w:hint="eastAsia"/>
                <w:b/>
                <w:bCs/>
                <w:color w:val="auto"/>
                <w:highlight w:val="none"/>
              </w:rPr>
              <w:t>4.2</w:t>
            </w:r>
          </w:p>
        </w:tc>
        <w:tc>
          <w:tcPr>
            <w:tcW w:w="1763" w:type="pct"/>
            <w:vAlign w:val="center"/>
          </w:tcPr>
          <w:p>
            <w:pPr>
              <w:jc w:val="center"/>
              <w:rPr>
                <w:b/>
                <w:bCs/>
                <w:color w:val="auto"/>
                <w:highlight w:val="none"/>
              </w:rPr>
            </w:pPr>
            <w:r>
              <w:rPr>
                <w:rFonts w:hint="eastAsia"/>
                <w:b/>
                <w:bCs/>
                <w:color w:val="auto"/>
                <w:highlight w:val="none"/>
              </w:rPr>
              <w:t>数据库运维细粒度管控</w:t>
            </w:r>
          </w:p>
        </w:tc>
        <w:tc>
          <w:tcPr>
            <w:tcW w:w="2608" w:type="pct"/>
          </w:tcPr>
          <w:p>
            <w:pPr>
              <w:rPr>
                <w:color w:val="auto"/>
                <w:highlight w:val="none"/>
              </w:rPr>
            </w:pPr>
            <w:r>
              <w:rPr>
                <w:rFonts w:hint="eastAsia"/>
                <w:color w:val="auto"/>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0" w:hRule="atLeast"/>
        </w:trPr>
        <w:tc>
          <w:tcPr>
            <w:tcW w:w="627" w:type="pct"/>
            <w:vAlign w:val="center"/>
          </w:tcPr>
          <w:p>
            <w:pPr>
              <w:jc w:val="center"/>
              <w:rPr>
                <w:color w:val="auto"/>
                <w:highlight w:val="none"/>
              </w:rPr>
            </w:pPr>
            <w:r>
              <w:rPr>
                <w:rFonts w:hint="eastAsia"/>
                <w:color w:val="auto"/>
                <w:highlight w:val="none"/>
              </w:rPr>
              <w:t>4.2.1</w:t>
            </w:r>
          </w:p>
        </w:tc>
        <w:tc>
          <w:tcPr>
            <w:tcW w:w="1763" w:type="pct"/>
            <w:vAlign w:val="center"/>
          </w:tcPr>
          <w:p>
            <w:pPr>
              <w:jc w:val="center"/>
              <w:rPr>
                <w:color w:val="auto"/>
                <w:highlight w:val="none"/>
              </w:rPr>
            </w:pPr>
            <w:r>
              <w:rPr>
                <w:rFonts w:hint="eastAsia"/>
                <w:color w:val="auto"/>
                <w:highlight w:val="none"/>
              </w:rPr>
              <w:t>多种国产数据库类型管控</w:t>
            </w:r>
          </w:p>
        </w:tc>
        <w:tc>
          <w:tcPr>
            <w:tcW w:w="2608" w:type="pct"/>
          </w:tcPr>
          <w:p>
            <w:pPr>
              <w:rPr>
                <w:color w:val="auto"/>
                <w:highlight w:val="none"/>
              </w:rPr>
            </w:pPr>
            <w:r>
              <w:rPr>
                <w:rFonts w:hint="eastAsia"/>
                <w:color w:val="auto"/>
                <w:highlight w:val="none"/>
              </w:rPr>
              <w:t>数据库运维管控工具需要针对特定的数据库，如达梦、人大金仓国产数据库以及mysql、oracle数据库进行权限管控的适配和兼容，确保可以支持、兼容多种数据库的运维管控，满足不同业务厂商的运维管理需要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27" w:type="pct"/>
            <w:vAlign w:val="center"/>
          </w:tcPr>
          <w:p>
            <w:pPr>
              <w:jc w:val="center"/>
              <w:rPr>
                <w:color w:val="auto"/>
                <w:highlight w:val="none"/>
              </w:rPr>
            </w:pPr>
            <w:r>
              <w:rPr>
                <w:rFonts w:hint="eastAsia"/>
                <w:color w:val="auto"/>
                <w:highlight w:val="none"/>
              </w:rPr>
              <w:t>4.2.2</w:t>
            </w:r>
          </w:p>
        </w:tc>
        <w:tc>
          <w:tcPr>
            <w:tcW w:w="1763" w:type="pct"/>
            <w:vAlign w:val="center"/>
          </w:tcPr>
          <w:p>
            <w:pPr>
              <w:jc w:val="center"/>
              <w:rPr>
                <w:color w:val="auto"/>
                <w:highlight w:val="none"/>
              </w:rPr>
            </w:pPr>
            <w:r>
              <w:rPr>
                <w:rFonts w:hint="eastAsia"/>
                <w:color w:val="auto"/>
                <w:highlight w:val="none"/>
              </w:rPr>
              <w:t>库、表、字段管控</w:t>
            </w:r>
          </w:p>
        </w:tc>
        <w:tc>
          <w:tcPr>
            <w:tcW w:w="2608" w:type="pct"/>
          </w:tcPr>
          <w:p>
            <w:pPr>
              <w:rPr>
                <w:color w:val="auto"/>
                <w:highlight w:val="none"/>
              </w:rPr>
            </w:pPr>
            <w:r>
              <w:rPr>
                <w:rFonts w:hint="eastAsia"/>
                <w:color w:val="auto"/>
                <w:highlight w:val="none"/>
              </w:rPr>
              <w:t>支持对达梦、人大金仓国产数据库以及mysql、oracle数据库运维过程中能够操作的库、表、sql字段进行自由控制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trPr>
        <w:tc>
          <w:tcPr>
            <w:tcW w:w="627" w:type="pct"/>
            <w:vAlign w:val="center"/>
          </w:tcPr>
          <w:p>
            <w:pPr>
              <w:jc w:val="center"/>
              <w:rPr>
                <w:color w:val="auto"/>
                <w:highlight w:val="none"/>
              </w:rPr>
            </w:pPr>
            <w:r>
              <w:rPr>
                <w:rFonts w:hint="eastAsia"/>
                <w:color w:val="auto"/>
                <w:highlight w:val="none"/>
              </w:rPr>
              <w:t>4.2.3</w:t>
            </w:r>
          </w:p>
        </w:tc>
        <w:tc>
          <w:tcPr>
            <w:tcW w:w="1763" w:type="pct"/>
            <w:vAlign w:val="center"/>
          </w:tcPr>
          <w:p>
            <w:pPr>
              <w:jc w:val="center"/>
              <w:rPr>
                <w:color w:val="auto"/>
                <w:highlight w:val="none"/>
              </w:rPr>
            </w:pPr>
            <w:r>
              <w:rPr>
                <w:rFonts w:hint="eastAsia"/>
                <w:color w:val="auto"/>
                <w:highlight w:val="none"/>
              </w:rPr>
              <w:t>数据库管控策略关联</w:t>
            </w:r>
          </w:p>
        </w:tc>
        <w:tc>
          <w:tcPr>
            <w:tcW w:w="2608" w:type="pct"/>
          </w:tcPr>
          <w:p>
            <w:pPr>
              <w:rPr>
                <w:color w:val="auto"/>
                <w:highlight w:val="none"/>
              </w:rPr>
            </w:pPr>
            <w:r>
              <w:rPr>
                <w:rFonts w:hint="eastAsia"/>
                <w:color w:val="auto"/>
                <w:highlight w:val="none"/>
              </w:rPr>
              <w:t>与业务运维场景相结合，基于用户/用户组、资产/资产组、账号/端口、时间周期等条件与数据库控制策略进行关联，通过策略可以限制用户能够执行的命令，当用户执行未授权指令时操作会被立即阻断；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27" w:type="pct"/>
            <w:vAlign w:val="center"/>
          </w:tcPr>
          <w:p>
            <w:pPr>
              <w:jc w:val="center"/>
              <w:rPr>
                <w:color w:val="auto"/>
                <w:highlight w:val="none"/>
              </w:rPr>
            </w:pPr>
            <w:r>
              <w:rPr>
                <w:rFonts w:hint="eastAsia"/>
                <w:color w:val="auto"/>
                <w:highlight w:val="none"/>
              </w:rPr>
              <w:t>4.2.4</w:t>
            </w:r>
          </w:p>
        </w:tc>
        <w:tc>
          <w:tcPr>
            <w:tcW w:w="1763" w:type="pct"/>
            <w:vAlign w:val="center"/>
          </w:tcPr>
          <w:p>
            <w:pPr>
              <w:jc w:val="center"/>
              <w:rPr>
                <w:color w:val="auto"/>
                <w:highlight w:val="none"/>
              </w:rPr>
            </w:pPr>
            <w:r>
              <w:rPr>
                <w:rFonts w:hint="eastAsia"/>
                <w:color w:val="auto"/>
                <w:highlight w:val="none"/>
              </w:rPr>
              <w:t>SQL语句命令控制</w:t>
            </w:r>
          </w:p>
        </w:tc>
        <w:tc>
          <w:tcPr>
            <w:tcW w:w="2608" w:type="pct"/>
          </w:tcPr>
          <w:p>
            <w:pPr>
              <w:rPr>
                <w:color w:val="auto"/>
                <w:highlight w:val="none"/>
              </w:rPr>
            </w:pPr>
            <w:r>
              <w:rPr>
                <w:rFonts w:hint="eastAsia"/>
                <w:color w:val="auto"/>
                <w:highlight w:val="none"/>
              </w:rPr>
              <w:t>支持常见的sql语句命令控制，如：select、insert、Update、delete、drop、truncate、create、alter、show等常用SQL语句。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27" w:type="pct"/>
            <w:vAlign w:val="center"/>
          </w:tcPr>
          <w:p>
            <w:pPr>
              <w:jc w:val="center"/>
              <w:rPr>
                <w:b/>
                <w:bCs/>
                <w:color w:val="auto"/>
                <w:highlight w:val="none"/>
              </w:rPr>
            </w:pPr>
            <w:r>
              <w:rPr>
                <w:rFonts w:hint="eastAsia"/>
                <w:b/>
                <w:bCs/>
                <w:color w:val="auto"/>
                <w:highlight w:val="none"/>
              </w:rPr>
              <w:t>4.3</w:t>
            </w:r>
          </w:p>
        </w:tc>
        <w:tc>
          <w:tcPr>
            <w:tcW w:w="1763" w:type="pct"/>
            <w:vAlign w:val="center"/>
          </w:tcPr>
          <w:p>
            <w:pPr>
              <w:jc w:val="center"/>
              <w:rPr>
                <w:b/>
                <w:bCs/>
                <w:color w:val="auto"/>
                <w:highlight w:val="none"/>
              </w:rPr>
            </w:pPr>
            <w:r>
              <w:rPr>
                <w:rFonts w:hint="eastAsia"/>
                <w:b/>
                <w:bCs/>
                <w:color w:val="auto"/>
                <w:highlight w:val="none"/>
              </w:rPr>
              <w:t>数据库敏感高危操作二次授权</w:t>
            </w:r>
          </w:p>
        </w:tc>
        <w:tc>
          <w:tcPr>
            <w:tcW w:w="2608" w:type="pct"/>
          </w:tcPr>
          <w:p>
            <w:pPr>
              <w:rPr>
                <w:color w:val="auto"/>
                <w:highlight w:val="none"/>
              </w:rPr>
            </w:pPr>
            <w:r>
              <w:rPr>
                <w:rFonts w:hint="eastAsia"/>
                <w:color w:val="auto"/>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27" w:type="pct"/>
            <w:vAlign w:val="center"/>
          </w:tcPr>
          <w:p>
            <w:pPr>
              <w:jc w:val="center"/>
              <w:rPr>
                <w:color w:val="auto"/>
                <w:highlight w:val="none"/>
              </w:rPr>
            </w:pPr>
            <w:r>
              <w:rPr>
                <w:rFonts w:hint="eastAsia"/>
                <w:color w:val="auto"/>
                <w:highlight w:val="none"/>
              </w:rPr>
              <w:t>4.3.1</w:t>
            </w:r>
          </w:p>
        </w:tc>
        <w:tc>
          <w:tcPr>
            <w:tcW w:w="1763" w:type="pct"/>
            <w:vAlign w:val="center"/>
          </w:tcPr>
          <w:p>
            <w:pPr>
              <w:jc w:val="center"/>
              <w:rPr>
                <w:color w:val="auto"/>
                <w:highlight w:val="none"/>
              </w:rPr>
            </w:pPr>
            <w:r>
              <w:rPr>
                <w:rFonts w:hint="eastAsia"/>
                <w:color w:val="auto"/>
                <w:highlight w:val="none"/>
              </w:rPr>
              <w:t>数据库敏感高危操作配置</w:t>
            </w:r>
          </w:p>
        </w:tc>
        <w:tc>
          <w:tcPr>
            <w:tcW w:w="2608" w:type="pct"/>
          </w:tcPr>
          <w:p>
            <w:pPr>
              <w:rPr>
                <w:color w:val="auto"/>
                <w:highlight w:val="none"/>
              </w:rPr>
            </w:pPr>
            <w:r>
              <w:rPr>
                <w:rFonts w:hint="eastAsia"/>
                <w:color w:val="auto"/>
                <w:highlight w:val="none"/>
              </w:rPr>
              <w:t>支持设置达梦、人大金仓国产数据库以及mysql、oracle数据库中的所有敏感高危操作，如数据删除、修改和权限变更等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27" w:type="pct"/>
            <w:vAlign w:val="center"/>
          </w:tcPr>
          <w:p>
            <w:pPr>
              <w:jc w:val="center"/>
              <w:rPr>
                <w:color w:val="auto"/>
                <w:highlight w:val="none"/>
              </w:rPr>
            </w:pPr>
            <w:r>
              <w:rPr>
                <w:rFonts w:hint="eastAsia"/>
                <w:color w:val="auto"/>
                <w:highlight w:val="none"/>
              </w:rPr>
              <w:t>4.3.2</w:t>
            </w:r>
          </w:p>
        </w:tc>
        <w:tc>
          <w:tcPr>
            <w:tcW w:w="1763" w:type="pct"/>
            <w:vAlign w:val="center"/>
          </w:tcPr>
          <w:p>
            <w:pPr>
              <w:jc w:val="center"/>
              <w:rPr>
                <w:color w:val="auto"/>
                <w:highlight w:val="none"/>
              </w:rPr>
            </w:pPr>
            <w:r>
              <w:rPr>
                <w:rFonts w:hint="eastAsia"/>
                <w:color w:val="auto"/>
                <w:highlight w:val="none"/>
              </w:rPr>
              <w:t>数据库敏感高危操作授权审批</w:t>
            </w:r>
          </w:p>
        </w:tc>
        <w:tc>
          <w:tcPr>
            <w:tcW w:w="2608" w:type="pct"/>
          </w:tcPr>
          <w:p>
            <w:pPr>
              <w:rPr>
                <w:color w:val="auto"/>
                <w:highlight w:val="none"/>
              </w:rPr>
            </w:pPr>
            <w:r>
              <w:rPr>
                <w:rFonts w:hint="eastAsia"/>
                <w:color w:val="auto"/>
                <w:highlight w:val="none"/>
              </w:rPr>
              <w:t>开发二次授权模块对这些敏感高危操作进行额外的授权审批，确保每次敏感高危操作都通过审批后方可执行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27" w:type="pct"/>
            <w:vAlign w:val="center"/>
          </w:tcPr>
          <w:p>
            <w:pPr>
              <w:jc w:val="center"/>
              <w:rPr>
                <w:color w:val="auto"/>
                <w:highlight w:val="none"/>
              </w:rPr>
            </w:pPr>
            <w:r>
              <w:rPr>
                <w:rFonts w:hint="eastAsia"/>
                <w:color w:val="auto"/>
                <w:highlight w:val="none"/>
              </w:rPr>
              <w:t>4.3.3</w:t>
            </w:r>
          </w:p>
        </w:tc>
        <w:tc>
          <w:tcPr>
            <w:tcW w:w="1763" w:type="pct"/>
            <w:vAlign w:val="center"/>
          </w:tcPr>
          <w:p>
            <w:pPr>
              <w:jc w:val="center"/>
              <w:rPr>
                <w:color w:val="auto"/>
                <w:highlight w:val="none"/>
              </w:rPr>
            </w:pPr>
            <w:r>
              <w:rPr>
                <w:rFonts w:hint="eastAsia"/>
                <w:color w:val="auto"/>
                <w:highlight w:val="none"/>
              </w:rPr>
              <w:t>二次授权审核角色设置</w:t>
            </w:r>
          </w:p>
        </w:tc>
        <w:tc>
          <w:tcPr>
            <w:tcW w:w="2608" w:type="pct"/>
          </w:tcPr>
          <w:p>
            <w:pPr>
              <w:rPr>
                <w:color w:val="auto"/>
                <w:highlight w:val="none"/>
              </w:rPr>
            </w:pPr>
            <w:r>
              <w:rPr>
                <w:rFonts w:hint="eastAsia"/>
                <w:color w:val="auto"/>
                <w:highlight w:val="none"/>
              </w:rPr>
              <w:t>支持对数据库敏感高危操作二次授权的审核人以及审核角色进行设置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27" w:type="pct"/>
            <w:vAlign w:val="center"/>
          </w:tcPr>
          <w:p>
            <w:pPr>
              <w:jc w:val="center"/>
              <w:rPr>
                <w:color w:val="auto"/>
                <w:highlight w:val="none"/>
              </w:rPr>
            </w:pPr>
            <w:r>
              <w:rPr>
                <w:rFonts w:hint="eastAsia"/>
                <w:color w:val="auto"/>
                <w:highlight w:val="none"/>
              </w:rPr>
              <w:t>4.3.4</w:t>
            </w:r>
          </w:p>
        </w:tc>
        <w:tc>
          <w:tcPr>
            <w:tcW w:w="1763" w:type="pct"/>
            <w:vAlign w:val="center"/>
          </w:tcPr>
          <w:p>
            <w:pPr>
              <w:jc w:val="center"/>
              <w:rPr>
                <w:color w:val="auto"/>
                <w:highlight w:val="none"/>
              </w:rPr>
            </w:pPr>
            <w:r>
              <w:rPr>
                <w:rFonts w:hint="eastAsia"/>
                <w:color w:val="auto"/>
                <w:highlight w:val="none"/>
              </w:rPr>
              <w:t>敏感高危二次授权信息查询</w:t>
            </w:r>
          </w:p>
        </w:tc>
        <w:tc>
          <w:tcPr>
            <w:tcW w:w="2608" w:type="pct"/>
          </w:tcPr>
          <w:p>
            <w:pPr>
              <w:rPr>
                <w:color w:val="auto"/>
                <w:highlight w:val="none"/>
              </w:rPr>
            </w:pPr>
            <w:r>
              <w:rPr>
                <w:rFonts w:hint="eastAsia"/>
                <w:color w:val="auto"/>
                <w:highlight w:val="none"/>
              </w:rPr>
              <w:t>可通过数据库操作类型、账号名称、审核状态查询敏感高危二次授权的情况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27" w:type="pct"/>
            <w:vAlign w:val="center"/>
          </w:tcPr>
          <w:p>
            <w:pPr>
              <w:jc w:val="center"/>
              <w:rPr>
                <w:b/>
                <w:bCs/>
                <w:color w:val="auto"/>
                <w:highlight w:val="none"/>
              </w:rPr>
            </w:pPr>
            <w:r>
              <w:rPr>
                <w:rFonts w:hint="eastAsia"/>
                <w:b/>
                <w:bCs/>
                <w:color w:val="auto"/>
                <w:highlight w:val="none"/>
              </w:rPr>
              <w:t>4.4</w:t>
            </w:r>
          </w:p>
        </w:tc>
        <w:tc>
          <w:tcPr>
            <w:tcW w:w="1763" w:type="pct"/>
            <w:vAlign w:val="center"/>
          </w:tcPr>
          <w:p>
            <w:pPr>
              <w:jc w:val="center"/>
              <w:rPr>
                <w:b/>
                <w:bCs/>
                <w:color w:val="auto"/>
                <w:highlight w:val="none"/>
              </w:rPr>
            </w:pPr>
            <w:r>
              <w:rPr>
                <w:rFonts w:hint="eastAsia"/>
                <w:b/>
                <w:bCs/>
                <w:color w:val="auto"/>
                <w:highlight w:val="none"/>
              </w:rPr>
              <w:t>数据库高风险命令阻断</w:t>
            </w:r>
          </w:p>
        </w:tc>
        <w:tc>
          <w:tcPr>
            <w:tcW w:w="2608" w:type="pct"/>
          </w:tcPr>
          <w:p>
            <w:pPr>
              <w:rPr>
                <w:color w:val="auto"/>
                <w:highlight w:val="none"/>
              </w:rPr>
            </w:pPr>
            <w:r>
              <w:rPr>
                <w:rFonts w:hint="eastAsia"/>
                <w:color w:val="auto"/>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27" w:type="pct"/>
            <w:vAlign w:val="center"/>
          </w:tcPr>
          <w:p>
            <w:pPr>
              <w:jc w:val="center"/>
              <w:rPr>
                <w:color w:val="auto"/>
                <w:highlight w:val="none"/>
              </w:rPr>
            </w:pPr>
            <w:r>
              <w:rPr>
                <w:rFonts w:hint="eastAsia"/>
                <w:color w:val="auto"/>
                <w:highlight w:val="none"/>
              </w:rPr>
              <w:t>4.4.1</w:t>
            </w:r>
          </w:p>
        </w:tc>
        <w:tc>
          <w:tcPr>
            <w:tcW w:w="1763" w:type="pct"/>
            <w:vAlign w:val="center"/>
          </w:tcPr>
          <w:p>
            <w:pPr>
              <w:jc w:val="center"/>
              <w:rPr>
                <w:color w:val="auto"/>
                <w:highlight w:val="none"/>
              </w:rPr>
            </w:pPr>
            <w:r>
              <w:rPr>
                <w:rFonts w:hint="eastAsia"/>
                <w:color w:val="auto"/>
                <w:highlight w:val="none"/>
              </w:rPr>
              <w:t>数据库高风险命令定义</w:t>
            </w:r>
          </w:p>
        </w:tc>
        <w:tc>
          <w:tcPr>
            <w:tcW w:w="2608" w:type="pct"/>
          </w:tcPr>
          <w:p>
            <w:pPr>
              <w:rPr>
                <w:color w:val="auto"/>
                <w:highlight w:val="none"/>
              </w:rPr>
            </w:pPr>
            <w:r>
              <w:rPr>
                <w:rFonts w:hint="eastAsia"/>
                <w:color w:val="auto"/>
                <w:highlight w:val="none"/>
              </w:rPr>
              <w:t>定义高风险命令（如 `DROP`, `DELETE`, `UPDATE` 和 `ALTER`），建立相应的阻断策略库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27" w:type="pct"/>
            <w:vAlign w:val="center"/>
          </w:tcPr>
          <w:p>
            <w:pPr>
              <w:jc w:val="center"/>
              <w:rPr>
                <w:color w:val="auto"/>
                <w:highlight w:val="none"/>
              </w:rPr>
            </w:pPr>
            <w:r>
              <w:rPr>
                <w:rFonts w:hint="eastAsia"/>
                <w:color w:val="auto"/>
                <w:highlight w:val="none"/>
              </w:rPr>
              <w:t>4.4.2</w:t>
            </w:r>
          </w:p>
        </w:tc>
        <w:tc>
          <w:tcPr>
            <w:tcW w:w="1763" w:type="pct"/>
            <w:vAlign w:val="center"/>
          </w:tcPr>
          <w:p>
            <w:pPr>
              <w:jc w:val="center"/>
              <w:rPr>
                <w:color w:val="auto"/>
                <w:highlight w:val="none"/>
              </w:rPr>
            </w:pPr>
            <w:r>
              <w:rPr>
                <w:rFonts w:hint="eastAsia"/>
                <w:color w:val="auto"/>
                <w:highlight w:val="none"/>
              </w:rPr>
              <w:t>高风险命令策略关联</w:t>
            </w:r>
          </w:p>
        </w:tc>
        <w:tc>
          <w:tcPr>
            <w:tcW w:w="2608" w:type="pct"/>
          </w:tcPr>
          <w:p>
            <w:pPr>
              <w:rPr>
                <w:color w:val="auto"/>
                <w:highlight w:val="none"/>
              </w:rPr>
            </w:pPr>
            <w:r>
              <w:rPr>
                <w:rFonts w:hint="eastAsia"/>
                <w:color w:val="auto"/>
                <w:highlight w:val="none"/>
              </w:rPr>
              <w:t>与业务运维场景相结合，基于用户/用户组、资产/资产组、账号/端口、时间周期等条件与高风险命令组进行关联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27" w:type="pct"/>
            <w:vAlign w:val="center"/>
          </w:tcPr>
          <w:p>
            <w:pPr>
              <w:jc w:val="center"/>
              <w:rPr>
                <w:color w:val="auto"/>
                <w:highlight w:val="none"/>
              </w:rPr>
            </w:pPr>
            <w:r>
              <w:rPr>
                <w:rFonts w:hint="eastAsia"/>
                <w:color w:val="auto"/>
                <w:highlight w:val="none"/>
              </w:rPr>
              <w:t>4.4.3</w:t>
            </w:r>
          </w:p>
        </w:tc>
        <w:tc>
          <w:tcPr>
            <w:tcW w:w="1763" w:type="pct"/>
            <w:vAlign w:val="center"/>
          </w:tcPr>
          <w:p>
            <w:pPr>
              <w:jc w:val="center"/>
              <w:rPr>
                <w:color w:val="auto"/>
                <w:highlight w:val="none"/>
              </w:rPr>
            </w:pPr>
            <w:r>
              <w:rPr>
                <w:rFonts w:hint="eastAsia"/>
                <w:color w:val="auto"/>
                <w:highlight w:val="none"/>
              </w:rPr>
              <w:t>高风险命令实时阻断</w:t>
            </w:r>
          </w:p>
        </w:tc>
        <w:tc>
          <w:tcPr>
            <w:tcW w:w="2608" w:type="pct"/>
          </w:tcPr>
          <w:p>
            <w:pPr>
              <w:rPr>
                <w:color w:val="auto"/>
                <w:highlight w:val="none"/>
              </w:rPr>
            </w:pPr>
            <w:r>
              <w:rPr>
                <w:rFonts w:hint="eastAsia"/>
                <w:color w:val="auto"/>
                <w:highlight w:val="none"/>
              </w:rPr>
              <w:t>在达梦、mysql等数据库运维过程中，对所定义的高风险数据库命令进行实时监控和拦截，一旦操作触发，将进行阻断并提示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27" w:type="pct"/>
            <w:vAlign w:val="center"/>
          </w:tcPr>
          <w:p>
            <w:pPr>
              <w:jc w:val="center"/>
              <w:rPr>
                <w:b/>
                <w:bCs/>
                <w:color w:val="auto"/>
                <w:highlight w:val="none"/>
              </w:rPr>
            </w:pPr>
            <w:r>
              <w:rPr>
                <w:rFonts w:hint="eastAsia"/>
                <w:b/>
                <w:bCs/>
                <w:color w:val="auto"/>
                <w:highlight w:val="none"/>
              </w:rPr>
              <w:t>4.5</w:t>
            </w:r>
          </w:p>
        </w:tc>
        <w:tc>
          <w:tcPr>
            <w:tcW w:w="1763" w:type="pct"/>
            <w:vAlign w:val="center"/>
          </w:tcPr>
          <w:p>
            <w:pPr>
              <w:jc w:val="center"/>
              <w:rPr>
                <w:b/>
                <w:bCs/>
                <w:color w:val="auto"/>
                <w:highlight w:val="none"/>
              </w:rPr>
            </w:pPr>
            <w:r>
              <w:rPr>
                <w:rFonts w:hint="eastAsia"/>
                <w:b/>
                <w:bCs/>
                <w:color w:val="auto"/>
                <w:highlight w:val="none"/>
              </w:rPr>
              <w:t>数据库运维操作审计</w:t>
            </w:r>
          </w:p>
        </w:tc>
        <w:tc>
          <w:tcPr>
            <w:tcW w:w="2608" w:type="pct"/>
          </w:tcPr>
          <w:p>
            <w:pPr>
              <w:rPr>
                <w:color w:val="auto"/>
                <w:highlight w:val="none"/>
              </w:rPr>
            </w:pPr>
            <w:r>
              <w:rPr>
                <w:rFonts w:hint="eastAsia"/>
                <w:color w:val="auto"/>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27" w:type="pct"/>
            <w:vAlign w:val="center"/>
          </w:tcPr>
          <w:p>
            <w:pPr>
              <w:jc w:val="center"/>
              <w:rPr>
                <w:color w:val="auto"/>
                <w:highlight w:val="none"/>
              </w:rPr>
            </w:pPr>
            <w:r>
              <w:rPr>
                <w:rFonts w:hint="eastAsia"/>
                <w:color w:val="auto"/>
                <w:highlight w:val="none"/>
              </w:rPr>
              <w:t>4.5.1</w:t>
            </w:r>
          </w:p>
        </w:tc>
        <w:tc>
          <w:tcPr>
            <w:tcW w:w="1763" w:type="pct"/>
            <w:vAlign w:val="center"/>
          </w:tcPr>
          <w:p>
            <w:pPr>
              <w:jc w:val="center"/>
              <w:rPr>
                <w:color w:val="auto"/>
                <w:highlight w:val="none"/>
              </w:rPr>
            </w:pPr>
            <w:r>
              <w:rPr>
                <w:rFonts w:hint="eastAsia"/>
                <w:color w:val="auto"/>
                <w:highlight w:val="none"/>
              </w:rPr>
              <w:t>多种数据库运维操作审计</w:t>
            </w:r>
          </w:p>
        </w:tc>
        <w:tc>
          <w:tcPr>
            <w:tcW w:w="2608" w:type="pct"/>
          </w:tcPr>
          <w:p>
            <w:pPr>
              <w:rPr>
                <w:color w:val="auto"/>
                <w:highlight w:val="none"/>
              </w:rPr>
            </w:pPr>
            <w:r>
              <w:rPr>
                <w:rFonts w:hint="eastAsia"/>
                <w:color w:val="auto"/>
                <w:highlight w:val="none"/>
              </w:rPr>
              <w:t>支持对数据库的运维操作审计，包括达梦、人大金仓国产数据库以及mysql、oracle数据库，每一种数据库都需要进行针对性开发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27" w:type="pct"/>
            <w:vAlign w:val="center"/>
          </w:tcPr>
          <w:p>
            <w:pPr>
              <w:jc w:val="center"/>
              <w:rPr>
                <w:color w:val="auto"/>
                <w:highlight w:val="none"/>
              </w:rPr>
            </w:pPr>
            <w:r>
              <w:rPr>
                <w:rFonts w:hint="eastAsia"/>
                <w:color w:val="auto"/>
                <w:highlight w:val="none"/>
              </w:rPr>
              <w:t>4.5.2</w:t>
            </w:r>
          </w:p>
        </w:tc>
        <w:tc>
          <w:tcPr>
            <w:tcW w:w="1763" w:type="pct"/>
            <w:vAlign w:val="center"/>
          </w:tcPr>
          <w:p>
            <w:pPr>
              <w:jc w:val="center"/>
              <w:rPr>
                <w:color w:val="auto"/>
                <w:highlight w:val="none"/>
              </w:rPr>
            </w:pPr>
            <w:r>
              <w:rPr>
                <w:rFonts w:hint="eastAsia"/>
                <w:color w:val="auto"/>
                <w:highlight w:val="none"/>
              </w:rPr>
              <w:t>视频记录操作过程</w:t>
            </w:r>
          </w:p>
        </w:tc>
        <w:tc>
          <w:tcPr>
            <w:tcW w:w="2608" w:type="pct"/>
          </w:tcPr>
          <w:p>
            <w:pPr>
              <w:rPr>
                <w:color w:val="auto"/>
                <w:highlight w:val="none"/>
              </w:rPr>
            </w:pPr>
            <w:r>
              <w:rPr>
                <w:rFonts w:hint="eastAsia"/>
                <w:color w:val="auto"/>
                <w:highlight w:val="none"/>
              </w:rPr>
              <w:t>以视频的方式对达梦、人大金仓国产数据库以及mysql、oracle数据库运维操作过程进行全程记录，每一种数据库都需要进行针对性开发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27" w:type="pct"/>
            <w:vAlign w:val="center"/>
          </w:tcPr>
          <w:p>
            <w:pPr>
              <w:jc w:val="center"/>
              <w:rPr>
                <w:color w:val="auto"/>
                <w:highlight w:val="none"/>
              </w:rPr>
            </w:pPr>
            <w:r>
              <w:rPr>
                <w:rFonts w:hint="eastAsia"/>
                <w:color w:val="auto"/>
                <w:highlight w:val="none"/>
              </w:rPr>
              <w:t>4.5.3</w:t>
            </w:r>
          </w:p>
        </w:tc>
        <w:tc>
          <w:tcPr>
            <w:tcW w:w="1763" w:type="pct"/>
            <w:vAlign w:val="center"/>
          </w:tcPr>
          <w:p>
            <w:pPr>
              <w:jc w:val="center"/>
              <w:rPr>
                <w:color w:val="auto"/>
                <w:highlight w:val="none"/>
              </w:rPr>
            </w:pPr>
            <w:r>
              <w:rPr>
                <w:rFonts w:hint="eastAsia"/>
                <w:color w:val="auto"/>
                <w:highlight w:val="none"/>
              </w:rPr>
              <w:t>进度条拖动管理</w:t>
            </w:r>
          </w:p>
        </w:tc>
        <w:tc>
          <w:tcPr>
            <w:tcW w:w="2608" w:type="pct"/>
          </w:tcPr>
          <w:p>
            <w:pPr>
              <w:rPr>
                <w:color w:val="auto"/>
                <w:highlight w:val="none"/>
              </w:rPr>
            </w:pPr>
            <w:r>
              <w:rPr>
                <w:rFonts w:hint="eastAsia"/>
                <w:color w:val="auto"/>
                <w:highlight w:val="none"/>
              </w:rPr>
              <w:t>视频日志支持对播放进度条进行拖动，并对操作过程中的SQL语句进行展示，每一种数据库审计日志都需要进行针对性开发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27" w:type="pct"/>
            <w:vAlign w:val="center"/>
          </w:tcPr>
          <w:p>
            <w:pPr>
              <w:jc w:val="center"/>
              <w:rPr>
                <w:color w:val="auto"/>
                <w:highlight w:val="none"/>
              </w:rPr>
            </w:pPr>
            <w:r>
              <w:rPr>
                <w:rFonts w:hint="eastAsia"/>
                <w:color w:val="auto"/>
                <w:highlight w:val="none"/>
              </w:rPr>
              <w:t>4.5.4</w:t>
            </w:r>
          </w:p>
        </w:tc>
        <w:tc>
          <w:tcPr>
            <w:tcW w:w="1763" w:type="pct"/>
            <w:vAlign w:val="center"/>
          </w:tcPr>
          <w:p>
            <w:pPr>
              <w:jc w:val="center"/>
              <w:rPr>
                <w:color w:val="auto"/>
                <w:highlight w:val="none"/>
              </w:rPr>
            </w:pPr>
            <w:r>
              <w:rPr>
                <w:rFonts w:hint="eastAsia"/>
                <w:color w:val="auto"/>
                <w:highlight w:val="none"/>
              </w:rPr>
              <w:t>数据库审计日志检索</w:t>
            </w:r>
          </w:p>
        </w:tc>
        <w:tc>
          <w:tcPr>
            <w:tcW w:w="2608" w:type="pct"/>
          </w:tcPr>
          <w:p>
            <w:pPr>
              <w:rPr>
                <w:color w:val="auto"/>
                <w:highlight w:val="none"/>
              </w:rPr>
            </w:pPr>
            <w:r>
              <w:rPr>
                <w:rFonts w:hint="eastAsia"/>
                <w:color w:val="auto"/>
                <w:highlight w:val="none"/>
              </w:rPr>
              <w:t>支持通过时间、用户账号、资产IP等条件对数据库审计日志进行检索和查看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27" w:type="pct"/>
            <w:vAlign w:val="center"/>
          </w:tcPr>
          <w:p>
            <w:pPr>
              <w:jc w:val="center"/>
              <w:rPr>
                <w:color w:val="auto"/>
                <w:highlight w:val="none"/>
              </w:rPr>
            </w:pPr>
            <w:r>
              <w:rPr>
                <w:rFonts w:hint="eastAsia"/>
                <w:color w:val="auto"/>
                <w:highlight w:val="none"/>
              </w:rPr>
              <w:t>4.5.5</w:t>
            </w:r>
          </w:p>
        </w:tc>
        <w:tc>
          <w:tcPr>
            <w:tcW w:w="1763" w:type="pct"/>
            <w:vAlign w:val="center"/>
          </w:tcPr>
          <w:p>
            <w:pPr>
              <w:jc w:val="center"/>
              <w:rPr>
                <w:color w:val="auto"/>
                <w:highlight w:val="none"/>
              </w:rPr>
            </w:pPr>
            <w:r>
              <w:rPr>
                <w:rFonts w:hint="eastAsia"/>
                <w:color w:val="auto"/>
                <w:highlight w:val="none"/>
              </w:rPr>
              <w:t>数据防篡改</w:t>
            </w:r>
          </w:p>
        </w:tc>
        <w:tc>
          <w:tcPr>
            <w:tcW w:w="2608" w:type="pct"/>
          </w:tcPr>
          <w:p>
            <w:pPr>
              <w:rPr>
                <w:color w:val="auto"/>
                <w:highlight w:val="none"/>
              </w:rPr>
            </w:pPr>
            <w:r>
              <w:rPr>
                <w:rFonts w:hint="eastAsia"/>
                <w:color w:val="auto"/>
                <w:highlight w:val="none"/>
              </w:rPr>
              <w:t>开发防篡改机制，确保审计日志在记录后无法被修改或删除，保证数据的完整性和可靠性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27" w:type="pct"/>
            <w:vAlign w:val="center"/>
          </w:tcPr>
          <w:p>
            <w:pPr>
              <w:jc w:val="center"/>
              <w:rPr>
                <w:b/>
                <w:bCs/>
                <w:color w:val="auto"/>
                <w:highlight w:val="none"/>
              </w:rPr>
            </w:pPr>
            <w:r>
              <w:rPr>
                <w:rFonts w:hint="eastAsia"/>
                <w:b/>
                <w:bCs/>
                <w:color w:val="auto"/>
                <w:highlight w:val="none"/>
              </w:rPr>
              <w:t>4.6</w:t>
            </w:r>
          </w:p>
        </w:tc>
        <w:tc>
          <w:tcPr>
            <w:tcW w:w="1763" w:type="pct"/>
            <w:vAlign w:val="center"/>
          </w:tcPr>
          <w:p>
            <w:pPr>
              <w:jc w:val="center"/>
              <w:rPr>
                <w:b/>
                <w:bCs/>
                <w:color w:val="auto"/>
                <w:highlight w:val="none"/>
              </w:rPr>
            </w:pPr>
            <w:r>
              <w:rPr>
                <w:rFonts w:hint="eastAsia"/>
                <w:b/>
                <w:bCs/>
                <w:color w:val="auto"/>
                <w:highlight w:val="none"/>
              </w:rPr>
              <w:t>资产统一改密</w:t>
            </w:r>
            <w:r>
              <w:rPr>
                <w:rFonts w:hint="eastAsia"/>
                <w:b/>
                <w:bCs/>
                <w:color w:val="auto"/>
                <w:highlight w:val="none"/>
              </w:rPr>
              <w:br w:type="textWrapping"/>
            </w:r>
            <w:r>
              <w:rPr>
                <w:rFonts w:hint="eastAsia"/>
                <w:b/>
                <w:bCs/>
                <w:color w:val="auto"/>
                <w:highlight w:val="none"/>
              </w:rPr>
              <w:t>（二期运维资产统一管理）</w:t>
            </w:r>
          </w:p>
        </w:tc>
        <w:tc>
          <w:tcPr>
            <w:tcW w:w="2608" w:type="pct"/>
          </w:tcPr>
          <w:p>
            <w:pPr>
              <w:rPr>
                <w:color w:val="auto"/>
                <w:highlight w:val="none"/>
              </w:rPr>
            </w:pPr>
            <w:r>
              <w:rPr>
                <w:rFonts w:hint="eastAsia"/>
                <w:color w:val="auto"/>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27" w:type="pct"/>
            <w:vAlign w:val="center"/>
          </w:tcPr>
          <w:p>
            <w:pPr>
              <w:jc w:val="center"/>
              <w:rPr>
                <w:color w:val="auto"/>
                <w:highlight w:val="none"/>
              </w:rPr>
            </w:pPr>
            <w:r>
              <w:rPr>
                <w:rFonts w:hint="eastAsia"/>
                <w:color w:val="auto"/>
                <w:highlight w:val="none"/>
              </w:rPr>
              <w:t>4.6.1</w:t>
            </w:r>
          </w:p>
        </w:tc>
        <w:tc>
          <w:tcPr>
            <w:tcW w:w="1763" w:type="pct"/>
            <w:vAlign w:val="center"/>
          </w:tcPr>
          <w:p>
            <w:pPr>
              <w:jc w:val="center"/>
              <w:rPr>
                <w:color w:val="auto"/>
                <w:highlight w:val="none"/>
              </w:rPr>
            </w:pPr>
            <w:r>
              <w:rPr>
                <w:rFonts w:hint="eastAsia"/>
                <w:color w:val="auto"/>
                <w:highlight w:val="none"/>
              </w:rPr>
              <w:t>资产改密计划</w:t>
            </w:r>
          </w:p>
        </w:tc>
        <w:tc>
          <w:tcPr>
            <w:tcW w:w="2608" w:type="pct"/>
          </w:tcPr>
          <w:p>
            <w:pPr>
              <w:rPr>
                <w:color w:val="auto"/>
                <w:highlight w:val="none"/>
              </w:rPr>
            </w:pPr>
            <w:r>
              <w:rPr>
                <w:rFonts w:hint="eastAsia"/>
                <w:color w:val="auto"/>
                <w:highlight w:val="none"/>
              </w:rPr>
              <w:t>定期对所有纳管资产进行全面的密码修改，制定详细的密码改密计划策略，涵盖密码生成、分配等策略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27" w:type="pct"/>
            <w:vAlign w:val="center"/>
          </w:tcPr>
          <w:p>
            <w:pPr>
              <w:jc w:val="center"/>
              <w:rPr>
                <w:color w:val="auto"/>
                <w:highlight w:val="none"/>
              </w:rPr>
            </w:pPr>
            <w:r>
              <w:rPr>
                <w:rFonts w:hint="eastAsia"/>
                <w:color w:val="auto"/>
                <w:highlight w:val="none"/>
              </w:rPr>
              <w:t>4.6.2</w:t>
            </w:r>
          </w:p>
        </w:tc>
        <w:tc>
          <w:tcPr>
            <w:tcW w:w="1763" w:type="pct"/>
            <w:vAlign w:val="center"/>
          </w:tcPr>
          <w:p>
            <w:pPr>
              <w:jc w:val="center"/>
              <w:rPr>
                <w:color w:val="auto"/>
                <w:highlight w:val="none"/>
              </w:rPr>
            </w:pPr>
            <w:r>
              <w:rPr>
                <w:rFonts w:hint="eastAsia"/>
                <w:color w:val="auto"/>
                <w:highlight w:val="none"/>
              </w:rPr>
              <w:t>改密脚本</w:t>
            </w:r>
          </w:p>
        </w:tc>
        <w:tc>
          <w:tcPr>
            <w:tcW w:w="2608" w:type="pct"/>
          </w:tcPr>
          <w:p>
            <w:pPr>
              <w:rPr>
                <w:color w:val="auto"/>
                <w:highlight w:val="none"/>
              </w:rPr>
            </w:pPr>
            <w:r>
              <w:rPr>
                <w:rFonts w:hint="eastAsia"/>
                <w:color w:val="auto"/>
                <w:highlight w:val="none"/>
              </w:rPr>
              <w:t>按照改密计划和改密脚本，系统自动对改密计划任务内的账号密码进行更换，并对改密结果进行展示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27" w:type="pct"/>
            <w:vAlign w:val="center"/>
          </w:tcPr>
          <w:p>
            <w:pPr>
              <w:jc w:val="center"/>
              <w:rPr>
                <w:color w:val="auto"/>
                <w:highlight w:val="none"/>
              </w:rPr>
            </w:pPr>
            <w:r>
              <w:rPr>
                <w:rFonts w:hint="eastAsia"/>
                <w:color w:val="auto"/>
                <w:highlight w:val="none"/>
              </w:rPr>
              <w:t>4.6.3</w:t>
            </w:r>
          </w:p>
        </w:tc>
        <w:tc>
          <w:tcPr>
            <w:tcW w:w="1763" w:type="pct"/>
            <w:vAlign w:val="center"/>
          </w:tcPr>
          <w:p>
            <w:pPr>
              <w:jc w:val="center"/>
              <w:rPr>
                <w:color w:val="auto"/>
                <w:highlight w:val="none"/>
              </w:rPr>
            </w:pPr>
            <w:r>
              <w:rPr>
                <w:rFonts w:hint="eastAsia"/>
                <w:color w:val="auto"/>
                <w:highlight w:val="none"/>
              </w:rPr>
              <w:t>改密自动回填</w:t>
            </w:r>
          </w:p>
        </w:tc>
        <w:tc>
          <w:tcPr>
            <w:tcW w:w="2608" w:type="pct"/>
          </w:tcPr>
          <w:p>
            <w:pPr>
              <w:rPr>
                <w:color w:val="auto"/>
                <w:highlight w:val="none"/>
              </w:rPr>
            </w:pPr>
            <w:r>
              <w:rPr>
                <w:rFonts w:hint="eastAsia"/>
                <w:color w:val="auto"/>
                <w:highlight w:val="none"/>
              </w:rPr>
              <w:t>在账号改密任务执行完成后，更改后的密码数据将自动回填并更新原资产账号的密码数据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27" w:type="pct"/>
            <w:vAlign w:val="center"/>
          </w:tcPr>
          <w:p>
            <w:pPr>
              <w:jc w:val="center"/>
              <w:rPr>
                <w:color w:val="auto"/>
                <w:highlight w:val="none"/>
              </w:rPr>
            </w:pPr>
            <w:r>
              <w:rPr>
                <w:rFonts w:hint="eastAsia"/>
                <w:color w:val="auto"/>
                <w:highlight w:val="none"/>
              </w:rPr>
              <w:t>4.6.4</w:t>
            </w:r>
          </w:p>
        </w:tc>
        <w:tc>
          <w:tcPr>
            <w:tcW w:w="1763" w:type="pct"/>
            <w:vAlign w:val="center"/>
          </w:tcPr>
          <w:p>
            <w:pPr>
              <w:jc w:val="center"/>
              <w:rPr>
                <w:color w:val="auto"/>
                <w:highlight w:val="none"/>
              </w:rPr>
            </w:pPr>
            <w:r>
              <w:rPr>
                <w:rFonts w:hint="eastAsia"/>
                <w:color w:val="auto"/>
                <w:highlight w:val="none"/>
              </w:rPr>
              <w:t>密码有效性验证</w:t>
            </w:r>
          </w:p>
        </w:tc>
        <w:tc>
          <w:tcPr>
            <w:tcW w:w="2608" w:type="pct"/>
          </w:tcPr>
          <w:p>
            <w:pPr>
              <w:rPr>
                <w:color w:val="auto"/>
                <w:highlight w:val="none"/>
              </w:rPr>
            </w:pPr>
            <w:r>
              <w:rPr>
                <w:rFonts w:hint="eastAsia"/>
                <w:color w:val="auto"/>
                <w:highlight w:val="none"/>
              </w:rPr>
              <w:t>支持对资产密码进行验证，按照运维管理工作实际需要登录资产，验证密码有效性、网络连通性等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27" w:type="pct"/>
            <w:vAlign w:val="center"/>
          </w:tcPr>
          <w:p>
            <w:pPr>
              <w:jc w:val="center"/>
              <w:rPr>
                <w:color w:val="auto"/>
                <w:highlight w:val="none"/>
              </w:rPr>
            </w:pPr>
            <w:r>
              <w:rPr>
                <w:rFonts w:hint="eastAsia"/>
                <w:color w:val="auto"/>
                <w:highlight w:val="none"/>
              </w:rPr>
              <w:t>4.6.5</w:t>
            </w:r>
          </w:p>
        </w:tc>
        <w:tc>
          <w:tcPr>
            <w:tcW w:w="1763" w:type="pct"/>
            <w:vAlign w:val="center"/>
          </w:tcPr>
          <w:p>
            <w:pPr>
              <w:jc w:val="center"/>
              <w:rPr>
                <w:color w:val="auto"/>
                <w:highlight w:val="none"/>
              </w:rPr>
            </w:pPr>
            <w:r>
              <w:rPr>
                <w:rFonts w:hint="eastAsia"/>
                <w:color w:val="auto"/>
                <w:highlight w:val="none"/>
              </w:rPr>
              <w:t>授权关系继承</w:t>
            </w:r>
          </w:p>
        </w:tc>
        <w:tc>
          <w:tcPr>
            <w:tcW w:w="2608" w:type="pct"/>
          </w:tcPr>
          <w:p>
            <w:pPr>
              <w:rPr>
                <w:color w:val="auto"/>
                <w:highlight w:val="none"/>
              </w:rPr>
            </w:pPr>
            <w:r>
              <w:rPr>
                <w:rFonts w:hint="eastAsia"/>
                <w:color w:val="auto"/>
                <w:highlight w:val="none"/>
              </w:rPr>
              <w:t>在账号完成自动改密后，不影响原有的用户访问授权关系，用户通过账号密码代填能够正常进行资产的访问</w:t>
            </w:r>
          </w:p>
        </w:tc>
      </w:tr>
    </w:tbl>
    <w:p>
      <w:pPr>
        <w:rPr>
          <w:color w:val="auto"/>
          <w:highlight w:val="none"/>
        </w:rPr>
      </w:pPr>
    </w:p>
    <w:bookmarkEnd w:id="13"/>
    <w:p>
      <w:pPr>
        <w:pStyle w:val="7"/>
        <w:rPr>
          <w:color w:val="auto"/>
          <w:highlight w:val="none"/>
        </w:rPr>
      </w:pPr>
      <w:r>
        <w:rPr>
          <w:rFonts w:hint="eastAsia"/>
          <w:color w:val="auto"/>
          <w:highlight w:val="none"/>
        </w:rPr>
        <w:t>5、</w:t>
      </w:r>
      <w:r>
        <w:rPr>
          <w:rFonts w:hint="eastAsia"/>
          <w:bCs/>
          <w:color w:val="auto"/>
          <w:highlight w:val="none"/>
        </w:rPr>
        <w:t>数据中心机柜租赁</w:t>
      </w:r>
      <w:r>
        <w:rPr>
          <w:rFonts w:hint="eastAsia"/>
          <w:color w:val="auto"/>
          <w:highlight w:val="none"/>
        </w:rPr>
        <w:t>需求</w:t>
      </w:r>
    </w:p>
    <w:p>
      <w:pPr>
        <w:rPr>
          <w:color w:val="auto"/>
          <w:highlight w:val="none"/>
        </w:rPr>
      </w:pPr>
      <w:r>
        <w:rPr>
          <w:rFonts w:hint="eastAsia"/>
          <w:color w:val="auto"/>
          <w:highlight w:val="none"/>
        </w:rPr>
        <w:t>▲</w:t>
      </w:r>
      <w:r>
        <w:rPr>
          <w:rFonts w:hint="eastAsia"/>
          <w:b/>
          <w:bCs/>
          <w:color w:val="auto"/>
          <w:highlight w:val="none"/>
        </w:rPr>
        <w:t>本项目要求在项目建设期内（不少于12个月）提供数据中心机柜租赁服务</w:t>
      </w:r>
      <w:r>
        <w:rPr>
          <w:rFonts w:hint="eastAsia"/>
          <w:color w:val="auto"/>
          <w:highlight w:val="none"/>
        </w:rPr>
        <w:t>。</w:t>
      </w:r>
    </w:p>
    <w:tbl>
      <w:tblPr>
        <w:tblStyle w:val="52"/>
        <w:tblW w:w="4998" w:type="pct"/>
        <w:tblInd w:w="0" w:type="dxa"/>
        <w:tblLayout w:type="autofit"/>
        <w:tblCellMar>
          <w:top w:w="0" w:type="dxa"/>
          <w:left w:w="0" w:type="dxa"/>
          <w:bottom w:w="0" w:type="dxa"/>
          <w:right w:w="0" w:type="dxa"/>
        </w:tblCellMar>
      </w:tblPr>
      <w:tblGrid>
        <w:gridCol w:w="458"/>
        <w:gridCol w:w="973"/>
        <w:gridCol w:w="7701"/>
        <w:gridCol w:w="306"/>
      </w:tblGrid>
      <w:tr>
        <w:tblPrEx>
          <w:tblCellMar>
            <w:top w:w="0" w:type="dxa"/>
            <w:left w:w="0" w:type="dxa"/>
            <w:bottom w:w="0" w:type="dxa"/>
            <w:right w:w="0" w:type="dxa"/>
          </w:tblCellMar>
        </w:tblPrEx>
        <w:trPr>
          <w:trHeight w:val="363" w:hRule="atLeast"/>
          <w:tblHeader/>
        </w:trPr>
        <w:tc>
          <w:tcPr>
            <w:tcW w:w="243"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b/>
                <w:color w:val="auto"/>
                <w:highlight w:val="none"/>
              </w:rPr>
            </w:pPr>
            <w:r>
              <w:rPr>
                <w:rFonts w:hint="eastAsia"/>
                <w:b/>
                <w:color w:val="auto"/>
                <w:highlight w:val="none"/>
              </w:rPr>
              <w:t>序号</w:t>
            </w:r>
          </w:p>
        </w:tc>
        <w:tc>
          <w:tcPr>
            <w:tcW w:w="515"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b/>
                <w:color w:val="auto"/>
                <w:highlight w:val="none"/>
              </w:rPr>
            </w:pPr>
            <w:r>
              <w:rPr>
                <w:rFonts w:hint="eastAsia"/>
                <w:b/>
                <w:color w:val="auto"/>
                <w:highlight w:val="none"/>
              </w:rPr>
              <w:t>配套名称</w:t>
            </w:r>
          </w:p>
        </w:tc>
        <w:tc>
          <w:tcPr>
            <w:tcW w:w="4077"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b/>
                <w:color w:val="auto"/>
                <w:highlight w:val="none"/>
              </w:rPr>
            </w:pPr>
            <w:r>
              <w:rPr>
                <w:rFonts w:hint="eastAsia"/>
                <w:b/>
                <w:color w:val="auto"/>
                <w:highlight w:val="none"/>
              </w:rPr>
              <w:t>性能参数</w:t>
            </w:r>
          </w:p>
        </w:tc>
        <w:tc>
          <w:tcPr>
            <w:tcW w:w="162"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b/>
                <w:color w:val="auto"/>
                <w:highlight w:val="none"/>
              </w:rPr>
            </w:pPr>
            <w:r>
              <w:rPr>
                <w:rFonts w:hint="eastAsia"/>
                <w:b/>
                <w:color w:val="auto"/>
                <w:highlight w:val="none"/>
              </w:rPr>
              <w:t>数量</w:t>
            </w:r>
          </w:p>
        </w:tc>
      </w:tr>
      <w:tr>
        <w:tblPrEx>
          <w:tblCellMar>
            <w:top w:w="0" w:type="dxa"/>
            <w:left w:w="0" w:type="dxa"/>
            <w:bottom w:w="0" w:type="dxa"/>
            <w:right w:w="0" w:type="dxa"/>
          </w:tblCellMar>
        </w:tblPrEx>
        <w:trPr>
          <w:trHeight w:val="360" w:hRule="atLeast"/>
        </w:trPr>
        <w:tc>
          <w:tcPr>
            <w:tcW w:w="243"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4.1</w:t>
            </w:r>
          </w:p>
        </w:tc>
        <w:tc>
          <w:tcPr>
            <w:tcW w:w="515"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数据中心机柜租赁</w:t>
            </w:r>
          </w:p>
        </w:tc>
        <w:tc>
          <w:tcPr>
            <w:tcW w:w="4077"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ind w:firstLine="480"/>
              <w:rPr>
                <w:color w:val="auto"/>
                <w:highlight w:val="none"/>
              </w:rPr>
            </w:pPr>
            <w:r>
              <w:rPr>
                <w:rFonts w:hint="eastAsia"/>
                <w:color w:val="auto"/>
                <w:highlight w:val="none"/>
              </w:rPr>
              <w:t>根据实施需求租赁主备数据中心方式共40个5kW机柜。本次机房租赁需满足以下要求：</w:t>
            </w:r>
          </w:p>
          <w:p>
            <w:pPr>
              <w:ind w:firstLine="480"/>
              <w:rPr>
                <w:color w:val="auto"/>
                <w:highlight w:val="none"/>
              </w:rPr>
            </w:pPr>
            <w:r>
              <w:rPr>
                <w:rFonts w:hint="eastAsia"/>
                <w:color w:val="auto"/>
                <w:highlight w:val="none"/>
              </w:rPr>
              <w:t>1、数据中心机房选址及设备布置、建筑与结构建设符合IDC机房建设标准，满足《数据中心设计规范》(GB50174-2017)中的B级及以上要求。</w:t>
            </w:r>
          </w:p>
          <w:p>
            <w:pPr>
              <w:ind w:firstLine="480"/>
              <w:rPr>
                <w:color w:val="auto"/>
                <w:highlight w:val="none"/>
              </w:rPr>
            </w:pPr>
            <w:r>
              <w:rPr>
                <w:rFonts w:hint="eastAsia"/>
                <w:color w:val="auto"/>
                <w:highlight w:val="none"/>
              </w:rPr>
              <w:t>2、机房均位于南宁市区内，每个数据中心为自治区医保局配置运维室和备品备件库，运维室面积≥20平方米，不与其他项目混用，运维室房间提供相应的物业服务，提供办公设施等。</w:t>
            </w:r>
          </w:p>
          <w:p>
            <w:pPr>
              <w:ind w:firstLine="480"/>
              <w:rPr>
                <w:color w:val="auto"/>
                <w:highlight w:val="none"/>
              </w:rPr>
            </w:pPr>
            <w:r>
              <w:rPr>
                <w:rFonts w:hint="eastAsia"/>
                <w:color w:val="auto"/>
                <w:highlight w:val="none"/>
              </w:rPr>
              <w:t>3、数据中心总体 PUE≤1.4。</w:t>
            </w:r>
          </w:p>
          <w:p>
            <w:pPr>
              <w:ind w:firstLine="480"/>
              <w:rPr>
                <w:strike/>
                <w:color w:val="auto"/>
                <w:highlight w:val="none"/>
              </w:rPr>
            </w:pPr>
            <w:r>
              <w:rPr>
                <w:rFonts w:hint="eastAsia"/>
                <w:color w:val="auto"/>
                <w:highlight w:val="none"/>
              </w:rPr>
              <w:t>4、数据中心机房设置有货梯及货运通道，货梯承重≥3吨。</w:t>
            </w:r>
          </w:p>
          <w:p>
            <w:pPr>
              <w:ind w:firstLine="480"/>
              <w:rPr>
                <w:color w:val="auto"/>
                <w:highlight w:val="none"/>
              </w:rPr>
            </w:pPr>
            <w:r>
              <w:rPr>
                <w:rFonts w:hint="eastAsia"/>
                <w:color w:val="auto"/>
                <w:highlight w:val="none"/>
              </w:rPr>
              <w:t>5、为数据中心机房、运维监控室、集中运维场地等提供安保人员、设施、监控覆盖。</w:t>
            </w:r>
          </w:p>
          <w:p>
            <w:pPr>
              <w:ind w:firstLine="480"/>
              <w:rPr>
                <w:color w:val="auto"/>
                <w:highlight w:val="none"/>
              </w:rPr>
            </w:pPr>
            <w:r>
              <w:rPr>
                <w:rFonts w:hint="eastAsia"/>
                <w:color w:val="auto"/>
                <w:highlight w:val="none"/>
              </w:rPr>
              <w:t>6、建筑的入口至主机房应设通道及专用货梯，货物、人员通道应保证 24小时可以通行。</w:t>
            </w:r>
          </w:p>
          <w:p>
            <w:pPr>
              <w:ind w:firstLine="480"/>
              <w:rPr>
                <w:color w:val="auto"/>
                <w:highlight w:val="none"/>
              </w:rPr>
            </w:pPr>
            <w:r>
              <w:rPr>
                <w:rFonts w:hint="eastAsia"/>
                <w:color w:val="auto"/>
                <w:highlight w:val="none"/>
              </w:rPr>
              <w:t>7、与机房和配电房不相关的任何管道，如雨水管、排水管、供暖管等不允许穿越。当机房内设有用水设备或水管时(如空调水管、加湿管)，应采取防水措施，如设置挡水墙、导水槽、地漏及应急排水等措施，地面及挡水墙需进行防水处理，防止水漫溢和渗漏。</w:t>
            </w:r>
          </w:p>
          <w:p>
            <w:pPr>
              <w:ind w:firstLine="480"/>
              <w:rPr>
                <w:color w:val="auto"/>
                <w:highlight w:val="none"/>
              </w:rPr>
            </w:pPr>
            <w:r>
              <w:rPr>
                <w:rFonts w:hint="eastAsia"/>
                <w:color w:val="auto"/>
                <w:highlight w:val="none"/>
              </w:rPr>
              <w:t>8、不低于 GB50223《建筑工程抗震设防分类标准》规定的抗震设防乙类：抗震烈度7度。</w:t>
            </w:r>
          </w:p>
          <w:p>
            <w:pPr>
              <w:ind w:firstLine="480"/>
              <w:rPr>
                <w:color w:val="auto"/>
                <w:highlight w:val="none"/>
              </w:rPr>
            </w:pPr>
            <w:r>
              <w:rPr>
                <w:rFonts w:hint="eastAsia"/>
                <w:color w:val="auto"/>
                <w:highlight w:val="none"/>
              </w:rPr>
              <w:t>9、数据中心机房的机柜、网络与布线系统建设符合IDC机房建设标准，满足《数据中心设计规范》(GB50174-2017)中的B级及以上要求。</w:t>
            </w:r>
          </w:p>
          <w:p>
            <w:pPr>
              <w:ind w:firstLine="480"/>
              <w:rPr>
                <w:color w:val="auto"/>
                <w:highlight w:val="none"/>
              </w:rPr>
            </w:pPr>
            <w:r>
              <w:rPr>
                <w:rFonts w:hint="eastAsia"/>
                <w:color w:val="auto"/>
                <w:highlight w:val="none"/>
              </w:rPr>
              <w:t>10、数据中心提供 40个机柜。</w:t>
            </w:r>
          </w:p>
          <w:p>
            <w:pPr>
              <w:ind w:firstLine="480"/>
              <w:rPr>
                <w:color w:val="auto"/>
                <w:highlight w:val="none"/>
              </w:rPr>
            </w:pPr>
            <w:r>
              <w:rPr>
                <w:rFonts w:hint="eastAsia"/>
                <w:color w:val="auto"/>
                <w:highlight w:val="none"/>
              </w:rPr>
              <w:t>11、自治区医保局根据业务所需租用的机柜均集中在同一机房内，要求该机房内只允许自治区医保局业务线路接入，严禁旁路接入，确保自治区医保局业务的线路安全。</w:t>
            </w:r>
          </w:p>
          <w:p>
            <w:pPr>
              <w:ind w:firstLine="480"/>
              <w:rPr>
                <w:color w:val="auto"/>
                <w:highlight w:val="none"/>
              </w:rPr>
            </w:pPr>
            <w:r>
              <w:rPr>
                <w:rFonts w:hint="eastAsia"/>
                <w:color w:val="auto"/>
                <w:highlight w:val="none"/>
              </w:rPr>
              <w:t>12、机柜采用国际标准机柜，满足自治区医保局设备安装要求，每个机柜采用主备用双路≥32A电源引入，提供双路不间断供电。单机柜功率≥5KW。具备适应业务发展的扩展能力，含提供本项目服务所使用的机柜、电费等，可用空间不小于40U，机柜内置走线槽与盘线器。</w:t>
            </w:r>
          </w:p>
          <w:p>
            <w:pPr>
              <w:ind w:firstLine="480"/>
              <w:rPr>
                <w:color w:val="auto"/>
                <w:highlight w:val="none"/>
              </w:rPr>
            </w:pPr>
            <w:r>
              <w:rPr>
                <w:rFonts w:hint="eastAsia"/>
                <w:color w:val="auto"/>
                <w:highlight w:val="none"/>
              </w:rPr>
              <w:t>13、数据中心机房的电气、电磁屏蔽建设符合IDC机房建设标准，满足《数据中心设计规范》(GB50174-2017)中的B级及以上要求。</w:t>
            </w:r>
          </w:p>
          <w:p>
            <w:pPr>
              <w:ind w:firstLine="480"/>
              <w:rPr>
                <w:color w:val="auto"/>
                <w:highlight w:val="none"/>
              </w:rPr>
            </w:pPr>
            <w:r>
              <w:rPr>
                <w:rFonts w:hint="eastAsia"/>
                <w:color w:val="auto"/>
                <w:highlight w:val="none"/>
              </w:rPr>
              <w:t>14、机房应保证 24小时不间断运行。</w:t>
            </w:r>
          </w:p>
          <w:p>
            <w:pPr>
              <w:ind w:firstLine="480"/>
              <w:rPr>
                <w:color w:val="auto"/>
                <w:highlight w:val="none"/>
              </w:rPr>
            </w:pPr>
            <w:r>
              <w:rPr>
                <w:rFonts w:hint="eastAsia"/>
                <w:color w:val="auto"/>
                <w:highlight w:val="none"/>
              </w:rPr>
              <w:t>15、供电双路市电从不同变电站专线接入，市电变压器2N冗余，配备双回路投切开关，其中一个电源失电的情况下可以投切到另一个电源供电。</w:t>
            </w:r>
          </w:p>
          <w:p>
            <w:pPr>
              <w:ind w:firstLine="480"/>
              <w:rPr>
                <w:color w:val="auto"/>
                <w:highlight w:val="none"/>
              </w:rPr>
            </w:pPr>
            <w:r>
              <w:rPr>
                <w:rFonts w:hint="eastAsia"/>
                <w:color w:val="auto"/>
                <w:highlight w:val="none"/>
              </w:rPr>
              <w:t>16、UPS 不间断电源应以 2N 冗余备份模式工作。UPS 应有维修旁路。</w:t>
            </w:r>
          </w:p>
          <w:p>
            <w:pPr>
              <w:ind w:firstLine="480"/>
              <w:rPr>
                <w:color w:val="auto"/>
                <w:highlight w:val="none"/>
              </w:rPr>
            </w:pPr>
            <w:r>
              <w:rPr>
                <w:rFonts w:hint="eastAsia"/>
                <w:color w:val="auto"/>
                <w:highlight w:val="none"/>
              </w:rPr>
              <w:t>17、机柜应有独立的UPS供电，UPS 总负载率不超过 90%。</w:t>
            </w:r>
          </w:p>
          <w:p>
            <w:pPr>
              <w:ind w:firstLine="480"/>
              <w:rPr>
                <w:color w:val="auto"/>
                <w:highlight w:val="none"/>
              </w:rPr>
            </w:pPr>
            <w:r>
              <w:rPr>
                <w:rFonts w:hint="eastAsia"/>
                <w:color w:val="auto"/>
                <w:highlight w:val="none"/>
              </w:rPr>
              <w:t>18、不间断电源能够支撑用户机房整体供电≥15分钟。</w:t>
            </w:r>
          </w:p>
          <w:p>
            <w:pPr>
              <w:ind w:firstLine="480"/>
              <w:rPr>
                <w:color w:val="auto"/>
                <w:highlight w:val="none"/>
              </w:rPr>
            </w:pPr>
            <w:r>
              <w:rPr>
                <w:rFonts w:hint="eastAsia"/>
                <w:color w:val="auto"/>
                <w:highlight w:val="none"/>
              </w:rPr>
              <w:t>19、双路电源配电到机柜，对不具备双电源供电配备的负载，需配 STS静态开关。</w:t>
            </w:r>
          </w:p>
          <w:p>
            <w:pPr>
              <w:ind w:firstLine="480"/>
              <w:rPr>
                <w:color w:val="auto"/>
                <w:highlight w:val="none"/>
              </w:rPr>
            </w:pPr>
            <w:r>
              <w:rPr>
                <w:rFonts w:hint="eastAsia"/>
                <w:color w:val="auto"/>
                <w:highlight w:val="none"/>
              </w:rPr>
              <w:t>20、机房具有等电位接地，所有机柜接地。</w:t>
            </w:r>
          </w:p>
          <w:p>
            <w:pPr>
              <w:ind w:firstLine="480"/>
              <w:rPr>
                <w:color w:val="auto"/>
                <w:highlight w:val="none"/>
              </w:rPr>
            </w:pPr>
            <w:r>
              <w:rPr>
                <w:rFonts w:hint="eastAsia"/>
                <w:color w:val="auto"/>
                <w:highlight w:val="none"/>
              </w:rPr>
              <w:t>21、机房应配备N+X冗余发电机(X=1~N)，发电机组应具有自动启动、自动切换、手动复原功能，自动启动时间≤2分钟，并能为机柜设备、空调、照明等机房所需场地所有基础设施进行供电。</w:t>
            </w:r>
          </w:p>
          <w:p>
            <w:pPr>
              <w:ind w:firstLine="480"/>
              <w:rPr>
                <w:color w:val="auto"/>
                <w:highlight w:val="none"/>
              </w:rPr>
            </w:pPr>
            <w:r>
              <w:rPr>
                <w:rFonts w:hint="eastAsia"/>
                <w:color w:val="auto"/>
                <w:highlight w:val="none"/>
              </w:rPr>
              <w:t>22、发电机燃油储备应能满足所有发电机组满载运行不低于8小时。</w:t>
            </w:r>
          </w:p>
          <w:p>
            <w:pPr>
              <w:ind w:firstLine="480"/>
              <w:rPr>
                <w:color w:val="auto"/>
                <w:highlight w:val="none"/>
              </w:rPr>
            </w:pPr>
            <w:r>
              <w:rPr>
                <w:rFonts w:hint="eastAsia"/>
                <w:color w:val="auto"/>
                <w:highlight w:val="none"/>
              </w:rPr>
              <w:t>23、柴油发电机至少每月进行一次空载测试，每季度一次带载测试，并提供测试记录模板。</w:t>
            </w:r>
          </w:p>
          <w:p>
            <w:pPr>
              <w:ind w:firstLine="480"/>
              <w:rPr>
                <w:color w:val="auto"/>
                <w:highlight w:val="none"/>
              </w:rPr>
            </w:pPr>
            <w:r>
              <w:rPr>
                <w:rFonts w:hint="eastAsia"/>
                <w:color w:val="auto"/>
                <w:highlight w:val="none"/>
              </w:rPr>
              <w:t>24、数据中心机房的环境要求、空气调节、给水排水建设符合IDC机房建设标准，满足《数据中心设计规范》(GB50174-2017)中的B级及以上要求。</w:t>
            </w:r>
          </w:p>
          <w:p>
            <w:pPr>
              <w:ind w:firstLine="480"/>
              <w:rPr>
                <w:color w:val="auto"/>
                <w:highlight w:val="none"/>
              </w:rPr>
            </w:pPr>
            <w:r>
              <w:rPr>
                <w:rFonts w:hint="eastAsia"/>
                <w:color w:val="auto"/>
                <w:highlight w:val="none"/>
              </w:rPr>
              <w:t>25、空调系统采用N+X(X≥1)冗余结构。</w:t>
            </w:r>
          </w:p>
          <w:p>
            <w:pPr>
              <w:ind w:firstLine="480"/>
              <w:rPr>
                <w:color w:val="auto"/>
                <w:highlight w:val="none"/>
              </w:rPr>
            </w:pPr>
            <w:r>
              <w:rPr>
                <w:rFonts w:hint="eastAsia"/>
                <w:color w:val="auto"/>
                <w:highlight w:val="none"/>
              </w:rPr>
              <w:t>26、机房应冷/热通道封闭。</w:t>
            </w:r>
          </w:p>
          <w:p>
            <w:pPr>
              <w:ind w:firstLine="480"/>
              <w:rPr>
                <w:color w:val="auto"/>
                <w:highlight w:val="none"/>
              </w:rPr>
            </w:pPr>
            <w:r>
              <w:rPr>
                <w:rFonts w:hint="eastAsia"/>
                <w:color w:val="auto"/>
                <w:highlight w:val="none"/>
              </w:rPr>
              <w:t>27、机房应具备连续制冷功能，如采用水冷空调系统需满足以下要求：冷水机组满足N+1配置；设有不少于两个蓄冷罐，蓄冷时间至少15min。</w:t>
            </w:r>
          </w:p>
          <w:p>
            <w:pPr>
              <w:ind w:firstLine="480"/>
              <w:rPr>
                <w:color w:val="auto"/>
                <w:highlight w:val="none"/>
              </w:rPr>
            </w:pPr>
            <w:r>
              <w:rPr>
                <w:rFonts w:hint="eastAsia"/>
                <w:color w:val="auto"/>
                <w:highlight w:val="none"/>
              </w:rPr>
              <w:t>28、保证机房常年保持恒温恒湿环境，确保机房防潮、防水灾、防凝露。</w:t>
            </w:r>
          </w:p>
          <w:p>
            <w:pPr>
              <w:ind w:firstLine="480"/>
              <w:rPr>
                <w:color w:val="auto"/>
                <w:highlight w:val="none"/>
              </w:rPr>
            </w:pPr>
            <w:r>
              <w:rPr>
                <w:rFonts w:hint="eastAsia"/>
                <w:color w:val="auto"/>
                <w:highlight w:val="none"/>
              </w:rPr>
              <w:t>29、数据中心机房的智能化系统建设符合IDC机房建设标准，满足《数据中心设计规范》(GB50174-2017)中的B级及以上要求。</w:t>
            </w:r>
          </w:p>
          <w:p>
            <w:pPr>
              <w:ind w:firstLine="480"/>
              <w:rPr>
                <w:color w:val="auto"/>
                <w:highlight w:val="none"/>
              </w:rPr>
            </w:pPr>
            <w:r>
              <w:rPr>
                <w:rFonts w:hint="eastAsia"/>
                <w:color w:val="auto"/>
                <w:highlight w:val="none"/>
              </w:rPr>
              <w:t>30、机房出入口通过门禁控制：通向建筑外围的门采用电子门禁+机械锁，需有声光报警装置，并接入消控中心。每个通道配置单独门禁。</w:t>
            </w:r>
          </w:p>
          <w:p>
            <w:pPr>
              <w:ind w:firstLine="480"/>
              <w:rPr>
                <w:color w:val="auto"/>
                <w:highlight w:val="none"/>
              </w:rPr>
            </w:pPr>
            <w:r>
              <w:rPr>
                <w:rFonts w:hint="eastAsia"/>
                <w:color w:val="auto"/>
                <w:highlight w:val="none"/>
              </w:rPr>
              <w:t>31、机房所在大厦主入口需要有7*24小时保安执勤，对人员物资进出管控。</w:t>
            </w:r>
          </w:p>
          <w:p>
            <w:pPr>
              <w:ind w:firstLine="480"/>
              <w:rPr>
                <w:color w:val="auto"/>
                <w:highlight w:val="none"/>
              </w:rPr>
            </w:pPr>
            <w:r>
              <w:rPr>
                <w:rFonts w:hint="eastAsia"/>
                <w:color w:val="auto"/>
                <w:highlight w:val="none"/>
              </w:rPr>
              <w:t>32、机房的出入口，机房内通道需7*24小时视频监控覆盖，视频监控录像保存不少于90天。</w:t>
            </w:r>
          </w:p>
          <w:p>
            <w:pPr>
              <w:ind w:firstLine="480"/>
              <w:rPr>
                <w:color w:val="auto"/>
                <w:highlight w:val="none"/>
              </w:rPr>
            </w:pPr>
            <w:r>
              <w:rPr>
                <w:rFonts w:hint="eastAsia"/>
                <w:color w:val="auto"/>
                <w:highlight w:val="none"/>
              </w:rPr>
              <w:t>33、支持监测用电安全系统、节能系统、环境系统、消防系统、动力系统、安防系统。</w:t>
            </w:r>
          </w:p>
          <w:p>
            <w:pPr>
              <w:ind w:firstLine="480"/>
              <w:rPr>
                <w:color w:val="auto"/>
                <w:highlight w:val="none"/>
              </w:rPr>
            </w:pPr>
            <w:r>
              <w:rPr>
                <w:rFonts w:hint="eastAsia"/>
                <w:color w:val="auto"/>
                <w:highlight w:val="none"/>
              </w:rPr>
              <w:t>34、支持工业级无人机进行空中巡防。</w:t>
            </w:r>
          </w:p>
          <w:p>
            <w:pPr>
              <w:ind w:firstLine="480"/>
              <w:rPr>
                <w:color w:val="auto"/>
                <w:highlight w:val="none"/>
              </w:rPr>
            </w:pPr>
            <w:r>
              <w:rPr>
                <w:rFonts w:hint="eastAsia"/>
                <w:color w:val="auto"/>
                <w:highlight w:val="none"/>
              </w:rPr>
              <w:t>35、应为自治区医保局租赁区域出入口设置门禁控制系统，划分不同人员进出不同区域的权限。未经自治区医保局授权的人员不得进入。门禁控制系统应保存有完整的进出记录，人员进出记录要求至少保留一年。</w:t>
            </w:r>
          </w:p>
          <w:p>
            <w:pPr>
              <w:ind w:firstLine="480"/>
              <w:rPr>
                <w:color w:val="auto"/>
                <w:highlight w:val="none"/>
              </w:rPr>
            </w:pPr>
            <w:r>
              <w:rPr>
                <w:rFonts w:hint="eastAsia"/>
                <w:color w:val="auto"/>
                <w:highlight w:val="none"/>
              </w:rPr>
              <w:t>36、数据中心机房的消防与安全建设符合IDC机房建设标准，满足《数据中心设计规范》(GB50174-2017)中的B级及以上要求。</w:t>
            </w:r>
          </w:p>
          <w:p>
            <w:pPr>
              <w:ind w:firstLine="480"/>
              <w:rPr>
                <w:color w:val="auto"/>
                <w:highlight w:val="none"/>
              </w:rPr>
            </w:pPr>
            <w:r>
              <w:rPr>
                <w:rFonts w:hint="eastAsia"/>
                <w:color w:val="auto"/>
                <w:highlight w:val="none"/>
              </w:rPr>
              <w:t>37、供应商提供服务的机房场地及配电室应设置烟感报警系统。并具备气体灭火能力。</w:t>
            </w:r>
          </w:p>
          <w:p>
            <w:pPr>
              <w:ind w:firstLine="480"/>
              <w:rPr>
                <w:color w:val="auto"/>
                <w:highlight w:val="none"/>
              </w:rPr>
            </w:pPr>
            <w:r>
              <w:rPr>
                <w:rFonts w:hint="eastAsia"/>
                <w:color w:val="auto"/>
                <w:highlight w:val="none"/>
              </w:rPr>
              <w:t>38、消防中控室应配置有7×24小时专职消防监控人员，实时监控火灾自动报警系统。</w:t>
            </w:r>
          </w:p>
          <w:p>
            <w:pPr>
              <w:ind w:firstLine="480"/>
              <w:rPr>
                <w:color w:val="auto"/>
                <w:highlight w:val="none"/>
              </w:rPr>
            </w:pPr>
            <w:r>
              <w:rPr>
                <w:rFonts w:hint="eastAsia"/>
                <w:color w:val="auto"/>
                <w:highlight w:val="none"/>
              </w:rPr>
              <w:t>39、支持可视化展示整体机房整体运行状态，包括设备应用情况、用电安全、电力系统、温湿度情况、告警情况等信息。</w:t>
            </w:r>
          </w:p>
          <w:p>
            <w:pPr>
              <w:ind w:firstLine="480"/>
              <w:rPr>
                <w:color w:val="auto"/>
                <w:highlight w:val="none"/>
              </w:rPr>
            </w:pPr>
            <w:r>
              <w:rPr>
                <w:rFonts w:hint="eastAsia"/>
                <w:color w:val="auto"/>
                <w:highlight w:val="none"/>
              </w:rPr>
              <w:t>40、支持多种告警方式。</w:t>
            </w:r>
          </w:p>
          <w:p>
            <w:pPr>
              <w:ind w:firstLine="480"/>
              <w:rPr>
                <w:strike/>
                <w:color w:val="auto"/>
                <w:highlight w:val="none"/>
              </w:rPr>
            </w:pPr>
            <w:r>
              <w:rPr>
                <w:rFonts w:hint="eastAsia"/>
                <w:color w:val="auto"/>
                <w:highlight w:val="none"/>
              </w:rPr>
              <w:t>41、支持通过软件查看巡检任务，并内置常见告警模版。</w:t>
            </w:r>
          </w:p>
          <w:p>
            <w:pPr>
              <w:ind w:firstLine="480"/>
              <w:rPr>
                <w:color w:val="auto"/>
                <w:highlight w:val="none"/>
              </w:rPr>
            </w:pPr>
            <w:r>
              <w:rPr>
                <w:rFonts w:hint="eastAsia"/>
                <w:color w:val="auto"/>
                <w:highlight w:val="none"/>
              </w:rPr>
              <w:t>42、运维人员对设备熟悉，安全意识较高，人员数量需满足7×24值守倒班要求。机房的基础设施日常巡检工作，每日巡检次数不少于2次。</w:t>
            </w:r>
          </w:p>
          <w:p>
            <w:pPr>
              <w:ind w:firstLine="480"/>
              <w:rPr>
                <w:color w:val="auto"/>
                <w:highlight w:val="none"/>
              </w:rPr>
            </w:pPr>
            <w:r>
              <w:rPr>
                <w:rFonts w:hint="eastAsia"/>
                <w:color w:val="auto"/>
                <w:highlight w:val="none"/>
              </w:rPr>
              <w:t>43、具备突发事件应急处理流程、年度保养计划、应急演练计划方案，能够根据自治区医保局的要求负责提供相应的记录及材料。</w:t>
            </w:r>
          </w:p>
          <w:p>
            <w:pPr>
              <w:ind w:firstLine="480"/>
              <w:rPr>
                <w:color w:val="auto"/>
                <w:highlight w:val="none"/>
              </w:rPr>
            </w:pPr>
            <w:bookmarkStart w:id="14" w:name="OLE_LINK1"/>
            <w:r>
              <w:rPr>
                <w:rFonts w:hint="eastAsia"/>
                <w:color w:val="auto"/>
                <w:highlight w:val="none"/>
              </w:rPr>
              <w:t>▲</w:t>
            </w:r>
            <w:bookmarkEnd w:id="14"/>
            <w:r>
              <w:rPr>
                <w:rFonts w:hint="eastAsia"/>
                <w:color w:val="auto"/>
                <w:highlight w:val="none"/>
              </w:rPr>
              <w:t>与原广西医保信息平台数据中心互联，提供互联链路，链路性能满足平台稳定运行及双活灾备等要求。</w:t>
            </w:r>
          </w:p>
        </w:tc>
        <w:tc>
          <w:tcPr>
            <w:tcW w:w="162"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left"/>
              <w:rPr>
                <w:color w:val="auto"/>
                <w:highlight w:val="none"/>
              </w:rPr>
            </w:pPr>
            <w:r>
              <w:rPr>
                <w:rFonts w:hint="eastAsia"/>
                <w:color w:val="auto"/>
                <w:highlight w:val="none"/>
              </w:rPr>
              <w:t>1</w:t>
            </w:r>
          </w:p>
        </w:tc>
      </w:tr>
    </w:tbl>
    <w:p>
      <w:pPr>
        <w:rPr>
          <w:color w:val="auto"/>
          <w:highlight w:val="none"/>
        </w:rPr>
      </w:pPr>
    </w:p>
    <w:p>
      <w:pPr>
        <w:pStyle w:val="211"/>
        <w:rPr>
          <w:rFonts w:hint="eastAsia" w:ascii="宋体" w:hAnsi="宋体" w:cs="宋体"/>
          <w:color w:val="auto"/>
          <w:sz w:val="24"/>
          <w:szCs w:val="24"/>
          <w:highlight w:val="none"/>
        </w:rPr>
      </w:pPr>
      <w:r>
        <w:rPr>
          <w:rFonts w:hint="eastAsia" w:ascii="宋体" w:hAnsi="宋体" w:cs="宋体"/>
          <w:color w:val="auto"/>
          <w:sz w:val="24"/>
          <w:szCs w:val="24"/>
          <w:highlight w:val="none"/>
        </w:rPr>
        <w:t>四、参考依据</w:t>
      </w:r>
    </w:p>
    <w:p>
      <w:pPr>
        <w:adjustRightInd w:val="0"/>
        <w:spacing w:line="300" w:lineRule="auto"/>
        <w:ind w:firstLine="420" w:firstLineChars="200"/>
        <w:textAlignment w:val="baseline"/>
        <w:rPr>
          <w:rFonts w:hint="eastAsia" w:ascii="宋体" w:hAnsi="宋体" w:cs="宋体"/>
          <w:color w:val="auto"/>
          <w:szCs w:val="20"/>
          <w:highlight w:val="none"/>
        </w:rPr>
      </w:pPr>
      <w:r>
        <w:rPr>
          <w:rFonts w:hint="eastAsia" w:ascii="宋体" w:hAnsi="宋体" w:cs="宋体"/>
          <w:color w:val="auto"/>
          <w:szCs w:val="20"/>
          <w:highlight w:val="none"/>
        </w:rPr>
        <w:t>投标人产品须遵循国内外相关标准规范及国家医疗保障局发布的相关管理制度和规范要求，包括但不限于：</w:t>
      </w:r>
    </w:p>
    <w:p>
      <w:pPr>
        <w:adjustRightInd w:val="0"/>
        <w:spacing w:line="300" w:lineRule="auto"/>
        <w:ind w:firstLine="420" w:firstLineChars="200"/>
        <w:textAlignment w:val="baseline"/>
        <w:rPr>
          <w:rFonts w:hint="eastAsia" w:ascii="宋体" w:hAnsi="宋体" w:cs="宋体"/>
          <w:color w:val="auto"/>
          <w:szCs w:val="20"/>
          <w:highlight w:val="none"/>
        </w:rPr>
      </w:pPr>
      <w:r>
        <w:rPr>
          <w:rFonts w:hint="eastAsia" w:ascii="宋体" w:hAnsi="宋体" w:cs="宋体"/>
          <w:color w:val="auto"/>
          <w:szCs w:val="20"/>
          <w:highlight w:val="none"/>
        </w:rPr>
        <w:t>（1）《信息安全技术网络安全等级保护基本要求》GB/T22239-2019；</w:t>
      </w:r>
    </w:p>
    <w:p>
      <w:pPr>
        <w:adjustRightInd w:val="0"/>
        <w:spacing w:line="300" w:lineRule="auto"/>
        <w:ind w:firstLine="420" w:firstLineChars="200"/>
        <w:textAlignment w:val="baseline"/>
        <w:rPr>
          <w:rFonts w:hint="eastAsia" w:ascii="宋体" w:hAnsi="宋体" w:cs="宋体"/>
          <w:color w:val="auto"/>
          <w:szCs w:val="20"/>
          <w:highlight w:val="none"/>
        </w:rPr>
      </w:pPr>
      <w:r>
        <w:rPr>
          <w:rFonts w:hint="eastAsia" w:ascii="宋体" w:hAnsi="宋体" w:cs="宋体"/>
          <w:color w:val="auto"/>
          <w:szCs w:val="20"/>
          <w:highlight w:val="none"/>
        </w:rPr>
        <w:t>（2）《医疗保障信息平台云计算平台规范》XJ-A01-2019；</w:t>
      </w:r>
    </w:p>
    <w:p>
      <w:pPr>
        <w:adjustRightInd w:val="0"/>
        <w:spacing w:line="300" w:lineRule="auto"/>
        <w:ind w:firstLine="420" w:firstLineChars="200"/>
        <w:textAlignment w:val="baseline"/>
        <w:rPr>
          <w:rFonts w:hint="eastAsia" w:ascii="宋体" w:hAnsi="宋体" w:cs="宋体"/>
          <w:color w:val="auto"/>
          <w:szCs w:val="20"/>
          <w:highlight w:val="none"/>
        </w:rPr>
      </w:pPr>
      <w:r>
        <w:rPr>
          <w:rFonts w:hint="eastAsia" w:ascii="宋体" w:hAnsi="宋体" w:cs="宋体"/>
          <w:color w:val="auto"/>
          <w:szCs w:val="20"/>
          <w:highlight w:val="none"/>
        </w:rPr>
        <w:t>（3）《医疗保障核心业务区网络安全接入规范》XJ-AQWL.01-2019；</w:t>
      </w:r>
    </w:p>
    <w:p>
      <w:pPr>
        <w:adjustRightInd w:val="0"/>
        <w:spacing w:line="300" w:lineRule="auto"/>
        <w:ind w:firstLine="420" w:firstLineChars="200"/>
        <w:textAlignment w:val="baseline"/>
        <w:rPr>
          <w:rFonts w:hint="eastAsia" w:ascii="宋体" w:hAnsi="宋体" w:cs="宋体"/>
          <w:color w:val="auto"/>
          <w:szCs w:val="20"/>
          <w:highlight w:val="none"/>
        </w:rPr>
      </w:pPr>
      <w:r>
        <w:rPr>
          <w:rFonts w:hint="eastAsia" w:ascii="宋体" w:hAnsi="宋体" w:cs="宋体"/>
          <w:color w:val="auto"/>
          <w:szCs w:val="20"/>
          <w:highlight w:val="none"/>
        </w:rPr>
        <w:t>（4）《医疗保障信息平台数据库设计规范》XJ-E01-2020；</w:t>
      </w:r>
    </w:p>
    <w:p>
      <w:pPr>
        <w:adjustRightInd w:val="0"/>
        <w:spacing w:line="300" w:lineRule="auto"/>
        <w:ind w:firstLine="420" w:firstLineChars="200"/>
        <w:textAlignment w:val="baseline"/>
        <w:rPr>
          <w:rFonts w:hint="eastAsia" w:ascii="宋体" w:hAnsi="宋体" w:cs="宋体"/>
          <w:color w:val="auto"/>
          <w:szCs w:val="20"/>
          <w:highlight w:val="none"/>
        </w:rPr>
      </w:pPr>
      <w:r>
        <w:rPr>
          <w:rFonts w:hint="eastAsia" w:ascii="宋体" w:hAnsi="宋体" w:cs="宋体"/>
          <w:color w:val="auto"/>
          <w:szCs w:val="20"/>
          <w:highlight w:val="none"/>
        </w:rPr>
        <w:t>（5）</w:t>
      </w:r>
      <w:r>
        <w:rPr>
          <w:rFonts w:hint="eastAsia"/>
          <w:color w:val="auto"/>
          <w:szCs w:val="20"/>
          <w:highlight w:val="none"/>
        </w:rPr>
        <w:t>其他应遵守的国家及地方信息化、医保、软硬件、集成等相关规范。</w:t>
      </w:r>
    </w:p>
    <w:p>
      <w:pPr>
        <w:pStyle w:val="10"/>
        <w:spacing w:line="264" w:lineRule="auto"/>
        <w:ind w:firstLine="0"/>
        <w:rPr>
          <w:rFonts w:hint="eastAsia" w:ascii="宋体" w:hAnsi="宋体" w:cs="宋体"/>
          <w:color w:val="auto"/>
          <w:kern w:val="0"/>
          <w:szCs w:val="21"/>
          <w:highlight w:val="none"/>
        </w:rPr>
      </w:pPr>
    </w:p>
    <w:p>
      <w:pPr>
        <w:snapToGrid w:val="0"/>
        <w:rPr>
          <w:rFonts w:ascii="仿宋_GB2312" w:eastAsia="仿宋_GB2312"/>
          <w:b/>
          <w:color w:val="auto"/>
          <w:szCs w:val="21"/>
          <w:highlight w:val="none"/>
        </w:rPr>
      </w:pPr>
    </w:p>
    <w:p>
      <w:pPr>
        <w:snapToGrid w:val="0"/>
        <w:rPr>
          <w:rFonts w:ascii="仿宋_GB2312" w:eastAsia="仿宋_GB2312"/>
          <w:b/>
          <w:color w:val="auto"/>
          <w:szCs w:val="21"/>
          <w:highlight w:val="none"/>
        </w:rPr>
      </w:pPr>
      <w:r>
        <w:rPr>
          <w:rFonts w:hint="eastAsia" w:ascii="仿宋_GB2312" w:eastAsia="仿宋_GB2312"/>
          <w:b/>
          <w:color w:val="auto"/>
          <w:szCs w:val="21"/>
          <w:highlight w:val="none"/>
        </w:rPr>
        <w:br w:type="page"/>
      </w:r>
    </w:p>
    <w:p>
      <w:pPr>
        <w:snapToGrid w:val="0"/>
        <w:rPr>
          <w:rFonts w:ascii="仿宋_GB2312" w:eastAsia="仿宋_GB2312"/>
          <w:b/>
          <w:color w:val="auto"/>
          <w:szCs w:val="21"/>
          <w:highlight w:val="none"/>
        </w:rPr>
      </w:pPr>
    </w:p>
    <w:p>
      <w:pPr>
        <w:snapToGrid w:val="0"/>
        <w:rPr>
          <w:rFonts w:ascii="仿宋_GB2312" w:eastAsia="仿宋_GB2312"/>
          <w:b/>
          <w:color w:val="auto"/>
          <w:szCs w:val="21"/>
          <w:highlight w:val="none"/>
        </w:rPr>
      </w:pPr>
    </w:p>
    <w:p>
      <w:pPr>
        <w:snapToGrid w:val="0"/>
        <w:rPr>
          <w:rFonts w:ascii="仿宋_GB2312" w:eastAsia="仿宋_GB2312"/>
          <w:b/>
          <w:color w:val="auto"/>
          <w:szCs w:val="21"/>
          <w:highlight w:val="none"/>
        </w:rPr>
      </w:pPr>
    </w:p>
    <w:p>
      <w:pPr>
        <w:snapToGrid w:val="0"/>
        <w:rPr>
          <w:rFonts w:ascii="仿宋_GB2312" w:eastAsia="仿宋_GB2312"/>
          <w:b/>
          <w:color w:val="auto"/>
          <w:szCs w:val="21"/>
          <w:highlight w:val="none"/>
        </w:rPr>
      </w:pPr>
    </w:p>
    <w:p>
      <w:pPr>
        <w:snapToGrid w:val="0"/>
        <w:rPr>
          <w:rFonts w:ascii="仿宋_GB2312" w:eastAsia="仿宋_GB2312"/>
          <w:b/>
          <w:color w:val="auto"/>
          <w:szCs w:val="21"/>
          <w:highlight w:val="none"/>
        </w:rPr>
      </w:pPr>
    </w:p>
    <w:p>
      <w:pPr>
        <w:snapToGrid w:val="0"/>
        <w:rPr>
          <w:rFonts w:ascii="仿宋_GB2312" w:eastAsia="仿宋_GB2312"/>
          <w:b/>
          <w:color w:val="auto"/>
          <w:szCs w:val="21"/>
          <w:highlight w:val="none"/>
        </w:rPr>
      </w:pPr>
    </w:p>
    <w:p>
      <w:pPr>
        <w:snapToGrid w:val="0"/>
        <w:rPr>
          <w:rFonts w:ascii="仿宋_GB2312" w:eastAsia="仿宋_GB2312"/>
          <w:b/>
          <w:color w:val="auto"/>
          <w:szCs w:val="21"/>
          <w:highlight w:val="none"/>
        </w:rPr>
      </w:pPr>
    </w:p>
    <w:p>
      <w:pPr>
        <w:snapToGrid w:val="0"/>
        <w:rPr>
          <w:rFonts w:ascii="仿宋_GB2312" w:eastAsia="仿宋_GB2312"/>
          <w:b/>
          <w:color w:val="auto"/>
          <w:szCs w:val="21"/>
          <w:highlight w:val="none"/>
        </w:rPr>
      </w:pPr>
    </w:p>
    <w:p>
      <w:pPr>
        <w:snapToGrid w:val="0"/>
        <w:rPr>
          <w:rFonts w:ascii="仿宋_GB2312" w:eastAsia="仿宋_GB2312"/>
          <w:b/>
          <w:color w:val="auto"/>
          <w:szCs w:val="21"/>
          <w:highlight w:val="none"/>
        </w:rPr>
      </w:pPr>
    </w:p>
    <w:p>
      <w:pPr>
        <w:snapToGrid w:val="0"/>
        <w:rPr>
          <w:rFonts w:ascii="仿宋_GB2312" w:eastAsia="仿宋_GB2312"/>
          <w:b/>
          <w:color w:val="auto"/>
          <w:szCs w:val="21"/>
          <w:highlight w:val="none"/>
        </w:rPr>
      </w:pPr>
    </w:p>
    <w:p>
      <w:pPr>
        <w:pStyle w:val="21"/>
        <w:rPr>
          <w:rFonts w:ascii="仿宋_GB2312" w:eastAsia="仿宋_GB2312"/>
          <w:b/>
          <w:color w:val="auto"/>
          <w:szCs w:val="21"/>
          <w:highlight w:val="none"/>
        </w:rPr>
      </w:pPr>
    </w:p>
    <w:p>
      <w:pPr>
        <w:snapToGrid w:val="0"/>
        <w:rPr>
          <w:rFonts w:ascii="仿宋_GB2312" w:eastAsia="仿宋_GB2312"/>
          <w:b/>
          <w:color w:val="auto"/>
          <w:szCs w:val="21"/>
          <w:highlight w:val="none"/>
        </w:rPr>
      </w:pPr>
    </w:p>
    <w:p>
      <w:pPr>
        <w:snapToGrid w:val="0"/>
        <w:rPr>
          <w:rFonts w:ascii="仿宋_GB2312" w:eastAsia="仿宋_GB2312"/>
          <w:b/>
          <w:color w:val="auto"/>
          <w:szCs w:val="21"/>
          <w:highlight w:val="none"/>
        </w:rPr>
      </w:pPr>
    </w:p>
    <w:p>
      <w:pPr>
        <w:snapToGrid w:val="0"/>
        <w:rPr>
          <w:rFonts w:ascii="仿宋_GB2312" w:eastAsia="仿宋_GB2312"/>
          <w:b/>
          <w:color w:val="auto"/>
          <w:szCs w:val="21"/>
          <w:highlight w:val="none"/>
        </w:rPr>
      </w:pPr>
    </w:p>
    <w:p>
      <w:pPr>
        <w:snapToGrid w:val="0"/>
        <w:rPr>
          <w:rFonts w:ascii="仿宋_GB2312" w:eastAsia="仿宋_GB2312"/>
          <w:b/>
          <w:color w:val="auto"/>
          <w:szCs w:val="21"/>
          <w:highlight w:val="none"/>
        </w:rPr>
      </w:pPr>
    </w:p>
    <w:p>
      <w:pPr>
        <w:snapToGrid w:val="0"/>
        <w:jc w:val="center"/>
        <w:rPr>
          <w:rFonts w:hint="eastAsia" w:ascii="宋体" w:hAnsi="宋体" w:cs="Courier New"/>
          <w:b/>
          <w:color w:val="auto"/>
          <w:sz w:val="44"/>
          <w:szCs w:val="44"/>
          <w:highlight w:val="none"/>
        </w:rPr>
      </w:pPr>
      <w:r>
        <w:rPr>
          <w:rFonts w:hint="eastAsia" w:ascii="宋体" w:hAnsi="宋体" w:cs="Courier New"/>
          <w:b/>
          <w:color w:val="auto"/>
          <w:sz w:val="44"/>
          <w:szCs w:val="44"/>
          <w:highlight w:val="none"/>
        </w:rPr>
        <w:t>第三章  投标人须知</w:t>
      </w:r>
    </w:p>
    <w:p>
      <w:pPr>
        <w:spacing w:line="360" w:lineRule="exact"/>
        <w:jc w:val="center"/>
        <w:rPr>
          <w:rFonts w:ascii="仿宋_GB2312" w:eastAsia="仿宋_GB2312"/>
          <w:b/>
          <w:color w:val="auto"/>
          <w:szCs w:val="21"/>
          <w:highlight w:val="none"/>
        </w:rPr>
      </w:pPr>
      <w:r>
        <w:rPr>
          <w:rFonts w:ascii="仿宋_GB2312" w:eastAsia="仿宋_GB2312"/>
          <w:b/>
          <w:color w:val="auto"/>
          <w:szCs w:val="21"/>
          <w:highlight w:val="none"/>
        </w:rPr>
        <w:br w:type="page"/>
      </w:r>
    </w:p>
    <w:p>
      <w:pPr>
        <w:spacing w:line="360" w:lineRule="exact"/>
        <w:jc w:val="center"/>
        <w:rPr>
          <w:rFonts w:ascii="仿宋_GB2312" w:eastAsia="仿宋_GB2312"/>
          <w:b/>
          <w:color w:val="auto"/>
          <w:sz w:val="32"/>
          <w:szCs w:val="32"/>
          <w:highlight w:val="none"/>
        </w:rPr>
      </w:pPr>
      <w:r>
        <w:rPr>
          <w:rFonts w:hint="eastAsia" w:ascii="仿宋_GB2312" w:eastAsia="仿宋_GB2312"/>
          <w:b/>
          <w:color w:val="auto"/>
          <w:sz w:val="32"/>
          <w:szCs w:val="32"/>
          <w:highlight w:val="none"/>
        </w:rPr>
        <w:t>投标</w:t>
      </w:r>
      <w:bookmarkStart w:id="15" w:name="_Toc254970667"/>
      <w:bookmarkStart w:id="16" w:name="_Toc254970526"/>
      <w:r>
        <w:rPr>
          <w:rFonts w:hint="eastAsia" w:ascii="仿宋_GB2312" w:eastAsia="仿宋_GB2312"/>
          <w:b/>
          <w:color w:val="auto"/>
          <w:sz w:val="32"/>
          <w:szCs w:val="32"/>
          <w:highlight w:val="none"/>
        </w:rPr>
        <w:t>人须知及前附表</w:t>
      </w:r>
      <w:bookmarkEnd w:id="15"/>
      <w:bookmarkEnd w:id="16"/>
    </w:p>
    <w:p>
      <w:pPr>
        <w:spacing w:line="360" w:lineRule="exact"/>
        <w:jc w:val="center"/>
        <w:rPr>
          <w:rFonts w:ascii="仿宋_GB2312" w:eastAsia="仿宋_GB2312"/>
          <w:b/>
          <w:color w:val="auto"/>
          <w:szCs w:val="21"/>
          <w:highlight w:val="none"/>
        </w:rPr>
      </w:pPr>
    </w:p>
    <w:tbl>
      <w:tblPr>
        <w:tblStyle w:val="52"/>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48"/>
        <w:gridCol w:w="882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37" w:hRule="atLeast"/>
        </w:trPr>
        <w:tc>
          <w:tcPr>
            <w:tcW w:w="648"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jc w:val="center"/>
              <w:rPr>
                <w:rFonts w:ascii="宋体"/>
                <w:color w:val="auto"/>
                <w:szCs w:val="21"/>
                <w:highlight w:val="none"/>
              </w:rPr>
            </w:pPr>
            <w:r>
              <w:rPr>
                <w:rFonts w:hint="eastAsia" w:ascii="宋体"/>
                <w:color w:val="auto"/>
                <w:szCs w:val="21"/>
                <w:highlight w:val="none"/>
              </w:rPr>
              <w:t>序号</w:t>
            </w:r>
          </w:p>
        </w:tc>
        <w:tc>
          <w:tcPr>
            <w:tcW w:w="8820"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jc w:val="center"/>
              <w:rPr>
                <w:rFonts w:ascii="宋体"/>
                <w:color w:val="auto"/>
                <w:szCs w:val="21"/>
                <w:highlight w:val="none"/>
              </w:rPr>
            </w:pPr>
            <w:r>
              <w:rPr>
                <w:rFonts w:hint="eastAsia" w:ascii="宋体"/>
                <w:color w:val="auto"/>
                <w:szCs w:val="21"/>
                <w:highlight w:val="none"/>
              </w:rPr>
              <w:t>内容、要求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37" w:hRule="atLeast"/>
        </w:trPr>
        <w:tc>
          <w:tcPr>
            <w:tcW w:w="648"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jc w:val="center"/>
              <w:rPr>
                <w:rFonts w:ascii="宋体"/>
                <w:bCs/>
                <w:color w:val="auto"/>
                <w:szCs w:val="21"/>
                <w:highlight w:val="none"/>
              </w:rPr>
            </w:pPr>
            <w:r>
              <w:rPr>
                <w:rFonts w:hint="eastAsia" w:ascii="宋体"/>
                <w:bCs/>
                <w:color w:val="auto"/>
                <w:szCs w:val="21"/>
                <w:highlight w:val="none"/>
              </w:rPr>
              <w:t>1</w:t>
            </w:r>
          </w:p>
        </w:tc>
        <w:tc>
          <w:tcPr>
            <w:tcW w:w="8820" w:type="dxa"/>
            <w:tcBorders>
              <w:top w:val="single" w:color="auto" w:sz="4" w:space="0"/>
              <w:left w:val="single" w:color="auto" w:sz="4" w:space="0"/>
              <w:bottom w:val="single" w:color="auto" w:sz="4" w:space="0"/>
              <w:right w:val="single" w:color="auto" w:sz="4" w:space="0"/>
            </w:tcBorders>
            <w:vAlign w:val="center"/>
          </w:tcPr>
          <w:p>
            <w:pPr>
              <w:snapToGrid w:val="0"/>
              <w:spacing w:line="300" w:lineRule="exact"/>
              <w:rPr>
                <w:rFonts w:ascii="宋体"/>
                <w:color w:val="auto"/>
                <w:szCs w:val="21"/>
                <w:highlight w:val="none"/>
                <w:lang w:val="en"/>
              </w:rPr>
            </w:pPr>
            <w:r>
              <w:rPr>
                <w:rFonts w:hint="eastAsia" w:ascii="宋体"/>
                <w:color w:val="auto"/>
                <w:szCs w:val="21"/>
                <w:highlight w:val="none"/>
              </w:rPr>
              <w:t>项目名称：</w:t>
            </w:r>
            <w:r>
              <w:rPr>
                <w:rFonts w:hint="eastAsia"/>
                <w:b/>
                <w:bCs/>
                <w:color w:val="auto"/>
                <w:highlight w:val="none"/>
              </w:rPr>
              <w:t>广西壮族自治区医疗保障信息平台扩容建设采购（平台建设部分）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37" w:hRule="atLeast"/>
        </w:trPr>
        <w:tc>
          <w:tcPr>
            <w:tcW w:w="648"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jc w:val="center"/>
              <w:rPr>
                <w:rFonts w:ascii="宋体"/>
                <w:bCs/>
                <w:color w:val="auto"/>
                <w:szCs w:val="21"/>
                <w:highlight w:val="none"/>
              </w:rPr>
            </w:pPr>
            <w:r>
              <w:rPr>
                <w:rFonts w:hint="eastAsia" w:ascii="宋体"/>
                <w:bCs/>
                <w:color w:val="auto"/>
                <w:szCs w:val="21"/>
                <w:highlight w:val="none"/>
              </w:rPr>
              <w:t>2</w:t>
            </w:r>
          </w:p>
        </w:tc>
        <w:tc>
          <w:tcPr>
            <w:tcW w:w="8820" w:type="dxa"/>
            <w:tcBorders>
              <w:top w:val="single" w:color="auto" w:sz="4" w:space="0"/>
              <w:left w:val="single" w:color="auto" w:sz="4" w:space="0"/>
              <w:bottom w:val="single" w:color="auto" w:sz="4" w:space="0"/>
              <w:right w:val="single" w:color="auto" w:sz="4" w:space="0"/>
            </w:tcBorders>
            <w:vAlign w:val="center"/>
          </w:tcPr>
          <w:p>
            <w:pPr>
              <w:snapToGrid w:val="0"/>
              <w:spacing w:line="300" w:lineRule="exact"/>
              <w:rPr>
                <w:rFonts w:ascii="宋体"/>
                <w:color w:val="auto"/>
                <w:szCs w:val="21"/>
                <w:highlight w:val="none"/>
              </w:rPr>
            </w:pPr>
            <w:r>
              <w:rPr>
                <w:rFonts w:hint="eastAsia" w:ascii="宋体"/>
                <w:color w:val="auto"/>
                <w:szCs w:val="21"/>
                <w:highlight w:val="none"/>
              </w:rPr>
              <w:t>投标报价及费用：1.本项目投标应以人民币报价；2.不论投标结果如何，投标人均应自行承担所有与投标有关的全部费用；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37" w:hRule="atLeast"/>
        </w:trPr>
        <w:tc>
          <w:tcPr>
            <w:tcW w:w="648"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jc w:val="center"/>
              <w:rPr>
                <w:bCs/>
                <w:color w:val="auto"/>
                <w:highlight w:val="none"/>
              </w:rPr>
            </w:pPr>
            <w:r>
              <w:rPr>
                <w:rFonts w:hint="eastAsia"/>
                <w:bCs/>
                <w:color w:val="auto"/>
                <w:highlight w:val="none"/>
              </w:rPr>
              <w:t>3</w:t>
            </w:r>
          </w:p>
        </w:tc>
        <w:tc>
          <w:tcPr>
            <w:tcW w:w="8820" w:type="dxa"/>
            <w:tcBorders>
              <w:top w:val="single" w:color="auto" w:sz="4" w:space="0"/>
              <w:left w:val="single" w:color="auto" w:sz="4" w:space="0"/>
              <w:bottom w:val="single" w:color="auto" w:sz="4" w:space="0"/>
              <w:right w:val="single" w:color="auto" w:sz="4" w:space="0"/>
            </w:tcBorders>
            <w:vAlign w:val="center"/>
          </w:tcPr>
          <w:p>
            <w:pPr>
              <w:snapToGrid w:val="0"/>
              <w:spacing w:line="300" w:lineRule="exact"/>
              <w:rPr>
                <w:bCs/>
                <w:color w:val="auto"/>
                <w:highlight w:val="none"/>
              </w:rPr>
            </w:pPr>
            <w:r>
              <w:rPr>
                <w:rFonts w:hint="eastAsia"/>
                <w:bCs/>
                <w:color w:val="auto"/>
                <w:highlight w:val="none"/>
              </w:rPr>
              <w:t>详见公开招标公告</w:t>
            </w:r>
          </w:p>
          <w:p>
            <w:pPr>
              <w:snapToGrid w:val="0"/>
              <w:spacing w:line="300" w:lineRule="exact"/>
              <w:rPr>
                <w:bCs/>
                <w:color w:val="auto"/>
                <w:highlight w:val="none"/>
              </w:rPr>
            </w:pPr>
            <w:r>
              <w:rPr>
                <w:rFonts w:hint="eastAsia"/>
                <w:bCs/>
                <w:color w:val="auto"/>
                <w:highlight w:val="none"/>
              </w:rPr>
              <w:t>实际交纳的保证金须按要求交纳，否则视为未交纳保证金。</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37" w:hRule="atLeast"/>
        </w:trPr>
        <w:tc>
          <w:tcPr>
            <w:tcW w:w="648"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jc w:val="center"/>
              <w:rPr>
                <w:bCs/>
                <w:color w:val="auto"/>
                <w:highlight w:val="none"/>
              </w:rPr>
            </w:pPr>
            <w:r>
              <w:rPr>
                <w:rFonts w:hint="eastAsia"/>
                <w:bCs/>
                <w:color w:val="auto"/>
                <w:highlight w:val="none"/>
              </w:rPr>
              <w:t>4</w:t>
            </w:r>
          </w:p>
        </w:tc>
        <w:tc>
          <w:tcPr>
            <w:tcW w:w="8820" w:type="dxa"/>
            <w:tcBorders>
              <w:top w:val="single" w:color="auto" w:sz="4" w:space="0"/>
              <w:left w:val="single" w:color="auto" w:sz="4" w:space="0"/>
              <w:bottom w:val="single" w:color="auto" w:sz="4" w:space="0"/>
              <w:right w:val="single" w:color="auto" w:sz="4" w:space="0"/>
            </w:tcBorders>
            <w:vAlign w:val="center"/>
          </w:tcPr>
          <w:p>
            <w:pPr>
              <w:snapToGrid w:val="0"/>
              <w:spacing w:line="300" w:lineRule="exact"/>
              <w:rPr>
                <w:b/>
                <w:bCs/>
                <w:color w:val="auto"/>
                <w:highlight w:val="none"/>
              </w:rPr>
            </w:pPr>
            <w:r>
              <w:rPr>
                <w:rFonts w:hint="eastAsia" w:ascii="宋体"/>
                <w:b/>
                <w:color w:val="auto"/>
                <w:szCs w:val="21"/>
                <w:highlight w:val="none"/>
              </w:rPr>
              <w:t>现场勘查：详见采购需求(如有)。</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37" w:hRule="atLeast"/>
        </w:trPr>
        <w:tc>
          <w:tcPr>
            <w:tcW w:w="648"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jc w:val="center"/>
              <w:rPr>
                <w:rFonts w:ascii="宋体"/>
                <w:color w:val="auto"/>
                <w:szCs w:val="21"/>
                <w:highlight w:val="none"/>
              </w:rPr>
            </w:pPr>
            <w:r>
              <w:rPr>
                <w:rFonts w:hint="eastAsia" w:ascii="宋体"/>
                <w:color w:val="auto"/>
                <w:szCs w:val="21"/>
                <w:highlight w:val="none"/>
              </w:rPr>
              <w:t>5</w:t>
            </w:r>
          </w:p>
        </w:tc>
        <w:tc>
          <w:tcPr>
            <w:tcW w:w="8820" w:type="dxa"/>
            <w:tcBorders>
              <w:top w:val="single" w:color="auto" w:sz="4" w:space="0"/>
              <w:left w:val="single" w:color="auto" w:sz="4" w:space="0"/>
              <w:bottom w:val="single" w:color="auto" w:sz="4" w:space="0"/>
              <w:right w:val="single" w:color="auto" w:sz="4" w:space="0"/>
            </w:tcBorders>
            <w:vAlign w:val="center"/>
          </w:tcPr>
          <w:p>
            <w:pPr>
              <w:spacing w:line="300" w:lineRule="exact"/>
              <w:jc w:val="left"/>
              <w:rPr>
                <w:rFonts w:ascii="宋体"/>
                <w:color w:val="auto"/>
                <w:szCs w:val="21"/>
                <w:highlight w:val="none"/>
              </w:rPr>
            </w:pPr>
            <w:r>
              <w:rPr>
                <w:rFonts w:hint="eastAsia" w:ascii="宋体"/>
                <w:color w:val="auto"/>
                <w:szCs w:val="21"/>
                <w:highlight w:val="none"/>
              </w:rPr>
              <w:t>演示时间及地点：无</w:t>
            </w:r>
            <w:r>
              <w:rPr>
                <w:color w:val="auto"/>
                <w:highlight w:val="none"/>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37" w:hRule="atLeast"/>
        </w:trPr>
        <w:tc>
          <w:tcPr>
            <w:tcW w:w="648"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jc w:val="center"/>
              <w:rPr>
                <w:rFonts w:ascii="宋体"/>
                <w:color w:val="auto"/>
                <w:szCs w:val="21"/>
                <w:highlight w:val="none"/>
              </w:rPr>
            </w:pPr>
            <w:r>
              <w:rPr>
                <w:rFonts w:hint="eastAsia" w:ascii="宋体"/>
                <w:color w:val="auto"/>
                <w:szCs w:val="21"/>
                <w:highlight w:val="none"/>
              </w:rPr>
              <w:t>6</w:t>
            </w:r>
          </w:p>
        </w:tc>
        <w:tc>
          <w:tcPr>
            <w:tcW w:w="8820" w:type="dxa"/>
            <w:tcBorders>
              <w:top w:val="single" w:color="auto" w:sz="4" w:space="0"/>
              <w:left w:val="single" w:color="auto" w:sz="4" w:space="0"/>
              <w:bottom w:val="single" w:color="auto" w:sz="4" w:space="0"/>
              <w:right w:val="single" w:color="auto" w:sz="4" w:space="0"/>
            </w:tcBorders>
            <w:vAlign w:val="center"/>
          </w:tcPr>
          <w:p>
            <w:pPr>
              <w:snapToGrid w:val="0"/>
              <w:spacing w:line="300" w:lineRule="exact"/>
              <w:rPr>
                <w:color w:val="auto"/>
                <w:szCs w:val="21"/>
                <w:highlight w:val="none"/>
              </w:rPr>
            </w:pPr>
            <w:r>
              <w:rPr>
                <w:rFonts w:hint="eastAsia"/>
                <w:color w:val="auto"/>
                <w:szCs w:val="21"/>
                <w:highlight w:val="none"/>
              </w:rPr>
              <w:t>（1）答疑、澄清：</w:t>
            </w:r>
            <w:r>
              <w:rPr>
                <w:rFonts w:hint="eastAsia"/>
                <w:b/>
                <w:color w:val="auto"/>
                <w:szCs w:val="21"/>
                <w:highlight w:val="none"/>
                <w:u w:val="single"/>
              </w:rPr>
              <w:t>投标人如认为招标文件表述不清晰、</w:t>
            </w:r>
            <w:r>
              <w:rPr>
                <w:rFonts w:hint="eastAsia"/>
                <w:b/>
                <w:bCs/>
                <w:color w:val="auto"/>
                <w:highlight w:val="none"/>
                <w:u w:val="single"/>
              </w:rPr>
              <w:t>有误或有不合理要求的</w:t>
            </w:r>
            <w:r>
              <w:rPr>
                <w:rFonts w:hint="eastAsia"/>
                <w:color w:val="auto"/>
                <w:szCs w:val="21"/>
                <w:highlight w:val="none"/>
              </w:rPr>
              <w:t>，</w:t>
            </w:r>
            <w:r>
              <w:rPr>
                <w:color w:val="auto"/>
                <w:szCs w:val="21"/>
                <w:highlight w:val="none"/>
              </w:rPr>
              <w:t>应当以书面形式要求采购人或者本中心作出书面答疑、澄清</w:t>
            </w:r>
            <w:r>
              <w:rPr>
                <w:rFonts w:hint="eastAsia"/>
                <w:color w:val="auto"/>
                <w:szCs w:val="21"/>
                <w:highlight w:val="none"/>
              </w:rPr>
              <w:t>；</w:t>
            </w:r>
          </w:p>
          <w:p>
            <w:pPr>
              <w:snapToGrid w:val="0"/>
              <w:spacing w:line="300" w:lineRule="exact"/>
              <w:rPr>
                <w:rFonts w:hint="eastAsia" w:hAnsi="宋体"/>
                <w:color w:val="auto"/>
                <w:szCs w:val="21"/>
                <w:highlight w:val="none"/>
              </w:rPr>
            </w:pPr>
            <w:r>
              <w:rPr>
                <w:rFonts w:hint="eastAsia" w:hAnsi="宋体"/>
                <w:color w:val="auto"/>
                <w:szCs w:val="21"/>
                <w:highlight w:val="none"/>
              </w:rPr>
              <w:t>（2）询问、质疑：</w:t>
            </w:r>
            <w:r>
              <w:rPr>
                <w:rFonts w:hint="eastAsia" w:hAnsi="宋体"/>
                <w:b/>
                <w:color w:val="auto"/>
                <w:szCs w:val="21"/>
                <w:highlight w:val="none"/>
                <w:u w:val="single"/>
              </w:rPr>
              <w:t>如投标人认为招标文件存在歧视性、排他性或者其他违法内容的</w:t>
            </w:r>
            <w:r>
              <w:rPr>
                <w:rFonts w:hint="eastAsia" w:hAnsi="宋体"/>
                <w:color w:val="auto"/>
                <w:szCs w:val="21"/>
                <w:highlight w:val="none"/>
              </w:rPr>
              <w:t>，按投标人须知“一、总则（九）询问、质疑和投诉”中的要求向</w:t>
            </w:r>
            <w:r>
              <w:rPr>
                <w:rFonts w:ascii="宋体" w:hAnsi="宋体"/>
                <w:color w:val="auto"/>
                <w:szCs w:val="21"/>
                <w:highlight w:val="none"/>
              </w:rPr>
              <w:t>采购人或者采购代理机构</w:t>
            </w:r>
            <w:r>
              <w:rPr>
                <w:rFonts w:hint="eastAsia" w:hAnsi="宋体"/>
                <w:color w:val="auto"/>
                <w:szCs w:val="21"/>
                <w:highlight w:val="none"/>
              </w:rPr>
              <w:t>提出书面询问、质疑，并提供必要的证明材料。</w:t>
            </w:r>
          </w:p>
          <w:p>
            <w:pPr>
              <w:snapToGrid w:val="0"/>
              <w:spacing w:line="300" w:lineRule="exact"/>
              <w:ind w:firstLine="420" w:firstLineChars="200"/>
              <w:rPr>
                <w:rFonts w:ascii="宋体"/>
                <w:color w:val="auto"/>
                <w:szCs w:val="21"/>
                <w:highlight w:val="none"/>
              </w:rPr>
            </w:pPr>
            <w:r>
              <w:rPr>
                <w:rFonts w:hint="eastAsia" w:hAnsi="宋体"/>
                <w:color w:val="auto"/>
                <w:szCs w:val="21"/>
                <w:highlight w:val="none"/>
              </w:rPr>
              <w:t>答疑、澄清内容是招标文件的组成部份，本中心将以书面形式送达所有已报名的投标人。</w:t>
            </w:r>
            <w:r>
              <w:rPr>
                <w:rFonts w:hint="eastAsia" w:hAnsi="宋体"/>
                <w:color w:val="auto"/>
                <w:highlight w:val="none"/>
              </w:rPr>
              <w:t>本中心可以视采购具体情况，延长招标文件或者资格预审文件提供期限，并在财政部门指定的政府采购信息发布媒体及本中心网站上发布公告。</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37" w:hRule="atLeast"/>
        </w:trPr>
        <w:tc>
          <w:tcPr>
            <w:tcW w:w="648"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jc w:val="center"/>
              <w:rPr>
                <w:rFonts w:ascii="宋体"/>
                <w:color w:val="auto"/>
                <w:szCs w:val="21"/>
                <w:highlight w:val="none"/>
              </w:rPr>
            </w:pPr>
            <w:r>
              <w:rPr>
                <w:rFonts w:hint="eastAsia" w:ascii="宋体"/>
                <w:color w:val="auto"/>
                <w:szCs w:val="21"/>
                <w:highlight w:val="none"/>
              </w:rPr>
              <w:t>7</w:t>
            </w:r>
          </w:p>
        </w:tc>
        <w:tc>
          <w:tcPr>
            <w:tcW w:w="8820" w:type="dxa"/>
            <w:tcBorders>
              <w:top w:val="single" w:color="auto" w:sz="4" w:space="0"/>
              <w:left w:val="single" w:color="auto" w:sz="4" w:space="0"/>
              <w:bottom w:val="single" w:color="auto" w:sz="4" w:space="0"/>
              <w:right w:val="single" w:color="auto" w:sz="4" w:space="0"/>
            </w:tcBorders>
            <w:vAlign w:val="center"/>
          </w:tcPr>
          <w:p>
            <w:pPr>
              <w:spacing w:line="300" w:lineRule="exact"/>
              <w:rPr>
                <w:rFonts w:ascii="宋体"/>
                <w:snapToGrid w:val="0"/>
                <w:color w:val="auto"/>
                <w:sz w:val="22"/>
                <w:highlight w:val="none"/>
              </w:rPr>
            </w:pPr>
            <w:r>
              <w:rPr>
                <w:rFonts w:hint="eastAsia" w:ascii="宋体" w:hAnsi="宋体"/>
                <w:color w:val="auto"/>
                <w:szCs w:val="21"/>
                <w:highlight w:val="none"/>
              </w:rPr>
              <w:t>投标文件形式：</w:t>
            </w:r>
            <w:r>
              <w:rPr>
                <w:rFonts w:hint="eastAsia" w:ascii="宋体"/>
                <w:snapToGrid w:val="0"/>
                <w:color w:val="auto"/>
                <w:sz w:val="22"/>
                <w:highlight w:val="none"/>
              </w:rPr>
              <w:t>投标供应商应准备电子投标文件。</w:t>
            </w:r>
          </w:p>
          <w:p>
            <w:pPr>
              <w:autoSpaceDE w:val="0"/>
              <w:autoSpaceDN w:val="0"/>
              <w:snapToGrid w:val="0"/>
              <w:spacing w:line="300" w:lineRule="exact"/>
              <w:textAlignment w:val="bottom"/>
              <w:rPr>
                <w:rFonts w:ascii="宋体"/>
                <w:color w:val="auto"/>
                <w:szCs w:val="21"/>
                <w:highlight w:val="none"/>
              </w:rPr>
            </w:pPr>
            <w:r>
              <w:rPr>
                <w:rFonts w:hint="eastAsia" w:ascii="宋体"/>
                <w:snapToGrid w:val="0"/>
                <w:color w:val="auto"/>
                <w:sz w:val="22"/>
                <w:highlight w:val="none"/>
              </w:rPr>
              <w:t>电子投标文件是指通过“</w:t>
            </w:r>
            <w:r>
              <w:rPr>
                <w:rFonts w:ascii="宋体"/>
                <w:snapToGrid w:val="0"/>
                <w:color w:val="auto"/>
                <w:sz w:val="22"/>
                <w:highlight w:val="none"/>
                <w:lang w:val="en"/>
              </w:rPr>
              <w:t>广西政府采购云</w:t>
            </w:r>
            <w:r>
              <w:rPr>
                <w:color w:val="auto"/>
                <w:highlight w:val="none"/>
              </w:rPr>
              <w:t>电子投标</w:t>
            </w:r>
            <w:r>
              <w:rPr>
                <w:rFonts w:hint="eastAsia" w:ascii="宋体"/>
                <w:snapToGrid w:val="0"/>
                <w:color w:val="auto"/>
                <w:sz w:val="22"/>
                <w:highlight w:val="none"/>
              </w:rPr>
              <w:t>客户端”完成投标文件编制后生成并加密的数据电文形式的电子加密投标文件。</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37" w:hRule="atLeast"/>
        </w:trPr>
        <w:tc>
          <w:tcPr>
            <w:tcW w:w="648"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jc w:val="center"/>
              <w:rPr>
                <w:rFonts w:hint="eastAsia" w:ascii="宋体" w:hAnsi="宋体"/>
                <w:color w:val="auto"/>
                <w:szCs w:val="21"/>
                <w:highlight w:val="none"/>
              </w:rPr>
            </w:pPr>
            <w:r>
              <w:rPr>
                <w:rFonts w:hint="eastAsia" w:ascii="宋体" w:hAnsi="宋体"/>
                <w:color w:val="auto"/>
                <w:szCs w:val="21"/>
                <w:highlight w:val="none"/>
              </w:rPr>
              <w:t>8</w:t>
            </w:r>
          </w:p>
        </w:tc>
        <w:tc>
          <w:tcPr>
            <w:tcW w:w="8820" w:type="dxa"/>
            <w:tcBorders>
              <w:top w:val="single" w:color="auto" w:sz="4" w:space="0"/>
              <w:left w:val="single" w:color="auto" w:sz="4" w:space="0"/>
              <w:bottom w:val="single" w:color="auto" w:sz="4" w:space="0"/>
              <w:right w:val="single" w:color="auto" w:sz="4" w:space="0"/>
            </w:tcBorders>
            <w:vAlign w:val="center"/>
          </w:tcPr>
          <w:p>
            <w:pPr>
              <w:spacing w:line="300" w:lineRule="exact"/>
              <w:rPr>
                <w:rFonts w:hint="eastAsia" w:ascii="宋体" w:hAnsi="宋体"/>
                <w:color w:val="auto"/>
                <w:szCs w:val="21"/>
                <w:highlight w:val="none"/>
              </w:rPr>
            </w:pPr>
            <w:r>
              <w:rPr>
                <w:rFonts w:hint="eastAsia" w:ascii="宋体"/>
                <w:snapToGrid w:val="0"/>
                <w:color w:val="auto"/>
                <w:sz w:val="22"/>
                <w:highlight w:val="none"/>
              </w:rPr>
              <w:t>投标文件的编制：供应商应先安装“</w:t>
            </w:r>
            <w:r>
              <w:rPr>
                <w:rFonts w:ascii="宋体"/>
                <w:snapToGrid w:val="0"/>
                <w:color w:val="auto"/>
                <w:sz w:val="22"/>
                <w:highlight w:val="none"/>
                <w:lang w:val="en"/>
              </w:rPr>
              <w:t>广西政府采购云</w:t>
            </w:r>
            <w:r>
              <w:rPr>
                <w:color w:val="auto"/>
                <w:highlight w:val="none"/>
              </w:rPr>
              <w:t>电子投标</w:t>
            </w:r>
            <w:r>
              <w:rPr>
                <w:rFonts w:hint="eastAsia" w:ascii="宋体"/>
                <w:snapToGrid w:val="0"/>
                <w:color w:val="auto"/>
                <w:sz w:val="22"/>
                <w:highlight w:val="none"/>
              </w:rPr>
              <w:t>客户端”，并按照本招标文件和“</w:t>
            </w:r>
            <w:r>
              <w:rPr>
                <w:rFonts w:ascii="宋体"/>
                <w:snapToGrid w:val="0"/>
                <w:color w:val="auto"/>
                <w:sz w:val="22"/>
                <w:highlight w:val="none"/>
                <w:lang w:val="en"/>
              </w:rPr>
              <w:t>广西政府采购云平台</w:t>
            </w:r>
            <w:r>
              <w:rPr>
                <w:rFonts w:hint="eastAsia" w:ascii="宋体"/>
                <w:snapToGrid w:val="0"/>
                <w:color w:val="auto"/>
                <w:sz w:val="22"/>
                <w:highlight w:val="none"/>
              </w:rPr>
              <w:t>”的要求，通过“</w:t>
            </w:r>
            <w:r>
              <w:rPr>
                <w:rFonts w:ascii="宋体"/>
                <w:snapToGrid w:val="0"/>
                <w:color w:val="auto"/>
                <w:sz w:val="22"/>
                <w:highlight w:val="none"/>
                <w:lang w:val="en"/>
              </w:rPr>
              <w:t>广西政府采购云</w:t>
            </w:r>
            <w:r>
              <w:rPr>
                <w:color w:val="auto"/>
                <w:highlight w:val="none"/>
              </w:rPr>
              <w:t>电子投标</w:t>
            </w:r>
            <w:r>
              <w:rPr>
                <w:rFonts w:hint="eastAsia" w:ascii="宋体"/>
                <w:snapToGrid w:val="0"/>
                <w:color w:val="auto"/>
                <w:sz w:val="22"/>
                <w:highlight w:val="none"/>
              </w:rPr>
              <w:t>客户端”编制并加密投标文件。</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37" w:hRule="atLeast"/>
        </w:trPr>
        <w:tc>
          <w:tcPr>
            <w:tcW w:w="648"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jc w:val="center"/>
              <w:rPr>
                <w:rFonts w:hint="eastAsia" w:ascii="宋体" w:hAnsi="宋体"/>
                <w:color w:val="auto"/>
                <w:szCs w:val="21"/>
                <w:highlight w:val="none"/>
              </w:rPr>
            </w:pPr>
            <w:r>
              <w:rPr>
                <w:rFonts w:hint="eastAsia" w:ascii="宋体" w:hAnsi="宋体"/>
                <w:color w:val="auto"/>
                <w:szCs w:val="21"/>
                <w:highlight w:val="none"/>
              </w:rPr>
              <w:t>9</w:t>
            </w:r>
          </w:p>
        </w:tc>
        <w:tc>
          <w:tcPr>
            <w:tcW w:w="8820" w:type="dxa"/>
            <w:tcBorders>
              <w:top w:val="single" w:color="auto" w:sz="4" w:space="0"/>
              <w:left w:val="single" w:color="auto" w:sz="4" w:space="0"/>
              <w:bottom w:val="single" w:color="auto" w:sz="4" w:space="0"/>
              <w:right w:val="single" w:color="auto" w:sz="4" w:space="0"/>
            </w:tcBorders>
            <w:vAlign w:val="center"/>
          </w:tcPr>
          <w:p>
            <w:pPr>
              <w:spacing w:line="300" w:lineRule="exact"/>
              <w:rPr>
                <w:rFonts w:ascii="宋体"/>
                <w:snapToGrid w:val="0"/>
                <w:color w:val="auto"/>
                <w:sz w:val="22"/>
                <w:highlight w:val="none"/>
              </w:rPr>
            </w:pPr>
            <w:r>
              <w:rPr>
                <w:rFonts w:hint="eastAsia" w:ascii="宋体"/>
                <w:snapToGrid w:val="0"/>
                <w:color w:val="auto"/>
                <w:sz w:val="22"/>
                <w:highlight w:val="none"/>
              </w:rPr>
              <w:t>投标文件的盖章：投标文件中所涉及的加盖公章均采用CA电子签章。</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37" w:hRule="atLeast"/>
        </w:trPr>
        <w:tc>
          <w:tcPr>
            <w:tcW w:w="648"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jc w:val="center"/>
              <w:rPr>
                <w:rFonts w:hint="eastAsia" w:ascii="宋体" w:hAnsi="宋体"/>
                <w:color w:val="auto"/>
                <w:szCs w:val="21"/>
                <w:highlight w:val="none"/>
              </w:rPr>
            </w:pPr>
            <w:r>
              <w:rPr>
                <w:rFonts w:hint="eastAsia" w:ascii="宋体" w:hAnsi="宋体"/>
                <w:color w:val="auto"/>
                <w:szCs w:val="21"/>
                <w:highlight w:val="none"/>
              </w:rPr>
              <w:t>10</w:t>
            </w:r>
          </w:p>
        </w:tc>
        <w:tc>
          <w:tcPr>
            <w:tcW w:w="8820" w:type="dxa"/>
            <w:tcBorders>
              <w:top w:val="single" w:color="auto" w:sz="4" w:space="0"/>
              <w:left w:val="single" w:color="auto" w:sz="4" w:space="0"/>
              <w:bottom w:val="single" w:color="auto" w:sz="4" w:space="0"/>
              <w:right w:val="single" w:color="auto" w:sz="4" w:space="0"/>
            </w:tcBorders>
            <w:vAlign w:val="center"/>
          </w:tcPr>
          <w:p>
            <w:pPr>
              <w:spacing w:line="300" w:lineRule="exact"/>
              <w:rPr>
                <w:rFonts w:ascii="宋体"/>
                <w:snapToGrid w:val="0"/>
                <w:color w:val="auto"/>
                <w:sz w:val="22"/>
                <w:highlight w:val="none"/>
              </w:rPr>
            </w:pPr>
            <w:r>
              <w:rPr>
                <w:rFonts w:hint="eastAsia" w:ascii="宋体"/>
                <w:snapToGrid w:val="0"/>
                <w:color w:val="auto"/>
                <w:sz w:val="22"/>
                <w:highlight w:val="none"/>
              </w:rPr>
              <w:t>法定代表人或其授权代表签字或签章：本招标文件所涉及的法定代表人或其授权代表签字或签章的内容，如果投标单位没有法定代表人电子签章，涉及到法定代表人或其授权代表签字或签章的内容，投标单位可以线下签字或签章后扫描上传。</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37" w:hRule="atLeast"/>
        </w:trPr>
        <w:tc>
          <w:tcPr>
            <w:tcW w:w="648"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jc w:val="center"/>
              <w:rPr>
                <w:rFonts w:hint="eastAsia" w:ascii="宋体" w:hAnsi="宋体"/>
                <w:color w:val="auto"/>
                <w:szCs w:val="21"/>
                <w:highlight w:val="none"/>
              </w:rPr>
            </w:pPr>
            <w:r>
              <w:rPr>
                <w:rFonts w:hint="eastAsia" w:ascii="宋体" w:hAnsi="宋体"/>
                <w:color w:val="auto"/>
                <w:szCs w:val="21"/>
                <w:highlight w:val="none"/>
              </w:rPr>
              <w:t>11</w:t>
            </w:r>
          </w:p>
        </w:tc>
        <w:tc>
          <w:tcPr>
            <w:tcW w:w="8820" w:type="dxa"/>
            <w:tcBorders>
              <w:top w:val="single" w:color="auto" w:sz="4" w:space="0"/>
              <w:left w:val="single" w:color="auto" w:sz="4" w:space="0"/>
              <w:bottom w:val="single" w:color="auto" w:sz="4" w:space="0"/>
              <w:right w:val="single" w:color="auto" w:sz="4" w:space="0"/>
            </w:tcBorders>
            <w:vAlign w:val="center"/>
          </w:tcPr>
          <w:p>
            <w:pPr>
              <w:spacing w:line="300" w:lineRule="exact"/>
              <w:rPr>
                <w:rFonts w:ascii="宋体"/>
                <w:snapToGrid w:val="0"/>
                <w:color w:val="auto"/>
                <w:sz w:val="22"/>
                <w:highlight w:val="none"/>
              </w:rPr>
            </w:pPr>
            <w:r>
              <w:rPr>
                <w:rFonts w:hint="eastAsia" w:ascii="宋体"/>
                <w:snapToGrid w:val="0"/>
                <w:color w:val="auto"/>
                <w:sz w:val="22"/>
                <w:highlight w:val="none"/>
              </w:rPr>
              <w:t>投标文件份数：电子加密投标文件在线上传提交一份。</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37" w:hRule="atLeast"/>
        </w:trPr>
        <w:tc>
          <w:tcPr>
            <w:tcW w:w="648"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jc w:val="center"/>
              <w:rPr>
                <w:rFonts w:hint="eastAsia" w:ascii="宋体" w:hAnsi="宋体"/>
                <w:color w:val="auto"/>
                <w:szCs w:val="21"/>
                <w:highlight w:val="none"/>
              </w:rPr>
            </w:pPr>
            <w:r>
              <w:rPr>
                <w:rFonts w:hint="eastAsia" w:ascii="宋体" w:hAnsi="宋体"/>
                <w:color w:val="auto"/>
                <w:szCs w:val="21"/>
                <w:highlight w:val="none"/>
              </w:rPr>
              <w:t>12</w:t>
            </w:r>
          </w:p>
        </w:tc>
        <w:tc>
          <w:tcPr>
            <w:tcW w:w="8820" w:type="dxa"/>
            <w:tcBorders>
              <w:top w:val="single" w:color="auto" w:sz="4" w:space="0"/>
              <w:left w:val="single" w:color="auto" w:sz="4" w:space="0"/>
              <w:bottom w:val="single" w:color="auto" w:sz="4" w:space="0"/>
              <w:right w:val="single" w:color="auto" w:sz="4" w:space="0"/>
            </w:tcBorders>
            <w:vAlign w:val="center"/>
          </w:tcPr>
          <w:p>
            <w:pPr>
              <w:spacing w:line="300" w:lineRule="exact"/>
              <w:rPr>
                <w:rFonts w:ascii="宋体"/>
                <w:snapToGrid w:val="0"/>
                <w:color w:val="auto"/>
                <w:sz w:val="22"/>
                <w:highlight w:val="none"/>
              </w:rPr>
            </w:pPr>
            <w:r>
              <w:rPr>
                <w:rFonts w:hint="eastAsia" w:ascii="宋体"/>
                <w:snapToGrid w:val="0"/>
                <w:color w:val="auto"/>
                <w:sz w:val="22"/>
                <w:highlight w:val="none"/>
              </w:rPr>
              <w:t>投标文件的上传和提交：本项目通过“</w:t>
            </w:r>
            <w:r>
              <w:rPr>
                <w:rFonts w:ascii="宋体"/>
                <w:snapToGrid w:val="0"/>
                <w:color w:val="auto"/>
                <w:sz w:val="22"/>
                <w:highlight w:val="none"/>
                <w:lang w:val="en"/>
              </w:rPr>
              <w:t>广西政府采购云平台（http://www.gcy.zfcg.gxzf.gov.cn）</w:t>
            </w:r>
            <w:r>
              <w:rPr>
                <w:rFonts w:ascii="宋体"/>
                <w:snapToGrid w:val="0"/>
                <w:color w:val="auto"/>
                <w:sz w:val="22"/>
                <w:highlight w:val="none"/>
              </w:rPr>
              <w:t>”实行在线投标响应（电子投标），投标供应商应当在投标截止时间前，将生成的“电子加密投标文件”上传提交至“</w:t>
            </w:r>
            <w:r>
              <w:rPr>
                <w:rFonts w:hint="eastAsia" w:ascii="宋体"/>
                <w:snapToGrid w:val="0"/>
                <w:color w:val="auto"/>
                <w:sz w:val="22"/>
                <w:highlight w:val="none"/>
              </w:rPr>
              <w:t>广西政府采购云平台</w:t>
            </w:r>
            <w:r>
              <w:rPr>
                <w:rFonts w:ascii="宋体"/>
                <w:snapToGrid w:val="0"/>
                <w:color w:val="auto"/>
                <w:sz w:val="22"/>
                <w:highlight w:val="none"/>
              </w:rPr>
              <w:t>”。</w:t>
            </w:r>
          </w:p>
          <w:p>
            <w:pPr>
              <w:spacing w:line="300" w:lineRule="exact"/>
              <w:rPr>
                <w:rFonts w:ascii="宋体"/>
                <w:snapToGrid w:val="0"/>
                <w:color w:val="auto"/>
                <w:sz w:val="22"/>
                <w:highlight w:val="none"/>
              </w:rPr>
            </w:pPr>
            <w:r>
              <w:rPr>
                <w:rFonts w:hint="eastAsia" w:ascii="宋体"/>
                <w:snapToGrid w:val="0"/>
                <w:color w:val="auto"/>
                <w:sz w:val="22"/>
                <w:highlight w:val="none"/>
              </w:rPr>
              <w:t>“电子加密投标文件”的上传、提交：</w:t>
            </w:r>
          </w:p>
          <w:p>
            <w:pPr>
              <w:spacing w:line="300" w:lineRule="exact"/>
              <w:rPr>
                <w:rFonts w:ascii="宋体"/>
                <w:snapToGrid w:val="0"/>
                <w:color w:val="auto"/>
                <w:sz w:val="22"/>
                <w:highlight w:val="none"/>
              </w:rPr>
            </w:pPr>
            <w:r>
              <w:rPr>
                <w:rFonts w:hint="eastAsia" w:ascii="宋体"/>
                <w:snapToGrid w:val="0"/>
                <w:color w:val="auto"/>
                <w:sz w:val="22"/>
                <w:highlight w:val="none"/>
              </w:rPr>
              <w:t>a.投标供应商应在投标截止时间前将“电子加密投标文件”成功上传提交至“广西政府采购云平台”，否则投标无效。</w:t>
            </w:r>
          </w:p>
          <w:p>
            <w:pPr>
              <w:spacing w:line="300" w:lineRule="exact"/>
              <w:rPr>
                <w:rFonts w:ascii="宋体"/>
                <w:snapToGrid w:val="0"/>
                <w:color w:val="auto"/>
                <w:sz w:val="22"/>
                <w:highlight w:val="none"/>
              </w:rPr>
            </w:pPr>
            <w:r>
              <w:rPr>
                <w:rFonts w:hint="eastAsia" w:ascii="宋体"/>
                <w:snapToGrid w:val="0"/>
                <w:color w:val="auto"/>
                <w:sz w:val="22"/>
                <w:highlight w:val="none"/>
              </w:rPr>
              <w:t>b.“电子加密投标文件”成功上传提交后，供应商可自行打印投标文件接收回执。</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37" w:hRule="atLeast"/>
        </w:trPr>
        <w:tc>
          <w:tcPr>
            <w:tcW w:w="648"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jc w:val="center"/>
              <w:rPr>
                <w:rFonts w:hint="eastAsia" w:ascii="宋体" w:hAnsi="宋体"/>
                <w:color w:val="auto"/>
                <w:szCs w:val="21"/>
                <w:highlight w:val="none"/>
              </w:rPr>
            </w:pPr>
            <w:r>
              <w:rPr>
                <w:rFonts w:hint="eastAsia" w:ascii="宋体" w:hAnsi="宋体"/>
                <w:color w:val="auto"/>
                <w:szCs w:val="21"/>
                <w:highlight w:val="none"/>
              </w:rPr>
              <w:t>13</w:t>
            </w:r>
          </w:p>
        </w:tc>
        <w:tc>
          <w:tcPr>
            <w:tcW w:w="8820" w:type="dxa"/>
            <w:tcBorders>
              <w:top w:val="single" w:color="auto" w:sz="4" w:space="0"/>
              <w:left w:val="single" w:color="auto" w:sz="4" w:space="0"/>
              <w:bottom w:val="single" w:color="auto" w:sz="4" w:space="0"/>
              <w:right w:val="single" w:color="auto" w:sz="4" w:space="0"/>
            </w:tcBorders>
            <w:vAlign w:val="center"/>
          </w:tcPr>
          <w:p>
            <w:pPr>
              <w:spacing w:line="300" w:lineRule="exact"/>
              <w:rPr>
                <w:rFonts w:ascii="宋体"/>
                <w:snapToGrid w:val="0"/>
                <w:color w:val="auto"/>
                <w:sz w:val="22"/>
                <w:highlight w:val="none"/>
              </w:rPr>
            </w:pPr>
            <w:r>
              <w:rPr>
                <w:rFonts w:hint="eastAsia" w:ascii="宋体"/>
                <w:snapToGrid w:val="0"/>
                <w:color w:val="auto"/>
                <w:sz w:val="22"/>
                <w:highlight w:val="none"/>
              </w:rPr>
              <w:t>电子加密投标文件的解密：</w:t>
            </w:r>
          </w:p>
          <w:p>
            <w:pPr>
              <w:spacing w:line="300" w:lineRule="exact"/>
              <w:rPr>
                <w:rFonts w:ascii="宋体"/>
                <w:snapToGrid w:val="0"/>
                <w:color w:val="auto"/>
                <w:sz w:val="22"/>
                <w:highlight w:val="none"/>
              </w:rPr>
            </w:pPr>
            <w:r>
              <w:rPr>
                <w:rFonts w:hint="eastAsia" w:ascii="宋体"/>
                <w:snapToGrid w:val="0"/>
                <w:color w:val="auto"/>
                <w:sz w:val="22"/>
                <w:highlight w:val="none"/>
              </w:rPr>
              <w:t>开标后，采购组织机构将向各投标供应商发出“电子加密投标文件”的解密通知，各投标供应商代表应当在接到解密通知后30分钟内自行完成“电子加密投标文件”的在线解密。投标供应商未在规定时间内完成解密的，系统默认自动放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37" w:hRule="atLeast"/>
        </w:trPr>
        <w:tc>
          <w:tcPr>
            <w:tcW w:w="648"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jc w:val="center"/>
              <w:rPr>
                <w:rFonts w:hint="eastAsia" w:ascii="宋体" w:hAnsi="宋体"/>
                <w:color w:val="auto"/>
                <w:szCs w:val="21"/>
                <w:highlight w:val="none"/>
              </w:rPr>
            </w:pPr>
            <w:r>
              <w:rPr>
                <w:rFonts w:hint="eastAsia" w:ascii="宋体" w:hAnsi="宋体"/>
                <w:color w:val="auto"/>
                <w:szCs w:val="21"/>
                <w:highlight w:val="none"/>
              </w:rPr>
              <w:t>14</w:t>
            </w:r>
          </w:p>
        </w:tc>
        <w:tc>
          <w:tcPr>
            <w:tcW w:w="8820" w:type="dxa"/>
            <w:tcBorders>
              <w:top w:val="single" w:color="auto" w:sz="4" w:space="0"/>
              <w:left w:val="single" w:color="auto" w:sz="4" w:space="0"/>
              <w:bottom w:val="single" w:color="auto" w:sz="4" w:space="0"/>
              <w:right w:val="single" w:color="auto" w:sz="4" w:space="0"/>
            </w:tcBorders>
            <w:vAlign w:val="center"/>
          </w:tcPr>
          <w:p>
            <w:pPr>
              <w:snapToGrid w:val="0"/>
              <w:spacing w:line="300" w:lineRule="exact"/>
              <w:rPr>
                <w:rFonts w:hint="eastAsia" w:ascii="宋体" w:hAnsi="宋体"/>
                <w:color w:val="auto"/>
                <w:szCs w:val="21"/>
                <w:highlight w:val="none"/>
              </w:rPr>
            </w:pPr>
            <w:r>
              <w:rPr>
                <w:rFonts w:hint="eastAsia" w:ascii="宋体" w:hAnsi="宋体"/>
                <w:color w:val="auto"/>
                <w:szCs w:val="21"/>
                <w:highlight w:val="none"/>
              </w:rPr>
              <w:t>投标截止时间及地点：</w:t>
            </w:r>
            <w:r>
              <w:rPr>
                <w:rFonts w:hint="eastAsia"/>
                <w:color w:val="auto"/>
                <w:highlight w:val="none"/>
              </w:rPr>
              <w:t xml:space="preserve"> </w:t>
            </w:r>
            <w:r>
              <w:rPr>
                <w:b/>
                <w:bCs/>
                <w:color w:val="auto"/>
                <w:highlight w:val="none"/>
                <w:lang w:val="en"/>
              </w:rPr>
              <w:t>202</w:t>
            </w:r>
            <w:r>
              <w:rPr>
                <w:rFonts w:hint="eastAsia"/>
                <w:b/>
                <w:bCs/>
                <w:color w:val="auto"/>
                <w:highlight w:val="none"/>
              </w:rPr>
              <w:t>6</w:t>
            </w:r>
            <w:r>
              <w:rPr>
                <w:b/>
                <w:bCs/>
                <w:color w:val="auto"/>
                <w:highlight w:val="none"/>
                <w:lang w:val="en"/>
              </w:rPr>
              <w:t>年</w:t>
            </w:r>
            <w:r>
              <w:rPr>
                <w:rFonts w:hint="eastAsia"/>
                <w:b/>
                <w:bCs/>
                <w:color w:val="auto"/>
                <w:highlight w:val="none"/>
                <w:lang w:val="en-US" w:eastAsia="zh-CN"/>
              </w:rPr>
              <w:t>9</w:t>
            </w:r>
            <w:r>
              <w:rPr>
                <w:b/>
                <w:bCs/>
                <w:color w:val="auto"/>
                <w:highlight w:val="none"/>
                <w:lang w:val="en"/>
              </w:rPr>
              <w:t>月</w:t>
            </w:r>
            <w:r>
              <w:rPr>
                <w:rFonts w:hint="eastAsia"/>
                <w:b/>
                <w:bCs/>
                <w:color w:val="auto"/>
                <w:highlight w:val="none"/>
                <w:lang w:val="en-US" w:eastAsia="zh-CN"/>
              </w:rPr>
              <w:t>23</w:t>
            </w:r>
            <w:r>
              <w:rPr>
                <w:b/>
                <w:bCs/>
                <w:color w:val="auto"/>
                <w:highlight w:val="none"/>
                <w:lang w:val="en"/>
              </w:rPr>
              <w:t>日</w:t>
            </w:r>
            <w:r>
              <w:rPr>
                <w:rFonts w:hint="eastAsia"/>
                <w:b/>
                <w:color w:val="auto"/>
                <w:highlight w:val="none"/>
              </w:rPr>
              <w:t>上午10时整，</w:t>
            </w:r>
            <w:r>
              <w:rPr>
                <w:rFonts w:ascii="宋体" w:hAnsi="宋体" w:cs="Arial"/>
                <w:b/>
                <w:color w:val="auto"/>
                <w:szCs w:val="21"/>
                <w:highlight w:val="none"/>
                <w:u w:val="single"/>
                <w:lang w:val="en"/>
              </w:rPr>
              <w:t>南宁市星湖路22号</w:t>
            </w:r>
            <w:r>
              <w:rPr>
                <w:rFonts w:hint="eastAsia" w:ascii="宋体" w:hAnsi="宋体" w:cs="Arial"/>
                <w:b/>
                <w:color w:val="auto"/>
                <w:szCs w:val="21"/>
                <w:highlight w:val="none"/>
                <w:u w:val="single"/>
              </w:rPr>
              <w:t>广西壮族自治区政府采购中心开标大厅</w:t>
            </w:r>
            <w:r>
              <w:rPr>
                <w:rFonts w:hint="eastAsia"/>
                <w:b/>
                <w:color w:val="auto"/>
                <w:highlight w:val="none"/>
                <w:u w:val="single"/>
              </w:rPr>
              <w:t>。</w:t>
            </w:r>
            <w:r>
              <w:rPr>
                <w:rFonts w:hint="eastAsia"/>
                <w:b/>
                <w:color w:val="auto"/>
                <w:highlight w:val="none"/>
              </w:rPr>
              <w:t>（</w:t>
            </w:r>
            <w:r>
              <w:rPr>
                <w:rFonts w:hint="eastAsia" w:ascii="宋体"/>
                <w:color w:val="auto"/>
                <w:sz w:val="22"/>
                <w:highlight w:val="none"/>
              </w:rPr>
              <w:t>本项目采用在线开评标方式，投标供应商无须前往开标现场</w:t>
            </w:r>
            <w:r>
              <w:rPr>
                <w:rFonts w:hint="eastAsia"/>
                <w:b/>
                <w:color w:val="auto"/>
                <w:highlight w:val="none"/>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37" w:hRule="atLeast"/>
        </w:trPr>
        <w:tc>
          <w:tcPr>
            <w:tcW w:w="648"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jc w:val="center"/>
              <w:rPr>
                <w:rFonts w:hint="eastAsia" w:ascii="宋体" w:hAnsi="宋体"/>
                <w:color w:val="auto"/>
                <w:szCs w:val="21"/>
                <w:highlight w:val="none"/>
              </w:rPr>
            </w:pPr>
            <w:r>
              <w:rPr>
                <w:rFonts w:hint="eastAsia" w:ascii="宋体" w:hAnsi="宋体"/>
                <w:color w:val="auto"/>
                <w:szCs w:val="21"/>
                <w:highlight w:val="none"/>
              </w:rPr>
              <w:t>15</w:t>
            </w:r>
          </w:p>
        </w:tc>
        <w:tc>
          <w:tcPr>
            <w:tcW w:w="8820" w:type="dxa"/>
            <w:tcBorders>
              <w:top w:val="single" w:color="auto" w:sz="4" w:space="0"/>
              <w:left w:val="single" w:color="auto" w:sz="4" w:space="0"/>
              <w:bottom w:val="single" w:color="auto" w:sz="4" w:space="0"/>
              <w:right w:val="single" w:color="auto" w:sz="4" w:space="0"/>
            </w:tcBorders>
            <w:vAlign w:val="center"/>
          </w:tcPr>
          <w:p>
            <w:pPr>
              <w:snapToGrid w:val="0"/>
              <w:spacing w:line="300" w:lineRule="exact"/>
              <w:rPr>
                <w:rFonts w:hint="eastAsia" w:ascii="宋体" w:hAnsi="宋体"/>
                <w:color w:val="auto"/>
                <w:szCs w:val="21"/>
                <w:highlight w:val="none"/>
              </w:rPr>
            </w:pPr>
            <w:r>
              <w:rPr>
                <w:rFonts w:hint="eastAsia" w:ascii="宋体" w:hAnsi="宋体"/>
                <w:color w:val="auto"/>
                <w:szCs w:val="21"/>
                <w:highlight w:val="none"/>
              </w:rPr>
              <w:t>开标时间及地点：</w:t>
            </w:r>
            <w:r>
              <w:rPr>
                <w:rFonts w:hint="eastAsia"/>
                <w:b/>
                <w:bCs/>
                <w:color w:val="auto"/>
                <w:highlight w:val="none"/>
              </w:rPr>
              <w:t xml:space="preserve"> </w:t>
            </w:r>
            <w:r>
              <w:rPr>
                <w:b/>
                <w:bCs/>
                <w:color w:val="auto"/>
                <w:highlight w:val="none"/>
                <w:lang w:val="en"/>
              </w:rPr>
              <w:t>202</w:t>
            </w:r>
            <w:r>
              <w:rPr>
                <w:rFonts w:hint="eastAsia"/>
                <w:b/>
                <w:bCs/>
                <w:color w:val="auto"/>
                <w:highlight w:val="none"/>
              </w:rPr>
              <w:t>6</w:t>
            </w:r>
            <w:r>
              <w:rPr>
                <w:b/>
                <w:bCs/>
                <w:color w:val="auto"/>
                <w:highlight w:val="none"/>
                <w:lang w:val="en"/>
              </w:rPr>
              <w:t>年</w:t>
            </w:r>
            <w:r>
              <w:rPr>
                <w:rFonts w:hint="eastAsia"/>
                <w:b/>
                <w:bCs/>
                <w:color w:val="auto"/>
                <w:highlight w:val="none"/>
                <w:lang w:val="en-US" w:eastAsia="zh-CN"/>
              </w:rPr>
              <w:t>9</w:t>
            </w:r>
            <w:r>
              <w:rPr>
                <w:b/>
                <w:bCs/>
                <w:color w:val="auto"/>
                <w:highlight w:val="none"/>
                <w:lang w:val="en"/>
              </w:rPr>
              <w:t>月</w:t>
            </w:r>
            <w:r>
              <w:rPr>
                <w:rFonts w:hint="eastAsia"/>
                <w:b/>
                <w:bCs/>
                <w:color w:val="auto"/>
                <w:highlight w:val="none"/>
                <w:lang w:val="en-US" w:eastAsia="zh-CN"/>
              </w:rPr>
              <w:t>23</w:t>
            </w:r>
            <w:r>
              <w:rPr>
                <w:b/>
                <w:bCs/>
                <w:color w:val="auto"/>
                <w:highlight w:val="none"/>
                <w:lang w:val="en"/>
              </w:rPr>
              <w:t>日</w:t>
            </w:r>
            <w:r>
              <w:rPr>
                <w:rFonts w:hint="eastAsia"/>
                <w:b/>
                <w:color w:val="auto"/>
                <w:highlight w:val="none"/>
              </w:rPr>
              <w:t>上午10时整，</w:t>
            </w:r>
            <w:r>
              <w:rPr>
                <w:rFonts w:ascii="宋体" w:hAnsi="宋体" w:cs="Arial"/>
                <w:b/>
                <w:color w:val="auto"/>
                <w:szCs w:val="21"/>
                <w:highlight w:val="none"/>
                <w:u w:val="single"/>
                <w:lang w:val="en"/>
              </w:rPr>
              <w:t>南宁市星湖路22号</w:t>
            </w:r>
            <w:r>
              <w:rPr>
                <w:rFonts w:hint="eastAsia" w:ascii="宋体" w:hAnsi="宋体" w:cs="Arial"/>
                <w:b/>
                <w:color w:val="auto"/>
                <w:szCs w:val="21"/>
                <w:highlight w:val="none"/>
                <w:u w:val="single"/>
              </w:rPr>
              <w:t>广西壮族自治区政府采购中心开标大厅</w:t>
            </w:r>
            <w:r>
              <w:rPr>
                <w:rFonts w:hint="eastAsia"/>
                <w:b/>
                <w:color w:val="auto"/>
                <w:highlight w:val="none"/>
                <w:u w:val="single"/>
              </w:rPr>
              <w:t>。</w:t>
            </w:r>
            <w:r>
              <w:rPr>
                <w:rFonts w:hint="eastAsia"/>
                <w:b/>
                <w:color w:val="auto"/>
                <w:highlight w:val="none"/>
              </w:rPr>
              <w:t>（</w:t>
            </w:r>
            <w:r>
              <w:rPr>
                <w:rFonts w:hint="eastAsia" w:ascii="宋体"/>
                <w:color w:val="auto"/>
                <w:sz w:val="22"/>
                <w:highlight w:val="none"/>
              </w:rPr>
              <w:t>本项目采用在线开评标方式，投标供应商无须前往开标现场</w:t>
            </w:r>
            <w:r>
              <w:rPr>
                <w:rFonts w:hint="eastAsia"/>
                <w:b/>
                <w:color w:val="auto"/>
                <w:highlight w:val="none"/>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37" w:hRule="atLeast"/>
        </w:trPr>
        <w:tc>
          <w:tcPr>
            <w:tcW w:w="648"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jc w:val="center"/>
              <w:rPr>
                <w:rFonts w:hint="eastAsia" w:ascii="宋体" w:hAnsi="宋体"/>
                <w:color w:val="auto"/>
                <w:szCs w:val="21"/>
                <w:highlight w:val="none"/>
              </w:rPr>
            </w:pPr>
            <w:r>
              <w:rPr>
                <w:rFonts w:hint="eastAsia" w:ascii="宋体" w:hAnsi="宋体"/>
                <w:color w:val="auto"/>
                <w:szCs w:val="21"/>
                <w:highlight w:val="none"/>
              </w:rPr>
              <w:t>16</w:t>
            </w:r>
          </w:p>
        </w:tc>
        <w:tc>
          <w:tcPr>
            <w:tcW w:w="8820" w:type="dxa"/>
            <w:tcBorders>
              <w:top w:val="single" w:color="auto" w:sz="4" w:space="0"/>
              <w:left w:val="single" w:color="auto" w:sz="4" w:space="0"/>
              <w:bottom w:val="single" w:color="auto" w:sz="4" w:space="0"/>
              <w:right w:val="single" w:color="auto" w:sz="4" w:space="0"/>
            </w:tcBorders>
            <w:vAlign w:val="center"/>
          </w:tcPr>
          <w:p>
            <w:pPr>
              <w:autoSpaceDE w:val="0"/>
              <w:autoSpaceDN w:val="0"/>
              <w:snapToGrid w:val="0"/>
              <w:spacing w:line="360" w:lineRule="exact"/>
              <w:textAlignment w:val="bottom"/>
              <w:rPr>
                <w:rFonts w:hint="eastAsia" w:ascii="宋体" w:hAnsi="宋体"/>
                <w:color w:val="auto"/>
                <w:szCs w:val="21"/>
                <w:highlight w:val="none"/>
              </w:rPr>
            </w:pPr>
            <w:r>
              <w:rPr>
                <w:rFonts w:ascii="宋体" w:hAnsi="宋体"/>
                <w:color w:val="auto"/>
                <w:szCs w:val="21"/>
                <w:highlight w:val="none"/>
                <w:lang w:val="en"/>
              </w:rPr>
              <w:t>评标</w:t>
            </w:r>
            <w:r>
              <w:rPr>
                <w:rFonts w:hint="eastAsia" w:ascii="宋体" w:hAnsi="宋体"/>
                <w:color w:val="auto"/>
                <w:szCs w:val="21"/>
                <w:highlight w:val="none"/>
                <w:lang w:val="en"/>
              </w:rPr>
              <w:t>方</w:t>
            </w:r>
            <w:r>
              <w:rPr>
                <w:rFonts w:ascii="宋体" w:hAnsi="宋体"/>
                <w:color w:val="auto"/>
                <w:szCs w:val="21"/>
                <w:highlight w:val="none"/>
                <w:lang w:val="en"/>
              </w:rPr>
              <w:t>法</w:t>
            </w:r>
            <w:r>
              <w:rPr>
                <w:rFonts w:hint="eastAsia" w:ascii="宋体" w:hAnsi="宋体"/>
                <w:color w:val="auto"/>
                <w:szCs w:val="21"/>
                <w:highlight w:val="none"/>
              </w:rPr>
              <w:t>：综合评分法</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37" w:hRule="atLeast"/>
        </w:trPr>
        <w:tc>
          <w:tcPr>
            <w:tcW w:w="648"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jc w:val="center"/>
              <w:rPr>
                <w:rFonts w:hint="eastAsia" w:ascii="宋体" w:hAnsi="宋体"/>
                <w:color w:val="auto"/>
                <w:szCs w:val="21"/>
                <w:highlight w:val="none"/>
              </w:rPr>
            </w:pPr>
            <w:r>
              <w:rPr>
                <w:rFonts w:hint="eastAsia" w:ascii="宋体" w:hAnsi="宋体"/>
                <w:color w:val="auto"/>
                <w:szCs w:val="21"/>
                <w:highlight w:val="none"/>
              </w:rPr>
              <w:t>17</w:t>
            </w:r>
          </w:p>
        </w:tc>
        <w:tc>
          <w:tcPr>
            <w:tcW w:w="8820" w:type="dxa"/>
            <w:tcBorders>
              <w:top w:val="single" w:color="auto" w:sz="4" w:space="0"/>
              <w:left w:val="single" w:color="auto" w:sz="4" w:space="0"/>
              <w:bottom w:val="single" w:color="auto" w:sz="4" w:space="0"/>
              <w:right w:val="single" w:color="auto" w:sz="4" w:space="0"/>
            </w:tcBorders>
            <w:vAlign w:val="center"/>
          </w:tcPr>
          <w:p>
            <w:pPr>
              <w:autoSpaceDE w:val="0"/>
              <w:autoSpaceDN w:val="0"/>
              <w:snapToGrid w:val="0"/>
              <w:spacing w:line="300" w:lineRule="exact"/>
              <w:textAlignment w:val="bottom"/>
              <w:rPr>
                <w:rFonts w:hint="eastAsia" w:ascii="宋体" w:hAnsi="宋体"/>
                <w:color w:val="auto"/>
                <w:szCs w:val="21"/>
                <w:highlight w:val="none"/>
              </w:rPr>
            </w:pPr>
            <w:r>
              <w:rPr>
                <w:rFonts w:hint="eastAsia" w:ascii="宋体" w:hAnsi="宋体"/>
                <w:color w:val="auto"/>
                <w:szCs w:val="21"/>
                <w:highlight w:val="none"/>
              </w:rPr>
              <w:t>中标公告及中标通知书：本中心在采购人依法确认中标人后二个工作日内发布中标公告和中标通知书，中标公告发布于上述媒体</w:t>
            </w:r>
            <w:r>
              <w:rPr>
                <w:rFonts w:hint="eastAsia" w:ascii="宋体" w:hAnsi="宋体" w:cs="Courier New"/>
                <w:color w:val="auto"/>
                <w:szCs w:val="21"/>
                <w:highlight w:val="none"/>
              </w:rPr>
              <w:t>（详细见公告中公布的网站）</w:t>
            </w:r>
            <w:r>
              <w:rPr>
                <w:rFonts w:hint="eastAsia" w:ascii="宋体" w:hAnsi="宋体"/>
                <w:color w:val="auto"/>
                <w:szCs w:val="21"/>
                <w:highlight w:val="none"/>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37" w:hRule="atLeast"/>
        </w:trPr>
        <w:tc>
          <w:tcPr>
            <w:tcW w:w="648"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jc w:val="center"/>
              <w:rPr>
                <w:rFonts w:hint="eastAsia" w:ascii="宋体" w:hAnsi="宋体"/>
                <w:color w:val="auto"/>
                <w:szCs w:val="21"/>
                <w:highlight w:val="none"/>
              </w:rPr>
            </w:pPr>
            <w:r>
              <w:rPr>
                <w:rFonts w:hint="eastAsia" w:ascii="宋体" w:hAnsi="宋体"/>
                <w:color w:val="auto"/>
                <w:szCs w:val="21"/>
                <w:highlight w:val="none"/>
              </w:rPr>
              <w:t>18</w:t>
            </w:r>
          </w:p>
        </w:tc>
        <w:tc>
          <w:tcPr>
            <w:tcW w:w="8820" w:type="dxa"/>
            <w:tcBorders>
              <w:top w:val="single" w:color="auto" w:sz="4" w:space="0"/>
              <w:left w:val="single" w:color="auto" w:sz="4" w:space="0"/>
              <w:bottom w:val="single" w:color="auto" w:sz="4" w:space="0"/>
              <w:right w:val="single" w:color="auto" w:sz="4" w:space="0"/>
            </w:tcBorders>
            <w:vAlign w:val="center"/>
          </w:tcPr>
          <w:p>
            <w:pPr>
              <w:autoSpaceDE w:val="0"/>
              <w:autoSpaceDN w:val="0"/>
              <w:snapToGrid w:val="0"/>
              <w:spacing w:line="320" w:lineRule="exact"/>
              <w:textAlignment w:val="bottom"/>
              <w:rPr>
                <w:rFonts w:hint="eastAsia" w:ascii="宋体" w:hAnsi="宋体"/>
                <w:color w:val="auto"/>
                <w:szCs w:val="21"/>
                <w:highlight w:val="none"/>
              </w:rPr>
            </w:pPr>
            <w:r>
              <w:rPr>
                <w:rFonts w:hint="eastAsia" w:ascii="宋体" w:hAnsi="宋体"/>
                <w:color w:val="auto"/>
                <w:szCs w:val="21"/>
                <w:highlight w:val="none"/>
              </w:rPr>
              <w:t>采购资金来源：财政性资金。</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37" w:hRule="atLeast"/>
        </w:trPr>
        <w:tc>
          <w:tcPr>
            <w:tcW w:w="648"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jc w:val="center"/>
              <w:rPr>
                <w:rFonts w:hint="eastAsia" w:ascii="宋体" w:hAnsi="宋体"/>
                <w:color w:val="auto"/>
                <w:szCs w:val="21"/>
                <w:highlight w:val="none"/>
              </w:rPr>
            </w:pPr>
            <w:r>
              <w:rPr>
                <w:rFonts w:hint="eastAsia" w:ascii="宋体" w:hAnsi="宋体"/>
                <w:color w:val="auto"/>
                <w:szCs w:val="21"/>
                <w:highlight w:val="none"/>
              </w:rPr>
              <w:t>19</w:t>
            </w:r>
          </w:p>
        </w:tc>
        <w:tc>
          <w:tcPr>
            <w:tcW w:w="8820" w:type="dxa"/>
            <w:tcBorders>
              <w:top w:val="single" w:color="auto" w:sz="4" w:space="0"/>
              <w:left w:val="single" w:color="auto" w:sz="4" w:space="0"/>
              <w:bottom w:val="single" w:color="auto" w:sz="4" w:space="0"/>
              <w:right w:val="single" w:color="auto" w:sz="4" w:space="0"/>
            </w:tcBorders>
            <w:vAlign w:val="center"/>
          </w:tcPr>
          <w:p>
            <w:pPr>
              <w:widowControl/>
              <w:spacing w:line="400" w:lineRule="exact"/>
              <w:rPr>
                <w:rFonts w:hint="eastAsia" w:ascii="宋体" w:hAnsi="宋体" w:cs="宋体"/>
                <w:color w:val="auto"/>
                <w:kern w:val="0"/>
                <w:szCs w:val="21"/>
                <w:highlight w:val="none"/>
              </w:rPr>
            </w:pPr>
            <w:r>
              <w:rPr>
                <w:rFonts w:hint="eastAsia" w:ascii="宋体" w:hAnsi="宋体"/>
                <w:color w:val="auto"/>
                <w:szCs w:val="21"/>
                <w:highlight w:val="none"/>
              </w:rPr>
              <w:t>付款方式：</w:t>
            </w:r>
            <w:r>
              <w:rPr>
                <w:rFonts w:hint="eastAsia" w:ascii="宋体" w:hAnsi="宋体" w:cs="宋体"/>
                <w:color w:val="auto"/>
                <w:kern w:val="0"/>
                <w:szCs w:val="21"/>
                <w:highlight w:val="none"/>
              </w:rPr>
              <w:t>见招标项目采购需求。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37" w:hRule="atLeast"/>
        </w:trPr>
        <w:tc>
          <w:tcPr>
            <w:tcW w:w="648"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jc w:val="center"/>
              <w:rPr>
                <w:rFonts w:hint="eastAsia" w:ascii="宋体" w:hAnsi="宋体"/>
                <w:color w:val="auto"/>
                <w:szCs w:val="21"/>
                <w:highlight w:val="none"/>
              </w:rPr>
            </w:pPr>
            <w:r>
              <w:rPr>
                <w:rFonts w:hint="eastAsia" w:ascii="宋体" w:hAnsi="宋体"/>
                <w:color w:val="auto"/>
                <w:szCs w:val="21"/>
                <w:highlight w:val="none"/>
              </w:rPr>
              <w:t>20</w:t>
            </w:r>
          </w:p>
        </w:tc>
        <w:tc>
          <w:tcPr>
            <w:tcW w:w="8820"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rPr>
                <w:rFonts w:hint="eastAsia" w:ascii="宋体" w:hAnsi="宋体"/>
                <w:color w:val="auto"/>
                <w:szCs w:val="21"/>
                <w:highlight w:val="none"/>
              </w:rPr>
            </w:pPr>
            <w:r>
              <w:rPr>
                <w:rFonts w:hint="eastAsia" w:ascii="宋体" w:hAnsi="宋体"/>
                <w:color w:val="auto"/>
                <w:szCs w:val="21"/>
                <w:highlight w:val="none"/>
              </w:rPr>
              <w:t>投标文件有效期：</w:t>
            </w:r>
            <w:r>
              <w:rPr>
                <w:rFonts w:hint="eastAsia" w:ascii="宋体" w:hAnsi="宋体" w:cs="Arial"/>
                <w:color w:val="auto"/>
                <w:szCs w:val="21"/>
                <w:highlight w:val="none"/>
                <w:u w:val="single"/>
              </w:rPr>
              <w:t xml:space="preserve"> 六十日。</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37" w:hRule="atLeast"/>
        </w:trPr>
        <w:tc>
          <w:tcPr>
            <w:tcW w:w="648"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jc w:val="center"/>
              <w:rPr>
                <w:rFonts w:hint="eastAsia" w:ascii="宋体" w:hAnsi="宋体"/>
                <w:color w:val="auto"/>
                <w:szCs w:val="21"/>
                <w:highlight w:val="none"/>
                <w:lang w:val="en"/>
              </w:rPr>
            </w:pPr>
            <w:r>
              <w:rPr>
                <w:rFonts w:ascii="宋体" w:hAnsi="宋体"/>
                <w:color w:val="auto"/>
                <w:szCs w:val="21"/>
                <w:highlight w:val="none"/>
                <w:lang w:val="en"/>
              </w:rPr>
              <w:t>21</w:t>
            </w:r>
          </w:p>
        </w:tc>
        <w:tc>
          <w:tcPr>
            <w:tcW w:w="8820"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b/>
                <w:bCs/>
                <w:snapToGrid w:val="0"/>
                <w:color w:val="auto"/>
                <w:szCs w:val="21"/>
                <w:highlight w:val="none"/>
              </w:rPr>
            </w:pPr>
            <w:r>
              <w:rPr>
                <w:rFonts w:hint="eastAsia" w:ascii="宋体" w:hAnsi="宋体"/>
                <w:b/>
                <w:bCs/>
                <w:snapToGrid w:val="0"/>
                <w:color w:val="auto"/>
                <w:szCs w:val="21"/>
                <w:highlight w:val="none"/>
              </w:rPr>
              <w:t>对招标文件、采购过程或者中标结果的质疑由采购人接收或采购代理机构代为接收，由采购人负责答复。</w:t>
            </w:r>
          </w:p>
          <w:p>
            <w:pPr>
              <w:rPr>
                <w:rFonts w:hint="eastAsia" w:ascii="宋体" w:hAnsi="宋体"/>
                <w:b/>
                <w:bCs/>
                <w:snapToGrid w:val="0"/>
                <w:color w:val="auto"/>
                <w:szCs w:val="21"/>
                <w:highlight w:val="none"/>
              </w:rPr>
            </w:pPr>
            <w:r>
              <w:rPr>
                <w:rFonts w:hint="eastAsia" w:ascii="宋体" w:hAnsi="宋体"/>
                <w:b/>
                <w:bCs/>
                <w:snapToGrid w:val="0"/>
                <w:color w:val="auto"/>
                <w:szCs w:val="21"/>
                <w:highlight w:val="none"/>
              </w:rPr>
              <w:t>接收质疑函方式：以书面形式。</w:t>
            </w:r>
          </w:p>
          <w:p>
            <w:pPr>
              <w:rPr>
                <w:rFonts w:hint="eastAsia" w:ascii="宋体" w:hAnsi="宋体"/>
                <w:b/>
                <w:bCs/>
                <w:snapToGrid w:val="0"/>
                <w:color w:val="auto"/>
                <w:szCs w:val="21"/>
                <w:highlight w:val="none"/>
              </w:rPr>
            </w:pPr>
            <w:r>
              <w:rPr>
                <w:rFonts w:hint="eastAsia" w:ascii="宋体" w:hAnsi="宋体"/>
                <w:b/>
                <w:bCs/>
                <w:snapToGrid w:val="0"/>
                <w:color w:val="auto"/>
                <w:szCs w:val="21"/>
                <w:highlight w:val="none"/>
              </w:rPr>
              <w:t>质疑联系部门及联系方式：</w:t>
            </w:r>
          </w:p>
          <w:p>
            <w:pPr>
              <w:rPr>
                <w:rFonts w:hint="eastAsia" w:ascii="宋体" w:hAnsi="宋体"/>
                <w:b/>
                <w:bCs/>
                <w:snapToGrid w:val="0"/>
                <w:color w:val="auto"/>
                <w:szCs w:val="21"/>
                <w:highlight w:val="none"/>
              </w:rPr>
            </w:pPr>
            <w:r>
              <w:rPr>
                <w:rFonts w:hint="eastAsia" w:ascii="宋体" w:hAnsi="宋体"/>
                <w:b/>
                <w:bCs/>
                <w:snapToGrid w:val="0"/>
                <w:color w:val="auto"/>
                <w:szCs w:val="21"/>
                <w:highlight w:val="none"/>
              </w:rPr>
              <w:t xml:space="preserve">（1）广西壮族自治区政府采购中心内审科     </w:t>
            </w:r>
          </w:p>
          <w:p>
            <w:pPr>
              <w:rPr>
                <w:rFonts w:hint="eastAsia" w:ascii="宋体" w:hAnsi="宋体"/>
                <w:b/>
                <w:bCs/>
                <w:snapToGrid w:val="0"/>
                <w:color w:val="auto"/>
                <w:szCs w:val="21"/>
                <w:highlight w:val="none"/>
              </w:rPr>
            </w:pPr>
            <w:r>
              <w:rPr>
                <w:rFonts w:hint="eastAsia" w:ascii="宋体" w:hAnsi="宋体"/>
                <w:b/>
                <w:bCs/>
                <w:snapToGrid w:val="0"/>
                <w:color w:val="auto"/>
                <w:szCs w:val="21"/>
                <w:highlight w:val="none"/>
              </w:rPr>
              <w:t>电话：0771-8600453</w:t>
            </w:r>
          </w:p>
          <w:p>
            <w:pPr>
              <w:rPr>
                <w:rFonts w:hint="eastAsia" w:ascii="宋体" w:hAnsi="宋体"/>
                <w:b/>
                <w:bCs/>
                <w:snapToGrid w:val="0"/>
                <w:color w:val="auto"/>
                <w:szCs w:val="21"/>
                <w:highlight w:val="none"/>
              </w:rPr>
            </w:pPr>
            <w:r>
              <w:rPr>
                <w:rFonts w:hint="eastAsia" w:ascii="宋体" w:hAnsi="宋体"/>
                <w:b/>
                <w:bCs/>
                <w:snapToGrid w:val="0"/>
                <w:color w:val="auto"/>
                <w:szCs w:val="21"/>
                <w:highlight w:val="none"/>
              </w:rPr>
              <w:t>地址：广西南宁市星湖路22号</w:t>
            </w:r>
          </w:p>
          <w:p>
            <w:pPr>
              <w:rPr>
                <w:rFonts w:hint="eastAsia" w:ascii="宋体" w:hAnsi="宋体"/>
                <w:b/>
                <w:bCs/>
                <w:snapToGrid w:val="0"/>
                <w:color w:val="auto"/>
                <w:szCs w:val="21"/>
                <w:highlight w:val="none"/>
                <w:lang w:val="en"/>
              </w:rPr>
            </w:pPr>
            <w:r>
              <w:rPr>
                <w:rFonts w:hint="eastAsia" w:ascii="宋体" w:hAnsi="宋体"/>
                <w:b/>
                <w:bCs/>
                <w:snapToGrid w:val="0"/>
                <w:color w:val="auto"/>
                <w:szCs w:val="21"/>
                <w:highlight w:val="none"/>
              </w:rPr>
              <w:t>（2）</w:t>
            </w:r>
            <w:r>
              <w:rPr>
                <w:rFonts w:hint="eastAsia"/>
                <w:color w:val="auto"/>
                <w:highlight w:val="none"/>
              </w:rPr>
              <w:t>广西壮族自治区医疗保障局</w:t>
            </w:r>
          </w:p>
          <w:p>
            <w:pPr>
              <w:rPr>
                <w:rFonts w:hint="eastAsia" w:ascii="宋体" w:hAnsi="宋体"/>
                <w:b/>
                <w:bCs/>
                <w:snapToGrid w:val="0"/>
                <w:color w:val="auto"/>
                <w:szCs w:val="21"/>
                <w:highlight w:val="none"/>
              </w:rPr>
            </w:pPr>
            <w:r>
              <w:rPr>
                <w:rFonts w:hint="eastAsia" w:ascii="宋体" w:hAnsi="宋体"/>
                <w:b/>
                <w:bCs/>
                <w:snapToGrid w:val="0"/>
                <w:color w:val="auto"/>
                <w:szCs w:val="21"/>
                <w:highlight w:val="none"/>
              </w:rPr>
              <w:t>电话：</w:t>
            </w:r>
            <w:r>
              <w:rPr>
                <w:rFonts w:hint="eastAsia"/>
                <w:color w:val="auto"/>
                <w:highlight w:val="none"/>
              </w:rPr>
              <w:t>0771-</w:t>
            </w:r>
            <w:r>
              <w:rPr>
                <w:color w:val="auto"/>
                <w:highlight w:val="none"/>
              </w:rPr>
              <w:t>5893831</w:t>
            </w:r>
          </w:p>
          <w:p>
            <w:pPr>
              <w:rPr>
                <w:rFonts w:hint="eastAsia" w:ascii="宋体" w:hAnsi="宋体"/>
                <w:b/>
                <w:bCs/>
                <w:snapToGrid w:val="0"/>
                <w:color w:val="auto"/>
                <w:szCs w:val="21"/>
                <w:highlight w:val="none"/>
              </w:rPr>
            </w:pPr>
            <w:r>
              <w:rPr>
                <w:rFonts w:hint="eastAsia" w:ascii="宋体" w:hAnsi="宋体"/>
                <w:b/>
                <w:bCs/>
                <w:snapToGrid w:val="0"/>
                <w:color w:val="auto"/>
                <w:szCs w:val="21"/>
                <w:highlight w:val="none"/>
              </w:rPr>
              <w:t>地址：</w:t>
            </w:r>
            <w:r>
              <w:rPr>
                <w:rFonts w:hint="eastAsia"/>
                <w:color w:val="auto"/>
                <w:highlight w:val="none"/>
              </w:rPr>
              <w:t xml:space="preserve">广西南宁市星湖路26号 </w:t>
            </w:r>
          </w:p>
          <w:p>
            <w:pPr>
              <w:rPr>
                <w:rFonts w:hint="eastAsia" w:ascii="宋体" w:hAnsi="宋体"/>
                <w:color w:val="auto"/>
                <w:szCs w:val="21"/>
                <w:highlight w:val="none"/>
              </w:rPr>
            </w:pPr>
            <w:r>
              <w:rPr>
                <w:rFonts w:hint="eastAsia" w:ascii="宋体" w:hAnsi="宋体"/>
                <w:b/>
                <w:bCs/>
                <w:snapToGrid w:val="0"/>
                <w:color w:val="auto"/>
                <w:szCs w:val="21"/>
                <w:highlight w:val="none"/>
              </w:rPr>
              <w:t>现场提交质疑办理业务时间：质疑期内每个工作日采购人或采购代理机构正常工作时间，其中采购代理机构为9：00到12：00，14：00到17：00</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37" w:hRule="atLeast"/>
        </w:trPr>
        <w:tc>
          <w:tcPr>
            <w:tcW w:w="648"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jc w:val="center"/>
              <w:rPr>
                <w:rFonts w:hint="eastAsia" w:ascii="宋体" w:hAnsi="宋体"/>
                <w:color w:val="auto"/>
                <w:szCs w:val="21"/>
                <w:highlight w:val="none"/>
                <w:lang w:val="en"/>
              </w:rPr>
            </w:pPr>
            <w:r>
              <w:rPr>
                <w:rFonts w:hint="eastAsia" w:ascii="宋体" w:hAnsi="宋体"/>
                <w:color w:val="auto"/>
                <w:szCs w:val="21"/>
                <w:highlight w:val="none"/>
              </w:rPr>
              <w:t>2</w:t>
            </w:r>
            <w:r>
              <w:rPr>
                <w:rFonts w:ascii="宋体" w:hAnsi="宋体"/>
                <w:color w:val="auto"/>
                <w:szCs w:val="21"/>
                <w:highlight w:val="none"/>
                <w:lang w:val="en"/>
              </w:rPr>
              <w:t>2</w:t>
            </w:r>
          </w:p>
        </w:tc>
        <w:tc>
          <w:tcPr>
            <w:tcW w:w="8820"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rPr>
                <w:rFonts w:hint="eastAsia" w:ascii="宋体" w:hAnsi="宋体"/>
                <w:color w:val="auto"/>
                <w:szCs w:val="21"/>
                <w:highlight w:val="none"/>
              </w:rPr>
            </w:pPr>
            <w:r>
              <w:rPr>
                <w:rFonts w:hint="eastAsia" w:hAnsi="宋体"/>
                <w:color w:val="auto"/>
                <w:highlight w:val="none"/>
              </w:rPr>
              <w:t>本招标文件解释权属广西壮族自治区政府采购中心。</w:t>
            </w:r>
          </w:p>
        </w:tc>
      </w:tr>
    </w:tbl>
    <w:p>
      <w:pPr>
        <w:pStyle w:val="29"/>
        <w:snapToGrid w:val="0"/>
        <w:spacing w:before="120" w:after="120" w:line="360" w:lineRule="exact"/>
        <w:jc w:val="center"/>
        <w:rPr>
          <w:rFonts w:ascii="仿宋_GB2312" w:eastAsia="仿宋_GB2312"/>
          <w:b/>
          <w:color w:val="auto"/>
          <w:sz w:val="32"/>
          <w:szCs w:val="32"/>
          <w:highlight w:val="none"/>
        </w:rPr>
      </w:pPr>
    </w:p>
    <w:p>
      <w:pPr>
        <w:pStyle w:val="29"/>
        <w:snapToGrid w:val="0"/>
        <w:spacing w:before="120" w:after="120" w:line="360" w:lineRule="exact"/>
        <w:jc w:val="center"/>
        <w:rPr>
          <w:b/>
          <w:color w:val="auto"/>
          <w:highlight w:val="none"/>
        </w:rPr>
      </w:pPr>
      <w:r>
        <w:rPr>
          <w:rFonts w:ascii="仿宋_GB2312" w:eastAsia="仿宋_GB2312"/>
          <w:b/>
          <w:color w:val="auto"/>
          <w:sz w:val="32"/>
          <w:szCs w:val="32"/>
          <w:highlight w:val="none"/>
        </w:rPr>
        <w:br w:type="page"/>
      </w:r>
      <w:r>
        <w:rPr>
          <w:rFonts w:hint="eastAsia" w:ascii="仿宋_GB2312" w:eastAsia="仿宋_GB2312"/>
          <w:b/>
          <w:color w:val="auto"/>
          <w:sz w:val="32"/>
          <w:szCs w:val="32"/>
          <w:highlight w:val="none"/>
        </w:rPr>
        <w:t>投标人须知</w:t>
      </w:r>
    </w:p>
    <w:p>
      <w:pPr>
        <w:pStyle w:val="29"/>
        <w:snapToGrid w:val="0"/>
        <w:spacing w:before="120" w:after="120" w:line="360" w:lineRule="exact"/>
        <w:rPr>
          <w:b/>
          <w:color w:val="auto"/>
          <w:highlight w:val="none"/>
        </w:rPr>
      </w:pPr>
      <w:r>
        <w:rPr>
          <w:rFonts w:hint="eastAsia"/>
          <w:b/>
          <w:color w:val="auto"/>
          <w:highlight w:val="none"/>
        </w:rPr>
        <w:t>一、总  则</w:t>
      </w:r>
    </w:p>
    <w:p>
      <w:pPr>
        <w:snapToGrid w:val="0"/>
        <w:spacing w:line="360" w:lineRule="exact"/>
        <w:ind w:firstLine="411" w:firstLineChars="196"/>
        <w:jc w:val="left"/>
        <w:outlineLvl w:val="1"/>
        <w:rPr>
          <w:rFonts w:ascii="宋体"/>
          <w:color w:val="auto"/>
          <w:szCs w:val="21"/>
          <w:highlight w:val="none"/>
        </w:rPr>
      </w:pPr>
      <w:r>
        <w:rPr>
          <w:rFonts w:hint="eastAsia" w:ascii="宋体"/>
          <w:color w:val="auto"/>
          <w:szCs w:val="21"/>
          <w:highlight w:val="none"/>
        </w:rPr>
        <w:t>（一） 适用范围</w:t>
      </w:r>
    </w:p>
    <w:p>
      <w:pPr>
        <w:snapToGrid w:val="0"/>
        <w:spacing w:line="360" w:lineRule="exact"/>
        <w:ind w:firstLine="420" w:firstLineChars="200"/>
        <w:jc w:val="left"/>
        <w:rPr>
          <w:rFonts w:ascii="宋体"/>
          <w:color w:val="auto"/>
          <w:szCs w:val="21"/>
          <w:highlight w:val="none"/>
        </w:rPr>
      </w:pPr>
      <w:r>
        <w:rPr>
          <w:rFonts w:hint="eastAsia" w:ascii="宋体"/>
          <w:color w:val="auto"/>
          <w:szCs w:val="21"/>
          <w:highlight w:val="none"/>
        </w:rPr>
        <w:t>本招标文件适用本项目的招标、投标、评标、定标、验收、合同履约、付款等行为（法律、法规另有规定的，从其规定）。</w:t>
      </w:r>
    </w:p>
    <w:p>
      <w:pPr>
        <w:snapToGrid w:val="0"/>
        <w:spacing w:before="156" w:beforeLines="50" w:line="360" w:lineRule="exact"/>
        <w:ind w:firstLine="309" w:firstLineChars="147"/>
        <w:jc w:val="left"/>
        <w:outlineLvl w:val="0"/>
        <w:rPr>
          <w:b/>
          <w:color w:val="auto"/>
          <w:highlight w:val="none"/>
        </w:rPr>
      </w:pPr>
      <w:r>
        <w:rPr>
          <w:rFonts w:hint="eastAsia"/>
          <w:b/>
          <w:color w:val="auto"/>
          <w:highlight w:val="none"/>
        </w:rPr>
        <w:t>（二）定义</w:t>
      </w:r>
    </w:p>
    <w:p>
      <w:pPr>
        <w:snapToGrid w:val="0"/>
        <w:spacing w:line="360" w:lineRule="exact"/>
        <w:ind w:firstLine="420" w:firstLineChars="200"/>
        <w:jc w:val="left"/>
        <w:rPr>
          <w:rFonts w:hint="eastAsia" w:hAnsi="宋体"/>
          <w:color w:val="auto"/>
          <w:highlight w:val="none"/>
        </w:rPr>
      </w:pPr>
      <w:r>
        <w:rPr>
          <w:rFonts w:hint="eastAsia" w:ascii="宋体" w:hAnsi="宋体"/>
          <w:color w:val="auto"/>
          <w:szCs w:val="21"/>
          <w:highlight w:val="none"/>
        </w:rPr>
        <w:t>1.</w:t>
      </w:r>
      <w:r>
        <w:rPr>
          <w:rFonts w:hint="eastAsia" w:hAnsi="宋体"/>
          <w:color w:val="auto"/>
          <w:highlight w:val="none"/>
        </w:rPr>
        <w:t xml:space="preserve"> “采购人”系指组织本次招标的采购单位。</w:t>
      </w:r>
    </w:p>
    <w:p>
      <w:pPr>
        <w:snapToGrid w:val="0"/>
        <w:spacing w:line="36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2.</w:t>
      </w:r>
      <w:r>
        <w:rPr>
          <w:rFonts w:hint="eastAsia" w:hAnsi="宋体"/>
          <w:color w:val="auto"/>
          <w:highlight w:val="none"/>
        </w:rPr>
        <w:t xml:space="preserve"> “采购代理机构”系指广西壮族自治区政府采购中心（以下简称“本中心</w:t>
      </w:r>
      <w:r>
        <w:rPr>
          <w:rFonts w:hAnsi="宋体"/>
          <w:color w:val="auto"/>
          <w:highlight w:val="none"/>
        </w:rPr>
        <w:t>”</w:t>
      </w:r>
      <w:r>
        <w:rPr>
          <w:rFonts w:hint="eastAsia" w:hAnsi="宋体"/>
          <w:color w:val="auto"/>
          <w:highlight w:val="none"/>
        </w:rPr>
        <w:t>）。</w:t>
      </w:r>
    </w:p>
    <w:p>
      <w:pPr>
        <w:snapToGrid w:val="0"/>
        <w:spacing w:line="36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3.</w:t>
      </w:r>
      <w:r>
        <w:rPr>
          <w:rFonts w:hint="eastAsia" w:hAnsi="宋体"/>
          <w:color w:val="auto"/>
          <w:highlight w:val="none"/>
        </w:rPr>
        <w:t xml:space="preserve"> “投标人”系指响应招标、参加投标竞争的法人、其他组织或者自然人。</w:t>
      </w:r>
    </w:p>
    <w:p>
      <w:pPr>
        <w:snapToGrid w:val="0"/>
        <w:spacing w:line="36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4. “产品”系指供方按招标文件规定，须向采购人提供的一切设备、保险、税金、备品备件、工具、手册及其它有关技术资料和材料。</w:t>
      </w:r>
    </w:p>
    <w:p>
      <w:pPr>
        <w:snapToGrid w:val="0"/>
        <w:spacing w:line="36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5.“服务”系指招标文件规定投标人须承担的安装、调试、技术协助、校准、培训、技术指导以及其他类似的义务。</w:t>
      </w:r>
    </w:p>
    <w:p>
      <w:pPr>
        <w:snapToGrid w:val="0"/>
        <w:spacing w:line="36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6.“项目”系指投标人按招标文件规定向采购人提供的产品和服务。</w:t>
      </w:r>
    </w:p>
    <w:p>
      <w:pPr>
        <w:snapToGrid w:val="0"/>
        <w:spacing w:line="36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7.“书面形式”包括信函、传真、电报等。</w:t>
      </w:r>
    </w:p>
    <w:p>
      <w:pPr>
        <w:snapToGrid w:val="0"/>
        <w:spacing w:line="36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8.“▲”系指在投标人须知中的实质性要求条款。</w:t>
      </w:r>
    </w:p>
    <w:p>
      <w:pPr>
        <w:snapToGrid w:val="0"/>
        <w:spacing w:before="156" w:beforeLines="50" w:line="360" w:lineRule="exact"/>
        <w:ind w:firstLine="413" w:firstLineChars="196"/>
        <w:jc w:val="left"/>
        <w:outlineLvl w:val="1"/>
        <w:rPr>
          <w:rFonts w:ascii="宋体"/>
          <w:b/>
          <w:color w:val="auto"/>
          <w:szCs w:val="21"/>
          <w:highlight w:val="none"/>
        </w:rPr>
      </w:pPr>
      <w:r>
        <w:rPr>
          <w:rFonts w:hint="eastAsia" w:ascii="宋体"/>
          <w:b/>
          <w:color w:val="auto"/>
          <w:szCs w:val="21"/>
          <w:highlight w:val="none"/>
        </w:rPr>
        <w:t>（三）招标方式</w:t>
      </w:r>
    </w:p>
    <w:p>
      <w:pPr>
        <w:snapToGrid w:val="0"/>
        <w:spacing w:line="360" w:lineRule="exact"/>
        <w:ind w:firstLine="420" w:firstLineChars="200"/>
        <w:jc w:val="left"/>
        <w:rPr>
          <w:rFonts w:ascii="宋体"/>
          <w:color w:val="auto"/>
          <w:szCs w:val="21"/>
          <w:highlight w:val="none"/>
        </w:rPr>
      </w:pPr>
      <w:r>
        <w:rPr>
          <w:rFonts w:hint="eastAsia" w:ascii="宋体"/>
          <w:color w:val="auto"/>
          <w:szCs w:val="21"/>
          <w:highlight w:val="none"/>
        </w:rPr>
        <w:t>公开招标方式。</w:t>
      </w:r>
    </w:p>
    <w:p>
      <w:pPr>
        <w:snapToGrid w:val="0"/>
        <w:spacing w:before="156" w:beforeLines="50" w:line="360" w:lineRule="exact"/>
        <w:ind w:firstLine="413" w:firstLineChars="196"/>
        <w:jc w:val="left"/>
        <w:outlineLvl w:val="0"/>
        <w:rPr>
          <w:rFonts w:ascii="宋体"/>
          <w:b/>
          <w:color w:val="auto"/>
          <w:szCs w:val="21"/>
          <w:highlight w:val="none"/>
        </w:rPr>
      </w:pPr>
      <w:r>
        <w:rPr>
          <w:rFonts w:hint="eastAsia" w:ascii="宋体"/>
          <w:b/>
          <w:color w:val="auto"/>
          <w:szCs w:val="21"/>
          <w:highlight w:val="none"/>
        </w:rPr>
        <w:t>（四）投标委托</w:t>
      </w:r>
    </w:p>
    <w:p>
      <w:pPr>
        <w:pStyle w:val="22"/>
        <w:snapToGrid w:val="0"/>
        <w:spacing w:line="360" w:lineRule="exact"/>
        <w:ind w:firstLine="420" w:firstLineChars="200"/>
        <w:jc w:val="left"/>
        <w:rPr>
          <w:rFonts w:ascii="宋体" w:eastAsia="宋体"/>
          <w:color w:val="auto"/>
          <w:sz w:val="21"/>
          <w:szCs w:val="21"/>
          <w:highlight w:val="none"/>
        </w:rPr>
      </w:pPr>
      <w:r>
        <w:rPr>
          <w:rFonts w:hint="eastAsia" w:ascii="宋体" w:hAnsi="宋体" w:eastAsia="宋体"/>
          <w:color w:val="auto"/>
          <w:sz w:val="21"/>
          <w:szCs w:val="21"/>
          <w:highlight w:val="none"/>
        </w:rPr>
        <w:t>如投标人代表不是法定代表人(负责人)，须有法定代表人(负责人)出具的授权委托书，格式见第六章《投标文件格式》。</w:t>
      </w:r>
    </w:p>
    <w:p>
      <w:pPr>
        <w:snapToGrid w:val="0"/>
        <w:spacing w:before="156" w:beforeLines="50" w:line="360" w:lineRule="exact"/>
        <w:ind w:firstLine="413" w:firstLineChars="196"/>
        <w:jc w:val="left"/>
        <w:outlineLvl w:val="0"/>
        <w:rPr>
          <w:rFonts w:ascii="宋体"/>
          <w:b/>
          <w:color w:val="auto"/>
          <w:szCs w:val="21"/>
          <w:highlight w:val="none"/>
        </w:rPr>
      </w:pPr>
      <w:r>
        <w:rPr>
          <w:rFonts w:hint="eastAsia" w:ascii="宋体"/>
          <w:b/>
          <w:color w:val="auto"/>
          <w:szCs w:val="21"/>
          <w:highlight w:val="none"/>
        </w:rPr>
        <w:t>（五）投标费用</w:t>
      </w:r>
    </w:p>
    <w:p>
      <w:pPr>
        <w:snapToGrid w:val="0"/>
        <w:spacing w:line="360" w:lineRule="exact"/>
        <w:ind w:firstLine="420" w:firstLineChars="200"/>
        <w:jc w:val="left"/>
        <w:rPr>
          <w:rFonts w:ascii="宋体"/>
          <w:color w:val="auto"/>
          <w:szCs w:val="21"/>
          <w:highlight w:val="none"/>
        </w:rPr>
      </w:pPr>
      <w:r>
        <w:rPr>
          <w:rFonts w:hint="eastAsia" w:ascii="宋体"/>
          <w:color w:val="auto"/>
          <w:szCs w:val="21"/>
          <w:highlight w:val="none"/>
        </w:rPr>
        <w:t>投标人均应自行承担所有与投标有关的全部费用（招标文件有相关的规定除外）。</w:t>
      </w:r>
    </w:p>
    <w:p>
      <w:pPr>
        <w:snapToGrid w:val="0"/>
        <w:spacing w:line="360" w:lineRule="exact"/>
        <w:ind w:firstLine="421" w:firstLineChars="200"/>
        <w:jc w:val="left"/>
        <w:rPr>
          <w:rFonts w:ascii="宋体"/>
          <w:b/>
          <w:color w:val="auto"/>
          <w:szCs w:val="21"/>
          <w:highlight w:val="none"/>
        </w:rPr>
      </w:pPr>
      <w:r>
        <w:rPr>
          <w:rFonts w:hint="eastAsia" w:ascii="宋体"/>
          <w:b/>
          <w:color w:val="auto"/>
          <w:szCs w:val="21"/>
          <w:highlight w:val="none"/>
        </w:rPr>
        <w:t>（六）</w:t>
      </w:r>
      <w:r>
        <w:rPr>
          <w:rFonts w:hint="eastAsia"/>
          <w:b/>
          <w:color w:val="auto"/>
          <w:highlight w:val="none"/>
        </w:rPr>
        <w:t>本项目不接受联合体投标</w:t>
      </w:r>
    </w:p>
    <w:p>
      <w:pPr>
        <w:snapToGrid w:val="0"/>
        <w:spacing w:before="156" w:beforeLines="50" w:line="360" w:lineRule="exact"/>
        <w:ind w:firstLine="413" w:firstLineChars="196"/>
        <w:outlineLvl w:val="0"/>
        <w:rPr>
          <w:rFonts w:ascii="宋体" w:cs="宋体"/>
          <w:b/>
          <w:color w:val="auto"/>
          <w:kern w:val="0"/>
          <w:szCs w:val="21"/>
          <w:highlight w:val="none"/>
        </w:rPr>
      </w:pPr>
      <w:r>
        <w:rPr>
          <w:rFonts w:hint="eastAsia" w:ascii="宋体"/>
          <w:b/>
          <w:color w:val="auto"/>
          <w:szCs w:val="21"/>
          <w:highlight w:val="none"/>
        </w:rPr>
        <w:t>（七）</w:t>
      </w:r>
      <w:r>
        <w:rPr>
          <w:rFonts w:hint="eastAsia" w:ascii="宋体" w:cs="宋体"/>
          <w:b/>
          <w:color w:val="auto"/>
          <w:kern w:val="0"/>
          <w:szCs w:val="21"/>
          <w:highlight w:val="none"/>
        </w:rPr>
        <w:t>转包与分包</w:t>
      </w:r>
    </w:p>
    <w:p>
      <w:pPr>
        <w:snapToGrid w:val="0"/>
        <w:spacing w:line="360" w:lineRule="exact"/>
        <w:ind w:firstLine="420" w:firstLineChars="200"/>
        <w:rPr>
          <w:rFonts w:ascii="宋体" w:cs="宋体"/>
          <w:color w:val="auto"/>
          <w:kern w:val="0"/>
          <w:szCs w:val="21"/>
          <w:highlight w:val="none"/>
        </w:rPr>
      </w:pPr>
      <w:r>
        <w:rPr>
          <w:rFonts w:hint="eastAsia" w:ascii="宋体" w:cs="宋体"/>
          <w:color w:val="auto"/>
          <w:kern w:val="0"/>
          <w:szCs w:val="21"/>
          <w:highlight w:val="none"/>
        </w:rPr>
        <w:t>1.本项目不允许转包。</w:t>
      </w:r>
    </w:p>
    <w:p>
      <w:pPr>
        <w:snapToGrid w:val="0"/>
        <w:spacing w:line="360" w:lineRule="exact"/>
        <w:ind w:firstLine="420" w:firstLineChars="200"/>
        <w:rPr>
          <w:rFonts w:ascii="宋体"/>
          <w:color w:val="auto"/>
          <w:szCs w:val="21"/>
          <w:highlight w:val="none"/>
        </w:rPr>
      </w:pPr>
      <w:r>
        <w:rPr>
          <w:rFonts w:hint="eastAsia" w:ascii="宋体" w:cs="宋体"/>
          <w:color w:val="auto"/>
          <w:kern w:val="0"/>
          <w:szCs w:val="21"/>
          <w:highlight w:val="none"/>
        </w:rPr>
        <w:t>2.本项目不可以分包。</w:t>
      </w:r>
    </w:p>
    <w:p>
      <w:pPr>
        <w:snapToGrid w:val="0"/>
        <w:spacing w:before="156" w:beforeLines="50" w:line="360" w:lineRule="exact"/>
        <w:ind w:firstLine="413" w:firstLineChars="196"/>
        <w:jc w:val="left"/>
        <w:outlineLvl w:val="0"/>
        <w:rPr>
          <w:rFonts w:hint="eastAsia" w:ascii="宋体" w:hAnsi="宋体"/>
          <w:b/>
          <w:color w:val="auto"/>
          <w:szCs w:val="21"/>
          <w:highlight w:val="none"/>
        </w:rPr>
      </w:pPr>
      <w:r>
        <w:rPr>
          <w:rFonts w:hint="eastAsia" w:ascii="宋体" w:hAnsi="宋体"/>
          <w:b/>
          <w:color w:val="auto"/>
          <w:szCs w:val="21"/>
          <w:highlight w:val="none"/>
        </w:rPr>
        <w:t>（八）特别说明：</w:t>
      </w:r>
    </w:p>
    <w:p>
      <w:pPr>
        <w:snapToGrid w:val="0"/>
        <w:spacing w:line="360" w:lineRule="exact"/>
        <w:ind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▲1.单位负责人为同一人或者存在直接控股、管理关系的不同供应商，不得参加同一合同项下的政府采购活动。</w:t>
      </w:r>
    </w:p>
    <w:p>
      <w:pPr>
        <w:snapToGrid w:val="0"/>
        <w:spacing w:line="360" w:lineRule="exact"/>
        <w:ind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▲2.</w:t>
      </w:r>
      <w:r>
        <w:rPr>
          <w:rFonts w:hint="eastAsia" w:ascii="宋体" w:hAnsi="宋体"/>
          <w:color w:val="auto"/>
          <w:szCs w:val="21"/>
          <w:highlight w:val="none"/>
        </w:rPr>
        <w:t>使用综合评分法的采购项目，</w:t>
      </w:r>
      <w:r>
        <w:rPr>
          <w:rFonts w:hint="eastAsia"/>
          <w:color w:val="auto"/>
          <w:highlight w:val="none"/>
        </w:rPr>
        <w:t>提供相同品牌产品且通过资格审查、符合性审查的不同投标人参加同一合同项下投标的，按一家投标人计算，评审后得分最高的同品牌投标人获得中标人推荐资格；评审得分相同的，由采购人或者采购人委托评标委员会按照《</w:t>
      </w:r>
      <w:r>
        <w:rPr>
          <w:rFonts w:hint="eastAsia"/>
          <w:color w:val="auto"/>
          <w:highlight w:val="none"/>
          <w:lang w:val="en"/>
        </w:rPr>
        <w:t>评标方法</w:t>
      </w:r>
      <w:r>
        <w:rPr>
          <w:color w:val="auto"/>
          <w:highlight w:val="none"/>
          <w:lang w:val="en"/>
        </w:rPr>
        <w:t>及评分标准</w:t>
      </w:r>
      <w:r>
        <w:rPr>
          <w:rFonts w:hint="eastAsia"/>
          <w:color w:val="auto"/>
          <w:highlight w:val="none"/>
        </w:rPr>
        <w:t>》中的推荐原则确定一个投标人获得中标人推荐资格，其他同品牌投标人不作为中标候选人。</w:t>
      </w:r>
    </w:p>
    <w:p>
      <w:pPr>
        <w:rPr>
          <w:rFonts w:hint="eastAsia" w:ascii="宋体" w:hAnsi="宋体" w:cs="宋体"/>
          <w:color w:val="auto"/>
          <w:kern w:val="0"/>
          <w:szCs w:val="21"/>
          <w:highlight w:val="none"/>
        </w:rPr>
      </w:pPr>
      <w:r>
        <w:rPr>
          <w:rFonts w:hint="eastAsia" w:ascii="宋体" w:hAnsi="宋体" w:cs="宋体"/>
          <w:color w:val="auto"/>
          <w:kern w:val="0"/>
          <w:szCs w:val="21"/>
          <w:highlight w:val="none"/>
        </w:rPr>
        <w:t xml:space="preserve">    非单一产品采购项目中，多家投标人提供的招标文件中载明的核心产品品牌相同的，视为提供相同品牌产品。</w:t>
      </w:r>
    </w:p>
    <w:p>
      <w:pPr>
        <w:snapToGrid w:val="0"/>
        <w:spacing w:line="360" w:lineRule="exact"/>
        <w:ind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▲3.投标人应仔细阅读招标文件的所有内容，按照招标文件的要求提交投标文件，并对所提供的全部资料的真实性承担法律责任。</w:t>
      </w:r>
    </w:p>
    <w:p>
      <w:pPr>
        <w:snapToGrid w:val="0"/>
        <w:spacing w:line="360" w:lineRule="exact"/>
        <w:ind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▲4.投标人在投标活动中提供任何虚假材料、互相串通投标，其投标无效，并报监管部门查处。</w:t>
      </w:r>
    </w:p>
    <w:p>
      <w:pPr>
        <w:pStyle w:val="29"/>
        <w:snapToGrid w:val="0"/>
        <w:spacing w:line="360" w:lineRule="exact"/>
        <w:ind w:left="2" w:leftChars="1" w:firstLine="420" w:firstLineChars="200"/>
        <w:rPr>
          <w:rFonts w:hint="eastAsia" w:hAnsi="宋体" w:cs="宋体"/>
          <w:color w:val="auto"/>
          <w:kern w:val="0"/>
          <w:highlight w:val="none"/>
        </w:rPr>
      </w:pPr>
      <w:r>
        <w:rPr>
          <w:rFonts w:hint="eastAsia" w:hAnsi="宋体" w:cs="宋体"/>
          <w:color w:val="auto"/>
          <w:kern w:val="0"/>
          <w:highlight w:val="none"/>
        </w:rPr>
        <w:t>▲5.投标截止时间前三天，报名登记的供应商不足三家的，本中心将延迟截标和开标时间不少于十日，并书面通知已报名登记的供应商，并在财政部门指定的政府采购信息发布媒体及本中心网站上发布变更公告。</w:t>
      </w:r>
    </w:p>
    <w:p>
      <w:pPr>
        <w:pStyle w:val="69"/>
        <w:rPr>
          <w:rFonts w:hint="eastAsia" w:hAnsi="宋体"/>
          <w:color w:val="auto"/>
          <w:sz w:val="21"/>
          <w:szCs w:val="21"/>
          <w:highlight w:val="none"/>
        </w:rPr>
      </w:pPr>
      <w:r>
        <w:rPr>
          <w:rFonts w:hint="eastAsia" w:hAnsi="宋体"/>
          <w:color w:val="auto"/>
          <w:szCs w:val="21"/>
          <w:highlight w:val="none"/>
        </w:rPr>
        <w:t xml:space="preserve">  </w:t>
      </w:r>
      <w:r>
        <w:rPr>
          <w:rFonts w:hint="eastAsia" w:hAnsi="宋体"/>
          <w:color w:val="auto"/>
          <w:sz w:val="21"/>
          <w:szCs w:val="21"/>
          <w:highlight w:val="none"/>
        </w:rPr>
        <w:t xml:space="preserve"> ▲6.中小企业价格评审优惠：根据《政府采购促进中小企业发展管理办法》（财库〔2020〕46号）的规定，非专门面向中小企业采购：对符合条件的小型、微型企业（以下简称“中小企业”）的报价给予价格扣除优惠，扣除比例详见评标方法及评分标准。投标人如申请享受此项价格扣除，必须按本文件“投标文件格式”要求，填写并提交《中小企业声明函》。未提交或提交不符合要求的，不享受扣除，按其原报价计算价格分。</w:t>
      </w:r>
    </w:p>
    <w:p>
      <w:pPr>
        <w:snapToGrid w:val="0"/>
        <w:spacing w:line="360" w:lineRule="exact"/>
        <w:ind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7.本国产品价格扣除：根据《国务院办公厅关于在政府采购中实施本国产品标准及相关政策的通知》（国办发〔2025〕34号），在政府采购活动中既有本国产品又有非本国产品参与竞争的情况下，依法对本国产品给予价格评审优惠。 本项目对本国产品给予价格扣除，扣除比例详见评标方法及评分标准。投标人如申请享受此项价格扣除，必须按本文件“投标文件格式”要求，填写并提交《关于符合本国产品标准的声明函》。未提交或提交不符合要求的，不享受扣除，按其原报价计算价格分。</w:t>
      </w:r>
    </w:p>
    <w:p>
      <w:pPr>
        <w:snapToGrid w:val="0"/>
        <w:spacing w:line="360" w:lineRule="exact"/>
        <w:ind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▲8. 异常低价投标的风险警示：为维护公平竞争和项目质量，评标委员会将对疑似异常低价的投标进行认定。若投标人的报价被认定为异常低价且无法在合理期限内证明其报价合理性的，其投标将被视为无效投标。具体认定标准和处理程序，详见“评标程序”及“评标方法及评分标准”。</w:t>
      </w:r>
    </w:p>
    <w:p>
      <w:pPr>
        <w:pStyle w:val="29"/>
        <w:snapToGrid w:val="0"/>
        <w:spacing w:line="360" w:lineRule="exact"/>
        <w:ind w:firstLine="309" w:firstLineChars="147"/>
        <w:outlineLvl w:val="0"/>
        <w:rPr>
          <w:b/>
          <w:bCs/>
          <w:color w:val="auto"/>
          <w:highlight w:val="none"/>
        </w:rPr>
      </w:pPr>
      <w:r>
        <w:rPr>
          <w:rFonts w:hint="eastAsia"/>
          <w:b/>
          <w:bCs/>
          <w:color w:val="auto"/>
          <w:highlight w:val="none"/>
        </w:rPr>
        <w:t>（九）</w:t>
      </w:r>
      <w:r>
        <w:rPr>
          <w:rFonts w:hint="eastAsia"/>
          <w:b/>
          <w:color w:val="auto"/>
          <w:highlight w:val="none"/>
        </w:rPr>
        <w:t>询问、质疑和投诉</w:t>
      </w:r>
    </w:p>
    <w:p>
      <w:pPr>
        <w:pStyle w:val="29"/>
        <w:snapToGrid w:val="0"/>
        <w:spacing w:line="360" w:lineRule="exact"/>
        <w:ind w:firstLine="420" w:firstLineChars="200"/>
        <w:rPr>
          <w:color w:val="auto"/>
          <w:highlight w:val="none"/>
        </w:rPr>
      </w:pPr>
      <w:r>
        <w:rPr>
          <w:rFonts w:hint="eastAsia"/>
          <w:color w:val="auto"/>
          <w:highlight w:val="none"/>
        </w:rPr>
        <w:t>1．投标人对政府采购活动事项有疑问的，可以向采购人、采购代理机构提出询问。</w:t>
      </w:r>
    </w:p>
    <w:p>
      <w:pPr>
        <w:pStyle w:val="29"/>
        <w:snapToGrid w:val="0"/>
        <w:spacing w:line="360" w:lineRule="exact"/>
        <w:ind w:firstLine="420" w:firstLineChars="200"/>
        <w:rPr>
          <w:color w:val="auto"/>
          <w:highlight w:val="none"/>
        </w:rPr>
      </w:pPr>
      <w:r>
        <w:rPr>
          <w:rFonts w:hint="eastAsia"/>
          <w:color w:val="auto"/>
          <w:highlight w:val="none"/>
        </w:rPr>
        <w:t>2.投标人认为招标文件、招标过程或中标结果使自己的合法权益受到损害的，应当在知道或者应知其权益受到损害之日起七个工作日内，以书面形式向采购人提出质疑。具体计算时间如下：</w:t>
      </w:r>
    </w:p>
    <w:p>
      <w:pPr>
        <w:pStyle w:val="29"/>
        <w:snapToGrid w:val="0"/>
        <w:spacing w:line="360" w:lineRule="exact"/>
        <w:ind w:firstLine="309" w:firstLineChars="147"/>
        <w:rPr>
          <w:bCs/>
          <w:color w:val="auto"/>
          <w:highlight w:val="none"/>
        </w:rPr>
      </w:pPr>
      <w:r>
        <w:rPr>
          <w:rFonts w:hint="eastAsia"/>
          <w:b/>
          <w:color w:val="auto"/>
          <w:highlight w:val="none"/>
        </w:rPr>
        <w:t>（一）对可以质疑的招标采购文件提出质疑的，为收到采购文件之日；</w:t>
      </w:r>
    </w:p>
    <w:p>
      <w:pPr>
        <w:widowControl/>
        <w:spacing w:line="360" w:lineRule="exact"/>
        <w:jc w:val="left"/>
        <w:rPr>
          <w:rFonts w:ascii="宋体" w:cs="Courier New"/>
          <w:b/>
          <w:color w:val="auto"/>
          <w:szCs w:val="21"/>
          <w:highlight w:val="none"/>
        </w:rPr>
      </w:pPr>
      <w:r>
        <w:rPr>
          <w:rFonts w:hint="eastAsia" w:ascii="宋体" w:cs="Courier New"/>
          <w:color w:val="auto"/>
          <w:szCs w:val="21"/>
          <w:highlight w:val="none"/>
        </w:rPr>
        <w:t xml:space="preserve">　 </w:t>
      </w:r>
      <w:r>
        <w:rPr>
          <w:rFonts w:hint="eastAsia" w:ascii="宋体" w:cs="Courier New"/>
          <w:b/>
          <w:color w:val="auto"/>
          <w:szCs w:val="21"/>
          <w:highlight w:val="none"/>
        </w:rPr>
        <w:t>（二）对招标采购过程提出质疑的，为各采购程序环节结束之日；</w:t>
      </w:r>
    </w:p>
    <w:p>
      <w:pPr>
        <w:widowControl/>
        <w:spacing w:line="360" w:lineRule="exact"/>
        <w:ind w:firstLine="309" w:firstLineChars="147"/>
        <w:jc w:val="left"/>
        <w:rPr>
          <w:rFonts w:ascii="宋体" w:cs="Courier New"/>
          <w:b/>
          <w:color w:val="auto"/>
          <w:szCs w:val="21"/>
          <w:highlight w:val="none"/>
        </w:rPr>
      </w:pPr>
      <w:r>
        <w:rPr>
          <w:rFonts w:hint="eastAsia" w:cs="Courier New"/>
          <w:b/>
          <w:color w:val="auto"/>
          <w:szCs w:val="21"/>
          <w:highlight w:val="none"/>
        </w:rPr>
        <w:t>（三）对中标结果提出质疑的，为中标结果公告期限届满之日。投标人对采购单位的质疑答复不满意或者</w:t>
      </w:r>
      <w:r>
        <w:rPr>
          <w:rFonts w:hint="eastAsia" w:ascii="宋体" w:hAnsi="宋体" w:cs="Courier New"/>
          <w:b/>
          <w:color w:val="auto"/>
          <w:szCs w:val="21"/>
          <w:highlight w:val="none"/>
        </w:rPr>
        <w:t>采购人</w:t>
      </w:r>
      <w:r>
        <w:rPr>
          <w:rFonts w:hint="eastAsia" w:cs="Courier New"/>
          <w:b/>
          <w:color w:val="auto"/>
          <w:szCs w:val="21"/>
          <w:highlight w:val="none"/>
        </w:rPr>
        <w:t>未在规定时间内作出答复的，可以在答复期满后十五个工作日内向同级采购监管部门投诉。</w:t>
      </w:r>
    </w:p>
    <w:p>
      <w:pPr>
        <w:pStyle w:val="29"/>
        <w:snapToGrid w:val="0"/>
        <w:spacing w:line="360" w:lineRule="exact"/>
        <w:ind w:firstLine="420" w:firstLineChars="200"/>
        <w:rPr>
          <w:bCs/>
          <w:color w:val="auto"/>
          <w:highlight w:val="none"/>
        </w:rPr>
      </w:pPr>
      <w:r>
        <w:rPr>
          <w:rFonts w:hint="eastAsia"/>
          <w:bCs/>
          <w:color w:val="auto"/>
          <w:highlight w:val="none"/>
        </w:rPr>
        <w:t>3.质疑、投诉应当采用书面形式，质疑书、投诉书均应明确阐述招标采购文件、招标采购过程、中标结果中使自己合法权益受到损害的实质性内容，提供相关事实、明确的请求、必要的证明材料，便于有关单位调查、答复和处理。</w:t>
      </w:r>
    </w:p>
    <w:p>
      <w:pPr>
        <w:pStyle w:val="29"/>
        <w:spacing w:line="360" w:lineRule="exact"/>
        <w:ind w:firstLine="421" w:firstLineChars="200"/>
        <w:rPr>
          <w:b/>
          <w:color w:val="auto"/>
          <w:highlight w:val="none"/>
          <w:lang w:val="en"/>
        </w:rPr>
      </w:pPr>
      <w:r>
        <w:rPr>
          <w:b/>
          <w:color w:val="auto"/>
          <w:highlight w:val="none"/>
          <w:lang w:val="en"/>
        </w:rPr>
        <w:t>4.采购人、采购代理机构接收质疑函的方式、联系部门、联系电话和地址等信息详见“投标人须知前附表”。</w:t>
      </w:r>
    </w:p>
    <w:p>
      <w:pPr>
        <w:pStyle w:val="29"/>
        <w:snapToGrid w:val="0"/>
        <w:spacing w:line="360" w:lineRule="auto"/>
        <w:ind w:firstLine="421" w:firstLineChars="200"/>
        <w:rPr>
          <w:rFonts w:hint="eastAsia" w:hAnsi="宋体"/>
          <w:color w:val="auto"/>
          <w:highlight w:val="none"/>
        </w:rPr>
      </w:pPr>
      <w:r>
        <w:rPr>
          <w:rFonts w:hint="eastAsia"/>
          <w:b/>
          <w:color w:val="auto"/>
          <w:highlight w:val="none"/>
        </w:rPr>
        <w:t>5.</w:t>
      </w:r>
      <w:r>
        <w:rPr>
          <w:rFonts w:hint="eastAsia" w:hAnsi="宋体"/>
          <w:color w:val="auto"/>
          <w:highlight w:val="none"/>
        </w:rPr>
        <w:t>质疑供应商提起质疑应当符合下列条件：</w:t>
      </w:r>
    </w:p>
    <w:p>
      <w:pPr>
        <w:pStyle w:val="29"/>
        <w:snapToGrid w:val="0"/>
        <w:spacing w:line="360" w:lineRule="auto"/>
        <w:ind w:firstLine="420" w:firstLineChars="200"/>
        <w:rPr>
          <w:rFonts w:hint="eastAsia" w:hAnsi="宋体"/>
          <w:color w:val="auto"/>
          <w:highlight w:val="none"/>
        </w:rPr>
      </w:pPr>
      <w:r>
        <w:rPr>
          <w:rFonts w:hint="eastAsia" w:hAnsi="宋体"/>
          <w:color w:val="auto"/>
          <w:highlight w:val="none"/>
        </w:rPr>
        <w:t>（1）质疑供应商是参与所质疑项目采购活动的供应商（潜在供应商已依法获取可之一的采购文件的，可以对该采购文件质疑）；</w:t>
      </w:r>
    </w:p>
    <w:p>
      <w:pPr>
        <w:pStyle w:val="29"/>
        <w:snapToGrid w:val="0"/>
        <w:spacing w:line="360" w:lineRule="auto"/>
        <w:ind w:firstLine="420" w:firstLineChars="200"/>
        <w:rPr>
          <w:rFonts w:hint="eastAsia" w:hAnsi="宋体"/>
          <w:color w:val="auto"/>
          <w:highlight w:val="none"/>
        </w:rPr>
      </w:pPr>
      <w:r>
        <w:rPr>
          <w:rFonts w:hint="eastAsia" w:hAnsi="宋体"/>
          <w:color w:val="auto"/>
          <w:highlight w:val="none"/>
        </w:rPr>
        <w:t>（2）质疑函内容符合本章第3项的规定；</w:t>
      </w:r>
    </w:p>
    <w:p>
      <w:pPr>
        <w:pStyle w:val="29"/>
        <w:snapToGrid w:val="0"/>
        <w:spacing w:line="360" w:lineRule="auto"/>
        <w:ind w:firstLine="420" w:firstLineChars="200"/>
        <w:rPr>
          <w:rFonts w:hint="eastAsia" w:hAnsi="宋体"/>
          <w:color w:val="auto"/>
          <w:highlight w:val="none"/>
        </w:rPr>
      </w:pPr>
      <w:r>
        <w:rPr>
          <w:rFonts w:hint="eastAsia" w:hAnsi="宋体"/>
          <w:color w:val="auto"/>
          <w:highlight w:val="none"/>
        </w:rPr>
        <w:t>（3）在质疑有效期限内提起质疑；</w:t>
      </w:r>
    </w:p>
    <w:p>
      <w:pPr>
        <w:pStyle w:val="29"/>
        <w:snapToGrid w:val="0"/>
        <w:spacing w:line="360" w:lineRule="auto"/>
        <w:ind w:firstLine="420" w:firstLineChars="200"/>
        <w:rPr>
          <w:rFonts w:hint="eastAsia" w:hAnsi="宋体"/>
          <w:color w:val="auto"/>
          <w:highlight w:val="none"/>
        </w:rPr>
      </w:pPr>
      <w:r>
        <w:rPr>
          <w:rFonts w:hint="eastAsia" w:hAnsi="宋体"/>
          <w:color w:val="auto"/>
          <w:highlight w:val="none"/>
        </w:rPr>
        <w:t>（4）属于所质疑的采购人或采购人委托的采购代理机构组织的采购活动；</w:t>
      </w:r>
    </w:p>
    <w:p>
      <w:pPr>
        <w:pStyle w:val="29"/>
        <w:snapToGrid w:val="0"/>
        <w:spacing w:line="360" w:lineRule="auto"/>
        <w:ind w:firstLine="420" w:firstLineChars="200"/>
        <w:rPr>
          <w:rFonts w:hint="eastAsia" w:hAnsi="宋体"/>
          <w:color w:val="auto"/>
          <w:highlight w:val="none"/>
        </w:rPr>
      </w:pPr>
      <w:r>
        <w:rPr>
          <w:rFonts w:hint="eastAsia" w:hAnsi="宋体"/>
          <w:color w:val="auto"/>
          <w:highlight w:val="none"/>
        </w:rPr>
        <w:t xml:space="preserve">（5）同一质疑事项未经采购人或采购人委托的采购代理机构质疑处理； </w:t>
      </w:r>
    </w:p>
    <w:p>
      <w:pPr>
        <w:pStyle w:val="29"/>
        <w:snapToGrid w:val="0"/>
        <w:spacing w:line="360" w:lineRule="auto"/>
        <w:ind w:firstLine="420" w:firstLineChars="200"/>
        <w:rPr>
          <w:rFonts w:hint="eastAsia" w:hAnsi="宋体"/>
          <w:color w:val="auto"/>
          <w:highlight w:val="none"/>
        </w:rPr>
      </w:pPr>
      <w:r>
        <w:rPr>
          <w:rFonts w:hint="eastAsia" w:hAnsi="宋体"/>
          <w:color w:val="auto"/>
          <w:highlight w:val="none"/>
        </w:rPr>
        <w:t>（6）供应商对同一采购程序环节的质疑应当在质疑有效期内一次性提出；</w:t>
      </w:r>
    </w:p>
    <w:p>
      <w:pPr>
        <w:pStyle w:val="29"/>
        <w:snapToGrid w:val="0"/>
        <w:spacing w:line="360" w:lineRule="auto"/>
        <w:ind w:firstLine="420" w:firstLineChars="200"/>
        <w:rPr>
          <w:rFonts w:hint="eastAsia" w:hAnsi="宋体"/>
          <w:color w:val="auto"/>
          <w:highlight w:val="none"/>
        </w:rPr>
      </w:pPr>
      <w:r>
        <w:rPr>
          <w:rFonts w:hint="eastAsia" w:hAnsi="宋体"/>
          <w:color w:val="auto"/>
          <w:highlight w:val="none"/>
        </w:rPr>
        <w:t>（7）供应商提交质疑应当提交必要的证明材料，证明材料应以合法手段取得；</w:t>
      </w:r>
    </w:p>
    <w:p>
      <w:pPr>
        <w:pStyle w:val="29"/>
        <w:spacing w:line="360" w:lineRule="exact"/>
        <w:ind w:firstLine="420" w:firstLineChars="200"/>
        <w:rPr>
          <w:b/>
          <w:color w:val="auto"/>
          <w:highlight w:val="none"/>
        </w:rPr>
      </w:pPr>
      <w:r>
        <w:rPr>
          <w:rFonts w:hint="eastAsia" w:hAnsi="宋体"/>
          <w:color w:val="auto"/>
          <w:highlight w:val="none"/>
        </w:rPr>
        <w:t>（8）财政部门规定的其他条件。</w:t>
      </w:r>
    </w:p>
    <w:p>
      <w:pPr>
        <w:pStyle w:val="29"/>
        <w:snapToGrid w:val="0"/>
        <w:spacing w:line="360" w:lineRule="exact"/>
        <w:ind w:firstLine="413" w:firstLineChars="196"/>
        <w:outlineLvl w:val="0"/>
        <w:rPr>
          <w:b/>
          <w:color w:val="auto"/>
          <w:highlight w:val="none"/>
        </w:rPr>
      </w:pPr>
      <w:r>
        <w:rPr>
          <w:rFonts w:hint="eastAsia"/>
          <w:b/>
          <w:color w:val="auto"/>
          <w:highlight w:val="none"/>
        </w:rPr>
        <w:t>二、招标文件</w:t>
      </w:r>
    </w:p>
    <w:p>
      <w:pPr>
        <w:snapToGrid w:val="0"/>
        <w:spacing w:line="360" w:lineRule="exact"/>
        <w:ind w:firstLine="413" w:firstLineChars="196"/>
        <w:jc w:val="left"/>
        <w:outlineLvl w:val="0"/>
        <w:rPr>
          <w:rFonts w:ascii="宋体"/>
          <w:b/>
          <w:color w:val="auto"/>
          <w:szCs w:val="21"/>
          <w:highlight w:val="none"/>
        </w:rPr>
      </w:pPr>
      <w:r>
        <w:rPr>
          <w:rFonts w:hint="eastAsia" w:ascii="宋体"/>
          <w:b/>
          <w:color w:val="auto"/>
          <w:szCs w:val="21"/>
          <w:highlight w:val="none"/>
        </w:rPr>
        <w:t>（一）招标文件的构成。</w:t>
      </w:r>
    </w:p>
    <w:p>
      <w:pPr>
        <w:snapToGrid w:val="0"/>
        <w:spacing w:line="360" w:lineRule="exact"/>
        <w:ind w:firstLine="420" w:firstLineChars="200"/>
        <w:jc w:val="left"/>
        <w:rPr>
          <w:rFonts w:ascii="宋体"/>
          <w:color w:val="auto"/>
          <w:szCs w:val="21"/>
          <w:highlight w:val="none"/>
        </w:rPr>
      </w:pPr>
      <w:r>
        <w:rPr>
          <w:rFonts w:hint="eastAsia" w:ascii="宋体"/>
          <w:color w:val="auto"/>
          <w:szCs w:val="21"/>
          <w:highlight w:val="none"/>
        </w:rPr>
        <w:t>1.公开招标公告；</w:t>
      </w:r>
    </w:p>
    <w:p>
      <w:pPr>
        <w:snapToGrid w:val="0"/>
        <w:spacing w:line="360" w:lineRule="exact"/>
        <w:ind w:firstLine="420" w:firstLineChars="200"/>
        <w:jc w:val="left"/>
        <w:rPr>
          <w:rFonts w:ascii="宋体"/>
          <w:color w:val="auto"/>
          <w:szCs w:val="21"/>
          <w:highlight w:val="none"/>
        </w:rPr>
      </w:pPr>
      <w:r>
        <w:rPr>
          <w:rFonts w:hint="eastAsia" w:ascii="宋体"/>
          <w:color w:val="auto"/>
          <w:szCs w:val="21"/>
          <w:highlight w:val="none"/>
        </w:rPr>
        <w:t>2.招标项目采购需求</w:t>
      </w:r>
    </w:p>
    <w:p>
      <w:pPr>
        <w:snapToGrid w:val="0"/>
        <w:spacing w:line="360" w:lineRule="exact"/>
        <w:ind w:firstLine="420" w:firstLineChars="200"/>
        <w:jc w:val="left"/>
        <w:rPr>
          <w:rFonts w:ascii="宋体"/>
          <w:color w:val="auto"/>
          <w:szCs w:val="21"/>
          <w:highlight w:val="none"/>
        </w:rPr>
      </w:pPr>
      <w:r>
        <w:rPr>
          <w:rFonts w:hint="eastAsia" w:ascii="宋体"/>
          <w:color w:val="auto"/>
          <w:szCs w:val="21"/>
          <w:highlight w:val="none"/>
        </w:rPr>
        <w:t>3.投标人须知；</w:t>
      </w:r>
    </w:p>
    <w:p>
      <w:pPr>
        <w:snapToGrid w:val="0"/>
        <w:spacing w:line="360" w:lineRule="exact"/>
        <w:ind w:firstLine="420" w:firstLineChars="200"/>
        <w:jc w:val="left"/>
        <w:rPr>
          <w:rFonts w:ascii="宋体"/>
          <w:color w:val="auto"/>
          <w:szCs w:val="21"/>
          <w:highlight w:val="none"/>
        </w:rPr>
      </w:pPr>
      <w:r>
        <w:rPr>
          <w:rFonts w:hint="eastAsia" w:ascii="宋体"/>
          <w:color w:val="auto"/>
          <w:szCs w:val="21"/>
          <w:highlight w:val="none"/>
        </w:rPr>
        <w:t>4.</w:t>
      </w:r>
      <w:r>
        <w:rPr>
          <w:rFonts w:hint="eastAsia" w:ascii="宋体"/>
          <w:color w:val="auto"/>
          <w:szCs w:val="21"/>
          <w:highlight w:val="none"/>
          <w:lang w:val="en"/>
        </w:rPr>
        <w:t>评标方法</w:t>
      </w:r>
      <w:r>
        <w:rPr>
          <w:rFonts w:ascii="宋体"/>
          <w:color w:val="auto"/>
          <w:szCs w:val="21"/>
          <w:highlight w:val="none"/>
          <w:lang w:val="en"/>
        </w:rPr>
        <w:t>及评分标准</w:t>
      </w:r>
      <w:r>
        <w:rPr>
          <w:rFonts w:hint="eastAsia" w:ascii="宋体"/>
          <w:color w:val="auto"/>
          <w:szCs w:val="21"/>
          <w:highlight w:val="none"/>
        </w:rPr>
        <w:t>；</w:t>
      </w:r>
    </w:p>
    <w:p>
      <w:pPr>
        <w:snapToGrid w:val="0"/>
        <w:spacing w:line="360" w:lineRule="exact"/>
        <w:ind w:firstLine="420" w:firstLineChars="200"/>
        <w:jc w:val="left"/>
        <w:rPr>
          <w:rFonts w:ascii="宋体"/>
          <w:color w:val="auto"/>
          <w:szCs w:val="21"/>
          <w:highlight w:val="none"/>
        </w:rPr>
      </w:pPr>
      <w:r>
        <w:rPr>
          <w:rFonts w:hint="eastAsia" w:ascii="宋体"/>
          <w:color w:val="auto"/>
          <w:szCs w:val="21"/>
          <w:highlight w:val="none"/>
        </w:rPr>
        <w:t>5.政府采购合同主要条款；</w:t>
      </w:r>
    </w:p>
    <w:p>
      <w:pPr>
        <w:snapToGrid w:val="0"/>
        <w:spacing w:line="360" w:lineRule="exact"/>
        <w:ind w:firstLine="420" w:firstLineChars="200"/>
        <w:jc w:val="left"/>
        <w:rPr>
          <w:rFonts w:ascii="宋体"/>
          <w:color w:val="auto"/>
          <w:szCs w:val="21"/>
          <w:highlight w:val="none"/>
        </w:rPr>
      </w:pPr>
      <w:r>
        <w:rPr>
          <w:rFonts w:hint="eastAsia" w:ascii="宋体"/>
          <w:color w:val="auto"/>
          <w:szCs w:val="21"/>
          <w:highlight w:val="none"/>
        </w:rPr>
        <w:t>6.投标文件格式。</w:t>
      </w:r>
    </w:p>
    <w:p>
      <w:pPr>
        <w:snapToGrid w:val="0"/>
        <w:spacing w:before="156" w:beforeLines="50" w:line="360" w:lineRule="exact"/>
        <w:ind w:firstLine="413" w:firstLineChars="196"/>
        <w:jc w:val="left"/>
        <w:outlineLvl w:val="0"/>
        <w:rPr>
          <w:rFonts w:ascii="宋体"/>
          <w:b/>
          <w:color w:val="auto"/>
          <w:szCs w:val="21"/>
          <w:highlight w:val="none"/>
        </w:rPr>
      </w:pPr>
      <w:r>
        <w:rPr>
          <w:rFonts w:hint="eastAsia" w:ascii="宋体"/>
          <w:b/>
          <w:color w:val="auto"/>
          <w:szCs w:val="21"/>
          <w:highlight w:val="none"/>
        </w:rPr>
        <w:t>（二）投标人的风险</w:t>
      </w:r>
    </w:p>
    <w:p>
      <w:pPr>
        <w:tabs>
          <w:tab w:val="left" w:pos="180"/>
          <w:tab w:val="left" w:pos="1620"/>
        </w:tabs>
        <w:spacing w:line="400" w:lineRule="exact"/>
        <w:ind w:firstLine="420" w:firstLineChars="200"/>
        <w:rPr>
          <w:rFonts w:ascii="宋体" w:cs="Courier New"/>
          <w:color w:val="auto"/>
          <w:szCs w:val="21"/>
          <w:highlight w:val="none"/>
        </w:rPr>
      </w:pPr>
      <w:r>
        <w:rPr>
          <w:rFonts w:hint="eastAsia" w:ascii="宋体" w:hAnsi="宋体" w:cs="Courier New"/>
          <w:color w:val="auto"/>
          <w:szCs w:val="21"/>
          <w:highlight w:val="none"/>
        </w:rPr>
        <w:t>1．投标人应认真阅读招标文件，按照招标文件的要求编制投标文件。投标文件应对招标文件提出的要求和条件作出明确响应。投标人没有按照招标文件要求提供全部资料，或者投标人没有对招标文件在各方面作出明确响应是投标人的风险，并可能导致其投标被拒绝。</w:t>
      </w:r>
      <w:r>
        <w:rPr>
          <w:rFonts w:hint="eastAsia" w:ascii="宋体" w:hAnsi="宋体" w:cs="Courier New"/>
          <w:color w:val="auto"/>
          <w:szCs w:val="21"/>
          <w:highlight w:val="none"/>
        </w:rPr>
        <w:cr/>
      </w:r>
      <w:r>
        <w:rPr>
          <w:rFonts w:hint="eastAsia" w:ascii="宋体" w:hAnsi="宋体" w:cs="Courier New"/>
          <w:color w:val="auto"/>
          <w:szCs w:val="21"/>
          <w:highlight w:val="none"/>
        </w:rPr>
        <w:t xml:space="preserve">   2.对招标文件提出的实质性要求和条件作出明确响应是指投标人必须对招标文件中涉及招标项目的价格、采购货物的主要技术参数和性能配置、数量、交货（或竣工）时间、售后服务及其它要求、合同主要条款等内容作出明确响应。</w:t>
      </w:r>
      <w:r>
        <w:rPr>
          <w:rFonts w:hint="eastAsia" w:ascii="宋体" w:cs="Courier New"/>
          <w:color w:val="auto"/>
          <w:szCs w:val="21"/>
          <w:highlight w:val="none"/>
        </w:rPr>
        <w:t xml:space="preserve"> </w:t>
      </w:r>
    </w:p>
    <w:p>
      <w:pPr>
        <w:pStyle w:val="14"/>
        <w:widowControl w:val="0"/>
        <w:tabs>
          <w:tab w:val="clear" w:pos="454"/>
        </w:tabs>
        <w:snapToGrid w:val="0"/>
        <w:spacing w:before="156" w:beforeLines="50" w:afterLines="0" w:line="400" w:lineRule="exact"/>
        <w:ind w:left="0" w:firstLine="411" w:firstLineChars="196"/>
        <w:rPr>
          <w:rFonts w:ascii="宋体" w:cs="Courier New"/>
          <w:color w:val="auto"/>
          <w:kern w:val="2"/>
          <w:sz w:val="21"/>
          <w:szCs w:val="21"/>
          <w:highlight w:val="none"/>
        </w:rPr>
      </w:pPr>
      <w:r>
        <w:rPr>
          <w:rFonts w:hint="eastAsia" w:ascii="宋体" w:cs="Courier New"/>
          <w:color w:val="auto"/>
          <w:kern w:val="2"/>
          <w:sz w:val="21"/>
          <w:szCs w:val="21"/>
          <w:highlight w:val="none"/>
        </w:rPr>
        <w:t xml:space="preserve"> 3.采购货物的主要技术参数和性能配置由评标委员会在评标前评定，但不能改变实质性内容。</w:t>
      </w:r>
    </w:p>
    <w:p>
      <w:pPr>
        <w:pStyle w:val="14"/>
        <w:widowControl w:val="0"/>
        <w:tabs>
          <w:tab w:val="clear" w:pos="454"/>
        </w:tabs>
        <w:snapToGrid w:val="0"/>
        <w:spacing w:before="156" w:beforeLines="50" w:afterLines="0" w:line="360" w:lineRule="exact"/>
        <w:ind w:left="0" w:firstLine="413" w:firstLineChars="196"/>
        <w:outlineLvl w:val="0"/>
        <w:rPr>
          <w:rFonts w:ascii="宋体"/>
          <w:b/>
          <w:color w:val="auto"/>
          <w:sz w:val="21"/>
          <w:szCs w:val="21"/>
          <w:highlight w:val="none"/>
        </w:rPr>
      </w:pPr>
      <w:r>
        <w:rPr>
          <w:rFonts w:hint="eastAsia" w:ascii="宋体"/>
          <w:b/>
          <w:color w:val="auto"/>
          <w:sz w:val="21"/>
          <w:szCs w:val="21"/>
          <w:highlight w:val="none"/>
        </w:rPr>
        <w:t xml:space="preserve">（三）招标文件的澄清与修改 </w:t>
      </w:r>
    </w:p>
    <w:p>
      <w:pPr>
        <w:pStyle w:val="29"/>
        <w:snapToGrid w:val="0"/>
        <w:spacing w:line="360" w:lineRule="exact"/>
        <w:ind w:firstLine="420" w:firstLineChars="200"/>
        <w:rPr>
          <w:rFonts w:hint="eastAsia" w:hAnsi="宋体"/>
          <w:color w:val="auto"/>
          <w:highlight w:val="none"/>
        </w:rPr>
      </w:pPr>
      <w:r>
        <w:rPr>
          <w:rFonts w:hint="eastAsia" w:hAnsi="宋体"/>
          <w:color w:val="auto"/>
          <w:highlight w:val="none"/>
        </w:rPr>
        <w:t>1.</w:t>
      </w:r>
      <w:r>
        <w:rPr>
          <w:rFonts w:hint="eastAsia" w:hAnsi="宋体"/>
          <w:bCs/>
          <w:color w:val="auto"/>
          <w:highlight w:val="none"/>
        </w:rPr>
        <w:t xml:space="preserve"> 投标人应认真阅读本招标文件，发现其中有误或有不合理要求的，投标人</w:t>
      </w:r>
      <w:r>
        <w:rPr>
          <w:rFonts w:hint="eastAsia" w:hAnsi="宋体"/>
          <w:b/>
          <w:bCs/>
          <w:color w:val="auto"/>
          <w:highlight w:val="none"/>
        </w:rPr>
        <w:t>应当</w:t>
      </w:r>
      <w:r>
        <w:rPr>
          <w:rFonts w:hint="eastAsia" w:hAnsi="宋体"/>
          <w:bCs/>
          <w:color w:val="auto"/>
          <w:highlight w:val="none"/>
        </w:rPr>
        <w:t>在</w:t>
      </w:r>
      <w:r>
        <w:rPr>
          <w:rFonts w:hint="eastAsia" w:hAnsi="宋体"/>
          <w:bCs/>
          <w:color w:val="auto"/>
          <w:highlight w:val="none"/>
          <w:u w:val="single"/>
        </w:rPr>
        <w:t>“采购文件：第三章 《投标人须知及前附表》序号6”规定的时间</w:t>
      </w:r>
      <w:r>
        <w:rPr>
          <w:rFonts w:hint="eastAsia" w:hAnsi="宋体"/>
          <w:bCs/>
          <w:color w:val="auto"/>
          <w:highlight w:val="none"/>
        </w:rPr>
        <w:t>前以书面形式要求招标采购单位</w:t>
      </w:r>
      <w:r>
        <w:rPr>
          <w:rFonts w:hint="eastAsia" w:hAnsi="宋体"/>
          <w:color w:val="auto"/>
          <w:highlight w:val="none"/>
        </w:rPr>
        <w:t>答疑、澄清</w:t>
      </w:r>
      <w:r>
        <w:rPr>
          <w:rFonts w:hint="eastAsia" w:hAnsi="宋体"/>
          <w:bCs/>
          <w:color w:val="auto"/>
          <w:highlight w:val="none"/>
        </w:rPr>
        <w:t>。本中心对已发出的招标文件进行必要澄清或者修改</w:t>
      </w:r>
      <w:r>
        <w:rPr>
          <w:rFonts w:hint="eastAsia" w:hAnsi="宋体"/>
          <w:b/>
          <w:bCs/>
          <w:color w:val="auto"/>
          <w:highlight w:val="none"/>
        </w:rPr>
        <w:t>可能影响投标文件编制的</w:t>
      </w:r>
      <w:r>
        <w:rPr>
          <w:rFonts w:hint="eastAsia" w:hAnsi="宋体"/>
          <w:bCs/>
          <w:color w:val="auto"/>
          <w:highlight w:val="none"/>
        </w:rPr>
        <w:t>，应当在招标文件要求提交投标文件截止时间15日前，在财政部门指定的政府采购信息发布媒体及本中心网站上发布更正公告，并以书面形式通知所有招标文件收受人。该澄清或者修改的内容为招标文件的组成部分</w:t>
      </w:r>
      <w:r>
        <w:rPr>
          <w:rFonts w:hint="eastAsia" w:hAnsi="宋体"/>
          <w:color w:val="auto"/>
          <w:highlight w:val="none"/>
        </w:rPr>
        <w:t>。</w:t>
      </w:r>
    </w:p>
    <w:p>
      <w:pPr>
        <w:pStyle w:val="29"/>
        <w:snapToGrid w:val="0"/>
        <w:spacing w:line="360" w:lineRule="exact"/>
        <w:ind w:firstLine="420" w:firstLineChars="200"/>
        <w:rPr>
          <w:rFonts w:hint="eastAsia" w:hAnsi="宋体"/>
          <w:color w:val="auto"/>
          <w:highlight w:val="none"/>
        </w:rPr>
      </w:pPr>
      <w:r>
        <w:rPr>
          <w:rFonts w:hint="eastAsia" w:hAnsi="宋体"/>
          <w:color w:val="auto"/>
          <w:highlight w:val="none"/>
        </w:rPr>
        <w:t>2.本中心必须以书面形式答复投标人要求澄清的问题，并将不包含问题来源的答复书面通知所有报名登记的投标人；除书面答复以外的其他澄清方式及澄清内容均无效。</w:t>
      </w:r>
    </w:p>
    <w:p>
      <w:pPr>
        <w:pStyle w:val="29"/>
        <w:snapToGrid w:val="0"/>
        <w:spacing w:line="360" w:lineRule="exact"/>
        <w:ind w:firstLine="420" w:firstLineChars="200"/>
        <w:rPr>
          <w:rFonts w:hint="eastAsia" w:hAnsi="宋体"/>
          <w:color w:val="auto"/>
          <w:highlight w:val="none"/>
        </w:rPr>
      </w:pPr>
      <w:r>
        <w:rPr>
          <w:rFonts w:hint="eastAsia" w:hAnsi="宋体"/>
          <w:color w:val="auto"/>
          <w:highlight w:val="none"/>
        </w:rPr>
        <w:t>3.招标文件的答疑、澄清、修改、补充的内容为招标文件的组成部分。当招标文件与招标文件的答疑、澄清、修改、补充通知就同一内容的表述不一致时，以最后发出的书面文件为准。</w:t>
      </w:r>
    </w:p>
    <w:p>
      <w:pPr>
        <w:pStyle w:val="29"/>
        <w:snapToGrid w:val="0"/>
        <w:spacing w:line="360" w:lineRule="exact"/>
        <w:ind w:firstLine="420" w:firstLineChars="200"/>
        <w:rPr>
          <w:rFonts w:hint="eastAsia" w:hAnsi="宋体"/>
          <w:color w:val="auto"/>
          <w:highlight w:val="none"/>
        </w:rPr>
      </w:pPr>
      <w:r>
        <w:rPr>
          <w:rFonts w:hint="eastAsia" w:hAnsi="宋体"/>
          <w:color w:val="auto"/>
          <w:highlight w:val="none"/>
        </w:rPr>
        <w:t>4.招标文件的答疑、澄清、修改、补充都应该通过本中心以法定形式发布，采购人非通过本机构，不得擅自答疑、澄清、修改、补充招标文件。</w:t>
      </w:r>
    </w:p>
    <w:p>
      <w:pPr>
        <w:pStyle w:val="29"/>
        <w:snapToGrid w:val="0"/>
        <w:spacing w:line="360" w:lineRule="exact"/>
        <w:ind w:firstLine="420" w:firstLineChars="200"/>
        <w:rPr>
          <w:color w:val="auto"/>
          <w:highlight w:val="none"/>
        </w:rPr>
      </w:pPr>
      <w:r>
        <w:rPr>
          <w:rFonts w:hint="eastAsia" w:hAnsi="宋体"/>
          <w:color w:val="auto"/>
          <w:highlight w:val="none"/>
        </w:rPr>
        <w:t>5.本中心可以视采购具体情况，延长招标文件或者资格预审文件提供期限，并在财政部门指定的政府采购信息发布媒体及本中心网站上发布公告。</w:t>
      </w:r>
    </w:p>
    <w:p>
      <w:pPr>
        <w:pStyle w:val="29"/>
        <w:snapToGrid w:val="0"/>
        <w:spacing w:line="360" w:lineRule="exact"/>
        <w:ind w:firstLine="413" w:firstLineChars="196"/>
        <w:outlineLvl w:val="1"/>
        <w:rPr>
          <w:b/>
          <w:color w:val="auto"/>
          <w:highlight w:val="none"/>
        </w:rPr>
      </w:pPr>
      <w:r>
        <w:rPr>
          <w:rFonts w:hint="eastAsia"/>
          <w:b/>
          <w:color w:val="auto"/>
          <w:highlight w:val="none"/>
        </w:rPr>
        <w:t>三、投标文件的编制</w:t>
      </w:r>
    </w:p>
    <w:p>
      <w:pPr>
        <w:snapToGrid w:val="0"/>
        <w:spacing w:line="360" w:lineRule="exact"/>
        <w:ind w:firstLine="413" w:firstLineChars="196"/>
        <w:jc w:val="left"/>
        <w:outlineLvl w:val="0"/>
        <w:rPr>
          <w:rFonts w:hint="eastAsia" w:ascii="宋体" w:hAnsi="宋体"/>
          <w:b/>
          <w:color w:val="auto"/>
          <w:szCs w:val="21"/>
          <w:highlight w:val="none"/>
        </w:rPr>
      </w:pPr>
      <w:r>
        <w:rPr>
          <w:rFonts w:hint="eastAsia" w:ascii="宋体" w:hAnsi="宋体"/>
          <w:b/>
          <w:color w:val="auto"/>
          <w:szCs w:val="21"/>
          <w:highlight w:val="none"/>
        </w:rPr>
        <w:t>（一）投标文件的组成</w:t>
      </w:r>
    </w:p>
    <w:p>
      <w:pPr>
        <w:snapToGrid w:val="0"/>
        <w:spacing w:line="360" w:lineRule="exact"/>
        <w:ind w:firstLine="420" w:firstLineChars="200"/>
        <w:jc w:val="left"/>
        <w:rPr>
          <w:rFonts w:hint="eastAsia" w:ascii="宋体" w:hAnsi="宋体"/>
          <w:color w:val="auto"/>
          <w:szCs w:val="21"/>
          <w:highlight w:val="none"/>
        </w:rPr>
      </w:pPr>
      <w:r>
        <w:rPr>
          <w:rFonts w:hint="eastAsia" w:ascii="宋体"/>
          <w:color w:val="auto"/>
          <w:szCs w:val="21"/>
          <w:highlight w:val="none"/>
        </w:rPr>
        <w:t>投标文件由资格文件、资信及商务文件、技术文件、投标报价文件</w:t>
      </w:r>
      <w:r>
        <w:rPr>
          <w:rFonts w:hint="eastAsia" w:ascii="宋体"/>
          <w:b/>
          <w:color w:val="auto"/>
          <w:szCs w:val="21"/>
          <w:highlight w:val="none"/>
        </w:rPr>
        <w:t>四部份</w:t>
      </w:r>
      <w:r>
        <w:rPr>
          <w:rFonts w:hint="eastAsia" w:ascii="宋体"/>
          <w:color w:val="auto"/>
          <w:szCs w:val="21"/>
          <w:highlight w:val="none"/>
        </w:rPr>
        <w:t>组成。</w:t>
      </w:r>
    </w:p>
    <w:p>
      <w:pPr>
        <w:snapToGrid w:val="0"/>
        <w:spacing w:line="360" w:lineRule="exact"/>
        <w:ind w:firstLine="413" w:firstLineChars="196"/>
        <w:jc w:val="left"/>
        <w:rPr>
          <w:rFonts w:hint="eastAsia" w:ascii="宋体" w:hAnsi="宋体"/>
          <w:b/>
          <w:color w:val="auto"/>
          <w:szCs w:val="21"/>
          <w:highlight w:val="none"/>
        </w:rPr>
      </w:pPr>
      <w:r>
        <w:rPr>
          <w:rFonts w:hint="eastAsia" w:ascii="宋体" w:hAnsi="宋体"/>
          <w:b/>
          <w:color w:val="auto"/>
          <w:szCs w:val="21"/>
          <w:highlight w:val="none"/>
        </w:rPr>
        <w:t>1.资格文件：</w:t>
      </w:r>
    </w:p>
    <w:p>
      <w:pPr>
        <w:snapToGrid w:val="0"/>
        <w:spacing w:line="360" w:lineRule="exact"/>
        <w:ind w:firstLine="413" w:firstLineChars="196"/>
        <w:jc w:val="left"/>
        <w:rPr>
          <w:rFonts w:hint="eastAsia" w:ascii="宋体" w:hAnsi="宋体"/>
          <w:color w:val="auto"/>
          <w:szCs w:val="21"/>
          <w:highlight w:val="none"/>
        </w:rPr>
      </w:pPr>
      <w:r>
        <w:rPr>
          <w:rFonts w:hint="eastAsia" w:ascii="宋体" w:hAnsi="宋体"/>
          <w:b/>
          <w:color w:val="auto"/>
          <w:szCs w:val="21"/>
          <w:highlight w:val="none"/>
        </w:rPr>
        <w:t>（1）</w:t>
      </w:r>
      <w:r>
        <w:rPr>
          <w:rFonts w:hint="eastAsia" w:ascii="宋体" w:hAnsi="宋体"/>
          <w:color w:val="auto"/>
          <w:szCs w:val="21"/>
          <w:highlight w:val="none"/>
        </w:rPr>
        <w:t>有效的营业执照等证明文件复印件；</w:t>
      </w:r>
    </w:p>
    <w:p>
      <w:pPr>
        <w:pStyle w:val="29"/>
        <w:adjustRightInd w:val="0"/>
        <w:snapToGrid w:val="0"/>
        <w:spacing w:line="400" w:lineRule="exact"/>
        <w:ind w:firstLine="424" w:firstLineChars="202"/>
        <w:rPr>
          <w:rFonts w:hint="eastAsia" w:hAnsi="宋体"/>
          <w:b/>
          <w:color w:val="auto"/>
          <w:highlight w:val="none"/>
        </w:rPr>
      </w:pPr>
      <w:r>
        <w:rPr>
          <w:rFonts w:hint="eastAsia" w:hAnsi="宋体"/>
          <w:color w:val="auto"/>
          <w:highlight w:val="none"/>
        </w:rPr>
        <w:t>①投标人有效的营业执照等证明文件扫描件或其他电子文件，同时要加盖单位公章</w:t>
      </w:r>
      <w:r>
        <w:rPr>
          <w:rFonts w:hint="eastAsia" w:hAnsi="宋体"/>
          <w:b/>
          <w:color w:val="auto"/>
          <w:highlight w:val="none"/>
        </w:rPr>
        <w:t>（必须提供）</w:t>
      </w:r>
      <w:r>
        <w:rPr>
          <w:rFonts w:hint="eastAsia" w:hAnsi="宋体"/>
          <w:color w:val="auto"/>
          <w:highlight w:val="none"/>
        </w:rPr>
        <w:t>；</w:t>
      </w:r>
    </w:p>
    <w:p>
      <w:pPr>
        <w:snapToGrid w:val="0"/>
        <w:spacing w:line="360" w:lineRule="exact"/>
        <w:ind w:firstLine="424" w:firstLineChars="202"/>
        <w:jc w:val="left"/>
        <w:rPr>
          <w:rFonts w:hint="eastAsia" w:hAnsi="宋体"/>
          <w:b/>
          <w:color w:val="auto"/>
          <w:highlight w:val="none"/>
        </w:rPr>
      </w:pPr>
      <w:r>
        <w:rPr>
          <w:rFonts w:hint="eastAsia" w:hAnsi="宋体"/>
          <w:color w:val="auto"/>
          <w:highlight w:val="none"/>
        </w:rPr>
        <w:t>②对于有经营资质要求的，投标人必须提供有效的经营资质证书副本内页扫描件或其他电子文件，同时要加盖单位公章。</w:t>
      </w:r>
    </w:p>
    <w:p>
      <w:pPr>
        <w:snapToGrid w:val="0"/>
        <w:spacing w:line="360" w:lineRule="exact"/>
        <w:ind w:firstLine="413" w:firstLineChars="196"/>
        <w:jc w:val="left"/>
        <w:rPr>
          <w:rFonts w:hint="eastAsia" w:ascii="宋体" w:hAnsi="宋体"/>
          <w:b/>
          <w:color w:val="auto"/>
          <w:szCs w:val="21"/>
          <w:highlight w:val="none"/>
        </w:rPr>
      </w:pPr>
      <w:r>
        <w:rPr>
          <w:rFonts w:hint="eastAsia" w:ascii="宋体" w:hAnsi="宋体"/>
          <w:b/>
          <w:color w:val="auto"/>
          <w:szCs w:val="21"/>
          <w:highlight w:val="none"/>
        </w:rPr>
        <w:t>（2）</w:t>
      </w:r>
      <w:r>
        <w:rPr>
          <w:rFonts w:hint="eastAsia" w:ascii="宋体" w:hAnsi="宋体" w:cs="宋体"/>
          <w:color w:val="auto"/>
          <w:kern w:val="0"/>
          <w:szCs w:val="21"/>
          <w:highlight w:val="none"/>
        </w:rPr>
        <w:t>参加政府采购活动前三年内在经营活动中没有</w:t>
      </w:r>
      <w:r>
        <w:rPr>
          <w:rFonts w:hint="eastAsia" w:ascii="宋体" w:hAnsi="宋体" w:cs="宋体"/>
          <w:b/>
          <w:color w:val="auto"/>
          <w:kern w:val="0"/>
          <w:szCs w:val="21"/>
          <w:highlight w:val="none"/>
        </w:rPr>
        <w:t>重大违法记录的书面声明</w:t>
      </w:r>
      <w:r>
        <w:rPr>
          <w:rFonts w:hint="eastAsia" w:ascii="宋体" w:hAnsi="宋体"/>
          <w:b/>
          <w:color w:val="auto"/>
          <w:szCs w:val="21"/>
          <w:highlight w:val="none"/>
        </w:rPr>
        <w:t>和信用记录查询方法；</w:t>
      </w:r>
    </w:p>
    <w:p>
      <w:pPr>
        <w:snapToGrid w:val="0"/>
        <w:spacing w:line="360" w:lineRule="exact"/>
        <w:ind w:firstLine="411" w:firstLineChars="196"/>
        <w:jc w:val="left"/>
        <w:rPr>
          <w:rFonts w:hint="eastAsia" w:ascii="宋体" w:hAnsi="宋体"/>
          <w:color w:val="auto"/>
          <w:szCs w:val="21"/>
          <w:highlight w:val="none"/>
        </w:rPr>
      </w:pPr>
      <w:r>
        <w:rPr>
          <w:rFonts w:hint="eastAsia" w:ascii="宋体" w:hAnsi="宋体"/>
          <w:color w:val="auto"/>
          <w:szCs w:val="21"/>
          <w:highlight w:val="none"/>
        </w:rPr>
        <w:t>①</w:t>
      </w:r>
      <w:r>
        <w:rPr>
          <w:rFonts w:hint="eastAsia" w:ascii="宋体" w:hAnsi="宋体" w:cs="宋体"/>
          <w:color w:val="auto"/>
          <w:kern w:val="0"/>
          <w:szCs w:val="21"/>
          <w:highlight w:val="none"/>
        </w:rPr>
        <w:t>参加政府采购活动前三年内在经营活动中没有</w:t>
      </w:r>
      <w:r>
        <w:rPr>
          <w:rFonts w:hint="eastAsia" w:ascii="宋体" w:hAnsi="宋体" w:cs="宋体"/>
          <w:b/>
          <w:color w:val="auto"/>
          <w:kern w:val="0"/>
          <w:szCs w:val="21"/>
          <w:highlight w:val="none"/>
        </w:rPr>
        <w:t>重大违法记录的书面声明</w:t>
      </w:r>
      <w:r>
        <w:rPr>
          <w:rFonts w:hint="eastAsia" w:ascii="宋体" w:hAnsi="宋体"/>
          <w:color w:val="auto"/>
          <w:szCs w:val="21"/>
          <w:highlight w:val="none"/>
        </w:rPr>
        <w:t>（格式自拟，必须提供）；</w:t>
      </w:r>
    </w:p>
    <w:p>
      <w:pPr>
        <w:snapToGrid w:val="0"/>
        <w:spacing w:line="360" w:lineRule="exact"/>
        <w:ind w:firstLine="411" w:firstLineChars="196"/>
        <w:jc w:val="left"/>
        <w:rPr>
          <w:rFonts w:hint="eastAsia" w:ascii="宋体" w:hAnsi="宋体"/>
          <w:color w:val="auto"/>
          <w:szCs w:val="21"/>
          <w:highlight w:val="none"/>
        </w:rPr>
      </w:pPr>
      <w:r>
        <w:rPr>
          <w:rFonts w:hint="eastAsia" w:ascii="宋体" w:hAnsi="宋体"/>
          <w:color w:val="auto"/>
          <w:szCs w:val="21"/>
          <w:highlight w:val="none"/>
        </w:rPr>
        <w:t>②供应商可在“信用中国”网站（www.creditchina.gov.cn）、中国政府采购网（www.ccgp.gov.cn）查询相关供应商主体信用记录。</w:t>
      </w:r>
    </w:p>
    <w:p>
      <w:pPr>
        <w:snapToGrid w:val="0"/>
        <w:spacing w:line="360" w:lineRule="exact"/>
        <w:ind w:firstLine="411" w:firstLineChars="196"/>
        <w:jc w:val="left"/>
        <w:rPr>
          <w:rFonts w:hint="eastAsia" w:ascii="宋体" w:hAnsi="宋体"/>
          <w:color w:val="auto"/>
          <w:szCs w:val="21"/>
          <w:highlight w:val="none"/>
        </w:rPr>
      </w:pPr>
      <w:r>
        <w:rPr>
          <w:rFonts w:hint="eastAsia" w:ascii="宋体" w:hAnsi="宋体"/>
          <w:color w:val="auto"/>
          <w:szCs w:val="21"/>
          <w:highlight w:val="none"/>
        </w:rPr>
        <w:t>“信用中国”网站查询方法：投标人在本项目投标截止时间前10日内,进入投标人基本信息页面，点击“下载信用报告”后点击“下载”。</w:t>
      </w:r>
    </w:p>
    <w:p>
      <w:pPr>
        <w:snapToGrid w:val="0"/>
        <w:spacing w:line="360" w:lineRule="exact"/>
        <w:ind w:firstLine="411" w:firstLineChars="196"/>
        <w:jc w:val="left"/>
        <w:rPr>
          <w:rFonts w:hint="eastAsia" w:ascii="宋体" w:hAnsi="宋体"/>
          <w:color w:val="auto"/>
          <w:szCs w:val="21"/>
          <w:highlight w:val="none"/>
        </w:rPr>
      </w:pPr>
      <w:r>
        <w:rPr>
          <w:rFonts w:hint="eastAsia" w:ascii="宋体" w:hAnsi="宋体"/>
          <w:color w:val="auto"/>
          <w:szCs w:val="21"/>
          <w:highlight w:val="none"/>
        </w:rPr>
        <w:t xml:space="preserve"> “中国政府采购网”的查询方法：点击“政府采购严重违法失信行为记录名单”进行查询。截止时间为本项目投标截止时间前10日至投标截止时间中任意一天。</w:t>
      </w:r>
    </w:p>
    <w:p>
      <w:pPr>
        <w:snapToGrid w:val="0"/>
        <w:spacing w:line="360" w:lineRule="exact"/>
        <w:ind w:firstLine="411" w:firstLineChars="196"/>
        <w:jc w:val="left"/>
        <w:rPr>
          <w:rFonts w:hint="eastAsia" w:hAnsi="宋体"/>
          <w:b/>
          <w:color w:val="auto"/>
          <w:highlight w:val="none"/>
        </w:rPr>
      </w:pPr>
      <w:r>
        <w:rPr>
          <w:rFonts w:hint="eastAsia" w:ascii="宋体" w:hAnsi="宋体"/>
          <w:color w:val="auto"/>
          <w:szCs w:val="21"/>
          <w:highlight w:val="none"/>
        </w:rPr>
        <w:t>采购人或者本中心将对供应商信用记录进行甄别，对列入失信被执行人、重大税收违法案件当事人名单、政府采购严重违法失信行为记录名单及其他不符合《中华人民共和国政府采购法》第二十二条规定条件的供应商，将拒绝其参与政府采购活动。</w:t>
      </w:r>
    </w:p>
    <w:p>
      <w:pPr>
        <w:snapToGrid w:val="0"/>
        <w:spacing w:before="156" w:beforeLines="50" w:line="360" w:lineRule="exact"/>
        <w:ind w:firstLine="413" w:firstLineChars="196"/>
        <w:jc w:val="left"/>
        <w:rPr>
          <w:rFonts w:hint="eastAsia" w:ascii="宋体" w:hAnsi="宋体"/>
          <w:b/>
          <w:color w:val="auto"/>
          <w:szCs w:val="21"/>
          <w:highlight w:val="none"/>
        </w:rPr>
      </w:pPr>
      <w:r>
        <w:rPr>
          <w:rFonts w:hint="eastAsia" w:ascii="宋体" w:hAnsi="宋体"/>
          <w:b/>
          <w:color w:val="auto"/>
          <w:szCs w:val="21"/>
          <w:highlight w:val="none"/>
        </w:rPr>
        <w:t>2.资信及商务文件：</w:t>
      </w:r>
    </w:p>
    <w:p>
      <w:pPr>
        <w:snapToGrid w:val="0"/>
        <w:spacing w:line="360" w:lineRule="exact"/>
        <w:ind w:firstLine="413" w:firstLineChars="196"/>
        <w:jc w:val="left"/>
        <w:rPr>
          <w:rFonts w:hint="eastAsia" w:ascii="宋体" w:hAnsi="宋体"/>
          <w:color w:val="auto"/>
          <w:szCs w:val="21"/>
          <w:highlight w:val="none"/>
        </w:rPr>
      </w:pPr>
      <w:r>
        <w:rPr>
          <w:rFonts w:hint="eastAsia" w:ascii="宋体" w:hAnsi="宋体"/>
          <w:b/>
          <w:color w:val="auto"/>
          <w:szCs w:val="21"/>
          <w:highlight w:val="none"/>
        </w:rPr>
        <w:t>（1）投标保证金的相关证明扫描件或其他电子文件（</w:t>
      </w:r>
      <w:r>
        <w:rPr>
          <w:rFonts w:hint="eastAsia" w:ascii="宋体" w:hAnsi="宋体"/>
          <w:b/>
          <w:color w:val="auto"/>
          <w:szCs w:val="21"/>
          <w:highlight w:val="none"/>
          <w:u w:val="single"/>
        </w:rPr>
        <w:t>必须提供</w:t>
      </w:r>
      <w:r>
        <w:rPr>
          <w:rFonts w:hint="eastAsia" w:ascii="宋体" w:hAnsi="宋体"/>
          <w:b/>
          <w:color w:val="auto"/>
          <w:szCs w:val="21"/>
          <w:highlight w:val="none"/>
        </w:rPr>
        <w:t>）</w:t>
      </w:r>
      <w:r>
        <w:rPr>
          <w:rFonts w:hint="eastAsia" w:ascii="宋体" w:hAnsi="宋体"/>
          <w:color w:val="auto"/>
          <w:szCs w:val="21"/>
          <w:highlight w:val="none"/>
        </w:rPr>
        <w:t>；</w:t>
      </w:r>
    </w:p>
    <w:p>
      <w:pPr>
        <w:snapToGrid w:val="0"/>
        <w:spacing w:line="360" w:lineRule="exact"/>
        <w:ind w:firstLine="413" w:firstLineChars="196"/>
        <w:jc w:val="left"/>
        <w:rPr>
          <w:rFonts w:hint="eastAsia" w:ascii="宋体" w:hAnsi="宋体"/>
          <w:color w:val="auto"/>
          <w:szCs w:val="21"/>
          <w:highlight w:val="none"/>
        </w:rPr>
      </w:pPr>
      <w:r>
        <w:rPr>
          <w:rFonts w:hint="eastAsia" w:ascii="宋体" w:hAnsi="宋体"/>
          <w:b/>
          <w:color w:val="auto"/>
          <w:szCs w:val="21"/>
          <w:highlight w:val="none"/>
        </w:rPr>
        <w:t>（2）投标声明书 (格式见第六章)（必须提供）</w:t>
      </w:r>
      <w:r>
        <w:rPr>
          <w:rFonts w:hint="eastAsia" w:ascii="宋体" w:hAnsi="宋体"/>
          <w:color w:val="auto"/>
          <w:szCs w:val="21"/>
          <w:highlight w:val="none"/>
        </w:rPr>
        <w:t>；</w:t>
      </w:r>
    </w:p>
    <w:p>
      <w:pPr>
        <w:snapToGrid w:val="0"/>
        <w:spacing w:line="360" w:lineRule="exact"/>
        <w:ind w:firstLine="413" w:firstLineChars="196"/>
        <w:jc w:val="left"/>
        <w:rPr>
          <w:rFonts w:hint="eastAsia" w:ascii="宋体" w:hAnsi="宋体"/>
          <w:color w:val="auto"/>
          <w:szCs w:val="21"/>
          <w:highlight w:val="none"/>
        </w:rPr>
      </w:pPr>
      <w:r>
        <w:rPr>
          <w:rFonts w:hint="eastAsia" w:ascii="宋体" w:hAnsi="宋体"/>
          <w:b/>
          <w:color w:val="auto"/>
          <w:szCs w:val="21"/>
          <w:highlight w:val="none"/>
        </w:rPr>
        <w:t>（3）法定代表人授权委托书和委托代理人身份证扫描件或其他电子文件（格式见第六章)（必须提供）</w:t>
      </w:r>
      <w:r>
        <w:rPr>
          <w:rFonts w:hint="eastAsia" w:ascii="宋体" w:hAnsi="宋体"/>
          <w:color w:val="auto"/>
          <w:szCs w:val="21"/>
          <w:highlight w:val="none"/>
        </w:rPr>
        <w:t>；（格式见第六章)；</w:t>
      </w:r>
      <w:r>
        <w:rPr>
          <w:rFonts w:hint="eastAsia" w:ascii="宋体" w:hAnsi="宋体"/>
          <w:b/>
          <w:color w:val="auto"/>
          <w:szCs w:val="21"/>
          <w:highlight w:val="none"/>
        </w:rPr>
        <w:t>当法定代表人参加投标时，必须提供法定代表人身份证扫描件或其他电子文件</w:t>
      </w:r>
      <w:r>
        <w:rPr>
          <w:rFonts w:hint="eastAsia" w:ascii="宋体" w:hAnsi="宋体"/>
          <w:color w:val="auto"/>
          <w:szCs w:val="21"/>
          <w:highlight w:val="none"/>
        </w:rPr>
        <w:t>；</w:t>
      </w:r>
    </w:p>
    <w:p>
      <w:pPr>
        <w:snapToGrid w:val="0"/>
        <w:spacing w:line="360" w:lineRule="exact"/>
        <w:ind w:firstLine="413" w:firstLineChars="196"/>
        <w:jc w:val="left"/>
        <w:rPr>
          <w:rFonts w:hint="eastAsia" w:ascii="宋体" w:hAnsi="宋体"/>
          <w:b/>
          <w:color w:val="auto"/>
          <w:szCs w:val="21"/>
          <w:highlight w:val="none"/>
        </w:rPr>
      </w:pPr>
      <w:r>
        <w:rPr>
          <w:rFonts w:hint="eastAsia" w:ascii="宋体" w:hAnsi="宋体"/>
          <w:b/>
          <w:color w:val="auto"/>
          <w:szCs w:val="21"/>
          <w:highlight w:val="none"/>
        </w:rPr>
        <w:t>（4）投标截止之日前半年内投标人连续三个月的依法缴纳税费或依法免缴税费的证明（扫描件或其他电子文件，格式自拟）（</w:t>
      </w:r>
      <w:r>
        <w:rPr>
          <w:rFonts w:hint="eastAsia" w:ascii="宋体" w:hAnsi="宋体"/>
          <w:b/>
          <w:color w:val="auto"/>
          <w:szCs w:val="21"/>
          <w:highlight w:val="none"/>
          <w:u w:val="single"/>
        </w:rPr>
        <w:t>必须提供</w:t>
      </w:r>
      <w:r>
        <w:rPr>
          <w:rFonts w:hint="eastAsia" w:ascii="宋体" w:hAnsi="宋体"/>
          <w:b/>
          <w:color w:val="auto"/>
          <w:szCs w:val="21"/>
          <w:highlight w:val="none"/>
        </w:rPr>
        <w:t>）；</w:t>
      </w:r>
      <w:r>
        <w:rPr>
          <w:rFonts w:hint="eastAsia" w:ascii="宋体" w:hAnsi="宋体"/>
          <w:color w:val="auto"/>
          <w:szCs w:val="21"/>
          <w:highlight w:val="none"/>
        </w:rPr>
        <w:t>无纳税记录的，应提供由投标人所在地主管国税或地税部门出具的《依法纳税或依法免税证明》（格式自拟，</w:t>
      </w:r>
      <w:r>
        <w:rPr>
          <w:rFonts w:hint="eastAsia" w:ascii="宋体" w:hAnsi="宋体"/>
          <w:b/>
          <w:color w:val="auto"/>
          <w:szCs w:val="21"/>
          <w:highlight w:val="none"/>
        </w:rPr>
        <w:t>扫描件或其他电子文件</w:t>
      </w:r>
      <w:r>
        <w:rPr>
          <w:rFonts w:hint="eastAsia" w:ascii="宋体" w:hAnsi="宋体"/>
          <w:color w:val="auto"/>
          <w:szCs w:val="21"/>
          <w:highlight w:val="none"/>
        </w:rPr>
        <w:t>）。</w:t>
      </w:r>
    </w:p>
    <w:p>
      <w:pPr>
        <w:snapToGrid w:val="0"/>
        <w:spacing w:line="360" w:lineRule="exact"/>
        <w:ind w:firstLine="413" w:firstLineChars="196"/>
        <w:jc w:val="left"/>
        <w:rPr>
          <w:rFonts w:hint="eastAsia" w:ascii="宋体" w:hAnsi="宋体"/>
          <w:b/>
          <w:color w:val="auto"/>
          <w:szCs w:val="21"/>
          <w:highlight w:val="none"/>
        </w:rPr>
      </w:pPr>
      <w:r>
        <w:rPr>
          <w:rFonts w:hint="eastAsia" w:ascii="宋体" w:hAnsi="宋体"/>
          <w:b/>
          <w:color w:val="auto"/>
          <w:szCs w:val="21"/>
          <w:highlight w:val="none"/>
        </w:rPr>
        <w:t>（5）投标截止之日前半年内投标人连续三个月的依法缴纳社保费的缴费凭证</w:t>
      </w:r>
      <w:r>
        <w:rPr>
          <w:rFonts w:hint="eastAsia" w:ascii="宋体" w:hAnsi="宋体"/>
          <w:color w:val="auto"/>
          <w:szCs w:val="21"/>
          <w:highlight w:val="none"/>
        </w:rPr>
        <w:t>（</w:t>
      </w:r>
      <w:r>
        <w:rPr>
          <w:rFonts w:hint="eastAsia" w:ascii="宋体" w:hAnsi="宋体"/>
          <w:b/>
          <w:color w:val="auto"/>
          <w:szCs w:val="21"/>
          <w:highlight w:val="none"/>
        </w:rPr>
        <w:t>扫描件或其他电子文件，格式自拟）（</w:t>
      </w:r>
      <w:r>
        <w:rPr>
          <w:rFonts w:hint="eastAsia" w:ascii="宋体" w:hAnsi="宋体"/>
          <w:b/>
          <w:color w:val="auto"/>
          <w:szCs w:val="21"/>
          <w:highlight w:val="none"/>
          <w:u w:val="single"/>
        </w:rPr>
        <w:t>必须提供</w:t>
      </w:r>
      <w:r>
        <w:rPr>
          <w:rFonts w:hint="eastAsia" w:ascii="宋体" w:hAnsi="宋体"/>
          <w:b/>
          <w:color w:val="auto"/>
          <w:szCs w:val="21"/>
          <w:highlight w:val="none"/>
        </w:rPr>
        <w:t>）；</w:t>
      </w:r>
      <w:r>
        <w:rPr>
          <w:rFonts w:hint="eastAsia" w:ascii="宋体" w:hAnsi="宋体"/>
          <w:color w:val="auto"/>
          <w:szCs w:val="21"/>
          <w:highlight w:val="none"/>
        </w:rPr>
        <w:t>无缴费记录的，应提供由投标人所在地社保部门出具的《依法缴纳或依法免缴社保费证明》（格式自拟，</w:t>
      </w:r>
      <w:r>
        <w:rPr>
          <w:rFonts w:hint="eastAsia" w:ascii="宋体" w:hAnsi="宋体"/>
          <w:b/>
          <w:color w:val="auto"/>
          <w:szCs w:val="21"/>
          <w:highlight w:val="none"/>
        </w:rPr>
        <w:t>扫描件或其他电子文件</w:t>
      </w:r>
      <w:r>
        <w:rPr>
          <w:rFonts w:hint="eastAsia" w:ascii="宋体" w:hAnsi="宋体"/>
          <w:color w:val="auto"/>
          <w:szCs w:val="21"/>
          <w:highlight w:val="none"/>
        </w:rPr>
        <w:t>）。</w:t>
      </w:r>
    </w:p>
    <w:p>
      <w:pPr>
        <w:snapToGrid w:val="0"/>
        <w:spacing w:line="360" w:lineRule="exact"/>
        <w:ind w:firstLine="421" w:firstLineChars="200"/>
        <w:jc w:val="left"/>
        <w:rPr>
          <w:rFonts w:hint="eastAsia" w:hAnsi="宋体"/>
          <w:b/>
          <w:color w:val="auto"/>
          <w:szCs w:val="21"/>
          <w:highlight w:val="none"/>
        </w:rPr>
      </w:pPr>
      <w:r>
        <w:rPr>
          <w:rFonts w:hint="eastAsia" w:hAnsi="宋体"/>
          <w:b/>
          <w:color w:val="auto"/>
          <w:szCs w:val="21"/>
          <w:highlight w:val="none"/>
        </w:rPr>
        <w:t>（6）财务状况报告（</w:t>
      </w:r>
      <w:r>
        <w:rPr>
          <w:rFonts w:hint="eastAsia" w:hAnsi="宋体"/>
          <w:b/>
          <w:color w:val="auto"/>
          <w:szCs w:val="21"/>
          <w:highlight w:val="none"/>
          <w:u w:val="single"/>
        </w:rPr>
        <w:t>格式自拟，必须提供</w:t>
      </w:r>
      <w:r>
        <w:rPr>
          <w:rFonts w:hint="eastAsia" w:hAnsi="宋体"/>
          <w:b/>
          <w:color w:val="auto"/>
          <w:szCs w:val="21"/>
          <w:highlight w:val="none"/>
        </w:rPr>
        <w:t>）；</w:t>
      </w:r>
    </w:p>
    <w:p>
      <w:pPr>
        <w:snapToGrid w:val="0"/>
        <w:spacing w:line="360" w:lineRule="exact"/>
        <w:ind w:firstLine="413" w:firstLineChars="196"/>
        <w:jc w:val="left"/>
        <w:rPr>
          <w:rFonts w:hint="eastAsia" w:hAnsi="宋体"/>
          <w:color w:val="auto"/>
          <w:szCs w:val="21"/>
          <w:highlight w:val="none"/>
        </w:rPr>
      </w:pPr>
      <w:r>
        <w:rPr>
          <w:rFonts w:hint="eastAsia" w:hAnsi="宋体" w:cs="宋体"/>
          <w:b/>
          <w:color w:val="auto"/>
          <w:kern w:val="0"/>
          <w:szCs w:val="21"/>
          <w:highlight w:val="none"/>
        </w:rPr>
        <w:t>（7）</w:t>
      </w:r>
      <w:r>
        <w:rPr>
          <w:rFonts w:hint="eastAsia" w:hAnsi="宋体"/>
          <w:b/>
          <w:color w:val="auto"/>
          <w:szCs w:val="21"/>
          <w:highlight w:val="none"/>
        </w:rPr>
        <w:t>具备履行合同所必需的设备和专业技术能力的证明材料（</w:t>
      </w:r>
      <w:r>
        <w:rPr>
          <w:rFonts w:hint="eastAsia" w:hAnsi="宋体"/>
          <w:b/>
          <w:color w:val="auto"/>
          <w:szCs w:val="21"/>
          <w:highlight w:val="none"/>
          <w:u w:val="single"/>
        </w:rPr>
        <w:t>内容、格式自拟，必须提供</w:t>
      </w:r>
      <w:r>
        <w:rPr>
          <w:rFonts w:hint="eastAsia" w:hAnsi="宋体"/>
          <w:b/>
          <w:color w:val="auto"/>
          <w:szCs w:val="21"/>
          <w:highlight w:val="none"/>
        </w:rPr>
        <w:t>）</w:t>
      </w:r>
      <w:r>
        <w:rPr>
          <w:rFonts w:hint="eastAsia" w:hAnsi="宋体" w:cs="宋体"/>
          <w:b/>
          <w:color w:val="auto"/>
          <w:kern w:val="0"/>
          <w:szCs w:val="21"/>
          <w:highlight w:val="none"/>
        </w:rPr>
        <w:t>；</w:t>
      </w:r>
    </w:p>
    <w:p>
      <w:pPr>
        <w:snapToGrid w:val="0"/>
        <w:spacing w:line="360" w:lineRule="exact"/>
        <w:ind w:firstLine="413" w:firstLineChars="196"/>
        <w:jc w:val="left"/>
        <w:rPr>
          <w:rFonts w:hint="eastAsia" w:hAnsi="宋体"/>
          <w:b/>
          <w:color w:val="auto"/>
          <w:szCs w:val="21"/>
          <w:highlight w:val="none"/>
        </w:rPr>
      </w:pPr>
      <w:r>
        <w:rPr>
          <w:rFonts w:hint="eastAsia" w:hAnsi="宋体"/>
          <w:b/>
          <w:color w:val="auto"/>
          <w:szCs w:val="21"/>
          <w:highlight w:val="none"/>
        </w:rPr>
        <w:t>（8）商务响应表</w:t>
      </w:r>
      <w:r>
        <w:rPr>
          <w:rFonts w:hint="eastAsia" w:hAnsi="宋体"/>
          <w:color w:val="auto"/>
          <w:szCs w:val="21"/>
          <w:highlight w:val="none"/>
        </w:rPr>
        <w:t>（格式见第六章）</w:t>
      </w:r>
      <w:r>
        <w:rPr>
          <w:rFonts w:hint="eastAsia" w:hAnsi="宋体"/>
          <w:b/>
          <w:color w:val="auto"/>
          <w:szCs w:val="21"/>
          <w:highlight w:val="none"/>
        </w:rPr>
        <w:t>（</w:t>
      </w:r>
      <w:r>
        <w:rPr>
          <w:rFonts w:hint="eastAsia" w:hAnsi="宋体"/>
          <w:b/>
          <w:color w:val="auto"/>
          <w:szCs w:val="21"/>
          <w:highlight w:val="none"/>
          <w:u w:val="single"/>
        </w:rPr>
        <w:t>必须提供</w:t>
      </w:r>
      <w:r>
        <w:rPr>
          <w:rFonts w:hint="eastAsia" w:hAnsi="宋体"/>
          <w:b/>
          <w:color w:val="auto"/>
          <w:szCs w:val="21"/>
          <w:highlight w:val="none"/>
        </w:rPr>
        <w:t>）；</w:t>
      </w:r>
    </w:p>
    <w:p>
      <w:pPr>
        <w:snapToGrid w:val="0"/>
        <w:spacing w:line="360" w:lineRule="exact"/>
        <w:jc w:val="left"/>
        <w:rPr>
          <w:rFonts w:hint="eastAsia" w:hAnsi="宋体"/>
          <w:b/>
          <w:color w:val="auto"/>
          <w:szCs w:val="21"/>
          <w:highlight w:val="none"/>
        </w:rPr>
      </w:pPr>
      <w:r>
        <w:rPr>
          <w:rFonts w:hint="eastAsia" w:hAnsi="宋体"/>
          <w:color w:val="auto"/>
          <w:highlight w:val="none"/>
        </w:rPr>
        <w:t xml:space="preserve">  ▲</w:t>
      </w:r>
      <w:r>
        <w:rPr>
          <w:rFonts w:hint="eastAsia" w:hAnsi="宋体"/>
          <w:color w:val="auto"/>
          <w:szCs w:val="21"/>
          <w:highlight w:val="none"/>
        </w:rPr>
        <w:t>（9）</w:t>
      </w:r>
      <w:r>
        <w:rPr>
          <w:rFonts w:hint="eastAsia" w:hAnsi="宋体"/>
          <w:b/>
          <w:color w:val="auto"/>
          <w:szCs w:val="21"/>
          <w:highlight w:val="none"/>
        </w:rPr>
        <w:t>招标项目采购需求中要求必须提供的材料等；</w:t>
      </w:r>
    </w:p>
    <w:p>
      <w:pPr>
        <w:snapToGrid w:val="0"/>
        <w:spacing w:line="360" w:lineRule="exact"/>
        <w:ind w:firstLine="411" w:firstLineChars="196"/>
        <w:jc w:val="left"/>
        <w:rPr>
          <w:rFonts w:hint="eastAsia" w:hAnsi="宋体"/>
          <w:b/>
          <w:color w:val="auto"/>
          <w:szCs w:val="21"/>
          <w:highlight w:val="none"/>
        </w:rPr>
      </w:pPr>
      <w:r>
        <w:rPr>
          <w:rFonts w:hint="eastAsia" w:hAnsi="宋体"/>
          <w:color w:val="auto"/>
          <w:szCs w:val="21"/>
          <w:highlight w:val="none"/>
        </w:rPr>
        <w:t>（10）具备法律、行政法规规定的其他条件的证明材料</w:t>
      </w:r>
      <w:r>
        <w:rPr>
          <w:rFonts w:hint="eastAsia" w:hAnsi="宋体"/>
          <w:b/>
          <w:color w:val="auto"/>
          <w:szCs w:val="21"/>
          <w:highlight w:val="none"/>
        </w:rPr>
        <w:t>(如有规定,则必须提供)。</w:t>
      </w:r>
    </w:p>
    <w:p>
      <w:pPr>
        <w:snapToGrid w:val="0"/>
        <w:spacing w:line="360" w:lineRule="exact"/>
        <w:ind w:firstLine="413" w:firstLineChars="196"/>
        <w:jc w:val="left"/>
        <w:rPr>
          <w:rFonts w:hint="eastAsia" w:hAnsi="宋体"/>
          <w:b/>
          <w:color w:val="auto"/>
          <w:szCs w:val="21"/>
          <w:highlight w:val="none"/>
        </w:rPr>
      </w:pPr>
      <w:r>
        <w:rPr>
          <w:rFonts w:hint="eastAsia" w:hAnsi="宋体"/>
          <w:b/>
          <w:bCs/>
          <w:color w:val="auto"/>
          <w:szCs w:val="21"/>
          <w:highlight w:val="none"/>
        </w:rPr>
        <w:t xml:space="preserve">可作为投标人资信评分的资质证明材料（可选）  </w:t>
      </w:r>
    </w:p>
    <w:p>
      <w:pPr>
        <w:snapToGrid w:val="0"/>
        <w:spacing w:line="360" w:lineRule="exact"/>
        <w:ind w:left="937" w:leftChars="196" w:hanging="525" w:hangingChars="250"/>
        <w:jc w:val="left"/>
        <w:rPr>
          <w:rFonts w:hint="eastAsia" w:hAnsi="宋体"/>
          <w:color w:val="auto"/>
          <w:szCs w:val="21"/>
          <w:highlight w:val="none"/>
        </w:rPr>
      </w:pPr>
      <w:r>
        <w:rPr>
          <w:rFonts w:hint="eastAsia" w:hAnsi="宋体"/>
          <w:color w:val="auto"/>
          <w:szCs w:val="21"/>
          <w:highlight w:val="none"/>
        </w:rPr>
        <w:t>（11）类似案例成功的业绩（投标人同类项目实施情况一览表、合同扫描件）；</w:t>
      </w:r>
    </w:p>
    <w:p>
      <w:pPr>
        <w:snapToGrid w:val="0"/>
        <w:spacing w:line="360" w:lineRule="exact"/>
        <w:ind w:firstLine="421" w:firstLineChars="200"/>
        <w:jc w:val="left"/>
        <w:rPr>
          <w:rFonts w:hint="eastAsia" w:hAnsi="宋体"/>
          <w:color w:val="auto"/>
          <w:szCs w:val="21"/>
          <w:highlight w:val="none"/>
        </w:rPr>
      </w:pPr>
      <w:r>
        <w:rPr>
          <w:rFonts w:hint="eastAsia" w:hAnsi="宋体"/>
          <w:b/>
          <w:color w:val="auto"/>
          <w:szCs w:val="21"/>
          <w:highlight w:val="none"/>
        </w:rPr>
        <w:t>（</w:t>
      </w:r>
      <w:r>
        <w:rPr>
          <w:rFonts w:hint="eastAsia" w:hAnsi="宋体"/>
          <w:color w:val="auto"/>
          <w:szCs w:val="21"/>
          <w:highlight w:val="none"/>
        </w:rPr>
        <w:t>12</w:t>
      </w:r>
      <w:r>
        <w:rPr>
          <w:rFonts w:hint="eastAsia" w:hAnsi="宋体"/>
          <w:b/>
          <w:color w:val="auto"/>
          <w:szCs w:val="21"/>
          <w:highlight w:val="none"/>
        </w:rPr>
        <w:t>）</w:t>
      </w:r>
      <w:r>
        <w:rPr>
          <w:rFonts w:hint="eastAsia" w:hAnsi="宋体"/>
          <w:color w:val="auto"/>
          <w:szCs w:val="21"/>
          <w:highlight w:val="none"/>
        </w:rPr>
        <w:t>其他特殊资质证书（如本地化服务能力等）；</w:t>
      </w:r>
    </w:p>
    <w:p>
      <w:pPr>
        <w:snapToGrid w:val="0"/>
        <w:spacing w:line="360" w:lineRule="exact"/>
        <w:ind w:firstLine="411" w:firstLineChars="196"/>
        <w:jc w:val="left"/>
        <w:rPr>
          <w:rFonts w:hint="eastAsia" w:hAnsi="宋体"/>
          <w:b/>
          <w:color w:val="auto"/>
          <w:szCs w:val="21"/>
          <w:highlight w:val="none"/>
        </w:rPr>
      </w:pPr>
      <w:r>
        <w:rPr>
          <w:rFonts w:hint="eastAsia" w:hAnsi="宋体"/>
          <w:color w:val="auto"/>
          <w:szCs w:val="21"/>
          <w:highlight w:val="none"/>
        </w:rPr>
        <w:t>（13）节能环保产品或政府强制采购节能产品清单证书</w:t>
      </w:r>
      <w:r>
        <w:rPr>
          <w:rFonts w:hint="eastAsia" w:hAnsi="宋体"/>
          <w:b/>
          <w:color w:val="auto"/>
          <w:szCs w:val="21"/>
          <w:highlight w:val="none"/>
        </w:rPr>
        <w:t>；</w:t>
      </w:r>
    </w:p>
    <w:p>
      <w:pPr>
        <w:snapToGrid w:val="0"/>
        <w:spacing w:line="360" w:lineRule="exact"/>
        <w:ind w:firstLine="411" w:firstLineChars="196"/>
        <w:jc w:val="left"/>
        <w:rPr>
          <w:rFonts w:hint="eastAsia" w:hAnsi="宋体"/>
          <w:color w:val="auto"/>
          <w:szCs w:val="21"/>
          <w:highlight w:val="none"/>
        </w:rPr>
      </w:pPr>
      <w:r>
        <w:rPr>
          <w:rFonts w:hint="eastAsia" w:hAnsi="宋体"/>
          <w:color w:val="auto"/>
          <w:szCs w:val="21"/>
          <w:highlight w:val="none"/>
        </w:rPr>
        <w:t>（14）投标人质量管理和质量保证体系等方面的认证证书；</w:t>
      </w:r>
    </w:p>
    <w:p>
      <w:pPr>
        <w:snapToGrid w:val="0"/>
        <w:spacing w:line="360" w:lineRule="exact"/>
        <w:ind w:firstLine="411" w:firstLineChars="196"/>
        <w:jc w:val="left"/>
        <w:rPr>
          <w:rFonts w:hint="eastAsia" w:hAnsi="宋体"/>
          <w:color w:val="auto"/>
          <w:szCs w:val="21"/>
          <w:highlight w:val="none"/>
        </w:rPr>
      </w:pPr>
      <w:r>
        <w:rPr>
          <w:rFonts w:hint="eastAsia" w:hAnsi="宋体"/>
          <w:color w:val="auto"/>
          <w:szCs w:val="21"/>
          <w:highlight w:val="none"/>
        </w:rPr>
        <w:t>（15）投标人认为可以证明其能力或业绩的其他材料；</w:t>
      </w:r>
    </w:p>
    <w:p>
      <w:pPr>
        <w:snapToGrid w:val="0"/>
        <w:spacing w:line="360" w:lineRule="exact"/>
        <w:ind w:firstLine="411" w:firstLineChars="196"/>
        <w:jc w:val="left"/>
        <w:rPr>
          <w:rFonts w:hint="eastAsia" w:hAnsi="宋体"/>
          <w:color w:val="auto"/>
          <w:szCs w:val="21"/>
          <w:highlight w:val="none"/>
        </w:rPr>
      </w:pPr>
      <w:r>
        <w:rPr>
          <w:rFonts w:hint="eastAsia" w:hAnsi="宋体"/>
          <w:color w:val="auto"/>
          <w:szCs w:val="21"/>
          <w:highlight w:val="none"/>
        </w:rPr>
        <w:t>（16）投标人关于产品生产时间、升级或者更新淘汰计划、配件供应以及本单位债务纠纷、违法违规记录等方面的情况（内容见投标声明书）；</w:t>
      </w:r>
    </w:p>
    <w:p>
      <w:pPr>
        <w:adjustRightInd w:val="0"/>
        <w:snapToGrid w:val="0"/>
        <w:spacing w:line="440" w:lineRule="exact"/>
        <w:ind w:left="3368" w:leftChars="200" w:hanging="2948" w:hangingChars="1404"/>
        <w:jc w:val="left"/>
        <w:rPr>
          <w:rFonts w:hint="eastAsia" w:ascii="宋体" w:hAnsi="宋体"/>
          <w:color w:val="auto"/>
          <w:szCs w:val="21"/>
          <w:highlight w:val="none"/>
        </w:rPr>
      </w:pPr>
      <w:r>
        <w:rPr>
          <w:rFonts w:hint="eastAsia" w:hAnsi="宋体"/>
          <w:color w:val="auto"/>
          <w:szCs w:val="21"/>
          <w:highlight w:val="none"/>
        </w:rPr>
        <w:t>（17）</w:t>
      </w:r>
      <w:r>
        <w:rPr>
          <w:rFonts w:hint="eastAsia" w:ascii="宋体" w:hAnsi="宋体"/>
          <w:color w:val="auto"/>
          <w:szCs w:val="21"/>
          <w:highlight w:val="none"/>
        </w:rPr>
        <w:t>中小企业声明函（格式见第六章，如有请提供）；</w:t>
      </w:r>
    </w:p>
    <w:p>
      <w:pPr>
        <w:adjustRightInd w:val="0"/>
        <w:snapToGrid w:val="0"/>
        <w:spacing w:line="440" w:lineRule="exact"/>
        <w:ind w:left="3368" w:leftChars="200" w:hanging="2948" w:hangingChars="1404"/>
        <w:jc w:val="left"/>
        <w:rPr>
          <w:rFonts w:hint="eastAsia" w:ascii="宋体" w:hAnsi="宋体"/>
          <w:color w:val="auto"/>
          <w:szCs w:val="21"/>
          <w:highlight w:val="none"/>
        </w:rPr>
      </w:pPr>
      <w:r>
        <w:rPr>
          <w:rFonts w:hint="eastAsia" w:ascii="宋体" w:hAnsi="宋体"/>
          <w:color w:val="auto"/>
          <w:szCs w:val="21"/>
          <w:highlight w:val="none"/>
        </w:rPr>
        <w:t>（18）</w:t>
      </w:r>
      <w:r>
        <w:rPr>
          <w:rFonts w:hint="eastAsia" w:hAnsi="宋体"/>
          <w:color w:val="auto"/>
          <w:szCs w:val="21"/>
          <w:highlight w:val="none"/>
        </w:rPr>
        <w:t>关于符合本国产品标准的声明函（格式见第六章，如有请提供）；</w:t>
      </w:r>
    </w:p>
    <w:p>
      <w:pPr>
        <w:snapToGrid w:val="0"/>
        <w:spacing w:line="360" w:lineRule="exact"/>
        <w:ind w:firstLine="411" w:firstLineChars="196"/>
        <w:jc w:val="left"/>
        <w:rPr>
          <w:rFonts w:hint="eastAsia" w:hAnsi="宋体"/>
          <w:color w:val="auto"/>
          <w:szCs w:val="21"/>
          <w:highlight w:val="none"/>
        </w:rPr>
      </w:pPr>
      <w:r>
        <w:rPr>
          <w:rFonts w:hint="eastAsia" w:hAnsi="宋体"/>
          <w:color w:val="auto"/>
          <w:szCs w:val="21"/>
          <w:highlight w:val="none"/>
        </w:rPr>
        <w:t>（19）投标人情况介绍。</w:t>
      </w:r>
    </w:p>
    <w:p>
      <w:pPr>
        <w:snapToGrid w:val="0"/>
        <w:spacing w:before="156" w:beforeLines="50" w:line="360" w:lineRule="exact"/>
        <w:ind w:firstLine="413" w:firstLineChars="196"/>
        <w:jc w:val="left"/>
        <w:rPr>
          <w:rFonts w:hint="eastAsia" w:ascii="宋体" w:hAnsi="宋体"/>
          <w:b/>
          <w:color w:val="auto"/>
          <w:szCs w:val="21"/>
          <w:highlight w:val="none"/>
        </w:rPr>
      </w:pPr>
      <w:r>
        <w:rPr>
          <w:rFonts w:hint="eastAsia" w:ascii="宋体" w:hAnsi="宋体"/>
          <w:b/>
          <w:color w:val="auto"/>
          <w:szCs w:val="21"/>
          <w:highlight w:val="none"/>
        </w:rPr>
        <w:t>3.技术文件</w:t>
      </w:r>
    </w:p>
    <w:p>
      <w:pPr>
        <w:snapToGrid w:val="0"/>
        <w:spacing w:line="36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（1）对本项目系统总体要求的理解；</w:t>
      </w:r>
    </w:p>
    <w:p>
      <w:pPr>
        <w:snapToGrid w:val="0"/>
        <w:spacing w:line="36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（2）</w:t>
      </w:r>
      <w:r>
        <w:rPr>
          <w:rFonts w:hint="eastAsia" w:ascii="宋体" w:hAnsi="宋体"/>
          <w:b/>
          <w:color w:val="auto"/>
          <w:szCs w:val="21"/>
          <w:highlight w:val="none"/>
        </w:rPr>
        <w:t>技术响应表（</w:t>
      </w:r>
      <w:r>
        <w:rPr>
          <w:rFonts w:hint="eastAsia" w:ascii="宋体" w:hAnsi="宋体"/>
          <w:b/>
          <w:color w:val="auto"/>
          <w:szCs w:val="21"/>
          <w:highlight w:val="none"/>
          <w:u w:val="single"/>
        </w:rPr>
        <w:t>必须提供</w:t>
      </w:r>
      <w:r>
        <w:rPr>
          <w:rFonts w:hint="eastAsia" w:ascii="宋体" w:hAnsi="宋体"/>
          <w:b/>
          <w:color w:val="auto"/>
          <w:szCs w:val="21"/>
          <w:highlight w:val="none"/>
        </w:rPr>
        <w:t>）；</w:t>
      </w:r>
    </w:p>
    <w:p>
      <w:pPr>
        <w:snapToGrid w:val="0"/>
        <w:spacing w:line="36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（3）设备配置清单（均不含报价）；</w:t>
      </w:r>
    </w:p>
    <w:p>
      <w:pPr>
        <w:snapToGrid w:val="0"/>
        <w:spacing w:line="36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（4）</w:t>
      </w:r>
      <w:r>
        <w:rPr>
          <w:rFonts w:hint="eastAsia"/>
          <w:b/>
          <w:color w:val="auto"/>
          <w:highlight w:val="none"/>
        </w:rPr>
        <w:t>售后服务承诺书</w:t>
      </w:r>
      <w:r>
        <w:rPr>
          <w:rFonts w:hint="eastAsia"/>
          <w:color w:val="auto"/>
          <w:highlight w:val="none"/>
        </w:rPr>
        <w:t>（应据项目实际要求描述如：</w:t>
      </w:r>
      <w:r>
        <w:rPr>
          <w:rFonts w:hint="eastAsia" w:ascii="宋体" w:hAnsi="宋体"/>
          <w:color w:val="auto"/>
          <w:szCs w:val="21"/>
          <w:highlight w:val="none"/>
        </w:rPr>
        <w:t>投标人建议的安装、调试、验收方法或方案；技术服务、技术培训、售后服务的内容和措施等），</w:t>
      </w:r>
      <w:r>
        <w:rPr>
          <w:rFonts w:hint="eastAsia" w:ascii="宋体" w:hAnsi="宋体"/>
          <w:b/>
          <w:color w:val="auto"/>
          <w:szCs w:val="21"/>
          <w:highlight w:val="none"/>
        </w:rPr>
        <w:t>(</w:t>
      </w:r>
      <w:r>
        <w:rPr>
          <w:rFonts w:hint="eastAsia" w:ascii="宋体" w:hAnsi="宋体"/>
          <w:b/>
          <w:color w:val="auto"/>
          <w:szCs w:val="21"/>
          <w:highlight w:val="none"/>
          <w:u w:val="single"/>
        </w:rPr>
        <w:t>格式自拟，必须提供</w:t>
      </w:r>
      <w:r>
        <w:rPr>
          <w:rFonts w:hint="eastAsia" w:ascii="宋体" w:hAnsi="宋体"/>
          <w:b/>
          <w:color w:val="auto"/>
          <w:szCs w:val="21"/>
          <w:highlight w:val="none"/>
        </w:rPr>
        <w:t>)</w:t>
      </w:r>
      <w:r>
        <w:rPr>
          <w:rFonts w:hint="eastAsia" w:ascii="宋体" w:hAnsi="宋体"/>
          <w:color w:val="auto"/>
          <w:szCs w:val="21"/>
          <w:highlight w:val="none"/>
        </w:rPr>
        <w:t>；</w:t>
      </w:r>
    </w:p>
    <w:p>
      <w:pPr>
        <w:snapToGrid w:val="0"/>
        <w:spacing w:line="36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 xml:space="preserve">（5）投标人拥有主要装备和检测设施的情况和现状（格式自拟）及项目实施人员一览表； </w:t>
      </w:r>
    </w:p>
    <w:p>
      <w:pPr>
        <w:snapToGrid w:val="0"/>
        <w:spacing w:line="36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（6）优惠条件：投标人承诺给予招标人的各种优惠条件，包括备品备件、专用耗材、售后服务等方面的优惠；</w:t>
      </w:r>
    </w:p>
    <w:p>
      <w:pPr>
        <w:snapToGrid w:val="0"/>
        <w:spacing w:line="36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（7）投标人对本项目的合理化建议和改进措施；</w:t>
      </w:r>
    </w:p>
    <w:p>
      <w:pPr>
        <w:snapToGrid w:val="0"/>
        <w:spacing w:line="36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（8）投标人需要说明的其他文件和说明（格式略）；</w:t>
      </w:r>
    </w:p>
    <w:p>
      <w:pPr>
        <w:snapToGrid w:val="0"/>
        <w:spacing w:line="36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▲（9）招标项目采购需求中要求必须提供的材料。</w:t>
      </w:r>
    </w:p>
    <w:p>
      <w:pPr>
        <w:snapToGrid w:val="0"/>
        <w:spacing w:before="156" w:beforeLines="50" w:line="360" w:lineRule="exact"/>
        <w:ind w:firstLine="413" w:firstLineChars="196"/>
        <w:jc w:val="left"/>
        <w:rPr>
          <w:rFonts w:hint="eastAsia" w:ascii="宋体" w:hAnsi="宋体"/>
          <w:b/>
          <w:color w:val="auto"/>
          <w:szCs w:val="21"/>
          <w:highlight w:val="none"/>
        </w:rPr>
      </w:pPr>
      <w:r>
        <w:rPr>
          <w:rFonts w:hint="eastAsia" w:ascii="宋体" w:hAnsi="宋体"/>
          <w:b/>
          <w:color w:val="auto"/>
          <w:szCs w:val="21"/>
          <w:highlight w:val="none"/>
        </w:rPr>
        <w:t>4.报价文件：</w:t>
      </w:r>
    </w:p>
    <w:p>
      <w:pPr>
        <w:tabs>
          <w:tab w:val="left" w:pos="3870"/>
          <w:tab w:val="left" w:pos="4085"/>
        </w:tabs>
        <w:snapToGrid w:val="0"/>
        <w:spacing w:line="36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（1）投标函（</w:t>
      </w:r>
      <w:r>
        <w:rPr>
          <w:rFonts w:hint="eastAsia" w:ascii="宋体" w:hAnsi="宋体"/>
          <w:b/>
          <w:color w:val="auto"/>
          <w:szCs w:val="21"/>
          <w:highlight w:val="none"/>
        </w:rPr>
        <w:t>必须提供</w:t>
      </w:r>
      <w:r>
        <w:rPr>
          <w:rFonts w:hint="eastAsia" w:ascii="宋体" w:hAnsi="宋体"/>
          <w:color w:val="auto"/>
          <w:szCs w:val="21"/>
          <w:highlight w:val="none"/>
        </w:rPr>
        <w:t xml:space="preserve">，格式见第六章）； </w:t>
      </w:r>
    </w:p>
    <w:p>
      <w:pPr>
        <w:tabs>
          <w:tab w:val="left" w:pos="3870"/>
          <w:tab w:val="left" w:pos="4085"/>
        </w:tabs>
        <w:snapToGrid w:val="0"/>
        <w:spacing w:line="36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（2）投标报价明细表（</w:t>
      </w:r>
      <w:r>
        <w:rPr>
          <w:rFonts w:hint="eastAsia" w:ascii="宋体" w:hAnsi="宋体"/>
          <w:b/>
          <w:color w:val="auto"/>
          <w:szCs w:val="21"/>
          <w:highlight w:val="none"/>
        </w:rPr>
        <w:t>必须提供</w:t>
      </w:r>
      <w:r>
        <w:rPr>
          <w:rFonts w:hint="eastAsia" w:ascii="宋体" w:hAnsi="宋体"/>
          <w:color w:val="auto"/>
          <w:szCs w:val="21"/>
          <w:highlight w:val="none"/>
        </w:rPr>
        <w:t>，格式见第六章）；</w:t>
      </w:r>
    </w:p>
    <w:p>
      <w:pPr>
        <w:tabs>
          <w:tab w:val="left" w:pos="3870"/>
          <w:tab w:val="left" w:pos="4085"/>
        </w:tabs>
        <w:snapToGrid w:val="0"/>
        <w:spacing w:line="36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（3）投标人针对报价需要说明的其他文件和说明（格式自拟）；</w:t>
      </w:r>
    </w:p>
    <w:p>
      <w:pPr>
        <w:tabs>
          <w:tab w:val="left" w:pos="3870"/>
          <w:tab w:val="left" w:pos="4085"/>
        </w:tabs>
        <w:snapToGrid w:val="0"/>
        <w:spacing w:line="360" w:lineRule="exact"/>
        <w:ind w:firstLine="420" w:firstLineChars="200"/>
        <w:jc w:val="left"/>
        <w:rPr>
          <w:rFonts w:hint="eastAsia" w:ascii="宋体" w:hAnsi="宋体" w:eastAsia="等线"/>
          <w:color w:val="auto"/>
          <w:szCs w:val="21"/>
          <w:highlight w:val="none"/>
        </w:rPr>
      </w:pPr>
      <w:r>
        <w:rPr>
          <w:rFonts w:hint="eastAsia" w:ascii="宋体" w:hAnsi="宋体"/>
          <w:color w:val="auto"/>
          <w:szCs w:val="21"/>
          <w:highlight w:val="none"/>
        </w:rPr>
        <w:t>（4）开标一览表（</w:t>
      </w:r>
      <w:r>
        <w:rPr>
          <w:rFonts w:hint="eastAsia" w:ascii="宋体" w:hAnsi="宋体"/>
          <w:b/>
          <w:color w:val="auto"/>
          <w:szCs w:val="21"/>
          <w:highlight w:val="none"/>
        </w:rPr>
        <w:t>必须提供</w:t>
      </w:r>
      <w:r>
        <w:rPr>
          <w:rFonts w:hint="eastAsia" w:ascii="宋体" w:hAnsi="宋体"/>
          <w:color w:val="auto"/>
          <w:szCs w:val="21"/>
          <w:highlight w:val="none"/>
        </w:rPr>
        <w:t>，格式见第六章）。</w:t>
      </w:r>
    </w:p>
    <w:p>
      <w:pPr>
        <w:pStyle w:val="45"/>
        <w:spacing w:line="360" w:lineRule="exact"/>
        <w:ind w:firstLine="420" w:firstLineChars="200"/>
        <w:rPr>
          <w:rFonts w:hint="eastAsia" w:ascii="宋体" w:hAnsi="宋体"/>
          <w:color w:val="auto"/>
          <w:szCs w:val="21"/>
          <w:highlight w:val="none"/>
        </w:rPr>
      </w:pPr>
      <w:r>
        <w:rPr>
          <w:rFonts w:hint="eastAsia" w:ascii="宋体" w:hAnsi="宋体"/>
          <w:color w:val="auto"/>
          <w:szCs w:val="21"/>
          <w:highlight w:val="none"/>
        </w:rPr>
        <w:t>▲</w:t>
      </w:r>
      <w:r>
        <w:rPr>
          <w:rFonts w:hint="eastAsia" w:ascii="宋体" w:hAnsi="宋体"/>
          <w:b/>
          <w:bCs/>
          <w:color w:val="auto"/>
          <w:szCs w:val="21"/>
          <w:highlight w:val="none"/>
        </w:rPr>
        <w:t>注：法定代表人授权委托书、投标声明书、投标函、开标一览表必须按</w:t>
      </w:r>
      <w:r>
        <w:rPr>
          <w:rFonts w:hint="eastAsia" w:ascii="宋体" w:hAnsi="宋体"/>
          <w:b/>
          <w:color w:val="auto"/>
          <w:szCs w:val="21"/>
          <w:highlight w:val="none"/>
        </w:rPr>
        <w:t>招标文件格式要求</w:t>
      </w:r>
      <w:r>
        <w:rPr>
          <w:rFonts w:ascii="宋体" w:hAnsi="宋体"/>
          <w:b/>
          <w:color w:val="auto"/>
          <w:szCs w:val="21"/>
          <w:highlight w:val="none"/>
          <w:lang w:val="en"/>
        </w:rPr>
        <w:t>签字或签章</w:t>
      </w:r>
      <w:r>
        <w:rPr>
          <w:rFonts w:hint="eastAsia" w:ascii="宋体" w:hAnsi="宋体"/>
          <w:b/>
          <w:bCs/>
          <w:color w:val="auto"/>
          <w:szCs w:val="21"/>
          <w:highlight w:val="none"/>
        </w:rPr>
        <w:t>并加盖单位公章。</w:t>
      </w:r>
    </w:p>
    <w:p>
      <w:pPr>
        <w:snapToGrid w:val="0"/>
        <w:spacing w:line="360" w:lineRule="exact"/>
        <w:ind w:firstLine="413" w:firstLineChars="196"/>
        <w:jc w:val="left"/>
        <w:outlineLvl w:val="0"/>
        <w:rPr>
          <w:rFonts w:hint="eastAsia" w:ascii="宋体" w:hAnsi="宋体"/>
          <w:b/>
          <w:color w:val="auto"/>
          <w:szCs w:val="21"/>
          <w:highlight w:val="none"/>
        </w:rPr>
      </w:pPr>
      <w:r>
        <w:rPr>
          <w:rFonts w:hint="eastAsia" w:ascii="宋体" w:hAnsi="宋体"/>
          <w:b/>
          <w:color w:val="auto"/>
          <w:szCs w:val="21"/>
          <w:highlight w:val="none"/>
        </w:rPr>
        <w:t>（二）投标文件的语言及计量</w:t>
      </w:r>
    </w:p>
    <w:p>
      <w:pPr>
        <w:snapToGrid w:val="0"/>
        <w:spacing w:line="36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▲1投标文件以及投标方与招标方就有关投标事宜的所有来往函电，均应以中文汉语书写。除签名、盖章、专用名称等特殊情形外，以中文汉语以外的文字表述的投标文件视同未提供。</w:t>
      </w:r>
    </w:p>
    <w:p>
      <w:pPr>
        <w:snapToGrid w:val="0"/>
        <w:spacing w:line="36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▲2投标计量单位，招标文件已有明确规定的，使用招标文件规定的计量单位；招标文件没有规定的，应采用中华人民共和国法定计量单位（货币单位：人民币元），否则视同未响应。</w:t>
      </w:r>
    </w:p>
    <w:p>
      <w:pPr>
        <w:snapToGrid w:val="0"/>
        <w:spacing w:before="156" w:beforeLines="50" w:line="360" w:lineRule="exact"/>
        <w:ind w:firstLine="413" w:firstLineChars="196"/>
        <w:jc w:val="left"/>
        <w:outlineLvl w:val="0"/>
        <w:rPr>
          <w:rFonts w:hint="eastAsia" w:ascii="宋体" w:hAnsi="宋体"/>
          <w:b/>
          <w:color w:val="auto"/>
          <w:szCs w:val="21"/>
          <w:highlight w:val="none"/>
        </w:rPr>
      </w:pPr>
      <w:r>
        <w:rPr>
          <w:rFonts w:hint="eastAsia" w:ascii="宋体" w:hAnsi="宋体"/>
          <w:b/>
          <w:color w:val="auto"/>
          <w:szCs w:val="21"/>
          <w:highlight w:val="none"/>
        </w:rPr>
        <w:t>（三）投标报价</w:t>
      </w:r>
    </w:p>
    <w:p>
      <w:pPr>
        <w:pStyle w:val="29"/>
        <w:snapToGrid w:val="0"/>
        <w:spacing w:line="360" w:lineRule="exact"/>
        <w:ind w:firstLine="420" w:firstLineChars="200"/>
        <w:jc w:val="left"/>
        <w:rPr>
          <w:rFonts w:hint="eastAsia" w:hAnsi="宋体"/>
          <w:color w:val="auto"/>
          <w:highlight w:val="none"/>
        </w:rPr>
      </w:pPr>
      <w:r>
        <w:rPr>
          <w:rFonts w:hint="eastAsia" w:hAnsi="宋体"/>
          <w:color w:val="auto"/>
          <w:highlight w:val="none"/>
        </w:rPr>
        <w:t>1.投标报价应按招标文件中相关附表格式填写。</w:t>
      </w:r>
      <w:r>
        <w:rPr>
          <w:rFonts w:hint="eastAsia" w:hAnsi="宋体"/>
          <w:b/>
          <w:bCs/>
          <w:color w:val="auto"/>
          <w:highlight w:val="none"/>
        </w:rPr>
        <w:t>投标人可就《项目采购需求》中的货物和服务内容按分标分别作完整唯一报价。</w:t>
      </w:r>
    </w:p>
    <w:p>
      <w:pPr>
        <w:pStyle w:val="29"/>
        <w:snapToGrid w:val="0"/>
        <w:spacing w:line="360" w:lineRule="exact"/>
        <w:ind w:firstLine="420" w:firstLineChars="200"/>
        <w:jc w:val="left"/>
        <w:rPr>
          <w:rFonts w:hint="eastAsia" w:hAnsi="宋体"/>
          <w:color w:val="auto"/>
          <w:highlight w:val="none"/>
        </w:rPr>
      </w:pPr>
      <w:r>
        <w:rPr>
          <w:rFonts w:hint="eastAsia" w:hAnsi="宋体"/>
          <w:color w:val="auto"/>
          <w:highlight w:val="none"/>
        </w:rPr>
        <w:t>2.投标报价是履行合同的最终价格，应包括货款、标准附件、备品备件、专用工具、包装、运输、装卸、保险、税金、货到就位以及安装、调试、培训、保修等一切税金和费用。</w:t>
      </w:r>
    </w:p>
    <w:p>
      <w:pPr>
        <w:tabs>
          <w:tab w:val="left" w:pos="525"/>
        </w:tabs>
        <w:snapToGrid w:val="0"/>
        <w:spacing w:line="36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3.投标文件只允许有一个报价，有选择的或有条件的报价将不予接受。</w:t>
      </w:r>
    </w:p>
    <w:p>
      <w:pPr>
        <w:pStyle w:val="14"/>
        <w:widowControl w:val="0"/>
        <w:tabs>
          <w:tab w:val="clear" w:pos="454"/>
        </w:tabs>
        <w:snapToGrid w:val="0"/>
        <w:spacing w:before="156" w:beforeLines="50" w:after="120" w:afterLines="0" w:line="360" w:lineRule="exact"/>
        <w:ind w:left="0" w:firstLine="413" w:firstLineChars="196"/>
        <w:outlineLvl w:val="0"/>
        <w:rPr>
          <w:rFonts w:hint="eastAsia" w:ascii="宋体" w:hAnsi="宋体"/>
          <w:b/>
          <w:color w:val="auto"/>
          <w:sz w:val="21"/>
          <w:szCs w:val="21"/>
          <w:highlight w:val="none"/>
        </w:rPr>
      </w:pPr>
      <w:r>
        <w:rPr>
          <w:rFonts w:hint="eastAsia" w:ascii="宋体" w:hAnsi="宋体"/>
          <w:b/>
          <w:color w:val="auto"/>
          <w:sz w:val="21"/>
          <w:szCs w:val="21"/>
          <w:highlight w:val="none"/>
        </w:rPr>
        <w:t>（四）投标文件的有效期</w:t>
      </w:r>
    </w:p>
    <w:p>
      <w:pPr>
        <w:pStyle w:val="14"/>
        <w:widowControl w:val="0"/>
        <w:tabs>
          <w:tab w:val="clear" w:pos="454"/>
        </w:tabs>
        <w:snapToGrid w:val="0"/>
        <w:spacing w:after="120" w:afterLines="0" w:line="360" w:lineRule="exact"/>
        <w:ind w:left="0"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1.自投标截止日起</w:t>
      </w:r>
      <w:r>
        <w:rPr>
          <w:rFonts w:hint="eastAsia" w:ascii="宋体" w:hAnsi="宋体"/>
          <w:b/>
          <w:color w:val="auto"/>
          <w:sz w:val="21"/>
          <w:szCs w:val="21"/>
          <w:highlight w:val="none"/>
          <w:u w:val="single"/>
        </w:rPr>
        <w:t>六十日</w:t>
      </w:r>
      <w:r>
        <w:rPr>
          <w:rFonts w:hint="eastAsia" w:ascii="宋体" w:hAnsi="宋体"/>
          <w:color w:val="auto"/>
          <w:sz w:val="21"/>
          <w:szCs w:val="21"/>
          <w:highlight w:val="none"/>
        </w:rPr>
        <w:t>投标文件应保持有效。有效期不足的投标文件将被拒绝。</w:t>
      </w:r>
    </w:p>
    <w:p>
      <w:pPr>
        <w:pStyle w:val="14"/>
        <w:widowControl w:val="0"/>
        <w:tabs>
          <w:tab w:val="clear" w:pos="454"/>
        </w:tabs>
        <w:snapToGrid w:val="0"/>
        <w:spacing w:after="120" w:afterLines="0" w:line="360" w:lineRule="exact"/>
        <w:ind w:left="0"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2.在特殊情况下，招标人可与投标人协商延长投标书的有效期，这种要求和答复均以书面形式进行。</w:t>
      </w:r>
    </w:p>
    <w:p>
      <w:pPr>
        <w:snapToGrid w:val="0"/>
        <w:spacing w:line="360" w:lineRule="exact"/>
        <w:ind w:firstLine="420" w:firstLineChars="200"/>
        <w:jc w:val="left"/>
        <w:outlineLvl w:val="0"/>
        <w:rPr>
          <w:rFonts w:hint="eastAsia" w:ascii="宋体" w:hAnsi="宋体"/>
          <w:b/>
          <w:color w:val="auto"/>
          <w:szCs w:val="21"/>
          <w:highlight w:val="none"/>
        </w:rPr>
      </w:pPr>
      <w:r>
        <w:rPr>
          <w:rFonts w:hint="eastAsia" w:ascii="宋体" w:hAnsi="宋体"/>
          <w:color w:val="auto"/>
          <w:szCs w:val="21"/>
          <w:highlight w:val="none"/>
        </w:rPr>
        <w:t>3.投标人可拒绝接受延期要求而不会导致投标保证金被没收。同意延长有效期的投标人需要相应延长投标保证金的有效期，但不能修改投标文件。</w:t>
      </w:r>
      <w:r>
        <w:rPr>
          <w:rFonts w:hint="eastAsia" w:ascii="宋体" w:hAnsi="宋体"/>
          <w:b/>
          <w:color w:val="auto"/>
          <w:szCs w:val="21"/>
          <w:highlight w:val="none"/>
        </w:rPr>
        <w:t xml:space="preserve"> </w:t>
      </w:r>
    </w:p>
    <w:p>
      <w:pPr>
        <w:snapToGrid w:val="0"/>
        <w:spacing w:line="360" w:lineRule="exact"/>
        <w:ind w:firstLine="420" w:firstLineChars="200"/>
        <w:jc w:val="left"/>
        <w:outlineLvl w:val="0"/>
        <w:rPr>
          <w:rFonts w:hint="eastAsia" w:ascii="宋体" w:hAnsi="宋体"/>
          <w:b/>
          <w:color w:val="auto"/>
          <w:szCs w:val="21"/>
          <w:highlight w:val="none"/>
        </w:rPr>
      </w:pPr>
      <w:r>
        <w:rPr>
          <w:rFonts w:hint="eastAsia" w:ascii="宋体" w:hAnsi="宋体"/>
          <w:color w:val="auto"/>
          <w:szCs w:val="21"/>
          <w:highlight w:val="none"/>
        </w:rPr>
        <w:t>4.中标人的投标文件自开标之日起至合同履行完毕止均应保持有效。</w:t>
      </w:r>
    </w:p>
    <w:p>
      <w:pPr>
        <w:snapToGrid w:val="0"/>
        <w:spacing w:before="156" w:beforeLines="50" w:line="360" w:lineRule="exact"/>
        <w:ind w:firstLine="413" w:firstLineChars="196"/>
        <w:jc w:val="left"/>
        <w:outlineLvl w:val="0"/>
        <w:rPr>
          <w:rFonts w:hint="eastAsia" w:ascii="宋体" w:hAnsi="宋体"/>
          <w:b/>
          <w:color w:val="auto"/>
          <w:szCs w:val="21"/>
          <w:highlight w:val="none"/>
        </w:rPr>
      </w:pPr>
      <w:r>
        <w:rPr>
          <w:rFonts w:hint="eastAsia" w:ascii="宋体" w:hAnsi="宋体"/>
          <w:b/>
          <w:color w:val="auto"/>
          <w:szCs w:val="21"/>
          <w:highlight w:val="none"/>
        </w:rPr>
        <w:t>（五）投标保证金</w:t>
      </w:r>
    </w:p>
    <w:p>
      <w:pPr>
        <w:pStyle w:val="29"/>
        <w:spacing w:line="420" w:lineRule="exact"/>
        <w:ind w:left="840" w:leftChars="200" w:hanging="420" w:hangingChars="200"/>
        <w:rPr>
          <w:rFonts w:hint="eastAsia" w:hAnsi="宋体"/>
          <w:color w:val="auto"/>
          <w:highlight w:val="none"/>
        </w:rPr>
      </w:pPr>
      <w:r>
        <w:rPr>
          <w:rFonts w:hint="eastAsia" w:hAnsi="宋体"/>
          <w:color w:val="auto"/>
          <w:highlight w:val="none"/>
        </w:rPr>
        <w:t>1. 投标保证金应用人民币，投标人须按规定提交投标保证金。否则，其投标将被拒绝。</w:t>
      </w:r>
    </w:p>
    <w:p>
      <w:pPr>
        <w:snapToGrid w:val="0"/>
        <w:spacing w:line="36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2.保证金交纳形式：</w:t>
      </w:r>
      <w:r>
        <w:rPr>
          <w:rFonts w:hint="eastAsia" w:ascii="宋体" w:hAnsi="宋体"/>
          <w:color w:val="auto"/>
          <w:highlight w:val="none"/>
        </w:rPr>
        <w:t>支票、汇票、本票、金融机构、担保机构</w:t>
      </w:r>
      <w:r>
        <w:rPr>
          <w:rFonts w:ascii="宋体" w:hAnsi="宋体"/>
          <w:color w:val="auto"/>
          <w:highlight w:val="none"/>
        </w:rPr>
        <w:t>出具的保函等非现金形式</w:t>
      </w:r>
      <w:r>
        <w:rPr>
          <w:rFonts w:hint="eastAsia" w:ascii="宋体" w:hAnsi="宋体"/>
          <w:color w:val="auto"/>
          <w:szCs w:val="21"/>
          <w:highlight w:val="none"/>
        </w:rPr>
        <w:t>。</w:t>
      </w:r>
    </w:p>
    <w:p>
      <w:pPr>
        <w:snapToGrid w:val="0"/>
        <w:spacing w:line="36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3.</w:t>
      </w:r>
      <w:r>
        <w:rPr>
          <w:rFonts w:ascii="宋体" w:hAnsi="宋体"/>
          <w:color w:val="auto"/>
          <w:szCs w:val="21"/>
          <w:highlight w:val="none"/>
        </w:rPr>
        <w:t xml:space="preserve"> 投标人应按本须知</w:t>
      </w:r>
      <w:r>
        <w:rPr>
          <w:rFonts w:hint="eastAsia" w:ascii="宋体" w:hAnsi="宋体"/>
          <w:color w:val="auto"/>
          <w:szCs w:val="21"/>
          <w:highlight w:val="none"/>
        </w:rPr>
        <w:t>及</w:t>
      </w:r>
      <w:r>
        <w:rPr>
          <w:rFonts w:ascii="宋体" w:hAnsi="宋体"/>
          <w:color w:val="auto"/>
          <w:szCs w:val="21"/>
          <w:highlight w:val="none"/>
        </w:rPr>
        <w:t>招标公告中所明确的开户名称、开户银行、账号，于投标截止前交到本中心账户上（投标人交纳投标保证金时应充分考虑保证金到达本中心账户上的</w:t>
      </w:r>
      <w:r>
        <w:rPr>
          <w:rFonts w:hint="eastAsia" w:ascii="宋体" w:hAnsi="宋体"/>
          <w:color w:val="auto"/>
          <w:szCs w:val="21"/>
          <w:highlight w:val="none"/>
        </w:rPr>
        <w:t>清算</w:t>
      </w:r>
      <w:r>
        <w:rPr>
          <w:rFonts w:ascii="宋体" w:hAnsi="宋体"/>
          <w:color w:val="auto"/>
          <w:szCs w:val="21"/>
          <w:highlight w:val="none"/>
        </w:rPr>
        <w:t>时间）。</w:t>
      </w:r>
    </w:p>
    <w:p>
      <w:pPr>
        <w:snapToGrid w:val="0"/>
        <w:spacing w:line="360" w:lineRule="exact"/>
        <w:jc w:val="left"/>
        <w:rPr>
          <w:rFonts w:hint="eastAsia" w:ascii="宋体" w:hAnsi="宋体"/>
          <w:color w:val="auto"/>
          <w:szCs w:val="21"/>
          <w:highlight w:val="none"/>
        </w:rPr>
      </w:pPr>
      <w:r>
        <w:rPr>
          <w:rFonts w:hint="eastAsia"/>
          <w:b/>
          <w:color w:val="auto"/>
          <w:highlight w:val="none"/>
          <w:u w:val="single"/>
        </w:rPr>
        <w:t>本中心财务（</w:t>
      </w:r>
      <w:r>
        <w:rPr>
          <w:b/>
          <w:color w:val="auto"/>
          <w:highlight w:val="none"/>
          <w:u w:val="single"/>
          <w:lang w:val="en"/>
        </w:rPr>
        <w:t>地址：</w:t>
      </w:r>
    </w:p>
    <w:p>
      <w:pPr>
        <w:pStyle w:val="29"/>
        <w:spacing w:line="420" w:lineRule="exact"/>
        <w:ind w:left="1" w:firstLine="630" w:firstLineChars="349"/>
        <w:rPr>
          <w:b/>
          <w:color w:val="auto"/>
          <w:sz w:val="18"/>
          <w:szCs w:val="18"/>
          <w:highlight w:val="none"/>
        </w:rPr>
      </w:pPr>
      <w:r>
        <w:rPr>
          <w:rFonts w:hint="eastAsia" w:hAnsi="宋体"/>
          <w:b/>
          <w:color w:val="auto"/>
          <w:sz w:val="18"/>
          <w:szCs w:val="18"/>
          <w:highlight w:val="none"/>
        </w:rPr>
        <w:t>注：①</w:t>
      </w:r>
      <w:r>
        <w:rPr>
          <w:rFonts w:hint="eastAsia"/>
          <w:b/>
          <w:color w:val="auto"/>
          <w:sz w:val="18"/>
          <w:szCs w:val="18"/>
          <w:highlight w:val="none"/>
        </w:rPr>
        <w:t>办理投标保证金手续时，请务必在保证金凭据上注明或写明项目名称及项目编号，以免耽误投标。</w:t>
      </w:r>
    </w:p>
    <w:p>
      <w:pPr>
        <w:snapToGrid w:val="0"/>
        <w:spacing w:line="360" w:lineRule="exact"/>
        <w:ind w:firstLine="984" w:firstLineChars="545"/>
        <w:jc w:val="left"/>
        <w:rPr>
          <w:rFonts w:hint="eastAsia" w:hAnsi="宋体"/>
          <w:b/>
          <w:color w:val="auto"/>
          <w:sz w:val="18"/>
          <w:szCs w:val="18"/>
          <w:highlight w:val="none"/>
        </w:rPr>
      </w:pPr>
      <w:r>
        <w:rPr>
          <w:rFonts w:hint="eastAsia" w:hAnsi="宋体"/>
          <w:b/>
          <w:color w:val="auto"/>
          <w:sz w:val="18"/>
          <w:szCs w:val="18"/>
          <w:highlight w:val="none"/>
        </w:rPr>
        <w:t>②</w:t>
      </w:r>
      <w:r>
        <w:rPr>
          <w:rFonts w:hint="eastAsia" w:ascii="宋体" w:hAnsi="宋体"/>
          <w:b/>
          <w:color w:val="auto"/>
          <w:sz w:val="18"/>
          <w:szCs w:val="18"/>
          <w:highlight w:val="none"/>
        </w:rPr>
        <w:t>未中标人的投标保证金在中标通知书发出后4个工作日内退还，</w:t>
      </w:r>
      <w:r>
        <w:rPr>
          <w:rFonts w:hint="eastAsia" w:hAnsi="宋体"/>
          <w:b/>
          <w:color w:val="auto"/>
          <w:sz w:val="18"/>
          <w:szCs w:val="18"/>
          <w:highlight w:val="none"/>
        </w:rPr>
        <w:t>不计利息。</w:t>
      </w:r>
    </w:p>
    <w:p>
      <w:pPr>
        <w:snapToGrid w:val="0"/>
        <w:spacing w:line="360" w:lineRule="exact"/>
        <w:ind w:firstLine="990" w:firstLineChars="548"/>
        <w:jc w:val="left"/>
        <w:rPr>
          <w:rFonts w:hint="eastAsia" w:ascii="宋体" w:hAnsi="宋体"/>
          <w:b/>
          <w:color w:val="auto"/>
          <w:sz w:val="18"/>
          <w:szCs w:val="18"/>
          <w:highlight w:val="none"/>
        </w:rPr>
      </w:pPr>
      <w:r>
        <w:rPr>
          <w:rFonts w:hint="eastAsia" w:hAnsi="宋体"/>
          <w:b/>
          <w:color w:val="auto"/>
          <w:sz w:val="18"/>
          <w:szCs w:val="18"/>
          <w:highlight w:val="none"/>
        </w:rPr>
        <w:t>③</w:t>
      </w:r>
      <w:r>
        <w:rPr>
          <w:rFonts w:hint="eastAsia" w:ascii="宋体" w:hAnsi="宋体"/>
          <w:b/>
          <w:color w:val="auto"/>
          <w:spacing w:val="-4"/>
          <w:sz w:val="18"/>
          <w:szCs w:val="18"/>
          <w:highlight w:val="none"/>
        </w:rPr>
        <w:t>中标人的</w:t>
      </w:r>
      <w:r>
        <w:rPr>
          <w:rFonts w:ascii="宋体" w:hAnsi="宋体"/>
          <w:b/>
          <w:color w:val="auto"/>
          <w:spacing w:val="-4"/>
          <w:sz w:val="18"/>
          <w:szCs w:val="18"/>
          <w:highlight w:val="none"/>
        </w:rPr>
        <w:t>投标保证金自政府采购合同签订之日起</w:t>
      </w:r>
      <w:r>
        <w:rPr>
          <w:rFonts w:hint="eastAsia" w:ascii="宋体" w:hAnsi="宋体"/>
          <w:b/>
          <w:color w:val="auto"/>
          <w:spacing w:val="-4"/>
          <w:sz w:val="18"/>
          <w:szCs w:val="18"/>
          <w:highlight w:val="none"/>
        </w:rPr>
        <w:t>4个工作日</w:t>
      </w:r>
      <w:r>
        <w:rPr>
          <w:rFonts w:ascii="宋体" w:hAnsi="宋体"/>
          <w:b/>
          <w:color w:val="auto"/>
          <w:spacing w:val="-4"/>
          <w:sz w:val="18"/>
          <w:szCs w:val="18"/>
          <w:highlight w:val="none"/>
        </w:rPr>
        <w:t>内</w:t>
      </w:r>
      <w:r>
        <w:rPr>
          <w:rFonts w:hint="eastAsia" w:ascii="宋体" w:hAnsi="宋体"/>
          <w:b/>
          <w:color w:val="auto"/>
          <w:spacing w:val="-4"/>
          <w:sz w:val="18"/>
          <w:szCs w:val="18"/>
          <w:highlight w:val="none"/>
        </w:rPr>
        <w:t>（合同签订后送达本中心)后</w:t>
      </w:r>
      <w:r>
        <w:rPr>
          <w:rFonts w:ascii="宋体" w:hAnsi="宋体"/>
          <w:b/>
          <w:color w:val="auto"/>
          <w:spacing w:val="-4"/>
          <w:sz w:val="18"/>
          <w:szCs w:val="18"/>
          <w:highlight w:val="none"/>
        </w:rPr>
        <w:t>退还</w:t>
      </w:r>
      <w:r>
        <w:rPr>
          <w:rFonts w:hint="eastAsia" w:ascii="宋体" w:hAnsi="宋体"/>
          <w:b/>
          <w:color w:val="auto"/>
          <w:spacing w:val="-4"/>
          <w:sz w:val="18"/>
          <w:szCs w:val="18"/>
          <w:highlight w:val="none"/>
        </w:rPr>
        <w:t>，不计利息。</w:t>
      </w:r>
    </w:p>
    <w:p>
      <w:pPr>
        <w:snapToGrid w:val="0"/>
        <w:spacing w:line="36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 xml:space="preserve">4. </w:t>
      </w:r>
      <w:r>
        <w:rPr>
          <w:rFonts w:ascii="宋体" w:hAnsi="宋体" w:cs="宋体"/>
          <w:color w:val="auto"/>
          <w:kern w:val="0"/>
          <w:szCs w:val="21"/>
          <w:highlight w:val="none"/>
        </w:rPr>
        <w:t>中标人应在中标通知书发出</w:t>
      </w:r>
      <w:r>
        <w:rPr>
          <w:rFonts w:hint="eastAsia" w:ascii="宋体" w:hAnsi="宋体" w:cs="宋体"/>
          <w:color w:val="auto"/>
          <w:kern w:val="0"/>
          <w:szCs w:val="21"/>
          <w:highlight w:val="none"/>
        </w:rPr>
        <w:t>之日起</w:t>
      </w:r>
      <w:r>
        <w:rPr>
          <w:rFonts w:hint="eastAsia" w:ascii="宋体" w:hAnsi="宋体"/>
          <w:color w:val="auto"/>
          <w:szCs w:val="21"/>
          <w:highlight w:val="none"/>
          <w:u w:val="single"/>
        </w:rPr>
        <w:t>25</w:t>
      </w:r>
      <w:r>
        <w:rPr>
          <w:rFonts w:hint="eastAsia" w:ascii="宋体" w:hAnsi="宋体"/>
          <w:color w:val="auto"/>
          <w:szCs w:val="21"/>
          <w:highlight w:val="none"/>
        </w:rPr>
        <w:t>日内与采购人签订合同。</w:t>
      </w:r>
      <w:r>
        <w:rPr>
          <w:rFonts w:hint="eastAsia" w:hAnsi="宋体"/>
          <w:bCs/>
          <w:color w:val="auto"/>
          <w:highlight w:val="none"/>
        </w:rPr>
        <w:t>采购需求另有要求的，按照其要求执行。</w:t>
      </w:r>
    </w:p>
    <w:p>
      <w:pPr>
        <w:pStyle w:val="29"/>
        <w:spacing w:line="400" w:lineRule="exact"/>
        <w:ind w:firstLine="420" w:firstLineChars="200"/>
        <w:rPr>
          <w:rFonts w:hint="eastAsia" w:hAnsi="宋体"/>
          <w:color w:val="auto"/>
          <w:highlight w:val="none"/>
        </w:rPr>
      </w:pPr>
      <w:r>
        <w:rPr>
          <w:rFonts w:hint="eastAsia"/>
          <w:color w:val="auto"/>
          <w:highlight w:val="none"/>
        </w:rPr>
        <w:t>5.投标保证金不计息。</w:t>
      </w:r>
    </w:p>
    <w:p>
      <w:pPr>
        <w:snapToGrid w:val="0"/>
        <w:spacing w:line="360" w:lineRule="exact"/>
        <w:ind w:firstLine="413" w:firstLineChars="196"/>
        <w:jc w:val="left"/>
        <w:rPr>
          <w:rFonts w:hint="eastAsia" w:ascii="宋体" w:hAnsi="宋体"/>
          <w:b/>
          <w:bCs/>
          <w:color w:val="auto"/>
          <w:szCs w:val="21"/>
          <w:highlight w:val="none"/>
        </w:rPr>
      </w:pPr>
      <w:r>
        <w:rPr>
          <w:rFonts w:hint="eastAsia" w:ascii="宋体" w:hAnsi="宋体"/>
          <w:b/>
          <w:bCs/>
          <w:color w:val="auto"/>
          <w:szCs w:val="21"/>
          <w:highlight w:val="none"/>
        </w:rPr>
        <w:t>6.投标人有下列情形之一的，投标保证金将不予退还：</w:t>
      </w:r>
    </w:p>
    <w:p>
      <w:pPr>
        <w:snapToGrid w:val="0"/>
        <w:spacing w:line="360" w:lineRule="exact"/>
        <w:ind w:firstLine="411" w:firstLineChars="196"/>
        <w:jc w:val="left"/>
        <w:rPr>
          <w:rFonts w:hint="eastAsia" w:ascii="宋体" w:hAnsi="宋体"/>
          <w:color w:val="auto"/>
          <w:szCs w:val="21"/>
          <w:highlight w:val="none"/>
        </w:rPr>
      </w:pPr>
      <w:r>
        <w:rPr>
          <w:rFonts w:hint="eastAsia" w:ascii="宋体" w:hAnsi="宋体"/>
          <w:color w:val="auto"/>
          <w:szCs w:val="21"/>
          <w:highlight w:val="none"/>
        </w:rPr>
        <w:t>（1）投标人在投标有效期内撤回投标文件的；</w:t>
      </w:r>
    </w:p>
    <w:p>
      <w:pPr>
        <w:snapToGrid w:val="0"/>
        <w:spacing w:line="360" w:lineRule="exact"/>
        <w:ind w:firstLine="411" w:firstLineChars="196"/>
        <w:jc w:val="left"/>
        <w:rPr>
          <w:rFonts w:hint="eastAsia" w:ascii="宋体" w:hAnsi="宋体"/>
          <w:color w:val="auto"/>
          <w:szCs w:val="21"/>
          <w:highlight w:val="none"/>
        </w:rPr>
      </w:pPr>
      <w:r>
        <w:rPr>
          <w:rFonts w:hint="eastAsia" w:ascii="宋体" w:hAnsi="宋体"/>
          <w:color w:val="auto"/>
          <w:szCs w:val="21"/>
          <w:highlight w:val="none"/>
        </w:rPr>
        <w:t>（2）投标人在投标过程中弄虚作假，提供虚假材料的；</w:t>
      </w:r>
    </w:p>
    <w:p>
      <w:pPr>
        <w:snapToGrid w:val="0"/>
        <w:spacing w:line="360" w:lineRule="exact"/>
        <w:ind w:firstLine="411" w:firstLineChars="196"/>
        <w:jc w:val="left"/>
        <w:rPr>
          <w:rFonts w:hint="eastAsia" w:ascii="宋体" w:hAnsi="宋体"/>
          <w:color w:val="auto"/>
          <w:szCs w:val="21"/>
          <w:highlight w:val="none"/>
        </w:rPr>
      </w:pPr>
      <w:r>
        <w:rPr>
          <w:rFonts w:hint="eastAsia" w:ascii="宋体" w:hAnsi="宋体"/>
          <w:color w:val="auto"/>
          <w:szCs w:val="21"/>
          <w:highlight w:val="none"/>
        </w:rPr>
        <w:t>（3）中标人无正当理由不与采购人签订合同的；</w:t>
      </w:r>
    </w:p>
    <w:p>
      <w:pPr>
        <w:snapToGrid w:val="0"/>
        <w:spacing w:line="360" w:lineRule="exact"/>
        <w:ind w:firstLine="420" w:firstLineChars="200"/>
        <w:rPr>
          <w:rFonts w:hint="eastAsia" w:ascii="宋体" w:hAnsi="宋体"/>
          <w:color w:val="auto"/>
          <w:szCs w:val="21"/>
          <w:highlight w:val="none"/>
        </w:rPr>
      </w:pPr>
      <w:r>
        <w:rPr>
          <w:rFonts w:hint="eastAsia" w:ascii="宋体" w:hAnsi="宋体"/>
          <w:color w:val="auto"/>
          <w:szCs w:val="21"/>
          <w:highlight w:val="none"/>
        </w:rPr>
        <w:t>（4）</w:t>
      </w:r>
      <w:r>
        <w:rPr>
          <w:rFonts w:hint="eastAsia" w:ascii="宋体" w:hAnsi="宋体"/>
          <w:bCs/>
          <w:color w:val="auto"/>
          <w:spacing w:val="-6"/>
          <w:szCs w:val="21"/>
          <w:highlight w:val="none"/>
        </w:rPr>
        <w:t>将中标项目转让给他人或者在投标文件中未说明且未经招标采购人同意，将中标项目分包给他人的；</w:t>
      </w:r>
    </w:p>
    <w:p>
      <w:pPr>
        <w:snapToGrid w:val="0"/>
        <w:spacing w:line="360" w:lineRule="exact"/>
        <w:ind w:firstLine="411" w:firstLineChars="196"/>
        <w:rPr>
          <w:rFonts w:hint="eastAsia" w:ascii="宋体" w:hAnsi="宋体"/>
          <w:b/>
          <w:color w:val="auto"/>
          <w:szCs w:val="21"/>
          <w:highlight w:val="none"/>
        </w:rPr>
      </w:pPr>
      <w:r>
        <w:rPr>
          <w:rFonts w:hint="eastAsia" w:ascii="宋体" w:hAnsi="宋体"/>
          <w:color w:val="auto"/>
          <w:szCs w:val="21"/>
          <w:highlight w:val="none"/>
        </w:rPr>
        <w:t>（5）拒绝履行合同义务的；</w:t>
      </w:r>
    </w:p>
    <w:p>
      <w:pPr>
        <w:snapToGrid w:val="0"/>
        <w:spacing w:line="360" w:lineRule="exact"/>
        <w:ind w:firstLine="420" w:firstLineChars="200"/>
        <w:rPr>
          <w:rFonts w:hint="eastAsia" w:ascii="宋体" w:hAnsi="宋体"/>
          <w:color w:val="auto"/>
          <w:szCs w:val="21"/>
          <w:highlight w:val="none"/>
        </w:rPr>
      </w:pPr>
      <w:r>
        <w:rPr>
          <w:rFonts w:hint="eastAsia" w:ascii="宋体" w:hAnsi="宋体"/>
          <w:color w:val="auto"/>
          <w:szCs w:val="21"/>
          <w:highlight w:val="none"/>
        </w:rPr>
        <w:t>（6）其他严重扰乱招投标程序的。</w:t>
      </w:r>
    </w:p>
    <w:p>
      <w:pPr>
        <w:snapToGrid w:val="0"/>
        <w:spacing w:line="360" w:lineRule="exact"/>
        <w:ind w:firstLine="421" w:firstLineChars="200"/>
        <w:rPr>
          <w:rFonts w:hint="eastAsia" w:ascii="宋体" w:hAnsi="宋体"/>
          <w:b/>
          <w:color w:val="auto"/>
          <w:szCs w:val="21"/>
          <w:highlight w:val="none"/>
        </w:rPr>
      </w:pPr>
      <w:r>
        <w:rPr>
          <w:rFonts w:hint="eastAsia" w:ascii="宋体" w:hAnsi="宋体"/>
          <w:b/>
          <w:color w:val="auto"/>
          <w:szCs w:val="21"/>
          <w:highlight w:val="none"/>
        </w:rPr>
        <w:t>（六）投标文件的签署和份数</w:t>
      </w:r>
    </w:p>
    <w:p>
      <w:pPr>
        <w:snapToGrid w:val="0"/>
        <w:spacing w:line="36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1.投标人应按本招标文件规定的格式和顺序编制投标文件并标注页码，投标文件内容不完整、编排混乱导致投标文件被误读、漏读或者查找不到相关内容的，是投标人的责任。</w:t>
      </w:r>
    </w:p>
    <w:p>
      <w:pPr>
        <w:snapToGrid w:val="0"/>
        <w:spacing w:line="36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2. 投标文件份数：见投标人须知及前附表。</w:t>
      </w:r>
    </w:p>
    <w:p>
      <w:pPr>
        <w:snapToGrid w:val="0"/>
        <w:spacing w:line="36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3.投标文件须由投标人在规定位置盖章并由法定代表人或法定代表人的授权委托人签字或签章，投标人应写全称。</w:t>
      </w:r>
    </w:p>
    <w:p>
      <w:pPr>
        <w:snapToGrid w:val="0"/>
        <w:spacing w:line="36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4.投标文件不得涂改，若有修改错漏处，须加盖单位公章或者法定代表人或授权委托人签字或签章。投标文件扫描不清晰或乱码或表达不清所引起的后果由投标人负责。</w:t>
      </w:r>
    </w:p>
    <w:p>
      <w:pPr>
        <w:snapToGrid w:val="0"/>
        <w:spacing w:before="156" w:beforeLines="50" w:line="360" w:lineRule="exact"/>
        <w:ind w:firstLine="309" w:firstLineChars="147"/>
        <w:jc w:val="left"/>
        <w:outlineLvl w:val="0"/>
        <w:rPr>
          <w:rFonts w:hint="eastAsia" w:ascii="宋体" w:hAnsi="宋体"/>
          <w:b/>
          <w:color w:val="auto"/>
          <w:szCs w:val="21"/>
          <w:highlight w:val="none"/>
        </w:rPr>
      </w:pPr>
      <w:r>
        <w:rPr>
          <w:rFonts w:hint="eastAsia" w:ascii="宋体" w:hAnsi="宋体"/>
          <w:b/>
          <w:color w:val="auto"/>
          <w:szCs w:val="21"/>
          <w:highlight w:val="none"/>
        </w:rPr>
        <w:t>（七）</w:t>
      </w:r>
      <w:r>
        <w:rPr>
          <w:rFonts w:hint="eastAsia"/>
          <w:b/>
          <w:color w:val="auto"/>
          <w:highlight w:val="none"/>
        </w:rPr>
        <w:t>投标文件的上传、提交、修改、撤回和解密</w:t>
      </w:r>
    </w:p>
    <w:p>
      <w:pPr>
        <w:adjustRightInd w:val="0"/>
        <w:snapToGrid w:val="0"/>
        <w:spacing w:line="400" w:lineRule="exact"/>
        <w:ind w:firstLine="420"/>
        <w:jc w:val="left"/>
        <w:rPr>
          <w:b/>
          <w:color w:val="auto"/>
          <w:highlight w:val="none"/>
        </w:rPr>
      </w:pPr>
      <w:r>
        <w:rPr>
          <w:rFonts w:hint="eastAsia" w:hAnsi="宋体"/>
          <w:color w:val="auto"/>
          <w:highlight w:val="none"/>
        </w:rPr>
        <w:t>▲</w:t>
      </w:r>
      <w:r>
        <w:rPr>
          <w:rFonts w:hint="eastAsia" w:ascii="宋体" w:hAnsi="宋体"/>
          <w:color w:val="auto"/>
          <w:szCs w:val="21"/>
          <w:highlight w:val="none"/>
        </w:rPr>
        <w:t xml:space="preserve">1. </w:t>
      </w:r>
      <w:r>
        <w:rPr>
          <w:rFonts w:hint="eastAsia"/>
          <w:b/>
          <w:color w:val="auto"/>
          <w:highlight w:val="none"/>
        </w:rPr>
        <w:t>投标文件的上传、提交：见投标人须知及前附表。</w:t>
      </w:r>
    </w:p>
    <w:p>
      <w:pPr>
        <w:adjustRightInd w:val="0"/>
        <w:snapToGrid w:val="0"/>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2.</w:t>
      </w:r>
      <w:r>
        <w:rPr>
          <w:rFonts w:hint="eastAsia" w:ascii="宋体" w:hAnsi="宋体" w:cs="仿宋_GB2312"/>
          <w:color w:val="auto"/>
          <w:kern w:val="0"/>
          <w:szCs w:val="21"/>
          <w:highlight w:val="none"/>
          <w:lang w:val="zh-CN"/>
        </w:rPr>
        <w:t xml:space="preserve"> 投标文件的修改和撤回：供应商应当在投标截止时间前完成投标文件的上传、提交，并可以补充、修改或者撤回投标文件。补充或者修改投标文件的，应当先行撤回原文件，补充、修改后重新上传、提交。投标截止时间前未完成上传、提交的，视为撤回投标文件。投标截止时间后提交的投标文件，“广西政府采购云平台”将予以拒收。投标截止时间后，投标供应商不得撤回、修改投标文件。</w:t>
      </w:r>
    </w:p>
    <w:p>
      <w:pPr>
        <w:adjustRightInd w:val="0"/>
        <w:snapToGrid w:val="0"/>
        <w:spacing w:line="400" w:lineRule="exact"/>
        <w:ind w:firstLine="424" w:firstLineChars="210"/>
        <w:rPr>
          <w:rFonts w:hint="eastAsia" w:ascii="宋体" w:hAnsi="宋体"/>
          <w:color w:val="auto"/>
          <w:spacing w:val="-4"/>
          <w:szCs w:val="21"/>
          <w:highlight w:val="none"/>
        </w:rPr>
      </w:pPr>
      <w:r>
        <w:rPr>
          <w:rFonts w:hint="eastAsia" w:ascii="宋体" w:hAnsi="宋体"/>
          <w:color w:val="auto"/>
          <w:spacing w:val="-4"/>
          <w:szCs w:val="21"/>
          <w:highlight w:val="none"/>
        </w:rPr>
        <w:t>3.</w:t>
      </w:r>
      <w:r>
        <w:rPr>
          <w:rFonts w:hint="eastAsia" w:ascii="宋体"/>
          <w:snapToGrid w:val="0"/>
          <w:color w:val="auto"/>
          <w:szCs w:val="21"/>
          <w:highlight w:val="none"/>
        </w:rPr>
        <w:t xml:space="preserve"> 电子加密投标文件的解密：开标后，采购组织机构将向各投标供应商发出“电子加密投标文件”的解密通知，各投标供应商代表应当在接到解密通知后30分钟内自行完成“电子加密投标文件”的在线解密。投标供应商未在规定时间内完成解密的，系统默认自动放弃。</w:t>
      </w:r>
    </w:p>
    <w:p>
      <w:pPr>
        <w:snapToGrid w:val="0"/>
        <w:spacing w:line="360" w:lineRule="exact"/>
        <w:ind w:firstLine="420"/>
        <w:jc w:val="left"/>
        <w:rPr>
          <w:rFonts w:hint="eastAsia" w:ascii="宋体" w:hAnsi="宋体"/>
          <w:color w:val="auto"/>
          <w:spacing w:val="-4"/>
          <w:szCs w:val="21"/>
          <w:highlight w:val="none"/>
        </w:rPr>
      </w:pPr>
      <w:r>
        <w:rPr>
          <w:rFonts w:hint="eastAsia" w:ascii="宋体" w:hAnsi="宋体"/>
          <w:color w:val="auto"/>
          <w:spacing w:val="-4"/>
          <w:szCs w:val="21"/>
          <w:highlight w:val="none"/>
        </w:rPr>
        <w:t>4.投标人已经被推荐为第一中标候选供应商后撤回投标或放弃中标的，其投标保证金将不予退还，并上缴国库，给采购人造成损失的，还应当赔偿损失，并作为不良行为记录在案。</w:t>
      </w:r>
    </w:p>
    <w:p>
      <w:pPr>
        <w:snapToGrid w:val="0"/>
        <w:spacing w:line="360" w:lineRule="exact"/>
        <w:ind w:firstLine="420"/>
        <w:jc w:val="left"/>
        <w:outlineLvl w:val="0"/>
        <w:rPr>
          <w:rFonts w:hint="eastAsia" w:ascii="宋体" w:hAnsi="宋体"/>
          <w:b/>
          <w:color w:val="auto"/>
          <w:szCs w:val="21"/>
          <w:highlight w:val="none"/>
        </w:rPr>
      </w:pPr>
      <w:r>
        <w:rPr>
          <w:rFonts w:hint="eastAsia" w:ascii="宋体" w:hAnsi="宋体"/>
          <w:b/>
          <w:color w:val="auto"/>
          <w:szCs w:val="21"/>
          <w:highlight w:val="none"/>
        </w:rPr>
        <w:t>（八）投标无效的情形</w:t>
      </w:r>
    </w:p>
    <w:p>
      <w:pPr>
        <w:pStyle w:val="22"/>
        <w:snapToGrid w:val="0"/>
        <w:spacing w:line="360" w:lineRule="exact"/>
        <w:ind w:firstLine="395" w:firstLineChars="196"/>
        <w:outlineLvl w:val="0"/>
        <w:rPr>
          <w:rFonts w:hint="eastAsia" w:ascii="宋体" w:hAnsi="宋体" w:eastAsia="宋体"/>
          <w:color w:val="auto"/>
          <w:spacing w:val="-4"/>
          <w:sz w:val="21"/>
          <w:szCs w:val="21"/>
          <w:highlight w:val="none"/>
        </w:rPr>
      </w:pPr>
      <w:r>
        <w:rPr>
          <w:rFonts w:hint="eastAsia" w:ascii="宋体" w:hAnsi="宋体" w:eastAsia="宋体"/>
          <w:color w:val="auto"/>
          <w:spacing w:val="-4"/>
          <w:sz w:val="21"/>
          <w:szCs w:val="21"/>
          <w:highlight w:val="none"/>
        </w:rPr>
        <w:t>实质上没有响应招标文件要求的投标将被视为无效投标。投标人不得通过修正或撤销不合要求的偏离或保留从而使其投标成为实质上响应的投标，但经评标委会认定属于投标人疏忽、笔误所造成的差错，应当允许其在评标结束之前进行修改或者补正（可以是复印件、传真件等，原件必须加盖单位公章）。修改或者补正投标文件必须以书面形式进行，并应在中标结果公告之前查核原件。限期内不补正或经补正后仍不符合招标文件要求的，应认定其投标无效。投标人修改、补正投标文件后，不影响评标委员会对其投标文件所作的评价和评分结果。</w:t>
      </w:r>
    </w:p>
    <w:p>
      <w:pPr>
        <w:pStyle w:val="22"/>
        <w:snapToGrid w:val="0"/>
        <w:spacing w:line="360" w:lineRule="exact"/>
        <w:ind w:firstLine="395" w:firstLineChars="196"/>
        <w:outlineLvl w:val="0"/>
        <w:rPr>
          <w:rFonts w:hint="eastAsia" w:ascii="宋体" w:hAnsi="宋体" w:eastAsia="宋体"/>
          <w:color w:val="auto"/>
          <w:spacing w:val="-4"/>
          <w:sz w:val="21"/>
          <w:szCs w:val="21"/>
          <w:highlight w:val="none"/>
        </w:rPr>
      </w:pPr>
      <w:r>
        <w:rPr>
          <w:rFonts w:hint="eastAsia" w:ascii="宋体" w:hAnsi="宋体" w:eastAsia="宋体"/>
          <w:color w:val="auto"/>
          <w:spacing w:val="-4"/>
          <w:sz w:val="21"/>
          <w:szCs w:val="21"/>
          <w:highlight w:val="none"/>
        </w:rPr>
        <w:t>1.在符合性审查和资格性审查时，如发现下列情形之一的，投标文件将被视为无效：</w:t>
      </w:r>
    </w:p>
    <w:p>
      <w:pPr>
        <w:pStyle w:val="22"/>
        <w:snapToGrid w:val="0"/>
        <w:spacing w:line="360" w:lineRule="exact"/>
        <w:ind w:firstLine="395" w:firstLineChars="196"/>
        <w:outlineLvl w:val="0"/>
        <w:rPr>
          <w:rFonts w:hint="eastAsia" w:ascii="宋体" w:hAnsi="宋体" w:eastAsia="宋体"/>
          <w:color w:val="auto"/>
          <w:spacing w:val="-4"/>
          <w:sz w:val="21"/>
          <w:szCs w:val="21"/>
          <w:highlight w:val="none"/>
        </w:rPr>
      </w:pPr>
      <w:r>
        <w:rPr>
          <w:rFonts w:hint="eastAsia" w:ascii="宋体" w:hAnsi="宋体" w:eastAsia="宋体"/>
          <w:color w:val="auto"/>
          <w:spacing w:val="-4"/>
          <w:sz w:val="21"/>
          <w:szCs w:val="21"/>
          <w:highlight w:val="none"/>
        </w:rPr>
        <w:t>（1）超越了按照法律法规规定必须获得行政许可或者行政审批的经营范围的；</w:t>
      </w:r>
    </w:p>
    <w:p>
      <w:pPr>
        <w:pStyle w:val="22"/>
        <w:snapToGrid w:val="0"/>
        <w:spacing w:line="360" w:lineRule="exact"/>
        <w:ind w:firstLine="395" w:firstLineChars="196"/>
        <w:outlineLvl w:val="0"/>
        <w:rPr>
          <w:rFonts w:hint="eastAsia" w:ascii="宋体" w:hAnsi="宋体" w:eastAsia="宋体"/>
          <w:color w:val="auto"/>
          <w:spacing w:val="-4"/>
          <w:sz w:val="21"/>
          <w:szCs w:val="21"/>
          <w:highlight w:val="none"/>
        </w:rPr>
      </w:pPr>
      <w:r>
        <w:rPr>
          <w:rFonts w:hint="eastAsia" w:ascii="宋体" w:hAnsi="宋体" w:eastAsia="宋体"/>
          <w:color w:val="auto"/>
          <w:spacing w:val="-4"/>
          <w:sz w:val="21"/>
          <w:szCs w:val="21"/>
          <w:highlight w:val="none"/>
        </w:rPr>
        <w:t>（2）资格证明文件不全的，或者不符合招标文件标明的资格要求的；</w:t>
      </w:r>
    </w:p>
    <w:p>
      <w:pPr>
        <w:pStyle w:val="22"/>
        <w:snapToGrid w:val="0"/>
        <w:spacing w:line="360" w:lineRule="exact"/>
        <w:ind w:firstLine="395" w:firstLineChars="196"/>
        <w:outlineLvl w:val="0"/>
        <w:rPr>
          <w:rFonts w:hint="eastAsia" w:ascii="宋体" w:hAnsi="宋体" w:eastAsia="宋体"/>
          <w:color w:val="auto"/>
          <w:spacing w:val="-4"/>
          <w:sz w:val="21"/>
          <w:szCs w:val="21"/>
          <w:highlight w:val="none"/>
        </w:rPr>
      </w:pPr>
      <w:r>
        <w:rPr>
          <w:rFonts w:hint="eastAsia" w:ascii="宋体" w:hAnsi="宋体" w:eastAsia="宋体"/>
          <w:color w:val="auto"/>
          <w:spacing w:val="-4"/>
          <w:sz w:val="21"/>
          <w:szCs w:val="21"/>
          <w:highlight w:val="none"/>
        </w:rPr>
        <w:t>（3）投标文件无法定代表人（负责人）或其授权委托代理人</w:t>
      </w:r>
      <w:r>
        <w:rPr>
          <w:rFonts w:ascii="宋体" w:hAnsi="宋体" w:eastAsia="宋体"/>
          <w:color w:val="auto"/>
          <w:spacing w:val="-4"/>
          <w:sz w:val="21"/>
          <w:szCs w:val="21"/>
          <w:highlight w:val="none"/>
          <w:lang w:val="en"/>
        </w:rPr>
        <w:t>签字或签章</w:t>
      </w:r>
      <w:r>
        <w:rPr>
          <w:rFonts w:hint="eastAsia" w:ascii="宋体" w:hAnsi="宋体" w:eastAsia="宋体"/>
          <w:color w:val="auto"/>
          <w:spacing w:val="-4"/>
          <w:sz w:val="21"/>
          <w:szCs w:val="21"/>
          <w:highlight w:val="none"/>
        </w:rPr>
        <w:t>，或未提供法定代表人（负责人）授权委托书、投标声明书或者填写项目不齐全的；</w:t>
      </w:r>
    </w:p>
    <w:p>
      <w:pPr>
        <w:pStyle w:val="22"/>
        <w:snapToGrid w:val="0"/>
        <w:spacing w:line="360" w:lineRule="exact"/>
        <w:ind w:firstLine="395" w:firstLineChars="196"/>
        <w:outlineLvl w:val="0"/>
        <w:rPr>
          <w:rFonts w:hint="eastAsia" w:ascii="宋体" w:hAnsi="宋体" w:eastAsia="宋体"/>
          <w:color w:val="auto"/>
          <w:spacing w:val="-4"/>
          <w:sz w:val="21"/>
          <w:szCs w:val="21"/>
          <w:highlight w:val="none"/>
        </w:rPr>
      </w:pPr>
      <w:r>
        <w:rPr>
          <w:rFonts w:hint="eastAsia" w:ascii="宋体" w:hAnsi="宋体" w:eastAsia="宋体"/>
          <w:color w:val="auto"/>
          <w:spacing w:val="-4"/>
          <w:sz w:val="21"/>
          <w:szCs w:val="21"/>
          <w:highlight w:val="none"/>
        </w:rPr>
        <w:t>（4）投标代表人未能出具身份证明或与法定代表人（负责人）授权委托人身份不符的；</w:t>
      </w:r>
    </w:p>
    <w:p>
      <w:pPr>
        <w:pStyle w:val="22"/>
        <w:snapToGrid w:val="0"/>
        <w:spacing w:line="360" w:lineRule="exact"/>
        <w:ind w:firstLine="395" w:firstLineChars="196"/>
        <w:outlineLvl w:val="0"/>
        <w:rPr>
          <w:rFonts w:hint="eastAsia" w:ascii="宋体" w:hAnsi="宋体" w:eastAsia="宋体"/>
          <w:color w:val="auto"/>
          <w:spacing w:val="-4"/>
          <w:sz w:val="21"/>
          <w:szCs w:val="21"/>
          <w:highlight w:val="none"/>
        </w:rPr>
      </w:pPr>
      <w:r>
        <w:rPr>
          <w:rFonts w:hint="eastAsia" w:ascii="宋体" w:hAnsi="宋体" w:eastAsia="宋体"/>
          <w:color w:val="auto"/>
          <w:spacing w:val="-4"/>
          <w:sz w:val="21"/>
          <w:szCs w:val="21"/>
          <w:highlight w:val="none"/>
        </w:rPr>
        <w:t>（5）项目不齐全或者内容虚假的；</w:t>
      </w:r>
    </w:p>
    <w:p>
      <w:pPr>
        <w:pStyle w:val="22"/>
        <w:snapToGrid w:val="0"/>
        <w:spacing w:line="360" w:lineRule="exact"/>
        <w:ind w:firstLine="395" w:firstLineChars="196"/>
        <w:outlineLvl w:val="0"/>
        <w:rPr>
          <w:rFonts w:hint="eastAsia" w:ascii="宋体" w:hAnsi="宋体" w:eastAsia="宋体"/>
          <w:color w:val="auto"/>
          <w:spacing w:val="-4"/>
          <w:sz w:val="21"/>
          <w:szCs w:val="21"/>
          <w:highlight w:val="none"/>
        </w:rPr>
      </w:pPr>
      <w:r>
        <w:rPr>
          <w:rFonts w:hint="eastAsia" w:ascii="宋体" w:hAnsi="宋体" w:eastAsia="宋体"/>
          <w:color w:val="auto"/>
          <w:spacing w:val="-4"/>
          <w:sz w:val="21"/>
          <w:szCs w:val="21"/>
          <w:highlight w:val="none"/>
        </w:rPr>
        <w:t>（6）投标文件的实质性内容未使用中文表述、意思表述不明确、前后矛盾或者使用计量单位不符合投标文件要求的（经评标委员会认定并允许其当场更正的笔误除外）；</w:t>
      </w:r>
    </w:p>
    <w:p>
      <w:pPr>
        <w:pStyle w:val="22"/>
        <w:snapToGrid w:val="0"/>
        <w:spacing w:line="360" w:lineRule="exact"/>
        <w:ind w:firstLine="395" w:firstLineChars="196"/>
        <w:outlineLvl w:val="0"/>
        <w:rPr>
          <w:rFonts w:hint="eastAsia" w:ascii="宋体" w:hAnsi="宋体" w:eastAsia="宋体"/>
          <w:color w:val="auto"/>
          <w:spacing w:val="-4"/>
          <w:sz w:val="21"/>
          <w:szCs w:val="21"/>
          <w:highlight w:val="none"/>
        </w:rPr>
      </w:pPr>
      <w:r>
        <w:rPr>
          <w:rFonts w:hint="eastAsia" w:ascii="宋体" w:hAnsi="宋体" w:eastAsia="宋体"/>
          <w:color w:val="auto"/>
          <w:spacing w:val="-4"/>
          <w:sz w:val="21"/>
          <w:szCs w:val="21"/>
          <w:highlight w:val="none"/>
        </w:rPr>
        <w:t>（7）投标有效期、交付使用时间、质保期等商务条款不能满足招标文件要求的；</w:t>
      </w:r>
    </w:p>
    <w:p>
      <w:pPr>
        <w:pStyle w:val="22"/>
        <w:snapToGrid w:val="0"/>
        <w:spacing w:line="360" w:lineRule="exact"/>
        <w:ind w:firstLine="395" w:firstLineChars="196"/>
        <w:outlineLvl w:val="0"/>
        <w:rPr>
          <w:rFonts w:hint="eastAsia" w:ascii="宋体" w:hAnsi="宋体" w:eastAsia="宋体"/>
          <w:color w:val="auto"/>
          <w:spacing w:val="-4"/>
          <w:sz w:val="21"/>
          <w:szCs w:val="21"/>
          <w:highlight w:val="none"/>
        </w:rPr>
      </w:pPr>
      <w:r>
        <w:rPr>
          <w:rFonts w:hint="eastAsia" w:ascii="宋体" w:hAnsi="宋体" w:eastAsia="宋体"/>
          <w:color w:val="auto"/>
          <w:spacing w:val="-4"/>
          <w:sz w:val="21"/>
          <w:szCs w:val="21"/>
          <w:highlight w:val="none"/>
        </w:rPr>
        <w:t>（8）未实质性响应招标文件要求或者投标文件有招标方不能接受的附加条件的；</w:t>
      </w:r>
    </w:p>
    <w:p>
      <w:pPr>
        <w:pStyle w:val="22"/>
        <w:snapToGrid w:val="0"/>
        <w:spacing w:line="360" w:lineRule="exact"/>
        <w:ind w:firstLine="395" w:firstLineChars="196"/>
        <w:outlineLvl w:val="0"/>
        <w:rPr>
          <w:rFonts w:hint="eastAsia" w:ascii="宋体" w:hAnsi="宋体" w:eastAsia="宋体"/>
          <w:color w:val="auto"/>
          <w:spacing w:val="-4"/>
          <w:sz w:val="21"/>
          <w:szCs w:val="21"/>
          <w:highlight w:val="none"/>
        </w:rPr>
      </w:pPr>
      <w:r>
        <w:rPr>
          <w:rFonts w:hint="eastAsia" w:ascii="宋体" w:hAnsi="宋体" w:eastAsia="宋体"/>
          <w:color w:val="auto"/>
          <w:spacing w:val="-4"/>
          <w:sz w:val="21"/>
          <w:szCs w:val="21"/>
          <w:highlight w:val="none"/>
        </w:rPr>
        <w:t>（9）</w:t>
      </w:r>
      <w:r>
        <w:rPr>
          <w:rFonts w:ascii="宋体" w:hAnsi="宋体" w:eastAsia="宋体"/>
          <w:color w:val="auto"/>
          <w:spacing w:val="-4"/>
          <w:sz w:val="21"/>
          <w:szCs w:val="21"/>
          <w:highlight w:val="none"/>
        </w:rPr>
        <w:t>未按照招标文件的规定提交投标保证金的</w:t>
      </w:r>
      <w:r>
        <w:rPr>
          <w:rFonts w:hint="eastAsia" w:ascii="宋体" w:hAnsi="宋体" w:eastAsia="宋体"/>
          <w:color w:val="auto"/>
          <w:spacing w:val="-4"/>
          <w:sz w:val="21"/>
          <w:szCs w:val="21"/>
          <w:highlight w:val="none"/>
        </w:rPr>
        <w:t>（说明：评标时，评标委员会将以本中心财务室编制的《采购文件购买名单及保证金收缴情况表》作为评审依据）。</w:t>
      </w:r>
    </w:p>
    <w:p>
      <w:pPr>
        <w:pStyle w:val="22"/>
        <w:snapToGrid w:val="0"/>
        <w:spacing w:line="360" w:lineRule="exact"/>
        <w:ind w:firstLine="395" w:firstLineChars="196"/>
        <w:outlineLvl w:val="0"/>
        <w:rPr>
          <w:rFonts w:hint="eastAsia" w:ascii="宋体" w:hAnsi="宋体" w:eastAsia="宋体"/>
          <w:color w:val="auto"/>
          <w:spacing w:val="-4"/>
          <w:sz w:val="21"/>
          <w:szCs w:val="21"/>
          <w:highlight w:val="none"/>
        </w:rPr>
      </w:pPr>
      <w:r>
        <w:rPr>
          <w:rFonts w:hint="eastAsia" w:ascii="宋体" w:hAnsi="宋体" w:eastAsia="宋体"/>
          <w:color w:val="auto"/>
          <w:spacing w:val="-4"/>
          <w:sz w:val="21"/>
          <w:szCs w:val="21"/>
          <w:highlight w:val="none"/>
        </w:rPr>
        <w:t>2.在技术评审时，如发现下列情形之一的，投标文件将被视为无效：</w:t>
      </w:r>
    </w:p>
    <w:p>
      <w:pPr>
        <w:pStyle w:val="22"/>
        <w:snapToGrid w:val="0"/>
        <w:spacing w:line="360" w:lineRule="exact"/>
        <w:ind w:firstLine="395" w:firstLineChars="196"/>
        <w:outlineLvl w:val="0"/>
        <w:rPr>
          <w:rFonts w:hint="eastAsia" w:ascii="宋体" w:hAnsi="宋体" w:eastAsia="宋体"/>
          <w:color w:val="auto"/>
          <w:spacing w:val="-4"/>
          <w:sz w:val="21"/>
          <w:szCs w:val="21"/>
          <w:highlight w:val="none"/>
        </w:rPr>
      </w:pPr>
      <w:r>
        <w:rPr>
          <w:rFonts w:hint="eastAsia" w:ascii="宋体" w:hAnsi="宋体" w:eastAsia="宋体"/>
          <w:color w:val="auto"/>
          <w:spacing w:val="-4"/>
          <w:sz w:val="21"/>
          <w:szCs w:val="21"/>
          <w:highlight w:val="none"/>
        </w:rPr>
        <w:t>（1）未提供或未如实提供投标货物的技术参数，或者投标文件标明的响应或偏离与事实不符或虚假投标的；</w:t>
      </w:r>
    </w:p>
    <w:p>
      <w:pPr>
        <w:pStyle w:val="22"/>
        <w:snapToGrid w:val="0"/>
        <w:spacing w:line="360" w:lineRule="exact"/>
        <w:ind w:firstLine="395" w:firstLineChars="196"/>
        <w:outlineLvl w:val="0"/>
        <w:rPr>
          <w:rFonts w:hint="eastAsia" w:ascii="宋体" w:hAnsi="宋体" w:eastAsia="宋体"/>
          <w:color w:val="auto"/>
          <w:spacing w:val="-4"/>
          <w:sz w:val="21"/>
          <w:szCs w:val="21"/>
          <w:highlight w:val="none"/>
        </w:rPr>
      </w:pPr>
      <w:r>
        <w:rPr>
          <w:rFonts w:hint="eastAsia" w:ascii="宋体" w:hAnsi="宋体" w:eastAsia="宋体"/>
          <w:color w:val="auto"/>
          <w:spacing w:val="-4"/>
          <w:sz w:val="21"/>
          <w:szCs w:val="21"/>
          <w:highlight w:val="none"/>
        </w:rPr>
        <w:t>（2）明显不符合招标文件要求的规格型号、质量标准，或者与招标文件中的技术指标、主要功能项目发生实质性偏离的；</w:t>
      </w:r>
    </w:p>
    <w:p>
      <w:pPr>
        <w:pStyle w:val="22"/>
        <w:snapToGrid w:val="0"/>
        <w:spacing w:line="360" w:lineRule="exact"/>
        <w:ind w:firstLine="397" w:firstLineChars="196"/>
        <w:outlineLvl w:val="0"/>
        <w:rPr>
          <w:rFonts w:hint="eastAsia" w:ascii="宋体" w:hAnsi="宋体" w:eastAsia="宋体"/>
          <w:b/>
          <w:bCs/>
          <w:color w:val="auto"/>
          <w:spacing w:val="-4"/>
          <w:sz w:val="21"/>
          <w:szCs w:val="21"/>
          <w:highlight w:val="none"/>
        </w:rPr>
      </w:pPr>
      <w:r>
        <w:rPr>
          <w:rFonts w:hint="eastAsia" w:ascii="宋体" w:hAnsi="宋体" w:eastAsia="宋体"/>
          <w:b/>
          <w:bCs/>
          <w:color w:val="auto"/>
          <w:spacing w:val="-4"/>
          <w:sz w:val="21"/>
          <w:szCs w:val="21"/>
          <w:highlight w:val="none"/>
        </w:rPr>
        <w:t>（3）标星号“</w:t>
      </w:r>
      <w:r>
        <w:rPr>
          <w:rFonts w:hint="eastAsia" w:ascii="宋体" w:hAnsi="宋体" w:cs="宋体"/>
          <w:b/>
          <w:bCs/>
          <w:color w:val="auto"/>
          <w:kern w:val="0"/>
          <w:sz w:val="21"/>
          <w:szCs w:val="21"/>
          <w:highlight w:val="none"/>
        </w:rPr>
        <w:t>▲</w:t>
      </w:r>
      <w:r>
        <w:rPr>
          <w:rFonts w:hint="eastAsia" w:ascii="宋体" w:hAnsi="宋体" w:eastAsia="宋体"/>
          <w:b/>
          <w:bCs/>
          <w:color w:val="auto"/>
          <w:spacing w:val="-4"/>
          <w:sz w:val="21"/>
          <w:szCs w:val="21"/>
          <w:highlight w:val="none"/>
        </w:rPr>
        <w:t>”的技术、性能指标发生负偏离达</w:t>
      </w:r>
      <w:r>
        <w:rPr>
          <w:rFonts w:hint="eastAsia" w:ascii="宋体" w:hAnsi="宋体" w:eastAsia="宋体"/>
          <w:b/>
          <w:bCs/>
          <w:color w:val="auto"/>
          <w:spacing w:val="-4"/>
          <w:sz w:val="21"/>
          <w:szCs w:val="21"/>
          <w:highlight w:val="none"/>
          <w:u w:val="single"/>
        </w:rPr>
        <w:t xml:space="preserve">  1  </w:t>
      </w:r>
      <w:r>
        <w:rPr>
          <w:rFonts w:hint="eastAsia" w:ascii="宋体" w:hAnsi="宋体" w:eastAsia="宋体"/>
          <w:b/>
          <w:bCs/>
          <w:color w:val="auto"/>
          <w:spacing w:val="-4"/>
          <w:sz w:val="21"/>
          <w:szCs w:val="21"/>
          <w:highlight w:val="none"/>
        </w:rPr>
        <w:t>项（含）以上的；</w:t>
      </w:r>
    </w:p>
    <w:p>
      <w:pPr>
        <w:pStyle w:val="22"/>
        <w:snapToGrid w:val="0"/>
        <w:spacing w:line="360" w:lineRule="exact"/>
        <w:ind w:firstLine="395" w:firstLineChars="196"/>
        <w:outlineLvl w:val="0"/>
        <w:rPr>
          <w:rFonts w:hint="eastAsia" w:ascii="宋体" w:hAnsi="宋体" w:eastAsia="宋体"/>
          <w:color w:val="auto"/>
          <w:spacing w:val="-4"/>
          <w:sz w:val="21"/>
          <w:szCs w:val="21"/>
          <w:highlight w:val="none"/>
        </w:rPr>
      </w:pPr>
      <w:r>
        <w:rPr>
          <w:rFonts w:hint="eastAsia" w:ascii="宋体" w:hAnsi="宋体" w:eastAsia="宋体"/>
          <w:color w:val="auto"/>
          <w:spacing w:val="-4"/>
          <w:sz w:val="21"/>
          <w:szCs w:val="21"/>
          <w:highlight w:val="none"/>
        </w:rPr>
        <w:t>（4）投标技术方案不明确，存在一个或一个以上备选（替换）投标方案的；</w:t>
      </w:r>
    </w:p>
    <w:p>
      <w:pPr>
        <w:pStyle w:val="22"/>
        <w:snapToGrid w:val="0"/>
        <w:spacing w:line="360" w:lineRule="exact"/>
        <w:ind w:firstLine="395" w:firstLineChars="196"/>
        <w:outlineLvl w:val="0"/>
        <w:rPr>
          <w:rFonts w:hint="eastAsia" w:ascii="宋体" w:hAnsi="宋体" w:eastAsia="宋体"/>
          <w:color w:val="auto"/>
          <w:spacing w:val="-4"/>
          <w:sz w:val="21"/>
          <w:szCs w:val="21"/>
          <w:highlight w:val="none"/>
        </w:rPr>
      </w:pPr>
      <w:r>
        <w:rPr>
          <w:rFonts w:hint="eastAsia" w:ascii="宋体" w:hAnsi="宋体" w:eastAsia="宋体"/>
          <w:color w:val="auto"/>
          <w:spacing w:val="-4"/>
          <w:sz w:val="21"/>
          <w:szCs w:val="21"/>
          <w:highlight w:val="none"/>
        </w:rPr>
        <w:t>（5）与其他参加本次投标供应商的投标文件（技术文件）的文字表述内容差错相同二处以上的。</w:t>
      </w:r>
    </w:p>
    <w:p>
      <w:pPr>
        <w:pStyle w:val="22"/>
        <w:snapToGrid w:val="0"/>
        <w:spacing w:line="360" w:lineRule="exact"/>
        <w:ind w:firstLine="395" w:firstLineChars="196"/>
        <w:outlineLvl w:val="0"/>
        <w:rPr>
          <w:rFonts w:hint="eastAsia" w:ascii="宋体" w:hAnsi="宋体" w:eastAsia="宋体"/>
          <w:color w:val="auto"/>
          <w:spacing w:val="-4"/>
          <w:sz w:val="21"/>
          <w:szCs w:val="21"/>
          <w:highlight w:val="none"/>
        </w:rPr>
      </w:pPr>
      <w:r>
        <w:rPr>
          <w:rFonts w:hint="eastAsia" w:ascii="宋体" w:hAnsi="宋体" w:eastAsia="宋体"/>
          <w:color w:val="auto"/>
          <w:spacing w:val="-4"/>
          <w:sz w:val="21"/>
          <w:szCs w:val="21"/>
          <w:highlight w:val="none"/>
        </w:rPr>
        <w:t>3.在报价评审时，如发现下列情形之一的，投标文件将被视为无效：</w:t>
      </w:r>
    </w:p>
    <w:p>
      <w:pPr>
        <w:pStyle w:val="22"/>
        <w:snapToGrid w:val="0"/>
        <w:spacing w:line="360" w:lineRule="exact"/>
        <w:ind w:firstLine="395" w:firstLineChars="196"/>
        <w:outlineLvl w:val="0"/>
        <w:rPr>
          <w:rFonts w:hint="eastAsia" w:ascii="宋体" w:hAnsi="宋体" w:eastAsia="宋体"/>
          <w:color w:val="auto"/>
          <w:spacing w:val="-4"/>
          <w:sz w:val="21"/>
          <w:szCs w:val="21"/>
          <w:highlight w:val="none"/>
        </w:rPr>
      </w:pPr>
      <w:r>
        <w:rPr>
          <w:rFonts w:hint="eastAsia" w:ascii="宋体" w:hAnsi="宋体" w:eastAsia="宋体"/>
          <w:color w:val="auto"/>
          <w:spacing w:val="-4"/>
          <w:sz w:val="21"/>
          <w:szCs w:val="21"/>
          <w:highlight w:val="none"/>
        </w:rPr>
        <w:t>（1）未采用人民币报价或者未按照招标文件标明的币种报价的；</w:t>
      </w:r>
    </w:p>
    <w:p>
      <w:pPr>
        <w:pStyle w:val="22"/>
        <w:snapToGrid w:val="0"/>
        <w:spacing w:line="360" w:lineRule="exact"/>
        <w:ind w:firstLine="395" w:firstLineChars="196"/>
        <w:outlineLvl w:val="0"/>
        <w:rPr>
          <w:rFonts w:hint="eastAsia" w:ascii="宋体" w:hAnsi="宋体" w:eastAsia="宋体"/>
          <w:color w:val="auto"/>
          <w:spacing w:val="-4"/>
          <w:sz w:val="21"/>
          <w:szCs w:val="21"/>
          <w:highlight w:val="none"/>
        </w:rPr>
      </w:pPr>
      <w:r>
        <w:rPr>
          <w:rFonts w:hint="eastAsia" w:ascii="宋体" w:hAnsi="宋体" w:eastAsia="宋体"/>
          <w:color w:val="auto"/>
          <w:spacing w:val="-4"/>
          <w:sz w:val="21"/>
          <w:szCs w:val="21"/>
          <w:highlight w:val="none"/>
        </w:rPr>
        <w:t>（2）报价超出最高限价，或者超出采购预算金额，采购人不能支付的；</w:t>
      </w:r>
    </w:p>
    <w:p>
      <w:pPr>
        <w:pStyle w:val="22"/>
        <w:snapToGrid w:val="0"/>
        <w:spacing w:line="360" w:lineRule="exact"/>
        <w:ind w:firstLine="395" w:firstLineChars="196"/>
        <w:outlineLvl w:val="0"/>
        <w:rPr>
          <w:rFonts w:hint="eastAsia" w:ascii="宋体" w:hAnsi="宋体" w:eastAsia="宋体"/>
          <w:color w:val="auto"/>
          <w:spacing w:val="-4"/>
          <w:sz w:val="21"/>
          <w:szCs w:val="21"/>
          <w:highlight w:val="none"/>
        </w:rPr>
      </w:pPr>
      <w:r>
        <w:rPr>
          <w:rFonts w:hint="eastAsia" w:ascii="宋体" w:hAnsi="宋体" w:eastAsia="宋体"/>
          <w:color w:val="auto"/>
          <w:spacing w:val="-4"/>
          <w:sz w:val="21"/>
          <w:szCs w:val="21"/>
          <w:highlight w:val="none"/>
        </w:rPr>
        <w:t>（3）投标报价具有选择性，或者开标价格与投标文件承诺的优惠（折扣）价格不一致的。</w:t>
      </w:r>
    </w:p>
    <w:p>
      <w:pPr>
        <w:adjustRightInd w:val="0"/>
        <w:snapToGrid w:val="0"/>
        <w:spacing w:line="400" w:lineRule="exact"/>
        <w:ind w:firstLine="420" w:firstLineChars="200"/>
        <w:jc w:val="left"/>
        <w:rPr>
          <w:rFonts w:hint="eastAsia" w:ascii="宋体" w:hAnsi="宋体" w:cs="仿宋_GB2312"/>
          <w:color w:val="auto"/>
          <w:kern w:val="0"/>
          <w:szCs w:val="21"/>
          <w:highlight w:val="none"/>
          <w:lang w:val="zh-CN"/>
        </w:rPr>
      </w:pPr>
      <w:bookmarkStart w:id="17" w:name="_Toc40865068"/>
      <w:bookmarkStart w:id="18" w:name="_Toc40864952"/>
      <w:bookmarkStart w:id="19" w:name="_Toc40864676"/>
      <w:r>
        <w:rPr>
          <w:rFonts w:hint="eastAsia" w:ascii="宋体" w:hAnsi="宋体" w:cs="仿宋_GB2312"/>
          <w:color w:val="auto"/>
          <w:kern w:val="0"/>
          <w:szCs w:val="21"/>
          <w:highlight w:val="none"/>
          <w:lang w:val="zh-CN"/>
        </w:rPr>
        <w:t>（4）评标委员会在评审中，经启动异常低价审查程序后供应商未能</w:t>
      </w:r>
      <w:r>
        <w:rPr>
          <w:rFonts w:hint="eastAsia"/>
          <w:bCs/>
          <w:color w:val="auto"/>
          <w:highlight w:val="none"/>
        </w:rPr>
        <w:t>证明其报价合理性的</w:t>
      </w:r>
      <w:r>
        <w:rPr>
          <w:rFonts w:hint="eastAsia" w:ascii="宋体" w:hAnsi="宋体" w:cs="仿宋_GB2312"/>
          <w:color w:val="auto"/>
          <w:kern w:val="0"/>
          <w:szCs w:val="21"/>
          <w:highlight w:val="none"/>
          <w:lang w:val="zh-CN"/>
        </w:rPr>
        <w:t>。</w:t>
      </w:r>
      <w:bookmarkEnd w:id="17"/>
      <w:bookmarkEnd w:id="18"/>
      <w:bookmarkEnd w:id="19"/>
    </w:p>
    <w:p>
      <w:pPr>
        <w:pStyle w:val="22"/>
        <w:snapToGrid w:val="0"/>
        <w:spacing w:line="360" w:lineRule="exact"/>
        <w:ind w:firstLine="395" w:firstLineChars="196"/>
        <w:outlineLvl w:val="0"/>
        <w:rPr>
          <w:rFonts w:hint="eastAsia" w:ascii="宋体" w:hAnsi="宋体" w:eastAsia="宋体"/>
          <w:color w:val="auto"/>
          <w:spacing w:val="-4"/>
          <w:sz w:val="21"/>
          <w:szCs w:val="21"/>
          <w:highlight w:val="none"/>
        </w:rPr>
      </w:pPr>
      <w:r>
        <w:rPr>
          <w:rFonts w:hint="eastAsia" w:ascii="宋体" w:hAnsi="宋体" w:eastAsia="宋体"/>
          <w:color w:val="auto"/>
          <w:spacing w:val="-4"/>
          <w:sz w:val="21"/>
          <w:szCs w:val="21"/>
          <w:highlight w:val="none"/>
        </w:rPr>
        <w:t>4.有下列情形之一的视为投标人相互串通投标，投标文件将被视为无效:</w:t>
      </w:r>
    </w:p>
    <w:p>
      <w:pPr>
        <w:pStyle w:val="22"/>
        <w:snapToGrid w:val="0"/>
        <w:spacing w:line="360" w:lineRule="exact"/>
        <w:ind w:firstLine="395" w:firstLineChars="196"/>
        <w:outlineLvl w:val="0"/>
        <w:rPr>
          <w:rFonts w:hint="eastAsia" w:ascii="宋体" w:hAnsi="宋体" w:eastAsia="宋体"/>
          <w:color w:val="auto"/>
          <w:spacing w:val="-4"/>
          <w:sz w:val="21"/>
          <w:szCs w:val="21"/>
          <w:highlight w:val="none"/>
        </w:rPr>
      </w:pPr>
      <w:r>
        <w:rPr>
          <w:rFonts w:hint="eastAsia" w:ascii="宋体" w:hAnsi="宋体" w:eastAsia="宋体"/>
          <w:color w:val="auto"/>
          <w:spacing w:val="-4"/>
          <w:sz w:val="21"/>
          <w:szCs w:val="21"/>
          <w:highlight w:val="none"/>
        </w:rPr>
        <w:t>（1）不同投标人的投标文件由同一单位或者个人编制；或不同投标人报名的IP地址一致的；</w:t>
      </w:r>
    </w:p>
    <w:p>
      <w:pPr>
        <w:pStyle w:val="22"/>
        <w:snapToGrid w:val="0"/>
        <w:spacing w:line="360" w:lineRule="exact"/>
        <w:ind w:firstLine="395" w:firstLineChars="196"/>
        <w:outlineLvl w:val="0"/>
        <w:rPr>
          <w:rFonts w:hint="eastAsia" w:ascii="宋体" w:hAnsi="宋体" w:eastAsia="宋体"/>
          <w:color w:val="auto"/>
          <w:spacing w:val="-4"/>
          <w:sz w:val="21"/>
          <w:szCs w:val="21"/>
          <w:highlight w:val="none"/>
        </w:rPr>
      </w:pPr>
      <w:r>
        <w:rPr>
          <w:rFonts w:hint="eastAsia" w:ascii="宋体" w:hAnsi="宋体" w:eastAsia="宋体"/>
          <w:color w:val="auto"/>
          <w:spacing w:val="-4"/>
          <w:sz w:val="21"/>
          <w:szCs w:val="21"/>
          <w:highlight w:val="none"/>
        </w:rPr>
        <w:t>（2）不同投标人委托同一单位或者个人办理投标事宜；</w:t>
      </w:r>
    </w:p>
    <w:p>
      <w:pPr>
        <w:pStyle w:val="22"/>
        <w:snapToGrid w:val="0"/>
        <w:spacing w:line="360" w:lineRule="exact"/>
        <w:ind w:firstLine="395" w:firstLineChars="196"/>
        <w:outlineLvl w:val="0"/>
        <w:rPr>
          <w:rFonts w:hint="eastAsia" w:ascii="宋体" w:hAnsi="宋体" w:eastAsia="宋体"/>
          <w:color w:val="auto"/>
          <w:spacing w:val="-4"/>
          <w:sz w:val="21"/>
          <w:szCs w:val="21"/>
          <w:highlight w:val="none"/>
        </w:rPr>
      </w:pPr>
      <w:r>
        <w:rPr>
          <w:rFonts w:hint="eastAsia" w:ascii="宋体" w:hAnsi="宋体" w:eastAsia="宋体"/>
          <w:color w:val="auto"/>
          <w:spacing w:val="-4"/>
          <w:sz w:val="21"/>
          <w:szCs w:val="21"/>
          <w:highlight w:val="none"/>
        </w:rPr>
        <w:t>（3）不同投标人的投标文件载明的项目管理成员或者联系人员为同一人；</w:t>
      </w:r>
    </w:p>
    <w:p>
      <w:pPr>
        <w:pStyle w:val="22"/>
        <w:snapToGrid w:val="0"/>
        <w:spacing w:line="360" w:lineRule="exact"/>
        <w:ind w:firstLine="395" w:firstLineChars="196"/>
        <w:outlineLvl w:val="0"/>
        <w:rPr>
          <w:rFonts w:hint="eastAsia" w:ascii="宋体" w:hAnsi="宋体" w:eastAsia="宋体"/>
          <w:color w:val="auto"/>
          <w:spacing w:val="-4"/>
          <w:sz w:val="21"/>
          <w:szCs w:val="21"/>
          <w:highlight w:val="none"/>
        </w:rPr>
      </w:pPr>
      <w:r>
        <w:rPr>
          <w:rFonts w:hint="eastAsia" w:ascii="宋体" w:hAnsi="宋体" w:eastAsia="宋体"/>
          <w:color w:val="auto"/>
          <w:spacing w:val="-4"/>
          <w:sz w:val="21"/>
          <w:szCs w:val="21"/>
          <w:highlight w:val="none"/>
        </w:rPr>
        <w:t>（4）不同投标人的投标文件异常一致或投标报价呈规律性差异；</w:t>
      </w:r>
    </w:p>
    <w:p>
      <w:pPr>
        <w:pStyle w:val="22"/>
        <w:snapToGrid w:val="0"/>
        <w:spacing w:line="360" w:lineRule="exact"/>
        <w:ind w:firstLine="395" w:firstLineChars="196"/>
        <w:outlineLvl w:val="0"/>
        <w:rPr>
          <w:rFonts w:hint="eastAsia" w:ascii="宋体" w:hAnsi="宋体" w:eastAsia="宋体"/>
          <w:color w:val="auto"/>
          <w:spacing w:val="-4"/>
          <w:sz w:val="21"/>
          <w:szCs w:val="21"/>
          <w:highlight w:val="none"/>
        </w:rPr>
      </w:pPr>
      <w:r>
        <w:rPr>
          <w:rFonts w:hint="eastAsia" w:ascii="宋体" w:hAnsi="宋体" w:eastAsia="宋体"/>
          <w:color w:val="auto"/>
          <w:spacing w:val="-4"/>
          <w:sz w:val="21"/>
          <w:szCs w:val="21"/>
          <w:highlight w:val="none"/>
        </w:rPr>
        <w:t>（5）不同投标人的投标文件相互混装；</w:t>
      </w:r>
    </w:p>
    <w:p>
      <w:pPr>
        <w:pStyle w:val="22"/>
        <w:snapToGrid w:val="0"/>
        <w:spacing w:line="360" w:lineRule="exact"/>
        <w:ind w:firstLine="395" w:firstLineChars="196"/>
        <w:outlineLvl w:val="0"/>
        <w:rPr>
          <w:rFonts w:hint="eastAsia" w:ascii="宋体" w:hAnsi="宋体" w:eastAsia="宋体"/>
          <w:color w:val="auto"/>
          <w:spacing w:val="-4"/>
          <w:sz w:val="21"/>
          <w:szCs w:val="21"/>
          <w:highlight w:val="none"/>
        </w:rPr>
      </w:pPr>
      <w:r>
        <w:rPr>
          <w:rFonts w:hint="eastAsia" w:ascii="宋体" w:hAnsi="宋体" w:eastAsia="宋体"/>
          <w:color w:val="auto"/>
          <w:spacing w:val="-4"/>
          <w:sz w:val="21"/>
          <w:szCs w:val="21"/>
          <w:highlight w:val="none"/>
        </w:rPr>
        <w:t>（6）不同投标人的投标保证金从同一个单位或者个人账户转出。</w:t>
      </w:r>
    </w:p>
    <w:p>
      <w:pPr>
        <w:pStyle w:val="22"/>
        <w:adjustRightInd w:val="0"/>
        <w:snapToGrid w:val="0"/>
        <w:spacing w:line="400" w:lineRule="exact"/>
        <w:ind w:firstLine="395" w:firstLineChars="196"/>
        <w:rPr>
          <w:rFonts w:hint="eastAsia" w:ascii="宋体" w:hAnsi="宋体" w:eastAsia="宋体"/>
          <w:bCs/>
          <w:color w:val="auto"/>
          <w:sz w:val="21"/>
          <w:szCs w:val="21"/>
          <w:highlight w:val="none"/>
        </w:rPr>
      </w:pPr>
      <w:r>
        <w:rPr>
          <w:rFonts w:ascii="宋体" w:hAnsi="宋体" w:eastAsia="宋体"/>
          <w:color w:val="auto"/>
          <w:spacing w:val="-4"/>
          <w:sz w:val="21"/>
          <w:szCs w:val="21"/>
          <w:highlight w:val="none"/>
          <w:lang w:val="en"/>
        </w:rPr>
        <w:t>5</w:t>
      </w:r>
      <w:r>
        <w:rPr>
          <w:rFonts w:hint="eastAsia" w:ascii="宋体" w:hAnsi="宋体" w:eastAsia="宋体"/>
          <w:color w:val="auto"/>
          <w:spacing w:val="-4"/>
          <w:sz w:val="21"/>
          <w:szCs w:val="21"/>
          <w:highlight w:val="none"/>
        </w:rPr>
        <w:t>.</w:t>
      </w:r>
      <w:r>
        <w:rPr>
          <w:rFonts w:hint="eastAsia" w:ascii="宋体" w:hAnsi="宋体"/>
          <w:bCs/>
          <w:color w:val="auto"/>
          <w:sz w:val="21"/>
          <w:szCs w:val="21"/>
          <w:highlight w:val="none"/>
        </w:rPr>
        <w:t xml:space="preserve"> </w:t>
      </w:r>
      <w:r>
        <w:rPr>
          <w:rFonts w:hint="eastAsia" w:ascii="宋体" w:hAnsi="宋体" w:eastAsia="宋体"/>
          <w:bCs/>
          <w:color w:val="auto"/>
          <w:sz w:val="21"/>
          <w:szCs w:val="21"/>
          <w:highlight w:val="none"/>
        </w:rPr>
        <w:t>其他投标无效的情形：</w:t>
      </w:r>
    </w:p>
    <w:p>
      <w:pPr>
        <w:pStyle w:val="22"/>
        <w:adjustRightInd w:val="0"/>
        <w:snapToGrid w:val="0"/>
        <w:spacing w:line="400" w:lineRule="exact"/>
        <w:ind w:firstLine="413" w:firstLineChars="196"/>
        <w:rPr>
          <w:rFonts w:hint="eastAsia" w:ascii="宋体" w:hAnsi="宋体" w:eastAsia="宋体"/>
          <w:b/>
          <w:bCs/>
          <w:color w:val="auto"/>
          <w:sz w:val="21"/>
          <w:szCs w:val="21"/>
          <w:highlight w:val="none"/>
        </w:rPr>
      </w:pPr>
      <w:r>
        <w:rPr>
          <w:rFonts w:hint="eastAsia" w:ascii="宋体" w:hAnsi="宋体" w:eastAsia="宋体"/>
          <w:b/>
          <w:bCs/>
          <w:color w:val="auto"/>
          <w:sz w:val="21"/>
          <w:szCs w:val="21"/>
          <w:highlight w:val="none"/>
        </w:rPr>
        <w:t>（1）</w:t>
      </w:r>
      <w:r>
        <w:rPr>
          <w:rFonts w:ascii="宋体" w:hAnsi="宋体" w:eastAsia="宋体"/>
          <w:b/>
          <w:bCs/>
          <w:color w:val="auto"/>
          <w:sz w:val="21"/>
          <w:szCs w:val="21"/>
          <w:highlight w:val="none"/>
        </w:rPr>
        <w:t>投标文件未按招标文件要求签署</w:t>
      </w:r>
      <w:r>
        <w:rPr>
          <w:rFonts w:hint="eastAsia" w:ascii="宋体" w:hAnsi="宋体" w:eastAsia="宋体"/>
          <w:b/>
          <w:bCs/>
          <w:color w:val="auto"/>
          <w:sz w:val="21"/>
          <w:szCs w:val="21"/>
          <w:highlight w:val="none"/>
        </w:rPr>
        <w:t>或</w:t>
      </w:r>
      <w:r>
        <w:rPr>
          <w:rFonts w:ascii="宋体" w:hAnsi="宋体" w:eastAsia="宋体"/>
          <w:b/>
          <w:bCs/>
          <w:color w:val="auto"/>
          <w:sz w:val="21"/>
          <w:szCs w:val="21"/>
          <w:highlight w:val="none"/>
        </w:rPr>
        <w:t>CA电子签章的；</w:t>
      </w:r>
    </w:p>
    <w:p>
      <w:pPr>
        <w:pStyle w:val="22"/>
        <w:adjustRightInd w:val="0"/>
        <w:snapToGrid w:val="0"/>
        <w:spacing w:line="400" w:lineRule="exact"/>
        <w:ind w:firstLine="413" w:firstLineChars="196"/>
        <w:rPr>
          <w:rFonts w:hint="eastAsia" w:ascii="宋体" w:hAnsi="宋体" w:eastAsia="宋体"/>
          <w:b/>
          <w:bCs/>
          <w:color w:val="auto"/>
          <w:sz w:val="21"/>
          <w:szCs w:val="21"/>
          <w:highlight w:val="none"/>
        </w:rPr>
      </w:pPr>
      <w:r>
        <w:rPr>
          <w:rFonts w:hint="eastAsia" w:ascii="宋体" w:hAnsi="宋体" w:eastAsia="宋体"/>
          <w:b/>
          <w:bCs/>
          <w:color w:val="auto"/>
          <w:sz w:val="21"/>
          <w:szCs w:val="21"/>
          <w:highlight w:val="none"/>
        </w:rPr>
        <w:t>（2）</w:t>
      </w:r>
      <w:r>
        <w:rPr>
          <w:rFonts w:ascii="宋体" w:hAnsi="宋体" w:eastAsia="宋体"/>
          <w:b/>
          <w:bCs/>
          <w:color w:val="auto"/>
          <w:sz w:val="21"/>
          <w:szCs w:val="21"/>
          <w:highlight w:val="none"/>
        </w:rPr>
        <w:t>供应商提交两份或两份以上内容不同的投标文件；</w:t>
      </w:r>
    </w:p>
    <w:p>
      <w:pPr>
        <w:pStyle w:val="29"/>
        <w:adjustRightInd w:val="0"/>
        <w:snapToGrid w:val="0"/>
        <w:spacing w:line="400" w:lineRule="exact"/>
        <w:ind w:firstLine="421" w:firstLineChars="200"/>
        <w:rPr>
          <w:rFonts w:hint="eastAsia" w:hAnsi="宋体"/>
          <w:b/>
          <w:bCs/>
          <w:color w:val="auto"/>
          <w:highlight w:val="none"/>
        </w:rPr>
      </w:pPr>
      <w:r>
        <w:rPr>
          <w:rFonts w:hint="eastAsia" w:hAnsi="宋体"/>
          <w:b/>
          <w:bCs/>
          <w:color w:val="auto"/>
          <w:highlight w:val="none"/>
        </w:rPr>
        <w:t>（3）</w:t>
      </w:r>
      <w:r>
        <w:rPr>
          <w:rFonts w:hAnsi="宋体"/>
          <w:b/>
          <w:bCs/>
          <w:color w:val="auto"/>
          <w:highlight w:val="none"/>
        </w:rPr>
        <w:t>投标供应商在线制作投标文件时</w:t>
      </w:r>
      <w:r>
        <w:rPr>
          <w:rFonts w:hint="eastAsia" w:hAnsi="宋体"/>
          <w:b/>
          <w:bCs/>
          <w:color w:val="auto"/>
          <w:highlight w:val="none"/>
        </w:rPr>
        <w:t>填写的报价金额</w:t>
      </w:r>
      <w:r>
        <w:rPr>
          <w:rFonts w:hAnsi="宋体"/>
          <w:b/>
          <w:bCs/>
          <w:color w:val="auto"/>
          <w:highlight w:val="none"/>
        </w:rPr>
        <w:t>与解密后“电子加密投标文件”中《开标一览表》填写的金额不一致并拒绝按招标文件要求接受调整的；</w:t>
      </w:r>
    </w:p>
    <w:p>
      <w:pPr>
        <w:pStyle w:val="22"/>
        <w:snapToGrid w:val="0"/>
        <w:spacing w:line="360" w:lineRule="exact"/>
        <w:ind w:firstLine="413" w:firstLineChars="196"/>
        <w:outlineLvl w:val="0"/>
        <w:rPr>
          <w:rFonts w:hint="eastAsia" w:ascii="宋体" w:hAnsi="宋体" w:eastAsia="宋体"/>
          <w:color w:val="auto"/>
          <w:spacing w:val="-4"/>
          <w:sz w:val="21"/>
          <w:szCs w:val="21"/>
          <w:highlight w:val="none"/>
        </w:rPr>
      </w:pPr>
      <w:r>
        <w:rPr>
          <w:rFonts w:hint="eastAsia" w:ascii="宋体" w:hAnsi="宋体" w:eastAsia="宋体" w:cs="Courier New"/>
          <w:b/>
          <w:bCs/>
          <w:color w:val="auto"/>
          <w:sz w:val="21"/>
          <w:szCs w:val="21"/>
          <w:highlight w:val="none"/>
        </w:rPr>
        <w:t>（4）</w:t>
      </w:r>
      <w:r>
        <w:rPr>
          <w:rFonts w:ascii="宋体" w:hAnsi="宋体" w:eastAsia="宋体" w:cs="Courier New"/>
          <w:b/>
          <w:bCs/>
          <w:color w:val="auto"/>
          <w:sz w:val="21"/>
          <w:szCs w:val="21"/>
          <w:highlight w:val="none"/>
        </w:rPr>
        <w:t>法律、法规和招标文件规定的其他无效情形（或出现重大偏差）。</w:t>
      </w:r>
    </w:p>
    <w:p>
      <w:pPr>
        <w:pStyle w:val="22"/>
        <w:snapToGrid w:val="0"/>
        <w:spacing w:line="360" w:lineRule="exact"/>
        <w:ind w:firstLine="395" w:firstLineChars="196"/>
        <w:outlineLvl w:val="0"/>
        <w:rPr>
          <w:rFonts w:hint="eastAsia" w:ascii="宋体" w:hAnsi="宋体" w:eastAsia="宋体"/>
          <w:color w:val="auto"/>
          <w:spacing w:val="-4"/>
          <w:sz w:val="21"/>
          <w:szCs w:val="21"/>
          <w:highlight w:val="none"/>
        </w:rPr>
      </w:pPr>
      <w:r>
        <w:rPr>
          <w:rFonts w:ascii="宋体" w:hAnsi="宋体" w:eastAsia="宋体"/>
          <w:color w:val="auto"/>
          <w:spacing w:val="-4"/>
          <w:sz w:val="21"/>
          <w:szCs w:val="21"/>
          <w:highlight w:val="none"/>
          <w:lang w:val="en"/>
        </w:rPr>
        <w:t>6</w:t>
      </w:r>
      <w:r>
        <w:rPr>
          <w:rFonts w:hint="eastAsia" w:ascii="宋体" w:hAnsi="宋体" w:eastAsia="宋体"/>
          <w:color w:val="auto"/>
          <w:spacing w:val="-4"/>
          <w:sz w:val="21"/>
          <w:szCs w:val="21"/>
          <w:highlight w:val="none"/>
        </w:rPr>
        <w:t>.被拒绝的投标文件为无效。</w:t>
      </w:r>
    </w:p>
    <w:p>
      <w:pPr>
        <w:pStyle w:val="22"/>
        <w:snapToGrid w:val="0"/>
        <w:spacing w:line="360" w:lineRule="exact"/>
        <w:ind w:firstLine="413" w:firstLineChars="196"/>
        <w:outlineLvl w:val="0"/>
        <w:rPr>
          <w:rFonts w:hint="eastAsia" w:ascii="宋体" w:hAnsi="宋体" w:eastAsia="宋体"/>
          <w:b/>
          <w:color w:val="auto"/>
          <w:sz w:val="21"/>
          <w:szCs w:val="21"/>
          <w:highlight w:val="none"/>
        </w:rPr>
      </w:pPr>
    </w:p>
    <w:p>
      <w:pPr>
        <w:pStyle w:val="22"/>
        <w:snapToGrid w:val="0"/>
        <w:spacing w:line="360" w:lineRule="exact"/>
        <w:ind w:firstLine="413" w:firstLineChars="196"/>
        <w:outlineLvl w:val="0"/>
        <w:rPr>
          <w:rFonts w:hint="eastAsia" w:ascii="宋体" w:hAnsi="宋体" w:eastAsia="宋体"/>
          <w:b/>
          <w:snapToGrid w:val="0"/>
          <w:color w:val="auto"/>
          <w:sz w:val="21"/>
          <w:szCs w:val="21"/>
          <w:highlight w:val="none"/>
        </w:rPr>
      </w:pPr>
      <w:r>
        <w:rPr>
          <w:rFonts w:hint="eastAsia" w:ascii="宋体" w:hAnsi="宋体" w:eastAsia="宋体"/>
          <w:b/>
          <w:color w:val="auto"/>
          <w:sz w:val="21"/>
          <w:szCs w:val="21"/>
          <w:highlight w:val="none"/>
        </w:rPr>
        <w:t>四、开标</w:t>
      </w:r>
    </w:p>
    <w:p>
      <w:pPr>
        <w:pStyle w:val="29"/>
        <w:snapToGrid w:val="0"/>
        <w:spacing w:line="360" w:lineRule="exact"/>
        <w:ind w:firstLine="413" w:firstLineChars="196"/>
        <w:outlineLvl w:val="0"/>
        <w:rPr>
          <w:rFonts w:hint="eastAsia" w:hAnsi="宋体"/>
          <w:b/>
          <w:color w:val="auto"/>
          <w:highlight w:val="none"/>
        </w:rPr>
      </w:pPr>
      <w:r>
        <w:rPr>
          <w:rFonts w:hint="eastAsia" w:hAnsi="宋体"/>
          <w:b/>
          <w:color w:val="auto"/>
          <w:highlight w:val="none"/>
        </w:rPr>
        <w:t>（一）开标准备</w:t>
      </w:r>
    </w:p>
    <w:p>
      <w:pPr>
        <w:pStyle w:val="29"/>
        <w:snapToGrid w:val="0"/>
        <w:spacing w:line="360" w:lineRule="exact"/>
        <w:ind w:firstLine="420" w:firstLineChars="200"/>
        <w:rPr>
          <w:rFonts w:hint="eastAsia" w:hAnsi="宋体"/>
          <w:bCs/>
          <w:color w:val="auto"/>
          <w:highlight w:val="none"/>
        </w:rPr>
      </w:pPr>
      <w:r>
        <w:rPr>
          <w:rFonts w:hint="eastAsia" w:hAnsi="宋体"/>
          <w:bCs/>
          <w:color w:val="auto"/>
          <w:highlight w:val="none"/>
        </w:rPr>
        <w:t>本中心将</w:t>
      </w:r>
      <w:r>
        <w:rPr>
          <w:rFonts w:hint="eastAsia"/>
          <w:color w:val="auto"/>
          <w:sz w:val="22"/>
          <w:highlight w:val="none"/>
        </w:rPr>
        <w:t>按招标文件规定的时间、地点通过“广西政府采购云平台”组织开标、开启投标文件，所有供应商均应当准时在线参加。投</w:t>
      </w:r>
      <w:r>
        <w:rPr>
          <w:color w:val="auto"/>
          <w:sz w:val="22"/>
          <w:highlight w:val="none"/>
        </w:rPr>
        <w:t>标供应商因未在线参加开标而导致投标文件无法按时解密等一切后果由供应商自</w:t>
      </w:r>
      <w:r>
        <w:rPr>
          <w:rFonts w:hint="eastAsia"/>
          <w:color w:val="auto"/>
          <w:sz w:val="22"/>
          <w:highlight w:val="none"/>
        </w:rPr>
        <w:t>行</w:t>
      </w:r>
      <w:r>
        <w:rPr>
          <w:color w:val="auto"/>
          <w:sz w:val="22"/>
          <w:highlight w:val="none"/>
        </w:rPr>
        <w:t>承担。</w:t>
      </w:r>
    </w:p>
    <w:p>
      <w:pPr>
        <w:pStyle w:val="29"/>
        <w:snapToGrid w:val="0"/>
        <w:spacing w:line="360" w:lineRule="exact"/>
        <w:ind w:firstLine="413" w:firstLineChars="196"/>
        <w:outlineLvl w:val="0"/>
        <w:rPr>
          <w:rFonts w:hint="eastAsia" w:hAnsi="宋体"/>
          <w:b/>
          <w:color w:val="auto"/>
          <w:highlight w:val="none"/>
        </w:rPr>
      </w:pPr>
      <w:r>
        <w:rPr>
          <w:rFonts w:hint="eastAsia" w:hAnsi="宋体"/>
          <w:b/>
          <w:color w:val="auto"/>
          <w:highlight w:val="none"/>
        </w:rPr>
        <w:t>（二） 开标程序：</w:t>
      </w:r>
    </w:p>
    <w:p>
      <w:pPr>
        <w:pStyle w:val="29"/>
        <w:adjustRightInd w:val="0"/>
        <w:snapToGrid w:val="0"/>
        <w:spacing w:line="400" w:lineRule="exact"/>
        <w:ind w:firstLine="420" w:firstLineChars="200"/>
        <w:rPr>
          <w:rFonts w:hint="eastAsia" w:hAnsi="宋体"/>
          <w:color w:val="auto"/>
          <w:highlight w:val="none"/>
        </w:rPr>
      </w:pPr>
      <w:r>
        <w:rPr>
          <w:rFonts w:hint="eastAsia" w:hAnsi="宋体"/>
          <w:color w:val="auto"/>
          <w:highlight w:val="none"/>
        </w:rPr>
        <w:t>1.电子开标会由本中心主持</w:t>
      </w:r>
    </w:p>
    <w:p>
      <w:pPr>
        <w:pStyle w:val="29"/>
        <w:adjustRightInd w:val="0"/>
        <w:snapToGrid w:val="0"/>
        <w:spacing w:line="400" w:lineRule="exact"/>
        <w:ind w:firstLine="420" w:firstLineChars="200"/>
        <w:rPr>
          <w:color w:val="auto"/>
          <w:highlight w:val="none"/>
        </w:rPr>
      </w:pPr>
      <w:r>
        <w:rPr>
          <w:rFonts w:hint="eastAsia" w:hAnsi="宋体"/>
          <w:color w:val="auto"/>
          <w:highlight w:val="none"/>
        </w:rPr>
        <w:t>2.本中心工作人员</w:t>
      </w:r>
      <w:r>
        <w:rPr>
          <w:rFonts w:hint="eastAsia"/>
          <w:color w:val="auto"/>
          <w:highlight w:val="none"/>
        </w:rPr>
        <w:t>向各投标供应商发出电子加密投标文件【开始解密】通知，由供应商按招标文件规定的时间内自行进行投标文件解密。</w:t>
      </w:r>
      <w:r>
        <w:rPr>
          <w:rFonts w:hint="eastAsia"/>
          <w:snapToGrid w:val="0"/>
          <w:color w:val="auto"/>
          <w:highlight w:val="none"/>
        </w:rPr>
        <w:t>投标供应商未在规定时间内完成解密的，系统默认自动放弃。</w:t>
      </w:r>
    </w:p>
    <w:p>
      <w:pPr>
        <w:pStyle w:val="29"/>
        <w:adjustRightInd w:val="0"/>
        <w:snapToGrid w:val="0"/>
        <w:spacing w:line="400" w:lineRule="exact"/>
        <w:ind w:firstLine="420" w:firstLineChars="200"/>
        <w:rPr>
          <w:rFonts w:hint="eastAsia" w:hAnsi="宋体"/>
          <w:color w:val="auto"/>
          <w:highlight w:val="none"/>
        </w:rPr>
      </w:pPr>
      <w:r>
        <w:rPr>
          <w:rFonts w:hint="eastAsia" w:hAnsi="宋体"/>
          <w:color w:val="auto"/>
          <w:highlight w:val="none"/>
        </w:rPr>
        <w:t>3.</w:t>
      </w:r>
      <w:r>
        <w:rPr>
          <w:rFonts w:hAnsi="宋体"/>
          <w:color w:val="auto"/>
          <w:highlight w:val="none"/>
        </w:rPr>
        <w:t>投标文件解密结束，开启</w:t>
      </w:r>
      <w:r>
        <w:rPr>
          <w:rFonts w:hint="eastAsia" w:hAnsi="宋体"/>
          <w:color w:val="auto"/>
          <w:highlight w:val="none"/>
        </w:rPr>
        <w:t>报价文件。投标供应商在线制作投标文件时填写的报价金额</w:t>
      </w:r>
      <w:r>
        <w:rPr>
          <w:rFonts w:hAnsi="宋体"/>
          <w:color w:val="auto"/>
          <w:highlight w:val="none"/>
        </w:rPr>
        <w:t>与解密后“电子加密投标文件”中《开标一览表》填写的金额不一致的，以解密后“电子加密投标文件”中《开标一览表》填写的金额为准，投标供应商拒绝接受此调整的，按无效投标处理。</w:t>
      </w:r>
    </w:p>
    <w:p>
      <w:pPr>
        <w:pStyle w:val="29"/>
        <w:adjustRightInd w:val="0"/>
        <w:snapToGrid w:val="0"/>
        <w:spacing w:line="400" w:lineRule="exact"/>
        <w:ind w:firstLine="420" w:firstLineChars="200"/>
        <w:rPr>
          <w:rFonts w:hint="eastAsia" w:hAnsi="宋体"/>
          <w:color w:val="auto"/>
          <w:highlight w:val="none"/>
        </w:rPr>
      </w:pPr>
      <w:r>
        <w:rPr>
          <w:rFonts w:hint="eastAsia" w:hAnsi="宋体"/>
          <w:color w:val="auto"/>
          <w:highlight w:val="none"/>
        </w:rPr>
        <w:t>4.进入</w:t>
      </w:r>
      <w:r>
        <w:rPr>
          <w:rFonts w:hAnsi="宋体"/>
          <w:color w:val="auto"/>
          <w:highlight w:val="none"/>
        </w:rPr>
        <w:t>资格文件</w:t>
      </w:r>
      <w:r>
        <w:rPr>
          <w:rFonts w:hint="eastAsia" w:hAnsi="宋体"/>
          <w:color w:val="auto"/>
          <w:highlight w:val="none"/>
        </w:rPr>
        <w:t>审查环节</w:t>
      </w:r>
      <w:r>
        <w:rPr>
          <w:rFonts w:hAnsi="宋体"/>
          <w:color w:val="auto"/>
          <w:highlight w:val="none"/>
        </w:rPr>
        <w:t>，</w:t>
      </w:r>
      <w:r>
        <w:rPr>
          <w:rFonts w:hint="eastAsia" w:hAnsi="宋体"/>
          <w:color w:val="auto"/>
          <w:highlight w:val="none"/>
        </w:rPr>
        <w:t>本中心或者招标采购单位</w:t>
      </w:r>
      <w:r>
        <w:rPr>
          <w:rFonts w:hAnsi="宋体"/>
          <w:color w:val="auto"/>
          <w:highlight w:val="none"/>
        </w:rPr>
        <w:t>依法对投标供应商的资格进行审查。</w:t>
      </w:r>
    </w:p>
    <w:p>
      <w:pPr>
        <w:pStyle w:val="29"/>
        <w:adjustRightInd w:val="0"/>
        <w:snapToGrid w:val="0"/>
        <w:spacing w:line="400" w:lineRule="exact"/>
        <w:ind w:firstLine="420" w:firstLineChars="200"/>
        <w:rPr>
          <w:rFonts w:hint="eastAsia" w:hAnsi="宋体"/>
          <w:color w:val="auto"/>
          <w:highlight w:val="none"/>
        </w:rPr>
      </w:pPr>
      <w:r>
        <w:rPr>
          <w:rFonts w:hint="eastAsia" w:hAnsi="宋体"/>
          <w:color w:val="auto"/>
          <w:highlight w:val="none"/>
        </w:rPr>
        <w:t>5.</w:t>
      </w:r>
      <w:r>
        <w:rPr>
          <w:rFonts w:hAnsi="宋体"/>
          <w:color w:val="auto"/>
          <w:highlight w:val="none"/>
        </w:rPr>
        <w:t>开启资格审查通过的投标供应商的商务技术文件进入符合性审查及商务技术评审</w:t>
      </w:r>
      <w:r>
        <w:rPr>
          <w:rFonts w:hint="eastAsia" w:hAnsi="宋体"/>
          <w:color w:val="auto"/>
          <w:highlight w:val="none"/>
        </w:rPr>
        <w:t>。</w:t>
      </w:r>
    </w:p>
    <w:p>
      <w:pPr>
        <w:pStyle w:val="29"/>
        <w:adjustRightInd w:val="0"/>
        <w:snapToGrid w:val="0"/>
        <w:spacing w:line="400" w:lineRule="exact"/>
        <w:ind w:firstLine="420"/>
        <w:rPr>
          <w:rFonts w:hint="eastAsia" w:hAnsi="宋体"/>
          <w:color w:val="auto"/>
          <w:highlight w:val="none"/>
        </w:rPr>
      </w:pPr>
      <w:r>
        <w:rPr>
          <w:rFonts w:hint="eastAsia" w:hAnsi="宋体"/>
          <w:color w:val="auto"/>
          <w:highlight w:val="none"/>
        </w:rPr>
        <w:t>注：①当整个招标项目的投标人不足3家的不开标，本中心将按政府采购管理的有关规定处理。</w:t>
      </w:r>
    </w:p>
    <w:p>
      <w:pPr>
        <w:pStyle w:val="29"/>
        <w:adjustRightInd w:val="0"/>
        <w:snapToGrid w:val="0"/>
        <w:spacing w:line="400" w:lineRule="exact"/>
        <w:ind w:firstLine="840" w:firstLineChars="400"/>
        <w:rPr>
          <w:rFonts w:hint="eastAsia" w:hAnsi="宋体"/>
          <w:color w:val="auto"/>
          <w:highlight w:val="none"/>
        </w:rPr>
      </w:pPr>
      <w:r>
        <w:rPr>
          <w:rFonts w:hint="eastAsia" w:hAnsi="宋体"/>
          <w:color w:val="auto"/>
          <w:highlight w:val="none"/>
        </w:rPr>
        <w:t>②开标后,某分标投标人不足3家的，本中心将按政府采购管理的有关规定处理。</w:t>
      </w:r>
    </w:p>
    <w:p>
      <w:pPr>
        <w:pStyle w:val="29"/>
        <w:snapToGrid w:val="0"/>
        <w:spacing w:line="360" w:lineRule="exact"/>
        <w:ind w:left="689" w:leftChars="228" w:hanging="210" w:hangingChars="100"/>
        <w:rPr>
          <w:rFonts w:hint="eastAsia" w:hAnsi="宋体"/>
          <w:color w:val="auto"/>
          <w:highlight w:val="none"/>
        </w:rPr>
      </w:pPr>
      <w:r>
        <w:rPr>
          <w:rFonts w:hAnsi="宋体"/>
          <w:b/>
          <w:bCs/>
          <w:color w:val="auto"/>
          <w:highlight w:val="none"/>
        </w:rPr>
        <w:t>特别说明：如遇“</w:t>
      </w:r>
      <w:r>
        <w:rPr>
          <w:rFonts w:hAnsi="宋体"/>
          <w:b/>
          <w:bCs/>
          <w:color w:val="auto"/>
          <w:highlight w:val="none"/>
          <w:lang w:val="en"/>
        </w:rPr>
        <w:t>广西政府采购云平台</w:t>
      </w:r>
      <w:r>
        <w:rPr>
          <w:rFonts w:hAnsi="宋体"/>
          <w:b/>
          <w:bCs/>
          <w:color w:val="auto"/>
          <w:highlight w:val="none"/>
        </w:rPr>
        <w:t>”电子化开标或评审程序调整的，按调整后程序执行。</w:t>
      </w:r>
    </w:p>
    <w:p>
      <w:pPr>
        <w:pStyle w:val="29"/>
        <w:snapToGrid w:val="0"/>
        <w:spacing w:line="360" w:lineRule="exact"/>
        <w:ind w:left="771" w:leftChars="267" w:hanging="210" w:hangingChars="100"/>
        <w:outlineLvl w:val="1"/>
        <w:rPr>
          <w:rFonts w:hint="eastAsia" w:hAnsi="宋体"/>
          <w:b/>
          <w:color w:val="auto"/>
          <w:highlight w:val="none"/>
        </w:rPr>
      </w:pPr>
      <w:r>
        <w:rPr>
          <w:rFonts w:hint="eastAsia" w:hAnsi="宋体"/>
          <w:b/>
          <w:color w:val="auto"/>
          <w:highlight w:val="none"/>
        </w:rPr>
        <w:t>五、</w:t>
      </w:r>
      <w:r>
        <w:rPr>
          <w:rFonts w:hint="eastAsia" w:hAnsi="宋体"/>
          <w:b/>
          <w:bCs/>
          <w:color w:val="auto"/>
          <w:highlight w:val="none"/>
        </w:rPr>
        <w:t>资格审查</w:t>
      </w:r>
    </w:p>
    <w:p>
      <w:pPr>
        <w:pStyle w:val="29"/>
        <w:snapToGrid w:val="0"/>
        <w:spacing w:line="360" w:lineRule="exact"/>
        <w:ind w:left="771" w:leftChars="267" w:hanging="210" w:hangingChars="100"/>
        <w:outlineLvl w:val="1"/>
        <w:rPr>
          <w:rFonts w:hint="eastAsia" w:hAnsi="宋体"/>
          <w:b/>
          <w:color w:val="auto"/>
          <w:highlight w:val="none"/>
        </w:rPr>
      </w:pPr>
      <w:r>
        <w:rPr>
          <w:rFonts w:hint="eastAsia"/>
          <w:color w:val="auto"/>
          <w:highlight w:val="none"/>
        </w:rPr>
        <w:t>采购人</w:t>
      </w:r>
      <w:r>
        <w:rPr>
          <w:rFonts w:hint="eastAsia"/>
          <w:color w:val="auto"/>
          <w:spacing w:val="-4"/>
          <w:highlight w:val="none"/>
        </w:rPr>
        <w:t>或本中心工作人员</w:t>
      </w:r>
      <w:r>
        <w:rPr>
          <w:rFonts w:hint="eastAsia"/>
          <w:color w:val="auto"/>
          <w:highlight w:val="none"/>
        </w:rPr>
        <w:t>依法对投标人的资格进行审查。合格投标人不足3家的，不得评标。</w:t>
      </w:r>
    </w:p>
    <w:p>
      <w:pPr>
        <w:pStyle w:val="29"/>
        <w:snapToGrid w:val="0"/>
        <w:spacing w:line="360" w:lineRule="exact"/>
        <w:ind w:left="771" w:leftChars="267" w:hanging="210" w:hangingChars="100"/>
        <w:outlineLvl w:val="1"/>
        <w:rPr>
          <w:rFonts w:hint="eastAsia" w:hAnsi="宋体"/>
          <w:b/>
          <w:color w:val="auto"/>
          <w:highlight w:val="none"/>
        </w:rPr>
      </w:pPr>
      <w:r>
        <w:rPr>
          <w:rFonts w:hint="eastAsia" w:hAnsi="宋体"/>
          <w:b/>
          <w:color w:val="auto"/>
          <w:highlight w:val="none"/>
        </w:rPr>
        <w:t>六、评标</w:t>
      </w:r>
    </w:p>
    <w:p>
      <w:pPr>
        <w:pStyle w:val="29"/>
        <w:snapToGrid w:val="0"/>
        <w:spacing w:line="360" w:lineRule="exact"/>
        <w:ind w:left="689" w:leftChars="228" w:hanging="210" w:hangingChars="100"/>
        <w:rPr>
          <w:rFonts w:hint="eastAsia" w:hAnsi="宋体"/>
          <w:b/>
          <w:color w:val="auto"/>
          <w:highlight w:val="none"/>
        </w:rPr>
      </w:pPr>
      <w:r>
        <w:rPr>
          <w:rFonts w:hint="eastAsia" w:hAnsi="宋体"/>
          <w:b/>
          <w:color w:val="auto"/>
          <w:highlight w:val="none"/>
        </w:rPr>
        <w:t>（一）组建评标委员会</w:t>
      </w:r>
    </w:p>
    <w:p>
      <w:pPr>
        <w:pStyle w:val="29"/>
        <w:snapToGrid w:val="0"/>
        <w:spacing w:line="360" w:lineRule="exact"/>
        <w:ind w:firstLine="420" w:firstLineChars="200"/>
        <w:rPr>
          <w:color w:val="auto"/>
          <w:spacing w:val="-4"/>
          <w:highlight w:val="none"/>
        </w:rPr>
      </w:pPr>
      <w:r>
        <w:rPr>
          <w:rFonts w:hint="eastAsia" w:hAnsi="宋体"/>
          <w:bCs/>
          <w:color w:val="auto"/>
          <w:highlight w:val="none"/>
        </w:rPr>
        <w:t>本招标采购项目的</w:t>
      </w:r>
      <w:r>
        <w:rPr>
          <w:color w:val="auto"/>
          <w:spacing w:val="-4"/>
          <w:highlight w:val="none"/>
        </w:rPr>
        <w:t>评标委员会由采购人代表和评审专家组成，成员人数应当为5人以上单数，其中评审专家不得少于成员总数的三分之二。</w:t>
      </w:r>
    </w:p>
    <w:p>
      <w:pPr>
        <w:pStyle w:val="29"/>
        <w:snapToGrid w:val="0"/>
        <w:spacing w:line="360" w:lineRule="exact"/>
        <w:ind w:left="689" w:leftChars="228" w:hanging="210" w:hangingChars="100"/>
        <w:rPr>
          <w:rFonts w:hint="eastAsia" w:hAnsi="宋体"/>
          <w:b/>
          <w:color w:val="auto"/>
          <w:highlight w:val="none"/>
        </w:rPr>
      </w:pPr>
      <w:r>
        <w:rPr>
          <w:rFonts w:hint="eastAsia" w:hAnsi="宋体"/>
          <w:b/>
          <w:color w:val="auto"/>
          <w:highlight w:val="none"/>
        </w:rPr>
        <w:t>（二）评标的方式</w:t>
      </w:r>
    </w:p>
    <w:p>
      <w:pPr>
        <w:pStyle w:val="29"/>
        <w:snapToGrid w:val="0"/>
        <w:spacing w:line="360" w:lineRule="exact"/>
        <w:ind w:left="689" w:leftChars="228" w:hanging="210" w:hangingChars="100"/>
        <w:rPr>
          <w:rFonts w:hint="eastAsia" w:hAnsi="宋体"/>
          <w:color w:val="auto"/>
          <w:highlight w:val="none"/>
        </w:rPr>
      </w:pPr>
      <w:r>
        <w:rPr>
          <w:rFonts w:hint="eastAsia" w:hAnsi="宋体"/>
          <w:color w:val="auto"/>
          <w:highlight w:val="none"/>
        </w:rPr>
        <w:t>本项目采用不公开方式评标，评标的依据为招标文件和投标文件。</w:t>
      </w:r>
    </w:p>
    <w:p>
      <w:pPr>
        <w:pStyle w:val="29"/>
        <w:snapToGrid w:val="0"/>
        <w:spacing w:line="360" w:lineRule="exact"/>
        <w:ind w:left="689" w:leftChars="228" w:hanging="210" w:hangingChars="100"/>
        <w:rPr>
          <w:rFonts w:hint="eastAsia" w:hAnsi="宋体"/>
          <w:b/>
          <w:color w:val="auto"/>
          <w:highlight w:val="none"/>
        </w:rPr>
      </w:pPr>
      <w:r>
        <w:rPr>
          <w:rFonts w:hint="eastAsia" w:hAnsi="宋体"/>
          <w:b/>
          <w:color w:val="auto"/>
          <w:highlight w:val="none"/>
        </w:rPr>
        <w:t>（三）</w:t>
      </w:r>
      <w:r>
        <w:rPr>
          <w:rFonts w:hint="eastAsia" w:hAnsi="宋体"/>
          <w:b/>
          <w:bCs/>
          <w:color w:val="auto"/>
          <w:highlight w:val="none"/>
        </w:rPr>
        <w:t>评标程序</w:t>
      </w:r>
    </w:p>
    <w:p>
      <w:pPr>
        <w:snapToGrid w:val="0"/>
        <w:spacing w:line="360" w:lineRule="exact"/>
        <w:ind w:firstLine="420" w:firstLineChars="200"/>
        <w:rPr>
          <w:rFonts w:hint="eastAsia" w:ascii="宋体" w:hAnsi="宋体"/>
          <w:color w:val="auto"/>
          <w:szCs w:val="21"/>
          <w:highlight w:val="none"/>
        </w:rPr>
      </w:pPr>
      <w:r>
        <w:rPr>
          <w:rFonts w:hint="eastAsia" w:ascii="宋体" w:hAnsi="宋体"/>
          <w:color w:val="auto"/>
          <w:szCs w:val="21"/>
          <w:highlight w:val="none"/>
        </w:rPr>
        <w:t>评标委员会仅对通过资格审查的投标文件进行后续评审，程序如下：</w:t>
      </w:r>
    </w:p>
    <w:p>
      <w:pPr>
        <w:snapToGrid w:val="0"/>
        <w:spacing w:line="360" w:lineRule="exact"/>
        <w:ind w:firstLine="420" w:firstLineChars="200"/>
        <w:rPr>
          <w:rFonts w:hint="eastAsia" w:ascii="宋体" w:hAnsi="宋体"/>
          <w:color w:val="auto"/>
          <w:szCs w:val="21"/>
          <w:highlight w:val="none"/>
        </w:rPr>
      </w:pPr>
      <w:r>
        <w:rPr>
          <w:rFonts w:hint="eastAsia" w:ascii="宋体" w:hAnsi="宋体"/>
          <w:color w:val="auto"/>
          <w:szCs w:val="21"/>
          <w:highlight w:val="none"/>
        </w:rPr>
        <w:t>（1）符合性审查：评标委员会审查投标文件是否实质性响应招标文件要求。未通过审查的投标，不进入详细评审。</w:t>
      </w:r>
    </w:p>
    <w:p>
      <w:pPr>
        <w:snapToGrid w:val="0"/>
        <w:spacing w:line="360" w:lineRule="exact"/>
        <w:ind w:firstLine="420" w:firstLineChars="200"/>
        <w:rPr>
          <w:rFonts w:hint="eastAsia" w:ascii="宋体" w:hAnsi="宋体"/>
          <w:color w:val="auto"/>
          <w:szCs w:val="21"/>
          <w:highlight w:val="none"/>
        </w:rPr>
      </w:pPr>
      <w:r>
        <w:rPr>
          <w:rFonts w:hint="eastAsia" w:ascii="宋体" w:hAnsi="宋体"/>
          <w:color w:val="auto"/>
          <w:szCs w:val="21"/>
          <w:highlight w:val="none"/>
        </w:rPr>
        <w:t>（2）询标与澄清：在评标过程中，如评标委员会认为有必要，可通过广西政府采购云平台的电子询标功能，要求投标人对投标文件中的有关事项进行澄清或说明。投标人须在规定时间内，通过系统以加盖电子签章的正式文件进行回复。澄清或说明的内容不得改变投标文件的实质性内容。 投标人代表超过规定时间或者拒绝澄清，或者澄清的内容改变了投标文件实质性内容的，评标委员会有权否决其投标。</w:t>
      </w:r>
    </w:p>
    <w:p>
      <w:pPr>
        <w:snapToGrid w:val="0"/>
        <w:spacing w:line="360" w:lineRule="exact"/>
        <w:ind w:firstLine="420" w:firstLineChars="200"/>
        <w:rPr>
          <w:rFonts w:hint="eastAsia" w:ascii="宋体" w:hAnsi="宋体"/>
          <w:color w:val="auto"/>
          <w:szCs w:val="21"/>
          <w:highlight w:val="none"/>
        </w:rPr>
      </w:pPr>
      <w:r>
        <w:rPr>
          <w:rFonts w:hint="eastAsia" w:ascii="宋体" w:hAnsi="宋体"/>
          <w:color w:val="auto"/>
          <w:szCs w:val="21"/>
          <w:highlight w:val="none"/>
        </w:rPr>
        <w:t>（3）商务与技术评审：评标委员会依据评分标准，对通过符合性审查的投标进行详细评审。</w:t>
      </w:r>
    </w:p>
    <w:p>
      <w:pPr>
        <w:snapToGrid w:val="0"/>
        <w:spacing w:line="360" w:lineRule="exact"/>
        <w:ind w:firstLine="420" w:firstLineChars="200"/>
        <w:rPr>
          <w:rFonts w:hint="eastAsia" w:ascii="宋体" w:hAnsi="宋体"/>
          <w:color w:val="auto"/>
          <w:szCs w:val="21"/>
          <w:highlight w:val="none"/>
        </w:rPr>
      </w:pPr>
      <w:r>
        <w:rPr>
          <w:rFonts w:hint="eastAsia" w:ascii="宋体" w:hAnsi="宋体"/>
          <w:color w:val="auto"/>
          <w:szCs w:val="21"/>
          <w:highlight w:val="none"/>
        </w:rPr>
        <w:t>（4）报价评审</w:t>
      </w:r>
    </w:p>
    <w:p>
      <w:pPr>
        <w:snapToGrid w:val="0"/>
        <w:spacing w:line="360" w:lineRule="exact"/>
        <w:ind w:left="420" w:leftChars="200" w:firstLine="210" w:firstLineChars="100"/>
        <w:rPr>
          <w:rFonts w:hint="eastAsia" w:ascii="宋体" w:hAnsi="宋体"/>
          <w:color w:val="auto"/>
          <w:szCs w:val="21"/>
          <w:highlight w:val="none"/>
        </w:rPr>
      </w:pPr>
      <w:r>
        <w:rPr>
          <w:rFonts w:ascii="宋体" w:hAnsi="宋体"/>
          <w:color w:val="auto"/>
          <w:szCs w:val="21"/>
          <w:highlight w:val="none"/>
          <w:lang w:val="en"/>
        </w:rPr>
        <w:t>a)</w:t>
      </w:r>
      <w:r>
        <w:rPr>
          <w:rFonts w:hint="eastAsia" w:ascii="宋体" w:hAnsi="宋体"/>
          <w:color w:val="auto"/>
          <w:szCs w:val="21"/>
          <w:highlight w:val="none"/>
        </w:rPr>
        <w:t xml:space="preserve"> 报价符合性审查：评标委员会审查投标报价是否符合招标文件关于报价的格式、币种、范围（如报价是否完全响应并覆盖招标文件“采购需求”及“货物</w:t>
      </w:r>
      <w:r>
        <w:rPr>
          <w:rFonts w:ascii="宋体" w:hAnsi="宋体"/>
          <w:color w:val="auto"/>
          <w:szCs w:val="21"/>
          <w:highlight w:val="none"/>
          <w:lang w:val="en"/>
        </w:rPr>
        <w:t>/</w:t>
      </w:r>
      <w:r>
        <w:rPr>
          <w:rFonts w:hint="eastAsia" w:ascii="宋体" w:hAnsi="宋体"/>
          <w:color w:val="auto"/>
          <w:szCs w:val="21"/>
          <w:highlight w:val="none"/>
        </w:rPr>
        <w:t>服务</w:t>
      </w:r>
      <w:r>
        <w:rPr>
          <w:rFonts w:ascii="宋体" w:hAnsi="宋体"/>
          <w:color w:val="auto"/>
          <w:szCs w:val="21"/>
          <w:highlight w:val="none"/>
          <w:lang w:val="en"/>
        </w:rPr>
        <w:t>”</w:t>
      </w:r>
      <w:r>
        <w:rPr>
          <w:rFonts w:hint="eastAsia" w:ascii="宋体" w:hAnsi="宋体"/>
          <w:color w:val="auto"/>
          <w:szCs w:val="21"/>
          <w:highlight w:val="none"/>
        </w:rPr>
        <w:t>清单中所列全部内容、是否超采购预算或最高限价）等基础要求。</w:t>
      </w:r>
    </w:p>
    <w:p>
      <w:pPr>
        <w:snapToGrid w:val="0"/>
        <w:spacing w:line="360" w:lineRule="exact"/>
        <w:ind w:firstLine="420" w:firstLineChars="200"/>
        <w:rPr>
          <w:rFonts w:hint="eastAsia" w:ascii="宋体" w:hAnsi="宋体"/>
          <w:color w:val="auto"/>
          <w:szCs w:val="21"/>
          <w:highlight w:val="none"/>
        </w:rPr>
      </w:pPr>
      <w:r>
        <w:rPr>
          <w:rFonts w:hint="eastAsia" w:ascii="宋体" w:hAnsi="宋体"/>
          <w:color w:val="auto"/>
          <w:szCs w:val="21"/>
          <w:highlight w:val="none"/>
        </w:rPr>
        <w:t>　</w:t>
      </w:r>
      <w:r>
        <w:rPr>
          <w:rFonts w:ascii="宋体" w:hAnsi="宋体"/>
          <w:color w:val="auto"/>
          <w:szCs w:val="21"/>
          <w:highlight w:val="none"/>
          <w:lang w:val="en"/>
        </w:rPr>
        <w:t>b)</w:t>
      </w:r>
      <w:r>
        <w:rPr>
          <w:rFonts w:hint="eastAsia" w:ascii="宋体" w:hAnsi="宋体"/>
          <w:color w:val="auto"/>
          <w:szCs w:val="21"/>
          <w:highlight w:val="none"/>
        </w:rPr>
        <w:t xml:space="preserve"> 异常低价甄别与说明：对通过报价符合性审查的投标，如触发下列情形，评标委员会应当启动异常低价审查程序：</w:t>
      </w:r>
    </w:p>
    <w:p>
      <w:pPr>
        <w:snapToGrid w:val="0"/>
        <w:spacing w:line="360" w:lineRule="exact"/>
        <w:ind w:firstLine="420" w:firstLineChars="200"/>
        <w:rPr>
          <w:rFonts w:hint="eastAsia" w:ascii="宋体" w:hAnsi="宋体"/>
          <w:color w:val="auto"/>
          <w:szCs w:val="21"/>
          <w:highlight w:val="none"/>
        </w:rPr>
      </w:pPr>
      <w:r>
        <w:rPr>
          <w:rFonts w:hint="eastAsia" w:ascii="宋体" w:hAnsi="宋体"/>
          <w:color w:val="auto"/>
          <w:szCs w:val="21"/>
          <w:highlight w:val="none"/>
        </w:rPr>
        <w:t>　１）报价低于全部通过符合性审查投标人投标报价平均值50%的；</w:t>
      </w:r>
    </w:p>
    <w:p>
      <w:pPr>
        <w:snapToGrid w:val="0"/>
        <w:spacing w:line="360" w:lineRule="exact"/>
        <w:ind w:firstLine="420" w:firstLineChars="200"/>
        <w:rPr>
          <w:rFonts w:hint="eastAsia" w:ascii="宋体" w:hAnsi="宋体"/>
          <w:color w:val="auto"/>
          <w:szCs w:val="21"/>
          <w:highlight w:val="none"/>
        </w:rPr>
      </w:pPr>
      <w:r>
        <w:rPr>
          <w:rFonts w:hint="eastAsia" w:ascii="宋体" w:hAnsi="宋体"/>
          <w:color w:val="auto"/>
          <w:szCs w:val="21"/>
          <w:highlight w:val="none"/>
        </w:rPr>
        <w:t>　２）报价低于通过符合性审查的次低报价投标人投标报价50%的；</w:t>
      </w:r>
    </w:p>
    <w:p>
      <w:pPr>
        <w:snapToGrid w:val="0"/>
        <w:spacing w:line="360" w:lineRule="exact"/>
        <w:ind w:firstLine="420" w:firstLineChars="200"/>
        <w:rPr>
          <w:rFonts w:hint="eastAsia" w:ascii="宋体" w:hAnsi="宋体"/>
          <w:color w:val="auto"/>
          <w:szCs w:val="21"/>
          <w:highlight w:val="none"/>
        </w:rPr>
      </w:pPr>
      <w:r>
        <w:rPr>
          <w:rFonts w:hint="eastAsia" w:ascii="宋体" w:hAnsi="宋体"/>
          <w:color w:val="auto"/>
          <w:szCs w:val="21"/>
          <w:highlight w:val="none"/>
        </w:rPr>
        <w:t>　３）报价低于采购项目最高限价45%的；</w:t>
      </w:r>
    </w:p>
    <w:p>
      <w:pPr>
        <w:snapToGrid w:val="0"/>
        <w:spacing w:line="360" w:lineRule="exact"/>
        <w:ind w:firstLine="420" w:firstLineChars="200"/>
        <w:rPr>
          <w:rFonts w:hint="eastAsia" w:ascii="宋体" w:hAnsi="宋体"/>
          <w:color w:val="auto"/>
          <w:szCs w:val="21"/>
          <w:highlight w:val="none"/>
        </w:rPr>
      </w:pPr>
      <w:r>
        <w:rPr>
          <w:rFonts w:hint="eastAsia" w:ascii="宋体" w:hAnsi="宋体"/>
          <w:color w:val="auto"/>
          <w:szCs w:val="21"/>
          <w:highlight w:val="none"/>
        </w:rPr>
        <w:t>　４）评标委员会基于专业判断，认为投标人报价过低，有可能影响产品质量或者不能诚信履约的其他情形。</w:t>
      </w:r>
    </w:p>
    <w:p>
      <w:pPr>
        <w:snapToGrid w:val="0"/>
        <w:spacing w:line="360" w:lineRule="exact"/>
        <w:ind w:firstLine="420" w:firstLineChars="200"/>
        <w:rPr>
          <w:rFonts w:hint="eastAsia" w:ascii="宋体" w:hAnsi="宋体"/>
          <w:color w:val="auto"/>
          <w:szCs w:val="21"/>
          <w:highlight w:val="none"/>
        </w:rPr>
      </w:pPr>
      <w:r>
        <w:rPr>
          <w:rFonts w:hint="eastAsia" w:ascii="宋体" w:hAnsi="宋体"/>
          <w:color w:val="auto"/>
          <w:szCs w:val="21"/>
          <w:highlight w:val="none"/>
        </w:rPr>
        <w:t>评标委员会通过电子询标方式，要求相关投标人在规定时间内提供有关书面说明及必要的证明材料。投标人不能提供书面说明、证明材料，或者提供的提供书面说明、证明材料不能证明其报价合理性的，评标委员会应将其作为无效投标处理。</w:t>
      </w:r>
    </w:p>
    <w:p>
      <w:pPr>
        <w:snapToGrid w:val="0"/>
        <w:spacing w:line="360" w:lineRule="exact"/>
        <w:ind w:firstLine="420" w:firstLineChars="200"/>
        <w:rPr>
          <w:rFonts w:hint="eastAsia" w:ascii="宋体" w:hAnsi="宋体"/>
          <w:color w:val="auto"/>
          <w:szCs w:val="21"/>
          <w:highlight w:val="none"/>
        </w:rPr>
      </w:pPr>
      <w:r>
        <w:rPr>
          <w:rFonts w:hint="eastAsia" w:ascii="宋体" w:hAnsi="宋体"/>
          <w:color w:val="auto"/>
          <w:szCs w:val="21"/>
          <w:highlight w:val="none"/>
        </w:rPr>
        <w:t>　</w:t>
      </w:r>
      <w:r>
        <w:rPr>
          <w:rFonts w:ascii="宋体" w:hAnsi="宋体"/>
          <w:color w:val="auto"/>
          <w:szCs w:val="21"/>
          <w:highlight w:val="none"/>
          <w:lang w:val="en"/>
        </w:rPr>
        <w:t>c)</w:t>
      </w:r>
      <w:r>
        <w:rPr>
          <w:rFonts w:hint="eastAsia" w:ascii="宋体" w:hAnsi="宋体"/>
          <w:color w:val="auto"/>
          <w:szCs w:val="21"/>
          <w:highlight w:val="none"/>
        </w:rPr>
        <w:t xml:space="preserve"> 价格评分：对通过上述全部审查的有效报价，由系统按招标文件规定计算价格分。</w:t>
      </w:r>
    </w:p>
    <w:p>
      <w:pPr>
        <w:snapToGrid w:val="0"/>
        <w:spacing w:line="360" w:lineRule="exact"/>
        <w:ind w:firstLine="420" w:firstLineChars="200"/>
        <w:outlineLvl w:val="0"/>
        <w:rPr>
          <w:rFonts w:hint="eastAsia" w:ascii="宋体" w:hAnsi="宋体"/>
          <w:color w:val="auto"/>
          <w:szCs w:val="21"/>
          <w:highlight w:val="none"/>
        </w:rPr>
      </w:pPr>
      <w:r>
        <w:rPr>
          <w:rFonts w:hint="eastAsia" w:ascii="宋体" w:hAnsi="宋体"/>
          <w:color w:val="auto"/>
          <w:szCs w:val="21"/>
          <w:highlight w:val="none"/>
        </w:rPr>
        <w:t>（5）评分汇总与推荐：评标委员会在评审系统内完成评审后，系统将自动计算、汇总得分并生成排序结果。评标委员会据此集体审议推荐中标候选人，并对《评标报告》予以确认。</w:t>
      </w:r>
    </w:p>
    <w:p>
      <w:pPr>
        <w:pStyle w:val="29"/>
        <w:snapToGrid w:val="0"/>
        <w:spacing w:line="360" w:lineRule="exact"/>
        <w:ind w:left="689" w:leftChars="228" w:hanging="210" w:hangingChars="100"/>
        <w:outlineLvl w:val="0"/>
        <w:rPr>
          <w:rFonts w:hint="eastAsia" w:hAnsi="宋体"/>
          <w:b/>
          <w:color w:val="auto"/>
          <w:highlight w:val="none"/>
        </w:rPr>
      </w:pPr>
      <w:r>
        <w:rPr>
          <w:rFonts w:hint="eastAsia" w:hAnsi="宋体"/>
          <w:color w:val="auto"/>
          <w:highlight w:val="none"/>
        </w:rPr>
        <w:t>（四）</w:t>
      </w:r>
      <w:r>
        <w:rPr>
          <w:rFonts w:hint="eastAsia" w:hAnsi="宋体"/>
          <w:b/>
          <w:color w:val="auto"/>
          <w:highlight w:val="none"/>
        </w:rPr>
        <w:t>错误修正</w:t>
      </w:r>
    </w:p>
    <w:p>
      <w:pPr>
        <w:pStyle w:val="29"/>
        <w:snapToGrid w:val="0"/>
        <w:spacing w:line="360" w:lineRule="exact"/>
        <w:ind w:left="689" w:leftChars="228" w:hanging="210" w:hangingChars="100"/>
        <w:rPr>
          <w:rFonts w:hint="eastAsia" w:hAnsi="宋体"/>
          <w:color w:val="auto"/>
          <w:highlight w:val="none"/>
        </w:rPr>
      </w:pPr>
      <w:r>
        <w:rPr>
          <w:rFonts w:hint="eastAsia" w:hAnsi="宋体"/>
          <w:color w:val="auto"/>
          <w:highlight w:val="none"/>
        </w:rPr>
        <w:t>投标文件如果出现计算或表达上的错误，修正错误的原则如下：</w:t>
      </w:r>
    </w:p>
    <w:p>
      <w:pPr>
        <w:pStyle w:val="29"/>
        <w:snapToGrid w:val="0"/>
        <w:spacing w:line="360" w:lineRule="exact"/>
        <w:ind w:firstLine="420" w:firstLineChars="200"/>
        <w:rPr>
          <w:color w:val="auto"/>
          <w:highlight w:val="none"/>
        </w:rPr>
      </w:pPr>
      <w:r>
        <w:rPr>
          <w:rFonts w:hint="eastAsia"/>
          <w:color w:val="auto"/>
          <w:highlight w:val="none"/>
        </w:rPr>
        <w:t>1.投标文件中开标一览表（报价表）内容与投标文件中相应内容不一致的，以开标一览表（报价表）为准；</w:t>
      </w:r>
    </w:p>
    <w:p>
      <w:pPr>
        <w:pStyle w:val="29"/>
        <w:snapToGrid w:val="0"/>
        <w:spacing w:line="360" w:lineRule="exact"/>
        <w:ind w:firstLine="420" w:firstLineChars="200"/>
        <w:rPr>
          <w:color w:val="auto"/>
          <w:highlight w:val="none"/>
        </w:rPr>
      </w:pPr>
      <w:r>
        <w:rPr>
          <w:rFonts w:hint="eastAsia"/>
          <w:color w:val="auto"/>
          <w:highlight w:val="none"/>
        </w:rPr>
        <w:t>2.大写金额和小写金额不一致的，以大写金额为准；</w:t>
      </w:r>
    </w:p>
    <w:p>
      <w:pPr>
        <w:pStyle w:val="29"/>
        <w:snapToGrid w:val="0"/>
        <w:spacing w:line="360" w:lineRule="exact"/>
        <w:ind w:firstLine="420" w:firstLineChars="200"/>
        <w:rPr>
          <w:color w:val="auto"/>
          <w:highlight w:val="none"/>
        </w:rPr>
      </w:pPr>
      <w:r>
        <w:rPr>
          <w:rFonts w:hint="eastAsia"/>
          <w:color w:val="auto"/>
          <w:highlight w:val="none"/>
        </w:rPr>
        <w:t>3.单价金额小数点或者百分比有明显错位的，以开标一览表的总价为准，并修改单价；</w:t>
      </w:r>
    </w:p>
    <w:p>
      <w:pPr>
        <w:pStyle w:val="29"/>
        <w:snapToGrid w:val="0"/>
        <w:spacing w:line="360" w:lineRule="exact"/>
        <w:ind w:firstLine="420" w:firstLineChars="200"/>
        <w:rPr>
          <w:color w:val="auto"/>
          <w:highlight w:val="none"/>
        </w:rPr>
      </w:pPr>
      <w:r>
        <w:rPr>
          <w:rFonts w:hint="eastAsia"/>
          <w:color w:val="auto"/>
          <w:highlight w:val="none"/>
        </w:rPr>
        <w:t>4.总价金额与按单价汇总金额不一致的，以单价金额计算结果为准。</w:t>
      </w:r>
    </w:p>
    <w:p>
      <w:pPr>
        <w:pStyle w:val="29"/>
        <w:snapToGrid w:val="0"/>
        <w:spacing w:line="360" w:lineRule="exact"/>
        <w:ind w:firstLine="420" w:firstLineChars="200"/>
        <w:rPr>
          <w:color w:val="auto"/>
          <w:highlight w:val="none"/>
        </w:rPr>
      </w:pPr>
      <w:r>
        <w:rPr>
          <w:rFonts w:hint="eastAsia"/>
          <w:color w:val="auto"/>
          <w:highlight w:val="none"/>
        </w:rPr>
        <w:t>5.对不同文字文本投标文件的解释发生异议的，以中文文本为准。</w:t>
      </w:r>
    </w:p>
    <w:p>
      <w:pPr>
        <w:pStyle w:val="29"/>
        <w:snapToGrid w:val="0"/>
        <w:spacing w:line="360" w:lineRule="exact"/>
        <w:ind w:firstLine="420" w:firstLineChars="200"/>
        <w:rPr>
          <w:rFonts w:hint="eastAsia" w:hAnsi="宋体"/>
          <w:color w:val="auto"/>
          <w:highlight w:val="none"/>
        </w:rPr>
      </w:pPr>
      <w:r>
        <w:rPr>
          <w:rFonts w:hint="eastAsia"/>
          <w:color w:val="auto"/>
          <w:highlight w:val="none"/>
        </w:rPr>
        <w:t>同时出现两种以上不一致的，按照前款规定的顺序修正。</w:t>
      </w:r>
    </w:p>
    <w:p>
      <w:pPr>
        <w:pStyle w:val="29"/>
        <w:snapToGrid w:val="0"/>
        <w:spacing w:line="360" w:lineRule="exact"/>
        <w:ind w:firstLine="421" w:firstLineChars="200"/>
        <w:rPr>
          <w:rFonts w:hint="eastAsia" w:hAnsi="宋体"/>
          <w:b/>
          <w:bCs/>
          <w:color w:val="auto"/>
          <w:highlight w:val="none"/>
        </w:rPr>
      </w:pPr>
      <w:r>
        <w:rPr>
          <w:rFonts w:hint="eastAsia" w:hAnsi="宋体"/>
          <w:b/>
          <w:bCs/>
          <w:color w:val="auto"/>
          <w:highlight w:val="none"/>
        </w:rPr>
        <w:t>按上述修正错误的原则及方法调整或修正投标文件的投标报价，投标人同意并</w:t>
      </w:r>
      <w:r>
        <w:rPr>
          <w:rFonts w:hAnsi="宋体"/>
          <w:b/>
          <w:bCs/>
          <w:color w:val="auto"/>
          <w:highlight w:val="none"/>
          <w:lang w:val="en"/>
        </w:rPr>
        <w:t>签字或签章</w:t>
      </w:r>
      <w:r>
        <w:rPr>
          <w:rFonts w:hint="eastAsia" w:hAnsi="宋体"/>
          <w:b/>
          <w:bCs/>
          <w:color w:val="auto"/>
          <w:highlight w:val="none"/>
        </w:rPr>
        <w:t>确认后，调整后的投标报价对投标人具有约束作用。如果投标人不接受修正后的报价，则其投标将作为无效投标处理。</w:t>
      </w:r>
    </w:p>
    <w:p>
      <w:pPr>
        <w:pStyle w:val="29"/>
        <w:tabs>
          <w:tab w:val="left" w:pos="630"/>
        </w:tabs>
        <w:snapToGrid w:val="0"/>
        <w:spacing w:line="360" w:lineRule="exact"/>
        <w:ind w:firstLine="413" w:firstLineChars="196"/>
        <w:outlineLvl w:val="0"/>
        <w:rPr>
          <w:rFonts w:hint="eastAsia" w:hAnsi="宋体"/>
          <w:b/>
          <w:color w:val="auto"/>
          <w:highlight w:val="none"/>
        </w:rPr>
      </w:pPr>
      <w:r>
        <w:rPr>
          <w:rFonts w:hint="eastAsia" w:hAnsi="宋体"/>
          <w:b/>
          <w:color w:val="auto"/>
          <w:highlight w:val="none"/>
        </w:rPr>
        <w:t>（五）评标原则和评标方法</w:t>
      </w:r>
    </w:p>
    <w:p>
      <w:pPr>
        <w:pStyle w:val="29"/>
        <w:snapToGrid w:val="0"/>
        <w:spacing w:line="440" w:lineRule="exact"/>
        <w:ind w:firstLine="420" w:firstLineChars="200"/>
        <w:rPr>
          <w:rFonts w:hint="eastAsia" w:hAnsi="宋体"/>
          <w:color w:val="auto"/>
          <w:highlight w:val="none"/>
        </w:rPr>
      </w:pPr>
      <w:r>
        <w:rPr>
          <w:rFonts w:hint="eastAsia" w:hAnsi="宋体"/>
          <w:color w:val="auto"/>
          <w:highlight w:val="none"/>
        </w:rPr>
        <w:t>1.评标原则。评标委员会必须公平、公正、客观，不带任何倾向性和启发性；不得向外界透露任何与评标有关的内容；任何单位和个人不得干扰、影响评标的正常进行；评标委员会及有关工作人员不得私下与投标人接触。</w:t>
      </w:r>
    </w:p>
    <w:p>
      <w:pPr>
        <w:pStyle w:val="29"/>
        <w:snapToGrid w:val="0"/>
        <w:spacing w:line="440" w:lineRule="exact"/>
        <w:ind w:firstLine="420" w:firstLineChars="200"/>
        <w:rPr>
          <w:rFonts w:hint="eastAsia" w:hAnsi="宋体"/>
          <w:color w:val="auto"/>
          <w:highlight w:val="none"/>
        </w:rPr>
      </w:pPr>
      <w:r>
        <w:rPr>
          <w:rFonts w:hint="eastAsia" w:hAnsi="宋体"/>
          <w:color w:val="auto"/>
          <w:highlight w:val="none"/>
        </w:rPr>
        <w:t>2.评标方法。本项目评标方法是</w:t>
      </w:r>
      <w:r>
        <w:rPr>
          <w:rFonts w:hint="eastAsia" w:hAnsi="宋体"/>
          <w:b/>
          <w:color w:val="auto"/>
          <w:highlight w:val="none"/>
          <w:u w:val="single"/>
        </w:rPr>
        <w:t>综合评分法</w:t>
      </w:r>
      <w:r>
        <w:rPr>
          <w:rFonts w:hint="eastAsia" w:hAnsi="宋体"/>
          <w:color w:val="auto"/>
          <w:highlight w:val="none"/>
        </w:rPr>
        <w:t>，具体评标内容及评分标准等详见第四章：</w:t>
      </w:r>
      <w:r>
        <w:rPr>
          <w:rFonts w:hint="eastAsia" w:hAnsi="宋体"/>
          <w:color w:val="auto"/>
          <w:highlight w:val="none"/>
          <w:lang w:val="en"/>
        </w:rPr>
        <w:t>评标方法</w:t>
      </w:r>
      <w:r>
        <w:rPr>
          <w:rFonts w:hAnsi="宋体"/>
          <w:color w:val="auto"/>
          <w:highlight w:val="none"/>
          <w:lang w:val="en"/>
        </w:rPr>
        <w:t>及评分标准</w:t>
      </w:r>
      <w:r>
        <w:rPr>
          <w:rFonts w:hint="eastAsia" w:hAnsi="宋体"/>
          <w:color w:val="auto"/>
          <w:highlight w:val="none"/>
        </w:rPr>
        <w:t>。</w:t>
      </w:r>
    </w:p>
    <w:p>
      <w:pPr>
        <w:pStyle w:val="29"/>
        <w:snapToGrid w:val="0"/>
        <w:spacing w:line="440" w:lineRule="exact"/>
        <w:ind w:firstLine="413" w:firstLineChars="196"/>
        <w:outlineLvl w:val="0"/>
        <w:rPr>
          <w:rFonts w:hint="eastAsia" w:hAnsi="宋体"/>
          <w:b/>
          <w:color w:val="auto"/>
          <w:highlight w:val="none"/>
        </w:rPr>
      </w:pPr>
      <w:r>
        <w:rPr>
          <w:rFonts w:hint="eastAsia" w:hAnsi="宋体"/>
          <w:b/>
          <w:color w:val="auto"/>
          <w:highlight w:val="none"/>
        </w:rPr>
        <w:t>（六）评标过程的监控</w:t>
      </w:r>
    </w:p>
    <w:p>
      <w:pPr>
        <w:pStyle w:val="29"/>
        <w:snapToGrid w:val="0"/>
        <w:spacing w:line="440" w:lineRule="exact"/>
        <w:ind w:firstLine="420" w:firstLineChars="200"/>
        <w:rPr>
          <w:rFonts w:hint="eastAsia" w:hAnsi="宋体"/>
          <w:color w:val="auto"/>
          <w:highlight w:val="none"/>
        </w:rPr>
      </w:pPr>
      <w:r>
        <w:rPr>
          <w:rFonts w:hint="eastAsia" w:hAnsi="宋体"/>
          <w:color w:val="auto"/>
          <w:highlight w:val="none"/>
        </w:rPr>
        <w:t>本项目评标过程实行全程录音、录像监控，投标人在评标过程中所进行的试图影响评标结果的不公正活动，可能导致其投标被拒绝。</w:t>
      </w:r>
    </w:p>
    <w:p>
      <w:pPr>
        <w:pStyle w:val="29"/>
        <w:snapToGrid w:val="0"/>
        <w:spacing w:line="440" w:lineRule="exact"/>
        <w:ind w:firstLine="413" w:firstLineChars="196"/>
        <w:outlineLvl w:val="1"/>
        <w:rPr>
          <w:rFonts w:hint="eastAsia" w:hAnsi="宋体"/>
          <w:b/>
          <w:color w:val="auto"/>
          <w:highlight w:val="none"/>
        </w:rPr>
      </w:pPr>
      <w:r>
        <w:rPr>
          <w:rFonts w:hint="eastAsia" w:hAnsi="宋体"/>
          <w:b/>
          <w:color w:val="auto"/>
          <w:highlight w:val="none"/>
        </w:rPr>
        <w:t>七、评标结果</w:t>
      </w:r>
    </w:p>
    <w:p>
      <w:pPr>
        <w:pStyle w:val="29"/>
        <w:spacing w:line="440" w:lineRule="exact"/>
        <w:ind w:firstLine="420"/>
        <w:rPr>
          <w:rFonts w:hint="eastAsia" w:hAnsi="宋体"/>
          <w:color w:val="auto"/>
          <w:highlight w:val="none"/>
        </w:rPr>
      </w:pPr>
      <w:r>
        <w:rPr>
          <w:rFonts w:hint="eastAsia" w:hAnsi="宋体"/>
          <w:b/>
          <w:bCs/>
          <w:color w:val="auto"/>
          <w:highlight w:val="none"/>
        </w:rPr>
        <w:t>（一）</w:t>
      </w:r>
      <w:r>
        <w:rPr>
          <w:rFonts w:hint="eastAsia" w:hAnsi="宋体"/>
          <w:color w:val="auto"/>
          <w:highlight w:val="none"/>
        </w:rPr>
        <w:t>本中心将在评标结束后2个工作日内将评标报告送采购人，采购人在5个工作日内按照评标报告中推荐的中标候选供应商顺序确定中标供应商。</w:t>
      </w:r>
    </w:p>
    <w:p>
      <w:pPr>
        <w:pStyle w:val="29"/>
        <w:spacing w:line="440" w:lineRule="exact"/>
        <w:ind w:firstLine="420"/>
        <w:rPr>
          <w:rFonts w:hint="eastAsia" w:hAnsi="宋体"/>
          <w:color w:val="auto"/>
          <w:highlight w:val="none"/>
        </w:rPr>
      </w:pPr>
      <w:r>
        <w:rPr>
          <w:rFonts w:hint="eastAsia" w:hAnsi="宋体"/>
          <w:color w:val="auto"/>
          <w:highlight w:val="none"/>
        </w:rPr>
        <w:t>（二）中标供应商确定后，本中心在中国政府采购网、广西财政网、</w:t>
      </w:r>
      <w:r>
        <w:rPr>
          <w:rFonts w:hint="eastAsia"/>
          <w:color w:val="auto"/>
          <w:highlight w:val="none"/>
        </w:rPr>
        <w:t>广西壮族自治区政府采购中心网站</w:t>
      </w:r>
      <w:r>
        <w:rPr>
          <w:rFonts w:hint="eastAsia" w:hAnsi="宋体"/>
          <w:color w:val="auto"/>
          <w:highlight w:val="none"/>
        </w:rPr>
        <w:t>发布中标结果公告。</w:t>
      </w:r>
    </w:p>
    <w:p>
      <w:pPr>
        <w:pStyle w:val="29"/>
        <w:spacing w:line="440" w:lineRule="exact"/>
        <w:ind w:firstLine="420"/>
        <w:rPr>
          <w:rFonts w:hint="eastAsia" w:hAnsi="宋体"/>
          <w:color w:val="auto"/>
          <w:highlight w:val="none"/>
        </w:rPr>
      </w:pPr>
      <w:r>
        <w:rPr>
          <w:rFonts w:hint="eastAsia" w:hAnsi="宋体"/>
          <w:color w:val="auto"/>
          <w:highlight w:val="none"/>
        </w:rPr>
        <w:t>（三）</w:t>
      </w:r>
      <w:r>
        <w:rPr>
          <w:rFonts w:hint="eastAsia"/>
          <w:color w:val="auto"/>
          <w:highlight w:val="none"/>
        </w:rPr>
        <w:t>在发布中标结果公告的同时，本中心向中标供应商发出中标通知书。</w:t>
      </w:r>
    </w:p>
    <w:p>
      <w:pPr>
        <w:pStyle w:val="29"/>
        <w:spacing w:line="440" w:lineRule="exact"/>
        <w:ind w:firstLine="420" w:firstLineChars="200"/>
        <w:rPr>
          <w:rFonts w:hint="eastAsia" w:hAnsi="宋体"/>
          <w:bCs/>
          <w:color w:val="auto"/>
          <w:highlight w:val="none"/>
        </w:rPr>
      </w:pPr>
      <w:r>
        <w:rPr>
          <w:rFonts w:hint="eastAsia" w:hAnsi="宋体"/>
          <w:color w:val="auto"/>
          <w:highlight w:val="none"/>
        </w:rPr>
        <w:t>（四）</w:t>
      </w:r>
      <w:r>
        <w:rPr>
          <w:rFonts w:hint="eastAsia" w:hAnsi="宋体"/>
          <w:bCs/>
          <w:color w:val="auto"/>
          <w:highlight w:val="none"/>
        </w:rPr>
        <w:t>投标人认为招标文件、招标过程和中标结果使自己的权益受到损害的，可以在知道或者应知其权益受到损害之日起七个工作日内，以书面形式向本中心提出质疑，并及时索要书面回执。</w:t>
      </w:r>
    </w:p>
    <w:p>
      <w:pPr>
        <w:pStyle w:val="29"/>
        <w:spacing w:line="440" w:lineRule="exact"/>
        <w:ind w:firstLine="420"/>
        <w:rPr>
          <w:rFonts w:hint="eastAsia" w:hAnsi="宋体"/>
          <w:color w:val="auto"/>
          <w:highlight w:val="none"/>
        </w:rPr>
      </w:pPr>
      <w:r>
        <w:rPr>
          <w:rFonts w:hint="eastAsia" w:hAnsi="宋体"/>
          <w:color w:val="auto"/>
          <w:highlight w:val="none"/>
        </w:rPr>
        <w:t>（五）</w:t>
      </w:r>
      <w:r>
        <w:rPr>
          <w:rFonts w:hint="eastAsia" w:hAnsi="宋体"/>
          <w:bCs/>
          <w:color w:val="auto"/>
          <w:highlight w:val="none"/>
        </w:rPr>
        <w:t>本中心应当按照有关规定就采购人委托授权范围内的事项在收到投标人的书面质疑后七个工作日内做出答复，但答复的内容不得涉及商业秘密。</w:t>
      </w:r>
    </w:p>
    <w:p>
      <w:pPr>
        <w:pStyle w:val="29"/>
        <w:snapToGrid w:val="0"/>
        <w:spacing w:line="440" w:lineRule="exact"/>
        <w:ind w:firstLine="413" w:firstLineChars="196"/>
        <w:outlineLvl w:val="1"/>
        <w:rPr>
          <w:rFonts w:hint="eastAsia" w:hAnsi="宋体"/>
          <w:b/>
          <w:color w:val="auto"/>
          <w:highlight w:val="none"/>
        </w:rPr>
      </w:pPr>
      <w:r>
        <w:rPr>
          <w:rFonts w:hint="eastAsia" w:hAnsi="宋体"/>
          <w:b/>
          <w:color w:val="auto"/>
          <w:highlight w:val="none"/>
        </w:rPr>
        <w:t>八、签订合同</w:t>
      </w:r>
    </w:p>
    <w:p>
      <w:pPr>
        <w:pStyle w:val="29"/>
        <w:snapToGrid w:val="0"/>
        <w:spacing w:line="440" w:lineRule="exact"/>
        <w:ind w:firstLine="413" w:firstLineChars="196"/>
        <w:outlineLvl w:val="1"/>
        <w:rPr>
          <w:rFonts w:hint="eastAsia" w:hAnsi="宋体"/>
          <w:b/>
          <w:color w:val="auto"/>
          <w:highlight w:val="none"/>
        </w:rPr>
      </w:pPr>
      <w:r>
        <w:rPr>
          <w:rFonts w:hint="eastAsia" w:hAnsi="宋体"/>
          <w:b/>
          <w:color w:val="auto"/>
          <w:highlight w:val="none"/>
        </w:rPr>
        <w:t>（一）合同授予标准</w:t>
      </w:r>
    </w:p>
    <w:p>
      <w:pPr>
        <w:pStyle w:val="29"/>
        <w:spacing w:line="440" w:lineRule="exact"/>
        <w:ind w:firstLine="420"/>
        <w:rPr>
          <w:rFonts w:hint="eastAsia" w:hAnsi="宋体"/>
          <w:color w:val="auto"/>
          <w:highlight w:val="none"/>
        </w:rPr>
      </w:pPr>
      <w:r>
        <w:rPr>
          <w:rFonts w:hint="eastAsia" w:hAnsi="宋体"/>
          <w:color w:val="auto"/>
          <w:highlight w:val="none"/>
        </w:rPr>
        <w:t>合同将授予被确定投标文件满足招标文件全部实质性要求，具备履行合同能力，评审得分最高，综合评分排名第一的供应商。</w:t>
      </w:r>
    </w:p>
    <w:p>
      <w:pPr>
        <w:pStyle w:val="29"/>
        <w:snapToGrid w:val="0"/>
        <w:spacing w:line="440" w:lineRule="exact"/>
        <w:ind w:firstLine="413" w:firstLineChars="196"/>
        <w:outlineLvl w:val="1"/>
        <w:rPr>
          <w:rFonts w:hint="eastAsia" w:hAnsi="宋体"/>
          <w:color w:val="auto"/>
          <w:highlight w:val="none"/>
        </w:rPr>
      </w:pPr>
      <w:r>
        <w:rPr>
          <w:rFonts w:hint="eastAsia" w:hAnsi="宋体"/>
          <w:b/>
          <w:color w:val="auto"/>
          <w:highlight w:val="none"/>
        </w:rPr>
        <w:t>（二）签订合同</w:t>
      </w:r>
    </w:p>
    <w:p>
      <w:pPr>
        <w:pStyle w:val="29"/>
        <w:spacing w:line="440" w:lineRule="exact"/>
        <w:ind w:firstLine="420"/>
        <w:rPr>
          <w:rFonts w:hint="eastAsia" w:hAnsi="宋体"/>
          <w:color w:val="auto"/>
          <w:highlight w:val="none"/>
        </w:rPr>
      </w:pPr>
      <w:r>
        <w:rPr>
          <w:rFonts w:hint="eastAsia" w:hAnsi="宋体"/>
          <w:color w:val="auto"/>
          <w:highlight w:val="none"/>
        </w:rPr>
        <w:t>（1）</w:t>
      </w:r>
      <w:r>
        <w:rPr>
          <w:rFonts w:hint="eastAsia"/>
          <w:color w:val="auto"/>
          <w:highlight w:val="none"/>
        </w:rPr>
        <w:t>投标人接到中标通知书后，应按中标通知书规定的时间、地点与采购人签订合同。中标人无正当理由不得放弃中标。</w:t>
      </w:r>
    </w:p>
    <w:p>
      <w:pPr>
        <w:pStyle w:val="29"/>
        <w:spacing w:line="440" w:lineRule="exact"/>
        <w:ind w:firstLine="420"/>
        <w:rPr>
          <w:rFonts w:hint="eastAsia" w:hAnsi="宋体"/>
          <w:color w:val="auto"/>
          <w:highlight w:val="none"/>
        </w:rPr>
      </w:pPr>
      <w:r>
        <w:rPr>
          <w:rFonts w:hint="eastAsia" w:hAnsi="宋体"/>
          <w:color w:val="auto"/>
          <w:highlight w:val="none"/>
        </w:rPr>
        <w:t>（2）如中标供应商不按中标通知书的规定签订合同，则按中标供应商违约处理，本中心将没收中标供应商投标的全部投标保证金。</w:t>
      </w:r>
    </w:p>
    <w:p>
      <w:pPr>
        <w:pStyle w:val="29"/>
        <w:spacing w:line="440" w:lineRule="exact"/>
        <w:ind w:firstLine="420" w:firstLineChars="200"/>
        <w:rPr>
          <w:b/>
          <w:color w:val="auto"/>
          <w:highlight w:val="none"/>
        </w:rPr>
      </w:pPr>
      <w:r>
        <w:rPr>
          <w:rFonts w:hint="eastAsia" w:hAnsi="宋体"/>
          <w:color w:val="auto"/>
          <w:highlight w:val="none"/>
        </w:rPr>
        <w:t>（3）中标供应商拒绝与采购人签订合同或因不可抗力或者自身原因不能履行采购合同的，采购人可以与中标供应商之后排名第一的中标候选供应商签订采购合同，以此类推,也可以重新招标。</w:t>
      </w:r>
      <w:r>
        <w:rPr>
          <w:color w:val="auto"/>
          <w:highlight w:val="none"/>
        </w:rPr>
        <w:t>中标供应商放弃中标项目，拒绝与采购人签订合同的，其投标保证金</w:t>
      </w:r>
      <w:r>
        <w:rPr>
          <w:rFonts w:hint="eastAsia"/>
          <w:color w:val="auto"/>
          <w:highlight w:val="none"/>
        </w:rPr>
        <w:t>将不予退还，</w:t>
      </w:r>
      <w:r>
        <w:rPr>
          <w:color w:val="auto"/>
          <w:highlight w:val="none"/>
        </w:rPr>
        <w:t>并上缴国库，</w:t>
      </w:r>
      <w:r>
        <w:rPr>
          <w:rFonts w:hint="eastAsia"/>
          <w:color w:val="auto"/>
          <w:highlight w:val="none"/>
        </w:rPr>
        <w:t>给</w:t>
      </w:r>
      <w:r>
        <w:rPr>
          <w:color w:val="auto"/>
          <w:highlight w:val="none"/>
        </w:rPr>
        <w:t>采购人造成损失的，还应当赔偿损失，并作为不良行为记录在案</w:t>
      </w:r>
      <w:r>
        <w:rPr>
          <w:rFonts w:hint="eastAsia" w:hAnsi="宋体"/>
          <w:color w:val="auto"/>
          <w:highlight w:val="none"/>
        </w:rPr>
        <w:t>。</w:t>
      </w:r>
    </w:p>
    <w:p>
      <w:pPr>
        <w:pStyle w:val="29"/>
        <w:spacing w:line="440" w:lineRule="exact"/>
        <w:ind w:firstLine="413" w:firstLineChars="196"/>
        <w:rPr>
          <w:b/>
          <w:color w:val="auto"/>
          <w:highlight w:val="none"/>
        </w:rPr>
      </w:pPr>
      <w:r>
        <w:rPr>
          <w:rFonts w:hint="eastAsia" w:hAnsi="宋体"/>
          <w:b/>
          <w:color w:val="auto"/>
          <w:highlight w:val="none"/>
        </w:rPr>
        <w:t>九、其他事项</w:t>
      </w:r>
    </w:p>
    <w:p>
      <w:pPr>
        <w:pStyle w:val="29"/>
        <w:spacing w:line="440" w:lineRule="exact"/>
        <w:ind w:firstLine="206" w:firstLineChars="98"/>
        <w:rPr>
          <w:b/>
          <w:color w:val="auto"/>
          <w:highlight w:val="none"/>
        </w:rPr>
      </w:pPr>
      <w:r>
        <w:rPr>
          <w:rFonts w:hint="eastAsia"/>
          <w:b/>
          <w:color w:val="auto"/>
          <w:highlight w:val="none"/>
        </w:rPr>
        <w:t>（1）解释权：</w:t>
      </w:r>
      <w:r>
        <w:rPr>
          <w:rFonts w:hint="eastAsia"/>
          <w:color w:val="auto"/>
          <w:spacing w:val="-4"/>
          <w:highlight w:val="none"/>
        </w:rPr>
        <w:t>本招标文件解释权属本中心。</w:t>
      </w:r>
    </w:p>
    <w:p>
      <w:pPr>
        <w:pStyle w:val="29"/>
        <w:spacing w:line="440" w:lineRule="exact"/>
        <w:ind w:firstLine="206" w:firstLineChars="98"/>
        <w:rPr>
          <w:color w:val="auto"/>
          <w:highlight w:val="none"/>
        </w:rPr>
      </w:pPr>
      <w:r>
        <w:rPr>
          <w:rFonts w:hint="eastAsia"/>
          <w:b/>
          <w:color w:val="auto"/>
          <w:highlight w:val="none"/>
        </w:rPr>
        <w:t>（2）有关事宜</w:t>
      </w:r>
    </w:p>
    <w:p>
      <w:pPr>
        <w:pStyle w:val="29"/>
        <w:spacing w:line="440" w:lineRule="exact"/>
        <w:ind w:firstLine="728" w:firstLineChars="347"/>
        <w:rPr>
          <w:color w:val="auto"/>
          <w:highlight w:val="none"/>
        </w:rPr>
      </w:pPr>
      <w:bookmarkStart w:id="20" w:name="_Toc254970548"/>
      <w:bookmarkStart w:id="21" w:name="_Toc254970689"/>
      <w:r>
        <w:rPr>
          <w:rFonts w:hint="eastAsia"/>
          <w:color w:val="auto"/>
          <w:highlight w:val="none"/>
        </w:rPr>
        <w:t>所有与本招标文件有关的函件请按下列通讯地址联系：</w:t>
      </w:r>
    </w:p>
    <w:p>
      <w:pPr>
        <w:pStyle w:val="29"/>
        <w:tabs>
          <w:tab w:val="left" w:pos="1990"/>
        </w:tabs>
        <w:spacing w:line="440" w:lineRule="exact"/>
        <w:ind w:firstLine="709"/>
        <w:rPr>
          <w:color w:val="auto"/>
          <w:highlight w:val="none"/>
        </w:rPr>
      </w:pPr>
      <w:r>
        <w:rPr>
          <w:rFonts w:hint="eastAsia"/>
          <w:color w:val="auto"/>
          <w:highlight w:val="none"/>
        </w:rPr>
        <w:t>邮政编码：530022；通讯地址：广西南宁市星湖路22号； 电    话： 0771-8600343</w:t>
      </w:r>
    </w:p>
    <w:p>
      <w:pPr>
        <w:pStyle w:val="29"/>
        <w:spacing w:line="360" w:lineRule="exact"/>
        <w:ind w:firstLine="824"/>
        <w:rPr>
          <w:color w:val="auto"/>
          <w:highlight w:val="none"/>
        </w:rPr>
      </w:pPr>
    </w:p>
    <w:p>
      <w:pPr>
        <w:pStyle w:val="29"/>
        <w:snapToGrid w:val="0"/>
        <w:spacing w:before="120" w:after="120"/>
        <w:jc w:val="center"/>
        <w:outlineLvl w:val="0"/>
        <w:rPr>
          <w:rFonts w:ascii="黑体" w:eastAsia="黑体"/>
          <w:b/>
          <w:color w:val="auto"/>
          <w:sz w:val="44"/>
          <w:szCs w:val="44"/>
          <w:highlight w:val="none"/>
        </w:rPr>
      </w:pPr>
    </w:p>
    <w:p>
      <w:pPr>
        <w:pStyle w:val="29"/>
        <w:snapToGrid w:val="0"/>
        <w:spacing w:before="120" w:after="120"/>
        <w:jc w:val="center"/>
        <w:outlineLvl w:val="0"/>
        <w:rPr>
          <w:rFonts w:ascii="黑体" w:eastAsia="黑体"/>
          <w:b/>
          <w:color w:val="auto"/>
          <w:sz w:val="44"/>
          <w:szCs w:val="44"/>
          <w:highlight w:val="none"/>
        </w:rPr>
      </w:pPr>
    </w:p>
    <w:p>
      <w:pPr>
        <w:pStyle w:val="29"/>
        <w:snapToGrid w:val="0"/>
        <w:spacing w:before="120" w:after="120"/>
        <w:jc w:val="center"/>
        <w:outlineLvl w:val="0"/>
        <w:rPr>
          <w:rFonts w:ascii="黑体" w:eastAsia="黑体"/>
          <w:b/>
          <w:color w:val="auto"/>
          <w:sz w:val="44"/>
          <w:szCs w:val="44"/>
          <w:highlight w:val="none"/>
        </w:rPr>
      </w:pPr>
    </w:p>
    <w:p>
      <w:pPr>
        <w:pStyle w:val="29"/>
        <w:snapToGrid w:val="0"/>
        <w:spacing w:before="120" w:after="120"/>
        <w:jc w:val="center"/>
        <w:outlineLvl w:val="0"/>
        <w:rPr>
          <w:rFonts w:ascii="黑体" w:eastAsia="黑体"/>
          <w:b/>
          <w:color w:val="auto"/>
          <w:sz w:val="44"/>
          <w:szCs w:val="44"/>
          <w:highlight w:val="none"/>
        </w:rPr>
      </w:pPr>
    </w:p>
    <w:p>
      <w:pPr>
        <w:pStyle w:val="29"/>
        <w:snapToGrid w:val="0"/>
        <w:spacing w:before="120" w:after="120"/>
        <w:jc w:val="center"/>
        <w:outlineLvl w:val="0"/>
        <w:rPr>
          <w:rFonts w:ascii="黑体" w:eastAsia="黑体"/>
          <w:b/>
          <w:color w:val="auto"/>
          <w:sz w:val="44"/>
          <w:szCs w:val="44"/>
          <w:highlight w:val="none"/>
        </w:rPr>
      </w:pPr>
    </w:p>
    <w:p>
      <w:pPr>
        <w:pStyle w:val="29"/>
        <w:snapToGrid w:val="0"/>
        <w:spacing w:before="120" w:after="120"/>
        <w:jc w:val="center"/>
        <w:outlineLvl w:val="0"/>
        <w:rPr>
          <w:rFonts w:ascii="黑体" w:eastAsia="黑体"/>
          <w:b/>
          <w:color w:val="auto"/>
          <w:sz w:val="44"/>
          <w:szCs w:val="44"/>
          <w:highlight w:val="none"/>
        </w:rPr>
      </w:pPr>
    </w:p>
    <w:p>
      <w:pPr>
        <w:pStyle w:val="6"/>
        <w:rPr>
          <w:color w:val="auto"/>
          <w:highlight w:val="none"/>
        </w:rPr>
      </w:pPr>
    </w:p>
    <w:bookmarkEnd w:id="20"/>
    <w:bookmarkEnd w:id="21"/>
    <w:p>
      <w:pPr>
        <w:pStyle w:val="29"/>
        <w:snapToGrid w:val="0"/>
        <w:spacing w:before="120" w:after="120"/>
        <w:jc w:val="center"/>
        <w:outlineLvl w:val="0"/>
        <w:rPr>
          <w:rFonts w:ascii="黑体" w:eastAsia="黑体"/>
          <w:b/>
          <w:color w:val="auto"/>
          <w:sz w:val="44"/>
          <w:szCs w:val="44"/>
          <w:highlight w:val="none"/>
        </w:rPr>
      </w:pPr>
      <w:r>
        <w:rPr>
          <w:rFonts w:hint="eastAsia" w:ascii="仿宋_GB2312" w:eastAsia="仿宋_GB2312"/>
          <w:b/>
          <w:color w:val="auto"/>
          <w:sz w:val="44"/>
          <w:szCs w:val="44"/>
          <w:highlight w:val="none"/>
        </w:rPr>
        <w:t>第四章  评标方法及评分标准</w:t>
      </w:r>
    </w:p>
    <w:p>
      <w:pPr>
        <w:spacing w:line="340" w:lineRule="exact"/>
        <w:ind w:firstLine="420" w:firstLineChars="200"/>
        <w:jc w:val="center"/>
        <w:rPr>
          <w:bCs/>
          <w:color w:val="auto"/>
          <w:highlight w:val="none"/>
        </w:rPr>
      </w:pPr>
      <w:r>
        <w:rPr>
          <w:bCs/>
          <w:color w:val="auto"/>
          <w:highlight w:val="none"/>
        </w:rPr>
        <w:br w:type="page"/>
      </w:r>
    </w:p>
    <w:p>
      <w:pPr>
        <w:spacing w:line="340" w:lineRule="exact"/>
        <w:ind w:firstLine="642" w:firstLineChars="200"/>
        <w:rPr>
          <w:rFonts w:hint="eastAsia" w:ascii="仿宋_GB2312" w:hAnsi="宋体" w:eastAsia="仿宋_GB2312"/>
          <w:b/>
          <w:color w:val="auto"/>
          <w:sz w:val="32"/>
          <w:szCs w:val="32"/>
          <w:highlight w:val="none"/>
          <w:lang w:val="en"/>
        </w:rPr>
      </w:pPr>
      <w:r>
        <w:rPr>
          <w:rFonts w:hint="eastAsia" w:ascii="仿宋_GB2312" w:hAnsi="宋体" w:eastAsia="仿宋_GB2312"/>
          <w:b/>
          <w:color w:val="auto"/>
          <w:sz w:val="32"/>
          <w:szCs w:val="32"/>
          <w:highlight w:val="none"/>
        </w:rPr>
        <w:t xml:space="preserve">                </w:t>
      </w:r>
      <w:r>
        <w:rPr>
          <w:rFonts w:hint="eastAsia" w:ascii="仿宋_GB2312" w:hAnsi="宋体" w:eastAsia="仿宋_GB2312"/>
          <w:b/>
          <w:color w:val="auto"/>
          <w:sz w:val="32"/>
          <w:szCs w:val="32"/>
          <w:highlight w:val="none"/>
          <w:lang w:val="en"/>
        </w:rPr>
        <w:t>评标方法</w:t>
      </w:r>
      <w:r>
        <w:rPr>
          <w:rFonts w:ascii="仿宋_GB2312" w:hAnsi="宋体" w:eastAsia="仿宋_GB2312"/>
          <w:b/>
          <w:color w:val="auto"/>
          <w:sz w:val="32"/>
          <w:szCs w:val="32"/>
          <w:highlight w:val="none"/>
          <w:lang w:val="en"/>
        </w:rPr>
        <w:t>及评分标准</w:t>
      </w:r>
    </w:p>
    <w:p>
      <w:pPr>
        <w:pStyle w:val="29"/>
        <w:spacing w:line="420" w:lineRule="exact"/>
        <w:ind w:firstLine="516" w:firstLineChars="245"/>
        <w:rPr>
          <w:rFonts w:hint="eastAsia" w:hAnsi="宋体"/>
          <w:b/>
          <w:color w:val="auto"/>
          <w:highlight w:val="none"/>
        </w:rPr>
      </w:pPr>
      <w:r>
        <w:rPr>
          <w:rFonts w:hint="eastAsia" w:hAnsi="宋体"/>
          <w:b/>
          <w:color w:val="auto"/>
          <w:highlight w:val="none"/>
        </w:rPr>
        <w:t>一、评标原则</w:t>
      </w:r>
    </w:p>
    <w:p>
      <w:pPr>
        <w:pStyle w:val="29"/>
        <w:spacing w:line="420" w:lineRule="exact"/>
        <w:ind w:firstLine="483" w:firstLineChars="230"/>
        <w:rPr>
          <w:rFonts w:hint="eastAsia" w:hAnsi="宋体"/>
          <w:bCs/>
          <w:color w:val="auto"/>
          <w:szCs w:val="20"/>
          <w:highlight w:val="none"/>
        </w:rPr>
      </w:pPr>
      <w:r>
        <w:rPr>
          <w:rFonts w:hint="eastAsia" w:hAnsi="宋体"/>
          <w:bCs/>
          <w:color w:val="auto"/>
          <w:highlight w:val="none"/>
        </w:rPr>
        <w:t>(一)评委组成：本招标采购项目的</w:t>
      </w:r>
      <w:r>
        <w:rPr>
          <w:rFonts w:hint="eastAsia"/>
          <w:color w:val="auto"/>
          <w:spacing w:val="-4"/>
          <w:highlight w:val="none"/>
        </w:rPr>
        <w:t>评标委员会由采购人代表和评审专家组成，</w:t>
      </w:r>
      <w:r>
        <w:rPr>
          <w:rFonts w:hint="eastAsia"/>
          <w:b/>
          <w:bCs/>
          <w:color w:val="auto"/>
          <w:spacing w:val="-4"/>
          <w:highlight w:val="none"/>
        </w:rPr>
        <w:t>成员人数应当为7人以上单数，其中评审专家不得少于成员总数的三分之二</w:t>
      </w:r>
      <w:r>
        <w:rPr>
          <w:rFonts w:hint="eastAsia"/>
          <w:color w:val="auto"/>
          <w:spacing w:val="-4"/>
          <w:highlight w:val="none"/>
        </w:rPr>
        <w:t>。</w:t>
      </w:r>
    </w:p>
    <w:p>
      <w:pPr>
        <w:pStyle w:val="29"/>
        <w:spacing w:line="420" w:lineRule="exact"/>
        <w:ind w:firstLine="499" w:firstLineChars="238"/>
        <w:rPr>
          <w:rFonts w:hint="eastAsia" w:hAnsi="宋体"/>
          <w:bCs/>
          <w:color w:val="auto"/>
          <w:highlight w:val="none"/>
        </w:rPr>
      </w:pPr>
      <w:r>
        <w:rPr>
          <w:rFonts w:hint="eastAsia" w:hAnsi="宋体"/>
          <w:bCs/>
          <w:color w:val="auto"/>
          <w:highlight w:val="none"/>
        </w:rPr>
        <w:t>(二)评标依据：</w:t>
      </w:r>
      <w:r>
        <w:rPr>
          <w:rFonts w:hAnsi="宋体"/>
          <w:bCs/>
          <w:color w:val="auto"/>
          <w:highlight w:val="none"/>
        </w:rPr>
        <w:t>评委将以招投标文件为评标依据，对投标人的投标内容按百分制打分。</w:t>
      </w:r>
    </w:p>
    <w:p>
      <w:pPr>
        <w:pStyle w:val="29"/>
        <w:spacing w:line="420" w:lineRule="exact"/>
        <w:ind w:firstLine="510" w:firstLineChars="243"/>
        <w:rPr>
          <w:rFonts w:hint="eastAsia" w:hAnsi="宋体"/>
          <w:bCs/>
          <w:color w:val="auto"/>
          <w:highlight w:val="none"/>
        </w:rPr>
      </w:pPr>
      <w:r>
        <w:rPr>
          <w:rFonts w:hint="eastAsia" w:hAnsi="宋体"/>
          <w:bCs/>
          <w:color w:val="auto"/>
          <w:highlight w:val="none"/>
        </w:rPr>
        <w:t>(三)评标方式：以封闭方式进行。</w:t>
      </w:r>
    </w:p>
    <w:p>
      <w:pPr>
        <w:pStyle w:val="6"/>
        <w:jc w:val="left"/>
        <w:rPr>
          <w:rFonts w:hint="eastAsia" w:ascii="宋体" w:hAnsi="宋体" w:eastAsia="宋体" w:cs="宋体"/>
          <w:color w:val="auto"/>
          <w:sz w:val="21"/>
          <w:szCs w:val="21"/>
          <w:highlight w:val="none"/>
        </w:rPr>
      </w:pPr>
      <w:r>
        <w:rPr>
          <w:rFonts w:hint="eastAsia"/>
          <w:color w:val="auto"/>
          <w:highlight w:val="none"/>
        </w:rPr>
        <w:t xml:space="preserve">   </w:t>
      </w:r>
      <w:r>
        <w:rPr>
          <w:rFonts w:hint="eastAsia" w:ascii="宋体" w:hAnsi="宋体" w:eastAsia="宋体" w:cs="宋体"/>
          <w:color w:val="auto"/>
          <w:sz w:val="21"/>
          <w:szCs w:val="21"/>
          <w:highlight w:val="none"/>
        </w:rPr>
        <w:t>（四）无效投标处理原则：在评标过程中，包括在异常低价认定程序中被认定为无效的投标，其投标文件不再进入后续评审阶段，也不参与得分计算与汇总排名。</w:t>
      </w:r>
    </w:p>
    <w:p>
      <w:pPr>
        <w:pStyle w:val="29"/>
        <w:spacing w:line="420" w:lineRule="exact"/>
        <w:ind w:firstLine="510" w:firstLineChars="243"/>
        <w:rPr>
          <w:rFonts w:hint="eastAsia" w:hAnsi="宋体"/>
          <w:b/>
          <w:color w:val="auto"/>
          <w:highlight w:val="none"/>
        </w:rPr>
      </w:pPr>
      <w:r>
        <w:rPr>
          <w:rFonts w:hint="eastAsia" w:hAnsi="宋体"/>
          <w:bCs/>
          <w:color w:val="auto"/>
          <w:highlight w:val="none"/>
        </w:rPr>
        <w:t>二</w:t>
      </w:r>
      <w:r>
        <w:rPr>
          <w:rFonts w:hint="eastAsia" w:hAnsi="宋体"/>
          <w:b/>
          <w:color w:val="auto"/>
          <w:highlight w:val="none"/>
        </w:rPr>
        <w:t>、评标方法</w:t>
      </w:r>
    </w:p>
    <w:p>
      <w:pPr>
        <w:pStyle w:val="29"/>
        <w:spacing w:line="420" w:lineRule="exact"/>
        <w:ind w:firstLine="420" w:firstLineChars="200"/>
        <w:outlineLvl w:val="0"/>
        <w:rPr>
          <w:rFonts w:hint="eastAsia" w:hAnsi="宋体"/>
          <w:color w:val="auto"/>
          <w:highlight w:val="none"/>
        </w:rPr>
      </w:pPr>
      <w:r>
        <w:rPr>
          <w:rFonts w:hint="eastAsia" w:hAnsi="宋体"/>
          <w:color w:val="auto"/>
          <w:highlight w:val="none"/>
        </w:rPr>
        <w:t>（一）对进入详评的，采用百分制综合评分法。</w:t>
      </w:r>
    </w:p>
    <w:p>
      <w:pPr>
        <w:pStyle w:val="29"/>
        <w:spacing w:line="420" w:lineRule="exact"/>
        <w:ind w:firstLine="420" w:firstLineChars="200"/>
        <w:outlineLvl w:val="0"/>
        <w:rPr>
          <w:rFonts w:hint="eastAsia" w:hAnsi="宋体"/>
          <w:color w:val="auto"/>
          <w:highlight w:val="none"/>
        </w:rPr>
      </w:pPr>
      <w:r>
        <w:rPr>
          <w:rFonts w:hint="eastAsia" w:hAnsi="宋体"/>
          <w:color w:val="auto"/>
          <w:highlight w:val="none"/>
        </w:rPr>
        <w:t>（二）计分办法（按四舍五入取至百分位）：</w:t>
      </w:r>
    </w:p>
    <w:p>
      <w:pPr>
        <w:pStyle w:val="29"/>
        <w:spacing w:line="420" w:lineRule="exact"/>
        <w:ind w:firstLine="501" w:firstLineChars="238"/>
        <w:rPr>
          <w:b/>
          <w:color w:val="auto"/>
          <w:highlight w:val="none"/>
        </w:rPr>
      </w:pPr>
      <w:r>
        <w:rPr>
          <w:rFonts w:hint="eastAsia"/>
          <w:b/>
          <w:color w:val="auto"/>
          <w:highlight w:val="none"/>
        </w:rPr>
        <w:t>1、价格分</w:t>
      </w:r>
      <w:r>
        <w:rPr>
          <w:rFonts w:hint="eastAsia" w:hAnsi="宋体"/>
          <w:b/>
          <w:bCs/>
          <w:color w:val="auto"/>
          <w:spacing w:val="-8"/>
          <w:highlight w:val="none"/>
        </w:rPr>
        <w:t>………………………………………………………………………………………</w:t>
      </w:r>
      <w:r>
        <w:rPr>
          <w:rFonts w:hint="eastAsia"/>
          <w:b/>
          <w:color w:val="auto"/>
          <w:highlight w:val="none"/>
        </w:rPr>
        <w:t>30分</w:t>
      </w:r>
    </w:p>
    <w:p>
      <w:pPr>
        <w:pStyle w:val="226"/>
        <w:adjustRightInd w:val="0"/>
        <w:snapToGrid w:val="0"/>
        <w:spacing w:line="400" w:lineRule="exact"/>
        <w:ind w:firstLine="378" w:firstLineChars="180"/>
        <w:rPr>
          <w:rFonts w:hint="eastAsia"/>
          <w:color w:val="auto"/>
          <w:highlight w:val="none"/>
        </w:rPr>
      </w:pPr>
      <w:r>
        <w:rPr>
          <w:rFonts w:hint="eastAsia"/>
          <w:color w:val="auto"/>
          <w:highlight w:val="none"/>
        </w:rPr>
        <w:t>（1）</w:t>
      </w:r>
      <w:r>
        <w:rPr>
          <w:rFonts w:hint="eastAsia" w:ascii="Times New Roman" w:hAnsi="Times New Roman"/>
          <w:bCs/>
          <w:color w:val="auto"/>
          <w:highlight w:val="none"/>
        </w:rPr>
        <w:t>符合《政府采购促进中小企业发展管理办法》（财库〔2020〕46号）规定条件且按该办法中规定的格式提供了《中小企业声明函》的小型和微型企业参与投标，对其投标报价给予10</w:t>
      </w:r>
      <w:r>
        <w:rPr>
          <w:rFonts w:ascii="Times New Roman" w:hAnsi="Times New Roman"/>
          <w:bCs/>
          <w:color w:val="auto"/>
          <w:highlight w:val="none"/>
        </w:rPr>
        <w:t>%</w:t>
      </w:r>
      <w:r>
        <w:rPr>
          <w:rFonts w:hint="eastAsia" w:ascii="Times New Roman" w:hAnsi="Times New Roman"/>
          <w:bCs/>
          <w:color w:val="auto"/>
          <w:highlight w:val="none"/>
        </w:rPr>
        <w:t>的扣除，</w:t>
      </w:r>
      <w:r>
        <w:rPr>
          <w:rFonts w:hint="eastAsia"/>
          <w:color w:val="auto"/>
          <w:highlight w:val="none"/>
        </w:rPr>
        <w:t>扣除后的价格为评标价，即评标价=投标价×（1-10%）；符合《国务院办公厅关于在政府采购中实施本国产品标准及相关政策的通知》（国办发〔2025〕34号）规定</w:t>
      </w:r>
      <w:r>
        <w:rPr>
          <w:rFonts w:hint="eastAsia" w:ascii="Times New Roman" w:hAnsi="Times New Roman"/>
          <w:bCs/>
          <w:color w:val="auto"/>
          <w:highlight w:val="none"/>
        </w:rPr>
        <w:t>条件且按该通知中规定的格式提供了《关于符合本国产品标准的声明函》的供应商参与投标，对其投标报价给予20</w:t>
      </w:r>
      <w:r>
        <w:rPr>
          <w:rFonts w:ascii="Times New Roman" w:hAnsi="Times New Roman"/>
          <w:bCs/>
          <w:color w:val="auto"/>
          <w:highlight w:val="none"/>
        </w:rPr>
        <w:t>%</w:t>
      </w:r>
      <w:r>
        <w:rPr>
          <w:rFonts w:hint="eastAsia" w:ascii="Times New Roman" w:hAnsi="Times New Roman"/>
          <w:bCs/>
          <w:color w:val="auto"/>
          <w:highlight w:val="none"/>
        </w:rPr>
        <w:t>的扣除，</w:t>
      </w:r>
      <w:r>
        <w:rPr>
          <w:rFonts w:hint="eastAsia"/>
          <w:color w:val="auto"/>
          <w:highlight w:val="none"/>
        </w:rPr>
        <w:t>扣除后的价格为评标价，即评标价=投标价×（1-20%）；除上述情况外，评标价=投标价。</w:t>
      </w:r>
    </w:p>
    <w:p>
      <w:pPr>
        <w:pStyle w:val="29"/>
        <w:spacing w:line="420" w:lineRule="exact"/>
        <w:ind w:firstLine="420" w:firstLineChars="200"/>
        <w:outlineLvl w:val="0"/>
        <w:rPr>
          <w:color w:val="auto"/>
          <w:highlight w:val="none"/>
        </w:rPr>
      </w:pPr>
      <w:r>
        <w:rPr>
          <w:rFonts w:hint="eastAsia" w:hAnsi="宋体" w:cs="宋体"/>
          <w:color w:val="auto"/>
          <w:kern w:val="0"/>
          <w:highlight w:val="none"/>
        </w:rPr>
        <w:t>投标产品生产企业</w:t>
      </w:r>
      <w:r>
        <w:rPr>
          <w:rFonts w:hint="eastAsia"/>
          <w:color w:val="auto"/>
          <w:highlight w:val="none"/>
        </w:rPr>
        <w:t>提供企业按《关于政府采购支持监狱企业发展有关问题的通知》(财库[2014]68号)认定为监狱企业的，在政府采购活动中，监狱企业视同小型、微型企业。监狱企业参加政府采购活动时，应当提供由省级以上监狱管理局、戒毒管理局(含新疆生产建设兵团)出具的属于监狱企业的证明文件。</w:t>
      </w:r>
    </w:p>
    <w:p>
      <w:pPr>
        <w:pStyle w:val="29"/>
        <w:spacing w:line="420" w:lineRule="exact"/>
        <w:ind w:firstLine="420" w:firstLineChars="200"/>
        <w:outlineLvl w:val="0"/>
        <w:rPr>
          <w:color w:val="auto"/>
          <w:highlight w:val="none"/>
        </w:rPr>
      </w:pPr>
      <w:r>
        <w:rPr>
          <w:rFonts w:hint="eastAsia"/>
          <w:color w:val="auto"/>
          <w:highlight w:val="none"/>
        </w:rPr>
        <w:t>投标</w:t>
      </w:r>
      <w:r>
        <w:rPr>
          <w:rFonts w:hint="eastAsia"/>
          <w:b/>
          <w:color w:val="auto"/>
          <w:highlight w:val="none"/>
        </w:rPr>
        <w:t>产品</w:t>
      </w:r>
      <w:r>
        <w:rPr>
          <w:rFonts w:hint="eastAsia"/>
          <w:color w:val="auto"/>
          <w:highlight w:val="none"/>
        </w:rPr>
        <w:t>提供企业按《关于促进残疾人就业政府采购政策的通知》(财库〔2017〕141号)认定为残疾人福利性单位的，在政府采购活动中，残疾人福利性单位视同小型、微型企业。残疾人福利性单位参加政府采购活动时，应当提供该通知规定的《残疾人福利性单位声明函》，并对声明的真实性负责。</w:t>
      </w:r>
    </w:p>
    <w:p>
      <w:pPr>
        <w:pStyle w:val="29"/>
        <w:spacing w:line="420" w:lineRule="exact"/>
        <w:ind w:firstLine="210" w:firstLineChars="100"/>
        <w:outlineLvl w:val="0"/>
        <w:rPr>
          <w:rFonts w:hint="eastAsia" w:hAnsi="宋体"/>
          <w:color w:val="auto"/>
          <w:highlight w:val="none"/>
        </w:rPr>
      </w:pPr>
      <w:r>
        <w:rPr>
          <w:rFonts w:hint="eastAsia" w:hAnsi="宋体"/>
          <w:color w:val="auto"/>
          <w:highlight w:val="none"/>
        </w:rPr>
        <w:t xml:space="preserve"> （2）以</w:t>
      </w:r>
      <w:r>
        <w:rPr>
          <w:rFonts w:hint="eastAsia"/>
          <w:color w:val="auto"/>
          <w:highlight w:val="none"/>
        </w:rPr>
        <w:t>满足招标文件要求且评标价最低的投标人的评标价为评标基准价，其价格分为</w:t>
      </w:r>
      <w:r>
        <w:rPr>
          <w:rFonts w:hint="eastAsia" w:hAnsi="宋体" w:cs="宋体"/>
          <w:b/>
          <w:color w:val="auto"/>
          <w:highlight w:val="none"/>
        </w:rPr>
        <w:t>30</w:t>
      </w:r>
      <w:r>
        <w:rPr>
          <w:rFonts w:hint="eastAsia" w:hAnsi="宋体" w:cs="宋体"/>
          <w:color w:val="auto"/>
          <w:szCs w:val="24"/>
          <w:highlight w:val="none"/>
        </w:rPr>
        <w:t>分</w:t>
      </w:r>
      <w:r>
        <w:rPr>
          <w:rFonts w:hint="eastAsia" w:ascii="Times New Roman" w:hAnsi="Times New Roman"/>
          <w:color w:val="auto"/>
          <w:szCs w:val="24"/>
          <w:highlight w:val="none"/>
        </w:rPr>
        <w:t>。</w:t>
      </w:r>
    </w:p>
    <w:p>
      <w:pPr>
        <w:pStyle w:val="29"/>
        <w:spacing w:line="420" w:lineRule="exact"/>
        <w:outlineLvl w:val="0"/>
        <w:rPr>
          <w:b/>
          <w:color w:val="auto"/>
          <w:highlight w:val="none"/>
        </w:rPr>
      </w:pPr>
      <w:r>
        <w:rPr>
          <w:rFonts w:hint="eastAsia"/>
          <w:b/>
          <w:bCs/>
          <w:color w:val="auto"/>
          <w:highlight w:val="none"/>
        </w:rPr>
        <w:t xml:space="preserve">   （3）某投标人价格分</w:t>
      </w:r>
      <w:r>
        <w:rPr>
          <w:rFonts w:hint="eastAsia"/>
          <w:b/>
          <w:color w:val="auto"/>
          <w:highlight w:val="none"/>
        </w:rPr>
        <w:t xml:space="preserve"> =评标基准价（金额）/某投标人评标价（金额）×30分</w:t>
      </w:r>
    </w:p>
    <w:p>
      <w:pPr>
        <w:pStyle w:val="29"/>
        <w:spacing w:line="420" w:lineRule="exact"/>
        <w:rPr>
          <w:b/>
          <w:color w:val="auto"/>
          <w:highlight w:val="none"/>
        </w:rPr>
      </w:pPr>
      <w:r>
        <w:rPr>
          <w:rFonts w:hint="eastAsia" w:hAnsi="宋体"/>
          <w:b/>
          <w:color w:val="auto"/>
          <w:highlight w:val="none"/>
        </w:rPr>
        <w:t xml:space="preserve">     2、</w:t>
      </w:r>
      <w:r>
        <w:rPr>
          <w:rFonts w:hAnsi="宋体"/>
          <w:b/>
          <w:color w:val="auto"/>
          <w:highlight w:val="none"/>
          <w:lang w:val="en"/>
        </w:rPr>
        <w:t>技术分</w:t>
      </w:r>
      <w:r>
        <w:rPr>
          <w:rFonts w:hint="eastAsia" w:hAnsi="宋体"/>
          <w:b/>
          <w:color w:val="auto"/>
          <w:highlight w:val="none"/>
        </w:rPr>
        <w:t xml:space="preserve"> </w:t>
      </w:r>
      <w:r>
        <w:rPr>
          <w:rFonts w:hint="eastAsia" w:hAnsi="宋体"/>
          <w:b/>
          <w:bCs/>
          <w:color w:val="auto"/>
          <w:spacing w:val="-8"/>
          <w:highlight w:val="none"/>
        </w:rPr>
        <w:t>………………………………………………………………………………………53</w:t>
      </w:r>
      <w:r>
        <w:rPr>
          <w:rFonts w:hint="eastAsia"/>
          <w:b/>
          <w:color w:val="auto"/>
          <w:highlight w:val="none"/>
        </w:rPr>
        <w:t>分</w:t>
      </w:r>
    </w:p>
    <w:p>
      <w:pPr>
        <w:spacing w:line="400" w:lineRule="exact"/>
        <w:ind w:firstLine="421" w:firstLineChars="200"/>
        <w:rPr>
          <w:rFonts w:hint="eastAsia" w:hAnsi="宋体" w:cs="宋体"/>
          <w:b/>
          <w:bCs/>
          <w:color w:val="auto"/>
          <w:szCs w:val="21"/>
          <w:highlight w:val="none"/>
        </w:rPr>
      </w:pPr>
      <w:r>
        <w:rPr>
          <w:rFonts w:hint="eastAsia" w:hAnsi="宋体" w:cs="宋体"/>
          <w:b/>
          <w:bCs/>
          <w:color w:val="auto"/>
          <w:szCs w:val="21"/>
          <w:highlight w:val="none"/>
        </w:rPr>
        <w:t xml:space="preserve">（1） 产品技术分（满分19分） </w:t>
      </w:r>
    </w:p>
    <w:p>
      <w:pPr>
        <w:spacing w:line="360" w:lineRule="exact"/>
        <w:ind w:firstLine="420" w:firstLineChars="200"/>
        <w:rPr>
          <w:color w:val="auto"/>
          <w:highlight w:val="none"/>
        </w:rPr>
      </w:pPr>
      <w:r>
        <w:rPr>
          <w:rFonts w:hint="eastAsia" w:ascii="宋体" w:hAnsi="宋体" w:cs="宋体"/>
          <w:bCs/>
          <w:color w:val="auto"/>
          <w:szCs w:val="21"/>
          <w:highlight w:val="none"/>
        </w:rPr>
        <w:t>①标记■号项为重要指标项，每满足一项的得1分，满分18分。</w:t>
      </w:r>
      <w:r>
        <w:rPr>
          <w:rFonts w:hint="eastAsia"/>
          <w:color w:val="auto"/>
          <w:highlight w:val="none"/>
        </w:rPr>
        <w:t>（投标人须提供相关证明材料或技术说明材料或承诺函，加盖投标人或厂家公章）</w:t>
      </w:r>
    </w:p>
    <w:p>
      <w:pPr>
        <w:spacing w:line="360" w:lineRule="exact"/>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②服务器稳定性要求在MTBF时间≥15万小时基础上，每提升5万小时得0.5分，最高得1分。（投标人须提供权威机构检测报告等相关证明材料，加盖投标人或厂家公章）</w:t>
      </w:r>
    </w:p>
    <w:p>
      <w:pPr>
        <w:pStyle w:val="29"/>
        <w:spacing w:line="340" w:lineRule="exact"/>
        <w:ind w:firstLine="421" w:firstLineChars="200"/>
        <w:rPr>
          <w:b/>
          <w:color w:val="auto"/>
          <w:highlight w:val="none"/>
        </w:rPr>
      </w:pPr>
      <w:r>
        <w:rPr>
          <w:rFonts w:hint="eastAsia" w:hAnsi="宋体"/>
          <w:b/>
          <w:color w:val="auto"/>
          <w:highlight w:val="none"/>
        </w:rPr>
        <w:t>（2）</w:t>
      </w:r>
      <w:r>
        <w:rPr>
          <w:rFonts w:hint="eastAsia" w:hAnsi="宋体" w:cs="宋体"/>
          <w:b/>
          <w:color w:val="auto"/>
          <w:highlight w:val="none"/>
        </w:rPr>
        <w:t>技术实施方案分（满分31分）</w:t>
      </w:r>
    </w:p>
    <w:p>
      <w:pPr>
        <w:pStyle w:val="29"/>
        <w:spacing w:line="340" w:lineRule="exact"/>
        <w:ind w:firstLine="536"/>
        <w:jc w:val="left"/>
        <w:rPr>
          <w:rFonts w:hint="eastAsia" w:hAnsi="宋体" w:cs="宋体"/>
          <w:color w:val="auto"/>
          <w:highlight w:val="none"/>
        </w:rPr>
      </w:pPr>
      <w:r>
        <w:rPr>
          <w:rFonts w:hint="eastAsia" w:ascii="东文宋体" w:hAnsi="东文宋体" w:eastAsia="东文宋体" w:cs="东文宋体"/>
          <w:color w:val="auto"/>
          <w:highlight w:val="none"/>
        </w:rPr>
        <w:t>①</w:t>
      </w:r>
      <w:r>
        <w:rPr>
          <w:rFonts w:hint="eastAsia" w:hAnsi="宋体" w:cs="宋体"/>
          <w:color w:val="auto"/>
          <w:highlight w:val="none"/>
        </w:rPr>
        <w:t>集成方案(满分3分)</w:t>
      </w:r>
    </w:p>
    <w:p>
      <w:pPr>
        <w:spacing w:line="360" w:lineRule="exact"/>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一档（1分）：集成方案包含对进度控制、质量控制、变更控制等的方案。方案思想简单，勉强能符合要求。</w:t>
      </w:r>
    </w:p>
    <w:p>
      <w:pPr>
        <w:pStyle w:val="29"/>
        <w:spacing w:line="340" w:lineRule="exact"/>
        <w:ind w:firstLine="536"/>
        <w:jc w:val="left"/>
        <w:rPr>
          <w:rFonts w:hint="eastAsia" w:hAnsi="宋体" w:cs="宋体"/>
          <w:color w:val="auto"/>
          <w:highlight w:val="none"/>
          <w:u w:val="single"/>
        </w:rPr>
      </w:pPr>
      <w:r>
        <w:rPr>
          <w:rFonts w:hint="eastAsia" w:hAnsi="宋体" w:cs="宋体"/>
          <w:bCs/>
          <w:color w:val="auto"/>
          <w:highlight w:val="none"/>
        </w:rPr>
        <w:t>二档（3分）：集成方案包含对进度控制、质量控制、变更控制、信息管理、安全管理、沟通协调</w:t>
      </w:r>
      <w:r>
        <w:rPr>
          <w:rFonts w:hint="eastAsia" w:hAnsi="宋体" w:cs="宋体"/>
          <w:bCs/>
          <w:color w:val="auto"/>
          <w:highlight w:val="none"/>
        </w:rPr>
        <w:t>等的方案。方案思想明确、工作目标清晰、措施合理、控制方法有效得当，符合要求。</w:t>
      </w:r>
    </w:p>
    <w:p>
      <w:pPr>
        <w:spacing w:line="360" w:lineRule="exact"/>
        <w:ind w:firstLine="525" w:firstLineChars="250"/>
        <w:rPr>
          <w:rFonts w:hint="eastAsia" w:ascii="宋体" w:hAnsi="宋体" w:cs="宋体"/>
          <w:color w:val="auto"/>
          <w:szCs w:val="21"/>
          <w:highlight w:val="none"/>
        </w:rPr>
      </w:pPr>
      <w:r>
        <w:rPr>
          <w:rFonts w:hint="eastAsia" w:ascii="东文宋体" w:hAnsi="东文宋体" w:eastAsia="东文宋体" w:cs="东文宋体"/>
          <w:color w:val="auto"/>
          <w:szCs w:val="21"/>
          <w:highlight w:val="none"/>
        </w:rPr>
        <w:t>②</w:t>
      </w:r>
      <w:r>
        <w:rPr>
          <w:rFonts w:hint="eastAsia" w:ascii="宋体" w:hAnsi="宋体" w:cs="宋体"/>
          <w:color w:val="auto"/>
          <w:szCs w:val="21"/>
          <w:highlight w:val="none"/>
        </w:rPr>
        <w:t>需求分析与总体设计(满分4分)</w:t>
      </w:r>
    </w:p>
    <w:p>
      <w:pPr>
        <w:spacing w:line="36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一档（2分）：需求较为全面，能涵盖主要的资源扩容需求与安全需求，总体技术架构设计较合理，整体方案论述简单，框架设计标准基本满足项目要求。</w:t>
      </w:r>
    </w:p>
    <w:p>
      <w:pPr>
        <w:pStyle w:val="29"/>
        <w:spacing w:line="340" w:lineRule="exact"/>
        <w:ind w:firstLine="536"/>
        <w:jc w:val="left"/>
        <w:rPr>
          <w:rFonts w:ascii="东文宋体" w:hAnsi="东文宋体" w:eastAsia="东文宋体" w:cs="东文宋体"/>
          <w:color w:val="auto"/>
          <w:highlight w:val="none"/>
          <w:u w:val="single"/>
        </w:rPr>
      </w:pPr>
      <w:r>
        <w:rPr>
          <w:rFonts w:hint="eastAsia" w:hAnsi="宋体" w:cs="宋体"/>
          <w:color w:val="auto"/>
          <w:highlight w:val="none"/>
        </w:rPr>
        <w:t>二档（4分）：需求分析全面，包含本次云平台扩容、安全升级、密码改造、数据质量监控等方面，方案清晰明确、总体技术架构设计先进合理，整体方案论述完整、准确、实用、可行，框架设计标准高，能体现较强的前瞻性、实用性强、可扩展性高。</w:t>
      </w:r>
    </w:p>
    <w:p>
      <w:pPr>
        <w:pStyle w:val="29"/>
        <w:spacing w:line="340" w:lineRule="exact"/>
        <w:ind w:firstLine="536"/>
        <w:jc w:val="left"/>
        <w:rPr>
          <w:rFonts w:hint="eastAsia" w:hAnsi="宋体" w:cs="宋体"/>
          <w:color w:val="auto"/>
          <w:highlight w:val="none"/>
        </w:rPr>
      </w:pPr>
      <w:r>
        <w:rPr>
          <w:rFonts w:hint="eastAsia" w:ascii="东文宋体" w:hAnsi="东文宋体" w:eastAsia="东文宋体" w:cs="东文宋体"/>
          <w:color w:val="auto"/>
          <w:highlight w:val="none"/>
        </w:rPr>
        <w:t>③</w:t>
      </w:r>
      <w:r>
        <w:rPr>
          <w:rFonts w:hint="eastAsia" w:hAnsi="宋体" w:cs="宋体"/>
          <w:color w:val="auto"/>
          <w:highlight w:val="none"/>
        </w:rPr>
        <w:t>详细实施方案(满分5分)</w:t>
      </w:r>
    </w:p>
    <w:p>
      <w:pPr>
        <w:spacing w:line="340" w:lineRule="exact"/>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一档（2分）：总体结构设计简单，各章节主题阐述不清晰，整体方案论述基本完整，框架设计标准基本满足需求，实用性、可扩展性较差。</w:t>
      </w:r>
    </w:p>
    <w:p>
      <w:pPr>
        <w:pStyle w:val="29"/>
        <w:spacing w:line="340" w:lineRule="exact"/>
        <w:ind w:firstLine="536"/>
        <w:jc w:val="left"/>
        <w:rPr>
          <w:rFonts w:hint="eastAsia" w:hAnsi="宋体" w:cs="宋体"/>
          <w:bCs/>
          <w:color w:val="auto"/>
          <w:highlight w:val="none"/>
        </w:rPr>
      </w:pPr>
      <w:r>
        <w:rPr>
          <w:rFonts w:hint="eastAsia" w:hAnsi="宋体" w:cs="宋体"/>
          <w:bCs/>
          <w:color w:val="auto"/>
          <w:highlight w:val="none"/>
        </w:rPr>
        <w:t>二档（5分）：总体结构合理，各章节主题阐述清晰，各部分技术设计详细，整体方案论述完整、准确、实用、可行，能体现较强的前瞻性、实用性、可扩展性高。</w:t>
      </w:r>
    </w:p>
    <w:p>
      <w:pPr>
        <w:pStyle w:val="29"/>
        <w:spacing w:line="340" w:lineRule="exact"/>
        <w:ind w:firstLine="536"/>
        <w:jc w:val="left"/>
        <w:rPr>
          <w:rFonts w:hint="eastAsia" w:hAnsi="宋体" w:cs="宋体"/>
          <w:color w:val="auto"/>
          <w:highlight w:val="none"/>
        </w:rPr>
      </w:pPr>
      <w:r>
        <w:rPr>
          <w:rFonts w:hint="eastAsia"/>
          <w:color w:val="auto"/>
          <w:highlight w:val="none"/>
        </w:rPr>
        <w:t>④</w:t>
      </w:r>
      <w:r>
        <w:rPr>
          <w:rFonts w:hint="eastAsia" w:hAnsi="宋体" w:cs="宋体"/>
          <w:color w:val="auto"/>
          <w:highlight w:val="none"/>
        </w:rPr>
        <w:t>平滑扩容方案（满分5分）</w:t>
      </w:r>
    </w:p>
    <w:p>
      <w:pPr>
        <w:adjustRightInd w:val="0"/>
        <w:spacing w:line="320" w:lineRule="exact"/>
        <w:ind w:firstLine="420" w:firstLineChars="200"/>
        <w:jc w:val="left"/>
        <w:textAlignment w:val="baseline"/>
        <w:rPr>
          <w:rFonts w:hint="eastAsia" w:ascii="宋体" w:hAnsi="宋体" w:cs="宋体"/>
          <w:bCs/>
          <w:color w:val="auto"/>
          <w:szCs w:val="21"/>
          <w:highlight w:val="none"/>
        </w:rPr>
      </w:pPr>
      <w:r>
        <w:rPr>
          <w:rFonts w:hint="eastAsia" w:ascii="宋体" w:hAnsi="宋体" w:cs="宋体"/>
          <w:bCs/>
          <w:color w:val="auto"/>
          <w:szCs w:val="21"/>
          <w:highlight w:val="none"/>
        </w:rPr>
        <w:t>一档（2分）：基于现网平台提供平滑软硬件扩容方案（不停机或中断业务），能与现网平台兼容并整合为统一云平台（非多云纳管形式），但无法对所有服务进行整合，对原有技术状态与用户习惯有一定影响。如本次提供与现有平台具备异构能力的异构平台，提供的扩容方案内容简单、可行性较差。</w:t>
      </w:r>
    </w:p>
    <w:p>
      <w:pPr>
        <w:rPr>
          <w:rFonts w:hint="eastAsia" w:ascii="宋体" w:hAnsi="宋体" w:cs="宋体"/>
          <w:bCs/>
          <w:color w:val="auto"/>
          <w:szCs w:val="21"/>
          <w:highlight w:val="none"/>
        </w:rPr>
      </w:pPr>
      <w:r>
        <w:rPr>
          <w:rFonts w:hint="eastAsia" w:ascii="宋体" w:hAnsi="宋体" w:cs="宋体"/>
          <w:bCs/>
          <w:color w:val="auto"/>
          <w:szCs w:val="21"/>
          <w:highlight w:val="none"/>
        </w:rPr>
        <w:t xml:space="preserve">      二档（5分）：基于现网平台提供平滑软硬件扩容方案（不停机或中断业务），能实现本次国产化硬件的扩容部署，与现网平台完</w:t>
      </w:r>
      <w:r>
        <w:rPr>
          <w:rFonts w:hint="eastAsia" w:ascii="宋体" w:hAnsi="宋体" w:cs="宋体"/>
          <w:bCs/>
          <w:color w:val="auto"/>
          <w:szCs w:val="21"/>
          <w:highlight w:val="none"/>
        </w:rPr>
        <w:t>全兼容并整合为统一云平台（非多云纳管形式）并实现统一管理，不改变原有功能、技术状态及用户习惯。基于现网平台提供带外管理工具方案，能实现异构设备带外统一管控，具备物理硬件资产全生命周期管理。如本次提供与现有平台具备异构能力的异构平台，提供的扩容方案内容完整、详细、可行且有针对性，确保数据迁移</w:t>
      </w:r>
      <w:r>
        <w:rPr>
          <w:rFonts w:hint="eastAsia" w:ascii="宋体" w:hAnsi="宋体" w:cs="宋体"/>
          <w:bCs/>
          <w:color w:val="auto"/>
          <w:szCs w:val="21"/>
          <w:highlight w:val="none"/>
        </w:rPr>
        <w:t>、业务迁移不影响现网业务，不额外增加成本。</w:t>
      </w:r>
    </w:p>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     ⑤平台容灾方案（满分4分）</w:t>
      </w:r>
    </w:p>
    <w:p>
      <w:pPr>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一档（2分）：基于本次云平台及容灾软件编制容灾方案，内容简单且未全面考虑数据层、平台层、网络层、应用层等场景，无法集成各云产品，无法对各云组件进行统一监控与一键切换，容灾效果一般且可行性较差。</w:t>
      </w:r>
    </w:p>
    <w:p>
      <w:pPr>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二档（4分）：基于本次云平台及容灾软件编制容灾方案，内容详细且全面考虑数据层、平台层、网络层、应用层等场景，良好集成各云产品，可对各云组件进行统一监控与一键切换，具有低RTO并考虑掉电故障恢复、孤岛故障恢复、脑裂故障恢复、单产品故障恢复等场景化的故障恢复操作，容灾效果好且可行性较高。</w:t>
      </w:r>
    </w:p>
    <w:p>
      <w:pPr>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⑥两定数据质量监测方案（满分3分）</w:t>
      </w:r>
    </w:p>
    <w:p>
      <w:pPr>
        <w:pStyle w:val="6"/>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 xml:space="preserve">     一档（1分）：方案包含国家医保数据治理背景政策分析、医保数据质量常见问题分析、数据质量监测需求分析、监测业务流程分析、系统总体架构与功能，内容简单且与项目需求不完全一致，落地难度较高。</w:t>
      </w:r>
    </w:p>
    <w:p>
      <w:pPr>
        <w:pStyle w:val="6"/>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 xml:space="preserve">     二档（3分）：方案包含国家医保数据治理背景政策分析、医保数据质量常见问题分析、数据质量监测需求分析、监测业务流程分析、系统总体架构与功能、数据探针设计、数据规则管理设计、问题数据查询设计、数据质量报告设计，内容详实且与项目需求一致，同时考虑了医保统一门户对接，符合现状全面详实的有效方案。</w:t>
      </w:r>
    </w:p>
    <w:p>
      <w:pPr>
        <w:pStyle w:val="6"/>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 xml:space="preserve">    ⑦进度保障方案(满分3分)</w:t>
      </w:r>
    </w:p>
    <w:p>
      <w:pPr>
        <w:spacing w:line="300" w:lineRule="exact"/>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一档（1分）：对项目实际进度要求和迫切程度理解不透彻、工作计划安排混乱、方案可执行性较弱，不能或勉强能保障进度要求。</w:t>
      </w:r>
    </w:p>
    <w:p>
      <w:pPr>
        <w:rPr>
          <w:color w:val="auto"/>
          <w:highlight w:val="none"/>
        </w:rPr>
      </w:pPr>
      <w:r>
        <w:rPr>
          <w:rFonts w:hint="eastAsia" w:ascii="宋体" w:hAnsi="宋体" w:cs="宋体"/>
          <w:bCs/>
          <w:color w:val="auto"/>
          <w:szCs w:val="21"/>
          <w:highlight w:val="none"/>
        </w:rPr>
        <w:t>二档（3分）：对项目实际进度要求和迫切程度理解明确、工作计划安排清晰有条理、进度保障措施预计成效好、方案可执行性强，能保障进度要求。</w:t>
      </w:r>
    </w:p>
    <w:p>
      <w:pPr>
        <w:rPr>
          <w:rFonts w:hint="eastAsia" w:ascii="宋体" w:hAnsi="宋体" w:cs="宋体"/>
          <w:color w:val="auto"/>
          <w:szCs w:val="21"/>
          <w:highlight w:val="none"/>
        </w:rPr>
      </w:pPr>
      <w:r>
        <w:rPr>
          <w:rFonts w:hint="eastAsia" w:ascii="宋体" w:hAnsi="宋体" w:cs="宋体"/>
          <w:color w:val="auto"/>
          <w:szCs w:val="21"/>
          <w:highlight w:val="none"/>
        </w:rPr>
        <w:t xml:space="preserve">     ⑧技术顾问服务方案（满分4分）</w:t>
      </w:r>
    </w:p>
    <w:p>
      <w:pPr>
        <w:rPr>
          <w:rFonts w:hint="eastAsia" w:ascii="宋体" w:hAnsi="宋体" w:cs="宋体"/>
          <w:color w:val="auto"/>
          <w:szCs w:val="21"/>
          <w:highlight w:val="none"/>
        </w:rPr>
      </w:pPr>
      <w:r>
        <w:rPr>
          <w:rFonts w:hint="eastAsia" w:ascii="宋体" w:hAnsi="宋体" w:cs="宋体"/>
          <w:color w:val="auto"/>
          <w:szCs w:val="21"/>
          <w:highlight w:val="none"/>
        </w:rPr>
        <w:t xml:space="preserve">     一档（1分）：对国家医保信息化规划掌握较少，缺乏对项目建设流程计划。提供服务能力差，跟踪与协调解决项目潜在风险与问题措施少。对医保信息平台建设涉及到的技术了解较少，包括云平台产品及适配框架、业务中台与业务系统规范、数据中台技术及交互标准、数据归集与管理规范、两定接口数据监测要求等要求。</w:t>
      </w:r>
    </w:p>
    <w:p>
      <w:pPr>
        <w:rPr>
          <w:rFonts w:hint="eastAsia" w:ascii="宋体" w:hAnsi="宋体" w:cs="宋体"/>
          <w:color w:val="auto"/>
          <w:szCs w:val="21"/>
          <w:highlight w:val="none"/>
        </w:rPr>
      </w:pPr>
      <w:r>
        <w:rPr>
          <w:rFonts w:hint="eastAsia" w:ascii="宋体" w:hAnsi="宋体" w:cs="宋体"/>
          <w:color w:val="auto"/>
          <w:szCs w:val="21"/>
          <w:highlight w:val="none"/>
        </w:rPr>
        <w:t xml:space="preserve">     二档（4分）：对国家医保信息化规划有详细了解，能采纳各省建设过程优秀经验用于本项目，熟悉广西医保信息平台，对项目建设有清晰的流程计划。能够提供全流程服务，包括对平台建设进行把关以满足主管部门验收要求，协助进行数据治理工作，协助进行项目验收等，为项目建设过程纠偏，跟踪与协调解决项目风险与问题措施合理、方法高效得当。详细掌握医保信息平台建设涉及到的技术，包括云平台产品及适配框架、业务中台与业务系统、数据中台技术及交互标准、数据归集与管理规范、两定接口数据监测要求等要求。</w:t>
      </w:r>
    </w:p>
    <w:p>
      <w:pPr>
        <w:pStyle w:val="29"/>
        <w:spacing w:line="320" w:lineRule="exact"/>
        <w:rPr>
          <w:rFonts w:hint="eastAsia" w:hAnsi="宋体" w:cs="宋体"/>
          <w:b/>
          <w:bCs/>
          <w:color w:val="auto"/>
          <w:spacing w:val="-8"/>
          <w:kern w:val="0"/>
          <w:highlight w:val="none"/>
        </w:rPr>
      </w:pPr>
      <w:r>
        <w:rPr>
          <w:rFonts w:hint="eastAsia"/>
          <w:b/>
          <w:bCs/>
          <w:color w:val="auto"/>
          <w:spacing w:val="-8"/>
          <w:highlight w:val="none"/>
        </w:rPr>
        <w:t xml:space="preserve">     </w:t>
      </w:r>
      <w:r>
        <w:rPr>
          <w:rFonts w:hint="eastAsia" w:hAnsi="宋体" w:cs="宋体"/>
          <w:b/>
          <w:bCs/>
          <w:color w:val="auto"/>
          <w:highlight w:val="none"/>
        </w:rPr>
        <w:t>（3）售后服务分（满分3分）</w:t>
      </w:r>
    </w:p>
    <w:p>
      <w:pPr>
        <w:spacing w:line="360" w:lineRule="exact"/>
        <w:ind w:firstLine="389" w:firstLineChars="200"/>
        <w:rPr>
          <w:rFonts w:hint="eastAsia" w:ascii="宋体" w:hAnsi="宋体" w:cs="宋体"/>
          <w:bCs/>
          <w:color w:val="auto"/>
          <w:szCs w:val="21"/>
          <w:highlight w:val="none"/>
        </w:rPr>
      </w:pPr>
      <w:r>
        <w:rPr>
          <w:rFonts w:hint="eastAsia"/>
          <w:b/>
          <w:bCs/>
          <w:color w:val="auto"/>
          <w:spacing w:val="-8"/>
          <w:highlight w:val="none"/>
        </w:rPr>
        <w:t xml:space="preserve"> </w:t>
      </w:r>
      <w:r>
        <w:rPr>
          <w:rFonts w:hint="eastAsia" w:ascii="宋体" w:hAnsi="宋体" w:cs="宋体"/>
          <w:bCs/>
          <w:color w:val="auto"/>
          <w:szCs w:val="21"/>
          <w:highlight w:val="none"/>
        </w:rPr>
        <w:t>一档（1分）：售后服务方案内容包括服务内容、响应时间、故障处理等内容，方案说明思想较简单，基本符合要求。</w:t>
      </w:r>
    </w:p>
    <w:p>
      <w:pPr>
        <w:pStyle w:val="29"/>
        <w:spacing w:line="340" w:lineRule="exact"/>
        <w:ind w:firstLine="420" w:firstLineChars="200"/>
        <w:rPr>
          <w:bCs/>
          <w:color w:val="auto"/>
          <w:highlight w:val="none"/>
        </w:rPr>
      </w:pPr>
      <w:r>
        <w:rPr>
          <w:rFonts w:hint="eastAsia" w:hAnsi="宋体" w:cs="宋体"/>
          <w:bCs/>
          <w:color w:val="auto"/>
          <w:highlight w:val="none"/>
        </w:rPr>
        <w:t>二档（3分）：售后服务方案内容包括服务内容、响应时间、故障处理、服务质量保证，方案说明思想明确、工作目标清晰、措施合理、方法有效得当，符合要求。</w:t>
      </w:r>
    </w:p>
    <w:p>
      <w:pPr>
        <w:widowControl/>
        <w:spacing w:line="320" w:lineRule="exact"/>
        <w:rPr>
          <w:color w:val="auto"/>
          <w:kern w:val="0"/>
          <w:szCs w:val="21"/>
          <w:highlight w:val="none"/>
        </w:rPr>
      </w:pPr>
      <w:r>
        <w:rPr>
          <w:b/>
          <w:bCs/>
          <w:color w:val="auto"/>
          <w:spacing w:val="-8"/>
          <w:szCs w:val="21"/>
          <w:highlight w:val="none"/>
        </w:rPr>
        <w:t xml:space="preserve">    </w:t>
      </w:r>
      <w:r>
        <w:rPr>
          <w:rFonts w:hint="eastAsia"/>
          <w:b/>
          <w:bCs/>
          <w:color w:val="auto"/>
          <w:spacing w:val="-8"/>
          <w:szCs w:val="21"/>
          <w:highlight w:val="none"/>
        </w:rPr>
        <w:t>3、</w:t>
      </w:r>
      <w:r>
        <w:rPr>
          <w:rFonts w:hint="eastAsia"/>
          <w:b/>
          <w:color w:val="auto"/>
          <w:highlight w:val="none"/>
        </w:rPr>
        <w:t>商务</w:t>
      </w:r>
      <w:r>
        <w:rPr>
          <w:rFonts w:hint="eastAsia"/>
          <w:b/>
          <w:bCs/>
          <w:color w:val="auto"/>
          <w:spacing w:val="-8"/>
          <w:szCs w:val="21"/>
          <w:highlight w:val="none"/>
        </w:rPr>
        <w:t>分………………………………………………………………………………</w:t>
      </w:r>
      <w:r>
        <w:rPr>
          <w:rFonts w:hint="eastAsia" w:hAnsi="宋体" w:cs="宋体"/>
          <w:b/>
          <w:bCs/>
          <w:color w:val="auto"/>
          <w:spacing w:val="-8"/>
          <w:kern w:val="0"/>
          <w:szCs w:val="21"/>
          <w:highlight w:val="none"/>
        </w:rPr>
        <w:t>…</w:t>
      </w:r>
      <w:r>
        <w:rPr>
          <w:rFonts w:hint="eastAsia" w:hAnsi="宋体" w:cs="宋体"/>
          <w:color w:val="auto"/>
          <w:kern w:val="0"/>
          <w:szCs w:val="21"/>
          <w:highlight w:val="none"/>
        </w:rPr>
        <w:t>17</w:t>
      </w:r>
      <w:r>
        <w:rPr>
          <w:rFonts w:hint="eastAsia" w:hAnsi="宋体" w:cs="宋体"/>
          <w:b/>
          <w:bCs/>
          <w:color w:val="auto"/>
          <w:spacing w:val="-8"/>
          <w:kern w:val="0"/>
          <w:szCs w:val="21"/>
          <w:highlight w:val="none"/>
        </w:rPr>
        <w:t>分</w:t>
      </w:r>
      <w:r>
        <w:rPr>
          <w:color w:val="auto"/>
          <w:kern w:val="0"/>
          <w:szCs w:val="21"/>
          <w:highlight w:val="none"/>
        </w:rPr>
        <w:t xml:space="preserve">  </w:t>
      </w:r>
      <w:r>
        <w:rPr>
          <w:rFonts w:hint="eastAsia"/>
          <w:color w:val="auto"/>
          <w:kern w:val="0"/>
          <w:szCs w:val="21"/>
          <w:highlight w:val="none"/>
        </w:rPr>
        <w:t xml:space="preserve"> </w:t>
      </w:r>
    </w:p>
    <w:p>
      <w:pPr>
        <w:pStyle w:val="6"/>
        <w:jc w:val="both"/>
        <w:rPr>
          <w:rFonts w:hint="eastAsia" w:ascii="宋体" w:hAnsi="宋体" w:eastAsia="宋体" w:cs="宋体"/>
          <w:color w:val="auto"/>
          <w:kern w:val="2"/>
          <w:sz w:val="21"/>
          <w:szCs w:val="21"/>
          <w:highlight w:val="none"/>
          <w:u w:val="single"/>
        </w:rPr>
      </w:pPr>
      <w:r>
        <w:rPr>
          <w:rFonts w:hint="eastAsia"/>
          <w:color w:val="auto"/>
          <w:szCs w:val="21"/>
          <w:highlight w:val="none"/>
        </w:rPr>
        <w:t xml:space="preserve">  </w:t>
      </w:r>
      <w:r>
        <w:rPr>
          <w:rFonts w:hint="eastAsia"/>
          <w:b/>
          <w:bCs/>
          <w:color w:val="auto"/>
          <w:szCs w:val="21"/>
          <w:highlight w:val="none"/>
        </w:rPr>
        <w:t xml:space="preserve"> </w:t>
      </w:r>
      <w:r>
        <w:rPr>
          <w:rFonts w:hint="eastAsia" w:ascii="宋体" w:hAnsi="宋体" w:eastAsia="宋体" w:cs="宋体"/>
          <w:b/>
          <w:bCs/>
          <w:color w:val="auto"/>
          <w:kern w:val="2"/>
          <w:sz w:val="21"/>
          <w:szCs w:val="21"/>
          <w:highlight w:val="none"/>
        </w:rPr>
        <w:t>（1）团队服务能力分（满分9分）</w:t>
      </w:r>
    </w:p>
    <w:p>
      <w:pPr>
        <w:spacing w:line="360" w:lineRule="exact"/>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1）项目经理1人（满分4分）</w:t>
      </w:r>
    </w:p>
    <w:p>
      <w:pPr>
        <w:spacing w:line="360" w:lineRule="exact"/>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项目经理具有以下证书：</w:t>
      </w:r>
    </w:p>
    <w:p>
      <w:pPr>
        <w:spacing w:line="360" w:lineRule="exact"/>
        <w:ind w:firstLine="420" w:firstLineChars="200"/>
        <w:rPr>
          <w:rFonts w:hint="eastAsia" w:ascii="宋体" w:hAnsi="宋体" w:cs="宋体"/>
          <w:bCs/>
          <w:color w:val="auto"/>
          <w:szCs w:val="21"/>
          <w:highlight w:val="none"/>
        </w:rPr>
      </w:pPr>
      <w:bookmarkStart w:id="22" w:name="OLE_LINK4"/>
      <w:r>
        <w:rPr>
          <w:rFonts w:hint="eastAsia" w:ascii="宋体" w:hAnsi="宋体" w:cs="宋体"/>
          <w:bCs/>
          <w:color w:val="auto"/>
          <w:szCs w:val="21"/>
          <w:highlight w:val="none"/>
        </w:rPr>
        <w:t>①</w:t>
      </w:r>
      <w:bookmarkEnd w:id="22"/>
      <w:r>
        <w:rPr>
          <w:rFonts w:hint="eastAsia" w:ascii="宋体" w:hAnsi="宋体" w:cs="宋体"/>
          <w:bCs/>
          <w:color w:val="auto"/>
          <w:szCs w:val="21"/>
          <w:highlight w:val="none"/>
        </w:rPr>
        <w:t>具有信息系统项目管理师证书得2分；</w:t>
      </w:r>
    </w:p>
    <w:p>
      <w:pPr>
        <w:spacing w:line="360" w:lineRule="exact"/>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②具有系统规划与管理师证书或通信类高级工程师职称得1分；</w:t>
      </w:r>
    </w:p>
    <w:p>
      <w:pPr>
        <w:spacing w:line="360" w:lineRule="exact"/>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③具有注册信息安全工程师证书得1分。</w:t>
      </w:r>
    </w:p>
    <w:p>
      <w:pPr>
        <w:spacing w:line="360" w:lineRule="exact"/>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2）技术负责人1人（满分2分）</w:t>
      </w:r>
    </w:p>
    <w:p>
      <w:pPr>
        <w:spacing w:line="360" w:lineRule="exact"/>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技术负责人有以下证书的：</w:t>
      </w:r>
    </w:p>
    <w:p>
      <w:pPr>
        <w:spacing w:line="360" w:lineRule="exact"/>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①具有系统架构设计师证书得1分；</w:t>
      </w:r>
    </w:p>
    <w:p>
      <w:pPr>
        <w:spacing w:line="360" w:lineRule="exact"/>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②具有系统分析师证书得1分。</w:t>
      </w:r>
    </w:p>
    <w:p>
      <w:pPr>
        <w:spacing w:line="360" w:lineRule="exact"/>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3）团队成员（满分3分）</w:t>
      </w:r>
    </w:p>
    <w:p>
      <w:pPr>
        <w:spacing w:line="360" w:lineRule="exact"/>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团队成员（不含项目经理、技术负责人）具有以下资格的：</w:t>
      </w:r>
    </w:p>
    <w:p>
      <w:pPr>
        <w:spacing w:line="360" w:lineRule="exact"/>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①具有网络规划设计师证书的，每个得1分，满分1分；</w:t>
      </w:r>
    </w:p>
    <w:p>
      <w:pPr>
        <w:spacing w:line="360" w:lineRule="exact"/>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②具有注册信息安全专业人员认证证书的，每个得1分，满分1分；</w:t>
      </w:r>
    </w:p>
    <w:p>
      <w:pPr>
        <w:spacing w:line="360" w:lineRule="exact"/>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③具有系统架构设计师证书的，每个得1分，满分1分。</w:t>
      </w:r>
    </w:p>
    <w:p>
      <w:pPr>
        <w:rPr>
          <w:color w:val="auto"/>
          <w:highlight w:val="none"/>
        </w:rPr>
      </w:pPr>
      <w:r>
        <w:rPr>
          <w:rFonts w:hint="eastAsia" w:ascii="宋体" w:hAnsi="宋体" w:cs="宋体"/>
          <w:bCs/>
          <w:color w:val="auto"/>
          <w:szCs w:val="21"/>
          <w:highlight w:val="none"/>
        </w:rPr>
        <w:t xml:space="preserve">    以上评分项不累计，每人最多评其中一项。投标文件中需提供以上人员专业技术资格证书复印件（并加投标人公章）。</w:t>
      </w:r>
    </w:p>
    <w:p>
      <w:pPr>
        <w:widowControl/>
        <w:spacing w:line="300" w:lineRule="exact"/>
        <w:ind w:firstLine="210" w:firstLineChars="100"/>
        <w:rPr>
          <w:color w:val="auto"/>
          <w:kern w:val="0"/>
          <w:szCs w:val="21"/>
          <w:highlight w:val="none"/>
        </w:rPr>
      </w:pPr>
      <w:r>
        <w:rPr>
          <w:rFonts w:hint="eastAsia"/>
          <w:b/>
          <w:bCs/>
          <w:color w:val="auto"/>
          <w:kern w:val="0"/>
          <w:szCs w:val="21"/>
          <w:highlight w:val="none"/>
        </w:rPr>
        <w:t xml:space="preserve">   （2）信誉分（满分4分）</w:t>
      </w:r>
      <w:r>
        <w:rPr>
          <w:b/>
          <w:bCs/>
          <w:color w:val="auto"/>
          <w:kern w:val="0"/>
          <w:szCs w:val="21"/>
          <w:highlight w:val="none"/>
        </w:rPr>
        <w:t xml:space="preserve"> </w:t>
      </w:r>
      <w:r>
        <w:rPr>
          <w:color w:val="auto"/>
          <w:kern w:val="0"/>
          <w:szCs w:val="21"/>
          <w:highlight w:val="none"/>
        </w:rPr>
        <w:t xml:space="preserve"> </w:t>
      </w:r>
    </w:p>
    <w:p>
      <w:pPr>
        <w:spacing w:line="360" w:lineRule="exact"/>
        <w:ind w:firstLine="420" w:firstLineChars="200"/>
        <w:rPr>
          <w:rFonts w:hint="eastAsia" w:ascii="宋体" w:hAnsi="宋体" w:cs="宋体"/>
          <w:bCs/>
          <w:color w:val="auto"/>
          <w:szCs w:val="21"/>
          <w:highlight w:val="none"/>
        </w:rPr>
      </w:pPr>
      <w:r>
        <w:rPr>
          <w:rFonts w:hint="eastAsia"/>
          <w:color w:val="auto"/>
          <w:kern w:val="0"/>
          <w:szCs w:val="21"/>
          <w:highlight w:val="none"/>
        </w:rPr>
        <w:t xml:space="preserve"> </w:t>
      </w:r>
      <w:r>
        <w:rPr>
          <w:color w:val="auto"/>
          <w:kern w:val="0"/>
          <w:szCs w:val="21"/>
          <w:highlight w:val="none"/>
        </w:rPr>
        <w:t xml:space="preserve"> </w:t>
      </w:r>
      <w:r>
        <w:rPr>
          <w:rFonts w:hint="eastAsia" w:ascii="宋体" w:hAnsi="宋体" w:cs="宋体"/>
          <w:bCs/>
          <w:color w:val="auto"/>
          <w:szCs w:val="21"/>
          <w:highlight w:val="none"/>
        </w:rPr>
        <w:t>投标人具有ISO20000信息技术服务管理体系认证、ISO14001环境管理体系认证、ISO45001职业健康安全管理体系认证、ISO9001质量管理体系认证，提供相关证明复印件并加盖单位印章，每个得1分，满分4分；</w:t>
      </w:r>
    </w:p>
    <w:p>
      <w:pPr>
        <w:widowControl/>
        <w:spacing w:line="320" w:lineRule="exact"/>
        <w:ind w:firstLine="210" w:firstLineChars="100"/>
        <w:rPr>
          <w:rFonts w:hint="eastAsia" w:ascii="宋体" w:hAnsi="宋体"/>
          <w:color w:val="auto"/>
          <w:kern w:val="0"/>
          <w:szCs w:val="21"/>
          <w:highlight w:val="none"/>
        </w:rPr>
      </w:pPr>
      <w:r>
        <w:rPr>
          <w:rFonts w:hint="eastAsia" w:ascii="宋体" w:hAnsi="宋体" w:cs="宋体"/>
          <w:bCs/>
          <w:color w:val="auto"/>
          <w:szCs w:val="21"/>
          <w:highlight w:val="none"/>
        </w:rPr>
        <w:t xml:space="preserve"> （以上所需认证证书均需提供证明材料复印件并加盖公章，否则不得分。）</w:t>
      </w:r>
    </w:p>
    <w:p>
      <w:pPr>
        <w:spacing w:line="320" w:lineRule="exact"/>
        <w:ind w:firstLine="105" w:firstLineChars="50"/>
        <w:rPr>
          <w:rFonts w:hint="eastAsia" w:hAnsi="宋体"/>
          <w:color w:val="auto"/>
          <w:szCs w:val="21"/>
          <w:highlight w:val="none"/>
        </w:rPr>
      </w:pPr>
      <w:r>
        <w:rPr>
          <w:rFonts w:hint="eastAsia" w:hAnsi="宋体"/>
          <w:color w:val="auto"/>
          <w:szCs w:val="21"/>
          <w:highlight w:val="none"/>
        </w:rPr>
        <w:t xml:space="preserve">   </w:t>
      </w:r>
      <w:r>
        <w:rPr>
          <w:rFonts w:hint="eastAsia" w:hAnsi="宋体"/>
          <w:b/>
          <w:bCs/>
          <w:color w:val="auto"/>
          <w:szCs w:val="21"/>
          <w:highlight w:val="none"/>
        </w:rPr>
        <w:t>（3）</w:t>
      </w:r>
      <w:r>
        <w:rPr>
          <w:rFonts w:hint="eastAsia" w:ascii="宋体" w:hAnsi="宋体" w:cs="宋体"/>
          <w:b/>
          <w:bCs/>
          <w:color w:val="auto"/>
          <w:szCs w:val="21"/>
          <w:highlight w:val="none"/>
        </w:rPr>
        <w:t>业绩案例（满分3分）</w:t>
      </w:r>
      <w:r>
        <w:rPr>
          <w:rFonts w:hint="eastAsia" w:hAnsi="宋体"/>
          <w:b/>
          <w:bCs/>
          <w:color w:val="auto"/>
          <w:szCs w:val="21"/>
          <w:highlight w:val="none"/>
        </w:rPr>
        <w:t xml:space="preserve"> </w:t>
      </w:r>
    </w:p>
    <w:p>
      <w:pPr>
        <w:spacing w:line="360" w:lineRule="exact"/>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投标人提供2023年1月1日以来（以合同签订日期为准）同类（云平台、云计算类建设项目）案例，提供1个案例得1分，项满分3分。</w:t>
      </w:r>
    </w:p>
    <w:p>
      <w:pPr>
        <w:spacing w:line="320" w:lineRule="exact"/>
        <w:rPr>
          <w:color w:val="auto"/>
          <w:kern w:val="0"/>
          <w:szCs w:val="21"/>
          <w:highlight w:val="none"/>
        </w:rPr>
      </w:pPr>
      <w:r>
        <w:rPr>
          <w:rFonts w:hint="eastAsia" w:ascii="宋体" w:hAnsi="宋体" w:cs="宋体"/>
          <w:bCs/>
          <w:color w:val="auto"/>
          <w:szCs w:val="21"/>
          <w:highlight w:val="none"/>
        </w:rPr>
        <w:t>（投标文件需要同时提供合同复印件并加盖投标人公章，时间以合同签订时间为准，否则不得分）</w:t>
      </w:r>
    </w:p>
    <w:p>
      <w:pPr>
        <w:spacing w:line="460" w:lineRule="exact"/>
        <w:rPr>
          <w:rFonts w:hint="eastAsia" w:hAnsi="宋体"/>
          <w:b/>
          <w:color w:val="auto"/>
          <w:highlight w:val="none"/>
        </w:rPr>
      </w:pPr>
      <w:r>
        <w:rPr>
          <w:rFonts w:hint="eastAsia" w:hAnsi="宋体"/>
          <w:color w:val="auto"/>
          <w:szCs w:val="21"/>
          <w:highlight w:val="none"/>
        </w:rPr>
        <w:t xml:space="preserve"> </w:t>
      </w:r>
      <w:r>
        <w:rPr>
          <w:rFonts w:hint="eastAsia" w:hAnsi="宋体"/>
          <w:b/>
          <w:bCs/>
          <w:color w:val="auto"/>
          <w:szCs w:val="21"/>
          <w:highlight w:val="none"/>
        </w:rPr>
        <w:t xml:space="preserve">  （4）</w:t>
      </w:r>
      <w:r>
        <w:rPr>
          <w:rFonts w:hint="eastAsia" w:hAnsi="宋体"/>
          <w:b/>
          <w:bCs/>
          <w:color w:val="auto"/>
          <w:highlight w:val="none"/>
        </w:rPr>
        <w:t>产品特性分</w:t>
      </w:r>
      <w:r>
        <w:rPr>
          <w:rFonts w:hint="eastAsia" w:hAnsi="宋体" w:cs="宋体"/>
          <w:b/>
          <w:bCs/>
          <w:color w:val="auto"/>
          <w:szCs w:val="21"/>
          <w:highlight w:val="none"/>
        </w:rPr>
        <w:t>（满分1分）</w:t>
      </w:r>
      <w:r>
        <w:rPr>
          <w:rFonts w:hAnsi="宋体"/>
          <w:b/>
          <w:bCs/>
          <w:color w:val="auto"/>
          <w:highlight w:val="none"/>
        </w:rPr>
        <w:t xml:space="preserve"> </w:t>
      </w:r>
      <w:r>
        <w:rPr>
          <w:rFonts w:hAnsi="宋体"/>
          <w:b/>
          <w:color w:val="auto"/>
          <w:highlight w:val="none"/>
        </w:rPr>
        <w:t xml:space="preserve"> </w:t>
      </w:r>
    </w:p>
    <w:p>
      <w:pPr>
        <w:widowControl/>
        <w:ind w:firstLine="420"/>
        <w:jc w:val="left"/>
        <w:rPr>
          <w:rFonts w:hint="eastAsia" w:hAnsi="宋体"/>
          <w:b/>
          <w:bCs/>
          <w:color w:val="auto"/>
          <w:sz w:val="16"/>
          <w:szCs w:val="16"/>
          <w:highlight w:val="none"/>
        </w:rPr>
      </w:pPr>
      <w:r>
        <w:rPr>
          <w:rFonts w:hint="eastAsia"/>
          <w:color w:val="auto"/>
          <w:kern w:val="0"/>
          <w:szCs w:val="21"/>
          <w:highlight w:val="none"/>
        </w:rPr>
        <w:t>1）</w:t>
      </w:r>
      <w:r>
        <w:rPr>
          <w:rFonts w:hint="eastAsia" w:hAnsi="宋体"/>
          <w:bCs/>
          <w:color w:val="auto"/>
          <w:highlight w:val="none"/>
        </w:rPr>
        <w:t>投标产品纳入财政部 国家发展改革委《关于印发节能产品政府采购品目清单的通知》（财库</w:t>
      </w:r>
      <w:r>
        <w:rPr>
          <w:rFonts w:hAnsi="宋体"/>
          <w:bCs/>
          <w:color w:val="auto"/>
          <w:highlight w:val="none"/>
        </w:rPr>
        <w:t>[2019]19</w:t>
      </w:r>
      <w:r>
        <w:rPr>
          <w:rFonts w:hint="eastAsia" w:hAnsi="宋体"/>
          <w:bCs/>
          <w:color w:val="auto"/>
          <w:highlight w:val="none"/>
        </w:rPr>
        <w:t>号）中节能产品政府采购清单的（适用于非强制采购节能产品，依据《市场监管总局关于发布参与实施政府采购节能产品、环境标志产品认证机构名录的公告》，提供所投相应型号产品有效的认证证书扫描件或其他电子文件），得0.5分。</w:t>
      </w:r>
      <w:r>
        <w:rPr>
          <w:rFonts w:hAnsi="宋体"/>
          <w:bCs/>
          <w:color w:val="auto"/>
          <w:highlight w:val="none"/>
        </w:rPr>
        <w:br w:type="textWrapping"/>
      </w:r>
      <w:r>
        <w:rPr>
          <w:rFonts w:hAnsi="宋体"/>
          <w:bCs/>
          <w:color w:val="auto"/>
          <w:highlight w:val="none"/>
        </w:rPr>
        <w:t xml:space="preserve">   </w:t>
      </w:r>
      <w:r>
        <w:rPr>
          <w:color w:val="auto"/>
          <w:kern w:val="0"/>
          <w:szCs w:val="21"/>
          <w:highlight w:val="none"/>
        </w:rPr>
        <w:t xml:space="preserve"> </w:t>
      </w:r>
      <w:r>
        <w:rPr>
          <w:rFonts w:hint="eastAsia"/>
          <w:color w:val="auto"/>
          <w:kern w:val="0"/>
          <w:szCs w:val="21"/>
          <w:highlight w:val="none"/>
        </w:rPr>
        <w:t>2）</w:t>
      </w:r>
      <w:r>
        <w:rPr>
          <w:rFonts w:hint="eastAsia" w:hAnsi="宋体"/>
          <w:bCs/>
          <w:color w:val="auto"/>
          <w:highlight w:val="none"/>
        </w:rPr>
        <w:t>投标产品纳入财政部 国家发展改革委《关于印发环境标志产品政府采购品目清单的通知》（财库</w:t>
      </w:r>
      <w:r>
        <w:rPr>
          <w:rFonts w:hAnsi="宋体"/>
          <w:bCs/>
          <w:color w:val="auto"/>
          <w:highlight w:val="none"/>
        </w:rPr>
        <w:t>[2019]18</w:t>
      </w:r>
      <w:r>
        <w:rPr>
          <w:rFonts w:hint="eastAsia" w:hAnsi="宋体"/>
          <w:bCs/>
          <w:color w:val="auto"/>
          <w:highlight w:val="none"/>
        </w:rPr>
        <w:t>号）中环境标志产品政府采购清单的，依据《市场监管总局关于发布参与实施政府采购节能产品、环境标志产品认证机构名录的公告》，提供所投相应型号产品有效的认证证书扫描件或其他电子文件），得0.5分。</w:t>
      </w:r>
      <w:r>
        <w:rPr>
          <w:rFonts w:hAnsi="宋体"/>
          <w:bCs/>
          <w:color w:val="auto"/>
          <w:highlight w:val="none"/>
        </w:rPr>
        <w:t xml:space="preserve"> </w:t>
      </w:r>
      <w:r>
        <w:rPr>
          <w:rFonts w:hint="eastAsia"/>
          <w:color w:val="auto"/>
          <w:kern w:val="0"/>
          <w:highlight w:val="none"/>
        </w:rPr>
        <w:t xml:space="preserve"> </w:t>
      </w:r>
    </w:p>
    <w:p>
      <w:pPr>
        <w:spacing w:line="420" w:lineRule="exact"/>
        <w:ind w:firstLine="405"/>
        <w:rPr>
          <w:rFonts w:hAnsi="Courier New" w:cs="Courier New"/>
          <w:b/>
          <w:bCs/>
          <w:color w:val="auto"/>
          <w:szCs w:val="21"/>
          <w:highlight w:val="none"/>
        </w:rPr>
      </w:pPr>
      <w:r>
        <w:rPr>
          <w:rFonts w:hint="eastAsia" w:hAnsi="宋体" w:cs="宋体"/>
          <w:b/>
          <w:bCs/>
          <w:color w:val="auto"/>
          <w:spacing w:val="-2"/>
          <w:szCs w:val="21"/>
          <w:highlight w:val="none"/>
        </w:rPr>
        <w:t>（</w:t>
      </w:r>
      <w:r>
        <w:rPr>
          <w:rFonts w:hint="eastAsia" w:cs="Courier New"/>
          <w:b/>
          <w:bCs/>
          <w:color w:val="auto"/>
          <w:spacing w:val="-2"/>
          <w:szCs w:val="21"/>
          <w:highlight w:val="none"/>
        </w:rPr>
        <w:t>三</w:t>
      </w:r>
      <w:r>
        <w:rPr>
          <w:rFonts w:hint="eastAsia" w:hAnsi="宋体" w:cs="宋体"/>
          <w:b/>
          <w:bCs/>
          <w:color w:val="auto"/>
          <w:spacing w:val="-2"/>
          <w:szCs w:val="21"/>
          <w:highlight w:val="none"/>
        </w:rPr>
        <w:t>）总得分</w:t>
      </w:r>
      <w:r>
        <w:rPr>
          <w:rFonts w:hint="eastAsia" w:eastAsia="Calibri" w:cs="Courier New"/>
          <w:b/>
          <w:bCs/>
          <w:color w:val="auto"/>
          <w:spacing w:val="-2"/>
          <w:szCs w:val="21"/>
          <w:highlight w:val="none"/>
        </w:rPr>
        <w:t>=</w:t>
      </w:r>
      <w:r>
        <w:rPr>
          <w:rFonts w:hint="eastAsia" w:cs="Courier New"/>
          <w:color w:val="auto"/>
          <w:szCs w:val="21"/>
          <w:highlight w:val="none"/>
        </w:rPr>
        <w:t xml:space="preserve"> </w:t>
      </w:r>
      <w:r>
        <w:rPr>
          <w:rFonts w:hint="eastAsia" w:cs="Courier New"/>
          <w:b/>
          <w:bCs/>
          <w:color w:val="auto"/>
          <w:szCs w:val="21"/>
          <w:highlight w:val="none"/>
        </w:rPr>
        <w:t xml:space="preserve">1 + 2 + 3。 </w:t>
      </w:r>
    </w:p>
    <w:p>
      <w:pPr>
        <w:spacing w:line="420" w:lineRule="exact"/>
        <w:ind w:firstLine="421" w:firstLineChars="200"/>
        <w:rPr>
          <w:b/>
          <w:bCs/>
          <w:color w:val="auto"/>
          <w:highlight w:val="none"/>
        </w:rPr>
      </w:pPr>
      <w:r>
        <w:rPr>
          <w:rFonts w:hint="eastAsia"/>
          <w:b/>
          <w:bCs/>
          <w:color w:val="auto"/>
          <w:highlight w:val="none"/>
        </w:rPr>
        <w:t>三、中标候选人推荐原则</w:t>
      </w:r>
    </w:p>
    <w:p>
      <w:pPr>
        <w:spacing w:line="420" w:lineRule="exact"/>
        <w:ind w:firstLine="420" w:firstLineChars="200"/>
        <w:jc w:val="left"/>
        <w:rPr>
          <w:bCs/>
          <w:color w:val="auto"/>
          <w:highlight w:val="none"/>
        </w:rPr>
      </w:pPr>
      <w:r>
        <w:rPr>
          <w:rFonts w:hint="eastAsia"/>
          <w:bCs/>
          <w:color w:val="auto"/>
          <w:highlight w:val="none"/>
        </w:rPr>
        <w:t>（一）评标委员会将根据得分由高到低排列次序（得分相同时，以评标价由低到高顺序排列；得分相同且评标价相同的，按技术指标优劣顺序排列）并推荐中标候选供应商。采购人应当确定评审委员会推荐排名第一的中标候选人为中标人。</w:t>
      </w:r>
    </w:p>
    <w:p>
      <w:pPr>
        <w:spacing w:line="420" w:lineRule="exact"/>
        <w:ind w:firstLine="420" w:firstLineChars="200"/>
        <w:jc w:val="left"/>
        <w:rPr>
          <w:bCs/>
          <w:color w:val="auto"/>
          <w:highlight w:val="none"/>
        </w:rPr>
      </w:pPr>
      <w:r>
        <w:rPr>
          <w:rFonts w:hint="eastAsia"/>
          <w:bCs/>
          <w:color w:val="auto"/>
          <w:highlight w:val="none"/>
        </w:rPr>
        <w:t>（二）排名第一的中标候选人放弃中标、拒绝签订政府采购合同的，采购人可以确定排名第二的中标候选人为中标人。排名第二的中标候选人因前款规定的同样原因不能签订合同的，采购人可以确定排名第三的中标候选人为中标人，其余以此类推。</w:t>
      </w:r>
    </w:p>
    <w:p>
      <w:pPr>
        <w:spacing w:before="120" w:after="120" w:line="420" w:lineRule="exact"/>
        <w:ind w:firstLine="883" w:firstLineChars="200"/>
        <w:jc w:val="left"/>
        <w:outlineLvl w:val="0"/>
        <w:rPr>
          <w:rFonts w:ascii="黑体" w:eastAsia="黑体"/>
          <w:b/>
          <w:color w:val="auto"/>
          <w:sz w:val="44"/>
          <w:szCs w:val="44"/>
          <w:highlight w:val="none"/>
        </w:rPr>
      </w:pPr>
      <w:r>
        <w:rPr>
          <w:rFonts w:ascii="黑体" w:eastAsia="黑体"/>
          <w:b/>
          <w:color w:val="auto"/>
          <w:sz w:val="44"/>
          <w:szCs w:val="44"/>
          <w:highlight w:val="none"/>
        </w:rPr>
        <w:br w:type="page"/>
      </w:r>
    </w:p>
    <w:p>
      <w:pPr>
        <w:rPr>
          <w:rFonts w:ascii="黑体" w:eastAsia="黑体"/>
          <w:b/>
          <w:color w:val="auto"/>
          <w:sz w:val="44"/>
          <w:szCs w:val="44"/>
          <w:highlight w:val="none"/>
        </w:rPr>
      </w:pPr>
    </w:p>
    <w:p>
      <w:pPr>
        <w:pStyle w:val="5"/>
        <w:rPr>
          <w:rFonts w:ascii="黑体" w:eastAsia="黑体"/>
          <w:color w:val="auto"/>
          <w:sz w:val="44"/>
          <w:szCs w:val="44"/>
          <w:highlight w:val="none"/>
        </w:rPr>
      </w:pPr>
    </w:p>
    <w:p>
      <w:pPr>
        <w:rPr>
          <w:color w:val="auto"/>
          <w:highlight w:val="none"/>
        </w:rPr>
      </w:pPr>
    </w:p>
    <w:p>
      <w:pPr>
        <w:pStyle w:val="29"/>
        <w:snapToGrid w:val="0"/>
        <w:spacing w:before="120" w:after="120"/>
        <w:jc w:val="center"/>
        <w:outlineLvl w:val="0"/>
        <w:rPr>
          <w:rFonts w:ascii="黑体" w:eastAsia="黑体"/>
          <w:b/>
          <w:color w:val="auto"/>
          <w:sz w:val="44"/>
          <w:szCs w:val="44"/>
          <w:highlight w:val="none"/>
        </w:rPr>
      </w:pPr>
    </w:p>
    <w:p>
      <w:pPr>
        <w:pStyle w:val="3"/>
        <w:rPr>
          <w:rFonts w:ascii="黑体" w:eastAsia="黑体"/>
          <w:color w:val="auto"/>
          <w:highlight w:val="none"/>
        </w:rPr>
      </w:pPr>
    </w:p>
    <w:p>
      <w:pPr>
        <w:rPr>
          <w:color w:val="auto"/>
          <w:highlight w:val="none"/>
        </w:rPr>
      </w:pPr>
    </w:p>
    <w:p>
      <w:pPr>
        <w:pStyle w:val="29"/>
        <w:snapToGrid w:val="0"/>
        <w:spacing w:before="120" w:after="120"/>
        <w:jc w:val="center"/>
        <w:outlineLvl w:val="0"/>
        <w:rPr>
          <w:rFonts w:ascii="黑体" w:eastAsia="黑体"/>
          <w:b/>
          <w:color w:val="auto"/>
          <w:sz w:val="44"/>
          <w:szCs w:val="44"/>
          <w:highlight w:val="none"/>
        </w:rPr>
      </w:pPr>
    </w:p>
    <w:p>
      <w:pPr>
        <w:jc w:val="center"/>
        <w:rPr>
          <w:rFonts w:hint="eastAsia" w:ascii="宋体" w:hAnsi="宋体"/>
          <w:b/>
          <w:dstrike/>
          <w:color w:val="auto"/>
          <w:sz w:val="36"/>
          <w:szCs w:val="36"/>
          <w:highlight w:val="none"/>
        </w:rPr>
      </w:pPr>
      <w:r>
        <w:rPr>
          <w:rFonts w:hint="eastAsia" w:ascii="仿宋_GB2312" w:eastAsia="仿宋_GB2312"/>
          <w:b/>
          <w:color w:val="auto"/>
          <w:sz w:val="36"/>
          <w:szCs w:val="36"/>
          <w:highlight w:val="none"/>
        </w:rPr>
        <w:t>第五章    政府采购合同主要条款</w:t>
      </w:r>
    </w:p>
    <w:p>
      <w:pPr>
        <w:pStyle w:val="29"/>
        <w:snapToGrid w:val="0"/>
        <w:spacing w:before="120" w:after="120"/>
        <w:jc w:val="center"/>
        <w:outlineLvl w:val="0"/>
        <w:rPr>
          <w:rFonts w:ascii="黑体" w:eastAsia="黑体"/>
          <w:b/>
          <w:color w:val="auto"/>
          <w:sz w:val="44"/>
          <w:szCs w:val="44"/>
          <w:highlight w:val="none"/>
        </w:rPr>
      </w:pPr>
    </w:p>
    <w:p>
      <w:pPr>
        <w:pStyle w:val="29"/>
        <w:jc w:val="center"/>
        <w:rPr>
          <w:color w:val="auto"/>
          <w:highlight w:val="none"/>
        </w:rPr>
      </w:pPr>
      <w:r>
        <w:rPr>
          <w:color w:val="auto"/>
          <w:highlight w:val="none"/>
        </w:rPr>
        <w:br w:type="page"/>
      </w:r>
    </w:p>
    <w:p>
      <w:pPr>
        <w:pStyle w:val="29"/>
        <w:jc w:val="center"/>
        <w:rPr>
          <w:color w:val="auto"/>
          <w:highlight w:val="none"/>
        </w:rPr>
      </w:pPr>
    </w:p>
    <w:p>
      <w:pPr>
        <w:pStyle w:val="29"/>
        <w:jc w:val="center"/>
        <w:rPr>
          <w:color w:val="auto"/>
          <w:highlight w:val="none"/>
        </w:rPr>
      </w:pPr>
    </w:p>
    <w:p>
      <w:pPr>
        <w:pStyle w:val="29"/>
        <w:jc w:val="center"/>
        <w:rPr>
          <w:rFonts w:hint="eastAsia" w:hAnsi="宋体"/>
          <w:b/>
          <w:color w:val="auto"/>
          <w:sz w:val="52"/>
          <w:szCs w:val="52"/>
          <w:highlight w:val="none"/>
        </w:rPr>
      </w:pPr>
      <w:r>
        <w:rPr>
          <w:rFonts w:hint="eastAsia" w:hAnsi="宋体"/>
          <w:b/>
          <w:color w:val="auto"/>
          <w:sz w:val="52"/>
          <w:szCs w:val="52"/>
          <w:highlight w:val="none"/>
        </w:rPr>
        <w:t>广西壮族自治区政府采购合同</w:t>
      </w:r>
    </w:p>
    <w:p>
      <w:pPr>
        <w:pStyle w:val="29"/>
        <w:rPr>
          <w:rFonts w:hint="eastAsia" w:hAnsi="宋体"/>
          <w:color w:val="auto"/>
          <w:highlight w:val="none"/>
        </w:rPr>
      </w:pPr>
    </w:p>
    <w:p>
      <w:pPr>
        <w:pStyle w:val="29"/>
        <w:rPr>
          <w:rFonts w:hint="eastAsia" w:hAnsi="宋体"/>
          <w:color w:val="auto"/>
          <w:highlight w:val="none"/>
        </w:rPr>
      </w:pPr>
    </w:p>
    <w:p>
      <w:pPr>
        <w:pStyle w:val="29"/>
        <w:rPr>
          <w:rFonts w:hint="eastAsia" w:hAnsi="宋体"/>
          <w:color w:val="auto"/>
          <w:highlight w:val="none"/>
        </w:rPr>
      </w:pPr>
    </w:p>
    <w:p>
      <w:pPr>
        <w:pStyle w:val="29"/>
        <w:ind w:firstLine="1590" w:firstLineChars="495"/>
        <w:rPr>
          <w:rFonts w:hint="eastAsia" w:hAnsi="宋体"/>
          <w:b/>
          <w:color w:val="auto"/>
          <w:sz w:val="32"/>
          <w:szCs w:val="32"/>
          <w:highlight w:val="none"/>
          <w:u w:val="single"/>
        </w:rPr>
      </w:pPr>
      <w:r>
        <w:rPr>
          <w:rFonts w:hint="eastAsia" w:hAnsi="宋体"/>
          <w:b/>
          <w:color w:val="auto"/>
          <w:sz w:val="32"/>
          <w:szCs w:val="32"/>
          <w:highlight w:val="none"/>
        </w:rPr>
        <w:t>合同名称：</w:t>
      </w:r>
      <w:r>
        <w:rPr>
          <w:rFonts w:hint="eastAsia" w:hAnsi="宋体"/>
          <w:b/>
          <w:color w:val="auto"/>
          <w:sz w:val="32"/>
          <w:szCs w:val="32"/>
          <w:highlight w:val="none"/>
          <w:u w:val="single"/>
        </w:rPr>
        <w:t xml:space="preserve">                            </w:t>
      </w:r>
    </w:p>
    <w:p>
      <w:pPr>
        <w:pStyle w:val="29"/>
        <w:ind w:firstLine="1590" w:firstLineChars="495"/>
        <w:rPr>
          <w:rFonts w:hint="eastAsia" w:hAnsi="宋体"/>
          <w:b/>
          <w:color w:val="auto"/>
          <w:sz w:val="32"/>
          <w:szCs w:val="32"/>
          <w:highlight w:val="none"/>
          <w:u w:val="single"/>
        </w:rPr>
      </w:pPr>
      <w:r>
        <w:rPr>
          <w:rFonts w:hint="eastAsia" w:hAnsi="宋体"/>
          <w:b/>
          <w:color w:val="auto"/>
          <w:sz w:val="32"/>
          <w:szCs w:val="32"/>
          <w:highlight w:val="none"/>
        </w:rPr>
        <w:t>合同编号：</w:t>
      </w:r>
      <w:r>
        <w:rPr>
          <w:rFonts w:hint="eastAsia" w:hAnsi="宋体"/>
          <w:b/>
          <w:color w:val="auto"/>
          <w:sz w:val="32"/>
          <w:szCs w:val="32"/>
          <w:highlight w:val="none"/>
          <w:u w:val="single"/>
        </w:rPr>
        <w:t xml:space="preserve">                            </w:t>
      </w:r>
    </w:p>
    <w:p>
      <w:pPr>
        <w:pStyle w:val="29"/>
        <w:jc w:val="center"/>
        <w:rPr>
          <w:rFonts w:hint="eastAsia" w:hAnsi="宋体"/>
          <w:color w:val="auto"/>
          <w:highlight w:val="none"/>
        </w:rPr>
      </w:pPr>
    </w:p>
    <w:p>
      <w:pPr>
        <w:pStyle w:val="29"/>
        <w:spacing w:after="156" w:afterLines="50" w:line="340" w:lineRule="exact"/>
        <w:ind w:firstLine="1590" w:firstLineChars="495"/>
        <w:rPr>
          <w:rFonts w:hint="eastAsia" w:hAnsi="宋体"/>
          <w:b/>
          <w:color w:val="auto"/>
          <w:sz w:val="32"/>
          <w:szCs w:val="32"/>
          <w:highlight w:val="none"/>
          <w:u w:val="single"/>
        </w:rPr>
      </w:pPr>
      <w:r>
        <w:rPr>
          <w:rFonts w:hint="eastAsia" w:hAnsi="宋体"/>
          <w:b/>
          <w:color w:val="auto"/>
          <w:sz w:val="32"/>
          <w:szCs w:val="32"/>
          <w:highlight w:val="none"/>
        </w:rPr>
        <w:t>采购单位（甲方）</w:t>
      </w:r>
      <w:r>
        <w:rPr>
          <w:rFonts w:hint="eastAsia" w:hAnsi="宋体"/>
          <w:b/>
          <w:color w:val="auto"/>
          <w:sz w:val="32"/>
          <w:szCs w:val="32"/>
          <w:highlight w:val="none"/>
          <w:u w:val="single"/>
        </w:rPr>
        <w:t xml:space="preserve">                      </w:t>
      </w:r>
    </w:p>
    <w:p>
      <w:pPr>
        <w:pStyle w:val="29"/>
        <w:spacing w:line="340" w:lineRule="exact"/>
        <w:ind w:firstLine="1590" w:firstLineChars="495"/>
        <w:rPr>
          <w:rFonts w:hint="eastAsia" w:hAnsi="宋体"/>
          <w:b/>
          <w:color w:val="auto"/>
          <w:sz w:val="32"/>
          <w:szCs w:val="32"/>
          <w:highlight w:val="none"/>
          <w:u w:val="single"/>
        </w:rPr>
      </w:pPr>
      <w:r>
        <w:rPr>
          <w:rFonts w:hint="eastAsia" w:hAnsi="宋体"/>
          <w:b/>
          <w:color w:val="auto"/>
          <w:sz w:val="32"/>
          <w:szCs w:val="32"/>
          <w:highlight w:val="none"/>
        </w:rPr>
        <w:t>住   所：</w:t>
      </w:r>
      <w:r>
        <w:rPr>
          <w:rFonts w:hint="eastAsia" w:hAnsi="宋体"/>
          <w:b/>
          <w:color w:val="auto"/>
          <w:sz w:val="32"/>
          <w:szCs w:val="32"/>
          <w:highlight w:val="none"/>
          <w:u w:val="single"/>
        </w:rPr>
        <w:t xml:space="preserve">                            </w:t>
      </w:r>
    </w:p>
    <w:p>
      <w:pPr>
        <w:pStyle w:val="29"/>
        <w:spacing w:line="340" w:lineRule="exact"/>
        <w:ind w:firstLine="1590" w:firstLineChars="495"/>
        <w:rPr>
          <w:rFonts w:hint="eastAsia" w:hAnsi="宋体"/>
          <w:b/>
          <w:color w:val="auto"/>
          <w:sz w:val="32"/>
          <w:szCs w:val="32"/>
          <w:highlight w:val="none"/>
        </w:rPr>
      </w:pPr>
    </w:p>
    <w:p>
      <w:pPr>
        <w:pStyle w:val="29"/>
        <w:spacing w:after="156" w:afterLines="50" w:line="340" w:lineRule="exact"/>
        <w:ind w:firstLine="1590" w:firstLineChars="495"/>
        <w:rPr>
          <w:rFonts w:hint="eastAsia" w:hAnsi="宋体"/>
          <w:b/>
          <w:color w:val="auto"/>
          <w:sz w:val="32"/>
          <w:szCs w:val="32"/>
          <w:highlight w:val="none"/>
          <w:u w:val="single"/>
        </w:rPr>
      </w:pPr>
      <w:r>
        <w:rPr>
          <w:rFonts w:hint="eastAsia" w:hAnsi="宋体"/>
          <w:b/>
          <w:color w:val="auto"/>
          <w:sz w:val="32"/>
          <w:szCs w:val="32"/>
          <w:highlight w:val="none"/>
        </w:rPr>
        <w:t>供 应 商（乙方）</w:t>
      </w:r>
      <w:r>
        <w:rPr>
          <w:rFonts w:hint="eastAsia" w:hAnsi="宋体"/>
          <w:b/>
          <w:color w:val="auto"/>
          <w:sz w:val="32"/>
          <w:szCs w:val="32"/>
          <w:highlight w:val="none"/>
          <w:u w:val="single"/>
        </w:rPr>
        <w:t xml:space="preserve">                      </w:t>
      </w:r>
    </w:p>
    <w:p>
      <w:pPr>
        <w:pStyle w:val="29"/>
        <w:spacing w:line="340" w:lineRule="exact"/>
        <w:ind w:firstLine="1590" w:firstLineChars="495"/>
        <w:rPr>
          <w:rFonts w:hint="eastAsia" w:hAnsi="宋体"/>
          <w:b/>
          <w:color w:val="auto"/>
          <w:sz w:val="32"/>
          <w:szCs w:val="32"/>
          <w:highlight w:val="none"/>
          <w:u w:val="single"/>
        </w:rPr>
      </w:pPr>
      <w:r>
        <w:rPr>
          <w:rFonts w:hint="eastAsia" w:hAnsi="宋体"/>
          <w:b/>
          <w:color w:val="auto"/>
          <w:sz w:val="32"/>
          <w:szCs w:val="32"/>
          <w:highlight w:val="none"/>
        </w:rPr>
        <w:t>住   所：</w:t>
      </w:r>
      <w:r>
        <w:rPr>
          <w:rFonts w:hint="eastAsia" w:hAnsi="宋体"/>
          <w:b/>
          <w:color w:val="auto"/>
          <w:sz w:val="32"/>
          <w:szCs w:val="32"/>
          <w:highlight w:val="none"/>
          <w:u w:val="single"/>
        </w:rPr>
        <w:t xml:space="preserve">                            </w:t>
      </w:r>
    </w:p>
    <w:p>
      <w:pPr>
        <w:pStyle w:val="29"/>
        <w:jc w:val="center"/>
        <w:rPr>
          <w:rFonts w:hint="eastAsia" w:hAnsi="宋体"/>
          <w:color w:val="auto"/>
          <w:highlight w:val="none"/>
        </w:rPr>
      </w:pPr>
    </w:p>
    <w:p>
      <w:pPr>
        <w:pStyle w:val="29"/>
        <w:ind w:firstLine="1590" w:firstLineChars="495"/>
        <w:rPr>
          <w:rFonts w:hint="eastAsia" w:hAnsi="宋体"/>
          <w:b/>
          <w:color w:val="auto"/>
          <w:sz w:val="32"/>
          <w:szCs w:val="32"/>
          <w:highlight w:val="none"/>
          <w:u w:val="single"/>
        </w:rPr>
      </w:pPr>
      <w:r>
        <w:rPr>
          <w:rFonts w:hint="eastAsia" w:hAnsi="宋体"/>
          <w:b/>
          <w:color w:val="auto"/>
          <w:sz w:val="32"/>
          <w:szCs w:val="32"/>
          <w:highlight w:val="none"/>
        </w:rPr>
        <w:t>签订合同地点：</w:t>
      </w:r>
      <w:r>
        <w:rPr>
          <w:rFonts w:hint="eastAsia" w:hAnsi="宋体"/>
          <w:b/>
          <w:color w:val="auto"/>
          <w:sz w:val="32"/>
          <w:szCs w:val="32"/>
          <w:highlight w:val="none"/>
          <w:u w:val="single"/>
        </w:rPr>
        <w:t xml:space="preserve">                       </w:t>
      </w:r>
    </w:p>
    <w:p>
      <w:pPr>
        <w:pStyle w:val="29"/>
        <w:ind w:firstLine="1590" w:firstLineChars="495"/>
        <w:rPr>
          <w:rFonts w:hint="eastAsia" w:hAnsi="宋体"/>
          <w:b/>
          <w:color w:val="auto"/>
          <w:sz w:val="32"/>
          <w:szCs w:val="32"/>
          <w:highlight w:val="none"/>
        </w:rPr>
      </w:pPr>
      <w:r>
        <w:rPr>
          <w:rFonts w:hint="eastAsia" w:hAnsi="宋体"/>
          <w:b/>
          <w:color w:val="auto"/>
          <w:sz w:val="32"/>
          <w:szCs w:val="32"/>
          <w:highlight w:val="none"/>
        </w:rPr>
        <w:t>签订合同时间：</w:t>
      </w:r>
      <w:r>
        <w:rPr>
          <w:rFonts w:hint="eastAsia" w:hAnsi="宋体"/>
          <w:b/>
          <w:color w:val="auto"/>
          <w:sz w:val="32"/>
          <w:szCs w:val="32"/>
          <w:highlight w:val="none"/>
          <w:u w:val="single"/>
        </w:rPr>
        <w:t xml:space="preserve">                       </w:t>
      </w:r>
    </w:p>
    <w:p>
      <w:pPr>
        <w:pStyle w:val="29"/>
        <w:jc w:val="center"/>
        <w:rPr>
          <w:rFonts w:hint="eastAsia" w:hAnsi="宋体"/>
          <w:color w:val="auto"/>
          <w:highlight w:val="none"/>
        </w:rPr>
      </w:pPr>
    </w:p>
    <w:p>
      <w:pPr>
        <w:pStyle w:val="29"/>
        <w:jc w:val="center"/>
        <w:rPr>
          <w:rFonts w:hint="eastAsia" w:hAnsi="宋体"/>
          <w:color w:val="auto"/>
          <w:highlight w:val="none"/>
        </w:rPr>
      </w:pPr>
    </w:p>
    <w:p>
      <w:pPr>
        <w:pStyle w:val="29"/>
        <w:jc w:val="center"/>
        <w:rPr>
          <w:color w:val="auto"/>
          <w:highlight w:val="none"/>
        </w:rPr>
      </w:pPr>
    </w:p>
    <w:p>
      <w:pPr>
        <w:pStyle w:val="29"/>
        <w:jc w:val="center"/>
        <w:rPr>
          <w:rFonts w:hint="eastAsia" w:hAnsi="宋体"/>
          <w:color w:val="auto"/>
          <w:highlight w:val="none"/>
        </w:rPr>
      </w:pPr>
    </w:p>
    <w:p>
      <w:pPr>
        <w:pStyle w:val="29"/>
        <w:spacing w:line="420" w:lineRule="exact"/>
        <w:jc w:val="center"/>
        <w:rPr>
          <w:rFonts w:hint="eastAsia" w:hAnsi="宋体"/>
          <w:color w:val="auto"/>
          <w:highlight w:val="none"/>
        </w:rPr>
      </w:pPr>
      <w:r>
        <w:rPr>
          <w:rFonts w:hint="eastAsia" w:hAnsi="宋体"/>
          <w:color w:val="auto"/>
          <w:highlight w:val="none"/>
        </w:rPr>
        <w:t>合同使用说明：根据《中华人民共和国政府采购法》、《中华人民共和国民法典》等法律、法规规定，</w:t>
      </w:r>
    </w:p>
    <w:p>
      <w:pPr>
        <w:pStyle w:val="29"/>
        <w:snapToGrid w:val="0"/>
        <w:spacing w:before="120" w:after="120"/>
        <w:jc w:val="center"/>
        <w:outlineLvl w:val="0"/>
        <w:rPr>
          <w:rFonts w:hint="eastAsia" w:hAnsi="宋体"/>
          <w:color w:val="auto"/>
          <w:highlight w:val="none"/>
        </w:rPr>
      </w:pPr>
      <w:r>
        <w:rPr>
          <w:rFonts w:hint="eastAsia" w:hAnsi="宋体"/>
          <w:color w:val="auto"/>
          <w:highlight w:val="none"/>
        </w:rPr>
        <w:t xml:space="preserve">        按照招标文件规定条款和中标供应商投标文件及其承诺，甲乙双方签订本合同。</w:t>
      </w:r>
    </w:p>
    <w:p>
      <w:pPr>
        <w:pStyle w:val="29"/>
        <w:snapToGrid w:val="0"/>
        <w:spacing w:before="120" w:after="120"/>
        <w:jc w:val="center"/>
        <w:outlineLvl w:val="0"/>
        <w:rPr>
          <w:rFonts w:hint="eastAsia" w:hAnsi="宋体"/>
          <w:color w:val="auto"/>
          <w:highlight w:val="none"/>
        </w:rPr>
      </w:pPr>
    </w:p>
    <w:p>
      <w:pPr>
        <w:spacing w:line="300" w:lineRule="auto"/>
        <w:ind w:left="420" w:hanging="420"/>
        <w:jc w:val="center"/>
        <w:rPr>
          <w:rFonts w:ascii="黑体" w:eastAsia="黑体"/>
          <w:b/>
          <w:bCs/>
          <w:color w:val="auto"/>
          <w:sz w:val="44"/>
          <w:szCs w:val="44"/>
          <w:highlight w:val="none"/>
        </w:rPr>
      </w:pPr>
      <w:r>
        <w:rPr>
          <w:rFonts w:hint="eastAsia" w:ascii="黑体" w:eastAsia="黑体"/>
          <w:b/>
          <w:color w:val="auto"/>
          <w:sz w:val="44"/>
          <w:szCs w:val="44"/>
          <w:highlight w:val="none"/>
        </w:rPr>
        <w:t>采购</w:t>
      </w:r>
      <w:r>
        <w:rPr>
          <w:rFonts w:hint="eastAsia" w:ascii="黑体" w:eastAsia="黑体"/>
          <w:b/>
          <w:bCs/>
          <w:color w:val="auto"/>
          <w:sz w:val="44"/>
          <w:szCs w:val="44"/>
          <w:highlight w:val="none"/>
        </w:rPr>
        <w:t>合同文本</w:t>
      </w:r>
    </w:p>
    <w:p>
      <w:pPr>
        <w:snapToGrid w:val="0"/>
        <w:spacing w:line="300" w:lineRule="exact"/>
        <w:jc w:val="center"/>
        <w:rPr>
          <w:rFonts w:ascii="宋体"/>
          <w:b/>
          <w:bCs/>
          <w:color w:val="auto"/>
          <w:szCs w:val="21"/>
          <w:highlight w:val="none"/>
        </w:rPr>
      </w:pPr>
      <w:r>
        <w:rPr>
          <w:rFonts w:hint="eastAsia" w:ascii="宋体"/>
          <w:b/>
          <w:bCs/>
          <w:color w:val="auto"/>
          <w:szCs w:val="21"/>
          <w:highlight w:val="none"/>
        </w:rPr>
        <w:t>广西壮族自治区政府采购合同</w:t>
      </w:r>
    </w:p>
    <w:p>
      <w:pPr>
        <w:snapToGrid w:val="0"/>
        <w:spacing w:line="300" w:lineRule="exact"/>
        <w:ind w:right="480" w:firstLine="5985" w:firstLineChars="2850"/>
        <w:rPr>
          <w:rFonts w:ascii="宋体"/>
          <w:bCs/>
          <w:color w:val="auto"/>
          <w:szCs w:val="21"/>
          <w:highlight w:val="none"/>
          <w:u w:val="single"/>
        </w:rPr>
      </w:pPr>
      <w:r>
        <w:rPr>
          <w:rFonts w:hint="eastAsia" w:ascii="宋体"/>
          <w:bCs/>
          <w:color w:val="auto"/>
          <w:szCs w:val="21"/>
          <w:highlight w:val="none"/>
        </w:rPr>
        <w:t>合同编号：</w:t>
      </w:r>
    </w:p>
    <w:p>
      <w:pPr>
        <w:snapToGrid w:val="0"/>
        <w:spacing w:line="360" w:lineRule="exact"/>
        <w:rPr>
          <w:rFonts w:ascii="宋体"/>
          <w:color w:val="auto"/>
          <w:szCs w:val="21"/>
          <w:highlight w:val="none"/>
        </w:rPr>
      </w:pPr>
    </w:p>
    <w:p>
      <w:pPr>
        <w:snapToGrid w:val="0"/>
        <w:spacing w:line="360" w:lineRule="exact"/>
        <w:rPr>
          <w:rFonts w:ascii="宋体"/>
          <w:color w:val="auto"/>
          <w:szCs w:val="21"/>
          <w:highlight w:val="none"/>
          <w:u w:val="single"/>
        </w:rPr>
      </w:pPr>
      <w:r>
        <w:rPr>
          <w:rFonts w:hint="eastAsia" w:ascii="宋体"/>
          <w:color w:val="auto"/>
          <w:szCs w:val="21"/>
          <w:highlight w:val="none"/>
        </w:rPr>
        <w:t>采购单位（甲方）</w:t>
      </w:r>
      <w:r>
        <w:rPr>
          <w:rFonts w:hint="eastAsia" w:ascii="宋体"/>
          <w:color w:val="auto"/>
          <w:szCs w:val="21"/>
          <w:highlight w:val="none"/>
          <w:u w:val="single"/>
        </w:rPr>
        <w:t xml:space="preserve">                          </w:t>
      </w:r>
      <w:r>
        <w:rPr>
          <w:rFonts w:hint="eastAsia" w:ascii="宋体"/>
          <w:color w:val="auto"/>
          <w:szCs w:val="21"/>
          <w:highlight w:val="none"/>
        </w:rPr>
        <w:t xml:space="preserve">  </w:t>
      </w:r>
      <w:r>
        <w:rPr>
          <w:rFonts w:hint="eastAsia" w:ascii="宋体"/>
          <w:color w:val="auto"/>
          <w:spacing w:val="-20"/>
          <w:szCs w:val="21"/>
          <w:highlight w:val="none"/>
        </w:rPr>
        <w:t>采 购 计 划 号</w:t>
      </w:r>
      <w:r>
        <w:rPr>
          <w:rFonts w:hint="eastAsia" w:ascii="宋体"/>
          <w:color w:val="auto"/>
          <w:szCs w:val="21"/>
          <w:highlight w:val="none"/>
          <w:u w:val="single"/>
        </w:rPr>
        <w:t xml:space="preserve">                              </w:t>
      </w:r>
    </w:p>
    <w:p>
      <w:pPr>
        <w:snapToGrid w:val="0"/>
        <w:spacing w:line="360" w:lineRule="exact"/>
        <w:rPr>
          <w:rFonts w:ascii="宋体"/>
          <w:color w:val="auto"/>
          <w:szCs w:val="21"/>
          <w:highlight w:val="none"/>
        </w:rPr>
      </w:pPr>
    </w:p>
    <w:p>
      <w:pPr>
        <w:snapToGrid w:val="0"/>
        <w:spacing w:line="360" w:lineRule="exact"/>
        <w:rPr>
          <w:rFonts w:ascii="宋体"/>
          <w:color w:val="auto"/>
          <w:szCs w:val="21"/>
          <w:highlight w:val="none"/>
          <w:u w:val="single"/>
        </w:rPr>
      </w:pPr>
      <w:r>
        <w:rPr>
          <w:rFonts w:hint="eastAsia" w:ascii="宋体"/>
          <w:color w:val="auto"/>
          <w:szCs w:val="21"/>
          <w:highlight w:val="none"/>
        </w:rPr>
        <w:t>供 应 商（乙方）</w:t>
      </w:r>
      <w:r>
        <w:rPr>
          <w:rFonts w:hint="eastAsia" w:ascii="宋体"/>
          <w:color w:val="auto"/>
          <w:szCs w:val="21"/>
          <w:highlight w:val="none"/>
          <w:u w:val="single"/>
        </w:rPr>
        <w:t xml:space="preserve">                          </w:t>
      </w:r>
      <w:r>
        <w:rPr>
          <w:rFonts w:hint="eastAsia" w:ascii="宋体"/>
          <w:color w:val="auto"/>
          <w:szCs w:val="21"/>
          <w:highlight w:val="none"/>
        </w:rPr>
        <w:t xml:space="preserve">  项目名称</w:t>
      </w:r>
      <w:r>
        <w:rPr>
          <w:rFonts w:hint="eastAsia" w:ascii="宋体"/>
          <w:color w:val="auto"/>
          <w:spacing w:val="-20"/>
          <w:szCs w:val="21"/>
          <w:highlight w:val="none"/>
        </w:rPr>
        <w:t>编号</w:t>
      </w:r>
      <w:r>
        <w:rPr>
          <w:rFonts w:hint="eastAsia" w:ascii="宋体"/>
          <w:color w:val="auto"/>
          <w:szCs w:val="21"/>
          <w:highlight w:val="none"/>
          <w:u w:val="single"/>
        </w:rPr>
        <w:t xml:space="preserve">                             </w:t>
      </w:r>
    </w:p>
    <w:p>
      <w:pPr>
        <w:snapToGrid w:val="0"/>
        <w:spacing w:line="360" w:lineRule="exact"/>
        <w:rPr>
          <w:rFonts w:ascii="宋体"/>
          <w:color w:val="auto"/>
          <w:szCs w:val="21"/>
          <w:highlight w:val="none"/>
          <w:u w:val="single"/>
        </w:rPr>
      </w:pPr>
      <w:r>
        <w:rPr>
          <w:rFonts w:hint="eastAsia" w:ascii="宋体"/>
          <w:color w:val="auto"/>
          <w:szCs w:val="21"/>
          <w:highlight w:val="none"/>
        </w:rPr>
        <w:t xml:space="preserve">签  订  地  点  </w:t>
      </w:r>
      <w:r>
        <w:rPr>
          <w:rFonts w:hint="eastAsia" w:ascii="宋体"/>
          <w:color w:val="auto"/>
          <w:szCs w:val="21"/>
          <w:highlight w:val="none"/>
          <w:u w:val="single"/>
        </w:rPr>
        <w:t xml:space="preserve">                          </w:t>
      </w:r>
      <w:r>
        <w:rPr>
          <w:rFonts w:hint="eastAsia" w:ascii="宋体"/>
          <w:color w:val="auto"/>
          <w:szCs w:val="21"/>
          <w:highlight w:val="none"/>
        </w:rPr>
        <w:t xml:space="preserve">  签 订 时 间</w:t>
      </w:r>
      <w:r>
        <w:rPr>
          <w:rFonts w:hint="eastAsia" w:ascii="宋体"/>
          <w:color w:val="auto"/>
          <w:szCs w:val="21"/>
          <w:highlight w:val="none"/>
          <w:u w:val="single"/>
        </w:rPr>
        <w:t xml:space="preserve">                              </w:t>
      </w:r>
    </w:p>
    <w:p>
      <w:pPr>
        <w:snapToGrid w:val="0"/>
        <w:spacing w:line="360" w:lineRule="exact"/>
        <w:ind w:firstLine="420" w:firstLineChars="200"/>
        <w:rPr>
          <w:rFonts w:ascii="宋体"/>
          <w:color w:val="auto"/>
          <w:szCs w:val="21"/>
          <w:highlight w:val="none"/>
        </w:rPr>
      </w:pPr>
    </w:p>
    <w:p>
      <w:pPr>
        <w:pStyle w:val="29"/>
        <w:spacing w:line="360" w:lineRule="exact"/>
        <w:ind w:firstLine="420" w:firstLineChars="200"/>
        <w:rPr>
          <w:color w:val="auto"/>
          <w:highlight w:val="none"/>
        </w:rPr>
      </w:pPr>
      <w:r>
        <w:rPr>
          <w:rFonts w:hint="eastAsia"/>
          <w:color w:val="auto"/>
          <w:highlight w:val="none"/>
        </w:rPr>
        <w:t>根据《中华人民共和国政府采购法》、《中华人民共和国民法典》等法律、法规规定，按照招标文件规定条款和中标供应商投标文件及其承诺，甲乙双方签订本合同。</w:t>
      </w:r>
    </w:p>
    <w:p>
      <w:pPr>
        <w:snapToGrid w:val="0"/>
        <w:spacing w:line="360" w:lineRule="exact"/>
        <w:ind w:firstLine="421" w:firstLineChars="200"/>
        <w:rPr>
          <w:rFonts w:ascii="宋体"/>
          <w:b/>
          <w:color w:val="auto"/>
          <w:szCs w:val="21"/>
          <w:highlight w:val="none"/>
        </w:rPr>
      </w:pPr>
      <w:r>
        <w:rPr>
          <w:rFonts w:hint="eastAsia" w:ascii="宋体"/>
          <w:b/>
          <w:color w:val="auto"/>
          <w:szCs w:val="21"/>
          <w:highlight w:val="none"/>
        </w:rPr>
        <w:t>第一条　合同标的</w:t>
      </w:r>
    </w:p>
    <w:p>
      <w:pPr>
        <w:snapToGrid w:val="0"/>
        <w:spacing w:line="360" w:lineRule="exact"/>
        <w:ind w:firstLine="420" w:firstLineChars="200"/>
        <w:rPr>
          <w:rFonts w:ascii="宋体"/>
          <w:color w:val="auto"/>
          <w:szCs w:val="21"/>
          <w:highlight w:val="none"/>
        </w:rPr>
      </w:pPr>
      <w:r>
        <w:rPr>
          <w:rFonts w:hint="eastAsia" w:ascii="宋体"/>
          <w:color w:val="auto"/>
          <w:szCs w:val="21"/>
          <w:highlight w:val="none"/>
        </w:rPr>
        <w:t>1、供货一览表</w:t>
      </w:r>
    </w:p>
    <w:tbl>
      <w:tblPr>
        <w:tblStyle w:val="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6"/>
        <w:gridCol w:w="1304"/>
        <w:gridCol w:w="1081"/>
        <w:gridCol w:w="1194"/>
        <w:gridCol w:w="1193"/>
        <w:gridCol w:w="672"/>
        <w:gridCol w:w="1080"/>
        <w:gridCol w:w="1080"/>
        <w:gridCol w:w="14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496" w:type="dxa"/>
            <w:tcBorders>
              <w:top w:val="single" w:color="auto" w:sz="4" w:space="0"/>
              <w:left w:val="single" w:color="auto" w:sz="4" w:space="0"/>
              <w:bottom w:val="single" w:color="auto" w:sz="4" w:space="0"/>
              <w:right w:val="single" w:color="auto" w:sz="4" w:space="0"/>
            </w:tcBorders>
            <w:vAlign w:val="center"/>
          </w:tcPr>
          <w:p>
            <w:pPr>
              <w:snapToGrid w:val="0"/>
              <w:spacing w:line="240" w:lineRule="auto"/>
              <w:jc w:val="center"/>
              <w:rPr>
                <w:rFonts w:ascii="宋体"/>
                <w:color w:val="auto"/>
                <w:szCs w:val="21"/>
                <w:highlight w:val="none"/>
              </w:rPr>
            </w:pPr>
            <w:r>
              <w:rPr>
                <w:rFonts w:hint="eastAsia" w:ascii="宋体"/>
                <w:color w:val="auto"/>
                <w:szCs w:val="21"/>
                <w:highlight w:val="none"/>
              </w:rPr>
              <w:t>序号</w:t>
            </w:r>
          </w:p>
        </w:tc>
        <w:tc>
          <w:tcPr>
            <w:tcW w:w="1304" w:type="dxa"/>
            <w:tcBorders>
              <w:top w:val="single" w:color="auto" w:sz="4" w:space="0"/>
              <w:left w:val="single" w:color="auto" w:sz="4" w:space="0"/>
              <w:bottom w:val="single" w:color="auto" w:sz="4" w:space="0"/>
              <w:right w:val="single" w:color="auto" w:sz="4" w:space="0"/>
            </w:tcBorders>
            <w:vAlign w:val="center"/>
          </w:tcPr>
          <w:p>
            <w:pPr>
              <w:snapToGrid w:val="0"/>
              <w:spacing w:line="240" w:lineRule="auto"/>
              <w:jc w:val="center"/>
              <w:rPr>
                <w:rFonts w:ascii="宋体"/>
                <w:color w:val="auto"/>
                <w:szCs w:val="21"/>
                <w:highlight w:val="none"/>
              </w:rPr>
            </w:pPr>
            <w:r>
              <w:rPr>
                <w:rFonts w:hint="eastAsia" w:ascii="宋体"/>
                <w:color w:val="auto"/>
                <w:szCs w:val="21"/>
                <w:highlight w:val="none"/>
              </w:rPr>
              <w:t>产品</w:t>
            </w:r>
          </w:p>
          <w:p>
            <w:pPr>
              <w:snapToGrid w:val="0"/>
              <w:spacing w:line="240" w:lineRule="auto"/>
              <w:jc w:val="center"/>
              <w:rPr>
                <w:rFonts w:ascii="宋体"/>
                <w:color w:val="auto"/>
                <w:szCs w:val="21"/>
                <w:highlight w:val="none"/>
              </w:rPr>
            </w:pPr>
            <w:r>
              <w:rPr>
                <w:rFonts w:hint="eastAsia" w:ascii="宋体"/>
                <w:color w:val="auto"/>
                <w:szCs w:val="21"/>
                <w:highlight w:val="none"/>
              </w:rPr>
              <w:t>名称</w:t>
            </w:r>
          </w:p>
        </w:tc>
        <w:tc>
          <w:tcPr>
            <w:tcW w:w="1081" w:type="dxa"/>
            <w:tcBorders>
              <w:top w:val="single" w:color="auto" w:sz="4" w:space="0"/>
              <w:left w:val="single" w:color="auto" w:sz="4" w:space="0"/>
              <w:bottom w:val="single" w:color="auto" w:sz="4" w:space="0"/>
              <w:right w:val="single" w:color="auto" w:sz="4" w:space="0"/>
            </w:tcBorders>
            <w:vAlign w:val="center"/>
          </w:tcPr>
          <w:p>
            <w:pPr>
              <w:snapToGrid w:val="0"/>
              <w:spacing w:line="240" w:lineRule="auto"/>
              <w:jc w:val="center"/>
              <w:rPr>
                <w:rFonts w:ascii="宋体"/>
                <w:color w:val="auto"/>
                <w:szCs w:val="21"/>
                <w:highlight w:val="none"/>
              </w:rPr>
            </w:pPr>
            <w:r>
              <w:rPr>
                <w:rFonts w:hint="eastAsia" w:ascii="宋体"/>
                <w:color w:val="auto"/>
                <w:szCs w:val="21"/>
                <w:highlight w:val="none"/>
              </w:rPr>
              <w:t>商标</w:t>
            </w:r>
          </w:p>
          <w:p>
            <w:pPr>
              <w:snapToGrid w:val="0"/>
              <w:spacing w:line="240" w:lineRule="auto"/>
              <w:jc w:val="center"/>
              <w:rPr>
                <w:rFonts w:ascii="宋体"/>
                <w:color w:val="auto"/>
                <w:szCs w:val="21"/>
                <w:highlight w:val="none"/>
              </w:rPr>
            </w:pPr>
            <w:r>
              <w:rPr>
                <w:rFonts w:hint="eastAsia" w:ascii="宋体"/>
                <w:color w:val="auto"/>
                <w:szCs w:val="21"/>
                <w:highlight w:val="none"/>
              </w:rPr>
              <w:t>品牌</w:t>
            </w:r>
          </w:p>
        </w:tc>
        <w:tc>
          <w:tcPr>
            <w:tcW w:w="1194" w:type="dxa"/>
            <w:tcBorders>
              <w:top w:val="single" w:color="auto" w:sz="4" w:space="0"/>
              <w:left w:val="single" w:color="auto" w:sz="4" w:space="0"/>
              <w:bottom w:val="single" w:color="auto" w:sz="4" w:space="0"/>
              <w:right w:val="single" w:color="auto" w:sz="4" w:space="0"/>
            </w:tcBorders>
            <w:vAlign w:val="center"/>
          </w:tcPr>
          <w:p>
            <w:pPr>
              <w:snapToGrid w:val="0"/>
              <w:spacing w:line="240" w:lineRule="auto"/>
              <w:jc w:val="center"/>
              <w:rPr>
                <w:rFonts w:ascii="宋体"/>
                <w:color w:val="auto"/>
                <w:szCs w:val="21"/>
                <w:highlight w:val="none"/>
              </w:rPr>
            </w:pPr>
            <w:r>
              <w:rPr>
                <w:rFonts w:hint="eastAsia" w:ascii="宋体"/>
                <w:color w:val="auto"/>
                <w:szCs w:val="21"/>
                <w:highlight w:val="none"/>
              </w:rPr>
              <w:t>规格</w:t>
            </w:r>
          </w:p>
          <w:p>
            <w:pPr>
              <w:snapToGrid w:val="0"/>
              <w:spacing w:line="240" w:lineRule="auto"/>
              <w:jc w:val="center"/>
              <w:rPr>
                <w:rFonts w:ascii="宋体"/>
                <w:color w:val="auto"/>
                <w:szCs w:val="21"/>
                <w:highlight w:val="none"/>
              </w:rPr>
            </w:pPr>
            <w:r>
              <w:rPr>
                <w:rFonts w:hint="eastAsia" w:ascii="宋体"/>
                <w:color w:val="auto"/>
                <w:szCs w:val="21"/>
                <w:highlight w:val="none"/>
              </w:rPr>
              <w:t>型号</w:t>
            </w:r>
          </w:p>
        </w:tc>
        <w:tc>
          <w:tcPr>
            <w:tcW w:w="1193" w:type="dxa"/>
            <w:tcBorders>
              <w:top w:val="single" w:color="auto" w:sz="4" w:space="0"/>
              <w:left w:val="single" w:color="auto" w:sz="4" w:space="0"/>
              <w:bottom w:val="single" w:color="auto" w:sz="4" w:space="0"/>
              <w:right w:val="single" w:color="auto" w:sz="4" w:space="0"/>
            </w:tcBorders>
            <w:vAlign w:val="center"/>
          </w:tcPr>
          <w:p>
            <w:pPr>
              <w:snapToGrid w:val="0"/>
              <w:spacing w:line="240" w:lineRule="auto"/>
              <w:jc w:val="center"/>
              <w:rPr>
                <w:rFonts w:ascii="宋体"/>
                <w:color w:val="auto"/>
                <w:szCs w:val="21"/>
                <w:highlight w:val="none"/>
              </w:rPr>
            </w:pPr>
            <w:r>
              <w:rPr>
                <w:rFonts w:hint="eastAsia" w:ascii="宋体"/>
                <w:color w:val="auto"/>
                <w:szCs w:val="21"/>
                <w:highlight w:val="none"/>
              </w:rPr>
              <w:t>生产</w:t>
            </w:r>
          </w:p>
          <w:p>
            <w:pPr>
              <w:snapToGrid w:val="0"/>
              <w:spacing w:line="240" w:lineRule="auto"/>
              <w:jc w:val="center"/>
              <w:rPr>
                <w:rFonts w:ascii="宋体"/>
                <w:color w:val="auto"/>
                <w:szCs w:val="21"/>
                <w:highlight w:val="none"/>
              </w:rPr>
            </w:pPr>
            <w:r>
              <w:rPr>
                <w:rFonts w:hint="eastAsia" w:ascii="宋体"/>
                <w:color w:val="auto"/>
                <w:szCs w:val="21"/>
                <w:highlight w:val="none"/>
              </w:rPr>
              <w:t>厂家</w:t>
            </w:r>
          </w:p>
        </w:tc>
        <w:tc>
          <w:tcPr>
            <w:tcW w:w="672" w:type="dxa"/>
            <w:tcBorders>
              <w:top w:val="single" w:color="auto" w:sz="4" w:space="0"/>
              <w:left w:val="single" w:color="auto" w:sz="4" w:space="0"/>
              <w:bottom w:val="single" w:color="auto" w:sz="4" w:space="0"/>
              <w:right w:val="single" w:color="auto" w:sz="4" w:space="0"/>
            </w:tcBorders>
            <w:vAlign w:val="center"/>
          </w:tcPr>
          <w:p>
            <w:pPr>
              <w:snapToGrid w:val="0"/>
              <w:spacing w:line="240" w:lineRule="auto"/>
              <w:jc w:val="center"/>
              <w:rPr>
                <w:rFonts w:ascii="宋体"/>
                <w:color w:val="auto"/>
                <w:szCs w:val="21"/>
                <w:highlight w:val="none"/>
              </w:rPr>
            </w:pPr>
            <w:r>
              <w:rPr>
                <w:rFonts w:hint="eastAsia" w:ascii="宋体"/>
                <w:color w:val="auto"/>
                <w:szCs w:val="21"/>
                <w:highlight w:val="none"/>
              </w:rPr>
              <w:t>数  量</w:t>
            </w:r>
          </w:p>
        </w:tc>
        <w:tc>
          <w:tcPr>
            <w:tcW w:w="1080" w:type="dxa"/>
            <w:tcBorders>
              <w:top w:val="single" w:color="auto" w:sz="4" w:space="0"/>
              <w:left w:val="single" w:color="auto" w:sz="4" w:space="0"/>
              <w:bottom w:val="single" w:color="auto" w:sz="4" w:space="0"/>
              <w:right w:val="single" w:color="auto" w:sz="4" w:space="0"/>
            </w:tcBorders>
            <w:vAlign w:val="center"/>
          </w:tcPr>
          <w:p>
            <w:pPr>
              <w:snapToGrid w:val="0"/>
              <w:spacing w:line="240" w:lineRule="auto"/>
              <w:jc w:val="center"/>
              <w:rPr>
                <w:rFonts w:ascii="宋体"/>
                <w:color w:val="auto"/>
                <w:szCs w:val="21"/>
                <w:highlight w:val="none"/>
              </w:rPr>
            </w:pPr>
            <w:r>
              <w:rPr>
                <w:rFonts w:hint="eastAsia" w:ascii="宋体"/>
                <w:color w:val="auto"/>
                <w:szCs w:val="21"/>
                <w:highlight w:val="none"/>
              </w:rPr>
              <w:t>单位</w:t>
            </w:r>
          </w:p>
        </w:tc>
        <w:tc>
          <w:tcPr>
            <w:tcW w:w="1080" w:type="dxa"/>
            <w:tcBorders>
              <w:top w:val="single" w:color="auto" w:sz="4" w:space="0"/>
              <w:left w:val="single" w:color="auto" w:sz="4" w:space="0"/>
              <w:bottom w:val="single" w:color="auto" w:sz="4" w:space="0"/>
              <w:right w:val="single" w:color="auto" w:sz="4" w:space="0"/>
            </w:tcBorders>
            <w:vAlign w:val="center"/>
          </w:tcPr>
          <w:p>
            <w:pPr>
              <w:snapToGrid w:val="0"/>
              <w:spacing w:line="240" w:lineRule="auto"/>
              <w:jc w:val="center"/>
              <w:rPr>
                <w:rFonts w:ascii="宋体"/>
                <w:color w:val="auto"/>
                <w:szCs w:val="21"/>
                <w:highlight w:val="none"/>
              </w:rPr>
            </w:pPr>
            <w:r>
              <w:rPr>
                <w:rFonts w:hint="eastAsia" w:ascii="宋体"/>
                <w:color w:val="auto"/>
                <w:szCs w:val="21"/>
                <w:highlight w:val="none"/>
              </w:rPr>
              <w:t>单  价</w:t>
            </w:r>
          </w:p>
          <w:p>
            <w:pPr>
              <w:snapToGrid w:val="0"/>
              <w:spacing w:line="240" w:lineRule="auto"/>
              <w:jc w:val="center"/>
              <w:rPr>
                <w:rFonts w:ascii="宋体"/>
                <w:color w:val="auto"/>
                <w:szCs w:val="21"/>
                <w:highlight w:val="none"/>
              </w:rPr>
            </w:pPr>
            <w:r>
              <w:rPr>
                <w:rFonts w:hint="eastAsia" w:ascii="宋体"/>
                <w:color w:val="auto"/>
                <w:szCs w:val="21"/>
                <w:highlight w:val="none"/>
              </w:rPr>
              <w:t>（元）</w:t>
            </w:r>
          </w:p>
        </w:tc>
        <w:tc>
          <w:tcPr>
            <w:tcW w:w="1440" w:type="dxa"/>
            <w:tcBorders>
              <w:top w:val="single" w:color="auto" w:sz="4" w:space="0"/>
              <w:left w:val="single" w:color="auto" w:sz="4" w:space="0"/>
              <w:bottom w:val="single" w:color="auto" w:sz="4" w:space="0"/>
              <w:right w:val="single" w:color="auto" w:sz="4" w:space="0"/>
            </w:tcBorders>
            <w:vAlign w:val="center"/>
          </w:tcPr>
          <w:p>
            <w:pPr>
              <w:snapToGrid w:val="0"/>
              <w:spacing w:line="240" w:lineRule="auto"/>
              <w:jc w:val="center"/>
              <w:rPr>
                <w:rFonts w:ascii="宋体"/>
                <w:color w:val="auto"/>
                <w:szCs w:val="21"/>
                <w:highlight w:val="none"/>
              </w:rPr>
            </w:pPr>
            <w:r>
              <w:rPr>
                <w:rFonts w:hint="eastAsia" w:ascii="宋体"/>
                <w:color w:val="auto"/>
                <w:szCs w:val="21"/>
                <w:highlight w:val="none"/>
              </w:rPr>
              <w:t>金  额</w:t>
            </w:r>
          </w:p>
          <w:p>
            <w:pPr>
              <w:snapToGrid w:val="0"/>
              <w:spacing w:line="240" w:lineRule="auto"/>
              <w:jc w:val="center"/>
              <w:rPr>
                <w:rFonts w:ascii="宋体"/>
                <w:color w:val="auto"/>
                <w:szCs w:val="21"/>
                <w:highlight w:val="none"/>
              </w:rPr>
            </w:pPr>
            <w:r>
              <w:rPr>
                <w:rFonts w:hint="eastAsia" w:ascii="宋体"/>
                <w:color w:val="auto"/>
                <w:szCs w:val="21"/>
                <w:highlight w:val="none"/>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496"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jc w:val="center"/>
              <w:rPr>
                <w:rFonts w:ascii="宋体"/>
                <w:color w:val="auto"/>
                <w:szCs w:val="21"/>
                <w:highlight w:val="none"/>
              </w:rPr>
            </w:pPr>
          </w:p>
        </w:tc>
        <w:tc>
          <w:tcPr>
            <w:tcW w:w="9044" w:type="dxa"/>
            <w:gridSpan w:val="8"/>
            <w:tcBorders>
              <w:top w:val="single" w:color="auto" w:sz="4" w:space="0"/>
              <w:left w:val="single" w:color="auto" w:sz="4" w:space="0"/>
              <w:bottom w:val="single" w:color="auto" w:sz="4" w:space="0"/>
              <w:right w:val="single" w:color="auto" w:sz="4" w:space="0"/>
            </w:tcBorders>
            <w:vAlign w:val="center"/>
          </w:tcPr>
          <w:p>
            <w:pPr>
              <w:snapToGrid w:val="0"/>
              <w:spacing w:line="360" w:lineRule="exact"/>
              <w:jc w:val="center"/>
              <w:rPr>
                <w:rFonts w:ascii="宋体"/>
                <w:color w:val="auto"/>
                <w:szCs w:val="21"/>
                <w:highlight w:val="none"/>
              </w:rPr>
            </w:pPr>
            <w:r>
              <w:rPr>
                <w:rFonts w:hint="eastAsia" w:ascii="宋体"/>
                <w:color w:val="auto"/>
                <w:szCs w:val="21"/>
                <w:highlight w:val="none"/>
              </w:rPr>
              <w:t>详见投标报价明细表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540" w:type="dxa"/>
            <w:gridSpan w:val="9"/>
            <w:tcBorders>
              <w:top w:val="single" w:color="auto" w:sz="4" w:space="0"/>
              <w:left w:val="single" w:color="auto" w:sz="4" w:space="0"/>
              <w:bottom w:val="single" w:color="auto" w:sz="4" w:space="0"/>
              <w:right w:val="single" w:color="auto" w:sz="4" w:space="0"/>
            </w:tcBorders>
            <w:vAlign w:val="center"/>
          </w:tcPr>
          <w:p>
            <w:pPr>
              <w:snapToGrid w:val="0"/>
              <w:spacing w:line="360" w:lineRule="exact"/>
              <w:rPr>
                <w:rFonts w:ascii="宋体"/>
                <w:color w:val="auto"/>
                <w:szCs w:val="21"/>
                <w:highlight w:val="none"/>
              </w:rPr>
            </w:pPr>
            <w:r>
              <w:rPr>
                <w:rFonts w:hint="eastAsia" w:ascii="宋体"/>
                <w:color w:val="auto"/>
                <w:szCs w:val="21"/>
                <w:highlight w:val="none"/>
              </w:rPr>
              <w:t xml:space="preserve">人民币合计金额（大写）                          （小写）                 </w:t>
            </w:r>
          </w:p>
        </w:tc>
      </w:tr>
    </w:tbl>
    <w:p>
      <w:pPr>
        <w:snapToGrid w:val="0"/>
        <w:spacing w:line="390" w:lineRule="exact"/>
        <w:ind w:firstLine="420" w:firstLineChars="200"/>
        <w:rPr>
          <w:rFonts w:ascii="宋体"/>
          <w:color w:val="auto"/>
          <w:szCs w:val="21"/>
          <w:highlight w:val="none"/>
        </w:rPr>
      </w:pPr>
      <w:r>
        <w:rPr>
          <w:rFonts w:hint="eastAsia" w:ascii="宋体"/>
          <w:color w:val="auto"/>
          <w:szCs w:val="21"/>
          <w:highlight w:val="none"/>
        </w:rPr>
        <w:t>2.合同合计金额包括货物价款，标准附件、备品配件、专用工具、包装、运输、装卸、保险、税金、货物到就位以及安装、调试、检验、技术培训及技术资料、软件费、保修等全部费用。如招投标文件对其另有规定的，从其规定。</w:t>
      </w:r>
    </w:p>
    <w:p>
      <w:pPr>
        <w:snapToGrid w:val="0"/>
        <w:spacing w:line="390" w:lineRule="exact"/>
        <w:ind w:firstLine="421" w:firstLineChars="200"/>
        <w:rPr>
          <w:rFonts w:ascii="宋体"/>
          <w:color w:val="auto"/>
          <w:szCs w:val="21"/>
          <w:highlight w:val="none"/>
        </w:rPr>
      </w:pPr>
      <w:r>
        <w:rPr>
          <w:rFonts w:hint="eastAsia" w:ascii="宋体"/>
          <w:b/>
          <w:color w:val="auto"/>
          <w:szCs w:val="21"/>
          <w:highlight w:val="none"/>
        </w:rPr>
        <w:t>第二条　质量保证</w:t>
      </w:r>
    </w:p>
    <w:p>
      <w:pPr>
        <w:snapToGrid w:val="0"/>
        <w:spacing w:line="390" w:lineRule="exact"/>
        <w:ind w:firstLine="420" w:firstLineChars="200"/>
        <w:rPr>
          <w:rFonts w:ascii="宋体"/>
          <w:color w:val="auto"/>
          <w:szCs w:val="21"/>
          <w:highlight w:val="none"/>
        </w:rPr>
      </w:pPr>
      <w:r>
        <w:rPr>
          <w:rFonts w:hint="eastAsia" w:ascii="宋体"/>
          <w:color w:val="auto"/>
          <w:szCs w:val="21"/>
          <w:highlight w:val="none"/>
        </w:rPr>
        <w:t>1.乙方所提供的货物型号、技术规格、技术参数等质量必须与招投标文件和承诺相一致。乙方提供的节能和环保产品必须是列入政府采购清单的产品。</w:t>
      </w:r>
    </w:p>
    <w:p>
      <w:pPr>
        <w:snapToGrid w:val="0"/>
        <w:spacing w:line="390" w:lineRule="exact"/>
        <w:ind w:firstLine="420" w:firstLineChars="200"/>
        <w:rPr>
          <w:rFonts w:ascii="宋体"/>
          <w:color w:val="auto"/>
          <w:szCs w:val="21"/>
          <w:highlight w:val="none"/>
          <w:u w:val="single"/>
        </w:rPr>
      </w:pPr>
      <w:r>
        <w:rPr>
          <w:rFonts w:hint="eastAsia" w:ascii="宋体"/>
          <w:color w:val="auto"/>
          <w:szCs w:val="21"/>
          <w:highlight w:val="none"/>
        </w:rPr>
        <w:t>2.乙方所提供的货物必须是全新、未使用的原装产品，且在正常安装、使用和保养条件下，其使用寿命期内各项指标均达到质量要求。</w:t>
      </w:r>
    </w:p>
    <w:p>
      <w:pPr>
        <w:snapToGrid w:val="0"/>
        <w:spacing w:line="390" w:lineRule="exact"/>
        <w:ind w:firstLine="421" w:firstLineChars="200"/>
        <w:rPr>
          <w:rFonts w:ascii="宋体"/>
          <w:color w:val="auto"/>
          <w:szCs w:val="21"/>
          <w:highlight w:val="none"/>
        </w:rPr>
      </w:pPr>
      <w:r>
        <w:rPr>
          <w:rFonts w:hint="eastAsia" w:ascii="宋体"/>
          <w:b/>
          <w:color w:val="auto"/>
          <w:szCs w:val="21"/>
          <w:highlight w:val="none"/>
        </w:rPr>
        <w:t>第三条　权利保证</w:t>
      </w:r>
    </w:p>
    <w:p>
      <w:pPr>
        <w:snapToGrid w:val="0"/>
        <w:spacing w:line="390" w:lineRule="exact"/>
        <w:ind w:firstLine="420" w:firstLineChars="200"/>
        <w:rPr>
          <w:rFonts w:ascii="宋体"/>
          <w:color w:val="auto"/>
          <w:szCs w:val="21"/>
          <w:highlight w:val="none"/>
        </w:rPr>
      </w:pPr>
      <w:r>
        <w:rPr>
          <w:rFonts w:hint="eastAsia" w:ascii="宋体"/>
          <w:color w:val="auto"/>
          <w:szCs w:val="21"/>
          <w:highlight w:val="none"/>
        </w:rPr>
        <w:t>乙方应保证所提供货物在使用时不会侵犯任何第三方的专利权、商标权、工业设计权或其他权利。</w:t>
      </w:r>
    </w:p>
    <w:p>
      <w:pPr>
        <w:snapToGrid w:val="0"/>
        <w:spacing w:line="390" w:lineRule="exact"/>
        <w:ind w:firstLine="420" w:firstLineChars="200"/>
        <w:rPr>
          <w:rFonts w:ascii="宋体"/>
          <w:color w:val="auto"/>
          <w:szCs w:val="21"/>
          <w:highlight w:val="none"/>
        </w:rPr>
      </w:pPr>
      <w:r>
        <w:rPr>
          <w:rFonts w:hint="eastAsia" w:ascii="宋体"/>
          <w:color w:val="auto"/>
          <w:szCs w:val="21"/>
          <w:highlight w:val="none"/>
        </w:rPr>
        <w:t>乙方应按招标文件规定的时间向甲方提供使用货物的有关技术资料。</w:t>
      </w:r>
    </w:p>
    <w:p>
      <w:pPr>
        <w:snapToGrid w:val="0"/>
        <w:spacing w:line="390" w:lineRule="exact"/>
        <w:ind w:firstLine="420" w:firstLineChars="200"/>
        <w:rPr>
          <w:rFonts w:ascii="宋体"/>
          <w:color w:val="auto"/>
          <w:szCs w:val="21"/>
          <w:highlight w:val="none"/>
        </w:rPr>
      </w:pPr>
      <w:r>
        <w:rPr>
          <w:rFonts w:hint="eastAsia" w:ascii="宋体"/>
          <w:color w:val="auto"/>
          <w:szCs w:val="21"/>
          <w:highlight w:val="none"/>
        </w:rPr>
        <w:t>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pPr>
        <w:snapToGrid w:val="0"/>
        <w:spacing w:line="390" w:lineRule="exact"/>
        <w:ind w:firstLine="420" w:firstLineChars="200"/>
        <w:rPr>
          <w:rFonts w:ascii="宋体"/>
          <w:color w:val="auto"/>
          <w:szCs w:val="21"/>
          <w:highlight w:val="none"/>
        </w:rPr>
      </w:pPr>
      <w:r>
        <w:rPr>
          <w:rFonts w:hint="eastAsia" w:ascii="宋体"/>
          <w:color w:val="auto"/>
          <w:szCs w:val="21"/>
          <w:highlight w:val="none"/>
        </w:rPr>
        <w:t>乙方保证所交付的货物的所有权完全属于乙方且无任何抵押、质押、查封等产权瑕疵。</w:t>
      </w:r>
    </w:p>
    <w:p>
      <w:pPr>
        <w:snapToGrid w:val="0"/>
        <w:spacing w:line="390" w:lineRule="exact"/>
        <w:ind w:firstLine="421" w:firstLineChars="200"/>
        <w:rPr>
          <w:rFonts w:ascii="宋体"/>
          <w:b/>
          <w:color w:val="auto"/>
          <w:szCs w:val="21"/>
          <w:highlight w:val="none"/>
        </w:rPr>
      </w:pPr>
      <w:r>
        <w:rPr>
          <w:rFonts w:hint="eastAsia" w:ascii="宋体"/>
          <w:b/>
          <w:color w:val="auto"/>
          <w:szCs w:val="21"/>
          <w:highlight w:val="none"/>
        </w:rPr>
        <w:t>第四条　包装和运输</w:t>
      </w:r>
    </w:p>
    <w:p>
      <w:pPr>
        <w:snapToGrid w:val="0"/>
        <w:spacing w:line="390" w:lineRule="exact"/>
        <w:ind w:firstLine="420" w:firstLineChars="200"/>
        <w:rPr>
          <w:rFonts w:ascii="宋体"/>
          <w:color w:val="auto"/>
          <w:szCs w:val="21"/>
          <w:highlight w:val="none"/>
        </w:rPr>
      </w:pPr>
      <w:r>
        <w:rPr>
          <w:rFonts w:hint="eastAsia" w:ascii="宋体"/>
          <w:color w:val="auto"/>
          <w:szCs w:val="21"/>
          <w:highlight w:val="none"/>
        </w:rPr>
        <w:t>1.乙方提供的货物均应按招投标文件要求的包装材料、包装标准、包装方式进行包装，每一包装单元内应附详细的装箱单和质量合格证。</w:t>
      </w:r>
    </w:p>
    <w:p>
      <w:pPr>
        <w:snapToGrid w:val="0"/>
        <w:spacing w:line="390" w:lineRule="exact"/>
        <w:ind w:firstLine="420" w:firstLineChars="200"/>
        <w:rPr>
          <w:rFonts w:ascii="宋体"/>
          <w:color w:val="auto"/>
          <w:szCs w:val="21"/>
          <w:highlight w:val="none"/>
        </w:rPr>
      </w:pPr>
      <w:r>
        <w:rPr>
          <w:rFonts w:hint="eastAsia" w:ascii="宋体"/>
          <w:color w:val="auto"/>
          <w:szCs w:val="21"/>
          <w:highlight w:val="none"/>
        </w:rPr>
        <w:t>2.货物的运输方式：</w:t>
      </w:r>
      <w:r>
        <w:rPr>
          <w:rFonts w:hint="eastAsia" w:ascii="宋体"/>
          <w:color w:val="auto"/>
          <w:szCs w:val="21"/>
          <w:highlight w:val="none"/>
          <w:u w:val="single"/>
        </w:rPr>
        <w:t xml:space="preserve">             。</w:t>
      </w:r>
    </w:p>
    <w:p>
      <w:pPr>
        <w:snapToGrid w:val="0"/>
        <w:spacing w:line="390" w:lineRule="exact"/>
        <w:ind w:firstLine="420" w:firstLineChars="200"/>
        <w:rPr>
          <w:rFonts w:ascii="宋体"/>
          <w:color w:val="auto"/>
          <w:szCs w:val="21"/>
          <w:highlight w:val="none"/>
          <w:u w:val="single"/>
        </w:rPr>
      </w:pPr>
      <w:r>
        <w:rPr>
          <w:rFonts w:hint="eastAsia" w:ascii="宋体"/>
          <w:color w:val="auto"/>
          <w:szCs w:val="21"/>
          <w:highlight w:val="none"/>
        </w:rPr>
        <w:t>3.乙方负责货物运输，货物运输合理损耗及计算方法：</w:t>
      </w:r>
      <w:r>
        <w:rPr>
          <w:rFonts w:hint="eastAsia" w:ascii="宋体"/>
          <w:color w:val="auto"/>
          <w:szCs w:val="21"/>
          <w:highlight w:val="none"/>
          <w:u w:val="single"/>
        </w:rPr>
        <w:t xml:space="preserve">                 。</w:t>
      </w:r>
    </w:p>
    <w:p>
      <w:pPr>
        <w:snapToGrid w:val="0"/>
        <w:spacing w:line="390" w:lineRule="exact"/>
        <w:ind w:firstLine="421" w:firstLineChars="200"/>
        <w:rPr>
          <w:rFonts w:ascii="宋体"/>
          <w:color w:val="auto"/>
          <w:szCs w:val="21"/>
          <w:highlight w:val="none"/>
        </w:rPr>
      </w:pPr>
      <w:r>
        <w:rPr>
          <w:rFonts w:hint="eastAsia" w:ascii="宋体"/>
          <w:b/>
          <w:color w:val="auto"/>
          <w:szCs w:val="21"/>
          <w:highlight w:val="none"/>
        </w:rPr>
        <w:t>第五条　交付和验收</w:t>
      </w:r>
    </w:p>
    <w:p>
      <w:pPr>
        <w:snapToGrid w:val="0"/>
        <w:spacing w:line="390" w:lineRule="exact"/>
        <w:ind w:firstLine="420" w:firstLineChars="200"/>
        <w:rPr>
          <w:rFonts w:ascii="宋体"/>
          <w:color w:val="auto"/>
          <w:szCs w:val="21"/>
          <w:highlight w:val="none"/>
        </w:rPr>
      </w:pPr>
      <w:r>
        <w:rPr>
          <w:rFonts w:hint="eastAsia" w:ascii="宋体"/>
          <w:color w:val="auto"/>
          <w:szCs w:val="21"/>
          <w:highlight w:val="none"/>
        </w:rPr>
        <w:t>1.交付使用时间、地点。</w:t>
      </w:r>
    </w:p>
    <w:p>
      <w:pPr>
        <w:spacing w:line="390" w:lineRule="exact"/>
        <w:ind w:firstLine="524" w:firstLineChars="249"/>
        <w:rPr>
          <w:rFonts w:ascii="宋体"/>
          <w:b/>
          <w:color w:val="auto"/>
          <w:szCs w:val="21"/>
          <w:highlight w:val="none"/>
        </w:rPr>
      </w:pPr>
      <w:r>
        <w:rPr>
          <w:rFonts w:hint="eastAsia" w:ascii="宋体"/>
          <w:b/>
          <w:color w:val="auto"/>
          <w:szCs w:val="21"/>
          <w:highlight w:val="none"/>
        </w:rPr>
        <w:t>交付使用时间：按乙方投标文件中所承诺的时间；交付使用地点：采购人指定地点。</w:t>
      </w:r>
    </w:p>
    <w:p>
      <w:pPr>
        <w:snapToGrid w:val="0"/>
        <w:spacing w:line="390" w:lineRule="exact"/>
        <w:ind w:firstLine="420" w:firstLineChars="200"/>
        <w:rPr>
          <w:rFonts w:ascii="宋体"/>
          <w:color w:val="auto"/>
          <w:szCs w:val="21"/>
          <w:highlight w:val="none"/>
        </w:rPr>
      </w:pPr>
      <w:r>
        <w:rPr>
          <w:rFonts w:hint="eastAsia" w:ascii="宋体"/>
          <w:color w:val="auto"/>
          <w:szCs w:val="21"/>
          <w:highlight w:val="none"/>
        </w:rPr>
        <w:t>2.乙方提供不符合招投标文件和本合同规定的货物，甲方有权拒绝接受。</w:t>
      </w:r>
    </w:p>
    <w:p>
      <w:pPr>
        <w:snapToGrid w:val="0"/>
        <w:spacing w:line="390" w:lineRule="exact"/>
        <w:ind w:firstLine="420" w:firstLineChars="200"/>
        <w:rPr>
          <w:rFonts w:ascii="宋体"/>
          <w:color w:val="auto"/>
          <w:szCs w:val="21"/>
          <w:highlight w:val="none"/>
        </w:rPr>
      </w:pPr>
      <w:r>
        <w:rPr>
          <w:rFonts w:hint="eastAsia" w:ascii="宋体"/>
          <w:color w:val="auto"/>
          <w:szCs w:val="21"/>
          <w:highlight w:val="none"/>
        </w:rPr>
        <w:t>3.乙方应将所提供货物的装箱清单、用户手册、原厂保修卡、随机资料、工具和备品、备件等交付给甲方，如有缺失应及时补齐，否则视为逾期交货。</w:t>
      </w:r>
    </w:p>
    <w:p>
      <w:pPr>
        <w:snapToGrid w:val="0"/>
        <w:spacing w:line="390" w:lineRule="exact"/>
        <w:ind w:firstLine="420" w:firstLineChars="200"/>
        <w:rPr>
          <w:rFonts w:ascii="宋体"/>
          <w:color w:val="auto"/>
          <w:szCs w:val="21"/>
          <w:highlight w:val="none"/>
        </w:rPr>
      </w:pPr>
      <w:r>
        <w:rPr>
          <w:rFonts w:hint="eastAsia" w:ascii="宋体"/>
          <w:color w:val="auto"/>
          <w:szCs w:val="21"/>
          <w:highlight w:val="none"/>
        </w:rPr>
        <w:t>4.甲方应当在到货（安装、调试完）后十个工作日内进行验收，逾期不验收的，乙方可视同验收合格。验收合格后由甲乙双方签署货物验收单并加盖采购单位公章，甲乙双方各执一份。</w:t>
      </w:r>
    </w:p>
    <w:p>
      <w:pPr>
        <w:snapToGrid w:val="0"/>
        <w:spacing w:line="390" w:lineRule="exact"/>
        <w:ind w:firstLine="420" w:firstLineChars="200"/>
        <w:rPr>
          <w:rFonts w:ascii="宋体"/>
          <w:color w:val="auto"/>
          <w:szCs w:val="21"/>
          <w:highlight w:val="none"/>
        </w:rPr>
      </w:pPr>
      <w:r>
        <w:rPr>
          <w:rFonts w:hint="eastAsia" w:ascii="宋体"/>
          <w:color w:val="auto"/>
          <w:szCs w:val="21"/>
          <w:highlight w:val="none"/>
        </w:rPr>
        <w:t xml:space="preserve">5.甲方对验收有异议的，在验收后五个工作日内以书面形式向乙方提出，乙方应自收到甲方书面异议后 </w:t>
      </w:r>
      <w:r>
        <w:rPr>
          <w:rFonts w:hint="eastAsia" w:ascii="宋体"/>
          <w:color w:val="auto"/>
          <w:szCs w:val="21"/>
          <w:highlight w:val="none"/>
          <w:u w:val="single"/>
        </w:rPr>
        <w:t xml:space="preserve">五 </w:t>
      </w:r>
      <w:r>
        <w:rPr>
          <w:rFonts w:hint="eastAsia" w:ascii="宋体"/>
          <w:color w:val="auto"/>
          <w:szCs w:val="21"/>
          <w:highlight w:val="none"/>
        </w:rPr>
        <w:t>日内及时予以解决。</w:t>
      </w:r>
    </w:p>
    <w:p>
      <w:pPr>
        <w:snapToGrid w:val="0"/>
        <w:spacing w:line="390" w:lineRule="exact"/>
        <w:ind w:firstLine="421" w:firstLineChars="200"/>
        <w:rPr>
          <w:rFonts w:ascii="宋体"/>
          <w:b/>
          <w:color w:val="auto"/>
          <w:szCs w:val="21"/>
          <w:highlight w:val="none"/>
        </w:rPr>
      </w:pPr>
      <w:r>
        <w:rPr>
          <w:rFonts w:hint="eastAsia" w:ascii="宋体"/>
          <w:b/>
          <w:color w:val="auto"/>
          <w:szCs w:val="21"/>
          <w:highlight w:val="none"/>
        </w:rPr>
        <w:t>第六条　安装和培训</w:t>
      </w:r>
    </w:p>
    <w:p>
      <w:pPr>
        <w:snapToGrid w:val="0"/>
        <w:spacing w:line="390" w:lineRule="exact"/>
        <w:ind w:firstLine="420" w:firstLineChars="200"/>
        <w:rPr>
          <w:rFonts w:ascii="宋体"/>
          <w:color w:val="auto"/>
          <w:szCs w:val="21"/>
          <w:highlight w:val="none"/>
        </w:rPr>
      </w:pPr>
      <w:r>
        <w:rPr>
          <w:rFonts w:hint="eastAsia" w:ascii="宋体"/>
          <w:color w:val="auto"/>
          <w:szCs w:val="21"/>
          <w:highlight w:val="none"/>
        </w:rPr>
        <w:t>1.甲方应提供必要安装条件（如场地、电源、水源等）。</w:t>
      </w:r>
    </w:p>
    <w:p>
      <w:pPr>
        <w:snapToGrid w:val="0"/>
        <w:spacing w:line="390" w:lineRule="exact"/>
        <w:ind w:firstLine="420" w:firstLineChars="200"/>
        <w:rPr>
          <w:rFonts w:ascii="宋体"/>
          <w:color w:val="auto"/>
          <w:szCs w:val="21"/>
          <w:highlight w:val="none"/>
          <w:u w:val="single"/>
        </w:rPr>
      </w:pPr>
      <w:r>
        <w:rPr>
          <w:rFonts w:hint="eastAsia" w:ascii="宋体"/>
          <w:color w:val="auto"/>
          <w:szCs w:val="21"/>
          <w:highlight w:val="none"/>
        </w:rPr>
        <w:t>2.乙方负责甲方有关人员的培训。培训时间、地点：</w:t>
      </w:r>
      <w:r>
        <w:rPr>
          <w:rFonts w:hint="eastAsia"/>
          <w:b/>
          <w:color w:val="auto"/>
          <w:szCs w:val="21"/>
          <w:highlight w:val="none"/>
          <w:u w:val="single"/>
        </w:rPr>
        <w:t>按交付使用时间、地点培训</w:t>
      </w:r>
      <w:r>
        <w:rPr>
          <w:rFonts w:hint="eastAsia" w:ascii="宋体"/>
          <w:color w:val="auto"/>
          <w:szCs w:val="21"/>
          <w:highlight w:val="none"/>
        </w:rPr>
        <w:t>。</w:t>
      </w:r>
    </w:p>
    <w:p>
      <w:pPr>
        <w:snapToGrid w:val="0"/>
        <w:spacing w:line="390" w:lineRule="exact"/>
        <w:ind w:firstLine="421" w:firstLineChars="200"/>
        <w:rPr>
          <w:rFonts w:ascii="宋体"/>
          <w:b/>
          <w:color w:val="auto"/>
          <w:szCs w:val="21"/>
          <w:highlight w:val="none"/>
        </w:rPr>
      </w:pPr>
      <w:r>
        <w:rPr>
          <w:rFonts w:hint="eastAsia" w:ascii="宋体"/>
          <w:b/>
          <w:color w:val="auto"/>
          <w:szCs w:val="21"/>
          <w:highlight w:val="none"/>
        </w:rPr>
        <w:t>第七条  售后服务、保修期</w:t>
      </w:r>
    </w:p>
    <w:p>
      <w:pPr>
        <w:snapToGrid w:val="0"/>
        <w:spacing w:line="390" w:lineRule="exact"/>
        <w:ind w:firstLine="420" w:firstLineChars="200"/>
        <w:rPr>
          <w:rFonts w:ascii="宋体"/>
          <w:color w:val="auto"/>
          <w:szCs w:val="21"/>
          <w:highlight w:val="none"/>
        </w:rPr>
      </w:pPr>
      <w:r>
        <w:rPr>
          <w:rFonts w:hint="eastAsia" w:ascii="宋体"/>
          <w:color w:val="auto"/>
          <w:szCs w:val="21"/>
          <w:highlight w:val="none"/>
        </w:rPr>
        <w:t>1.乙方应按照国家有关法律法规和“三包”规定以及招投标文件和本合同所附的《服务承诺》，为甲方提供售后服务。</w:t>
      </w:r>
    </w:p>
    <w:p>
      <w:pPr>
        <w:snapToGrid w:val="0"/>
        <w:spacing w:line="390" w:lineRule="exact"/>
        <w:ind w:firstLine="420" w:firstLineChars="200"/>
        <w:rPr>
          <w:rFonts w:ascii="宋体"/>
          <w:color w:val="auto"/>
          <w:szCs w:val="21"/>
          <w:highlight w:val="none"/>
          <w:u w:val="single"/>
        </w:rPr>
      </w:pPr>
      <w:r>
        <w:rPr>
          <w:rFonts w:hint="eastAsia" w:ascii="宋体"/>
          <w:color w:val="auto"/>
          <w:szCs w:val="21"/>
          <w:highlight w:val="none"/>
        </w:rPr>
        <w:t>2.货物保修期：</w:t>
      </w:r>
      <w:r>
        <w:rPr>
          <w:rFonts w:hint="eastAsia"/>
          <w:b/>
          <w:color w:val="auto"/>
          <w:szCs w:val="21"/>
          <w:highlight w:val="none"/>
          <w:u w:val="single"/>
        </w:rPr>
        <w:t>分项有要求的按分项要求，分项无要求的按国家标准实行</w:t>
      </w:r>
      <w:r>
        <w:rPr>
          <w:b/>
          <w:color w:val="auto"/>
          <w:szCs w:val="21"/>
          <w:highlight w:val="none"/>
          <w:u w:val="single"/>
        </w:rPr>
        <w:t>“</w:t>
      </w:r>
      <w:r>
        <w:rPr>
          <w:rFonts w:hint="eastAsia"/>
          <w:b/>
          <w:color w:val="auto"/>
          <w:szCs w:val="21"/>
          <w:highlight w:val="none"/>
          <w:u w:val="single"/>
        </w:rPr>
        <w:t>三包</w:t>
      </w:r>
      <w:r>
        <w:rPr>
          <w:b/>
          <w:color w:val="auto"/>
          <w:szCs w:val="21"/>
          <w:highlight w:val="none"/>
          <w:u w:val="single"/>
        </w:rPr>
        <w:t>”</w:t>
      </w:r>
      <w:r>
        <w:rPr>
          <w:rFonts w:hint="eastAsia" w:ascii="宋体"/>
          <w:color w:val="auto"/>
          <w:szCs w:val="21"/>
          <w:highlight w:val="none"/>
        </w:rPr>
        <w:t>。</w:t>
      </w:r>
    </w:p>
    <w:p>
      <w:pPr>
        <w:snapToGrid w:val="0"/>
        <w:spacing w:line="390" w:lineRule="exact"/>
        <w:ind w:firstLine="420" w:firstLineChars="200"/>
        <w:rPr>
          <w:rFonts w:ascii="宋体"/>
          <w:color w:val="auto"/>
          <w:szCs w:val="21"/>
          <w:highlight w:val="none"/>
          <w:u w:val="single"/>
        </w:rPr>
      </w:pPr>
      <w:r>
        <w:rPr>
          <w:rFonts w:hint="eastAsia" w:ascii="宋体"/>
          <w:color w:val="auto"/>
          <w:szCs w:val="21"/>
          <w:highlight w:val="none"/>
        </w:rPr>
        <w:t>3.乙方提供的服务承诺和售后服务及保修期责任等其它具体约定事项。（见合同附件）</w:t>
      </w:r>
    </w:p>
    <w:p>
      <w:pPr>
        <w:snapToGrid w:val="0"/>
        <w:spacing w:line="390" w:lineRule="exact"/>
        <w:ind w:firstLine="421" w:firstLineChars="200"/>
        <w:rPr>
          <w:rFonts w:ascii="宋体"/>
          <w:color w:val="auto"/>
          <w:szCs w:val="21"/>
          <w:highlight w:val="none"/>
        </w:rPr>
      </w:pPr>
      <w:r>
        <w:rPr>
          <w:rFonts w:hint="eastAsia" w:ascii="宋体"/>
          <w:b/>
          <w:color w:val="auto"/>
          <w:szCs w:val="21"/>
          <w:highlight w:val="none"/>
        </w:rPr>
        <w:t>第八条　付款方式和保证金</w:t>
      </w:r>
    </w:p>
    <w:p>
      <w:pPr>
        <w:pStyle w:val="29"/>
        <w:snapToGrid w:val="0"/>
        <w:spacing w:line="390" w:lineRule="exact"/>
        <w:rPr>
          <w:color w:val="auto"/>
          <w:highlight w:val="none"/>
        </w:rPr>
      </w:pPr>
      <w:r>
        <w:rPr>
          <w:rFonts w:hint="eastAsia"/>
          <w:bCs/>
          <w:color w:val="auto"/>
          <w:highlight w:val="none"/>
        </w:rPr>
        <w:t>1.</w:t>
      </w:r>
      <w:r>
        <w:rPr>
          <w:rFonts w:hint="eastAsia"/>
          <w:color w:val="auto"/>
          <w:highlight w:val="none"/>
        </w:rPr>
        <w:t>当采购数量与实际使用数量不一致时，乙方应根据实际使用量供货，合同的最终结算金额按实际使用量乘以成交单价进行计算。</w:t>
      </w:r>
    </w:p>
    <w:p>
      <w:pPr>
        <w:snapToGrid w:val="0"/>
        <w:spacing w:line="390" w:lineRule="exact"/>
        <w:ind w:firstLine="420" w:firstLineChars="200"/>
        <w:rPr>
          <w:rFonts w:ascii="宋体"/>
          <w:color w:val="auto"/>
          <w:szCs w:val="21"/>
          <w:highlight w:val="none"/>
          <w:u w:val="single"/>
        </w:rPr>
      </w:pPr>
      <w:r>
        <w:rPr>
          <w:rFonts w:hint="eastAsia" w:ascii="宋体"/>
          <w:color w:val="auto"/>
          <w:szCs w:val="21"/>
          <w:highlight w:val="none"/>
        </w:rPr>
        <w:t>2.资金性质：</w:t>
      </w:r>
      <w:r>
        <w:rPr>
          <w:rFonts w:hint="eastAsia" w:ascii="宋体"/>
          <w:b/>
          <w:color w:val="auto"/>
          <w:szCs w:val="21"/>
          <w:highlight w:val="none"/>
          <w:u w:val="single"/>
        </w:rPr>
        <w:t>财政性资金</w:t>
      </w:r>
      <w:r>
        <w:rPr>
          <w:rFonts w:hint="eastAsia" w:ascii="宋体"/>
          <w:b/>
          <w:color w:val="auto"/>
          <w:szCs w:val="21"/>
          <w:highlight w:val="none"/>
        </w:rPr>
        <w:t>。</w:t>
      </w:r>
    </w:p>
    <w:p>
      <w:pPr>
        <w:snapToGrid w:val="0"/>
        <w:spacing w:line="390" w:lineRule="exact"/>
        <w:rPr>
          <w:rFonts w:ascii="宋体"/>
          <w:color w:val="auto"/>
          <w:highlight w:val="none"/>
        </w:rPr>
      </w:pPr>
      <w:r>
        <w:rPr>
          <w:rFonts w:hint="eastAsia" w:ascii="宋体"/>
          <w:color w:val="auto"/>
          <w:highlight w:val="none"/>
        </w:rPr>
        <w:t xml:space="preserve">    3.付款方式：按“第二章招标项目采购需求”规定执行。</w:t>
      </w:r>
    </w:p>
    <w:p>
      <w:pPr>
        <w:pStyle w:val="600"/>
        <w:spacing w:after="0" w:line="390" w:lineRule="exact"/>
        <w:rPr>
          <w:rFonts w:ascii="宋体"/>
          <w:b/>
          <w:color w:val="auto"/>
          <w:szCs w:val="21"/>
          <w:highlight w:val="none"/>
          <w:lang w:eastAsia="zh-CN"/>
        </w:rPr>
      </w:pPr>
      <w:r>
        <w:rPr>
          <w:rFonts w:hint="eastAsia" w:ascii="宋体" w:hAnsi="宋体"/>
          <w:color w:val="auto"/>
          <w:szCs w:val="21"/>
          <w:highlight w:val="none"/>
          <w:lang w:eastAsia="zh-CN"/>
        </w:rPr>
        <w:t xml:space="preserve">    </w:t>
      </w:r>
      <w:r>
        <w:rPr>
          <w:rFonts w:hint="eastAsia" w:ascii="宋体"/>
          <w:b/>
          <w:color w:val="auto"/>
          <w:szCs w:val="21"/>
          <w:highlight w:val="none"/>
          <w:lang w:eastAsia="zh-CN"/>
        </w:rPr>
        <w:t>第九条　履约保证金：</w:t>
      </w:r>
      <w:r>
        <w:rPr>
          <w:rFonts w:hint="eastAsia" w:ascii="宋体"/>
          <w:color w:val="auto"/>
          <w:highlight w:val="none"/>
          <w:lang w:eastAsia="zh-CN"/>
        </w:rPr>
        <w:t>按“第二章招标项目采购需求”规定执行。</w:t>
      </w:r>
    </w:p>
    <w:p>
      <w:pPr>
        <w:snapToGrid w:val="0"/>
        <w:spacing w:line="390" w:lineRule="exact"/>
        <w:ind w:firstLine="421" w:firstLineChars="200"/>
        <w:rPr>
          <w:rFonts w:ascii="宋体" w:hAnsi="Courier New" w:cs="Courier New"/>
          <w:color w:val="auto"/>
          <w:szCs w:val="21"/>
          <w:highlight w:val="none"/>
        </w:rPr>
      </w:pPr>
      <w:r>
        <w:rPr>
          <w:rFonts w:hint="eastAsia" w:ascii="宋体" w:hAnsi="Courier New" w:cs="Courier New"/>
          <w:b/>
          <w:color w:val="auto"/>
          <w:szCs w:val="21"/>
          <w:highlight w:val="none"/>
        </w:rPr>
        <w:t>第十条 税费</w:t>
      </w:r>
    </w:p>
    <w:p>
      <w:pPr>
        <w:snapToGrid w:val="0"/>
        <w:spacing w:line="390" w:lineRule="exact"/>
        <w:ind w:firstLine="420" w:firstLineChars="200"/>
        <w:rPr>
          <w:rFonts w:ascii="宋体" w:hAnsi="Courier New" w:cs="Courier New"/>
          <w:color w:val="auto"/>
          <w:szCs w:val="21"/>
          <w:highlight w:val="none"/>
        </w:rPr>
      </w:pPr>
      <w:r>
        <w:rPr>
          <w:rFonts w:hint="eastAsia" w:ascii="宋体" w:hAnsi="Courier New" w:cs="Courier New"/>
          <w:color w:val="auto"/>
          <w:szCs w:val="21"/>
          <w:highlight w:val="none"/>
        </w:rPr>
        <w:t>本合同执行中相关的一切税费均由乙方负担。</w:t>
      </w:r>
    </w:p>
    <w:p>
      <w:pPr>
        <w:snapToGrid w:val="0"/>
        <w:spacing w:line="390" w:lineRule="exact"/>
        <w:ind w:firstLine="421" w:firstLineChars="200"/>
        <w:rPr>
          <w:rFonts w:ascii="宋体"/>
          <w:b/>
          <w:color w:val="auto"/>
          <w:szCs w:val="21"/>
          <w:highlight w:val="none"/>
        </w:rPr>
      </w:pPr>
      <w:r>
        <w:rPr>
          <w:rFonts w:hint="eastAsia" w:ascii="宋体"/>
          <w:b/>
          <w:color w:val="auto"/>
          <w:szCs w:val="21"/>
          <w:highlight w:val="none"/>
        </w:rPr>
        <w:t>第十一条  质量保证及售后服务</w:t>
      </w:r>
    </w:p>
    <w:p>
      <w:pPr>
        <w:snapToGrid w:val="0"/>
        <w:spacing w:line="390" w:lineRule="exact"/>
        <w:ind w:firstLine="420" w:firstLineChars="200"/>
        <w:rPr>
          <w:rFonts w:ascii="宋体"/>
          <w:color w:val="auto"/>
          <w:szCs w:val="21"/>
          <w:highlight w:val="none"/>
        </w:rPr>
      </w:pPr>
      <w:r>
        <w:rPr>
          <w:rFonts w:hint="eastAsia" w:ascii="宋体"/>
          <w:color w:val="auto"/>
          <w:szCs w:val="21"/>
          <w:highlight w:val="none"/>
        </w:rPr>
        <w:t>1. 乙方应按招标文件规定的货物性能、技术要求、质量标准向甲方提供未经使用的全新产品。</w:t>
      </w:r>
      <w:r>
        <w:rPr>
          <w:rFonts w:hint="eastAsia" w:ascii="宋体"/>
          <w:color w:val="auto"/>
          <w:highlight w:val="none"/>
        </w:rPr>
        <w:t>乙方提供货物的质量保证期按交货验收合格之日起计（期限见《招标项目采购需求》中各分标的要求）。在保证期内因货物本身的质量问题发生故障，乙方应负责免费修理和更换零部件。对达不到技术要求者，根据实际情况，甲方有权按以下办法处理</w:t>
      </w:r>
      <w:r>
        <w:rPr>
          <w:rFonts w:hint="eastAsia" w:ascii="宋体"/>
          <w:color w:val="auto"/>
          <w:szCs w:val="21"/>
          <w:highlight w:val="none"/>
        </w:rPr>
        <w:t>：</w:t>
      </w:r>
    </w:p>
    <w:p>
      <w:pPr>
        <w:pStyle w:val="29"/>
        <w:snapToGrid w:val="0"/>
        <w:spacing w:line="390" w:lineRule="exact"/>
        <w:ind w:firstLine="315" w:firstLineChars="150"/>
        <w:rPr>
          <w:color w:val="auto"/>
          <w:highlight w:val="none"/>
        </w:rPr>
      </w:pPr>
      <w:r>
        <w:rPr>
          <w:rFonts w:hint="eastAsia"/>
          <w:color w:val="auto"/>
          <w:highlight w:val="none"/>
        </w:rPr>
        <w:t xml:space="preserve"> ⑴更换：由乙方承担所发生的全部费用。</w:t>
      </w:r>
    </w:p>
    <w:p>
      <w:pPr>
        <w:pStyle w:val="29"/>
        <w:snapToGrid w:val="0"/>
        <w:spacing w:line="390" w:lineRule="exact"/>
        <w:ind w:firstLine="420"/>
        <w:rPr>
          <w:color w:val="auto"/>
          <w:highlight w:val="none"/>
        </w:rPr>
      </w:pPr>
      <w:r>
        <w:rPr>
          <w:rFonts w:hint="eastAsia"/>
          <w:color w:val="auto"/>
          <w:highlight w:val="none"/>
        </w:rPr>
        <w:t>⑵贬值处理：由甲乙双方合议定价。</w:t>
      </w:r>
    </w:p>
    <w:p>
      <w:pPr>
        <w:pStyle w:val="29"/>
        <w:snapToGrid w:val="0"/>
        <w:spacing w:line="390" w:lineRule="exact"/>
        <w:rPr>
          <w:color w:val="auto"/>
          <w:highlight w:val="none"/>
        </w:rPr>
      </w:pPr>
      <w:r>
        <w:rPr>
          <w:rFonts w:hint="eastAsia"/>
          <w:color w:val="auto"/>
          <w:highlight w:val="none"/>
        </w:rPr>
        <w:t>⑶退货处理：乙方应退还甲方支付的合同款，同时应承担该货物的直接费用（运输、保险、检验、货款利息及银行手续费等）。</w:t>
      </w:r>
    </w:p>
    <w:p>
      <w:pPr>
        <w:pStyle w:val="29"/>
        <w:snapToGrid w:val="0"/>
        <w:spacing w:line="390" w:lineRule="exact"/>
        <w:ind w:firstLine="420" w:firstLineChars="200"/>
        <w:rPr>
          <w:color w:val="auto"/>
          <w:highlight w:val="none"/>
        </w:rPr>
      </w:pPr>
      <w:r>
        <w:rPr>
          <w:rFonts w:hint="eastAsia"/>
          <w:color w:val="auto"/>
          <w:highlight w:val="none"/>
        </w:rPr>
        <w:t>2. 如在使用过程中发生质量问题，乙方在接到甲方通知后在</w:t>
      </w:r>
      <w:r>
        <w:rPr>
          <w:rFonts w:hint="eastAsia"/>
          <w:color w:val="auto"/>
          <w:highlight w:val="none"/>
          <w:u w:val="single"/>
        </w:rPr>
        <w:t xml:space="preserve">    </w:t>
      </w:r>
      <w:r>
        <w:rPr>
          <w:rFonts w:hint="eastAsia"/>
          <w:color w:val="auto"/>
          <w:highlight w:val="none"/>
        </w:rPr>
        <w:t>小时内到达甲方现场。</w:t>
      </w:r>
    </w:p>
    <w:p>
      <w:pPr>
        <w:pStyle w:val="29"/>
        <w:snapToGrid w:val="0"/>
        <w:spacing w:line="390" w:lineRule="exact"/>
        <w:ind w:firstLine="420" w:firstLineChars="200"/>
        <w:rPr>
          <w:color w:val="auto"/>
          <w:highlight w:val="none"/>
        </w:rPr>
      </w:pPr>
      <w:r>
        <w:rPr>
          <w:rFonts w:hint="eastAsia"/>
          <w:color w:val="auto"/>
          <w:highlight w:val="none"/>
        </w:rPr>
        <w:t>3. 在质保期内，乙方应对货物出现的质量及安全问题负责处理解决并承担一切费用。</w:t>
      </w:r>
    </w:p>
    <w:p>
      <w:pPr>
        <w:pStyle w:val="29"/>
        <w:snapToGrid w:val="0"/>
        <w:spacing w:line="390" w:lineRule="exact"/>
        <w:ind w:firstLine="420" w:firstLineChars="200"/>
        <w:rPr>
          <w:color w:val="auto"/>
          <w:highlight w:val="none"/>
        </w:rPr>
      </w:pPr>
      <w:r>
        <w:rPr>
          <w:rFonts w:hint="eastAsia"/>
          <w:color w:val="auto"/>
          <w:highlight w:val="none"/>
        </w:rPr>
        <w:t>4.上述的货物免费保修期为</w:t>
      </w:r>
      <w:r>
        <w:rPr>
          <w:rFonts w:hint="eastAsia"/>
          <w:color w:val="auto"/>
          <w:highlight w:val="none"/>
          <w:u w:val="single"/>
        </w:rPr>
        <w:t xml:space="preserve">     </w:t>
      </w:r>
      <w:r>
        <w:rPr>
          <w:rFonts w:hint="eastAsia"/>
          <w:color w:val="auto"/>
          <w:highlight w:val="none"/>
        </w:rPr>
        <w:t>年，因人为因素出现的故障不在免费保修范围内。超过保修期的机器设备，终生维修，维修时只收部件成本费。</w:t>
      </w:r>
    </w:p>
    <w:p>
      <w:pPr>
        <w:pStyle w:val="29"/>
        <w:snapToGrid w:val="0"/>
        <w:spacing w:line="390" w:lineRule="exact"/>
        <w:ind w:firstLine="413" w:firstLineChars="196"/>
        <w:rPr>
          <w:b/>
          <w:color w:val="auto"/>
          <w:highlight w:val="none"/>
        </w:rPr>
      </w:pPr>
      <w:r>
        <w:rPr>
          <w:rFonts w:hint="eastAsia"/>
          <w:b/>
          <w:color w:val="auto"/>
          <w:highlight w:val="none"/>
        </w:rPr>
        <w:t>第十二条  调试和验收</w:t>
      </w:r>
    </w:p>
    <w:p>
      <w:pPr>
        <w:pStyle w:val="29"/>
        <w:snapToGrid w:val="0"/>
        <w:spacing w:line="390" w:lineRule="exact"/>
        <w:ind w:firstLine="420" w:firstLineChars="200"/>
        <w:rPr>
          <w:color w:val="auto"/>
          <w:highlight w:val="none"/>
        </w:rPr>
      </w:pPr>
      <w:r>
        <w:rPr>
          <w:rFonts w:hint="eastAsia"/>
          <w:color w:val="auto"/>
          <w:highlight w:val="none"/>
        </w:rPr>
        <w:t>1. 甲方对乙方提交的货物依据招标文件上的技术规格要求和国家有关质量标准进行现场初步验收，外观、说明书符合招标文件技术要求的，给予签收，初步验收不合格的不予签收。货到后，</w:t>
      </w:r>
      <w:r>
        <w:rPr>
          <w:rFonts w:hint="eastAsia"/>
          <w:bCs/>
          <w:color w:val="auto"/>
          <w:highlight w:val="none"/>
        </w:rPr>
        <w:t>甲方应当在到货（安装、调试完）后十个工作日内进行初步验收</w:t>
      </w:r>
      <w:r>
        <w:rPr>
          <w:rFonts w:hint="eastAsia"/>
          <w:color w:val="auto"/>
          <w:highlight w:val="none"/>
        </w:rPr>
        <w:t>。</w:t>
      </w:r>
    </w:p>
    <w:p>
      <w:pPr>
        <w:pStyle w:val="29"/>
        <w:snapToGrid w:val="0"/>
        <w:spacing w:line="390" w:lineRule="exact"/>
        <w:ind w:firstLine="420" w:firstLineChars="200"/>
        <w:rPr>
          <w:color w:val="auto"/>
          <w:highlight w:val="none"/>
        </w:rPr>
      </w:pPr>
      <w:r>
        <w:rPr>
          <w:rFonts w:hint="eastAsia"/>
          <w:color w:val="auto"/>
          <w:highlight w:val="none"/>
        </w:rPr>
        <w:t>2. 乙方交货前应对产品作出全面检查和对验收文件进行整理，并列出清单，作为甲方收货验收和使用的技术条件依据，检验的结果应随货物交甲方。</w:t>
      </w:r>
    </w:p>
    <w:p>
      <w:pPr>
        <w:pStyle w:val="29"/>
        <w:snapToGrid w:val="0"/>
        <w:spacing w:line="390" w:lineRule="exact"/>
        <w:ind w:firstLine="420" w:firstLineChars="200"/>
        <w:rPr>
          <w:color w:val="auto"/>
          <w:highlight w:val="none"/>
        </w:rPr>
      </w:pPr>
      <w:r>
        <w:rPr>
          <w:rFonts w:hint="eastAsia"/>
          <w:color w:val="auto"/>
          <w:highlight w:val="none"/>
        </w:rPr>
        <w:t>3. 甲方对乙方提供的货物在使用前进行调试时，乙方需负责安装并培训甲方的使用操作人员，并协助甲方一起调试，直到符合技术要求，甲方才做最终验收。</w:t>
      </w:r>
    </w:p>
    <w:p>
      <w:pPr>
        <w:pStyle w:val="29"/>
        <w:snapToGrid w:val="0"/>
        <w:spacing w:line="390" w:lineRule="exact"/>
        <w:ind w:firstLine="420" w:firstLineChars="200"/>
        <w:rPr>
          <w:color w:val="auto"/>
          <w:highlight w:val="none"/>
        </w:rPr>
      </w:pPr>
      <w:r>
        <w:rPr>
          <w:rFonts w:hint="eastAsia" w:hAnsi="宋体"/>
          <w:color w:val="auto"/>
          <w:highlight w:val="none"/>
        </w:rPr>
        <w:t>4. 对技术复杂的货物，甲方应请国家认可的专业检测机构参与初步验收及最终验收，并由其出具质量检测报告，检测相关费用由</w:t>
      </w:r>
      <w:r>
        <w:rPr>
          <w:rFonts w:hint="eastAsia" w:hAnsi="宋体"/>
          <w:color w:val="auto"/>
          <w:highlight w:val="none"/>
          <w:u w:val="single"/>
        </w:rPr>
        <w:t xml:space="preserve">乙  </w:t>
      </w:r>
      <w:r>
        <w:rPr>
          <w:rFonts w:hint="eastAsia" w:hAnsi="宋体"/>
          <w:color w:val="auto"/>
          <w:highlight w:val="none"/>
        </w:rPr>
        <w:t>方承担。</w:t>
      </w:r>
    </w:p>
    <w:p>
      <w:pPr>
        <w:pStyle w:val="29"/>
        <w:snapToGrid w:val="0"/>
        <w:spacing w:line="390" w:lineRule="exact"/>
        <w:ind w:firstLine="420" w:firstLineChars="200"/>
        <w:rPr>
          <w:color w:val="auto"/>
          <w:highlight w:val="none"/>
        </w:rPr>
      </w:pPr>
      <w:r>
        <w:rPr>
          <w:rFonts w:hint="eastAsia"/>
          <w:color w:val="auto"/>
          <w:highlight w:val="none"/>
        </w:rPr>
        <w:t>5. 对技术复杂的货物，甲方应请国家认可的专业检测机构参与初步验收及最终验收，并由其出具质量检测报告。</w:t>
      </w:r>
    </w:p>
    <w:p>
      <w:pPr>
        <w:pStyle w:val="29"/>
        <w:snapToGrid w:val="0"/>
        <w:spacing w:line="390" w:lineRule="exact"/>
        <w:ind w:firstLine="420" w:firstLineChars="200"/>
        <w:rPr>
          <w:color w:val="auto"/>
          <w:highlight w:val="none"/>
        </w:rPr>
      </w:pPr>
      <w:r>
        <w:rPr>
          <w:rFonts w:hint="eastAsia"/>
          <w:color w:val="auto"/>
          <w:highlight w:val="none"/>
        </w:rPr>
        <w:t>6. 验收时乙方必须在现场，验收完毕后作出验收结果报告；验收费用由乙方负责。</w:t>
      </w:r>
    </w:p>
    <w:p>
      <w:pPr>
        <w:pStyle w:val="29"/>
        <w:snapToGrid w:val="0"/>
        <w:spacing w:line="390" w:lineRule="exact"/>
        <w:ind w:firstLine="413" w:firstLineChars="196"/>
        <w:rPr>
          <w:b/>
          <w:color w:val="auto"/>
          <w:highlight w:val="none"/>
        </w:rPr>
      </w:pPr>
      <w:r>
        <w:rPr>
          <w:rFonts w:hint="eastAsia"/>
          <w:b/>
          <w:color w:val="auto"/>
          <w:highlight w:val="none"/>
        </w:rPr>
        <w:t>第十三条 货物包装、发运及运输</w:t>
      </w:r>
    </w:p>
    <w:p>
      <w:pPr>
        <w:pStyle w:val="29"/>
        <w:snapToGrid w:val="0"/>
        <w:spacing w:line="390" w:lineRule="exact"/>
        <w:rPr>
          <w:color w:val="auto"/>
          <w:highlight w:val="none"/>
        </w:rPr>
      </w:pPr>
      <w:r>
        <w:rPr>
          <w:rFonts w:hint="eastAsia"/>
          <w:color w:val="auto"/>
          <w:highlight w:val="none"/>
        </w:rPr>
        <w:t xml:space="preserve">    1. 乙方应在货物发运前对其进行满足运输距离、防潮、防震、防锈和防破损装卸等要求包装，以保证货物安全运达甲方指定地点。</w:t>
      </w:r>
    </w:p>
    <w:p>
      <w:pPr>
        <w:pStyle w:val="29"/>
        <w:snapToGrid w:val="0"/>
        <w:spacing w:line="390" w:lineRule="exact"/>
        <w:rPr>
          <w:color w:val="auto"/>
          <w:highlight w:val="none"/>
        </w:rPr>
      </w:pPr>
      <w:r>
        <w:rPr>
          <w:rFonts w:hint="eastAsia"/>
          <w:color w:val="auto"/>
          <w:highlight w:val="none"/>
        </w:rPr>
        <w:t xml:space="preserve">    2. 使用说明书、质量检验证明书、随配附件和工具以及清单一并附于货物内。</w:t>
      </w:r>
    </w:p>
    <w:p>
      <w:pPr>
        <w:pStyle w:val="29"/>
        <w:snapToGrid w:val="0"/>
        <w:spacing w:line="390" w:lineRule="exact"/>
        <w:rPr>
          <w:color w:val="auto"/>
          <w:highlight w:val="none"/>
        </w:rPr>
      </w:pPr>
      <w:r>
        <w:rPr>
          <w:rFonts w:hint="eastAsia"/>
          <w:color w:val="auto"/>
          <w:highlight w:val="none"/>
        </w:rPr>
        <w:t xml:space="preserve">    3. 乙方在货物发运手续办理完毕后二十四小时内或货到甲方四十八小时前通知甲方，以准备接货。</w:t>
      </w:r>
    </w:p>
    <w:p>
      <w:pPr>
        <w:pStyle w:val="29"/>
        <w:snapToGrid w:val="0"/>
        <w:spacing w:line="390" w:lineRule="exact"/>
        <w:rPr>
          <w:color w:val="auto"/>
          <w:highlight w:val="none"/>
        </w:rPr>
      </w:pPr>
      <w:r>
        <w:rPr>
          <w:rFonts w:hint="eastAsia"/>
          <w:color w:val="auto"/>
          <w:highlight w:val="none"/>
        </w:rPr>
        <w:t xml:space="preserve">    4. 货物在交付甲方前发生的风险均由乙方负责。</w:t>
      </w:r>
    </w:p>
    <w:p>
      <w:pPr>
        <w:pStyle w:val="29"/>
        <w:snapToGrid w:val="0"/>
        <w:spacing w:line="390" w:lineRule="exact"/>
        <w:rPr>
          <w:color w:val="auto"/>
          <w:spacing w:val="-8"/>
          <w:highlight w:val="none"/>
        </w:rPr>
      </w:pPr>
      <w:r>
        <w:rPr>
          <w:rFonts w:hint="eastAsia"/>
          <w:color w:val="auto"/>
          <w:highlight w:val="none"/>
        </w:rPr>
        <w:t xml:space="preserve">    5. 货</w:t>
      </w:r>
      <w:r>
        <w:rPr>
          <w:rFonts w:hint="eastAsia"/>
          <w:color w:val="auto"/>
          <w:spacing w:val="-8"/>
          <w:highlight w:val="none"/>
        </w:rPr>
        <w:t>物在规定的交付期限内由乙方送达甲方指定的地点视为交付，乙方同时需通知甲方货物已送达。</w:t>
      </w:r>
    </w:p>
    <w:p>
      <w:pPr>
        <w:snapToGrid w:val="0"/>
        <w:spacing w:line="390" w:lineRule="exact"/>
        <w:ind w:firstLine="421" w:firstLineChars="200"/>
        <w:rPr>
          <w:rFonts w:ascii="宋体"/>
          <w:b/>
          <w:color w:val="auto"/>
          <w:szCs w:val="21"/>
          <w:highlight w:val="none"/>
        </w:rPr>
      </w:pPr>
      <w:r>
        <w:rPr>
          <w:rFonts w:hint="eastAsia" w:ascii="宋体"/>
          <w:b/>
          <w:color w:val="auto"/>
          <w:szCs w:val="21"/>
          <w:highlight w:val="none"/>
        </w:rPr>
        <w:t>第十四条　违约责任</w:t>
      </w:r>
    </w:p>
    <w:p>
      <w:pPr>
        <w:snapToGrid w:val="0"/>
        <w:spacing w:line="390" w:lineRule="exact"/>
        <w:ind w:firstLine="525" w:firstLineChars="250"/>
        <w:rPr>
          <w:rFonts w:ascii="宋体"/>
          <w:color w:val="auto"/>
          <w:szCs w:val="21"/>
          <w:highlight w:val="none"/>
        </w:rPr>
      </w:pPr>
      <w:r>
        <w:rPr>
          <w:rFonts w:hint="eastAsia" w:ascii="宋体"/>
          <w:color w:val="auto"/>
          <w:szCs w:val="21"/>
          <w:highlight w:val="none"/>
        </w:rPr>
        <w:t xml:space="preserve">1．乙方所提供的货物规格、技术标准、材料等质量不合格的，应及时更换，更换不及时的按逾期交货处罚；因质量问题甲方不同意接收的或特殊情况甲方同意接收的，乙方应向甲方支付违约货款额 5%违约金并赔偿甲方经济损失。                                       </w:t>
      </w:r>
    </w:p>
    <w:p>
      <w:pPr>
        <w:snapToGrid w:val="0"/>
        <w:spacing w:line="390" w:lineRule="exact"/>
        <w:ind w:firstLine="472" w:firstLineChars="225"/>
        <w:rPr>
          <w:rFonts w:ascii="宋体"/>
          <w:color w:val="auto"/>
          <w:szCs w:val="21"/>
          <w:highlight w:val="none"/>
        </w:rPr>
      </w:pPr>
      <w:r>
        <w:rPr>
          <w:rFonts w:hint="eastAsia" w:ascii="宋体"/>
          <w:color w:val="auto"/>
          <w:szCs w:val="21"/>
          <w:highlight w:val="none"/>
        </w:rPr>
        <w:t>2．乙方提供的货物如侵犯了第三方合法权益而引发的任何纠纷或诉讼，均由乙方负责交涉并承担全部责任。</w:t>
      </w:r>
    </w:p>
    <w:p>
      <w:pPr>
        <w:snapToGrid w:val="0"/>
        <w:spacing w:line="390" w:lineRule="exact"/>
        <w:ind w:firstLine="420" w:firstLineChars="200"/>
        <w:rPr>
          <w:rFonts w:ascii="宋体"/>
          <w:color w:val="auto"/>
          <w:szCs w:val="21"/>
          <w:highlight w:val="none"/>
        </w:rPr>
      </w:pPr>
      <w:r>
        <w:rPr>
          <w:rFonts w:hint="eastAsia" w:ascii="宋体"/>
          <w:color w:val="auto"/>
          <w:szCs w:val="21"/>
          <w:highlight w:val="none"/>
        </w:rPr>
        <w:t>3．因包装、运输引起的货物损坏，按质量不合格处罚。</w:t>
      </w:r>
    </w:p>
    <w:p>
      <w:pPr>
        <w:snapToGrid w:val="0"/>
        <w:spacing w:line="390" w:lineRule="exact"/>
        <w:ind w:firstLine="420" w:firstLineChars="200"/>
        <w:rPr>
          <w:rFonts w:ascii="宋体"/>
          <w:color w:val="auto"/>
          <w:szCs w:val="21"/>
          <w:highlight w:val="none"/>
        </w:rPr>
      </w:pPr>
      <w:r>
        <w:rPr>
          <w:rFonts w:hint="eastAsia" w:ascii="宋体"/>
          <w:color w:val="auto"/>
          <w:szCs w:val="21"/>
          <w:highlight w:val="none"/>
        </w:rPr>
        <w:t>4．乙方逾期交货的，每天向对方偿付违约货款额3‰违约金，但违约金累计不得超过违约货款额</w:t>
      </w:r>
      <w:r>
        <w:rPr>
          <w:rFonts w:hint="eastAsia" w:ascii="宋体"/>
          <w:color w:val="auto"/>
          <w:szCs w:val="21"/>
          <w:highlight w:val="none"/>
          <w:u w:val="single"/>
        </w:rPr>
        <w:t>5%</w:t>
      </w:r>
      <w:r>
        <w:rPr>
          <w:rFonts w:hint="eastAsia" w:ascii="宋体"/>
          <w:color w:val="auto"/>
          <w:szCs w:val="21"/>
          <w:highlight w:val="none"/>
        </w:rPr>
        <w:t>，超过</w:t>
      </w:r>
      <w:r>
        <w:rPr>
          <w:rFonts w:hint="eastAsia" w:ascii="宋体"/>
          <w:color w:val="auto"/>
          <w:szCs w:val="21"/>
          <w:highlight w:val="none"/>
          <w:u w:val="single"/>
        </w:rPr>
        <w:t xml:space="preserve">   </w:t>
      </w:r>
      <w:r>
        <w:rPr>
          <w:rFonts w:hint="eastAsia" w:ascii="宋体"/>
          <w:color w:val="auto"/>
          <w:szCs w:val="21"/>
          <w:highlight w:val="none"/>
        </w:rPr>
        <w:t>天对方有权解除合同，违约方承担因此给对方造成经济损失；甲方延期付货款的，每天向乙方偿付延期货款额</w:t>
      </w:r>
      <w:r>
        <w:rPr>
          <w:rFonts w:hint="eastAsia" w:ascii="宋体"/>
          <w:color w:val="auto"/>
          <w:szCs w:val="21"/>
          <w:highlight w:val="none"/>
          <w:u w:val="single"/>
        </w:rPr>
        <w:t xml:space="preserve">3‰ </w:t>
      </w:r>
      <w:r>
        <w:rPr>
          <w:rFonts w:hint="eastAsia" w:ascii="宋体"/>
          <w:color w:val="auto"/>
          <w:szCs w:val="21"/>
          <w:highlight w:val="none"/>
        </w:rPr>
        <w:t>滞纳金，但滞纳金累计不得超过延期货款额</w:t>
      </w:r>
      <w:r>
        <w:rPr>
          <w:rFonts w:hint="eastAsia" w:ascii="宋体"/>
          <w:color w:val="auto"/>
          <w:szCs w:val="21"/>
          <w:highlight w:val="none"/>
          <w:u w:val="single"/>
        </w:rPr>
        <w:t>5%</w:t>
      </w:r>
      <w:r>
        <w:rPr>
          <w:rFonts w:hint="eastAsia" w:ascii="宋体"/>
          <w:color w:val="auto"/>
          <w:szCs w:val="21"/>
          <w:highlight w:val="none"/>
        </w:rPr>
        <w:t>。</w:t>
      </w:r>
    </w:p>
    <w:p>
      <w:pPr>
        <w:snapToGrid w:val="0"/>
        <w:spacing w:line="390" w:lineRule="exact"/>
        <w:ind w:firstLine="420" w:firstLineChars="200"/>
        <w:rPr>
          <w:rFonts w:ascii="宋体"/>
          <w:color w:val="auto"/>
          <w:szCs w:val="21"/>
          <w:highlight w:val="none"/>
        </w:rPr>
      </w:pPr>
      <w:r>
        <w:rPr>
          <w:rFonts w:hint="eastAsia" w:ascii="宋体"/>
          <w:color w:val="auto"/>
          <w:szCs w:val="21"/>
          <w:highlight w:val="none"/>
        </w:rPr>
        <w:t>5．乙方未按本合同和投标文件中规定的服务承诺提供售后服务的，乙方应按本合同合计金额</w:t>
      </w:r>
      <w:r>
        <w:rPr>
          <w:rFonts w:hint="eastAsia" w:ascii="宋体"/>
          <w:color w:val="auto"/>
          <w:szCs w:val="21"/>
          <w:highlight w:val="none"/>
          <w:u w:val="single"/>
        </w:rPr>
        <w:t xml:space="preserve"> 5%</w:t>
      </w:r>
      <w:r>
        <w:rPr>
          <w:rFonts w:hint="eastAsia" w:ascii="宋体"/>
          <w:color w:val="auto"/>
          <w:szCs w:val="21"/>
          <w:highlight w:val="none"/>
        </w:rPr>
        <w:t>向甲方支付违约金。</w:t>
      </w:r>
    </w:p>
    <w:p>
      <w:pPr>
        <w:snapToGrid w:val="0"/>
        <w:spacing w:line="390" w:lineRule="exact"/>
        <w:ind w:firstLine="420" w:firstLineChars="200"/>
        <w:rPr>
          <w:rFonts w:ascii="宋体"/>
          <w:color w:val="auto"/>
          <w:szCs w:val="21"/>
          <w:highlight w:val="none"/>
        </w:rPr>
      </w:pPr>
      <w:r>
        <w:rPr>
          <w:rFonts w:hint="eastAsia" w:ascii="宋体"/>
          <w:color w:val="auto"/>
          <w:szCs w:val="21"/>
          <w:highlight w:val="none"/>
        </w:rPr>
        <w:t>6．乙方提供的货物在质量保证期内，因设计、工艺或材料的缺陷和其它质量原因造成的问题，由乙方负责，费用从</w:t>
      </w:r>
      <w:r>
        <w:rPr>
          <w:rFonts w:hint="eastAsia"/>
          <w:color w:val="auto"/>
          <w:highlight w:val="none"/>
        </w:rPr>
        <w:t>履</w:t>
      </w:r>
      <w:r>
        <w:rPr>
          <w:rFonts w:hint="eastAsia" w:ascii="宋体"/>
          <w:color w:val="auto"/>
          <w:szCs w:val="21"/>
          <w:highlight w:val="none"/>
        </w:rPr>
        <w:t>约保证金中扣除，履约保证金不足以支付的，由乙方另行支付。</w:t>
      </w:r>
    </w:p>
    <w:p>
      <w:pPr>
        <w:snapToGrid w:val="0"/>
        <w:spacing w:line="390" w:lineRule="exact"/>
        <w:ind w:firstLine="420" w:firstLineChars="200"/>
        <w:rPr>
          <w:rFonts w:ascii="宋体"/>
          <w:color w:val="auto"/>
          <w:szCs w:val="21"/>
          <w:highlight w:val="none"/>
        </w:rPr>
      </w:pPr>
      <w:r>
        <w:rPr>
          <w:rFonts w:hint="eastAsia" w:ascii="宋体"/>
          <w:color w:val="auto"/>
          <w:szCs w:val="21"/>
          <w:highlight w:val="none"/>
        </w:rPr>
        <w:t>7．其它违约行为按违约货款额5%收取违约金并赔偿经济损失。</w:t>
      </w:r>
    </w:p>
    <w:p>
      <w:pPr>
        <w:pStyle w:val="29"/>
        <w:snapToGrid w:val="0"/>
        <w:spacing w:line="390" w:lineRule="exact"/>
        <w:ind w:firstLine="413" w:firstLineChars="196"/>
        <w:rPr>
          <w:b/>
          <w:color w:val="auto"/>
          <w:highlight w:val="none"/>
        </w:rPr>
      </w:pPr>
      <w:r>
        <w:rPr>
          <w:rFonts w:hint="eastAsia"/>
          <w:b/>
          <w:color w:val="auto"/>
          <w:highlight w:val="none"/>
        </w:rPr>
        <w:t>第十五条  不可抗力事件处理</w:t>
      </w:r>
    </w:p>
    <w:p>
      <w:pPr>
        <w:pStyle w:val="29"/>
        <w:snapToGrid w:val="0"/>
        <w:spacing w:line="390" w:lineRule="exact"/>
        <w:ind w:firstLine="420" w:firstLineChars="200"/>
        <w:rPr>
          <w:color w:val="auto"/>
          <w:highlight w:val="none"/>
        </w:rPr>
      </w:pPr>
      <w:r>
        <w:rPr>
          <w:rFonts w:hint="eastAsia"/>
          <w:color w:val="auto"/>
          <w:highlight w:val="none"/>
        </w:rPr>
        <w:t>1. 在合同有效期内，任何一方因不可抗力事件导致不能履行合同，则合同履行期可延长，其延长期与不可抗力影响期相同。</w:t>
      </w:r>
    </w:p>
    <w:p>
      <w:pPr>
        <w:pStyle w:val="29"/>
        <w:snapToGrid w:val="0"/>
        <w:spacing w:line="390" w:lineRule="exact"/>
        <w:ind w:firstLine="420" w:firstLineChars="200"/>
        <w:rPr>
          <w:color w:val="auto"/>
          <w:highlight w:val="none"/>
        </w:rPr>
      </w:pPr>
      <w:r>
        <w:rPr>
          <w:rFonts w:hint="eastAsia"/>
          <w:color w:val="auto"/>
          <w:highlight w:val="none"/>
        </w:rPr>
        <w:t>2. 不可抗力事件发生后，应立即通知对方，并寄送有关权威机构出具的证明。</w:t>
      </w:r>
    </w:p>
    <w:p>
      <w:pPr>
        <w:pStyle w:val="29"/>
        <w:snapToGrid w:val="0"/>
        <w:spacing w:line="390" w:lineRule="exact"/>
        <w:ind w:firstLine="420" w:firstLineChars="200"/>
        <w:rPr>
          <w:color w:val="auto"/>
          <w:highlight w:val="none"/>
        </w:rPr>
      </w:pPr>
      <w:r>
        <w:rPr>
          <w:rFonts w:hint="eastAsia"/>
          <w:color w:val="auto"/>
          <w:highlight w:val="none"/>
        </w:rPr>
        <w:t>3. 不可抗力事件延续一百二十天以上，双方应通过友好协商，确定是否继续履行合同。</w:t>
      </w:r>
    </w:p>
    <w:p>
      <w:pPr>
        <w:snapToGrid w:val="0"/>
        <w:spacing w:line="390" w:lineRule="exact"/>
        <w:ind w:firstLine="421" w:firstLineChars="200"/>
        <w:rPr>
          <w:rFonts w:ascii="宋体"/>
          <w:color w:val="auto"/>
          <w:szCs w:val="21"/>
          <w:highlight w:val="none"/>
        </w:rPr>
      </w:pPr>
      <w:r>
        <w:rPr>
          <w:rFonts w:hint="eastAsia" w:ascii="宋体"/>
          <w:b/>
          <w:color w:val="auto"/>
          <w:szCs w:val="21"/>
          <w:highlight w:val="none"/>
        </w:rPr>
        <w:t>第十六条  合同争议解决</w:t>
      </w:r>
    </w:p>
    <w:p>
      <w:pPr>
        <w:snapToGrid w:val="0"/>
        <w:spacing w:line="390" w:lineRule="exact"/>
        <w:ind w:firstLine="420" w:firstLineChars="200"/>
        <w:rPr>
          <w:rFonts w:ascii="宋体"/>
          <w:color w:val="auto"/>
          <w:szCs w:val="21"/>
          <w:highlight w:val="none"/>
        </w:rPr>
      </w:pPr>
      <w:r>
        <w:rPr>
          <w:rFonts w:hint="eastAsia" w:ascii="宋体"/>
          <w:color w:val="auto"/>
          <w:szCs w:val="21"/>
          <w:highlight w:val="none"/>
        </w:rPr>
        <w:t>1．因货物质量问题发生争议的，应邀请国家认可的质量检测机构对货物质量进行鉴定。货物符合标准的，鉴定费由甲方承担；货物不符合标准的，鉴定费由乙方承担。</w:t>
      </w:r>
    </w:p>
    <w:p>
      <w:pPr>
        <w:snapToGrid w:val="0"/>
        <w:spacing w:line="390" w:lineRule="exact"/>
        <w:ind w:firstLine="420" w:firstLineChars="200"/>
        <w:rPr>
          <w:rFonts w:ascii="宋体"/>
          <w:color w:val="auto"/>
          <w:szCs w:val="21"/>
          <w:highlight w:val="none"/>
        </w:rPr>
      </w:pPr>
      <w:r>
        <w:rPr>
          <w:rFonts w:hint="eastAsia" w:ascii="宋体"/>
          <w:color w:val="auto"/>
          <w:szCs w:val="21"/>
          <w:highlight w:val="none"/>
        </w:rPr>
        <w:t>2．因履行本合同引起的或与本合同有关的争议，甲乙双方应首先通过友好协商解决，如果协商不能解决，可向甲方所在地的有管辖权人民法院提起诉讼。</w:t>
      </w:r>
    </w:p>
    <w:p>
      <w:pPr>
        <w:snapToGrid w:val="0"/>
        <w:spacing w:line="390" w:lineRule="exact"/>
        <w:ind w:firstLine="420" w:firstLineChars="200"/>
        <w:rPr>
          <w:rFonts w:ascii="宋体"/>
          <w:color w:val="auto"/>
          <w:szCs w:val="21"/>
          <w:highlight w:val="none"/>
        </w:rPr>
      </w:pPr>
      <w:r>
        <w:rPr>
          <w:rFonts w:hint="eastAsia" w:ascii="宋体"/>
          <w:color w:val="auto"/>
          <w:szCs w:val="21"/>
          <w:highlight w:val="none"/>
        </w:rPr>
        <w:t>3．诉讼期间，本合同继续履行。</w:t>
      </w:r>
    </w:p>
    <w:p>
      <w:pPr>
        <w:pStyle w:val="29"/>
        <w:snapToGrid w:val="0"/>
        <w:spacing w:line="390" w:lineRule="exact"/>
        <w:ind w:firstLine="413" w:firstLineChars="196"/>
        <w:rPr>
          <w:b/>
          <w:color w:val="auto"/>
          <w:highlight w:val="none"/>
        </w:rPr>
      </w:pPr>
      <w:r>
        <w:rPr>
          <w:rFonts w:hint="eastAsia"/>
          <w:b/>
          <w:color w:val="auto"/>
          <w:highlight w:val="none"/>
        </w:rPr>
        <w:t>第十七条  诉讼</w:t>
      </w:r>
    </w:p>
    <w:p>
      <w:pPr>
        <w:pStyle w:val="29"/>
        <w:snapToGrid w:val="0"/>
        <w:spacing w:line="390" w:lineRule="exact"/>
        <w:rPr>
          <w:color w:val="auto"/>
          <w:highlight w:val="none"/>
        </w:rPr>
      </w:pPr>
      <w:r>
        <w:rPr>
          <w:rFonts w:hint="eastAsia"/>
          <w:color w:val="auto"/>
          <w:highlight w:val="none"/>
        </w:rPr>
        <w:t xml:space="preserve">    双方在执行合同中所发生的一切争议，应通过协商解决。如果协商不能解决，可向仲裁委员会申请仲裁或向人民法院提起诉讼。</w:t>
      </w:r>
    </w:p>
    <w:p>
      <w:pPr>
        <w:pStyle w:val="29"/>
        <w:snapToGrid w:val="0"/>
        <w:spacing w:line="390" w:lineRule="exact"/>
        <w:rPr>
          <w:b/>
          <w:color w:val="auto"/>
          <w:highlight w:val="none"/>
        </w:rPr>
      </w:pPr>
      <w:r>
        <w:rPr>
          <w:rFonts w:hint="eastAsia"/>
          <w:b/>
          <w:color w:val="auto"/>
          <w:highlight w:val="none"/>
        </w:rPr>
        <w:t xml:space="preserve">    第十八条  合同生效及其它</w:t>
      </w:r>
    </w:p>
    <w:p>
      <w:pPr>
        <w:pStyle w:val="29"/>
        <w:snapToGrid w:val="0"/>
        <w:spacing w:line="390" w:lineRule="exact"/>
        <w:rPr>
          <w:color w:val="auto"/>
          <w:highlight w:val="none"/>
        </w:rPr>
      </w:pPr>
      <w:r>
        <w:rPr>
          <w:rFonts w:hint="eastAsia"/>
          <w:b/>
          <w:color w:val="auto"/>
          <w:highlight w:val="none"/>
        </w:rPr>
        <w:t xml:space="preserve">   </w:t>
      </w:r>
      <w:r>
        <w:rPr>
          <w:rFonts w:hint="eastAsia"/>
          <w:color w:val="auto"/>
          <w:highlight w:val="none"/>
        </w:rPr>
        <w:t xml:space="preserve"> 1．合同经双方法定代表人或授权代表签字并加盖单位公章后生效。</w:t>
      </w:r>
    </w:p>
    <w:p>
      <w:pPr>
        <w:pStyle w:val="29"/>
        <w:snapToGrid w:val="0"/>
        <w:spacing w:line="390" w:lineRule="exact"/>
        <w:rPr>
          <w:color w:val="auto"/>
          <w:highlight w:val="none"/>
        </w:rPr>
      </w:pPr>
      <w:r>
        <w:rPr>
          <w:rFonts w:hint="eastAsia"/>
          <w:color w:val="auto"/>
          <w:highlight w:val="none"/>
        </w:rPr>
        <w:t xml:space="preserve">    2．合同执行中涉及采购资金和采购内容修改或补充的，须经财政部门审批，并签书面补充协议报财政部门备案，方可作为主合同不可分割的一部分。</w:t>
      </w:r>
    </w:p>
    <w:p>
      <w:pPr>
        <w:pStyle w:val="29"/>
        <w:snapToGrid w:val="0"/>
        <w:spacing w:line="390" w:lineRule="exact"/>
        <w:rPr>
          <w:color w:val="auto"/>
          <w:highlight w:val="none"/>
        </w:rPr>
      </w:pPr>
      <w:r>
        <w:rPr>
          <w:rFonts w:hint="eastAsia"/>
          <w:color w:val="auto"/>
          <w:highlight w:val="none"/>
        </w:rPr>
        <w:t xml:space="preserve">    3．</w:t>
      </w:r>
      <w:r>
        <w:rPr>
          <w:rFonts w:hint="eastAsia" w:hAnsi="宋体" w:cs="宋体"/>
          <w:color w:val="auto"/>
          <w:highlight w:val="none"/>
        </w:rPr>
        <w:t>本合同未尽事宜</w:t>
      </w:r>
      <w:r>
        <w:rPr>
          <w:rFonts w:hint="eastAsia" w:hAnsi="宋体" w:cs="宋体"/>
          <w:color w:val="auto"/>
          <w:kern w:val="1"/>
          <w:highlight w:val="none"/>
        </w:rPr>
        <w:t>（包括采购文件及投标文件）</w:t>
      </w:r>
      <w:r>
        <w:rPr>
          <w:rFonts w:hint="eastAsia"/>
          <w:color w:val="auto"/>
          <w:highlight w:val="none"/>
        </w:rPr>
        <w:t>，遵照《中华人民共和国民法典》有关条文执行。</w:t>
      </w:r>
    </w:p>
    <w:p>
      <w:pPr>
        <w:pStyle w:val="29"/>
        <w:snapToGrid w:val="0"/>
        <w:spacing w:line="390" w:lineRule="exact"/>
        <w:rPr>
          <w:b/>
          <w:color w:val="auto"/>
          <w:highlight w:val="none"/>
        </w:rPr>
      </w:pPr>
      <w:r>
        <w:rPr>
          <w:rFonts w:hint="eastAsia" w:hAnsi="宋体"/>
          <w:color w:val="auto"/>
          <w:highlight w:val="none"/>
        </w:rPr>
        <w:t xml:space="preserve">    4.双方确认本合同落款通讯地址作为文书送达地址，该通讯地址适用于包括双方合同履行过程中的各类通知、协议等文件以及就合同发生争议进入民事诉讼程序后的一审、二审、再审和执行程序等阶段法律文书的送达。通讯地址需要变更时应当提前15个工作日书面通知对方。因提供或者确认的通讯地址不准确、通讯地址变更后未及时依程序告知对方或受送达方拒绝签收等原因，导致文书未能被实际接收的，邮寄送达的，以文书退回之日视为送达之日。</w:t>
      </w:r>
    </w:p>
    <w:p>
      <w:pPr>
        <w:snapToGrid w:val="0"/>
        <w:spacing w:line="390" w:lineRule="exact"/>
        <w:ind w:firstLine="421" w:firstLineChars="200"/>
        <w:rPr>
          <w:rFonts w:ascii="宋体"/>
          <w:b/>
          <w:color w:val="auto"/>
          <w:szCs w:val="21"/>
          <w:highlight w:val="none"/>
        </w:rPr>
      </w:pPr>
      <w:r>
        <w:rPr>
          <w:rFonts w:hint="eastAsia" w:ascii="宋体"/>
          <w:b/>
          <w:color w:val="auto"/>
          <w:szCs w:val="21"/>
          <w:highlight w:val="none"/>
        </w:rPr>
        <w:t>第十九条　合同的变更、终止与转让</w:t>
      </w:r>
    </w:p>
    <w:p>
      <w:pPr>
        <w:snapToGrid w:val="0"/>
        <w:spacing w:line="390" w:lineRule="exact"/>
        <w:ind w:firstLine="420" w:firstLineChars="200"/>
        <w:rPr>
          <w:rFonts w:ascii="宋体"/>
          <w:color w:val="auto"/>
          <w:szCs w:val="21"/>
          <w:highlight w:val="none"/>
        </w:rPr>
      </w:pPr>
      <w:r>
        <w:rPr>
          <w:rFonts w:hint="eastAsia" w:ascii="宋体"/>
          <w:color w:val="auto"/>
          <w:szCs w:val="21"/>
          <w:highlight w:val="none"/>
        </w:rPr>
        <w:t>1．除《中华人民共和国政府采购法》第五十条规定的情形外，本合同一经签订，甲乙双方不得擅自变更、中止或终止。</w:t>
      </w:r>
    </w:p>
    <w:p>
      <w:pPr>
        <w:pStyle w:val="29"/>
        <w:snapToGrid w:val="0"/>
        <w:spacing w:line="390" w:lineRule="exact"/>
        <w:ind w:firstLine="411" w:firstLineChars="196"/>
        <w:rPr>
          <w:b/>
          <w:color w:val="auto"/>
          <w:highlight w:val="none"/>
        </w:rPr>
      </w:pPr>
      <w:r>
        <w:rPr>
          <w:rFonts w:hint="eastAsia"/>
          <w:color w:val="auto"/>
          <w:highlight w:val="none"/>
        </w:rPr>
        <w:t>2．乙方不得擅自转让（无进口资格的供应商委托进口货物除外）其应履行的合同义务。</w:t>
      </w:r>
    </w:p>
    <w:p>
      <w:pPr>
        <w:snapToGrid w:val="0"/>
        <w:spacing w:line="390" w:lineRule="exact"/>
        <w:ind w:firstLine="421" w:firstLineChars="200"/>
        <w:rPr>
          <w:rFonts w:ascii="宋体"/>
          <w:b/>
          <w:color w:val="auto"/>
          <w:szCs w:val="21"/>
          <w:highlight w:val="none"/>
        </w:rPr>
      </w:pPr>
      <w:r>
        <w:rPr>
          <w:rFonts w:hint="eastAsia" w:ascii="宋体"/>
          <w:b/>
          <w:color w:val="auto"/>
          <w:szCs w:val="21"/>
          <w:highlight w:val="none"/>
        </w:rPr>
        <w:t>第二十条　签订本合同依据</w:t>
      </w:r>
    </w:p>
    <w:p>
      <w:pPr>
        <w:snapToGrid w:val="0"/>
        <w:spacing w:line="390" w:lineRule="exact"/>
        <w:ind w:firstLine="420" w:firstLineChars="200"/>
        <w:rPr>
          <w:rFonts w:ascii="宋体"/>
          <w:color w:val="auto"/>
          <w:szCs w:val="21"/>
          <w:highlight w:val="none"/>
        </w:rPr>
      </w:pPr>
      <w:r>
        <w:rPr>
          <w:rFonts w:hint="eastAsia" w:ascii="宋体"/>
          <w:color w:val="auto"/>
          <w:szCs w:val="21"/>
          <w:highlight w:val="none"/>
        </w:rPr>
        <w:t>1．政府采购招标文件；</w:t>
      </w:r>
    </w:p>
    <w:p>
      <w:pPr>
        <w:snapToGrid w:val="0"/>
        <w:spacing w:line="390" w:lineRule="exact"/>
        <w:ind w:firstLine="420" w:firstLineChars="200"/>
        <w:rPr>
          <w:rFonts w:ascii="宋体"/>
          <w:color w:val="auto"/>
          <w:szCs w:val="21"/>
          <w:highlight w:val="none"/>
        </w:rPr>
      </w:pPr>
      <w:r>
        <w:rPr>
          <w:rFonts w:hint="eastAsia" w:ascii="宋体"/>
          <w:color w:val="auto"/>
          <w:szCs w:val="21"/>
          <w:highlight w:val="none"/>
        </w:rPr>
        <w:t>2．乙方提供的投标文件；</w:t>
      </w:r>
    </w:p>
    <w:p>
      <w:pPr>
        <w:snapToGrid w:val="0"/>
        <w:spacing w:line="390" w:lineRule="exact"/>
        <w:ind w:firstLine="420" w:firstLineChars="200"/>
        <w:rPr>
          <w:rFonts w:ascii="宋体"/>
          <w:color w:val="auto"/>
          <w:szCs w:val="21"/>
          <w:highlight w:val="none"/>
        </w:rPr>
      </w:pPr>
      <w:r>
        <w:rPr>
          <w:rFonts w:hint="eastAsia" w:ascii="宋体"/>
          <w:color w:val="auto"/>
          <w:szCs w:val="21"/>
          <w:highlight w:val="none"/>
        </w:rPr>
        <w:t>3．投标承诺书；</w:t>
      </w:r>
    </w:p>
    <w:p>
      <w:pPr>
        <w:snapToGrid w:val="0"/>
        <w:spacing w:line="390" w:lineRule="exact"/>
        <w:ind w:firstLine="420" w:firstLineChars="200"/>
        <w:rPr>
          <w:rFonts w:ascii="宋体"/>
          <w:color w:val="auto"/>
          <w:szCs w:val="21"/>
          <w:highlight w:val="none"/>
          <w:u w:val="single"/>
        </w:rPr>
      </w:pPr>
      <w:r>
        <w:rPr>
          <w:rFonts w:hint="eastAsia" w:ascii="宋体"/>
          <w:color w:val="auto"/>
          <w:szCs w:val="21"/>
          <w:highlight w:val="none"/>
        </w:rPr>
        <w:t>4．中标通知书。</w:t>
      </w:r>
    </w:p>
    <w:p>
      <w:pPr>
        <w:snapToGrid w:val="0"/>
        <w:spacing w:line="390" w:lineRule="exact"/>
        <w:ind w:firstLine="421" w:firstLineChars="200"/>
        <w:rPr>
          <w:rFonts w:ascii="宋体"/>
          <w:color w:val="auto"/>
          <w:szCs w:val="21"/>
          <w:highlight w:val="none"/>
        </w:rPr>
      </w:pPr>
      <w:r>
        <w:rPr>
          <w:rFonts w:hint="eastAsia" w:ascii="宋体"/>
          <w:b/>
          <w:color w:val="auto"/>
          <w:szCs w:val="21"/>
          <w:highlight w:val="none"/>
        </w:rPr>
        <w:t>第二十一条　</w:t>
      </w:r>
      <w:r>
        <w:rPr>
          <w:rFonts w:hint="eastAsia" w:ascii="宋体"/>
          <w:bCs/>
          <w:color w:val="auto"/>
          <w:szCs w:val="21"/>
          <w:highlight w:val="none"/>
          <w:lang w:val="en"/>
        </w:rPr>
        <w:t>本合同一式六份，具有同等法律效力。广西壮族自治区财政厅政府采购监督管理处、代理机构各一份，甲方三份，乙方一份。自签订之日起两个工作日内，甲方应当将合同通过广西政府采购云平台上传完成合同网上公示。</w:t>
      </w:r>
    </w:p>
    <w:p>
      <w:pPr>
        <w:snapToGrid w:val="0"/>
        <w:spacing w:line="390" w:lineRule="exact"/>
        <w:ind w:firstLine="420" w:firstLineChars="200"/>
        <w:rPr>
          <w:rFonts w:ascii="宋体"/>
          <w:color w:val="auto"/>
          <w:szCs w:val="21"/>
          <w:highlight w:val="none"/>
        </w:rPr>
      </w:pPr>
    </w:p>
    <w:tbl>
      <w:tblPr>
        <w:tblStyle w:val="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16"/>
        <w:gridCol w:w="47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8" w:hRule="atLeast"/>
        </w:trPr>
        <w:tc>
          <w:tcPr>
            <w:tcW w:w="4516"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rPr>
                <w:rFonts w:ascii="宋体"/>
                <w:color w:val="auto"/>
                <w:szCs w:val="21"/>
                <w:highlight w:val="none"/>
              </w:rPr>
            </w:pPr>
            <w:r>
              <w:rPr>
                <w:rFonts w:hint="eastAsia" w:ascii="宋体"/>
                <w:color w:val="auto"/>
                <w:szCs w:val="21"/>
                <w:highlight w:val="none"/>
              </w:rPr>
              <w:t xml:space="preserve">甲方（章）           </w:t>
            </w:r>
          </w:p>
          <w:p>
            <w:pPr>
              <w:snapToGrid w:val="0"/>
              <w:spacing w:line="360" w:lineRule="exact"/>
              <w:rPr>
                <w:rFonts w:ascii="宋体"/>
                <w:color w:val="auto"/>
                <w:szCs w:val="21"/>
                <w:highlight w:val="none"/>
              </w:rPr>
            </w:pPr>
          </w:p>
          <w:p>
            <w:pPr>
              <w:snapToGrid w:val="0"/>
              <w:spacing w:line="360" w:lineRule="exact"/>
              <w:rPr>
                <w:rFonts w:ascii="宋体"/>
                <w:color w:val="auto"/>
                <w:szCs w:val="21"/>
                <w:highlight w:val="none"/>
              </w:rPr>
            </w:pPr>
          </w:p>
          <w:p>
            <w:pPr>
              <w:snapToGrid w:val="0"/>
              <w:spacing w:line="360" w:lineRule="exact"/>
              <w:ind w:firstLine="945" w:firstLineChars="450"/>
              <w:jc w:val="right"/>
              <w:rPr>
                <w:rFonts w:ascii="宋体"/>
                <w:color w:val="auto"/>
                <w:szCs w:val="21"/>
                <w:highlight w:val="none"/>
              </w:rPr>
            </w:pPr>
            <w:r>
              <w:rPr>
                <w:rFonts w:hint="eastAsia" w:ascii="宋体"/>
                <w:color w:val="auto"/>
                <w:szCs w:val="21"/>
                <w:highlight w:val="none"/>
              </w:rPr>
              <w:t>年   月   日</w:t>
            </w:r>
          </w:p>
        </w:tc>
        <w:tc>
          <w:tcPr>
            <w:tcW w:w="4772"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rPr>
                <w:rFonts w:ascii="宋体"/>
                <w:color w:val="auto"/>
                <w:szCs w:val="21"/>
                <w:highlight w:val="none"/>
              </w:rPr>
            </w:pPr>
            <w:r>
              <w:rPr>
                <w:rFonts w:hint="eastAsia" w:ascii="宋体"/>
                <w:color w:val="auto"/>
                <w:szCs w:val="21"/>
                <w:highlight w:val="none"/>
              </w:rPr>
              <w:t xml:space="preserve">乙方（章）             </w:t>
            </w:r>
          </w:p>
          <w:p>
            <w:pPr>
              <w:snapToGrid w:val="0"/>
              <w:spacing w:line="360" w:lineRule="exact"/>
              <w:rPr>
                <w:rFonts w:ascii="宋体"/>
                <w:color w:val="auto"/>
                <w:szCs w:val="21"/>
                <w:highlight w:val="none"/>
              </w:rPr>
            </w:pPr>
          </w:p>
          <w:p>
            <w:pPr>
              <w:snapToGrid w:val="0"/>
              <w:spacing w:line="360" w:lineRule="exact"/>
              <w:rPr>
                <w:rFonts w:ascii="宋体"/>
                <w:color w:val="auto"/>
                <w:szCs w:val="21"/>
                <w:highlight w:val="none"/>
              </w:rPr>
            </w:pPr>
          </w:p>
          <w:p>
            <w:pPr>
              <w:snapToGrid w:val="0"/>
              <w:spacing w:line="360" w:lineRule="exact"/>
              <w:jc w:val="right"/>
              <w:rPr>
                <w:rFonts w:ascii="宋体"/>
                <w:color w:val="auto"/>
                <w:szCs w:val="21"/>
                <w:highlight w:val="none"/>
              </w:rPr>
            </w:pPr>
            <w:r>
              <w:rPr>
                <w:rFonts w:hint="eastAsia" w:ascii="宋体"/>
                <w:color w:val="auto"/>
                <w:szCs w:val="21"/>
                <w:highlight w:val="none"/>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5" w:hRule="atLeast"/>
        </w:trPr>
        <w:tc>
          <w:tcPr>
            <w:tcW w:w="4516"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rPr>
                <w:rFonts w:hint="eastAsia" w:ascii="宋体" w:hAnsi="宋体"/>
                <w:color w:val="auto"/>
                <w:szCs w:val="21"/>
                <w:highlight w:val="none"/>
              </w:rPr>
            </w:pPr>
            <w:r>
              <w:rPr>
                <w:rFonts w:hint="eastAsia" w:ascii="宋体" w:hAnsi="宋体"/>
                <w:color w:val="auto"/>
                <w:szCs w:val="21"/>
                <w:highlight w:val="none"/>
              </w:rPr>
              <w:t>通讯地址：</w:t>
            </w:r>
          </w:p>
        </w:tc>
        <w:tc>
          <w:tcPr>
            <w:tcW w:w="4772"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rPr>
                <w:rFonts w:hint="eastAsia" w:ascii="宋体" w:hAnsi="宋体"/>
                <w:color w:val="auto"/>
                <w:szCs w:val="21"/>
                <w:highlight w:val="none"/>
              </w:rPr>
            </w:pPr>
            <w:r>
              <w:rPr>
                <w:rFonts w:hint="eastAsia" w:ascii="宋体" w:hAnsi="宋体"/>
                <w:color w:val="auto"/>
                <w:szCs w:val="21"/>
                <w:highlight w:val="none"/>
              </w:rPr>
              <w:t>通讯地址：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5" w:hRule="atLeast"/>
        </w:trPr>
        <w:tc>
          <w:tcPr>
            <w:tcW w:w="4516"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rPr>
                <w:rFonts w:ascii="宋体"/>
                <w:color w:val="auto"/>
                <w:szCs w:val="21"/>
                <w:highlight w:val="none"/>
              </w:rPr>
            </w:pPr>
            <w:r>
              <w:rPr>
                <w:rFonts w:hint="eastAsia" w:ascii="宋体"/>
                <w:color w:val="auto"/>
                <w:szCs w:val="21"/>
                <w:highlight w:val="none"/>
              </w:rPr>
              <w:t>法定代表人：</w:t>
            </w:r>
          </w:p>
        </w:tc>
        <w:tc>
          <w:tcPr>
            <w:tcW w:w="4772"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rPr>
                <w:rFonts w:ascii="宋体"/>
                <w:color w:val="auto"/>
                <w:szCs w:val="21"/>
                <w:highlight w:val="none"/>
              </w:rPr>
            </w:pPr>
            <w:r>
              <w:rPr>
                <w:rFonts w:hint="eastAsia" w:ascii="宋体"/>
                <w:color w:val="auto"/>
                <w:szCs w:val="21"/>
                <w:highlight w:val="none"/>
              </w:rPr>
              <w:t>法定代表人：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6" w:hRule="atLeast"/>
        </w:trPr>
        <w:tc>
          <w:tcPr>
            <w:tcW w:w="4516"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rPr>
                <w:rFonts w:ascii="宋体"/>
                <w:color w:val="auto"/>
                <w:szCs w:val="21"/>
                <w:highlight w:val="none"/>
              </w:rPr>
            </w:pPr>
            <w:r>
              <w:rPr>
                <w:rFonts w:hint="eastAsia" w:ascii="宋体"/>
                <w:color w:val="auto"/>
                <w:szCs w:val="21"/>
                <w:highlight w:val="none"/>
              </w:rPr>
              <w:t>委托代理人：</w:t>
            </w:r>
          </w:p>
        </w:tc>
        <w:tc>
          <w:tcPr>
            <w:tcW w:w="4772"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rPr>
                <w:rFonts w:ascii="宋体"/>
                <w:color w:val="auto"/>
                <w:szCs w:val="21"/>
                <w:highlight w:val="none"/>
              </w:rPr>
            </w:pPr>
            <w:r>
              <w:rPr>
                <w:rFonts w:hint="eastAsia" w:ascii="宋体"/>
                <w:color w:val="auto"/>
                <w:szCs w:val="21"/>
                <w:highlight w:val="none"/>
              </w:rPr>
              <w:t>委托代理人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5" w:hRule="atLeast"/>
        </w:trPr>
        <w:tc>
          <w:tcPr>
            <w:tcW w:w="4516"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rPr>
                <w:rFonts w:ascii="宋体"/>
                <w:color w:val="auto"/>
                <w:szCs w:val="21"/>
                <w:highlight w:val="none"/>
              </w:rPr>
            </w:pPr>
            <w:r>
              <w:rPr>
                <w:rFonts w:hint="eastAsia" w:ascii="宋体"/>
                <w:color w:val="auto"/>
                <w:szCs w:val="21"/>
                <w:highlight w:val="none"/>
              </w:rPr>
              <w:t>电话：</w:t>
            </w:r>
          </w:p>
        </w:tc>
        <w:tc>
          <w:tcPr>
            <w:tcW w:w="4772"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rPr>
                <w:rFonts w:ascii="宋体"/>
                <w:color w:val="auto"/>
                <w:szCs w:val="21"/>
                <w:highlight w:val="none"/>
              </w:rPr>
            </w:pPr>
            <w:r>
              <w:rPr>
                <w:rFonts w:hint="eastAsia" w:ascii="宋体"/>
                <w:color w:val="auto"/>
                <w:szCs w:val="21"/>
                <w:highlight w:val="none"/>
              </w:rPr>
              <w:t>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5" w:hRule="atLeast"/>
        </w:trPr>
        <w:tc>
          <w:tcPr>
            <w:tcW w:w="4516"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rPr>
                <w:rFonts w:ascii="宋体"/>
                <w:color w:val="auto"/>
                <w:szCs w:val="21"/>
                <w:highlight w:val="none"/>
              </w:rPr>
            </w:pPr>
            <w:r>
              <w:rPr>
                <w:rFonts w:hint="eastAsia" w:ascii="宋体"/>
                <w:color w:val="auto"/>
                <w:szCs w:val="21"/>
                <w:highlight w:val="none"/>
              </w:rPr>
              <w:t>电子邮箱：</w:t>
            </w:r>
          </w:p>
        </w:tc>
        <w:tc>
          <w:tcPr>
            <w:tcW w:w="4772"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rPr>
                <w:rFonts w:ascii="宋体"/>
                <w:color w:val="auto"/>
                <w:szCs w:val="21"/>
                <w:highlight w:val="none"/>
              </w:rPr>
            </w:pPr>
            <w:r>
              <w:rPr>
                <w:rFonts w:hint="eastAsia" w:ascii="宋体"/>
                <w:color w:val="auto"/>
                <w:szCs w:val="21"/>
                <w:highlight w:val="none"/>
              </w:rPr>
              <w:t>电子邮箱：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6" w:hRule="atLeast"/>
        </w:trPr>
        <w:tc>
          <w:tcPr>
            <w:tcW w:w="4516"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rPr>
                <w:color w:val="auto"/>
                <w:highlight w:val="none"/>
              </w:rPr>
            </w:pPr>
            <w:r>
              <w:rPr>
                <w:rFonts w:hint="eastAsia"/>
                <w:color w:val="auto"/>
                <w:highlight w:val="none"/>
              </w:rPr>
              <w:t>开户银行：</w:t>
            </w:r>
          </w:p>
          <w:p>
            <w:pPr>
              <w:pStyle w:val="5"/>
              <w:rPr>
                <w:color w:val="auto"/>
                <w:highlight w:val="none"/>
              </w:rPr>
            </w:pPr>
          </w:p>
        </w:tc>
        <w:tc>
          <w:tcPr>
            <w:tcW w:w="4772"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rPr>
                <w:color w:val="auto"/>
                <w:highlight w:val="none"/>
              </w:rPr>
            </w:pPr>
            <w:r>
              <w:rPr>
                <w:rFonts w:hint="eastAsia"/>
                <w:color w:val="auto"/>
                <w:highlight w:val="none"/>
              </w:rPr>
              <w:t>开户银行：</w:t>
            </w:r>
          </w:p>
          <w:p>
            <w:pPr>
              <w:pStyle w:val="5"/>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5" w:hRule="atLeast"/>
        </w:trPr>
        <w:tc>
          <w:tcPr>
            <w:tcW w:w="4516"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rPr>
                <w:rFonts w:ascii="宋体"/>
                <w:color w:val="auto"/>
                <w:szCs w:val="21"/>
                <w:highlight w:val="none"/>
              </w:rPr>
            </w:pPr>
            <w:r>
              <w:rPr>
                <w:rFonts w:hint="eastAsia" w:ascii="宋体"/>
                <w:color w:val="auto"/>
                <w:szCs w:val="21"/>
                <w:highlight w:val="none"/>
              </w:rPr>
              <w:t>账号：</w:t>
            </w:r>
          </w:p>
        </w:tc>
        <w:tc>
          <w:tcPr>
            <w:tcW w:w="4772"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rPr>
                <w:color w:val="auto"/>
                <w:highlight w:val="none"/>
              </w:rPr>
            </w:pPr>
            <w:r>
              <w:rPr>
                <w:rFonts w:hint="eastAsia"/>
                <w:color w:val="auto"/>
                <w:highlight w:val="none"/>
              </w:rPr>
              <w:t>账号：</w:t>
            </w:r>
          </w:p>
          <w:p>
            <w:pPr>
              <w:pStyle w:val="5"/>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6" w:hRule="atLeast"/>
        </w:trPr>
        <w:tc>
          <w:tcPr>
            <w:tcW w:w="4516"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rPr>
                <w:color w:val="auto"/>
                <w:highlight w:val="none"/>
              </w:rPr>
            </w:pPr>
            <w:r>
              <w:rPr>
                <w:rFonts w:hint="eastAsia"/>
                <w:color w:val="auto"/>
                <w:highlight w:val="none"/>
              </w:rPr>
              <w:t>邮政编码：</w:t>
            </w:r>
          </w:p>
          <w:p>
            <w:pPr>
              <w:pStyle w:val="5"/>
              <w:rPr>
                <w:color w:val="auto"/>
                <w:highlight w:val="none"/>
              </w:rPr>
            </w:pPr>
          </w:p>
        </w:tc>
        <w:tc>
          <w:tcPr>
            <w:tcW w:w="4772"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rPr>
                <w:color w:val="auto"/>
                <w:highlight w:val="none"/>
              </w:rPr>
            </w:pPr>
            <w:r>
              <w:rPr>
                <w:rFonts w:hint="eastAsia"/>
                <w:color w:val="auto"/>
                <w:highlight w:val="none"/>
              </w:rPr>
              <w:t>邮政编码：</w:t>
            </w:r>
          </w:p>
          <w:p>
            <w:pPr>
              <w:pStyle w:val="5"/>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3" w:hRule="atLeast"/>
        </w:trPr>
        <w:tc>
          <w:tcPr>
            <w:tcW w:w="9288" w:type="dxa"/>
            <w:gridSpan w:val="2"/>
            <w:tcBorders>
              <w:top w:val="single" w:color="auto" w:sz="4" w:space="0"/>
              <w:left w:val="single" w:color="auto" w:sz="4" w:space="0"/>
              <w:bottom w:val="single" w:color="auto" w:sz="4" w:space="0"/>
              <w:right w:val="single" w:color="auto" w:sz="4" w:space="0"/>
            </w:tcBorders>
          </w:tcPr>
          <w:p>
            <w:pPr>
              <w:snapToGrid w:val="0"/>
              <w:spacing w:line="360" w:lineRule="exact"/>
              <w:rPr>
                <w:rFonts w:ascii="宋体"/>
                <w:color w:val="auto"/>
                <w:szCs w:val="21"/>
                <w:highlight w:val="none"/>
              </w:rPr>
            </w:pPr>
            <w:r>
              <w:rPr>
                <w:rFonts w:hint="eastAsia" w:ascii="宋体"/>
                <w:color w:val="auto"/>
                <w:szCs w:val="21"/>
                <w:highlight w:val="none"/>
              </w:rPr>
              <w:t>经办人：</w:t>
            </w:r>
          </w:p>
          <w:p>
            <w:pPr>
              <w:snapToGrid w:val="0"/>
              <w:spacing w:line="360" w:lineRule="exact"/>
              <w:rPr>
                <w:rFonts w:ascii="宋体"/>
                <w:color w:val="auto"/>
                <w:szCs w:val="21"/>
                <w:highlight w:val="none"/>
              </w:rPr>
            </w:pPr>
          </w:p>
          <w:p>
            <w:pPr>
              <w:snapToGrid w:val="0"/>
              <w:spacing w:line="360" w:lineRule="exact"/>
              <w:ind w:firstLine="630" w:firstLineChars="300"/>
              <w:jc w:val="right"/>
              <w:rPr>
                <w:rFonts w:ascii="宋体"/>
                <w:color w:val="auto"/>
                <w:szCs w:val="21"/>
                <w:highlight w:val="none"/>
              </w:rPr>
            </w:pPr>
          </w:p>
          <w:p>
            <w:pPr>
              <w:snapToGrid w:val="0"/>
              <w:spacing w:line="360" w:lineRule="exact"/>
              <w:ind w:firstLine="630" w:firstLineChars="300"/>
              <w:jc w:val="right"/>
              <w:rPr>
                <w:rFonts w:ascii="宋体"/>
                <w:color w:val="auto"/>
                <w:szCs w:val="21"/>
                <w:highlight w:val="none"/>
              </w:rPr>
            </w:pPr>
            <w:r>
              <w:rPr>
                <w:rFonts w:hint="eastAsia" w:ascii="宋体"/>
                <w:color w:val="auto"/>
                <w:szCs w:val="21"/>
                <w:highlight w:val="none"/>
              </w:rPr>
              <w:t>年    月    日</w:t>
            </w:r>
          </w:p>
        </w:tc>
      </w:tr>
    </w:tbl>
    <w:p>
      <w:pPr>
        <w:snapToGrid w:val="0"/>
        <w:spacing w:line="360" w:lineRule="exact"/>
        <w:jc w:val="center"/>
        <w:rPr>
          <w:rFonts w:ascii="宋体"/>
          <w:b/>
          <w:color w:val="auto"/>
          <w:sz w:val="28"/>
          <w:szCs w:val="28"/>
          <w:highlight w:val="none"/>
        </w:rPr>
      </w:pPr>
    </w:p>
    <w:p>
      <w:pPr>
        <w:snapToGrid w:val="0"/>
        <w:spacing w:line="360" w:lineRule="exact"/>
        <w:jc w:val="center"/>
        <w:rPr>
          <w:rFonts w:ascii="宋体"/>
          <w:b/>
          <w:color w:val="auto"/>
          <w:sz w:val="28"/>
          <w:szCs w:val="28"/>
          <w:highlight w:val="none"/>
        </w:rPr>
      </w:pPr>
    </w:p>
    <w:p>
      <w:pPr>
        <w:snapToGrid w:val="0"/>
        <w:spacing w:line="360" w:lineRule="exact"/>
        <w:jc w:val="center"/>
        <w:rPr>
          <w:rFonts w:ascii="宋体"/>
          <w:b/>
          <w:color w:val="auto"/>
          <w:sz w:val="28"/>
          <w:szCs w:val="28"/>
          <w:highlight w:val="none"/>
        </w:rPr>
      </w:pPr>
      <w:r>
        <w:rPr>
          <w:rFonts w:hint="eastAsia" w:ascii="宋体"/>
          <w:b/>
          <w:color w:val="auto"/>
          <w:sz w:val="28"/>
          <w:szCs w:val="28"/>
          <w:highlight w:val="none"/>
        </w:rPr>
        <w:t>合 同 附 件</w:t>
      </w:r>
    </w:p>
    <w:p>
      <w:pPr>
        <w:snapToGrid w:val="0"/>
        <w:spacing w:line="360" w:lineRule="exact"/>
        <w:jc w:val="center"/>
        <w:rPr>
          <w:rFonts w:ascii="宋体"/>
          <w:b/>
          <w:color w:val="auto"/>
          <w:szCs w:val="21"/>
          <w:highlight w:val="none"/>
        </w:rPr>
      </w:pPr>
    </w:p>
    <w:tbl>
      <w:tblPr>
        <w:tblStyle w:val="52"/>
        <w:tblW w:w="0" w:type="auto"/>
        <w:tblInd w:w="0" w:type="dxa"/>
        <w:tblLayout w:type="fixed"/>
        <w:tblCellMar>
          <w:top w:w="0" w:type="dxa"/>
          <w:left w:w="108" w:type="dxa"/>
          <w:bottom w:w="0" w:type="dxa"/>
          <w:right w:w="108" w:type="dxa"/>
        </w:tblCellMar>
      </w:tblPr>
      <w:tblGrid>
        <w:gridCol w:w="4788"/>
        <w:gridCol w:w="4680"/>
      </w:tblGrid>
      <w:tr>
        <w:tblPrEx>
          <w:tblCellMar>
            <w:top w:w="0" w:type="dxa"/>
            <w:left w:w="108" w:type="dxa"/>
            <w:bottom w:w="0" w:type="dxa"/>
            <w:right w:w="108" w:type="dxa"/>
          </w:tblCellMar>
        </w:tblPrEx>
        <w:trPr>
          <w:trHeight w:val="1017" w:hRule="atLeast"/>
        </w:trPr>
        <w:tc>
          <w:tcPr>
            <w:tcW w:w="9468" w:type="dxa"/>
            <w:gridSpan w:val="2"/>
            <w:tcBorders>
              <w:top w:val="single" w:color="auto" w:sz="4" w:space="0"/>
              <w:left w:val="single" w:color="auto" w:sz="4" w:space="0"/>
              <w:bottom w:val="nil"/>
              <w:right w:val="single" w:color="auto" w:sz="4" w:space="0"/>
            </w:tcBorders>
          </w:tcPr>
          <w:p>
            <w:pPr>
              <w:snapToGrid w:val="0"/>
              <w:spacing w:line="360" w:lineRule="exact"/>
              <w:rPr>
                <w:rFonts w:ascii="宋体"/>
                <w:b/>
                <w:color w:val="auto"/>
                <w:szCs w:val="21"/>
                <w:highlight w:val="none"/>
              </w:rPr>
            </w:pPr>
            <w:r>
              <w:rPr>
                <w:rFonts w:hint="eastAsia" w:ascii="宋体"/>
                <w:b/>
                <w:color w:val="auto"/>
                <w:szCs w:val="21"/>
                <w:highlight w:val="none"/>
              </w:rPr>
              <w:t>1、供应商承诺具体事项：</w:t>
            </w:r>
          </w:p>
        </w:tc>
      </w:tr>
      <w:tr>
        <w:tblPrEx>
          <w:tblCellMar>
            <w:top w:w="0" w:type="dxa"/>
            <w:left w:w="108" w:type="dxa"/>
            <w:bottom w:w="0" w:type="dxa"/>
            <w:right w:w="108" w:type="dxa"/>
          </w:tblCellMar>
        </w:tblPrEx>
        <w:trPr>
          <w:trHeight w:val="1060" w:hRule="atLeast"/>
        </w:trPr>
        <w:tc>
          <w:tcPr>
            <w:tcW w:w="9468" w:type="dxa"/>
            <w:gridSpan w:val="2"/>
            <w:tcBorders>
              <w:top w:val="single" w:color="auto" w:sz="4" w:space="0"/>
              <w:left w:val="single" w:color="auto" w:sz="4" w:space="0"/>
              <w:bottom w:val="nil"/>
              <w:right w:val="single" w:color="auto" w:sz="4" w:space="0"/>
            </w:tcBorders>
          </w:tcPr>
          <w:p>
            <w:pPr>
              <w:snapToGrid w:val="0"/>
              <w:spacing w:line="360" w:lineRule="exact"/>
              <w:rPr>
                <w:rFonts w:ascii="宋体"/>
                <w:b/>
                <w:color w:val="auto"/>
                <w:szCs w:val="21"/>
                <w:highlight w:val="none"/>
              </w:rPr>
            </w:pPr>
            <w:r>
              <w:rPr>
                <w:rFonts w:hint="eastAsia" w:ascii="宋体"/>
                <w:b/>
                <w:color w:val="auto"/>
                <w:szCs w:val="21"/>
                <w:highlight w:val="none"/>
              </w:rPr>
              <w:t>2、售后服务具体事项：</w:t>
            </w:r>
          </w:p>
        </w:tc>
      </w:tr>
      <w:tr>
        <w:tblPrEx>
          <w:tblCellMar>
            <w:top w:w="0" w:type="dxa"/>
            <w:left w:w="108" w:type="dxa"/>
            <w:bottom w:w="0" w:type="dxa"/>
            <w:right w:w="108" w:type="dxa"/>
          </w:tblCellMar>
        </w:tblPrEx>
        <w:trPr>
          <w:trHeight w:val="1043" w:hRule="atLeast"/>
        </w:trPr>
        <w:tc>
          <w:tcPr>
            <w:tcW w:w="9468" w:type="dxa"/>
            <w:gridSpan w:val="2"/>
            <w:tcBorders>
              <w:top w:val="single" w:color="auto" w:sz="4" w:space="0"/>
              <w:left w:val="single" w:color="auto" w:sz="4" w:space="0"/>
              <w:bottom w:val="nil"/>
              <w:right w:val="single" w:color="auto" w:sz="4" w:space="0"/>
            </w:tcBorders>
          </w:tcPr>
          <w:p>
            <w:pPr>
              <w:snapToGrid w:val="0"/>
              <w:spacing w:line="360" w:lineRule="exact"/>
              <w:rPr>
                <w:rFonts w:ascii="宋体"/>
                <w:b/>
                <w:color w:val="auto"/>
                <w:szCs w:val="21"/>
                <w:highlight w:val="none"/>
              </w:rPr>
            </w:pPr>
            <w:r>
              <w:rPr>
                <w:rFonts w:hint="eastAsia" w:ascii="宋体"/>
                <w:b/>
                <w:color w:val="auto"/>
                <w:szCs w:val="21"/>
                <w:highlight w:val="none"/>
              </w:rPr>
              <w:t>3、保修期责任：</w:t>
            </w:r>
          </w:p>
        </w:tc>
      </w:tr>
      <w:tr>
        <w:tblPrEx>
          <w:tblCellMar>
            <w:top w:w="0" w:type="dxa"/>
            <w:left w:w="108" w:type="dxa"/>
            <w:bottom w:w="0" w:type="dxa"/>
            <w:right w:w="108" w:type="dxa"/>
          </w:tblCellMar>
        </w:tblPrEx>
        <w:trPr>
          <w:trHeight w:val="1266" w:hRule="atLeast"/>
        </w:trPr>
        <w:tc>
          <w:tcPr>
            <w:tcW w:w="9468" w:type="dxa"/>
            <w:gridSpan w:val="2"/>
            <w:tcBorders>
              <w:top w:val="single" w:color="auto" w:sz="4" w:space="0"/>
              <w:left w:val="single" w:color="auto" w:sz="4" w:space="0"/>
              <w:bottom w:val="nil"/>
              <w:right w:val="single" w:color="auto" w:sz="4" w:space="0"/>
            </w:tcBorders>
          </w:tcPr>
          <w:p>
            <w:pPr>
              <w:snapToGrid w:val="0"/>
              <w:spacing w:line="360" w:lineRule="exact"/>
              <w:rPr>
                <w:rFonts w:ascii="宋体"/>
                <w:b/>
                <w:color w:val="auto"/>
                <w:szCs w:val="21"/>
                <w:highlight w:val="none"/>
              </w:rPr>
            </w:pPr>
            <w:r>
              <w:rPr>
                <w:rFonts w:hint="eastAsia" w:ascii="宋体"/>
                <w:b/>
                <w:color w:val="auto"/>
                <w:szCs w:val="21"/>
                <w:highlight w:val="none"/>
              </w:rPr>
              <w:t>4、其他具体事项：</w:t>
            </w:r>
          </w:p>
        </w:tc>
      </w:tr>
      <w:tr>
        <w:tblPrEx>
          <w:tblCellMar>
            <w:top w:w="0" w:type="dxa"/>
            <w:left w:w="108" w:type="dxa"/>
            <w:bottom w:w="0" w:type="dxa"/>
            <w:right w:w="108" w:type="dxa"/>
          </w:tblCellMar>
        </w:tblPrEx>
        <w:trPr>
          <w:trHeight w:val="3267" w:hRule="atLeast"/>
        </w:trPr>
        <w:tc>
          <w:tcPr>
            <w:tcW w:w="4788"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ind w:firstLine="421" w:firstLineChars="200"/>
              <w:rPr>
                <w:rFonts w:ascii="宋体"/>
                <w:b/>
                <w:color w:val="auto"/>
                <w:szCs w:val="21"/>
                <w:highlight w:val="none"/>
              </w:rPr>
            </w:pPr>
            <w:r>
              <w:rPr>
                <w:rFonts w:hint="eastAsia" w:ascii="宋体"/>
                <w:b/>
                <w:color w:val="auto"/>
                <w:szCs w:val="21"/>
                <w:highlight w:val="none"/>
              </w:rPr>
              <w:t>甲方（章）</w:t>
            </w:r>
          </w:p>
          <w:p>
            <w:pPr>
              <w:snapToGrid w:val="0"/>
              <w:spacing w:line="360" w:lineRule="exact"/>
              <w:ind w:firstLine="421" w:firstLineChars="200"/>
              <w:rPr>
                <w:rFonts w:ascii="宋体"/>
                <w:b/>
                <w:color w:val="auto"/>
                <w:szCs w:val="21"/>
                <w:highlight w:val="none"/>
              </w:rPr>
            </w:pPr>
          </w:p>
          <w:p>
            <w:pPr>
              <w:snapToGrid w:val="0"/>
              <w:spacing w:line="360" w:lineRule="exact"/>
              <w:ind w:firstLine="421" w:firstLineChars="200"/>
              <w:rPr>
                <w:rFonts w:ascii="宋体"/>
                <w:b/>
                <w:color w:val="auto"/>
                <w:szCs w:val="21"/>
                <w:highlight w:val="none"/>
              </w:rPr>
            </w:pPr>
          </w:p>
          <w:p>
            <w:pPr>
              <w:snapToGrid w:val="0"/>
              <w:spacing w:line="360" w:lineRule="exact"/>
              <w:ind w:firstLine="421" w:firstLineChars="200"/>
              <w:rPr>
                <w:rFonts w:ascii="宋体"/>
                <w:b/>
                <w:color w:val="auto"/>
                <w:szCs w:val="21"/>
                <w:highlight w:val="none"/>
              </w:rPr>
            </w:pPr>
          </w:p>
          <w:p>
            <w:pPr>
              <w:snapToGrid w:val="0"/>
              <w:spacing w:line="360" w:lineRule="exact"/>
              <w:ind w:firstLine="421" w:firstLineChars="200"/>
              <w:rPr>
                <w:rFonts w:ascii="宋体"/>
                <w:b/>
                <w:color w:val="auto"/>
                <w:szCs w:val="21"/>
                <w:highlight w:val="none"/>
              </w:rPr>
            </w:pPr>
            <w:r>
              <w:rPr>
                <w:rFonts w:hint="eastAsia" w:ascii="宋体"/>
                <w:b/>
                <w:color w:val="auto"/>
                <w:szCs w:val="21"/>
                <w:highlight w:val="none"/>
              </w:rPr>
              <w:t xml:space="preserve">                      年   月   日 </w:t>
            </w:r>
          </w:p>
        </w:tc>
        <w:tc>
          <w:tcPr>
            <w:tcW w:w="4680"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ind w:firstLine="421" w:firstLineChars="200"/>
              <w:rPr>
                <w:rFonts w:ascii="宋体"/>
                <w:b/>
                <w:color w:val="auto"/>
                <w:szCs w:val="21"/>
                <w:highlight w:val="none"/>
              </w:rPr>
            </w:pPr>
            <w:r>
              <w:rPr>
                <w:rFonts w:hint="eastAsia" w:ascii="宋体"/>
                <w:b/>
                <w:color w:val="auto"/>
                <w:szCs w:val="21"/>
                <w:highlight w:val="none"/>
              </w:rPr>
              <w:t>乙方（章）</w:t>
            </w:r>
          </w:p>
          <w:p>
            <w:pPr>
              <w:snapToGrid w:val="0"/>
              <w:spacing w:line="360" w:lineRule="exact"/>
              <w:ind w:firstLine="421" w:firstLineChars="200"/>
              <w:rPr>
                <w:rFonts w:ascii="宋体"/>
                <w:b/>
                <w:color w:val="auto"/>
                <w:szCs w:val="21"/>
                <w:highlight w:val="none"/>
              </w:rPr>
            </w:pPr>
          </w:p>
          <w:p>
            <w:pPr>
              <w:snapToGrid w:val="0"/>
              <w:spacing w:line="360" w:lineRule="exact"/>
              <w:ind w:firstLine="421" w:firstLineChars="200"/>
              <w:rPr>
                <w:rFonts w:ascii="宋体"/>
                <w:b/>
                <w:color w:val="auto"/>
                <w:szCs w:val="21"/>
                <w:highlight w:val="none"/>
              </w:rPr>
            </w:pPr>
          </w:p>
          <w:p>
            <w:pPr>
              <w:snapToGrid w:val="0"/>
              <w:spacing w:line="360" w:lineRule="exact"/>
              <w:ind w:firstLine="421" w:firstLineChars="200"/>
              <w:rPr>
                <w:rFonts w:ascii="宋体"/>
                <w:b/>
                <w:color w:val="auto"/>
                <w:szCs w:val="21"/>
                <w:highlight w:val="none"/>
              </w:rPr>
            </w:pPr>
          </w:p>
          <w:p>
            <w:pPr>
              <w:snapToGrid w:val="0"/>
              <w:spacing w:line="360" w:lineRule="exact"/>
              <w:ind w:firstLine="421" w:firstLineChars="200"/>
              <w:rPr>
                <w:rFonts w:ascii="宋体"/>
                <w:b/>
                <w:color w:val="auto"/>
                <w:szCs w:val="21"/>
                <w:highlight w:val="none"/>
              </w:rPr>
            </w:pPr>
            <w:r>
              <w:rPr>
                <w:rFonts w:hint="eastAsia" w:ascii="宋体"/>
                <w:b/>
                <w:color w:val="auto"/>
                <w:szCs w:val="21"/>
                <w:highlight w:val="none"/>
              </w:rPr>
              <w:t xml:space="preserve">                       年   月   日</w:t>
            </w:r>
          </w:p>
        </w:tc>
      </w:tr>
    </w:tbl>
    <w:p>
      <w:pPr>
        <w:snapToGrid w:val="0"/>
        <w:spacing w:line="360" w:lineRule="exact"/>
        <w:rPr>
          <w:rFonts w:ascii="宋体"/>
          <w:color w:val="auto"/>
          <w:szCs w:val="21"/>
          <w:highlight w:val="none"/>
        </w:rPr>
      </w:pPr>
      <w:r>
        <w:rPr>
          <w:rFonts w:hint="eastAsia" w:ascii="宋体"/>
          <w:color w:val="auto"/>
          <w:szCs w:val="21"/>
          <w:highlight w:val="none"/>
        </w:rPr>
        <w:t xml:space="preserve">  注：售后服务事项填不下时可另加附页</w:t>
      </w:r>
    </w:p>
    <w:p>
      <w:pPr>
        <w:pStyle w:val="29"/>
        <w:snapToGrid w:val="0"/>
        <w:spacing w:before="120" w:after="120"/>
        <w:jc w:val="center"/>
        <w:outlineLvl w:val="0"/>
        <w:rPr>
          <w:rFonts w:ascii="黑体" w:eastAsia="黑体"/>
          <w:b/>
          <w:color w:val="auto"/>
          <w:sz w:val="44"/>
          <w:szCs w:val="44"/>
          <w:highlight w:val="none"/>
        </w:rPr>
      </w:pPr>
      <w:r>
        <w:rPr>
          <w:rFonts w:ascii="黑体" w:eastAsia="黑体"/>
          <w:b/>
          <w:color w:val="auto"/>
          <w:sz w:val="44"/>
          <w:szCs w:val="44"/>
          <w:highlight w:val="none"/>
        </w:rPr>
        <w:br w:type="page"/>
      </w:r>
    </w:p>
    <w:p>
      <w:pPr>
        <w:pStyle w:val="29"/>
        <w:snapToGrid w:val="0"/>
        <w:spacing w:before="120" w:after="120"/>
        <w:jc w:val="center"/>
        <w:outlineLvl w:val="0"/>
        <w:rPr>
          <w:rFonts w:ascii="黑体" w:eastAsia="黑体"/>
          <w:b/>
          <w:color w:val="auto"/>
          <w:sz w:val="44"/>
          <w:szCs w:val="44"/>
          <w:highlight w:val="none"/>
        </w:rPr>
      </w:pPr>
    </w:p>
    <w:p>
      <w:pPr>
        <w:pStyle w:val="29"/>
        <w:snapToGrid w:val="0"/>
        <w:spacing w:before="120" w:after="120"/>
        <w:jc w:val="center"/>
        <w:outlineLvl w:val="0"/>
        <w:rPr>
          <w:rFonts w:ascii="黑体" w:eastAsia="黑体"/>
          <w:b/>
          <w:color w:val="auto"/>
          <w:sz w:val="44"/>
          <w:szCs w:val="44"/>
          <w:highlight w:val="none"/>
        </w:rPr>
      </w:pPr>
    </w:p>
    <w:p>
      <w:pPr>
        <w:pStyle w:val="29"/>
        <w:snapToGrid w:val="0"/>
        <w:spacing w:before="120" w:after="120"/>
        <w:jc w:val="center"/>
        <w:outlineLvl w:val="0"/>
        <w:rPr>
          <w:rFonts w:ascii="黑体" w:eastAsia="黑体"/>
          <w:b/>
          <w:color w:val="auto"/>
          <w:sz w:val="44"/>
          <w:szCs w:val="44"/>
          <w:highlight w:val="none"/>
        </w:rPr>
      </w:pPr>
    </w:p>
    <w:p>
      <w:pPr>
        <w:pStyle w:val="29"/>
        <w:snapToGrid w:val="0"/>
        <w:spacing w:before="120" w:after="120"/>
        <w:jc w:val="center"/>
        <w:outlineLvl w:val="0"/>
        <w:rPr>
          <w:rFonts w:ascii="黑体" w:eastAsia="黑体"/>
          <w:b/>
          <w:color w:val="auto"/>
          <w:sz w:val="44"/>
          <w:szCs w:val="44"/>
          <w:highlight w:val="none"/>
        </w:rPr>
      </w:pPr>
    </w:p>
    <w:p>
      <w:pPr>
        <w:pStyle w:val="29"/>
        <w:snapToGrid w:val="0"/>
        <w:spacing w:before="120" w:after="120"/>
        <w:jc w:val="center"/>
        <w:outlineLvl w:val="0"/>
        <w:rPr>
          <w:rFonts w:ascii="黑体" w:eastAsia="黑体"/>
          <w:b/>
          <w:color w:val="auto"/>
          <w:sz w:val="44"/>
          <w:szCs w:val="44"/>
          <w:highlight w:val="none"/>
        </w:rPr>
      </w:pPr>
    </w:p>
    <w:p>
      <w:pPr>
        <w:pStyle w:val="29"/>
        <w:snapToGrid w:val="0"/>
        <w:spacing w:before="120" w:after="120"/>
        <w:jc w:val="center"/>
        <w:outlineLvl w:val="0"/>
        <w:rPr>
          <w:rFonts w:ascii="黑体" w:eastAsia="黑体"/>
          <w:b/>
          <w:color w:val="auto"/>
          <w:sz w:val="44"/>
          <w:szCs w:val="44"/>
          <w:highlight w:val="none"/>
        </w:rPr>
      </w:pPr>
    </w:p>
    <w:p>
      <w:pPr>
        <w:pStyle w:val="29"/>
        <w:snapToGrid w:val="0"/>
        <w:spacing w:before="120" w:after="120"/>
        <w:jc w:val="center"/>
        <w:outlineLvl w:val="0"/>
        <w:rPr>
          <w:rFonts w:ascii="黑体" w:eastAsia="黑体"/>
          <w:b/>
          <w:color w:val="auto"/>
          <w:sz w:val="44"/>
          <w:szCs w:val="44"/>
          <w:highlight w:val="none"/>
        </w:rPr>
      </w:pPr>
    </w:p>
    <w:p>
      <w:pPr>
        <w:pStyle w:val="29"/>
        <w:snapToGrid w:val="0"/>
        <w:spacing w:before="120" w:after="120"/>
        <w:jc w:val="center"/>
        <w:outlineLvl w:val="0"/>
        <w:rPr>
          <w:rFonts w:ascii="黑体" w:eastAsia="黑体"/>
          <w:b/>
          <w:color w:val="auto"/>
          <w:sz w:val="44"/>
          <w:szCs w:val="44"/>
          <w:highlight w:val="none"/>
        </w:rPr>
      </w:pPr>
      <w:r>
        <w:rPr>
          <w:rFonts w:hint="eastAsia" w:ascii="仿宋_GB2312" w:eastAsia="仿宋_GB2312"/>
          <w:b/>
          <w:color w:val="auto"/>
          <w:sz w:val="44"/>
          <w:szCs w:val="44"/>
          <w:highlight w:val="none"/>
        </w:rPr>
        <w:t>第六章　投标文件格式</w:t>
      </w:r>
    </w:p>
    <w:p>
      <w:pPr>
        <w:snapToGrid w:val="0"/>
        <w:spacing w:before="50" w:after="50"/>
        <w:outlineLvl w:val="1"/>
        <w:rPr>
          <w:rFonts w:ascii="仿宋_GB2312" w:eastAsia="仿宋_GB2312"/>
          <w:color w:val="auto"/>
          <w:sz w:val="32"/>
          <w:szCs w:val="20"/>
          <w:highlight w:val="none"/>
        </w:rPr>
      </w:pPr>
      <w:r>
        <w:rPr>
          <w:rFonts w:ascii="仿宋_GB2312" w:eastAsia="仿宋_GB2312"/>
          <w:color w:val="auto"/>
          <w:sz w:val="32"/>
          <w:szCs w:val="20"/>
          <w:highlight w:val="none"/>
        </w:rPr>
        <w:br w:type="page"/>
      </w:r>
      <w:bookmarkStart w:id="23" w:name="_Toc254970556"/>
      <w:bookmarkStart w:id="24" w:name="_Toc254970697"/>
    </w:p>
    <w:p>
      <w:pPr>
        <w:snapToGrid w:val="0"/>
        <w:spacing w:before="50" w:after="50"/>
        <w:outlineLvl w:val="1"/>
        <w:rPr>
          <w:rFonts w:ascii="宋体"/>
          <w:b/>
          <w:bCs/>
          <w:color w:val="auto"/>
          <w:szCs w:val="21"/>
          <w:highlight w:val="none"/>
        </w:rPr>
      </w:pPr>
    </w:p>
    <w:bookmarkEnd w:id="23"/>
    <w:bookmarkEnd w:id="24"/>
    <w:p>
      <w:pPr>
        <w:snapToGrid w:val="0"/>
        <w:spacing w:before="156" w:beforeLines="50" w:after="50" w:line="360" w:lineRule="exact"/>
        <w:jc w:val="center"/>
        <w:outlineLvl w:val="1"/>
        <w:rPr>
          <w:rFonts w:hint="eastAsia" w:ascii="仿宋_GB2312" w:hAnsi="宋体" w:eastAsia="仿宋_GB2312"/>
          <w:b/>
          <w:bCs/>
          <w:color w:val="auto"/>
          <w:sz w:val="32"/>
          <w:szCs w:val="32"/>
          <w:highlight w:val="none"/>
        </w:rPr>
      </w:pPr>
      <w:r>
        <w:rPr>
          <w:rFonts w:hint="eastAsia" w:ascii="仿宋_GB2312" w:hAnsi="宋体" w:eastAsia="仿宋_GB2312"/>
          <w:b/>
          <w:color w:val="auto"/>
          <w:sz w:val="32"/>
          <w:szCs w:val="32"/>
          <w:highlight w:val="none"/>
        </w:rPr>
        <w:t>投标文件格式</w:t>
      </w:r>
    </w:p>
    <w:p>
      <w:pPr>
        <w:snapToGrid w:val="0"/>
        <w:spacing w:before="156" w:beforeLines="50" w:after="50" w:line="360" w:lineRule="exact"/>
        <w:jc w:val="center"/>
        <w:outlineLvl w:val="0"/>
        <w:rPr>
          <w:rFonts w:hint="eastAsia" w:ascii="宋体" w:hAnsi="宋体"/>
          <w:b/>
          <w:bCs/>
          <w:color w:val="auto"/>
          <w:szCs w:val="21"/>
          <w:highlight w:val="none"/>
        </w:rPr>
      </w:pPr>
      <w:r>
        <w:rPr>
          <w:rFonts w:hint="eastAsia" w:ascii="宋体" w:hAnsi="宋体"/>
          <w:b/>
          <w:bCs/>
          <w:color w:val="auto"/>
          <w:szCs w:val="21"/>
          <w:highlight w:val="none"/>
        </w:rPr>
        <w:t>一、</w:t>
      </w:r>
      <w:r>
        <w:rPr>
          <w:rFonts w:hint="eastAsia" w:ascii="宋体" w:hAnsi="宋体"/>
          <w:b/>
          <w:color w:val="auto"/>
          <w:szCs w:val="21"/>
          <w:highlight w:val="none"/>
        </w:rPr>
        <w:t>投标文件封面</w:t>
      </w:r>
      <w:r>
        <w:rPr>
          <w:rFonts w:hint="eastAsia" w:ascii="宋体" w:hAnsi="宋体"/>
          <w:b/>
          <w:bCs/>
          <w:color w:val="auto"/>
          <w:szCs w:val="21"/>
          <w:highlight w:val="none"/>
        </w:rPr>
        <w:t>格式</w:t>
      </w:r>
    </w:p>
    <w:p>
      <w:pPr>
        <w:snapToGrid w:val="0"/>
        <w:spacing w:before="156" w:beforeLines="50" w:after="50" w:line="360" w:lineRule="exact"/>
        <w:rPr>
          <w:rFonts w:hint="eastAsia" w:ascii="宋体" w:hAnsi="宋体"/>
          <w:b/>
          <w:color w:val="auto"/>
          <w:szCs w:val="21"/>
          <w:highlight w:val="none"/>
        </w:rPr>
      </w:pPr>
    </w:p>
    <w:p>
      <w:pPr>
        <w:snapToGrid w:val="0"/>
        <w:spacing w:before="156" w:beforeLines="50" w:after="50" w:line="360" w:lineRule="exact"/>
        <w:rPr>
          <w:rFonts w:hint="eastAsia" w:ascii="仿宋_GB2312" w:hAnsi="宋体" w:eastAsia="仿宋_GB2312"/>
          <w:color w:val="auto"/>
          <w:sz w:val="24"/>
          <w:highlight w:val="none"/>
        </w:rPr>
      </w:pPr>
    </w:p>
    <w:p>
      <w:pPr>
        <w:snapToGrid w:val="0"/>
        <w:spacing w:before="156" w:beforeLines="50" w:after="50" w:line="360" w:lineRule="exact"/>
        <w:rPr>
          <w:rFonts w:hint="eastAsia" w:ascii="仿宋_GB2312" w:hAnsi="宋体" w:eastAsia="仿宋_GB2312"/>
          <w:bCs/>
          <w:color w:val="auto"/>
          <w:sz w:val="24"/>
          <w:highlight w:val="none"/>
        </w:rPr>
      </w:pPr>
      <w:r>
        <w:rPr>
          <w:rFonts w:hint="eastAsia" w:ascii="仿宋_GB2312" w:hAnsi="宋体" w:eastAsia="仿宋_GB2312"/>
          <w:color w:val="auto"/>
          <w:sz w:val="24"/>
          <w:highlight w:val="none"/>
        </w:rPr>
        <w:t xml:space="preserve">                                                   </w:t>
      </w:r>
    </w:p>
    <w:p>
      <w:pPr>
        <w:snapToGrid w:val="0"/>
        <w:spacing w:before="156" w:beforeLines="50" w:after="50" w:line="360" w:lineRule="exact"/>
        <w:jc w:val="center"/>
        <w:rPr>
          <w:rFonts w:hint="eastAsia" w:ascii="宋体" w:hAnsi="宋体"/>
          <w:b/>
          <w:bCs/>
          <w:color w:val="auto"/>
          <w:sz w:val="32"/>
          <w:szCs w:val="32"/>
          <w:highlight w:val="none"/>
        </w:rPr>
      </w:pPr>
      <w:r>
        <w:rPr>
          <w:rFonts w:hint="eastAsia" w:ascii="宋体" w:hAnsi="宋体"/>
          <w:b/>
          <w:bCs/>
          <w:color w:val="auto"/>
          <w:sz w:val="32"/>
          <w:szCs w:val="32"/>
          <w:highlight w:val="none"/>
        </w:rPr>
        <w:t>投标文件</w:t>
      </w:r>
    </w:p>
    <w:p>
      <w:pPr>
        <w:snapToGrid w:val="0"/>
        <w:spacing w:before="156" w:beforeLines="50" w:after="50" w:line="360" w:lineRule="exact"/>
        <w:rPr>
          <w:rFonts w:hint="eastAsia" w:ascii="仿宋_GB2312" w:hAnsi="宋体" w:eastAsia="仿宋_GB2312"/>
          <w:bCs/>
          <w:color w:val="auto"/>
          <w:sz w:val="24"/>
          <w:highlight w:val="none"/>
        </w:rPr>
      </w:pPr>
    </w:p>
    <w:p>
      <w:pPr>
        <w:snapToGrid w:val="0"/>
        <w:spacing w:before="156" w:beforeLines="50" w:after="50" w:line="360" w:lineRule="exact"/>
        <w:ind w:firstLine="630" w:firstLineChars="300"/>
        <w:rPr>
          <w:rFonts w:hint="eastAsia" w:ascii="宋体" w:hAnsi="宋体"/>
          <w:bCs/>
          <w:color w:val="auto"/>
          <w:szCs w:val="21"/>
          <w:highlight w:val="none"/>
        </w:rPr>
      </w:pPr>
      <w:r>
        <w:rPr>
          <w:rFonts w:hint="eastAsia" w:ascii="宋体" w:hAnsi="宋体"/>
          <w:bCs/>
          <w:color w:val="auto"/>
          <w:szCs w:val="21"/>
          <w:highlight w:val="none"/>
        </w:rPr>
        <w:t xml:space="preserve">项目名称： </w:t>
      </w:r>
    </w:p>
    <w:p>
      <w:pPr>
        <w:snapToGrid w:val="0"/>
        <w:spacing w:before="156" w:beforeLines="50" w:after="50" w:line="360" w:lineRule="exact"/>
        <w:ind w:firstLine="630" w:firstLineChars="300"/>
        <w:rPr>
          <w:rFonts w:hint="eastAsia" w:ascii="宋体" w:hAnsi="宋体"/>
          <w:bCs/>
          <w:color w:val="auto"/>
          <w:szCs w:val="21"/>
          <w:highlight w:val="none"/>
        </w:rPr>
      </w:pPr>
      <w:r>
        <w:rPr>
          <w:rFonts w:hint="eastAsia" w:ascii="宋体" w:hAnsi="宋体"/>
          <w:bCs/>
          <w:color w:val="auto"/>
          <w:szCs w:val="21"/>
          <w:highlight w:val="none"/>
        </w:rPr>
        <w:t xml:space="preserve">项目编号： </w:t>
      </w:r>
    </w:p>
    <w:p>
      <w:pPr>
        <w:snapToGrid w:val="0"/>
        <w:spacing w:before="156" w:beforeLines="50" w:after="50" w:line="360" w:lineRule="exact"/>
        <w:ind w:firstLine="630" w:firstLineChars="300"/>
        <w:rPr>
          <w:rFonts w:hint="eastAsia" w:ascii="宋体" w:hAnsi="宋体"/>
          <w:bCs/>
          <w:color w:val="auto"/>
          <w:szCs w:val="21"/>
          <w:highlight w:val="none"/>
        </w:rPr>
      </w:pPr>
      <w:r>
        <w:rPr>
          <w:rFonts w:hint="eastAsia" w:ascii="宋体" w:hAnsi="宋体"/>
          <w:bCs/>
          <w:color w:val="auto"/>
          <w:szCs w:val="21"/>
          <w:highlight w:val="none"/>
        </w:rPr>
        <w:t>所投分标：分标</w:t>
      </w:r>
      <w:r>
        <w:rPr>
          <w:rFonts w:hint="eastAsia" w:ascii="宋体" w:hAnsi="宋体"/>
          <w:bCs/>
          <w:color w:val="auto"/>
          <w:szCs w:val="21"/>
          <w:highlight w:val="none"/>
          <w:u w:val="single"/>
        </w:rPr>
        <w:t xml:space="preserve">       </w:t>
      </w:r>
    </w:p>
    <w:p>
      <w:pPr>
        <w:snapToGrid w:val="0"/>
        <w:spacing w:before="156" w:beforeLines="50" w:after="50" w:line="360" w:lineRule="exact"/>
        <w:ind w:firstLine="630" w:firstLineChars="300"/>
        <w:rPr>
          <w:rFonts w:hint="eastAsia" w:ascii="宋体" w:hAnsi="宋体"/>
          <w:bCs/>
          <w:color w:val="auto"/>
          <w:szCs w:val="21"/>
          <w:highlight w:val="none"/>
        </w:rPr>
      </w:pPr>
      <w:r>
        <w:rPr>
          <w:rFonts w:hint="eastAsia" w:ascii="宋体" w:hAnsi="宋体"/>
          <w:bCs/>
          <w:color w:val="auto"/>
          <w:szCs w:val="21"/>
          <w:highlight w:val="none"/>
        </w:rPr>
        <w:t>投标人名称：（盖章）</w:t>
      </w:r>
    </w:p>
    <w:p>
      <w:pPr>
        <w:snapToGrid w:val="0"/>
        <w:spacing w:before="156" w:beforeLines="50" w:after="50" w:line="360" w:lineRule="exact"/>
        <w:ind w:firstLine="630" w:firstLineChars="300"/>
        <w:rPr>
          <w:rFonts w:hint="eastAsia" w:ascii="宋体" w:hAnsi="宋体"/>
          <w:bCs/>
          <w:color w:val="auto"/>
          <w:szCs w:val="21"/>
          <w:highlight w:val="none"/>
        </w:rPr>
      </w:pPr>
      <w:r>
        <w:rPr>
          <w:rFonts w:hint="eastAsia" w:ascii="宋体" w:hAnsi="宋体"/>
          <w:bCs/>
          <w:color w:val="auto"/>
          <w:szCs w:val="21"/>
          <w:highlight w:val="none"/>
        </w:rPr>
        <w:t>投标人地址：</w:t>
      </w:r>
    </w:p>
    <w:p>
      <w:pPr>
        <w:snapToGrid w:val="0"/>
        <w:spacing w:before="156" w:beforeLines="50" w:after="50" w:line="360" w:lineRule="exact"/>
        <w:jc w:val="center"/>
        <w:outlineLvl w:val="1"/>
        <w:rPr>
          <w:rFonts w:hint="eastAsia" w:ascii="宋体" w:hAnsi="宋体"/>
          <w:color w:val="auto"/>
          <w:szCs w:val="21"/>
          <w:highlight w:val="none"/>
        </w:rPr>
      </w:pPr>
      <w:r>
        <w:rPr>
          <w:rFonts w:hint="eastAsia" w:ascii="仿宋_GB2312" w:hAnsi="宋体" w:eastAsia="仿宋_GB2312"/>
          <w:color w:val="auto"/>
          <w:sz w:val="24"/>
          <w:highlight w:val="none"/>
        </w:rPr>
        <w:t xml:space="preserve">                        年  月  日</w:t>
      </w:r>
    </w:p>
    <w:p>
      <w:pPr>
        <w:snapToGrid w:val="0"/>
        <w:spacing w:before="156" w:beforeLines="50" w:after="50" w:line="360" w:lineRule="exact"/>
        <w:jc w:val="center"/>
        <w:outlineLvl w:val="1"/>
        <w:rPr>
          <w:rFonts w:hint="eastAsia" w:ascii="宋体" w:hAnsi="宋体"/>
          <w:bCs/>
          <w:color w:val="auto"/>
          <w:szCs w:val="21"/>
          <w:highlight w:val="none"/>
        </w:rPr>
      </w:pPr>
      <w:bookmarkStart w:id="25" w:name="_Toc254970698"/>
      <w:bookmarkStart w:id="26" w:name="_Toc254970557"/>
    </w:p>
    <w:p>
      <w:pPr>
        <w:snapToGrid w:val="0"/>
        <w:spacing w:before="156" w:beforeLines="50" w:after="50" w:line="360" w:lineRule="exact"/>
        <w:outlineLvl w:val="1"/>
        <w:rPr>
          <w:rFonts w:hint="eastAsia" w:ascii="黑体" w:hAnsi="宋体" w:eastAsia="黑体"/>
          <w:bCs/>
          <w:color w:val="auto"/>
          <w:sz w:val="24"/>
          <w:highlight w:val="none"/>
        </w:rPr>
      </w:pPr>
      <w:r>
        <w:rPr>
          <w:rFonts w:hint="eastAsia" w:ascii="宋体" w:hAnsi="宋体"/>
          <w:bCs/>
          <w:color w:val="auto"/>
          <w:szCs w:val="21"/>
          <w:highlight w:val="none"/>
        </w:rPr>
        <w:t xml:space="preserve">     [注：</w:t>
      </w:r>
      <w:r>
        <w:rPr>
          <w:rFonts w:hint="eastAsia" w:ascii="宋体"/>
          <w:color w:val="auto"/>
          <w:szCs w:val="21"/>
          <w:highlight w:val="none"/>
        </w:rPr>
        <w:t>投标文件由</w:t>
      </w:r>
      <w:r>
        <w:rPr>
          <w:rFonts w:hint="eastAsia" w:ascii="宋体"/>
          <w:b/>
          <w:bCs/>
          <w:color w:val="auto"/>
          <w:szCs w:val="21"/>
          <w:highlight w:val="none"/>
        </w:rPr>
        <w:t>资格文件、资信及商务文件、技术文件、投标报价文件</w:t>
      </w:r>
      <w:r>
        <w:rPr>
          <w:rFonts w:hint="eastAsia" w:ascii="宋体"/>
          <w:b/>
          <w:color w:val="auto"/>
          <w:szCs w:val="21"/>
          <w:highlight w:val="none"/>
        </w:rPr>
        <w:t>四部份</w:t>
      </w:r>
      <w:r>
        <w:rPr>
          <w:rFonts w:hint="eastAsia" w:ascii="宋体"/>
          <w:color w:val="auto"/>
          <w:szCs w:val="21"/>
          <w:highlight w:val="none"/>
        </w:rPr>
        <w:t>组成</w:t>
      </w:r>
      <w:r>
        <w:rPr>
          <w:rFonts w:hint="eastAsia" w:ascii="宋体" w:hAnsi="宋体"/>
          <w:bCs/>
          <w:color w:val="auto"/>
          <w:szCs w:val="21"/>
          <w:highlight w:val="none"/>
        </w:rPr>
        <w:t>]</w:t>
      </w:r>
    </w:p>
    <w:p>
      <w:pPr>
        <w:snapToGrid w:val="0"/>
        <w:spacing w:before="156" w:beforeLines="50" w:after="50" w:line="360" w:lineRule="exact"/>
        <w:jc w:val="center"/>
        <w:outlineLvl w:val="0"/>
        <w:rPr>
          <w:rFonts w:hint="eastAsia" w:ascii="黑体" w:hAnsi="宋体" w:eastAsia="黑体"/>
          <w:bCs/>
          <w:color w:val="auto"/>
          <w:sz w:val="32"/>
          <w:szCs w:val="32"/>
          <w:highlight w:val="none"/>
        </w:rPr>
      </w:pPr>
    </w:p>
    <w:p>
      <w:pPr>
        <w:snapToGrid w:val="0"/>
        <w:spacing w:before="156" w:beforeLines="50" w:after="50" w:line="360" w:lineRule="exact"/>
        <w:jc w:val="center"/>
        <w:outlineLvl w:val="0"/>
        <w:rPr>
          <w:rFonts w:hint="eastAsia" w:ascii="黑体" w:hAnsi="宋体" w:eastAsia="黑体"/>
          <w:bCs/>
          <w:color w:val="auto"/>
          <w:sz w:val="32"/>
          <w:szCs w:val="32"/>
          <w:highlight w:val="none"/>
        </w:rPr>
      </w:pPr>
    </w:p>
    <w:p>
      <w:pPr>
        <w:snapToGrid w:val="0"/>
        <w:spacing w:before="156" w:beforeLines="50" w:after="50" w:line="360" w:lineRule="exact"/>
        <w:jc w:val="center"/>
        <w:outlineLvl w:val="0"/>
        <w:rPr>
          <w:rFonts w:hint="eastAsia" w:ascii="黑体" w:hAnsi="宋体" w:eastAsia="黑体"/>
          <w:bCs/>
          <w:color w:val="auto"/>
          <w:sz w:val="32"/>
          <w:szCs w:val="32"/>
          <w:highlight w:val="none"/>
        </w:rPr>
      </w:pPr>
    </w:p>
    <w:p>
      <w:pPr>
        <w:snapToGrid w:val="0"/>
        <w:spacing w:before="156" w:beforeLines="50" w:after="50" w:line="360" w:lineRule="exact"/>
        <w:jc w:val="center"/>
        <w:outlineLvl w:val="0"/>
        <w:rPr>
          <w:rFonts w:hint="eastAsia" w:ascii="黑体" w:hAnsi="宋体" w:eastAsia="黑体"/>
          <w:bCs/>
          <w:color w:val="auto"/>
          <w:sz w:val="32"/>
          <w:szCs w:val="32"/>
          <w:highlight w:val="none"/>
        </w:rPr>
      </w:pPr>
    </w:p>
    <w:p>
      <w:pPr>
        <w:snapToGrid w:val="0"/>
        <w:spacing w:before="156" w:beforeLines="50" w:after="50" w:line="360" w:lineRule="exact"/>
        <w:jc w:val="center"/>
        <w:outlineLvl w:val="0"/>
        <w:rPr>
          <w:rFonts w:hint="eastAsia" w:ascii="黑体" w:hAnsi="宋体" w:eastAsia="黑体"/>
          <w:bCs/>
          <w:color w:val="auto"/>
          <w:sz w:val="32"/>
          <w:szCs w:val="32"/>
          <w:highlight w:val="none"/>
        </w:rPr>
      </w:pPr>
    </w:p>
    <w:p>
      <w:pPr>
        <w:snapToGrid w:val="0"/>
        <w:spacing w:before="156" w:beforeLines="50" w:after="50" w:line="360" w:lineRule="exact"/>
        <w:jc w:val="center"/>
        <w:outlineLvl w:val="0"/>
        <w:rPr>
          <w:rFonts w:hint="eastAsia" w:ascii="黑体" w:hAnsi="宋体" w:eastAsia="黑体"/>
          <w:bCs/>
          <w:color w:val="auto"/>
          <w:sz w:val="32"/>
          <w:szCs w:val="32"/>
          <w:highlight w:val="none"/>
        </w:rPr>
      </w:pPr>
    </w:p>
    <w:p>
      <w:pPr>
        <w:snapToGrid w:val="0"/>
        <w:spacing w:before="156" w:beforeLines="50" w:after="50" w:line="360" w:lineRule="exact"/>
        <w:jc w:val="center"/>
        <w:outlineLvl w:val="0"/>
        <w:rPr>
          <w:rFonts w:hint="eastAsia" w:ascii="黑体" w:hAnsi="宋体" w:eastAsia="黑体"/>
          <w:bCs/>
          <w:color w:val="auto"/>
          <w:sz w:val="32"/>
          <w:szCs w:val="32"/>
          <w:highlight w:val="none"/>
        </w:rPr>
      </w:pPr>
    </w:p>
    <w:p>
      <w:pPr>
        <w:snapToGrid w:val="0"/>
        <w:spacing w:before="156" w:beforeLines="50" w:after="50" w:line="360" w:lineRule="exact"/>
        <w:jc w:val="center"/>
        <w:outlineLvl w:val="0"/>
        <w:rPr>
          <w:rFonts w:hint="eastAsia" w:ascii="黑体" w:hAnsi="宋体" w:eastAsia="黑体"/>
          <w:bCs/>
          <w:color w:val="auto"/>
          <w:sz w:val="32"/>
          <w:szCs w:val="32"/>
          <w:highlight w:val="none"/>
        </w:rPr>
      </w:pPr>
    </w:p>
    <w:p>
      <w:pPr>
        <w:snapToGrid w:val="0"/>
        <w:spacing w:before="156" w:beforeLines="50" w:after="50" w:line="360" w:lineRule="exact"/>
        <w:jc w:val="center"/>
        <w:outlineLvl w:val="0"/>
        <w:rPr>
          <w:rFonts w:hint="eastAsia" w:ascii="黑体" w:hAnsi="宋体" w:eastAsia="黑体"/>
          <w:bCs/>
          <w:color w:val="auto"/>
          <w:sz w:val="32"/>
          <w:szCs w:val="32"/>
          <w:highlight w:val="none"/>
        </w:rPr>
      </w:pPr>
    </w:p>
    <w:p>
      <w:pPr>
        <w:pStyle w:val="51"/>
        <w:ind w:firstLine="320"/>
        <w:rPr>
          <w:rFonts w:hint="eastAsia" w:ascii="黑体" w:hAnsi="宋体" w:eastAsia="黑体"/>
          <w:bCs/>
          <w:color w:val="auto"/>
          <w:sz w:val="32"/>
          <w:szCs w:val="32"/>
          <w:highlight w:val="none"/>
        </w:rPr>
      </w:pPr>
    </w:p>
    <w:p>
      <w:pPr>
        <w:pStyle w:val="51"/>
        <w:ind w:firstLine="320"/>
        <w:rPr>
          <w:rFonts w:hint="eastAsia" w:ascii="黑体" w:hAnsi="宋体" w:eastAsia="黑体"/>
          <w:bCs/>
          <w:color w:val="auto"/>
          <w:sz w:val="32"/>
          <w:szCs w:val="32"/>
          <w:highlight w:val="none"/>
        </w:rPr>
      </w:pPr>
    </w:p>
    <w:p>
      <w:pPr>
        <w:pStyle w:val="51"/>
        <w:ind w:firstLine="320"/>
        <w:rPr>
          <w:rFonts w:hint="eastAsia" w:ascii="黑体" w:hAnsi="宋体" w:eastAsia="黑体"/>
          <w:bCs/>
          <w:color w:val="auto"/>
          <w:sz w:val="32"/>
          <w:szCs w:val="32"/>
          <w:highlight w:val="none"/>
        </w:rPr>
      </w:pPr>
    </w:p>
    <w:p>
      <w:pPr>
        <w:snapToGrid w:val="0"/>
        <w:spacing w:before="156" w:beforeLines="50" w:after="50" w:line="360" w:lineRule="exact"/>
        <w:jc w:val="center"/>
        <w:outlineLvl w:val="0"/>
        <w:rPr>
          <w:rFonts w:hint="eastAsia" w:ascii="黑体" w:hAnsi="宋体" w:eastAsia="黑体"/>
          <w:bCs/>
          <w:color w:val="auto"/>
          <w:sz w:val="32"/>
          <w:szCs w:val="32"/>
          <w:highlight w:val="none"/>
        </w:rPr>
      </w:pPr>
      <w:r>
        <w:rPr>
          <w:rFonts w:hint="eastAsia" w:ascii="黑体" w:hAnsi="宋体" w:eastAsia="黑体"/>
          <w:bCs/>
          <w:color w:val="auto"/>
          <w:sz w:val="32"/>
          <w:szCs w:val="32"/>
          <w:highlight w:val="none"/>
        </w:rPr>
        <w:t>二、投标文件目录</w:t>
      </w:r>
    </w:p>
    <w:p>
      <w:pPr>
        <w:snapToGrid w:val="0"/>
        <w:spacing w:before="156" w:beforeLines="50" w:after="50" w:line="360" w:lineRule="exact"/>
        <w:jc w:val="center"/>
        <w:outlineLvl w:val="1"/>
        <w:rPr>
          <w:rFonts w:hint="eastAsia" w:ascii="宋体" w:hAnsi="宋体"/>
          <w:bCs/>
          <w:color w:val="auto"/>
          <w:szCs w:val="21"/>
          <w:highlight w:val="none"/>
        </w:rPr>
      </w:pPr>
    </w:p>
    <w:p>
      <w:pPr>
        <w:snapToGrid w:val="0"/>
        <w:spacing w:before="156" w:beforeLines="50" w:line="360" w:lineRule="exact"/>
        <w:ind w:firstLine="413" w:firstLineChars="196"/>
        <w:jc w:val="left"/>
        <w:rPr>
          <w:rFonts w:hint="eastAsia" w:ascii="宋体" w:hAnsi="宋体"/>
          <w:b/>
          <w:color w:val="auto"/>
          <w:szCs w:val="21"/>
          <w:highlight w:val="none"/>
        </w:rPr>
      </w:pPr>
      <w:r>
        <w:rPr>
          <w:rFonts w:hint="eastAsia" w:ascii="宋体" w:hAnsi="宋体"/>
          <w:b/>
          <w:color w:val="auto"/>
          <w:szCs w:val="21"/>
          <w:highlight w:val="none"/>
        </w:rPr>
        <w:t>1.资格文件：</w:t>
      </w:r>
    </w:p>
    <w:p>
      <w:pPr>
        <w:snapToGrid w:val="0"/>
        <w:spacing w:line="360" w:lineRule="exact"/>
        <w:ind w:firstLine="413" w:firstLineChars="196"/>
        <w:jc w:val="left"/>
        <w:rPr>
          <w:rFonts w:hint="eastAsia" w:ascii="宋体" w:hAnsi="宋体"/>
          <w:color w:val="auto"/>
          <w:szCs w:val="21"/>
          <w:highlight w:val="none"/>
        </w:rPr>
      </w:pPr>
      <w:r>
        <w:rPr>
          <w:rFonts w:hint="eastAsia" w:ascii="宋体" w:hAnsi="宋体"/>
          <w:b/>
          <w:color w:val="auto"/>
          <w:szCs w:val="21"/>
          <w:highlight w:val="none"/>
        </w:rPr>
        <w:t>（1）</w:t>
      </w:r>
      <w:r>
        <w:rPr>
          <w:rFonts w:hint="eastAsia" w:ascii="宋体" w:hAnsi="宋体"/>
          <w:color w:val="auto"/>
          <w:szCs w:val="21"/>
          <w:highlight w:val="none"/>
        </w:rPr>
        <w:t>有效的营业执照等证明文件复印件；</w:t>
      </w:r>
    </w:p>
    <w:p>
      <w:pPr>
        <w:pStyle w:val="29"/>
        <w:adjustRightInd w:val="0"/>
        <w:snapToGrid w:val="0"/>
        <w:spacing w:line="400" w:lineRule="exact"/>
        <w:ind w:firstLine="424" w:firstLineChars="202"/>
        <w:rPr>
          <w:rFonts w:hint="eastAsia" w:hAnsi="宋体"/>
          <w:b/>
          <w:color w:val="auto"/>
          <w:highlight w:val="none"/>
        </w:rPr>
      </w:pPr>
      <w:r>
        <w:rPr>
          <w:rFonts w:hint="eastAsia" w:hAnsi="宋体"/>
          <w:color w:val="auto"/>
          <w:highlight w:val="none"/>
        </w:rPr>
        <w:t>①投标人有效的营业执照等证明文件扫描件或其他电子文件，同时要加盖单位公章</w:t>
      </w:r>
      <w:r>
        <w:rPr>
          <w:rFonts w:hint="eastAsia" w:hAnsi="宋体"/>
          <w:b/>
          <w:color w:val="auto"/>
          <w:highlight w:val="none"/>
        </w:rPr>
        <w:t>（必须提供）</w:t>
      </w:r>
      <w:r>
        <w:rPr>
          <w:rFonts w:hint="eastAsia" w:hAnsi="宋体"/>
          <w:color w:val="auto"/>
          <w:highlight w:val="none"/>
        </w:rPr>
        <w:t>；</w:t>
      </w:r>
    </w:p>
    <w:p>
      <w:pPr>
        <w:snapToGrid w:val="0"/>
        <w:spacing w:line="360" w:lineRule="exact"/>
        <w:ind w:firstLine="424" w:firstLineChars="202"/>
        <w:jc w:val="left"/>
        <w:rPr>
          <w:rFonts w:hint="eastAsia" w:hAnsi="宋体"/>
          <w:b/>
          <w:color w:val="auto"/>
          <w:highlight w:val="none"/>
        </w:rPr>
      </w:pPr>
      <w:r>
        <w:rPr>
          <w:rFonts w:hint="eastAsia" w:hAnsi="宋体"/>
          <w:color w:val="auto"/>
          <w:highlight w:val="none"/>
        </w:rPr>
        <w:t>②对于有经营资质要求的，投标人必须提供有效的经营资质证书副本内页扫描件或其他电子文件，同时要加盖单位公章。</w:t>
      </w:r>
    </w:p>
    <w:p>
      <w:pPr>
        <w:snapToGrid w:val="0"/>
        <w:spacing w:line="360" w:lineRule="exact"/>
        <w:ind w:firstLine="413" w:firstLineChars="196"/>
        <w:jc w:val="left"/>
        <w:rPr>
          <w:rFonts w:hint="eastAsia" w:ascii="宋体" w:hAnsi="宋体"/>
          <w:b/>
          <w:color w:val="auto"/>
          <w:szCs w:val="21"/>
          <w:highlight w:val="none"/>
        </w:rPr>
      </w:pPr>
      <w:r>
        <w:rPr>
          <w:rFonts w:hint="eastAsia" w:ascii="宋体" w:hAnsi="宋体"/>
          <w:b/>
          <w:color w:val="auto"/>
          <w:szCs w:val="21"/>
          <w:highlight w:val="none"/>
        </w:rPr>
        <w:t>（2）</w:t>
      </w:r>
      <w:r>
        <w:rPr>
          <w:rFonts w:hint="eastAsia" w:ascii="宋体" w:hAnsi="宋体" w:cs="宋体"/>
          <w:color w:val="auto"/>
          <w:kern w:val="0"/>
          <w:szCs w:val="21"/>
          <w:highlight w:val="none"/>
        </w:rPr>
        <w:t>参加政府采购活动前三年内在经营活动中没有</w:t>
      </w:r>
      <w:r>
        <w:rPr>
          <w:rFonts w:hint="eastAsia" w:ascii="宋体" w:hAnsi="宋体" w:cs="宋体"/>
          <w:b/>
          <w:color w:val="auto"/>
          <w:kern w:val="0"/>
          <w:szCs w:val="21"/>
          <w:highlight w:val="none"/>
        </w:rPr>
        <w:t>重大违法记录的书面声明</w:t>
      </w:r>
      <w:r>
        <w:rPr>
          <w:rFonts w:hint="eastAsia" w:ascii="宋体" w:hAnsi="宋体"/>
          <w:b/>
          <w:color w:val="auto"/>
          <w:szCs w:val="21"/>
          <w:highlight w:val="none"/>
        </w:rPr>
        <w:t>和信用记录查询方法；</w:t>
      </w:r>
    </w:p>
    <w:p>
      <w:pPr>
        <w:snapToGrid w:val="0"/>
        <w:spacing w:line="360" w:lineRule="exact"/>
        <w:ind w:firstLine="411" w:firstLineChars="196"/>
        <w:jc w:val="left"/>
        <w:rPr>
          <w:rFonts w:hint="eastAsia" w:ascii="宋体" w:hAnsi="宋体"/>
          <w:color w:val="auto"/>
          <w:szCs w:val="21"/>
          <w:highlight w:val="none"/>
        </w:rPr>
      </w:pPr>
      <w:r>
        <w:rPr>
          <w:rFonts w:hint="eastAsia" w:ascii="宋体" w:hAnsi="宋体"/>
          <w:color w:val="auto"/>
          <w:szCs w:val="21"/>
          <w:highlight w:val="none"/>
        </w:rPr>
        <w:t>①</w:t>
      </w:r>
      <w:r>
        <w:rPr>
          <w:rFonts w:hint="eastAsia" w:ascii="宋体" w:hAnsi="宋体" w:cs="宋体"/>
          <w:color w:val="auto"/>
          <w:kern w:val="0"/>
          <w:szCs w:val="21"/>
          <w:highlight w:val="none"/>
        </w:rPr>
        <w:t>参加政府采购活动前三年内在经营活动中没有</w:t>
      </w:r>
      <w:r>
        <w:rPr>
          <w:rFonts w:hint="eastAsia" w:ascii="宋体" w:hAnsi="宋体" w:cs="宋体"/>
          <w:b/>
          <w:color w:val="auto"/>
          <w:kern w:val="0"/>
          <w:szCs w:val="21"/>
          <w:highlight w:val="none"/>
        </w:rPr>
        <w:t>重大违法记录的书面声明</w:t>
      </w:r>
      <w:r>
        <w:rPr>
          <w:rFonts w:hint="eastAsia" w:ascii="宋体" w:hAnsi="宋体"/>
          <w:color w:val="auto"/>
          <w:szCs w:val="21"/>
          <w:highlight w:val="none"/>
        </w:rPr>
        <w:t>（格式自拟，必须提供）；</w:t>
      </w:r>
    </w:p>
    <w:p>
      <w:pPr>
        <w:snapToGrid w:val="0"/>
        <w:spacing w:line="360" w:lineRule="exact"/>
        <w:ind w:firstLine="411" w:firstLineChars="196"/>
        <w:jc w:val="left"/>
        <w:rPr>
          <w:rFonts w:hint="eastAsia" w:ascii="宋体" w:hAnsi="宋体"/>
          <w:color w:val="auto"/>
          <w:szCs w:val="21"/>
          <w:highlight w:val="none"/>
        </w:rPr>
      </w:pPr>
      <w:r>
        <w:rPr>
          <w:rFonts w:hint="eastAsia" w:ascii="宋体" w:hAnsi="宋体"/>
          <w:color w:val="auto"/>
          <w:szCs w:val="21"/>
          <w:highlight w:val="none"/>
        </w:rPr>
        <w:t>②供应商可在“信用中国”网站（www.creditchina.gov.cn）、中国政府采购网（www.ccgp.gov.cn）查询相关供应商主体信用记录。</w:t>
      </w:r>
    </w:p>
    <w:p>
      <w:pPr>
        <w:snapToGrid w:val="0"/>
        <w:spacing w:line="360" w:lineRule="exact"/>
        <w:ind w:firstLine="411" w:firstLineChars="196"/>
        <w:jc w:val="left"/>
        <w:rPr>
          <w:rFonts w:hint="eastAsia" w:ascii="宋体" w:hAnsi="宋体"/>
          <w:color w:val="auto"/>
          <w:szCs w:val="21"/>
          <w:highlight w:val="none"/>
        </w:rPr>
      </w:pPr>
      <w:r>
        <w:rPr>
          <w:rFonts w:hint="eastAsia" w:ascii="宋体" w:hAnsi="宋体"/>
          <w:color w:val="auto"/>
          <w:szCs w:val="21"/>
          <w:highlight w:val="none"/>
        </w:rPr>
        <w:t>“信用中国”网站查询方法：投标人在本项目投标截止时间前10日内,进入投标人基本信息页面，点击“下载信用报告”后点击“下载”。</w:t>
      </w:r>
    </w:p>
    <w:p>
      <w:pPr>
        <w:snapToGrid w:val="0"/>
        <w:spacing w:line="360" w:lineRule="exact"/>
        <w:ind w:firstLine="411" w:firstLineChars="196"/>
        <w:jc w:val="left"/>
        <w:rPr>
          <w:rFonts w:hint="eastAsia" w:ascii="宋体" w:hAnsi="宋体"/>
          <w:color w:val="auto"/>
          <w:szCs w:val="21"/>
          <w:highlight w:val="none"/>
        </w:rPr>
      </w:pPr>
      <w:r>
        <w:rPr>
          <w:rFonts w:hint="eastAsia" w:ascii="宋体" w:hAnsi="宋体"/>
          <w:color w:val="auto"/>
          <w:szCs w:val="21"/>
          <w:highlight w:val="none"/>
        </w:rPr>
        <w:t xml:space="preserve"> “中国政府采购网”的查询方法：点击“政府采购严重违法失信行为记录名单”进行查询。截止时间为本项目投标截止时间前10日至投标截止时间中任意一天。</w:t>
      </w:r>
    </w:p>
    <w:p>
      <w:pPr>
        <w:snapToGrid w:val="0"/>
        <w:spacing w:line="360" w:lineRule="exact"/>
        <w:ind w:firstLine="411" w:firstLineChars="196"/>
        <w:jc w:val="left"/>
        <w:rPr>
          <w:rFonts w:hint="eastAsia" w:hAnsi="宋体"/>
          <w:b/>
          <w:color w:val="auto"/>
          <w:highlight w:val="none"/>
        </w:rPr>
      </w:pPr>
      <w:r>
        <w:rPr>
          <w:rFonts w:hint="eastAsia" w:ascii="宋体" w:hAnsi="宋体"/>
          <w:color w:val="auto"/>
          <w:szCs w:val="21"/>
          <w:highlight w:val="none"/>
        </w:rPr>
        <w:t>采购人或者本中心将对供应商信用记录进行甄别，对列入失信被执行人、重大税收违法案件当事人名单、政府采购严重违法失信行为记录名单及其他不符合《中华人民共和国政府采购法》第二十二条规定条件的供应商，将拒绝其参与政府采购活动。</w:t>
      </w:r>
    </w:p>
    <w:p>
      <w:pPr>
        <w:snapToGrid w:val="0"/>
        <w:spacing w:before="156" w:beforeLines="50" w:line="360" w:lineRule="exact"/>
        <w:ind w:firstLine="413" w:firstLineChars="196"/>
        <w:jc w:val="left"/>
        <w:rPr>
          <w:rFonts w:hint="eastAsia" w:ascii="宋体" w:hAnsi="宋体"/>
          <w:b/>
          <w:color w:val="auto"/>
          <w:szCs w:val="21"/>
          <w:highlight w:val="none"/>
        </w:rPr>
      </w:pPr>
      <w:r>
        <w:rPr>
          <w:rFonts w:hint="eastAsia" w:ascii="宋体" w:hAnsi="宋体"/>
          <w:b/>
          <w:color w:val="auto"/>
          <w:szCs w:val="21"/>
          <w:highlight w:val="none"/>
        </w:rPr>
        <w:t>2.资信及商务文件：</w:t>
      </w:r>
    </w:p>
    <w:p>
      <w:pPr>
        <w:snapToGrid w:val="0"/>
        <w:spacing w:line="360" w:lineRule="exact"/>
        <w:ind w:firstLine="413" w:firstLineChars="196"/>
        <w:jc w:val="left"/>
        <w:rPr>
          <w:rFonts w:hint="eastAsia" w:ascii="宋体" w:hAnsi="宋体"/>
          <w:color w:val="auto"/>
          <w:szCs w:val="21"/>
          <w:highlight w:val="none"/>
        </w:rPr>
      </w:pPr>
      <w:r>
        <w:rPr>
          <w:rFonts w:hint="eastAsia" w:ascii="宋体" w:hAnsi="宋体"/>
          <w:b/>
          <w:color w:val="auto"/>
          <w:szCs w:val="21"/>
          <w:highlight w:val="none"/>
        </w:rPr>
        <w:t>（1）投标保证金的相关证明扫描件或其他电子文件（</w:t>
      </w:r>
      <w:r>
        <w:rPr>
          <w:rFonts w:hint="eastAsia" w:ascii="宋体" w:hAnsi="宋体"/>
          <w:b/>
          <w:color w:val="auto"/>
          <w:szCs w:val="21"/>
          <w:highlight w:val="none"/>
          <w:u w:val="single"/>
        </w:rPr>
        <w:t>必须提供</w:t>
      </w:r>
      <w:r>
        <w:rPr>
          <w:rFonts w:hint="eastAsia" w:ascii="宋体" w:hAnsi="宋体"/>
          <w:b/>
          <w:color w:val="auto"/>
          <w:szCs w:val="21"/>
          <w:highlight w:val="none"/>
        </w:rPr>
        <w:t>）</w:t>
      </w:r>
      <w:r>
        <w:rPr>
          <w:rFonts w:hint="eastAsia" w:ascii="宋体" w:hAnsi="宋体"/>
          <w:color w:val="auto"/>
          <w:szCs w:val="21"/>
          <w:highlight w:val="none"/>
        </w:rPr>
        <w:t>；</w:t>
      </w:r>
    </w:p>
    <w:p>
      <w:pPr>
        <w:snapToGrid w:val="0"/>
        <w:spacing w:line="360" w:lineRule="exact"/>
        <w:ind w:firstLine="413" w:firstLineChars="196"/>
        <w:jc w:val="left"/>
        <w:rPr>
          <w:rFonts w:hint="eastAsia" w:ascii="宋体" w:hAnsi="宋体"/>
          <w:color w:val="auto"/>
          <w:szCs w:val="21"/>
          <w:highlight w:val="none"/>
        </w:rPr>
      </w:pPr>
      <w:r>
        <w:rPr>
          <w:rFonts w:hint="eastAsia" w:ascii="宋体" w:hAnsi="宋体"/>
          <w:b/>
          <w:color w:val="auto"/>
          <w:szCs w:val="21"/>
          <w:highlight w:val="none"/>
        </w:rPr>
        <w:t>（2）投标声明书 (格式见第六章)（必须提供）</w:t>
      </w:r>
      <w:r>
        <w:rPr>
          <w:rFonts w:hint="eastAsia" w:ascii="宋体" w:hAnsi="宋体"/>
          <w:color w:val="auto"/>
          <w:szCs w:val="21"/>
          <w:highlight w:val="none"/>
        </w:rPr>
        <w:t>；</w:t>
      </w:r>
    </w:p>
    <w:p>
      <w:pPr>
        <w:snapToGrid w:val="0"/>
        <w:spacing w:line="360" w:lineRule="exact"/>
        <w:ind w:firstLine="413" w:firstLineChars="196"/>
        <w:jc w:val="left"/>
        <w:rPr>
          <w:rFonts w:hint="eastAsia" w:ascii="宋体" w:hAnsi="宋体"/>
          <w:color w:val="auto"/>
          <w:szCs w:val="21"/>
          <w:highlight w:val="none"/>
        </w:rPr>
      </w:pPr>
      <w:r>
        <w:rPr>
          <w:rFonts w:hint="eastAsia" w:ascii="宋体" w:hAnsi="宋体"/>
          <w:b/>
          <w:color w:val="auto"/>
          <w:szCs w:val="21"/>
          <w:highlight w:val="none"/>
        </w:rPr>
        <w:t>（3）法定代表人授权委托书和委托代理人身份证扫描件或其他电子文件（格式见第六章)（必须提供）</w:t>
      </w:r>
      <w:r>
        <w:rPr>
          <w:rFonts w:hint="eastAsia" w:ascii="宋体" w:hAnsi="宋体"/>
          <w:color w:val="auto"/>
          <w:szCs w:val="21"/>
          <w:highlight w:val="none"/>
        </w:rPr>
        <w:t>；（格式见第六章)；</w:t>
      </w:r>
      <w:r>
        <w:rPr>
          <w:rFonts w:hint="eastAsia" w:ascii="宋体" w:hAnsi="宋体"/>
          <w:b/>
          <w:color w:val="auto"/>
          <w:szCs w:val="21"/>
          <w:highlight w:val="none"/>
        </w:rPr>
        <w:t>当法定代表人参加投标时，必须提供法定代表人身份证扫描件或其他电子文件</w:t>
      </w:r>
      <w:r>
        <w:rPr>
          <w:rFonts w:hint="eastAsia" w:ascii="宋体" w:hAnsi="宋体"/>
          <w:color w:val="auto"/>
          <w:szCs w:val="21"/>
          <w:highlight w:val="none"/>
        </w:rPr>
        <w:t>；</w:t>
      </w:r>
    </w:p>
    <w:p>
      <w:pPr>
        <w:snapToGrid w:val="0"/>
        <w:spacing w:line="360" w:lineRule="exact"/>
        <w:ind w:firstLine="413" w:firstLineChars="196"/>
        <w:jc w:val="left"/>
        <w:rPr>
          <w:rFonts w:hint="eastAsia" w:ascii="宋体" w:hAnsi="宋体"/>
          <w:b/>
          <w:color w:val="auto"/>
          <w:szCs w:val="21"/>
          <w:highlight w:val="none"/>
        </w:rPr>
      </w:pPr>
      <w:r>
        <w:rPr>
          <w:rFonts w:hint="eastAsia" w:ascii="宋体" w:hAnsi="宋体"/>
          <w:b/>
          <w:color w:val="auto"/>
          <w:szCs w:val="21"/>
          <w:highlight w:val="none"/>
        </w:rPr>
        <w:t>（4）投标截止之日前半年内投标人连续三个月的依法缴纳税费或依法免缴税费的证明（复印件，，格式自拟）（</w:t>
      </w:r>
      <w:r>
        <w:rPr>
          <w:rFonts w:hint="eastAsia" w:ascii="宋体" w:hAnsi="宋体"/>
          <w:b/>
          <w:color w:val="auto"/>
          <w:szCs w:val="21"/>
          <w:highlight w:val="none"/>
          <w:u w:val="single"/>
        </w:rPr>
        <w:t>必须提供</w:t>
      </w:r>
      <w:r>
        <w:rPr>
          <w:rFonts w:hint="eastAsia" w:ascii="宋体" w:hAnsi="宋体"/>
          <w:b/>
          <w:color w:val="auto"/>
          <w:szCs w:val="21"/>
          <w:highlight w:val="none"/>
        </w:rPr>
        <w:t>）；</w:t>
      </w:r>
      <w:r>
        <w:rPr>
          <w:rFonts w:hint="eastAsia" w:ascii="宋体" w:hAnsi="宋体"/>
          <w:color w:val="auto"/>
          <w:szCs w:val="21"/>
          <w:highlight w:val="none"/>
        </w:rPr>
        <w:t>无纳税记录的，应提供由投标人所在地主管国税或地税部门出具的《依法纳税或依法免税证明》（格式自拟，复印件，）。</w:t>
      </w:r>
    </w:p>
    <w:p>
      <w:pPr>
        <w:snapToGrid w:val="0"/>
        <w:spacing w:line="360" w:lineRule="exact"/>
        <w:ind w:firstLine="413" w:firstLineChars="196"/>
        <w:jc w:val="left"/>
        <w:rPr>
          <w:rFonts w:hint="eastAsia" w:ascii="宋体" w:hAnsi="宋体"/>
          <w:b/>
          <w:color w:val="auto"/>
          <w:szCs w:val="21"/>
          <w:highlight w:val="none"/>
        </w:rPr>
      </w:pPr>
      <w:r>
        <w:rPr>
          <w:rFonts w:hint="eastAsia" w:ascii="宋体" w:hAnsi="宋体"/>
          <w:b/>
          <w:color w:val="auto"/>
          <w:szCs w:val="21"/>
          <w:highlight w:val="none"/>
        </w:rPr>
        <w:t>（5）投标截止之日前半年内投标人连续三个月的依法缴纳社保费的缴费凭证</w:t>
      </w:r>
      <w:r>
        <w:rPr>
          <w:rFonts w:hint="eastAsia" w:ascii="宋体" w:hAnsi="宋体"/>
          <w:color w:val="auto"/>
          <w:szCs w:val="21"/>
          <w:highlight w:val="none"/>
        </w:rPr>
        <w:t>（</w:t>
      </w:r>
      <w:r>
        <w:rPr>
          <w:rFonts w:hint="eastAsia" w:ascii="宋体" w:hAnsi="宋体"/>
          <w:b/>
          <w:color w:val="auto"/>
          <w:szCs w:val="21"/>
          <w:highlight w:val="none"/>
        </w:rPr>
        <w:t>扫描件或其他电子文件，格式自拟）（</w:t>
      </w:r>
      <w:r>
        <w:rPr>
          <w:rFonts w:hint="eastAsia" w:ascii="宋体" w:hAnsi="宋体"/>
          <w:b/>
          <w:color w:val="auto"/>
          <w:szCs w:val="21"/>
          <w:highlight w:val="none"/>
          <w:u w:val="single"/>
        </w:rPr>
        <w:t>必须提供</w:t>
      </w:r>
      <w:r>
        <w:rPr>
          <w:rFonts w:hint="eastAsia" w:ascii="宋体" w:hAnsi="宋体"/>
          <w:b/>
          <w:color w:val="auto"/>
          <w:szCs w:val="21"/>
          <w:highlight w:val="none"/>
        </w:rPr>
        <w:t>）；</w:t>
      </w:r>
      <w:r>
        <w:rPr>
          <w:rFonts w:hint="eastAsia" w:ascii="宋体" w:hAnsi="宋体"/>
          <w:color w:val="auto"/>
          <w:szCs w:val="21"/>
          <w:highlight w:val="none"/>
        </w:rPr>
        <w:t>无缴费记录的，应提供由投标人所在地社保部门出具的《依法缴纳或依法免缴社保费证明》（格式自拟，</w:t>
      </w:r>
      <w:r>
        <w:rPr>
          <w:rFonts w:hint="eastAsia" w:ascii="宋体" w:hAnsi="宋体"/>
          <w:b/>
          <w:color w:val="auto"/>
          <w:szCs w:val="21"/>
          <w:highlight w:val="none"/>
        </w:rPr>
        <w:t>扫描件或其他电子文件</w:t>
      </w:r>
      <w:r>
        <w:rPr>
          <w:rFonts w:hint="eastAsia" w:ascii="宋体" w:hAnsi="宋体"/>
          <w:color w:val="auto"/>
          <w:szCs w:val="21"/>
          <w:highlight w:val="none"/>
        </w:rPr>
        <w:t>）。</w:t>
      </w:r>
    </w:p>
    <w:p>
      <w:pPr>
        <w:snapToGrid w:val="0"/>
        <w:spacing w:line="360" w:lineRule="exact"/>
        <w:ind w:firstLine="421" w:firstLineChars="200"/>
        <w:jc w:val="left"/>
        <w:rPr>
          <w:rFonts w:hint="eastAsia" w:hAnsi="宋体"/>
          <w:b/>
          <w:color w:val="auto"/>
          <w:szCs w:val="21"/>
          <w:highlight w:val="none"/>
        </w:rPr>
      </w:pPr>
      <w:r>
        <w:rPr>
          <w:rFonts w:hint="eastAsia" w:hAnsi="宋体"/>
          <w:b/>
          <w:color w:val="auto"/>
          <w:szCs w:val="21"/>
          <w:highlight w:val="none"/>
        </w:rPr>
        <w:t>（6）财务状况报告（</w:t>
      </w:r>
      <w:r>
        <w:rPr>
          <w:rFonts w:hint="eastAsia" w:hAnsi="宋体"/>
          <w:b/>
          <w:color w:val="auto"/>
          <w:szCs w:val="21"/>
          <w:highlight w:val="none"/>
          <w:u w:val="single"/>
        </w:rPr>
        <w:t>格式自拟，必须提供</w:t>
      </w:r>
      <w:r>
        <w:rPr>
          <w:rFonts w:hint="eastAsia" w:hAnsi="宋体"/>
          <w:b/>
          <w:color w:val="auto"/>
          <w:szCs w:val="21"/>
          <w:highlight w:val="none"/>
        </w:rPr>
        <w:t>）；</w:t>
      </w:r>
    </w:p>
    <w:p>
      <w:pPr>
        <w:snapToGrid w:val="0"/>
        <w:spacing w:line="360" w:lineRule="exact"/>
        <w:ind w:firstLine="413" w:firstLineChars="196"/>
        <w:jc w:val="left"/>
        <w:rPr>
          <w:rFonts w:hint="eastAsia" w:hAnsi="宋体"/>
          <w:color w:val="auto"/>
          <w:szCs w:val="21"/>
          <w:highlight w:val="none"/>
        </w:rPr>
      </w:pPr>
      <w:r>
        <w:rPr>
          <w:rFonts w:hint="eastAsia" w:hAnsi="宋体" w:cs="宋体"/>
          <w:b/>
          <w:color w:val="auto"/>
          <w:kern w:val="0"/>
          <w:szCs w:val="21"/>
          <w:highlight w:val="none"/>
        </w:rPr>
        <w:t>（7）</w:t>
      </w:r>
      <w:r>
        <w:rPr>
          <w:rFonts w:hint="eastAsia" w:hAnsi="宋体"/>
          <w:b/>
          <w:color w:val="auto"/>
          <w:szCs w:val="21"/>
          <w:highlight w:val="none"/>
        </w:rPr>
        <w:t>具备履行合同所必需的设备和专业技术能力的证明材料（</w:t>
      </w:r>
      <w:r>
        <w:rPr>
          <w:rFonts w:hint="eastAsia" w:hAnsi="宋体"/>
          <w:b/>
          <w:color w:val="auto"/>
          <w:szCs w:val="21"/>
          <w:highlight w:val="none"/>
          <w:u w:val="single"/>
        </w:rPr>
        <w:t>内容、格式自拟，必须提供</w:t>
      </w:r>
      <w:r>
        <w:rPr>
          <w:rFonts w:hint="eastAsia" w:hAnsi="宋体"/>
          <w:b/>
          <w:color w:val="auto"/>
          <w:szCs w:val="21"/>
          <w:highlight w:val="none"/>
        </w:rPr>
        <w:t>）</w:t>
      </w:r>
      <w:r>
        <w:rPr>
          <w:rFonts w:hint="eastAsia" w:hAnsi="宋体" w:cs="宋体"/>
          <w:b/>
          <w:color w:val="auto"/>
          <w:kern w:val="0"/>
          <w:szCs w:val="21"/>
          <w:highlight w:val="none"/>
        </w:rPr>
        <w:t>；</w:t>
      </w:r>
    </w:p>
    <w:p>
      <w:pPr>
        <w:snapToGrid w:val="0"/>
        <w:spacing w:line="360" w:lineRule="exact"/>
        <w:ind w:firstLine="413" w:firstLineChars="196"/>
        <w:jc w:val="left"/>
        <w:rPr>
          <w:rFonts w:hint="eastAsia" w:hAnsi="宋体"/>
          <w:b/>
          <w:color w:val="auto"/>
          <w:szCs w:val="21"/>
          <w:highlight w:val="none"/>
        </w:rPr>
      </w:pPr>
      <w:r>
        <w:rPr>
          <w:rFonts w:hint="eastAsia" w:hAnsi="宋体"/>
          <w:b/>
          <w:color w:val="auto"/>
          <w:szCs w:val="21"/>
          <w:highlight w:val="none"/>
        </w:rPr>
        <w:t>（8）商务响应表</w:t>
      </w:r>
      <w:r>
        <w:rPr>
          <w:rFonts w:hint="eastAsia" w:hAnsi="宋体"/>
          <w:color w:val="auto"/>
          <w:szCs w:val="21"/>
          <w:highlight w:val="none"/>
        </w:rPr>
        <w:t>（格式见第六章）</w:t>
      </w:r>
      <w:r>
        <w:rPr>
          <w:rFonts w:hint="eastAsia" w:hAnsi="宋体"/>
          <w:b/>
          <w:color w:val="auto"/>
          <w:szCs w:val="21"/>
          <w:highlight w:val="none"/>
        </w:rPr>
        <w:t>（</w:t>
      </w:r>
      <w:r>
        <w:rPr>
          <w:rFonts w:hint="eastAsia" w:hAnsi="宋体"/>
          <w:b/>
          <w:color w:val="auto"/>
          <w:szCs w:val="21"/>
          <w:highlight w:val="none"/>
          <w:u w:val="single"/>
        </w:rPr>
        <w:t>必须提供</w:t>
      </w:r>
      <w:r>
        <w:rPr>
          <w:rFonts w:hint="eastAsia" w:hAnsi="宋体"/>
          <w:b/>
          <w:color w:val="auto"/>
          <w:szCs w:val="21"/>
          <w:highlight w:val="none"/>
        </w:rPr>
        <w:t>）；</w:t>
      </w:r>
    </w:p>
    <w:p>
      <w:pPr>
        <w:snapToGrid w:val="0"/>
        <w:spacing w:line="360" w:lineRule="exact"/>
        <w:ind w:firstLine="411" w:firstLineChars="196"/>
        <w:jc w:val="left"/>
        <w:rPr>
          <w:rFonts w:hint="eastAsia" w:hAnsi="宋体"/>
          <w:b/>
          <w:color w:val="auto"/>
          <w:szCs w:val="21"/>
          <w:highlight w:val="none"/>
        </w:rPr>
      </w:pPr>
      <w:r>
        <w:rPr>
          <w:rFonts w:hint="eastAsia" w:hAnsi="宋体"/>
          <w:color w:val="auto"/>
          <w:highlight w:val="none"/>
        </w:rPr>
        <w:t>▲</w:t>
      </w:r>
      <w:r>
        <w:rPr>
          <w:rFonts w:hint="eastAsia" w:hAnsi="宋体"/>
          <w:color w:val="auto"/>
          <w:szCs w:val="21"/>
          <w:highlight w:val="none"/>
        </w:rPr>
        <w:t>（9）</w:t>
      </w:r>
      <w:r>
        <w:rPr>
          <w:rFonts w:hint="eastAsia" w:hAnsi="宋体"/>
          <w:b/>
          <w:color w:val="auto"/>
          <w:szCs w:val="21"/>
          <w:highlight w:val="none"/>
        </w:rPr>
        <w:t>招标项目采购需求中要求必须提供的材料等；</w:t>
      </w:r>
    </w:p>
    <w:p>
      <w:pPr>
        <w:snapToGrid w:val="0"/>
        <w:spacing w:line="360" w:lineRule="exact"/>
        <w:ind w:firstLine="411" w:firstLineChars="196"/>
        <w:jc w:val="left"/>
        <w:rPr>
          <w:rFonts w:hint="eastAsia" w:hAnsi="宋体"/>
          <w:b/>
          <w:color w:val="auto"/>
          <w:szCs w:val="21"/>
          <w:highlight w:val="none"/>
        </w:rPr>
      </w:pPr>
      <w:r>
        <w:rPr>
          <w:rFonts w:hint="eastAsia" w:hAnsi="宋体"/>
          <w:color w:val="auto"/>
          <w:szCs w:val="21"/>
          <w:highlight w:val="none"/>
        </w:rPr>
        <w:t>（10）具备法律、行政法规规定的其他条件的证明材料</w:t>
      </w:r>
      <w:r>
        <w:rPr>
          <w:rFonts w:hint="eastAsia" w:hAnsi="宋体"/>
          <w:b/>
          <w:color w:val="auto"/>
          <w:szCs w:val="21"/>
          <w:highlight w:val="none"/>
        </w:rPr>
        <w:t>(如有规定,则必须提供)。</w:t>
      </w:r>
    </w:p>
    <w:p>
      <w:pPr>
        <w:snapToGrid w:val="0"/>
        <w:spacing w:line="360" w:lineRule="exact"/>
        <w:ind w:firstLine="413" w:firstLineChars="196"/>
        <w:jc w:val="left"/>
        <w:rPr>
          <w:rFonts w:hint="eastAsia" w:hAnsi="宋体"/>
          <w:b/>
          <w:color w:val="auto"/>
          <w:szCs w:val="21"/>
          <w:highlight w:val="none"/>
        </w:rPr>
      </w:pPr>
      <w:r>
        <w:rPr>
          <w:rFonts w:hint="eastAsia" w:hAnsi="宋体"/>
          <w:b/>
          <w:bCs/>
          <w:color w:val="auto"/>
          <w:szCs w:val="21"/>
          <w:highlight w:val="none"/>
        </w:rPr>
        <w:t xml:space="preserve">可作为投标人资信评分的资质证明材料（可选）  </w:t>
      </w:r>
    </w:p>
    <w:p>
      <w:pPr>
        <w:snapToGrid w:val="0"/>
        <w:spacing w:line="360" w:lineRule="exact"/>
        <w:ind w:left="937" w:leftChars="196" w:hanging="525" w:hangingChars="250"/>
        <w:jc w:val="left"/>
        <w:rPr>
          <w:rFonts w:hint="eastAsia" w:hAnsi="宋体"/>
          <w:color w:val="auto"/>
          <w:szCs w:val="21"/>
          <w:highlight w:val="none"/>
        </w:rPr>
      </w:pPr>
      <w:r>
        <w:rPr>
          <w:rFonts w:hint="eastAsia" w:hAnsi="宋体"/>
          <w:color w:val="auto"/>
          <w:szCs w:val="21"/>
          <w:highlight w:val="none"/>
        </w:rPr>
        <w:t>（11）类似案例成功的业绩（投标人同类项目实施情况一览表、合同扫描件）；</w:t>
      </w:r>
    </w:p>
    <w:p>
      <w:pPr>
        <w:snapToGrid w:val="0"/>
        <w:spacing w:line="360" w:lineRule="exact"/>
        <w:ind w:firstLine="421" w:firstLineChars="200"/>
        <w:jc w:val="left"/>
        <w:rPr>
          <w:rFonts w:hint="eastAsia" w:hAnsi="宋体"/>
          <w:color w:val="auto"/>
          <w:szCs w:val="21"/>
          <w:highlight w:val="none"/>
        </w:rPr>
      </w:pPr>
      <w:r>
        <w:rPr>
          <w:rFonts w:hint="eastAsia" w:hAnsi="宋体"/>
          <w:b/>
          <w:color w:val="auto"/>
          <w:szCs w:val="21"/>
          <w:highlight w:val="none"/>
        </w:rPr>
        <w:t>（</w:t>
      </w:r>
      <w:r>
        <w:rPr>
          <w:rFonts w:hint="eastAsia" w:hAnsi="宋体"/>
          <w:color w:val="auto"/>
          <w:szCs w:val="21"/>
          <w:highlight w:val="none"/>
        </w:rPr>
        <w:t>12</w:t>
      </w:r>
      <w:r>
        <w:rPr>
          <w:rFonts w:hint="eastAsia" w:hAnsi="宋体"/>
          <w:b/>
          <w:color w:val="auto"/>
          <w:szCs w:val="21"/>
          <w:highlight w:val="none"/>
        </w:rPr>
        <w:t>）</w:t>
      </w:r>
      <w:r>
        <w:rPr>
          <w:rFonts w:hint="eastAsia" w:hAnsi="宋体"/>
          <w:color w:val="auto"/>
          <w:szCs w:val="21"/>
          <w:highlight w:val="none"/>
        </w:rPr>
        <w:t>其他特殊资质证书（如本地化服务能力等）；</w:t>
      </w:r>
    </w:p>
    <w:p>
      <w:pPr>
        <w:snapToGrid w:val="0"/>
        <w:spacing w:line="360" w:lineRule="exact"/>
        <w:ind w:firstLine="411" w:firstLineChars="196"/>
        <w:jc w:val="left"/>
        <w:rPr>
          <w:rFonts w:hint="eastAsia" w:hAnsi="宋体"/>
          <w:b/>
          <w:color w:val="auto"/>
          <w:szCs w:val="21"/>
          <w:highlight w:val="none"/>
        </w:rPr>
      </w:pPr>
      <w:r>
        <w:rPr>
          <w:rFonts w:hint="eastAsia" w:hAnsi="宋体"/>
          <w:color w:val="auto"/>
          <w:szCs w:val="21"/>
          <w:highlight w:val="none"/>
        </w:rPr>
        <w:t>（13）节能环保产品或政府强制采购节能产品清单证书</w:t>
      </w:r>
      <w:r>
        <w:rPr>
          <w:rFonts w:hint="eastAsia" w:hAnsi="宋体"/>
          <w:b/>
          <w:color w:val="auto"/>
          <w:szCs w:val="21"/>
          <w:highlight w:val="none"/>
        </w:rPr>
        <w:t>；</w:t>
      </w:r>
    </w:p>
    <w:p>
      <w:pPr>
        <w:snapToGrid w:val="0"/>
        <w:spacing w:line="360" w:lineRule="exact"/>
        <w:ind w:firstLine="411" w:firstLineChars="196"/>
        <w:jc w:val="left"/>
        <w:rPr>
          <w:rFonts w:hint="eastAsia" w:hAnsi="宋体"/>
          <w:color w:val="auto"/>
          <w:szCs w:val="21"/>
          <w:highlight w:val="none"/>
        </w:rPr>
      </w:pPr>
      <w:r>
        <w:rPr>
          <w:rFonts w:hint="eastAsia" w:hAnsi="宋体"/>
          <w:color w:val="auto"/>
          <w:szCs w:val="21"/>
          <w:highlight w:val="none"/>
        </w:rPr>
        <w:t>（14）投标人质量管理和质量保证体系等方面的认证证书；</w:t>
      </w:r>
    </w:p>
    <w:p>
      <w:pPr>
        <w:snapToGrid w:val="0"/>
        <w:spacing w:line="360" w:lineRule="exact"/>
        <w:ind w:firstLine="411" w:firstLineChars="196"/>
        <w:jc w:val="left"/>
        <w:rPr>
          <w:rFonts w:hint="eastAsia" w:hAnsi="宋体"/>
          <w:color w:val="auto"/>
          <w:szCs w:val="21"/>
          <w:highlight w:val="none"/>
        </w:rPr>
      </w:pPr>
      <w:r>
        <w:rPr>
          <w:rFonts w:hint="eastAsia" w:hAnsi="宋体"/>
          <w:color w:val="auto"/>
          <w:szCs w:val="21"/>
          <w:highlight w:val="none"/>
        </w:rPr>
        <w:t>（15）投标人认为可以证明其能力或业绩的其他材料；</w:t>
      </w:r>
    </w:p>
    <w:p>
      <w:pPr>
        <w:snapToGrid w:val="0"/>
        <w:spacing w:line="360" w:lineRule="exact"/>
        <w:ind w:firstLine="411" w:firstLineChars="196"/>
        <w:jc w:val="left"/>
        <w:rPr>
          <w:rFonts w:hint="eastAsia" w:hAnsi="宋体"/>
          <w:color w:val="auto"/>
          <w:szCs w:val="21"/>
          <w:highlight w:val="none"/>
        </w:rPr>
      </w:pPr>
      <w:r>
        <w:rPr>
          <w:rFonts w:hint="eastAsia" w:hAnsi="宋体"/>
          <w:color w:val="auto"/>
          <w:szCs w:val="21"/>
          <w:highlight w:val="none"/>
        </w:rPr>
        <w:t>（16）投标人关于产品生产时间、升级或者更新淘汰计划、配件供应以及本单位债务纠纷、违法违规记录等方面的情况（内容见投标声明书）；</w:t>
      </w:r>
    </w:p>
    <w:p>
      <w:pPr>
        <w:adjustRightInd w:val="0"/>
        <w:snapToGrid w:val="0"/>
        <w:spacing w:line="440" w:lineRule="exact"/>
        <w:ind w:left="3368" w:leftChars="200" w:hanging="2948" w:hangingChars="1404"/>
        <w:jc w:val="left"/>
        <w:rPr>
          <w:rFonts w:hint="eastAsia" w:ascii="宋体" w:hAnsi="宋体"/>
          <w:color w:val="auto"/>
          <w:szCs w:val="21"/>
          <w:highlight w:val="none"/>
        </w:rPr>
      </w:pPr>
      <w:r>
        <w:rPr>
          <w:rFonts w:hint="eastAsia" w:hAnsi="宋体"/>
          <w:color w:val="auto"/>
          <w:szCs w:val="21"/>
          <w:highlight w:val="none"/>
        </w:rPr>
        <w:t>（17）</w:t>
      </w:r>
      <w:r>
        <w:rPr>
          <w:rFonts w:hint="eastAsia" w:ascii="宋体" w:hAnsi="宋体"/>
          <w:color w:val="auto"/>
          <w:szCs w:val="21"/>
          <w:highlight w:val="none"/>
        </w:rPr>
        <w:t>中小企业声明函（格式见第六章，如有请提供）；</w:t>
      </w:r>
    </w:p>
    <w:p>
      <w:pPr>
        <w:adjustRightInd w:val="0"/>
        <w:snapToGrid w:val="0"/>
        <w:spacing w:line="440" w:lineRule="exact"/>
        <w:ind w:left="3368" w:leftChars="200" w:hanging="2948" w:hangingChars="1404"/>
        <w:jc w:val="left"/>
        <w:rPr>
          <w:rFonts w:hint="eastAsia" w:ascii="宋体" w:hAnsi="宋体"/>
          <w:color w:val="auto"/>
          <w:szCs w:val="21"/>
          <w:highlight w:val="none"/>
        </w:rPr>
      </w:pPr>
      <w:r>
        <w:rPr>
          <w:rFonts w:hint="eastAsia" w:ascii="宋体" w:hAnsi="宋体"/>
          <w:color w:val="auto"/>
          <w:szCs w:val="21"/>
          <w:highlight w:val="none"/>
        </w:rPr>
        <w:t>（18）</w:t>
      </w:r>
      <w:r>
        <w:rPr>
          <w:rFonts w:hint="eastAsia" w:hAnsi="宋体"/>
          <w:color w:val="auto"/>
          <w:szCs w:val="21"/>
          <w:highlight w:val="none"/>
        </w:rPr>
        <w:t>关于符合本国产品标准的声明函（格式见第六章，如有请提供）；</w:t>
      </w:r>
    </w:p>
    <w:p>
      <w:pPr>
        <w:snapToGrid w:val="0"/>
        <w:spacing w:line="360" w:lineRule="exact"/>
        <w:ind w:firstLine="411" w:firstLineChars="196"/>
        <w:jc w:val="left"/>
        <w:rPr>
          <w:rFonts w:hint="eastAsia" w:hAnsi="宋体"/>
          <w:color w:val="auto"/>
          <w:szCs w:val="21"/>
          <w:highlight w:val="none"/>
        </w:rPr>
      </w:pPr>
      <w:r>
        <w:rPr>
          <w:rFonts w:hint="eastAsia" w:hAnsi="宋体"/>
          <w:color w:val="auto"/>
          <w:szCs w:val="21"/>
          <w:highlight w:val="none"/>
        </w:rPr>
        <w:t>（19）投标人情况介绍。</w:t>
      </w:r>
    </w:p>
    <w:p>
      <w:pPr>
        <w:snapToGrid w:val="0"/>
        <w:spacing w:before="156" w:beforeLines="50" w:line="360" w:lineRule="exact"/>
        <w:ind w:firstLine="413" w:firstLineChars="196"/>
        <w:jc w:val="left"/>
        <w:rPr>
          <w:rFonts w:hint="eastAsia" w:ascii="宋体" w:hAnsi="宋体"/>
          <w:b/>
          <w:color w:val="auto"/>
          <w:szCs w:val="21"/>
          <w:highlight w:val="none"/>
        </w:rPr>
      </w:pPr>
      <w:r>
        <w:rPr>
          <w:rFonts w:hint="eastAsia" w:ascii="宋体" w:hAnsi="宋体"/>
          <w:b/>
          <w:color w:val="auto"/>
          <w:szCs w:val="21"/>
          <w:highlight w:val="none"/>
        </w:rPr>
        <w:t>3.技术文件</w:t>
      </w:r>
    </w:p>
    <w:p>
      <w:pPr>
        <w:snapToGrid w:val="0"/>
        <w:spacing w:line="36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（1）对本项目系统总体要求的理解；</w:t>
      </w:r>
    </w:p>
    <w:p>
      <w:pPr>
        <w:snapToGrid w:val="0"/>
        <w:spacing w:line="36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（2）</w:t>
      </w:r>
      <w:r>
        <w:rPr>
          <w:rFonts w:hint="eastAsia" w:ascii="宋体" w:hAnsi="宋体"/>
          <w:b/>
          <w:color w:val="auto"/>
          <w:szCs w:val="21"/>
          <w:highlight w:val="none"/>
        </w:rPr>
        <w:t>技术响应表（</w:t>
      </w:r>
      <w:r>
        <w:rPr>
          <w:rFonts w:hint="eastAsia" w:ascii="宋体" w:hAnsi="宋体"/>
          <w:b/>
          <w:color w:val="auto"/>
          <w:szCs w:val="21"/>
          <w:highlight w:val="none"/>
          <w:u w:val="single"/>
        </w:rPr>
        <w:t>必须提供</w:t>
      </w:r>
      <w:r>
        <w:rPr>
          <w:rFonts w:hint="eastAsia" w:ascii="宋体" w:hAnsi="宋体"/>
          <w:b/>
          <w:color w:val="auto"/>
          <w:szCs w:val="21"/>
          <w:highlight w:val="none"/>
        </w:rPr>
        <w:t>）；</w:t>
      </w:r>
    </w:p>
    <w:p>
      <w:pPr>
        <w:snapToGrid w:val="0"/>
        <w:spacing w:line="36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（3）设备配置清单（均不含报价）；</w:t>
      </w:r>
    </w:p>
    <w:p>
      <w:pPr>
        <w:snapToGrid w:val="0"/>
        <w:spacing w:line="36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（4）</w:t>
      </w:r>
      <w:r>
        <w:rPr>
          <w:rFonts w:hint="eastAsia"/>
          <w:b/>
          <w:color w:val="auto"/>
          <w:highlight w:val="none"/>
        </w:rPr>
        <w:t>售后服务承诺书</w:t>
      </w:r>
      <w:r>
        <w:rPr>
          <w:rFonts w:hint="eastAsia"/>
          <w:color w:val="auto"/>
          <w:highlight w:val="none"/>
        </w:rPr>
        <w:t>（应据项目实际要求描述如：</w:t>
      </w:r>
      <w:r>
        <w:rPr>
          <w:rFonts w:hint="eastAsia" w:ascii="宋体" w:hAnsi="宋体"/>
          <w:color w:val="auto"/>
          <w:szCs w:val="21"/>
          <w:highlight w:val="none"/>
        </w:rPr>
        <w:t>投标人建议的安装、调试、验收方法或方案；技术服务、技术培训、售后服务的内容和措施等），</w:t>
      </w:r>
      <w:r>
        <w:rPr>
          <w:rFonts w:hint="eastAsia" w:ascii="宋体" w:hAnsi="宋体"/>
          <w:b/>
          <w:color w:val="auto"/>
          <w:szCs w:val="21"/>
          <w:highlight w:val="none"/>
        </w:rPr>
        <w:t>(</w:t>
      </w:r>
      <w:r>
        <w:rPr>
          <w:rFonts w:hint="eastAsia" w:ascii="宋体" w:hAnsi="宋体"/>
          <w:b/>
          <w:color w:val="auto"/>
          <w:szCs w:val="21"/>
          <w:highlight w:val="none"/>
          <w:u w:val="single"/>
        </w:rPr>
        <w:t>格式自拟,必须提供</w:t>
      </w:r>
      <w:r>
        <w:rPr>
          <w:rFonts w:hint="eastAsia" w:ascii="宋体" w:hAnsi="宋体"/>
          <w:b/>
          <w:color w:val="auto"/>
          <w:szCs w:val="21"/>
          <w:highlight w:val="none"/>
        </w:rPr>
        <w:t>)</w:t>
      </w:r>
      <w:r>
        <w:rPr>
          <w:rFonts w:hint="eastAsia" w:ascii="宋体" w:hAnsi="宋体"/>
          <w:color w:val="auto"/>
          <w:szCs w:val="21"/>
          <w:highlight w:val="none"/>
        </w:rPr>
        <w:t>；</w:t>
      </w:r>
    </w:p>
    <w:p>
      <w:pPr>
        <w:snapToGrid w:val="0"/>
        <w:spacing w:line="36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 xml:space="preserve">（5）投标人拥有主要装备和检测设施的情况和现状（格式自拟）及项目实施人员一览表； </w:t>
      </w:r>
    </w:p>
    <w:p>
      <w:pPr>
        <w:snapToGrid w:val="0"/>
        <w:spacing w:line="36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（6）优惠条件：投标人承诺给予招标人的各种优惠条件，包括备品备件、专用耗材、售后服务等方面的优惠；</w:t>
      </w:r>
    </w:p>
    <w:p>
      <w:pPr>
        <w:snapToGrid w:val="0"/>
        <w:spacing w:line="36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（7）投标人对本项目的合理化建议和改进措施；</w:t>
      </w:r>
    </w:p>
    <w:p>
      <w:pPr>
        <w:snapToGrid w:val="0"/>
        <w:spacing w:line="36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（8）投标人需要说明的其他文件和说明（格式略）；</w:t>
      </w:r>
    </w:p>
    <w:p>
      <w:pPr>
        <w:snapToGrid w:val="0"/>
        <w:spacing w:line="36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▲（9）招标项目采购需求中要求必须提供的材料。</w:t>
      </w:r>
    </w:p>
    <w:p>
      <w:pPr>
        <w:snapToGrid w:val="0"/>
        <w:spacing w:before="156" w:beforeLines="50" w:line="360" w:lineRule="exact"/>
        <w:ind w:firstLine="413" w:firstLineChars="196"/>
        <w:jc w:val="left"/>
        <w:rPr>
          <w:rFonts w:hint="eastAsia" w:ascii="宋体" w:hAnsi="宋体"/>
          <w:b/>
          <w:color w:val="auto"/>
          <w:szCs w:val="21"/>
          <w:highlight w:val="none"/>
        </w:rPr>
      </w:pPr>
      <w:r>
        <w:rPr>
          <w:rFonts w:hint="eastAsia" w:ascii="宋体" w:hAnsi="宋体"/>
          <w:b/>
          <w:color w:val="auto"/>
          <w:szCs w:val="21"/>
          <w:highlight w:val="none"/>
        </w:rPr>
        <w:t>4.报价文件：</w:t>
      </w:r>
    </w:p>
    <w:p>
      <w:pPr>
        <w:tabs>
          <w:tab w:val="left" w:pos="3870"/>
          <w:tab w:val="left" w:pos="4085"/>
        </w:tabs>
        <w:snapToGrid w:val="0"/>
        <w:spacing w:line="36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 xml:space="preserve">（1）投标函（格式见第六章）； </w:t>
      </w:r>
    </w:p>
    <w:p>
      <w:pPr>
        <w:tabs>
          <w:tab w:val="left" w:pos="3870"/>
          <w:tab w:val="left" w:pos="4085"/>
        </w:tabs>
        <w:snapToGrid w:val="0"/>
        <w:spacing w:line="36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（2）投标报价明细表（格式见第六章）；</w:t>
      </w:r>
    </w:p>
    <w:p>
      <w:pPr>
        <w:tabs>
          <w:tab w:val="left" w:pos="3870"/>
          <w:tab w:val="left" w:pos="4085"/>
        </w:tabs>
        <w:snapToGrid w:val="0"/>
        <w:spacing w:line="36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（3）投标人针对报价需要说明的其他文件和说明（格式自拟）；</w:t>
      </w:r>
    </w:p>
    <w:p>
      <w:pPr>
        <w:tabs>
          <w:tab w:val="left" w:pos="3870"/>
          <w:tab w:val="left" w:pos="4085"/>
        </w:tabs>
        <w:snapToGrid w:val="0"/>
        <w:spacing w:line="360" w:lineRule="exact"/>
        <w:ind w:firstLine="420" w:firstLineChars="200"/>
        <w:jc w:val="left"/>
        <w:rPr>
          <w:rFonts w:hint="eastAsia" w:ascii="宋体" w:hAnsi="宋体" w:eastAsia="等线"/>
          <w:color w:val="auto"/>
          <w:szCs w:val="21"/>
          <w:highlight w:val="none"/>
        </w:rPr>
      </w:pPr>
      <w:r>
        <w:rPr>
          <w:rFonts w:hint="eastAsia" w:ascii="宋体" w:hAnsi="宋体"/>
          <w:color w:val="auto"/>
          <w:szCs w:val="21"/>
          <w:highlight w:val="none"/>
        </w:rPr>
        <w:t>（4）开标一览表（格式见第六章）。</w:t>
      </w:r>
    </w:p>
    <w:p>
      <w:pPr>
        <w:pStyle w:val="45"/>
        <w:spacing w:line="360" w:lineRule="exact"/>
        <w:ind w:firstLine="420" w:firstLineChars="200"/>
        <w:rPr>
          <w:rFonts w:hint="eastAsia" w:ascii="宋体" w:hAnsi="宋体"/>
          <w:color w:val="auto"/>
          <w:szCs w:val="21"/>
          <w:highlight w:val="none"/>
        </w:rPr>
      </w:pPr>
      <w:r>
        <w:rPr>
          <w:rFonts w:hint="eastAsia" w:ascii="宋体" w:hAnsi="宋体"/>
          <w:color w:val="auto"/>
          <w:szCs w:val="21"/>
          <w:highlight w:val="none"/>
        </w:rPr>
        <w:t>▲</w:t>
      </w:r>
      <w:r>
        <w:rPr>
          <w:rFonts w:hint="eastAsia" w:ascii="宋体" w:hAnsi="宋体"/>
          <w:b/>
          <w:bCs/>
          <w:color w:val="auto"/>
          <w:szCs w:val="21"/>
          <w:highlight w:val="none"/>
        </w:rPr>
        <w:t>注：法定代表人授权委托书、投标声明书、投标函、开标一览表必须按</w:t>
      </w:r>
      <w:r>
        <w:rPr>
          <w:rFonts w:hint="eastAsia" w:ascii="宋体" w:hAnsi="宋体"/>
          <w:b/>
          <w:color w:val="auto"/>
          <w:szCs w:val="21"/>
          <w:highlight w:val="none"/>
        </w:rPr>
        <w:t>招标文件格式要求签字或签章</w:t>
      </w:r>
      <w:r>
        <w:rPr>
          <w:rFonts w:hint="eastAsia" w:ascii="宋体" w:hAnsi="宋体"/>
          <w:b/>
          <w:bCs/>
          <w:color w:val="auto"/>
          <w:szCs w:val="21"/>
          <w:highlight w:val="none"/>
        </w:rPr>
        <w:t>并加盖单位公章。</w:t>
      </w:r>
    </w:p>
    <w:p>
      <w:pPr>
        <w:pStyle w:val="45"/>
        <w:spacing w:line="360" w:lineRule="exact"/>
        <w:ind w:firstLine="420" w:firstLineChars="200"/>
        <w:rPr>
          <w:rFonts w:hint="eastAsia" w:ascii="宋体" w:hAnsi="宋体"/>
          <w:color w:val="auto"/>
          <w:szCs w:val="21"/>
          <w:highlight w:val="none"/>
        </w:rPr>
      </w:pPr>
    </w:p>
    <w:p>
      <w:pPr>
        <w:pStyle w:val="69"/>
        <w:rPr>
          <w:color w:val="auto"/>
          <w:highlight w:val="none"/>
        </w:rPr>
      </w:pPr>
    </w:p>
    <w:p>
      <w:pPr>
        <w:snapToGrid w:val="0"/>
        <w:spacing w:before="50" w:after="156" w:afterLines="50" w:line="360" w:lineRule="exact"/>
        <w:ind w:firstLine="3895" w:firstLineChars="1617"/>
        <w:jc w:val="left"/>
        <w:outlineLvl w:val="0"/>
        <w:rPr>
          <w:rFonts w:hint="eastAsia" w:ascii="宋体" w:hAnsi="宋体"/>
          <w:b/>
          <w:color w:val="auto"/>
          <w:sz w:val="24"/>
          <w:highlight w:val="none"/>
        </w:rPr>
      </w:pPr>
      <w:r>
        <w:rPr>
          <w:rFonts w:hint="eastAsia" w:ascii="宋体" w:hAnsi="宋体"/>
          <w:b/>
          <w:color w:val="auto"/>
          <w:sz w:val="24"/>
          <w:highlight w:val="none"/>
        </w:rPr>
        <w:t>三、投标文件格式</w:t>
      </w:r>
    </w:p>
    <w:p>
      <w:pPr>
        <w:snapToGrid w:val="0"/>
        <w:spacing w:before="50" w:after="156" w:afterLines="50" w:line="360" w:lineRule="exact"/>
        <w:jc w:val="left"/>
        <w:outlineLvl w:val="0"/>
        <w:rPr>
          <w:rFonts w:hint="eastAsia" w:ascii="宋体" w:hAnsi="宋体"/>
          <w:b/>
          <w:color w:val="auto"/>
          <w:szCs w:val="21"/>
          <w:highlight w:val="none"/>
        </w:rPr>
      </w:pPr>
    </w:p>
    <w:p>
      <w:pPr>
        <w:snapToGrid w:val="0"/>
        <w:spacing w:before="50" w:after="156" w:afterLines="50" w:line="360" w:lineRule="exact"/>
        <w:jc w:val="left"/>
        <w:outlineLvl w:val="0"/>
        <w:rPr>
          <w:rFonts w:hint="eastAsia" w:ascii="宋体" w:hAnsi="宋体"/>
          <w:b/>
          <w:bCs/>
          <w:color w:val="auto"/>
          <w:szCs w:val="21"/>
          <w:highlight w:val="none"/>
        </w:rPr>
      </w:pPr>
      <w:r>
        <w:rPr>
          <w:rFonts w:hint="eastAsia" w:ascii="宋体" w:hAnsi="宋体"/>
          <w:b/>
          <w:color w:val="auto"/>
          <w:szCs w:val="21"/>
          <w:highlight w:val="none"/>
        </w:rPr>
        <w:t xml:space="preserve">  一）</w:t>
      </w:r>
      <w:r>
        <w:rPr>
          <w:rFonts w:hint="eastAsia" w:ascii="宋体" w:hAnsi="宋体"/>
          <w:b/>
          <w:bCs/>
          <w:color w:val="auto"/>
          <w:szCs w:val="21"/>
          <w:highlight w:val="none"/>
        </w:rPr>
        <w:t>资格文件部分（格式）</w:t>
      </w:r>
    </w:p>
    <w:p>
      <w:pPr>
        <w:snapToGrid w:val="0"/>
        <w:spacing w:line="360" w:lineRule="exact"/>
        <w:ind w:firstLine="413" w:firstLineChars="196"/>
        <w:jc w:val="left"/>
        <w:rPr>
          <w:rFonts w:hint="eastAsia" w:ascii="宋体" w:hAnsi="宋体"/>
          <w:color w:val="auto"/>
          <w:szCs w:val="21"/>
          <w:highlight w:val="none"/>
        </w:rPr>
      </w:pPr>
      <w:r>
        <w:rPr>
          <w:rFonts w:hint="eastAsia" w:ascii="宋体" w:hAnsi="宋体"/>
          <w:b/>
          <w:color w:val="auto"/>
          <w:szCs w:val="21"/>
          <w:highlight w:val="none"/>
        </w:rPr>
        <w:t>（1）</w:t>
      </w:r>
      <w:r>
        <w:rPr>
          <w:rFonts w:hint="eastAsia" w:ascii="宋体" w:hAnsi="宋体"/>
          <w:color w:val="auto"/>
          <w:szCs w:val="21"/>
          <w:highlight w:val="none"/>
        </w:rPr>
        <w:t>有效的营业执照等证明文件复印件；</w:t>
      </w:r>
    </w:p>
    <w:p>
      <w:pPr>
        <w:pStyle w:val="29"/>
        <w:adjustRightInd w:val="0"/>
        <w:snapToGrid w:val="0"/>
        <w:spacing w:line="400" w:lineRule="exact"/>
        <w:ind w:firstLine="424" w:firstLineChars="202"/>
        <w:rPr>
          <w:rFonts w:hint="eastAsia" w:hAnsi="宋体"/>
          <w:b/>
          <w:color w:val="auto"/>
          <w:highlight w:val="none"/>
        </w:rPr>
      </w:pPr>
      <w:r>
        <w:rPr>
          <w:rFonts w:hint="eastAsia" w:hAnsi="宋体"/>
          <w:color w:val="auto"/>
          <w:highlight w:val="none"/>
        </w:rPr>
        <w:t>①投标人有效的营业执照等证明文件扫描件或其他电子文件，同时要加盖单位公章</w:t>
      </w:r>
      <w:r>
        <w:rPr>
          <w:rFonts w:hint="eastAsia" w:hAnsi="宋体"/>
          <w:b/>
          <w:color w:val="auto"/>
          <w:highlight w:val="none"/>
        </w:rPr>
        <w:t>（必须提供）</w:t>
      </w:r>
      <w:r>
        <w:rPr>
          <w:rFonts w:hint="eastAsia" w:hAnsi="宋体"/>
          <w:color w:val="auto"/>
          <w:highlight w:val="none"/>
        </w:rPr>
        <w:t>；</w:t>
      </w:r>
    </w:p>
    <w:p>
      <w:pPr>
        <w:snapToGrid w:val="0"/>
        <w:spacing w:line="360" w:lineRule="exact"/>
        <w:ind w:firstLine="424" w:firstLineChars="202"/>
        <w:jc w:val="left"/>
        <w:rPr>
          <w:rFonts w:hint="eastAsia" w:hAnsi="宋体"/>
          <w:b/>
          <w:color w:val="auto"/>
          <w:highlight w:val="none"/>
        </w:rPr>
      </w:pPr>
      <w:r>
        <w:rPr>
          <w:rFonts w:hint="eastAsia" w:hAnsi="宋体"/>
          <w:color w:val="auto"/>
          <w:highlight w:val="none"/>
        </w:rPr>
        <w:t>②对于有经营资质要求的，投标人必须提供有效的经营资质证书副本内页扫描件或其他电子文件，同时要加盖单位公章。</w:t>
      </w:r>
    </w:p>
    <w:p>
      <w:pPr>
        <w:snapToGrid w:val="0"/>
        <w:spacing w:line="360" w:lineRule="exact"/>
        <w:ind w:firstLine="413" w:firstLineChars="196"/>
        <w:jc w:val="left"/>
        <w:rPr>
          <w:rFonts w:hint="eastAsia" w:ascii="宋体" w:hAnsi="宋体"/>
          <w:b/>
          <w:color w:val="auto"/>
          <w:szCs w:val="21"/>
          <w:highlight w:val="none"/>
        </w:rPr>
      </w:pPr>
      <w:r>
        <w:rPr>
          <w:rFonts w:hint="eastAsia" w:ascii="宋体" w:hAnsi="宋体"/>
          <w:b/>
          <w:color w:val="auto"/>
          <w:szCs w:val="21"/>
          <w:highlight w:val="none"/>
        </w:rPr>
        <w:t>（2）</w:t>
      </w:r>
      <w:r>
        <w:rPr>
          <w:rFonts w:hint="eastAsia" w:ascii="宋体" w:hAnsi="宋体" w:cs="宋体"/>
          <w:color w:val="auto"/>
          <w:kern w:val="0"/>
          <w:szCs w:val="21"/>
          <w:highlight w:val="none"/>
        </w:rPr>
        <w:t>参加政府采购活动前三年内在经营活动中没有</w:t>
      </w:r>
      <w:r>
        <w:rPr>
          <w:rFonts w:hint="eastAsia" w:ascii="宋体" w:hAnsi="宋体" w:cs="宋体"/>
          <w:b/>
          <w:color w:val="auto"/>
          <w:kern w:val="0"/>
          <w:szCs w:val="21"/>
          <w:highlight w:val="none"/>
        </w:rPr>
        <w:t>重大违法记录的书面声明</w:t>
      </w:r>
      <w:r>
        <w:rPr>
          <w:rFonts w:hint="eastAsia" w:ascii="宋体" w:hAnsi="宋体"/>
          <w:b/>
          <w:color w:val="auto"/>
          <w:szCs w:val="21"/>
          <w:highlight w:val="none"/>
        </w:rPr>
        <w:t>和信用记录查询方法；</w:t>
      </w:r>
    </w:p>
    <w:p>
      <w:pPr>
        <w:snapToGrid w:val="0"/>
        <w:spacing w:line="360" w:lineRule="exact"/>
        <w:ind w:firstLine="411" w:firstLineChars="196"/>
        <w:jc w:val="left"/>
        <w:rPr>
          <w:rFonts w:hint="eastAsia" w:ascii="宋体" w:hAnsi="宋体"/>
          <w:color w:val="auto"/>
          <w:szCs w:val="21"/>
          <w:highlight w:val="none"/>
        </w:rPr>
      </w:pPr>
      <w:r>
        <w:rPr>
          <w:rFonts w:hint="eastAsia" w:ascii="宋体" w:hAnsi="宋体"/>
          <w:color w:val="auto"/>
          <w:szCs w:val="21"/>
          <w:highlight w:val="none"/>
        </w:rPr>
        <w:t>①</w:t>
      </w:r>
      <w:r>
        <w:rPr>
          <w:rFonts w:hint="eastAsia" w:ascii="宋体" w:hAnsi="宋体" w:cs="宋体"/>
          <w:color w:val="auto"/>
          <w:kern w:val="0"/>
          <w:szCs w:val="21"/>
          <w:highlight w:val="none"/>
        </w:rPr>
        <w:t>参加政府采购活动前三年内在经营活动中没有</w:t>
      </w:r>
      <w:r>
        <w:rPr>
          <w:rFonts w:hint="eastAsia" w:ascii="宋体" w:hAnsi="宋体" w:cs="宋体"/>
          <w:b/>
          <w:color w:val="auto"/>
          <w:kern w:val="0"/>
          <w:szCs w:val="21"/>
          <w:highlight w:val="none"/>
        </w:rPr>
        <w:t>重大违法记录的书面声明</w:t>
      </w:r>
      <w:r>
        <w:rPr>
          <w:rFonts w:hint="eastAsia" w:ascii="宋体" w:hAnsi="宋体"/>
          <w:color w:val="auto"/>
          <w:szCs w:val="21"/>
          <w:highlight w:val="none"/>
        </w:rPr>
        <w:t>（格式自拟，必须提供）；</w:t>
      </w:r>
    </w:p>
    <w:p>
      <w:pPr>
        <w:snapToGrid w:val="0"/>
        <w:spacing w:line="360" w:lineRule="exact"/>
        <w:ind w:firstLine="411" w:firstLineChars="196"/>
        <w:jc w:val="left"/>
        <w:rPr>
          <w:rFonts w:hint="eastAsia" w:ascii="宋体" w:hAnsi="宋体"/>
          <w:color w:val="auto"/>
          <w:szCs w:val="21"/>
          <w:highlight w:val="none"/>
        </w:rPr>
      </w:pPr>
      <w:r>
        <w:rPr>
          <w:rFonts w:hint="eastAsia" w:ascii="宋体" w:hAnsi="宋体"/>
          <w:color w:val="auto"/>
          <w:szCs w:val="21"/>
          <w:highlight w:val="none"/>
        </w:rPr>
        <w:t>②供应商可在“信用中国”网站（www.creditchina.gov.cn）、中国政府采购网（www.ccgp.gov.cn）查询相关供应商主体信用记录。</w:t>
      </w:r>
    </w:p>
    <w:p>
      <w:pPr>
        <w:snapToGrid w:val="0"/>
        <w:spacing w:line="360" w:lineRule="exact"/>
        <w:ind w:firstLine="411" w:firstLineChars="196"/>
        <w:jc w:val="left"/>
        <w:rPr>
          <w:rFonts w:hint="eastAsia" w:ascii="宋体" w:hAnsi="宋体"/>
          <w:color w:val="auto"/>
          <w:szCs w:val="21"/>
          <w:highlight w:val="none"/>
        </w:rPr>
      </w:pPr>
      <w:r>
        <w:rPr>
          <w:rFonts w:hint="eastAsia" w:ascii="宋体" w:hAnsi="宋体"/>
          <w:color w:val="auto"/>
          <w:szCs w:val="21"/>
          <w:highlight w:val="none"/>
        </w:rPr>
        <w:t>“信用中国”网站查询方法：投标人在本项目投标截止时间前10日内,进入投标人基本信息页面，点击“下载信用报告”后点击“下载”。</w:t>
      </w:r>
    </w:p>
    <w:p>
      <w:pPr>
        <w:snapToGrid w:val="0"/>
        <w:spacing w:line="360" w:lineRule="exact"/>
        <w:ind w:firstLine="411" w:firstLineChars="196"/>
        <w:jc w:val="left"/>
        <w:rPr>
          <w:rFonts w:hint="eastAsia" w:ascii="宋体" w:hAnsi="宋体"/>
          <w:color w:val="auto"/>
          <w:szCs w:val="21"/>
          <w:highlight w:val="none"/>
        </w:rPr>
      </w:pPr>
      <w:r>
        <w:rPr>
          <w:rFonts w:hint="eastAsia" w:ascii="宋体" w:hAnsi="宋体"/>
          <w:color w:val="auto"/>
          <w:szCs w:val="21"/>
          <w:highlight w:val="none"/>
        </w:rPr>
        <w:t xml:space="preserve"> “中国政府采购网”的查询方法：点击“政府采购严重违法失信行为记录名单”进行查询。截止时间为本项目投标截止时间前10日至投标截止时间中任意一天。</w:t>
      </w:r>
    </w:p>
    <w:p>
      <w:pPr>
        <w:snapToGrid w:val="0"/>
        <w:spacing w:line="360" w:lineRule="exact"/>
        <w:ind w:firstLine="411" w:firstLineChars="196"/>
        <w:jc w:val="left"/>
        <w:rPr>
          <w:rFonts w:hint="eastAsia" w:ascii="宋体" w:hAnsi="宋体"/>
          <w:b/>
          <w:color w:val="auto"/>
          <w:szCs w:val="21"/>
          <w:highlight w:val="none"/>
        </w:rPr>
      </w:pPr>
      <w:r>
        <w:rPr>
          <w:rFonts w:hint="eastAsia" w:ascii="宋体" w:hAnsi="宋体"/>
          <w:color w:val="auto"/>
          <w:szCs w:val="21"/>
          <w:highlight w:val="none"/>
        </w:rPr>
        <w:t>采购人或者本中心将对供应商信用记录进行甄别，对列入失信被执行人、重大税收违法案件当事人名单、政府采购严重违法失信行为记录名单及其他不符合《中华人民共和国政府采购法》第二十二条规定条件的供应商，将拒绝其参与政府采购活动。</w:t>
      </w:r>
    </w:p>
    <w:p>
      <w:pPr>
        <w:snapToGrid w:val="0"/>
        <w:spacing w:line="360" w:lineRule="exact"/>
        <w:jc w:val="center"/>
        <w:rPr>
          <w:rFonts w:hint="eastAsia" w:ascii="宋体" w:hAnsi="宋体"/>
          <w:b/>
          <w:color w:val="auto"/>
          <w:szCs w:val="21"/>
          <w:highlight w:val="none"/>
        </w:rPr>
      </w:pPr>
    </w:p>
    <w:p>
      <w:pPr>
        <w:snapToGrid w:val="0"/>
        <w:spacing w:line="360" w:lineRule="exact"/>
        <w:jc w:val="center"/>
        <w:rPr>
          <w:rFonts w:hint="eastAsia" w:ascii="宋体" w:hAnsi="宋体" w:cs="宋体"/>
          <w:b/>
          <w:color w:val="auto"/>
          <w:kern w:val="0"/>
          <w:sz w:val="28"/>
          <w:szCs w:val="28"/>
          <w:highlight w:val="none"/>
        </w:rPr>
      </w:pPr>
      <w:r>
        <w:rPr>
          <w:rFonts w:hint="eastAsia" w:ascii="宋体" w:hAnsi="宋体"/>
          <w:b/>
          <w:color w:val="auto"/>
          <w:szCs w:val="21"/>
          <w:highlight w:val="none"/>
        </w:rPr>
        <w:t xml:space="preserve"> </w:t>
      </w:r>
    </w:p>
    <w:p>
      <w:pPr>
        <w:snapToGrid w:val="0"/>
        <w:spacing w:line="360" w:lineRule="exact"/>
        <w:jc w:val="center"/>
        <w:rPr>
          <w:rFonts w:hint="eastAsia" w:ascii="宋体" w:hAnsi="宋体" w:cs="宋体"/>
          <w:b/>
          <w:color w:val="auto"/>
          <w:kern w:val="0"/>
          <w:sz w:val="28"/>
          <w:szCs w:val="28"/>
          <w:highlight w:val="none"/>
        </w:rPr>
      </w:pPr>
    </w:p>
    <w:p>
      <w:pPr>
        <w:snapToGrid w:val="0"/>
        <w:spacing w:line="360" w:lineRule="exact"/>
        <w:jc w:val="center"/>
        <w:rPr>
          <w:rFonts w:hint="eastAsia" w:ascii="宋体" w:hAnsi="宋体" w:cs="宋体"/>
          <w:b/>
          <w:color w:val="auto"/>
          <w:kern w:val="0"/>
          <w:sz w:val="28"/>
          <w:szCs w:val="28"/>
          <w:highlight w:val="none"/>
        </w:rPr>
      </w:pPr>
      <w:r>
        <w:rPr>
          <w:rFonts w:hint="eastAsia" w:ascii="宋体" w:hAnsi="宋体" w:cs="宋体"/>
          <w:b/>
          <w:color w:val="auto"/>
          <w:kern w:val="0"/>
          <w:sz w:val="28"/>
          <w:szCs w:val="28"/>
          <w:highlight w:val="none"/>
        </w:rPr>
        <w:t>参加政府采购活动前三年内在经营活动中没有重大违法记录的书面声明</w:t>
      </w:r>
    </w:p>
    <w:p>
      <w:pPr>
        <w:snapToGrid w:val="0"/>
        <w:spacing w:line="360" w:lineRule="exact"/>
        <w:jc w:val="center"/>
        <w:rPr>
          <w:rFonts w:hint="eastAsia" w:ascii="宋体" w:hAnsi="宋体"/>
          <w:b/>
          <w:color w:val="auto"/>
          <w:szCs w:val="21"/>
          <w:highlight w:val="none"/>
        </w:rPr>
      </w:pPr>
      <w:r>
        <w:rPr>
          <w:rFonts w:hint="eastAsia" w:ascii="宋体" w:hAnsi="宋体"/>
          <w:b/>
          <w:color w:val="auto"/>
          <w:szCs w:val="21"/>
          <w:highlight w:val="none"/>
        </w:rPr>
        <w:t>（格式自拟，必须提供）</w:t>
      </w:r>
    </w:p>
    <w:p>
      <w:pPr>
        <w:snapToGrid w:val="0"/>
        <w:spacing w:line="360" w:lineRule="exact"/>
        <w:ind w:firstLine="413" w:firstLineChars="196"/>
        <w:jc w:val="center"/>
        <w:rPr>
          <w:rFonts w:hint="eastAsia" w:ascii="宋体" w:hAnsi="宋体"/>
          <w:b/>
          <w:color w:val="auto"/>
          <w:szCs w:val="21"/>
          <w:highlight w:val="none"/>
        </w:rPr>
      </w:pPr>
    </w:p>
    <w:p>
      <w:pPr>
        <w:snapToGrid w:val="0"/>
        <w:spacing w:line="360" w:lineRule="exact"/>
        <w:ind w:firstLine="413" w:firstLineChars="196"/>
        <w:jc w:val="center"/>
        <w:rPr>
          <w:rFonts w:hint="eastAsia" w:ascii="宋体" w:hAnsi="宋体"/>
          <w:b/>
          <w:color w:val="auto"/>
          <w:szCs w:val="21"/>
          <w:highlight w:val="none"/>
        </w:rPr>
      </w:pPr>
    </w:p>
    <w:p>
      <w:pPr>
        <w:snapToGrid w:val="0"/>
        <w:spacing w:line="360" w:lineRule="exact"/>
        <w:ind w:firstLine="413" w:firstLineChars="196"/>
        <w:jc w:val="center"/>
        <w:rPr>
          <w:rFonts w:hint="eastAsia" w:ascii="宋体" w:hAnsi="宋体"/>
          <w:b/>
          <w:color w:val="auto"/>
          <w:szCs w:val="21"/>
          <w:highlight w:val="none"/>
        </w:rPr>
      </w:pPr>
    </w:p>
    <w:p>
      <w:pPr>
        <w:snapToGrid w:val="0"/>
        <w:spacing w:line="360" w:lineRule="exact"/>
        <w:ind w:firstLine="413" w:firstLineChars="196"/>
        <w:jc w:val="center"/>
        <w:rPr>
          <w:rFonts w:hint="eastAsia" w:ascii="宋体" w:hAnsi="宋体"/>
          <w:b/>
          <w:color w:val="auto"/>
          <w:szCs w:val="21"/>
          <w:highlight w:val="none"/>
        </w:rPr>
      </w:pPr>
    </w:p>
    <w:p>
      <w:pPr>
        <w:snapToGrid w:val="0"/>
        <w:spacing w:before="156" w:beforeLines="50" w:line="340" w:lineRule="exact"/>
        <w:ind w:firstLine="3509" w:firstLineChars="1671"/>
        <w:rPr>
          <w:rFonts w:hint="eastAsia" w:ascii="宋体" w:hAnsi="宋体"/>
          <w:color w:val="auto"/>
          <w:szCs w:val="21"/>
          <w:highlight w:val="none"/>
        </w:rPr>
      </w:pPr>
      <w:r>
        <w:rPr>
          <w:rFonts w:hint="eastAsia" w:ascii="宋体" w:hAnsi="宋体"/>
          <w:color w:val="auto"/>
          <w:szCs w:val="21"/>
          <w:highlight w:val="none"/>
        </w:rPr>
        <w:t>法定代表人（或机构负责人）或委托代理人</w:t>
      </w:r>
      <w:r>
        <w:rPr>
          <w:rFonts w:hint="eastAsia" w:ascii="宋体" w:hAnsi="宋体"/>
          <w:color w:val="auto"/>
          <w:sz w:val="24"/>
          <w:highlight w:val="none"/>
        </w:rPr>
        <w:t>签名（或签章）</w:t>
      </w:r>
      <w:r>
        <w:rPr>
          <w:rFonts w:hint="eastAsia" w:ascii="宋体" w:hAnsi="宋体"/>
          <w:color w:val="auto"/>
          <w:szCs w:val="21"/>
          <w:highlight w:val="none"/>
        </w:rPr>
        <w:t xml:space="preserve">：             </w:t>
      </w:r>
    </w:p>
    <w:p>
      <w:pPr>
        <w:snapToGrid w:val="0"/>
        <w:spacing w:before="156" w:beforeLines="50" w:after="50" w:line="340" w:lineRule="exact"/>
        <w:ind w:firstLine="3570" w:firstLineChars="1700"/>
        <w:rPr>
          <w:rFonts w:hint="eastAsia" w:ascii="宋体" w:hAnsi="宋体"/>
          <w:color w:val="auto"/>
          <w:szCs w:val="21"/>
          <w:highlight w:val="none"/>
        </w:rPr>
      </w:pPr>
      <w:r>
        <w:rPr>
          <w:rFonts w:hint="eastAsia" w:ascii="宋体" w:hAnsi="宋体"/>
          <w:color w:val="auto"/>
          <w:szCs w:val="21"/>
          <w:highlight w:val="none"/>
        </w:rPr>
        <w:t xml:space="preserve">投标人公章：                                    </w:t>
      </w:r>
    </w:p>
    <w:p>
      <w:pPr>
        <w:pStyle w:val="29"/>
        <w:tabs>
          <w:tab w:val="left" w:pos="5580"/>
        </w:tabs>
        <w:spacing w:line="360" w:lineRule="auto"/>
        <w:ind w:left="1080" w:leftChars="257" w:hanging="540"/>
        <w:rPr>
          <w:rFonts w:hint="eastAsia" w:ascii="仿宋_GB2312" w:hAnsi="宋体" w:eastAsia="仿宋_GB2312"/>
          <w:b/>
          <w:color w:val="auto"/>
          <w:sz w:val="24"/>
          <w:highlight w:val="none"/>
        </w:rPr>
      </w:pPr>
      <w:r>
        <w:rPr>
          <w:rFonts w:hint="eastAsia" w:hAnsi="宋体"/>
          <w:color w:val="auto"/>
          <w:highlight w:val="none"/>
        </w:rPr>
        <w:t xml:space="preserve">                                          年    月    日</w:t>
      </w:r>
    </w:p>
    <w:p>
      <w:pPr>
        <w:snapToGrid w:val="0"/>
        <w:spacing w:line="360" w:lineRule="exact"/>
        <w:ind w:firstLine="664" w:firstLineChars="368"/>
        <w:jc w:val="left"/>
        <w:rPr>
          <w:rFonts w:hint="eastAsia" w:ascii="宋体" w:hAnsi="宋体" w:cs="宋体"/>
          <w:b/>
          <w:color w:val="auto"/>
          <w:kern w:val="0"/>
          <w:sz w:val="18"/>
          <w:szCs w:val="18"/>
          <w:highlight w:val="none"/>
        </w:rPr>
      </w:pPr>
      <w:r>
        <w:rPr>
          <w:rFonts w:hint="eastAsia" w:ascii="宋体" w:hAnsi="宋体" w:cs="宋体"/>
          <w:b/>
          <w:color w:val="auto"/>
          <w:kern w:val="0"/>
          <w:sz w:val="18"/>
          <w:szCs w:val="18"/>
          <w:highlight w:val="none"/>
        </w:rPr>
        <w:t>说明:1.投标人应按照相关法规规定如实做出书面声明。</w:t>
      </w:r>
    </w:p>
    <w:p>
      <w:pPr>
        <w:snapToGrid w:val="0"/>
        <w:spacing w:line="360" w:lineRule="exact"/>
        <w:ind w:firstLine="1152" w:firstLineChars="638"/>
        <w:jc w:val="left"/>
        <w:rPr>
          <w:rFonts w:hint="eastAsia" w:ascii="宋体" w:hAnsi="宋体" w:cs="宋体"/>
          <w:b/>
          <w:color w:val="auto"/>
          <w:kern w:val="0"/>
          <w:sz w:val="18"/>
          <w:szCs w:val="18"/>
          <w:highlight w:val="none"/>
        </w:rPr>
      </w:pPr>
      <w:r>
        <w:rPr>
          <w:rFonts w:hint="eastAsia" w:ascii="宋体" w:hAnsi="宋体" w:cs="宋体"/>
          <w:b/>
          <w:color w:val="auto"/>
          <w:kern w:val="0"/>
          <w:sz w:val="18"/>
          <w:szCs w:val="18"/>
          <w:highlight w:val="none"/>
        </w:rPr>
        <w:t>2．按照采购文件的规定盖章（自然人投标的无需盖章，需要签字或签章）。</w:t>
      </w:r>
    </w:p>
    <w:bookmarkEnd w:id="25"/>
    <w:bookmarkEnd w:id="26"/>
    <w:p>
      <w:pPr>
        <w:snapToGrid w:val="0"/>
        <w:spacing w:before="50" w:after="156" w:afterLines="50" w:line="360" w:lineRule="exact"/>
        <w:jc w:val="left"/>
        <w:outlineLvl w:val="0"/>
        <w:rPr>
          <w:rFonts w:hint="eastAsia" w:ascii="宋体" w:hAnsi="宋体"/>
          <w:b/>
          <w:color w:val="auto"/>
          <w:szCs w:val="21"/>
          <w:highlight w:val="none"/>
        </w:rPr>
      </w:pPr>
    </w:p>
    <w:p>
      <w:pPr>
        <w:snapToGrid w:val="0"/>
        <w:spacing w:before="50" w:after="156" w:afterLines="50" w:line="360" w:lineRule="exact"/>
        <w:jc w:val="left"/>
        <w:outlineLvl w:val="0"/>
        <w:rPr>
          <w:rFonts w:hint="eastAsia" w:ascii="宋体" w:hAnsi="宋体"/>
          <w:b/>
          <w:color w:val="auto"/>
          <w:szCs w:val="21"/>
          <w:highlight w:val="none"/>
        </w:rPr>
      </w:pPr>
    </w:p>
    <w:p>
      <w:pPr>
        <w:snapToGrid w:val="0"/>
        <w:spacing w:before="50" w:after="156" w:afterLines="50" w:line="360" w:lineRule="exact"/>
        <w:jc w:val="left"/>
        <w:outlineLvl w:val="0"/>
        <w:rPr>
          <w:rFonts w:hint="eastAsia" w:ascii="宋体" w:hAnsi="宋体"/>
          <w:b/>
          <w:color w:val="auto"/>
          <w:szCs w:val="21"/>
          <w:highlight w:val="none"/>
        </w:rPr>
      </w:pPr>
    </w:p>
    <w:p>
      <w:pPr>
        <w:snapToGrid w:val="0"/>
        <w:spacing w:before="50" w:after="156" w:afterLines="50" w:line="360" w:lineRule="exact"/>
        <w:jc w:val="left"/>
        <w:outlineLvl w:val="0"/>
        <w:rPr>
          <w:rFonts w:hint="eastAsia" w:ascii="宋体" w:hAnsi="宋体"/>
          <w:b/>
          <w:color w:val="auto"/>
          <w:szCs w:val="21"/>
          <w:highlight w:val="none"/>
        </w:rPr>
      </w:pPr>
    </w:p>
    <w:p>
      <w:pPr>
        <w:snapToGrid w:val="0"/>
        <w:spacing w:before="50" w:after="156" w:afterLines="50" w:line="360" w:lineRule="exact"/>
        <w:jc w:val="left"/>
        <w:outlineLvl w:val="0"/>
        <w:rPr>
          <w:rFonts w:hint="eastAsia" w:ascii="宋体" w:hAnsi="宋体"/>
          <w:b/>
          <w:color w:val="auto"/>
          <w:szCs w:val="21"/>
          <w:highlight w:val="none"/>
        </w:rPr>
      </w:pPr>
      <w:r>
        <w:rPr>
          <w:rFonts w:hint="eastAsia" w:ascii="宋体" w:hAnsi="宋体"/>
          <w:b/>
          <w:color w:val="auto"/>
          <w:szCs w:val="21"/>
          <w:highlight w:val="none"/>
        </w:rPr>
        <w:t>二）</w:t>
      </w:r>
      <w:r>
        <w:rPr>
          <w:rFonts w:hint="eastAsia" w:ascii="宋体" w:hAnsi="宋体"/>
          <w:b/>
          <w:bCs/>
          <w:color w:val="auto"/>
          <w:szCs w:val="21"/>
          <w:highlight w:val="none"/>
        </w:rPr>
        <w:t>资信及商务文件部分（格式）</w:t>
      </w:r>
    </w:p>
    <w:p>
      <w:pPr>
        <w:snapToGrid w:val="0"/>
        <w:spacing w:before="50" w:after="156" w:afterLines="50" w:line="360" w:lineRule="exact"/>
        <w:ind w:firstLine="204" w:firstLineChars="97"/>
        <w:jc w:val="left"/>
        <w:rPr>
          <w:rFonts w:hint="eastAsia" w:ascii="宋体" w:hAnsi="宋体"/>
          <w:b/>
          <w:color w:val="auto"/>
          <w:szCs w:val="21"/>
          <w:highlight w:val="none"/>
        </w:rPr>
      </w:pPr>
      <w:r>
        <w:rPr>
          <w:rFonts w:hint="eastAsia" w:ascii="宋体" w:hAnsi="宋体"/>
          <w:b/>
          <w:bCs/>
          <w:color w:val="auto"/>
          <w:szCs w:val="21"/>
          <w:highlight w:val="none"/>
        </w:rPr>
        <w:t>（1）</w:t>
      </w:r>
      <w:r>
        <w:rPr>
          <w:rFonts w:hint="eastAsia" w:ascii="宋体" w:hAnsi="宋体"/>
          <w:color w:val="auto"/>
          <w:szCs w:val="21"/>
          <w:highlight w:val="none"/>
        </w:rPr>
        <w:t>投标保证金的相关证明扫描件或其他电子文件</w:t>
      </w:r>
    </w:p>
    <w:p>
      <w:pPr>
        <w:snapToGrid w:val="0"/>
        <w:spacing w:before="50" w:after="156" w:afterLines="50" w:line="360" w:lineRule="exact"/>
        <w:ind w:firstLine="204" w:firstLineChars="97"/>
        <w:jc w:val="left"/>
        <w:rPr>
          <w:rFonts w:hint="eastAsia" w:ascii="宋体" w:hAnsi="宋体"/>
          <w:b/>
          <w:color w:val="auto"/>
          <w:szCs w:val="21"/>
          <w:highlight w:val="none"/>
        </w:rPr>
      </w:pPr>
    </w:p>
    <w:p>
      <w:pPr>
        <w:snapToGrid w:val="0"/>
        <w:spacing w:before="50" w:after="156" w:afterLines="50" w:line="360" w:lineRule="exact"/>
        <w:ind w:firstLine="204" w:firstLineChars="97"/>
        <w:jc w:val="left"/>
        <w:rPr>
          <w:rFonts w:hint="eastAsia" w:ascii="宋体" w:hAnsi="宋体"/>
          <w:b/>
          <w:color w:val="auto"/>
          <w:szCs w:val="21"/>
          <w:highlight w:val="none"/>
        </w:rPr>
      </w:pPr>
      <w:r>
        <w:rPr>
          <w:rFonts w:hint="eastAsia" w:ascii="宋体" w:hAnsi="宋体"/>
          <w:b/>
          <w:color w:val="auto"/>
          <w:szCs w:val="21"/>
          <w:highlight w:val="none"/>
        </w:rPr>
        <w:t>（2）投标声明书格式：</w:t>
      </w:r>
    </w:p>
    <w:p>
      <w:pPr>
        <w:snapToGrid w:val="0"/>
        <w:spacing w:before="156" w:beforeLines="50" w:after="50" w:line="360" w:lineRule="exact"/>
        <w:jc w:val="center"/>
        <w:rPr>
          <w:rFonts w:hint="eastAsia" w:ascii="仿宋_GB2312" w:hAnsi="宋体" w:eastAsia="仿宋_GB2312"/>
          <w:b/>
          <w:color w:val="auto"/>
          <w:sz w:val="30"/>
          <w:szCs w:val="30"/>
          <w:highlight w:val="none"/>
        </w:rPr>
      </w:pPr>
      <w:r>
        <w:rPr>
          <w:rFonts w:hint="eastAsia" w:ascii="仿宋_GB2312" w:hAnsi="宋体" w:eastAsia="仿宋_GB2312"/>
          <w:b/>
          <w:color w:val="auto"/>
          <w:sz w:val="30"/>
          <w:szCs w:val="30"/>
          <w:highlight w:val="none"/>
        </w:rPr>
        <w:t>投标声明书</w:t>
      </w:r>
    </w:p>
    <w:p>
      <w:pPr>
        <w:snapToGrid w:val="0"/>
        <w:spacing w:before="156" w:beforeLines="50" w:after="50" w:line="340" w:lineRule="exact"/>
        <w:rPr>
          <w:rFonts w:hint="eastAsia" w:ascii="宋体" w:hAnsi="宋体"/>
          <w:color w:val="auto"/>
          <w:szCs w:val="21"/>
          <w:highlight w:val="none"/>
        </w:rPr>
      </w:pPr>
      <w:r>
        <w:rPr>
          <w:rFonts w:hint="eastAsia" w:ascii="宋体" w:hAnsi="宋体"/>
          <w:color w:val="auto"/>
          <w:szCs w:val="21"/>
          <w:highlight w:val="none"/>
        </w:rPr>
        <w:t>致：_</w:t>
      </w:r>
      <w:r>
        <w:rPr>
          <w:rFonts w:hint="eastAsia"/>
          <w:color w:val="auto"/>
          <w:highlight w:val="none"/>
          <w:u w:val="single"/>
        </w:rPr>
        <w:t>广西壮族自治区政府采购中心</w:t>
      </w:r>
      <w:r>
        <w:rPr>
          <w:rFonts w:hint="eastAsia" w:ascii="宋体" w:hAnsi="宋体"/>
          <w:color w:val="auto"/>
          <w:szCs w:val="21"/>
          <w:highlight w:val="none"/>
        </w:rPr>
        <w:t>：</w:t>
      </w:r>
    </w:p>
    <w:p>
      <w:pPr>
        <w:snapToGrid w:val="0"/>
        <w:spacing w:before="156" w:beforeLines="50" w:after="50" w:line="340" w:lineRule="exact"/>
        <w:ind w:firstLine="630" w:firstLineChars="300"/>
        <w:rPr>
          <w:rFonts w:hint="eastAsia" w:ascii="宋体" w:hAnsi="宋体"/>
          <w:color w:val="auto"/>
          <w:szCs w:val="21"/>
          <w:highlight w:val="none"/>
        </w:rPr>
      </w:pPr>
      <w:r>
        <w:rPr>
          <w:rFonts w:hint="eastAsia" w:ascii="宋体" w:hAnsi="宋体"/>
          <w:color w:val="auto"/>
          <w:szCs w:val="21"/>
          <w:highlight w:val="none"/>
        </w:rPr>
        <w:t>______</w:t>
      </w:r>
      <w:r>
        <w:rPr>
          <w:rFonts w:hint="eastAsia" w:ascii="宋体" w:hAnsi="宋体"/>
          <w:color w:val="auto"/>
          <w:szCs w:val="21"/>
          <w:highlight w:val="none"/>
          <w:u w:val="single"/>
        </w:rPr>
        <w:t>_     _</w:t>
      </w:r>
      <w:r>
        <w:rPr>
          <w:rFonts w:hint="eastAsia" w:ascii="宋体" w:hAnsi="宋体"/>
          <w:color w:val="auto"/>
          <w:szCs w:val="21"/>
          <w:highlight w:val="none"/>
        </w:rPr>
        <w:t>_（投标人名称）系中华人民共和国合法企业，经营地址</w:t>
      </w:r>
      <w:r>
        <w:rPr>
          <w:rFonts w:hint="eastAsia" w:ascii="宋体" w:hAnsi="宋体"/>
          <w:color w:val="auto"/>
          <w:szCs w:val="21"/>
          <w:highlight w:val="none"/>
          <w:u w:val="single"/>
        </w:rPr>
        <w:t xml:space="preserve">                               </w:t>
      </w:r>
      <w:r>
        <w:rPr>
          <w:rFonts w:hint="eastAsia" w:ascii="宋体" w:hAnsi="宋体"/>
          <w:color w:val="auto"/>
          <w:szCs w:val="21"/>
          <w:highlight w:val="none"/>
        </w:rPr>
        <w:t>。</w:t>
      </w:r>
    </w:p>
    <w:p>
      <w:pPr>
        <w:snapToGrid w:val="0"/>
        <w:spacing w:before="156" w:beforeLines="50" w:after="50" w:line="340" w:lineRule="exact"/>
        <w:ind w:firstLine="645"/>
        <w:rPr>
          <w:rFonts w:hint="eastAsia" w:ascii="宋体" w:hAnsi="宋体"/>
          <w:color w:val="auto"/>
          <w:szCs w:val="21"/>
          <w:highlight w:val="none"/>
        </w:rPr>
      </w:pPr>
      <w:r>
        <w:rPr>
          <w:rFonts w:hint="eastAsia" w:ascii="宋体" w:hAnsi="宋体"/>
          <w:color w:val="auto"/>
          <w:szCs w:val="21"/>
          <w:highlight w:val="none"/>
        </w:rPr>
        <w:t>我___</w:t>
      </w:r>
      <w:r>
        <w:rPr>
          <w:rFonts w:hint="eastAsia" w:ascii="宋体" w:hAnsi="宋体"/>
          <w:color w:val="auto"/>
          <w:szCs w:val="21"/>
          <w:highlight w:val="none"/>
          <w:u w:val="single"/>
        </w:rPr>
        <w:t xml:space="preserve">    _</w:t>
      </w:r>
      <w:r>
        <w:rPr>
          <w:rFonts w:hint="eastAsia" w:ascii="宋体" w:hAnsi="宋体"/>
          <w:color w:val="auto"/>
          <w:szCs w:val="21"/>
          <w:highlight w:val="none"/>
        </w:rPr>
        <w:t>_（姓名）系______</w:t>
      </w:r>
      <w:r>
        <w:rPr>
          <w:rFonts w:hint="eastAsia" w:ascii="宋体" w:hAnsi="宋体"/>
          <w:color w:val="auto"/>
          <w:szCs w:val="21"/>
          <w:highlight w:val="none"/>
          <w:u w:val="single"/>
        </w:rPr>
        <w:t>_     _</w:t>
      </w:r>
      <w:r>
        <w:rPr>
          <w:rFonts w:hint="eastAsia" w:ascii="宋体" w:hAnsi="宋体"/>
          <w:color w:val="auto"/>
          <w:szCs w:val="21"/>
          <w:highlight w:val="none"/>
        </w:rPr>
        <w:t>_（投标人名称）的法定代表人，我方愿意参加贵方组织的_____</w:t>
      </w:r>
      <w:r>
        <w:rPr>
          <w:rFonts w:hint="eastAsia" w:ascii="宋体" w:hAnsi="宋体"/>
          <w:color w:val="auto"/>
          <w:szCs w:val="21"/>
          <w:highlight w:val="none"/>
          <w:u w:val="single"/>
        </w:rPr>
        <w:t>_              _     _</w:t>
      </w:r>
      <w:r>
        <w:rPr>
          <w:rFonts w:hint="eastAsia" w:ascii="宋体" w:hAnsi="宋体"/>
          <w:color w:val="auto"/>
          <w:szCs w:val="21"/>
          <w:highlight w:val="none"/>
        </w:rPr>
        <w:t>_项目的投标，为便于贵方公正、择优地确定中标人及其投标产品和服务，我方就本次投标有关事项郑重声明如下：</w:t>
      </w:r>
    </w:p>
    <w:p>
      <w:pPr>
        <w:snapToGrid w:val="0"/>
        <w:spacing w:line="340" w:lineRule="exact"/>
        <w:ind w:firstLine="420" w:firstLineChars="200"/>
        <w:rPr>
          <w:rFonts w:hint="eastAsia" w:ascii="宋体" w:hAnsi="宋体"/>
          <w:color w:val="auto"/>
          <w:szCs w:val="21"/>
          <w:highlight w:val="none"/>
        </w:rPr>
      </w:pPr>
      <w:r>
        <w:rPr>
          <w:rFonts w:hint="eastAsia" w:ascii="宋体" w:hAnsi="宋体"/>
          <w:color w:val="auto"/>
          <w:szCs w:val="21"/>
          <w:highlight w:val="none"/>
        </w:rPr>
        <w:t>1.我方向贵方提交的所有投标文件、资料都是准确的和真实的。</w:t>
      </w:r>
    </w:p>
    <w:p>
      <w:pPr>
        <w:snapToGrid w:val="0"/>
        <w:spacing w:before="156" w:beforeLines="50" w:line="340" w:lineRule="exact"/>
        <w:ind w:firstLine="420" w:firstLineChars="200"/>
        <w:rPr>
          <w:rFonts w:hint="eastAsia" w:ascii="宋体" w:hAnsi="宋体"/>
          <w:color w:val="auto"/>
          <w:szCs w:val="21"/>
          <w:highlight w:val="none"/>
        </w:rPr>
      </w:pPr>
      <w:r>
        <w:rPr>
          <w:rFonts w:hint="eastAsia" w:ascii="宋体" w:hAnsi="宋体"/>
          <w:color w:val="auto"/>
          <w:szCs w:val="21"/>
          <w:highlight w:val="none"/>
        </w:rPr>
        <w:t>2.我方不是采购人的附属机构；在获知本项目采购信息后，与采购人聘请的为此项目提供咨询服务的公司及其附属机构没有任何联系。</w:t>
      </w:r>
    </w:p>
    <w:p>
      <w:pPr>
        <w:snapToGrid w:val="0"/>
        <w:spacing w:before="156" w:beforeLines="50" w:line="340" w:lineRule="exact"/>
        <w:ind w:firstLine="420" w:firstLineChars="200"/>
        <w:rPr>
          <w:rFonts w:hint="eastAsia" w:ascii="宋体" w:hAnsi="宋体"/>
          <w:color w:val="auto"/>
          <w:szCs w:val="21"/>
          <w:highlight w:val="none"/>
        </w:rPr>
      </w:pPr>
      <w:r>
        <w:rPr>
          <w:rFonts w:hint="eastAsia" w:ascii="宋体" w:hAnsi="宋体"/>
          <w:color w:val="auto"/>
          <w:szCs w:val="21"/>
          <w:highlight w:val="none"/>
        </w:rPr>
        <w:t>3.我方此次向贵方提供的产品名称为：</w:t>
      </w:r>
      <w:r>
        <w:rPr>
          <w:rFonts w:hint="eastAsia" w:ascii="宋体" w:hAnsi="宋体"/>
          <w:color w:val="auto"/>
          <w:szCs w:val="21"/>
          <w:highlight w:val="none"/>
          <w:u w:val="single"/>
        </w:rPr>
        <w:t xml:space="preserve">                 </w:t>
      </w:r>
      <w:r>
        <w:rPr>
          <w:rFonts w:hint="eastAsia" w:ascii="宋体" w:hAnsi="宋体"/>
          <w:color w:val="auto"/>
          <w:szCs w:val="21"/>
          <w:highlight w:val="none"/>
        </w:rPr>
        <w:t>；规格型号：</w:t>
      </w:r>
      <w:r>
        <w:rPr>
          <w:rFonts w:hint="eastAsia" w:ascii="宋体" w:hAnsi="宋体"/>
          <w:color w:val="auto"/>
          <w:szCs w:val="21"/>
          <w:highlight w:val="none"/>
          <w:u w:val="single"/>
        </w:rPr>
        <w:t xml:space="preserve">                     </w:t>
      </w:r>
      <w:r>
        <w:rPr>
          <w:rFonts w:hint="eastAsia" w:ascii="宋体" w:hAnsi="宋体"/>
          <w:color w:val="auto"/>
          <w:szCs w:val="21"/>
          <w:highlight w:val="none"/>
        </w:rPr>
        <w:t>；该型号产品我方有现货可供，并已于</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月生产完工或向　</w:t>
      </w:r>
      <w:r>
        <w:rPr>
          <w:rFonts w:hint="eastAsia" w:ascii="宋体" w:hAnsi="宋体"/>
          <w:color w:val="auto"/>
          <w:szCs w:val="21"/>
          <w:highlight w:val="none"/>
          <w:u w:val="single"/>
        </w:rPr>
        <w:t xml:space="preserve">　              </w:t>
      </w:r>
      <w:r>
        <w:rPr>
          <w:rFonts w:hint="eastAsia" w:ascii="宋体" w:hAnsi="宋体"/>
          <w:color w:val="auto"/>
          <w:szCs w:val="21"/>
          <w:highlight w:val="none"/>
        </w:rPr>
        <w:t>（原厂商名称）购进［</w:t>
      </w:r>
      <w:r>
        <w:rPr>
          <w:rFonts w:hint="eastAsia" w:ascii="宋体" w:hAnsi="宋体"/>
          <w:b/>
          <w:bCs/>
          <w:color w:val="auto"/>
          <w:szCs w:val="21"/>
          <w:highlight w:val="none"/>
        </w:rPr>
        <w:t>或</w:t>
      </w:r>
      <w:r>
        <w:rPr>
          <w:rFonts w:hint="eastAsia" w:ascii="宋体" w:hAnsi="宋体"/>
          <w:color w:val="auto"/>
          <w:szCs w:val="21"/>
          <w:highlight w:val="none"/>
        </w:rPr>
        <w:t>需在中标后向</w:t>
      </w:r>
      <w:r>
        <w:rPr>
          <w:rFonts w:hint="eastAsia" w:ascii="宋体" w:hAnsi="宋体"/>
          <w:color w:val="auto"/>
          <w:szCs w:val="21"/>
          <w:highlight w:val="none"/>
          <w:u w:val="single"/>
        </w:rPr>
        <w:t xml:space="preserve">               </w:t>
      </w:r>
      <w:r>
        <w:rPr>
          <w:rFonts w:hint="eastAsia" w:ascii="宋体" w:hAnsi="宋体"/>
          <w:color w:val="auto"/>
          <w:szCs w:val="21"/>
          <w:highlight w:val="none"/>
        </w:rPr>
        <w:t>订购］。</w:t>
      </w:r>
    </w:p>
    <w:p>
      <w:pPr>
        <w:snapToGrid w:val="0"/>
        <w:spacing w:before="156" w:beforeLines="50" w:line="340" w:lineRule="exact"/>
        <w:ind w:firstLine="420" w:firstLineChars="200"/>
        <w:rPr>
          <w:rFonts w:hint="eastAsia" w:ascii="宋体" w:hAnsi="宋体"/>
          <w:color w:val="auto"/>
          <w:szCs w:val="21"/>
          <w:highlight w:val="none"/>
        </w:rPr>
      </w:pPr>
      <w:r>
        <w:rPr>
          <w:rFonts w:hint="eastAsia" w:ascii="宋体" w:hAnsi="宋体"/>
          <w:color w:val="auto"/>
          <w:szCs w:val="21"/>
          <w:highlight w:val="none"/>
        </w:rPr>
        <w:t>4.我方诚意提请贵方关注：近期有关该型号产品的生产、供货、售后服务以及性能等方面的重大决策和事项有：</w:t>
      </w:r>
    </w:p>
    <w:p>
      <w:pPr>
        <w:snapToGrid w:val="0"/>
        <w:spacing w:before="156" w:beforeLines="50" w:line="340" w:lineRule="exact"/>
        <w:ind w:firstLine="420" w:firstLineChars="200"/>
        <w:rPr>
          <w:rFonts w:hint="eastAsia" w:ascii="宋体" w:hAnsi="宋体"/>
          <w:color w:val="auto"/>
          <w:szCs w:val="21"/>
          <w:highlight w:val="none"/>
          <w:u w:val="single"/>
        </w:rPr>
      </w:pPr>
      <w:r>
        <w:rPr>
          <w:rFonts w:hint="eastAsia" w:ascii="宋体" w:hAnsi="宋体"/>
          <w:color w:val="auto"/>
          <w:szCs w:val="21"/>
          <w:highlight w:val="none"/>
          <w:u w:val="single"/>
        </w:rPr>
        <w:t>　　　　　　　　　　　　　　　　　　　　　　　　　　　</w:t>
      </w:r>
    </w:p>
    <w:p>
      <w:pPr>
        <w:snapToGrid w:val="0"/>
        <w:spacing w:before="156" w:beforeLines="50" w:line="340" w:lineRule="exact"/>
        <w:ind w:firstLine="420" w:firstLineChars="200"/>
        <w:rPr>
          <w:rFonts w:hint="eastAsia" w:ascii="宋体" w:hAnsi="宋体"/>
          <w:color w:val="auto"/>
          <w:szCs w:val="21"/>
          <w:highlight w:val="none"/>
        </w:rPr>
      </w:pPr>
      <w:r>
        <w:rPr>
          <w:rFonts w:hint="eastAsia" w:ascii="宋体" w:hAnsi="宋体"/>
          <w:color w:val="auto"/>
          <w:szCs w:val="21"/>
          <w:highlight w:val="none"/>
          <w:u w:val="single"/>
        </w:rPr>
        <w:t>　　　　　　　　　　　　　　　　　　　　　　　　　　　</w:t>
      </w:r>
    </w:p>
    <w:p>
      <w:pPr>
        <w:rPr>
          <w:rFonts w:hint="eastAsia" w:ascii="宋体" w:hAnsi="宋体"/>
          <w:color w:val="auto"/>
          <w:szCs w:val="21"/>
          <w:highlight w:val="none"/>
        </w:rPr>
      </w:pPr>
      <w:r>
        <w:rPr>
          <w:rFonts w:hint="eastAsia" w:ascii="宋体" w:hAnsi="宋体"/>
          <w:color w:val="auto"/>
          <w:szCs w:val="21"/>
          <w:highlight w:val="none"/>
        </w:rPr>
        <w:t>5. 我方参加政府采购活动前三年内在经营活动中重大违法记录和不良信用记录情况：</w:t>
      </w:r>
    </w:p>
    <w:p>
      <w:pPr>
        <w:snapToGrid w:val="0"/>
        <w:spacing w:before="156" w:beforeLines="50" w:line="340" w:lineRule="exact"/>
        <w:ind w:firstLine="421" w:firstLineChars="200"/>
        <w:rPr>
          <w:rFonts w:hint="eastAsia" w:ascii="宋体" w:hAnsi="宋体"/>
          <w:color w:val="auto"/>
          <w:szCs w:val="21"/>
          <w:highlight w:val="none"/>
          <w:u w:val="single"/>
        </w:rPr>
      </w:pPr>
      <w:r>
        <w:rPr>
          <w:rFonts w:hint="eastAsia" w:ascii="宋体" w:hAnsi="宋体"/>
          <w:b/>
          <w:color w:val="auto"/>
          <w:szCs w:val="21"/>
          <w:highlight w:val="none"/>
          <w:u w:val="single"/>
        </w:rPr>
        <w:t>　　　　　　</w:t>
      </w:r>
      <w:r>
        <w:rPr>
          <w:rFonts w:hint="eastAsia" w:ascii="宋体" w:hAnsi="宋体"/>
          <w:color w:val="auto"/>
          <w:szCs w:val="21"/>
          <w:highlight w:val="none"/>
          <w:u w:val="single"/>
        </w:rPr>
        <w:t>　　　　　　　　　　　　　　　　　　　　　</w:t>
      </w:r>
    </w:p>
    <w:p>
      <w:pPr>
        <w:snapToGrid w:val="0"/>
        <w:spacing w:before="156" w:beforeLines="50" w:line="340" w:lineRule="exact"/>
        <w:ind w:firstLine="420" w:firstLineChars="200"/>
        <w:rPr>
          <w:rFonts w:hint="eastAsia" w:ascii="宋体" w:hAnsi="宋体"/>
          <w:color w:val="auto"/>
          <w:szCs w:val="21"/>
          <w:highlight w:val="none"/>
        </w:rPr>
      </w:pPr>
      <w:r>
        <w:rPr>
          <w:rFonts w:hint="eastAsia" w:ascii="宋体" w:hAnsi="宋体"/>
          <w:color w:val="auto"/>
          <w:szCs w:val="21"/>
          <w:highlight w:val="none"/>
        </w:rPr>
        <w:t>6.以上事项如有虚假或隐瞒，我方愿意承担一切后果。</w:t>
      </w:r>
    </w:p>
    <w:p>
      <w:pPr>
        <w:snapToGrid w:val="0"/>
        <w:spacing w:before="156" w:beforeLines="50" w:line="340" w:lineRule="exact"/>
        <w:ind w:firstLine="3509" w:firstLineChars="1671"/>
        <w:rPr>
          <w:rFonts w:hint="eastAsia" w:ascii="宋体" w:hAnsi="宋体"/>
          <w:color w:val="auto"/>
          <w:szCs w:val="21"/>
          <w:highlight w:val="none"/>
          <w:u w:val="single"/>
        </w:rPr>
      </w:pPr>
      <w:r>
        <w:rPr>
          <w:rFonts w:hint="eastAsia" w:ascii="宋体" w:hAnsi="宋体"/>
          <w:color w:val="auto"/>
          <w:szCs w:val="21"/>
          <w:highlight w:val="none"/>
        </w:rPr>
        <w:t>法定代表人或委托代理人签字或签章：</w:t>
      </w:r>
      <w:r>
        <w:rPr>
          <w:rFonts w:hint="eastAsia" w:ascii="宋体" w:hAnsi="宋体"/>
          <w:color w:val="auto"/>
          <w:szCs w:val="21"/>
          <w:highlight w:val="none"/>
          <w:u w:val="single"/>
        </w:rPr>
        <w:t xml:space="preserve">             </w:t>
      </w:r>
    </w:p>
    <w:p>
      <w:pPr>
        <w:snapToGrid w:val="0"/>
        <w:spacing w:before="156" w:beforeLines="50" w:after="50" w:line="340" w:lineRule="exact"/>
        <w:ind w:firstLine="3570" w:firstLineChars="1700"/>
        <w:rPr>
          <w:rFonts w:hint="eastAsia" w:ascii="宋体" w:hAnsi="宋体"/>
          <w:color w:val="auto"/>
          <w:szCs w:val="21"/>
          <w:highlight w:val="none"/>
        </w:rPr>
      </w:pPr>
      <w:r>
        <w:rPr>
          <w:rFonts w:hint="eastAsia" w:ascii="宋体" w:hAnsi="宋体"/>
          <w:color w:val="auto"/>
          <w:szCs w:val="21"/>
          <w:highlight w:val="none"/>
        </w:rPr>
        <w:t>投标人公章：</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p>
    <w:p>
      <w:pPr>
        <w:snapToGrid w:val="0"/>
        <w:spacing w:before="156" w:beforeLines="50" w:after="50" w:line="340" w:lineRule="exact"/>
        <w:ind w:firstLine="210" w:firstLineChars="100"/>
        <w:rPr>
          <w:rFonts w:hint="eastAsia" w:ascii="宋体" w:hAnsi="宋体"/>
          <w:color w:val="auto"/>
          <w:szCs w:val="21"/>
          <w:highlight w:val="none"/>
        </w:rPr>
      </w:pPr>
      <w:r>
        <w:rPr>
          <w:rFonts w:hint="eastAsia" w:ascii="宋体" w:hAnsi="宋体"/>
          <w:color w:val="auto"/>
          <w:szCs w:val="21"/>
          <w:highlight w:val="none"/>
        </w:rPr>
        <w:t xml:space="preserve">                                          年    月    日</w:t>
      </w:r>
    </w:p>
    <w:p>
      <w:pPr>
        <w:widowControl/>
        <w:spacing w:before="100" w:beforeAutospacing="1" w:after="100" w:afterAutospacing="1" w:line="432" w:lineRule="auto"/>
        <w:ind w:firstLine="413" w:firstLineChars="196"/>
        <w:jc w:val="left"/>
        <w:rPr>
          <w:rFonts w:hint="eastAsia" w:ascii="宋体" w:hAnsi="宋体"/>
          <w:b/>
          <w:color w:val="auto"/>
          <w:szCs w:val="21"/>
          <w:highlight w:val="none"/>
          <w:u w:val="single"/>
        </w:rPr>
      </w:pPr>
      <w:r>
        <w:rPr>
          <w:rFonts w:hint="eastAsia" w:ascii="宋体" w:hAnsi="宋体"/>
          <w:b/>
          <w:color w:val="auto"/>
          <w:szCs w:val="21"/>
          <w:highlight w:val="none"/>
          <w:u w:val="single"/>
        </w:rPr>
        <w:t>（重大违法记录，是指供应商因违法经营受到刑事处罚或者责令停产停业、吊销许可证或者执照、较大数额罚款等行政处罚。）</w:t>
      </w:r>
    </w:p>
    <w:p>
      <w:pPr>
        <w:snapToGrid w:val="0"/>
        <w:spacing w:before="50" w:after="156" w:afterLines="50" w:line="340" w:lineRule="exact"/>
        <w:jc w:val="left"/>
        <w:rPr>
          <w:rFonts w:hint="eastAsia" w:ascii="宋体" w:hAnsi="宋体"/>
          <w:b/>
          <w:color w:val="auto"/>
          <w:szCs w:val="21"/>
          <w:highlight w:val="none"/>
        </w:rPr>
      </w:pPr>
    </w:p>
    <w:p>
      <w:pPr>
        <w:snapToGrid w:val="0"/>
        <w:spacing w:before="50" w:after="156" w:afterLines="50" w:line="340" w:lineRule="exact"/>
        <w:jc w:val="left"/>
        <w:rPr>
          <w:rFonts w:hint="eastAsia" w:ascii="宋体" w:hAnsi="宋体"/>
          <w:b/>
          <w:color w:val="auto"/>
          <w:szCs w:val="21"/>
          <w:highlight w:val="none"/>
        </w:rPr>
      </w:pPr>
      <w:r>
        <w:rPr>
          <w:rFonts w:hint="eastAsia" w:ascii="宋体" w:hAnsi="宋体"/>
          <w:b/>
          <w:color w:val="auto"/>
          <w:szCs w:val="21"/>
          <w:highlight w:val="none"/>
        </w:rPr>
        <w:t>（3）法定代表人授权委托书格式：</w:t>
      </w:r>
    </w:p>
    <w:p>
      <w:pPr>
        <w:snapToGrid w:val="0"/>
        <w:spacing w:before="156" w:beforeLines="50" w:after="50" w:line="340" w:lineRule="exact"/>
        <w:jc w:val="center"/>
        <w:rPr>
          <w:rFonts w:hint="eastAsia" w:ascii="仿宋_GB2312" w:hAnsi="宋体" w:eastAsia="仿宋_GB2312"/>
          <w:b/>
          <w:color w:val="auto"/>
          <w:sz w:val="30"/>
          <w:szCs w:val="30"/>
          <w:highlight w:val="none"/>
        </w:rPr>
      </w:pPr>
    </w:p>
    <w:p>
      <w:pPr>
        <w:snapToGrid w:val="0"/>
        <w:spacing w:before="156" w:beforeLines="50" w:after="50" w:line="340" w:lineRule="exact"/>
        <w:jc w:val="center"/>
        <w:rPr>
          <w:rFonts w:hint="eastAsia" w:ascii="仿宋_GB2312" w:hAnsi="宋体" w:eastAsia="仿宋_GB2312"/>
          <w:b/>
          <w:color w:val="auto"/>
          <w:sz w:val="30"/>
          <w:szCs w:val="30"/>
          <w:highlight w:val="none"/>
        </w:rPr>
      </w:pPr>
    </w:p>
    <w:p>
      <w:pPr>
        <w:snapToGrid w:val="0"/>
        <w:spacing w:before="156" w:beforeLines="50" w:after="50" w:line="340" w:lineRule="exact"/>
        <w:jc w:val="center"/>
        <w:rPr>
          <w:rFonts w:hint="eastAsia" w:ascii="仿宋_GB2312" w:hAnsi="宋体" w:eastAsia="仿宋_GB2312"/>
          <w:b/>
          <w:color w:val="auto"/>
          <w:sz w:val="30"/>
          <w:szCs w:val="30"/>
          <w:highlight w:val="none"/>
        </w:rPr>
      </w:pPr>
      <w:r>
        <w:rPr>
          <w:rFonts w:hint="eastAsia" w:ascii="仿宋_GB2312" w:hAnsi="宋体" w:eastAsia="仿宋_GB2312"/>
          <w:b/>
          <w:color w:val="auto"/>
          <w:sz w:val="30"/>
          <w:szCs w:val="30"/>
          <w:highlight w:val="none"/>
        </w:rPr>
        <w:t>法定代表人授权委托书</w:t>
      </w:r>
    </w:p>
    <w:p>
      <w:pPr>
        <w:snapToGrid w:val="0"/>
        <w:spacing w:before="156" w:beforeLines="50" w:after="50" w:line="480" w:lineRule="auto"/>
        <w:rPr>
          <w:rFonts w:hint="eastAsia" w:ascii="宋体" w:hAnsi="宋体"/>
          <w:b/>
          <w:bCs/>
          <w:color w:val="auto"/>
          <w:szCs w:val="21"/>
          <w:highlight w:val="none"/>
        </w:rPr>
      </w:pPr>
      <w:r>
        <w:rPr>
          <w:rFonts w:hint="eastAsia" w:ascii="宋体" w:hAnsi="宋体"/>
          <w:bCs/>
          <w:color w:val="auto"/>
          <w:szCs w:val="21"/>
          <w:highlight w:val="none"/>
        </w:rPr>
        <w:t>致：</w:t>
      </w:r>
      <w:r>
        <w:rPr>
          <w:rFonts w:hint="eastAsia" w:ascii="宋体" w:hAnsi="宋体"/>
          <w:color w:val="auto"/>
          <w:szCs w:val="21"/>
          <w:highlight w:val="none"/>
        </w:rPr>
        <w:t>_</w:t>
      </w:r>
      <w:r>
        <w:rPr>
          <w:rFonts w:hint="eastAsia"/>
          <w:color w:val="auto"/>
          <w:highlight w:val="none"/>
          <w:u w:val="single"/>
        </w:rPr>
        <w:t>广西壮族自治区政府采购中心</w:t>
      </w:r>
      <w:r>
        <w:rPr>
          <w:rFonts w:hint="eastAsia" w:ascii="宋体" w:hAnsi="宋体"/>
          <w:color w:val="auto"/>
          <w:szCs w:val="21"/>
          <w:highlight w:val="none"/>
        </w:rPr>
        <w:t>：</w:t>
      </w:r>
    </w:p>
    <w:p>
      <w:pPr>
        <w:snapToGrid w:val="0"/>
        <w:spacing w:before="156" w:beforeLines="50" w:after="50" w:line="480" w:lineRule="auto"/>
        <w:ind w:firstLine="630" w:firstLineChars="300"/>
        <w:rPr>
          <w:rFonts w:hint="eastAsia" w:ascii="宋体" w:hAnsi="宋体"/>
          <w:color w:val="auto"/>
          <w:szCs w:val="21"/>
          <w:highlight w:val="none"/>
        </w:rPr>
      </w:pPr>
      <w:r>
        <w:rPr>
          <w:rFonts w:hint="eastAsia" w:ascii="宋体" w:hAnsi="宋体"/>
          <w:color w:val="auto"/>
          <w:szCs w:val="21"/>
          <w:highlight w:val="none"/>
        </w:rPr>
        <w:t>我______</w:t>
      </w:r>
      <w:r>
        <w:rPr>
          <w:rFonts w:hint="eastAsia" w:ascii="宋体" w:hAnsi="宋体"/>
          <w:color w:val="auto"/>
          <w:szCs w:val="21"/>
          <w:highlight w:val="none"/>
          <w:u w:val="single"/>
        </w:rPr>
        <w:t>_     _</w:t>
      </w:r>
      <w:r>
        <w:rPr>
          <w:rFonts w:hint="eastAsia" w:ascii="宋体" w:hAnsi="宋体"/>
          <w:color w:val="auto"/>
          <w:szCs w:val="21"/>
          <w:highlight w:val="none"/>
        </w:rPr>
        <w:t>_（姓名）系______</w:t>
      </w:r>
      <w:r>
        <w:rPr>
          <w:rFonts w:hint="eastAsia" w:ascii="宋体" w:hAnsi="宋体"/>
          <w:color w:val="auto"/>
          <w:szCs w:val="21"/>
          <w:highlight w:val="none"/>
          <w:u w:val="single"/>
        </w:rPr>
        <w:t>_     _</w:t>
      </w:r>
      <w:r>
        <w:rPr>
          <w:rFonts w:hint="eastAsia" w:ascii="宋体" w:hAnsi="宋体"/>
          <w:color w:val="auto"/>
          <w:szCs w:val="21"/>
          <w:highlight w:val="none"/>
        </w:rPr>
        <w:t xml:space="preserve">_（投标人名称）的法定代表人，现授权委托本单位在职职工 </w:t>
      </w:r>
      <w:r>
        <w:rPr>
          <w:rFonts w:hint="eastAsia" w:ascii="宋体" w:hAnsi="宋体"/>
          <w:color w:val="auto"/>
          <w:szCs w:val="21"/>
          <w:highlight w:val="none"/>
          <w:u w:val="single"/>
        </w:rPr>
        <w:t xml:space="preserve">              </w:t>
      </w:r>
      <w:r>
        <w:rPr>
          <w:rFonts w:hint="eastAsia" w:ascii="宋体" w:hAnsi="宋体"/>
          <w:color w:val="auto"/>
          <w:szCs w:val="21"/>
          <w:highlight w:val="none"/>
        </w:rPr>
        <w:t>（姓名）以我方的名义参加</w:t>
      </w:r>
      <w:r>
        <w:rPr>
          <w:rFonts w:hint="eastAsia" w:ascii="宋体" w:hAnsi="宋体"/>
          <w:color w:val="auto"/>
          <w:szCs w:val="21"/>
          <w:highlight w:val="none"/>
          <w:u w:val="single"/>
        </w:rPr>
        <w:t xml:space="preserve">             </w:t>
      </w:r>
      <w:r>
        <w:rPr>
          <w:rFonts w:hint="eastAsia" w:ascii="宋体" w:hAnsi="宋体"/>
          <w:color w:val="auto"/>
          <w:szCs w:val="21"/>
          <w:highlight w:val="none"/>
        </w:rPr>
        <w:t>项目的投标活动，并代表我方全权办理针对上述项目的投标、开标、评标、签约等具体事务和签署相关文件。</w:t>
      </w:r>
    </w:p>
    <w:p>
      <w:pPr>
        <w:snapToGrid w:val="0"/>
        <w:spacing w:before="156" w:beforeLines="50" w:after="50" w:line="480" w:lineRule="auto"/>
        <w:rPr>
          <w:rFonts w:hint="eastAsia" w:ascii="宋体" w:hAnsi="宋体"/>
          <w:color w:val="auto"/>
          <w:szCs w:val="21"/>
          <w:highlight w:val="none"/>
        </w:rPr>
      </w:pPr>
      <w:r>
        <w:rPr>
          <w:rFonts w:hint="eastAsia" w:ascii="宋体" w:hAnsi="宋体"/>
          <w:color w:val="auto"/>
          <w:szCs w:val="21"/>
          <w:highlight w:val="none"/>
        </w:rPr>
        <w:t xml:space="preserve">    我方对被授权人的签名事项负全部责任。</w:t>
      </w:r>
    </w:p>
    <w:p>
      <w:pPr>
        <w:snapToGrid w:val="0"/>
        <w:spacing w:before="156" w:beforeLines="50" w:after="50" w:line="480" w:lineRule="auto"/>
        <w:ind w:firstLine="480"/>
        <w:rPr>
          <w:rFonts w:hint="eastAsia" w:ascii="宋体" w:hAnsi="宋体"/>
          <w:color w:val="auto"/>
          <w:szCs w:val="21"/>
          <w:highlight w:val="none"/>
        </w:rPr>
      </w:pPr>
      <w:r>
        <w:rPr>
          <w:rFonts w:hint="eastAsia" w:ascii="宋体" w:hAnsi="宋体"/>
          <w:color w:val="auto"/>
          <w:szCs w:val="21"/>
          <w:highlight w:val="none"/>
          <w:u w:val="single"/>
        </w:rPr>
        <w:t>在撤销授权的书面通知以前，本授权书一直有效。</w:t>
      </w:r>
      <w:r>
        <w:rPr>
          <w:rFonts w:hint="eastAsia" w:ascii="宋体" w:hAnsi="宋体"/>
          <w:color w:val="auto"/>
          <w:szCs w:val="21"/>
          <w:highlight w:val="none"/>
        </w:rPr>
        <w:t>被授权人在授权书有效期内签署的所有文件不因授权的撤销而失效。</w:t>
      </w:r>
    </w:p>
    <w:p>
      <w:pPr>
        <w:snapToGrid w:val="0"/>
        <w:spacing w:before="156" w:beforeLines="50" w:after="50" w:line="480" w:lineRule="auto"/>
        <w:ind w:firstLine="480"/>
        <w:rPr>
          <w:rFonts w:hint="eastAsia" w:ascii="宋体" w:hAnsi="宋体"/>
          <w:color w:val="auto"/>
          <w:szCs w:val="21"/>
          <w:highlight w:val="none"/>
        </w:rPr>
      </w:pPr>
      <w:r>
        <w:rPr>
          <w:rFonts w:hint="eastAsia" w:ascii="宋体" w:hAnsi="宋体"/>
          <w:color w:val="auto"/>
          <w:szCs w:val="21"/>
          <w:highlight w:val="none"/>
        </w:rPr>
        <w:t>被授权人无转委托权，特此委托。</w:t>
      </w:r>
    </w:p>
    <w:p>
      <w:pPr>
        <w:snapToGrid w:val="0"/>
        <w:spacing w:before="156" w:beforeLines="50" w:after="50" w:line="480" w:lineRule="auto"/>
        <w:rPr>
          <w:rFonts w:hint="eastAsia" w:ascii="宋体" w:hAnsi="宋体"/>
          <w:color w:val="auto"/>
          <w:szCs w:val="21"/>
          <w:highlight w:val="none"/>
          <w:u w:val="single"/>
        </w:rPr>
      </w:pPr>
      <w:r>
        <w:rPr>
          <w:rFonts w:hint="eastAsia" w:ascii="宋体" w:hAnsi="宋体"/>
          <w:color w:val="auto"/>
          <w:szCs w:val="21"/>
          <w:highlight w:val="none"/>
        </w:rPr>
        <w:t>被授权人签名：</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法定代表人签字（或签章）：</w:t>
      </w:r>
      <w:r>
        <w:rPr>
          <w:rFonts w:hint="eastAsia" w:ascii="宋体" w:hAnsi="宋体"/>
          <w:color w:val="auto"/>
          <w:szCs w:val="21"/>
          <w:highlight w:val="none"/>
          <w:u w:val="single"/>
        </w:rPr>
        <w:t xml:space="preserve">          </w:t>
      </w:r>
    </w:p>
    <w:p>
      <w:pPr>
        <w:snapToGrid w:val="0"/>
        <w:spacing w:before="156" w:beforeLines="50" w:after="50" w:line="480" w:lineRule="auto"/>
        <w:rPr>
          <w:rFonts w:hint="eastAsia" w:ascii="宋体" w:hAnsi="宋体"/>
          <w:color w:val="auto"/>
          <w:szCs w:val="21"/>
          <w:highlight w:val="none"/>
        </w:rPr>
      </w:pPr>
      <w:r>
        <w:rPr>
          <w:rFonts w:hint="eastAsia" w:ascii="宋体" w:hAnsi="宋体"/>
          <w:color w:val="auto"/>
          <w:szCs w:val="21"/>
          <w:highlight w:val="none"/>
        </w:rPr>
        <w:t>所在部门职务：</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职务：</w:t>
      </w:r>
      <w:r>
        <w:rPr>
          <w:rFonts w:hint="eastAsia" w:ascii="宋体" w:hAnsi="宋体"/>
          <w:color w:val="auto"/>
          <w:szCs w:val="21"/>
          <w:highlight w:val="none"/>
          <w:u w:val="single"/>
        </w:rPr>
        <w:t xml:space="preserve">           </w:t>
      </w:r>
    </w:p>
    <w:p>
      <w:pPr>
        <w:snapToGrid w:val="0"/>
        <w:spacing w:before="156" w:beforeLines="50" w:after="50" w:line="480" w:lineRule="auto"/>
        <w:rPr>
          <w:rFonts w:hint="eastAsia" w:ascii="宋体" w:hAnsi="宋体"/>
          <w:color w:val="auto"/>
          <w:szCs w:val="21"/>
          <w:highlight w:val="none"/>
        </w:rPr>
      </w:pPr>
      <w:r>
        <w:rPr>
          <w:rFonts w:hint="eastAsia" w:ascii="宋体" w:hAnsi="宋体"/>
          <w:color w:val="auto"/>
          <w:szCs w:val="21"/>
          <w:highlight w:val="none"/>
        </w:rPr>
        <w:t>被授权人身份证号码：</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p>
    <w:p>
      <w:pPr>
        <w:snapToGrid w:val="0"/>
        <w:spacing w:before="156" w:beforeLines="50" w:after="50" w:line="480" w:lineRule="auto"/>
        <w:rPr>
          <w:rFonts w:hint="eastAsia" w:ascii="宋体" w:hAnsi="宋体"/>
          <w:color w:val="auto"/>
          <w:szCs w:val="21"/>
          <w:highlight w:val="none"/>
        </w:rPr>
      </w:pPr>
      <w:r>
        <w:rPr>
          <w:rFonts w:hint="eastAsia" w:ascii="宋体" w:hAnsi="宋体"/>
          <w:color w:val="auto"/>
          <w:szCs w:val="21"/>
          <w:highlight w:val="none"/>
        </w:rPr>
        <w:t>贴附“委托代理人身份证复印件”（正反两面）</w:t>
      </w:r>
    </w:p>
    <w:p>
      <w:pPr>
        <w:snapToGrid w:val="0"/>
        <w:spacing w:before="156" w:beforeLines="50" w:after="50" w:line="480" w:lineRule="auto"/>
        <w:rPr>
          <w:rFonts w:hint="eastAsia" w:ascii="宋体" w:hAnsi="宋体"/>
          <w:color w:val="auto"/>
          <w:szCs w:val="21"/>
          <w:highlight w:val="none"/>
        </w:rPr>
      </w:pPr>
    </w:p>
    <w:p>
      <w:pPr>
        <w:snapToGrid w:val="0"/>
        <w:spacing w:before="156" w:beforeLines="50" w:after="50" w:line="480" w:lineRule="auto"/>
        <w:rPr>
          <w:rFonts w:hint="eastAsia" w:ascii="宋体" w:hAnsi="宋体"/>
          <w:color w:val="auto"/>
          <w:szCs w:val="21"/>
          <w:highlight w:val="none"/>
        </w:rPr>
      </w:pPr>
    </w:p>
    <w:p>
      <w:pPr>
        <w:snapToGrid w:val="0"/>
        <w:spacing w:before="156" w:beforeLines="50" w:after="50" w:line="480" w:lineRule="auto"/>
        <w:rPr>
          <w:rFonts w:hint="eastAsia" w:ascii="宋体" w:hAnsi="宋体"/>
          <w:color w:val="auto"/>
          <w:szCs w:val="21"/>
          <w:highlight w:val="none"/>
        </w:rPr>
      </w:pPr>
    </w:p>
    <w:p>
      <w:pPr>
        <w:snapToGrid w:val="0"/>
        <w:spacing w:before="156" w:beforeLines="50" w:after="50" w:line="480" w:lineRule="auto"/>
        <w:ind w:firstLine="4620" w:firstLineChars="2200"/>
        <w:rPr>
          <w:rFonts w:hint="eastAsia" w:ascii="宋体" w:hAnsi="宋体"/>
          <w:color w:val="auto"/>
          <w:szCs w:val="21"/>
          <w:highlight w:val="none"/>
        </w:rPr>
      </w:pPr>
      <w:r>
        <w:rPr>
          <w:rFonts w:hint="eastAsia" w:ascii="宋体" w:hAnsi="宋体"/>
          <w:color w:val="auto"/>
          <w:szCs w:val="21"/>
          <w:highlight w:val="none"/>
        </w:rPr>
        <w:t xml:space="preserve">  投标人公章：</w:t>
      </w:r>
    </w:p>
    <w:p>
      <w:pPr>
        <w:snapToGrid w:val="0"/>
        <w:spacing w:before="156" w:beforeLines="50" w:after="50" w:line="480" w:lineRule="auto"/>
        <w:jc w:val="center"/>
        <w:rPr>
          <w:rFonts w:hint="eastAsia" w:ascii="宋体" w:hAnsi="宋体"/>
          <w:color w:val="auto"/>
          <w:szCs w:val="21"/>
          <w:highlight w:val="none"/>
        </w:rPr>
      </w:pPr>
      <w:r>
        <w:rPr>
          <w:rFonts w:hint="eastAsia" w:ascii="宋体" w:hAnsi="宋体"/>
          <w:color w:val="auto"/>
          <w:szCs w:val="21"/>
          <w:highlight w:val="none"/>
        </w:rPr>
        <w:t xml:space="preserve">                                        年    月    日</w:t>
      </w:r>
    </w:p>
    <w:p>
      <w:pPr>
        <w:snapToGrid w:val="0"/>
        <w:spacing w:before="312" w:beforeLines="100" w:after="312" w:afterLines="100" w:line="360" w:lineRule="exact"/>
        <w:ind w:firstLine="413" w:firstLineChars="196"/>
        <w:jc w:val="left"/>
        <w:rPr>
          <w:rFonts w:hint="eastAsia" w:ascii="宋体" w:hAnsi="宋体"/>
          <w:b/>
          <w:color w:val="auto"/>
          <w:szCs w:val="21"/>
          <w:highlight w:val="none"/>
        </w:rPr>
      </w:pPr>
    </w:p>
    <w:p>
      <w:pPr>
        <w:snapToGrid w:val="0"/>
        <w:spacing w:before="312" w:beforeLines="100" w:after="312" w:afterLines="100" w:line="360" w:lineRule="exact"/>
        <w:ind w:firstLine="413" w:firstLineChars="196"/>
        <w:jc w:val="left"/>
        <w:rPr>
          <w:rFonts w:hint="eastAsia" w:ascii="宋体" w:hAnsi="宋体"/>
          <w:b/>
          <w:color w:val="auto"/>
          <w:szCs w:val="21"/>
          <w:highlight w:val="none"/>
        </w:rPr>
      </w:pPr>
      <w:r>
        <w:rPr>
          <w:rFonts w:hint="eastAsia" w:ascii="宋体" w:hAnsi="宋体"/>
          <w:b/>
          <w:color w:val="auto"/>
          <w:szCs w:val="21"/>
          <w:highlight w:val="none"/>
        </w:rPr>
        <w:t>（4）投标截止之日前半年内投标人连续三个月的依法缴纳税费或依法免缴税费的证明（扫描件或其他电子文件，格式自拟）（</w:t>
      </w:r>
      <w:r>
        <w:rPr>
          <w:rFonts w:hint="eastAsia" w:ascii="宋体" w:hAnsi="宋体"/>
          <w:b/>
          <w:color w:val="auto"/>
          <w:szCs w:val="21"/>
          <w:highlight w:val="none"/>
          <w:u w:val="single"/>
        </w:rPr>
        <w:t>必须提供</w:t>
      </w:r>
      <w:r>
        <w:rPr>
          <w:rFonts w:hint="eastAsia" w:ascii="宋体" w:hAnsi="宋体"/>
          <w:b/>
          <w:color w:val="auto"/>
          <w:szCs w:val="21"/>
          <w:highlight w:val="none"/>
        </w:rPr>
        <w:t>）；</w:t>
      </w:r>
      <w:r>
        <w:rPr>
          <w:rFonts w:hint="eastAsia" w:ascii="宋体" w:hAnsi="宋体"/>
          <w:color w:val="auto"/>
          <w:szCs w:val="21"/>
          <w:highlight w:val="none"/>
        </w:rPr>
        <w:t>无纳税记录的，应提供由投标人所在地主管国税或地税部门出具的《依法纳税或依法免税证明》（格式自拟，</w:t>
      </w:r>
      <w:r>
        <w:rPr>
          <w:rFonts w:hint="eastAsia" w:ascii="宋体" w:hAnsi="宋体"/>
          <w:b/>
          <w:color w:val="auto"/>
          <w:szCs w:val="21"/>
          <w:highlight w:val="none"/>
        </w:rPr>
        <w:t>扫描件或其他电子文件</w:t>
      </w:r>
      <w:r>
        <w:rPr>
          <w:rFonts w:hint="eastAsia" w:ascii="宋体" w:hAnsi="宋体"/>
          <w:color w:val="auto"/>
          <w:szCs w:val="21"/>
          <w:highlight w:val="none"/>
        </w:rPr>
        <w:t>）。</w:t>
      </w:r>
    </w:p>
    <w:p>
      <w:pPr>
        <w:snapToGrid w:val="0"/>
        <w:spacing w:before="312" w:beforeLines="100" w:after="312" w:afterLines="100" w:line="360" w:lineRule="exact"/>
        <w:ind w:firstLine="413" w:firstLineChars="196"/>
        <w:jc w:val="left"/>
        <w:rPr>
          <w:rFonts w:hint="eastAsia" w:ascii="宋体" w:hAnsi="宋体"/>
          <w:b/>
          <w:color w:val="auto"/>
          <w:szCs w:val="21"/>
          <w:highlight w:val="none"/>
        </w:rPr>
      </w:pPr>
      <w:r>
        <w:rPr>
          <w:rFonts w:hint="eastAsia" w:ascii="宋体" w:hAnsi="宋体"/>
          <w:b/>
          <w:color w:val="auto"/>
          <w:szCs w:val="21"/>
          <w:highlight w:val="none"/>
        </w:rPr>
        <w:t>（5）投标截止之日前半年内投标人连续三个月的依法缴纳社保费的缴费凭证</w:t>
      </w:r>
      <w:r>
        <w:rPr>
          <w:rFonts w:hint="eastAsia" w:ascii="宋体" w:hAnsi="宋体"/>
          <w:color w:val="auto"/>
          <w:szCs w:val="21"/>
          <w:highlight w:val="none"/>
        </w:rPr>
        <w:t>（</w:t>
      </w:r>
      <w:r>
        <w:rPr>
          <w:rFonts w:hint="eastAsia" w:ascii="宋体" w:hAnsi="宋体"/>
          <w:b/>
          <w:color w:val="auto"/>
          <w:szCs w:val="21"/>
          <w:highlight w:val="none"/>
        </w:rPr>
        <w:t>扫描件或其他电子文件，格式自拟）（</w:t>
      </w:r>
      <w:r>
        <w:rPr>
          <w:rFonts w:hint="eastAsia" w:ascii="宋体" w:hAnsi="宋体"/>
          <w:b/>
          <w:color w:val="auto"/>
          <w:szCs w:val="21"/>
          <w:highlight w:val="none"/>
          <w:u w:val="single"/>
        </w:rPr>
        <w:t>必须提供</w:t>
      </w:r>
      <w:r>
        <w:rPr>
          <w:rFonts w:hint="eastAsia" w:ascii="宋体" w:hAnsi="宋体"/>
          <w:b/>
          <w:color w:val="auto"/>
          <w:szCs w:val="21"/>
          <w:highlight w:val="none"/>
        </w:rPr>
        <w:t>）；</w:t>
      </w:r>
      <w:r>
        <w:rPr>
          <w:rFonts w:hint="eastAsia" w:ascii="宋体" w:hAnsi="宋体"/>
          <w:color w:val="auto"/>
          <w:szCs w:val="21"/>
          <w:highlight w:val="none"/>
        </w:rPr>
        <w:t>无缴费记录的，应提供由投标人所在地社保部门出具的《依法缴纳或依法免缴社保费证明》（格式自拟，</w:t>
      </w:r>
      <w:r>
        <w:rPr>
          <w:rFonts w:hint="eastAsia" w:ascii="宋体" w:hAnsi="宋体"/>
          <w:b/>
          <w:color w:val="auto"/>
          <w:szCs w:val="21"/>
          <w:highlight w:val="none"/>
        </w:rPr>
        <w:t>扫描件或其他电子文件</w:t>
      </w:r>
      <w:r>
        <w:rPr>
          <w:rFonts w:hint="eastAsia" w:ascii="宋体" w:hAnsi="宋体"/>
          <w:color w:val="auto"/>
          <w:szCs w:val="21"/>
          <w:highlight w:val="none"/>
        </w:rPr>
        <w:t>）。</w:t>
      </w:r>
    </w:p>
    <w:p>
      <w:pPr>
        <w:snapToGrid w:val="0"/>
        <w:spacing w:before="312" w:beforeLines="100" w:after="312" w:afterLines="100" w:line="360" w:lineRule="exact"/>
        <w:ind w:firstLine="421" w:firstLineChars="200"/>
        <w:jc w:val="left"/>
        <w:rPr>
          <w:rFonts w:hint="eastAsia" w:hAnsi="宋体"/>
          <w:b/>
          <w:color w:val="auto"/>
          <w:szCs w:val="21"/>
          <w:highlight w:val="none"/>
        </w:rPr>
      </w:pPr>
      <w:r>
        <w:rPr>
          <w:rFonts w:hint="eastAsia" w:hAnsi="宋体"/>
          <w:b/>
          <w:color w:val="auto"/>
          <w:szCs w:val="21"/>
          <w:highlight w:val="none"/>
        </w:rPr>
        <w:t>（6）财务状况报告（</w:t>
      </w:r>
      <w:r>
        <w:rPr>
          <w:rFonts w:hint="eastAsia" w:hAnsi="宋体"/>
          <w:b/>
          <w:color w:val="auto"/>
          <w:szCs w:val="21"/>
          <w:highlight w:val="none"/>
          <w:u w:val="single"/>
        </w:rPr>
        <w:t>格式自拟，必须提供</w:t>
      </w:r>
      <w:r>
        <w:rPr>
          <w:rFonts w:hint="eastAsia" w:hAnsi="宋体"/>
          <w:b/>
          <w:color w:val="auto"/>
          <w:szCs w:val="21"/>
          <w:highlight w:val="none"/>
        </w:rPr>
        <w:t>）；</w:t>
      </w:r>
    </w:p>
    <w:p>
      <w:pPr>
        <w:snapToGrid w:val="0"/>
        <w:spacing w:before="312" w:beforeLines="100" w:after="312" w:afterLines="100" w:line="360" w:lineRule="exact"/>
        <w:ind w:firstLine="413" w:firstLineChars="196"/>
        <w:jc w:val="left"/>
        <w:rPr>
          <w:rFonts w:hint="eastAsia" w:hAnsi="宋体"/>
          <w:color w:val="auto"/>
          <w:szCs w:val="21"/>
          <w:highlight w:val="none"/>
        </w:rPr>
      </w:pPr>
      <w:r>
        <w:rPr>
          <w:rFonts w:hint="eastAsia" w:hAnsi="宋体" w:cs="宋体"/>
          <w:b/>
          <w:color w:val="auto"/>
          <w:kern w:val="0"/>
          <w:szCs w:val="21"/>
          <w:highlight w:val="none"/>
        </w:rPr>
        <w:t>（7）</w:t>
      </w:r>
      <w:r>
        <w:rPr>
          <w:rFonts w:hint="eastAsia" w:hAnsi="宋体"/>
          <w:b/>
          <w:color w:val="auto"/>
          <w:szCs w:val="21"/>
          <w:highlight w:val="none"/>
        </w:rPr>
        <w:t>具备履行合同所必需的设备和专业技术能力的证明材料（</w:t>
      </w:r>
      <w:r>
        <w:rPr>
          <w:rFonts w:hint="eastAsia" w:hAnsi="宋体"/>
          <w:b/>
          <w:color w:val="auto"/>
          <w:szCs w:val="21"/>
          <w:highlight w:val="none"/>
          <w:u w:val="single"/>
        </w:rPr>
        <w:t>内容、格式自拟，必须提供</w:t>
      </w:r>
      <w:r>
        <w:rPr>
          <w:rFonts w:hint="eastAsia" w:hAnsi="宋体"/>
          <w:b/>
          <w:color w:val="auto"/>
          <w:szCs w:val="21"/>
          <w:highlight w:val="none"/>
        </w:rPr>
        <w:t>）</w:t>
      </w:r>
      <w:r>
        <w:rPr>
          <w:rFonts w:hint="eastAsia" w:hAnsi="宋体" w:cs="宋体"/>
          <w:b/>
          <w:color w:val="auto"/>
          <w:kern w:val="0"/>
          <w:szCs w:val="21"/>
          <w:highlight w:val="none"/>
        </w:rPr>
        <w:t>；</w:t>
      </w:r>
    </w:p>
    <w:p>
      <w:pPr>
        <w:snapToGrid w:val="0"/>
        <w:spacing w:before="50" w:line="360" w:lineRule="exact"/>
        <w:jc w:val="left"/>
        <w:rPr>
          <w:rFonts w:hint="eastAsia" w:ascii="宋体" w:hAnsi="宋体"/>
          <w:b/>
          <w:color w:val="auto"/>
          <w:szCs w:val="21"/>
          <w:highlight w:val="none"/>
        </w:rPr>
      </w:pPr>
      <w:r>
        <w:rPr>
          <w:rFonts w:hint="eastAsia" w:ascii="宋体" w:hAnsi="宋体"/>
          <w:b/>
          <w:color w:val="auto"/>
          <w:szCs w:val="21"/>
          <w:highlight w:val="none"/>
        </w:rPr>
        <w:t>（8）商务响应表格式：</w:t>
      </w:r>
    </w:p>
    <w:p>
      <w:pPr>
        <w:snapToGrid w:val="0"/>
        <w:spacing w:before="50" w:line="360" w:lineRule="exact"/>
        <w:jc w:val="center"/>
        <w:rPr>
          <w:rFonts w:hint="eastAsia" w:ascii="宋体" w:hAnsi="宋体"/>
          <w:b/>
          <w:color w:val="auto"/>
          <w:szCs w:val="21"/>
          <w:highlight w:val="none"/>
        </w:rPr>
      </w:pPr>
    </w:p>
    <w:p>
      <w:pPr>
        <w:snapToGrid w:val="0"/>
        <w:spacing w:before="50" w:line="360" w:lineRule="exact"/>
        <w:jc w:val="center"/>
        <w:rPr>
          <w:rFonts w:hint="eastAsia" w:ascii="宋体" w:hAnsi="宋体"/>
          <w:b/>
          <w:color w:val="auto"/>
          <w:szCs w:val="21"/>
          <w:highlight w:val="none"/>
        </w:rPr>
      </w:pPr>
    </w:p>
    <w:p>
      <w:pPr>
        <w:snapToGrid w:val="0"/>
        <w:spacing w:before="50" w:line="360" w:lineRule="exact"/>
        <w:jc w:val="center"/>
        <w:rPr>
          <w:rFonts w:hint="eastAsia" w:ascii="宋体" w:hAnsi="宋体"/>
          <w:b/>
          <w:color w:val="auto"/>
          <w:szCs w:val="21"/>
          <w:highlight w:val="none"/>
        </w:rPr>
      </w:pPr>
    </w:p>
    <w:p>
      <w:pPr>
        <w:snapToGrid w:val="0"/>
        <w:spacing w:before="156" w:beforeLines="50" w:after="50" w:line="340" w:lineRule="exact"/>
        <w:jc w:val="center"/>
        <w:rPr>
          <w:rFonts w:hint="eastAsia" w:ascii="仿宋_GB2312" w:hAnsi="宋体" w:eastAsia="仿宋_GB2312"/>
          <w:b/>
          <w:color w:val="auto"/>
          <w:sz w:val="30"/>
          <w:szCs w:val="30"/>
          <w:highlight w:val="none"/>
        </w:rPr>
      </w:pPr>
      <w:r>
        <w:rPr>
          <w:rFonts w:hint="eastAsia" w:ascii="仿宋_GB2312" w:hAnsi="宋体" w:eastAsia="仿宋_GB2312"/>
          <w:b/>
          <w:color w:val="auto"/>
          <w:sz w:val="30"/>
          <w:szCs w:val="30"/>
          <w:highlight w:val="none"/>
        </w:rPr>
        <w:t>商务响应表</w:t>
      </w:r>
    </w:p>
    <w:p>
      <w:pPr>
        <w:snapToGrid w:val="0"/>
        <w:spacing w:before="50" w:line="360" w:lineRule="exact"/>
        <w:jc w:val="left"/>
        <w:rPr>
          <w:rFonts w:hint="eastAsia" w:ascii="宋体" w:hAnsi="宋体"/>
          <w:color w:val="auto"/>
          <w:szCs w:val="21"/>
          <w:highlight w:val="none"/>
          <w:u w:val="single"/>
        </w:rPr>
      </w:pPr>
    </w:p>
    <w:tbl>
      <w:tblPr>
        <w:tblStyle w:val="52"/>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548"/>
        <w:gridCol w:w="2955"/>
        <w:gridCol w:w="2625"/>
        <w:gridCol w:w="234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1548" w:type="dxa"/>
            <w:tcBorders>
              <w:top w:val="single" w:color="auto" w:sz="4" w:space="0"/>
              <w:left w:val="single" w:color="auto" w:sz="4" w:space="0"/>
              <w:bottom w:val="single" w:color="auto" w:sz="4" w:space="0"/>
              <w:right w:val="single" w:color="auto" w:sz="4" w:space="0"/>
            </w:tcBorders>
          </w:tcPr>
          <w:p>
            <w:pPr>
              <w:snapToGrid w:val="0"/>
              <w:spacing w:before="156" w:beforeLines="50" w:line="360" w:lineRule="exact"/>
              <w:jc w:val="center"/>
              <w:rPr>
                <w:rFonts w:hint="eastAsia" w:ascii="宋体" w:hAnsi="宋体"/>
                <w:color w:val="auto"/>
                <w:szCs w:val="21"/>
                <w:highlight w:val="none"/>
              </w:rPr>
            </w:pPr>
            <w:r>
              <w:rPr>
                <w:rFonts w:hint="eastAsia" w:ascii="宋体" w:hAnsi="宋体"/>
                <w:color w:val="auto"/>
                <w:szCs w:val="21"/>
                <w:highlight w:val="none"/>
              </w:rPr>
              <w:t>项号</w:t>
            </w:r>
          </w:p>
        </w:tc>
        <w:tc>
          <w:tcPr>
            <w:tcW w:w="2955" w:type="dxa"/>
            <w:tcBorders>
              <w:top w:val="single" w:color="auto" w:sz="4" w:space="0"/>
              <w:left w:val="single" w:color="auto" w:sz="4" w:space="0"/>
              <w:bottom w:val="single" w:color="auto" w:sz="4" w:space="0"/>
              <w:right w:val="single" w:color="auto" w:sz="4" w:space="0"/>
            </w:tcBorders>
          </w:tcPr>
          <w:p>
            <w:pPr>
              <w:snapToGrid w:val="0"/>
              <w:spacing w:before="156" w:beforeLines="50" w:line="360" w:lineRule="exact"/>
              <w:jc w:val="center"/>
              <w:rPr>
                <w:rFonts w:hint="eastAsia" w:ascii="宋体" w:hAnsi="宋体"/>
                <w:color w:val="auto"/>
                <w:szCs w:val="21"/>
                <w:highlight w:val="none"/>
              </w:rPr>
            </w:pPr>
            <w:r>
              <w:rPr>
                <w:rFonts w:hint="eastAsia" w:ascii="宋体" w:hAnsi="宋体"/>
                <w:color w:val="auto"/>
                <w:szCs w:val="21"/>
                <w:highlight w:val="none"/>
              </w:rPr>
              <w:t>招标文件要求</w:t>
            </w:r>
          </w:p>
        </w:tc>
        <w:tc>
          <w:tcPr>
            <w:tcW w:w="2625" w:type="dxa"/>
            <w:tcBorders>
              <w:top w:val="single" w:color="auto" w:sz="4" w:space="0"/>
              <w:left w:val="single" w:color="auto" w:sz="4" w:space="0"/>
              <w:bottom w:val="single" w:color="auto" w:sz="4" w:space="0"/>
              <w:right w:val="single" w:color="auto" w:sz="4" w:space="0"/>
            </w:tcBorders>
          </w:tcPr>
          <w:p>
            <w:pPr>
              <w:snapToGrid w:val="0"/>
              <w:spacing w:before="156" w:beforeLines="50" w:line="360" w:lineRule="exact"/>
              <w:jc w:val="center"/>
              <w:rPr>
                <w:rFonts w:hint="eastAsia" w:ascii="宋体" w:hAnsi="宋体"/>
                <w:color w:val="auto"/>
                <w:szCs w:val="21"/>
                <w:highlight w:val="none"/>
              </w:rPr>
            </w:pPr>
            <w:r>
              <w:rPr>
                <w:rFonts w:hint="eastAsia" w:ascii="宋体" w:hAnsi="宋体"/>
                <w:color w:val="auto"/>
                <w:szCs w:val="21"/>
                <w:highlight w:val="none"/>
              </w:rPr>
              <w:t>是否提供并响应</w:t>
            </w:r>
          </w:p>
        </w:tc>
        <w:tc>
          <w:tcPr>
            <w:tcW w:w="2340" w:type="dxa"/>
            <w:tcBorders>
              <w:top w:val="single" w:color="auto" w:sz="4" w:space="0"/>
              <w:left w:val="single" w:color="auto" w:sz="4" w:space="0"/>
              <w:bottom w:val="single" w:color="auto" w:sz="4" w:space="0"/>
              <w:right w:val="single" w:color="auto" w:sz="4" w:space="0"/>
            </w:tcBorders>
          </w:tcPr>
          <w:p>
            <w:pPr>
              <w:snapToGrid w:val="0"/>
              <w:spacing w:before="156" w:beforeLines="50" w:line="360" w:lineRule="exact"/>
              <w:jc w:val="center"/>
              <w:rPr>
                <w:rFonts w:hint="eastAsia" w:ascii="宋体" w:hAnsi="宋体"/>
                <w:color w:val="auto"/>
                <w:szCs w:val="21"/>
                <w:highlight w:val="none"/>
              </w:rPr>
            </w:pPr>
            <w:r>
              <w:rPr>
                <w:rFonts w:hint="eastAsia" w:ascii="宋体" w:hAnsi="宋体"/>
                <w:color w:val="auto"/>
                <w:szCs w:val="21"/>
                <w:highlight w:val="none"/>
              </w:rPr>
              <w:t>投标人的承诺或说明</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13" w:hRule="atLeast"/>
        </w:trPr>
        <w:tc>
          <w:tcPr>
            <w:tcW w:w="1548" w:type="dxa"/>
            <w:tcBorders>
              <w:top w:val="single" w:color="auto" w:sz="4" w:space="0"/>
              <w:left w:val="single" w:color="auto" w:sz="4" w:space="0"/>
              <w:bottom w:val="single" w:color="auto" w:sz="4" w:space="0"/>
              <w:right w:val="single" w:color="auto" w:sz="4" w:space="0"/>
            </w:tcBorders>
            <w:vAlign w:val="center"/>
          </w:tcPr>
          <w:p>
            <w:pPr>
              <w:snapToGrid w:val="0"/>
              <w:jc w:val="center"/>
              <w:rPr>
                <w:rFonts w:hint="eastAsia" w:ascii="宋体" w:hAnsi="宋体"/>
                <w:color w:val="auto"/>
                <w:szCs w:val="21"/>
                <w:highlight w:val="none"/>
              </w:rPr>
            </w:pPr>
            <w:r>
              <w:rPr>
                <w:rFonts w:hint="eastAsia" w:ascii="宋体" w:hAnsi="宋体"/>
                <w:color w:val="auto"/>
                <w:szCs w:val="21"/>
                <w:highlight w:val="none"/>
              </w:rPr>
              <w:t>1</w:t>
            </w:r>
          </w:p>
        </w:tc>
        <w:tc>
          <w:tcPr>
            <w:tcW w:w="2955" w:type="dxa"/>
            <w:tcBorders>
              <w:top w:val="single" w:color="auto" w:sz="4" w:space="0"/>
              <w:left w:val="single" w:color="auto" w:sz="4" w:space="0"/>
              <w:bottom w:val="single" w:color="auto" w:sz="4" w:space="0"/>
              <w:right w:val="single" w:color="auto" w:sz="4" w:space="0"/>
            </w:tcBorders>
            <w:vAlign w:val="center"/>
          </w:tcPr>
          <w:p>
            <w:pPr>
              <w:snapToGrid w:val="0"/>
              <w:jc w:val="center"/>
              <w:rPr>
                <w:rFonts w:hint="eastAsia" w:ascii="宋体" w:hAnsi="宋体"/>
                <w:color w:val="auto"/>
                <w:szCs w:val="21"/>
                <w:highlight w:val="none"/>
              </w:rPr>
            </w:pPr>
            <w:r>
              <w:rPr>
                <w:rFonts w:hint="eastAsia" w:hAnsi="宋体" w:cs="宋体"/>
                <w:color w:val="auto"/>
                <w:szCs w:val="21"/>
                <w:highlight w:val="none"/>
              </w:rPr>
              <w:t>交付使用时间</w:t>
            </w:r>
            <w:r>
              <w:rPr>
                <w:rFonts w:hint="eastAsia" w:ascii="宋体" w:hAnsi="宋体" w:cs="宋体"/>
                <w:color w:val="auto"/>
                <w:kern w:val="0"/>
                <w:szCs w:val="21"/>
                <w:highlight w:val="none"/>
              </w:rPr>
              <w:t>：</w:t>
            </w:r>
            <w:r>
              <w:rPr>
                <w:rFonts w:hint="eastAsia" w:ascii="宋体" w:hAnsi="宋体"/>
                <w:color w:val="auto"/>
                <w:szCs w:val="21"/>
                <w:highlight w:val="none"/>
              </w:rPr>
              <w:t>…</w:t>
            </w:r>
          </w:p>
        </w:tc>
        <w:tc>
          <w:tcPr>
            <w:tcW w:w="2625" w:type="dxa"/>
            <w:tcBorders>
              <w:top w:val="single" w:color="auto" w:sz="4" w:space="0"/>
              <w:left w:val="single" w:color="auto" w:sz="4" w:space="0"/>
              <w:bottom w:val="single" w:color="auto" w:sz="4" w:space="0"/>
              <w:right w:val="single" w:color="auto" w:sz="4" w:space="0"/>
            </w:tcBorders>
            <w:vAlign w:val="center"/>
          </w:tcPr>
          <w:p>
            <w:pPr>
              <w:snapToGrid w:val="0"/>
              <w:ind w:firstLine="315" w:firstLineChars="150"/>
              <w:rPr>
                <w:rFonts w:hint="eastAsia" w:ascii="宋体" w:hAnsi="宋体"/>
                <w:color w:val="auto"/>
                <w:szCs w:val="21"/>
                <w:highlight w:val="none"/>
              </w:rPr>
            </w:pPr>
          </w:p>
        </w:tc>
        <w:tc>
          <w:tcPr>
            <w:tcW w:w="2340" w:type="dxa"/>
            <w:tcBorders>
              <w:top w:val="single" w:color="auto" w:sz="4" w:space="0"/>
              <w:left w:val="single" w:color="auto" w:sz="4" w:space="0"/>
              <w:bottom w:val="single" w:color="auto" w:sz="4" w:space="0"/>
              <w:right w:val="single" w:color="auto" w:sz="4" w:space="0"/>
            </w:tcBorders>
            <w:vAlign w:val="center"/>
          </w:tcPr>
          <w:p>
            <w:pPr>
              <w:snapToGrid w:val="0"/>
              <w:rPr>
                <w:rFonts w:hint="eastAsia"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13" w:hRule="atLeast"/>
        </w:trPr>
        <w:tc>
          <w:tcPr>
            <w:tcW w:w="1548" w:type="dxa"/>
            <w:tcBorders>
              <w:top w:val="single" w:color="auto" w:sz="4" w:space="0"/>
              <w:left w:val="single" w:color="auto" w:sz="4" w:space="0"/>
              <w:bottom w:val="single" w:color="auto" w:sz="4" w:space="0"/>
              <w:right w:val="single" w:color="auto" w:sz="4" w:space="0"/>
            </w:tcBorders>
            <w:vAlign w:val="center"/>
          </w:tcPr>
          <w:p>
            <w:pPr>
              <w:snapToGrid w:val="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2</w:t>
            </w:r>
          </w:p>
        </w:tc>
        <w:tc>
          <w:tcPr>
            <w:tcW w:w="2955" w:type="dxa"/>
            <w:tcBorders>
              <w:top w:val="single" w:color="auto" w:sz="4" w:space="0"/>
              <w:left w:val="single" w:color="auto" w:sz="4" w:space="0"/>
              <w:bottom w:val="single" w:color="auto" w:sz="4" w:space="0"/>
              <w:right w:val="single" w:color="auto" w:sz="4" w:space="0"/>
            </w:tcBorders>
            <w:vAlign w:val="center"/>
          </w:tcPr>
          <w:p>
            <w:pPr>
              <w:snapToGrid w:val="0"/>
              <w:jc w:val="center"/>
              <w:rPr>
                <w:rFonts w:hint="eastAsia" w:ascii="宋体" w:hAnsi="宋体"/>
                <w:color w:val="auto"/>
                <w:szCs w:val="21"/>
                <w:highlight w:val="none"/>
              </w:rPr>
            </w:pPr>
            <w:r>
              <w:rPr>
                <w:rFonts w:hint="eastAsia" w:ascii="宋体" w:hAnsi="宋体" w:cs="宋体"/>
                <w:color w:val="auto"/>
                <w:kern w:val="0"/>
                <w:szCs w:val="21"/>
                <w:highlight w:val="none"/>
              </w:rPr>
              <w:t>交货地点：</w:t>
            </w:r>
            <w:r>
              <w:rPr>
                <w:rFonts w:ascii="宋体" w:hAnsi="宋体"/>
                <w:color w:val="auto"/>
                <w:szCs w:val="21"/>
                <w:highlight w:val="none"/>
              </w:rPr>
              <w:t xml:space="preserve"> </w:t>
            </w:r>
            <w:r>
              <w:rPr>
                <w:rFonts w:hint="eastAsia" w:ascii="宋体" w:hAnsi="宋体"/>
                <w:color w:val="auto"/>
                <w:szCs w:val="21"/>
                <w:highlight w:val="none"/>
              </w:rPr>
              <w:t>…</w:t>
            </w:r>
          </w:p>
        </w:tc>
        <w:tc>
          <w:tcPr>
            <w:tcW w:w="2625" w:type="dxa"/>
            <w:tcBorders>
              <w:top w:val="single" w:color="auto" w:sz="4" w:space="0"/>
              <w:left w:val="single" w:color="auto" w:sz="4" w:space="0"/>
              <w:bottom w:val="single" w:color="auto" w:sz="4" w:space="0"/>
              <w:right w:val="single" w:color="auto" w:sz="4" w:space="0"/>
            </w:tcBorders>
            <w:vAlign w:val="center"/>
          </w:tcPr>
          <w:p>
            <w:pPr>
              <w:snapToGrid w:val="0"/>
              <w:rPr>
                <w:rFonts w:hint="eastAsia" w:ascii="宋体" w:hAnsi="宋体"/>
                <w:color w:val="auto"/>
                <w:szCs w:val="21"/>
                <w:highlight w:val="none"/>
              </w:rPr>
            </w:pPr>
          </w:p>
        </w:tc>
        <w:tc>
          <w:tcPr>
            <w:tcW w:w="2340" w:type="dxa"/>
            <w:tcBorders>
              <w:top w:val="single" w:color="auto" w:sz="4" w:space="0"/>
              <w:left w:val="single" w:color="auto" w:sz="4" w:space="0"/>
              <w:bottom w:val="single" w:color="auto" w:sz="4" w:space="0"/>
              <w:right w:val="single" w:color="auto" w:sz="4" w:space="0"/>
            </w:tcBorders>
            <w:vAlign w:val="center"/>
          </w:tcPr>
          <w:p>
            <w:pPr>
              <w:snapToGrid w:val="0"/>
              <w:rPr>
                <w:rFonts w:hint="eastAsia"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13" w:hRule="atLeast"/>
        </w:trPr>
        <w:tc>
          <w:tcPr>
            <w:tcW w:w="1548" w:type="dxa"/>
            <w:tcBorders>
              <w:top w:val="single" w:color="auto" w:sz="4" w:space="0"/>
              <w:left w:val="single" w:color="auto" w:sz="4" w:space="0"/>
              <w:bottom w:val="single" w:color="auto" w:sz="4" w:space="0"/>
              <w:right w:val="single" w:color="auto" w:sz="4" w:space="0"/>
            </w:tcBorders>
            <w:vAlign w:val="center"/>
          </w:tcPr>
          <w:p>
            <w:pPr>
              <w:snapToGrid w:val="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3</w:t>
            </w:r>
          </w:p>
        </w:tc>
        <w:tc>
          <w:tcPr>
            <w:tcW w:w="2955" w:type="dxa"/>
            <w:tcBorders>
              <w:top w:val="single" w:color="auto" w:sz="4" w:space="0"/>
              <w:left w:val="single" w:color="auto" w:sz="4" w:space="0"/>
              <w:bottom w:val="single" w:color="auto" w:sz="4" w:space="0"/>
              <w:right w:val="single" w:color="auto" w:sz="4" w:space="0"/>
            </w:tcBorders>
            <w:vAlign w:val="center"/>
          </w:tcPr>
          <w:p>
            <w:pPr>
              <w:snapToGrid w:val="0"/>
              <w:jc w:val="center"/>
              <w:rPr>
                <w:rFonts w:hint="eastAsia" w:ascii="宋体" w:hAnsi="宋体"/>
                <w:color w:val="auto"/>
                <w:szCs w:val="21"/>
                <w:highlight w:val="none"/>
              </w:rPr>
            </w:pPr>
            <w:r>
              <w:rPr>
                <w:rFonts w:hint="eastAsia" w:ascii="宋体" w:hAnsi="宋体" w:cs="宋体"/>
                <w:color w:val="auto"/>
                <w:kern w:val="0"/>
                <w:szCs w:val="21"/>
                <w:highlight w:val="none"/>
              </w:rPr>
              <w:t>付款方式：</w:t>
            </w:r>
            <w:r>
              <w:rPr>
                <w:rFonts w:hint="eastAsia" w:ascii="宋体" w:hAnsi="宋体"/>
                <w:color w:val="auto"/>
                <w:szCs w:val="21"/>
                <w:highlight w:val="none"/>
              </w:rPr>
              <w:t>…</w:t>
            </w:r>
          </w:p>
        </w:tc>
        <w:tc>
          <w:tcPr>
            <w:tcW w:w="2625" w:type="dxa"/>
            <w:tcBorders>
              <w:top w:val="single" w:color="auto" w:sz="4" w:space="0"/>
              <w:left w:val="single" w:color="auto" w:sz="4" w:space="0"/>
              <w:bottom w:val="single" w:color="auto" w:sz="4" w:space="0"/>
              <w:right w:val="single" w:color="auto" w:sz="4" w:space="0"/>
            </w:tcBorders>
            <w:vAlign w:val="center"/>
          </w:tcPr>
          <w:p>
            <w:pPr>
              <w:snapToGrid w:val="0"/>
              <w:ind w:left="43"/>
              <w:rPr>
                <w:rFonts w:hint="eastAsia" w:ascii="宋体" w:hAnsi="宋体"/>
                <w:color w:val="auto"/>
                <w:szCs w:val="21"/>
                <w:highlight w:val="none"/>
              </w:rPr>
            </w:pPr>
          </w:p>
        </w:tc>
        <w:tc>
          <w:tcPr>
            <w:tcW w:w="2340" w:type="dxa"/>
            <w:tcBorders>
              <w:top w:val="single" w:color="auto" w:sz="4" w:space="0"/>
              <w:left w:val="single" w:color="auto" w:sz="4" w:space="0"/>
              <w:bottom w:val="single" w:color="auto" w:sz="4" w:space="0"/>
              <w:right w:val="single" w:color="auto" w:sz="4" w:space="0"/>
            </w:tcBorders>
            <w:vAlign w:val="center"/>
          </w:tcPr>
          <w:p>
            <w:pPr>
              <w:snapToGrid w:val="0"/>
              <w:ind w:left="43"/>
              <w:rPr>
                <w:rFonts w:hint="eastAsia"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13" w:hRule="atLeast"/>
        </w:trPr>
        <w:tc>
          <w:tcPr>
            <w:tcW w:w="1548" w:type="dxa"/>
            <w:tcBorders>
              <w:top w:val="single" w:color="auto" w:sz="4" w:space="0"/>
              <w:left w:val="single" w:color="auto" w:sz="4" w:space="0"/>
              <w:bottom w:val="single" w:color="auto" w:sz="4" w:space="0"/>
              <w:right w:val="single" w:color="auto" w:sz="4" w:space="0"/>
            </w:tcBorders>
            <w:vAlign w:val="center"/>
          </w:tcPr>
          <w:p>
            <w:pPr>
              <w:snapToGrid w:val="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4</w:t>
            </w:r>
          </w:p>
        </w:tc>
        <w:tc>
          <w:tcPr>
            <w:tcW w:w="2955" w:type="dxa"/>
            <w:tcBorders>
              <w:top w:val="single" w:color="auto" w:sz="4" w:space="0"/>
              <w:left w:val="single" w:color="auto" w:sz="4" w:space="0"/>
              <w:bottom w:val="single" w:color="auto" w:sz="4" w:space="0"/>
              <w:right w:val="single" w:color="auto" w:sz="4" w:space="0"/>
            </w:tcBorders>
            <w:vAlign w:val="center"/>
          </w:tcPr>
          <w:p>
            <w:pPr>
              <w:snapToGrid w:val="0"/>
              <w:ind w:left="105" w:hanging="105" w:hangingChars="50"/>
              <w:jc w:val="center"/>
              <w:rPr>
                <w:rFonts w:hint="eastAsia" w:ascii="宋体" w:hAnsi="宋体"/>
                <w:color w:val="auto"/>
                <w:szCs w:val="21"/>
                <w:highlight w:val="none"/>
              </w:rPr>
            </w:pPr>
            <w:r>
              <w:rPr>
                <w:rFonts w:hint="eastAsia" w:ascii="宋体" w:hAnsi="宋体" w:cs="宋体"/>
                <w:color w:val="auto"/>
                <w:kern w:val="0"/>
                <w:szCs w:val="21"/>
                <w:highlight w:val="none"/>
              </w:rPr>
              <w:t>质保期：</w:t>
            </w:r>
            <w:r>
              <w:rPr>
                <w:rFonts w:hint="eastAsia" w:ascii="宋体" w:hAnsi="宋体"/>
                <w:color w:val="auto"/>
                <w:szCs w:val="21"/>
                <w:highlight w:val="none"/>
              </w:rPr>
              <w:t>…</w:t>
            </w:r>
          </w:p>
        </w:tc>
        <w:tc>
          <w:tcPr>
            <w:tcW w:w="2625" w:type="dxa"/>
            <w:tcBorders>
              <w:top w:val="single" w:color="auto" w:sz="4" w:space="0"/>
              <w:left w:val="single" w:color="auto" w:sz="4" w:space="0"/>
              <w:bottom w:val="single" w:color="auto" w:sz="4" w:space="0"/>
              <w:right w:val="single" w:color="auto" w:sz="4" w:space="0"/>
            </w:tcBorders>
            <w:vAlign w:val="center"/>
          </w:tcPr>
          <w:p>
            <w:pPr>
              <w:snapToGrid w:val="0"/>
              <w:rPr>
                <w:rFonts w:hint="eastAsia" w:ascii="宋体" w:hAnsi="宋体"/>
                <w:color w:val="auto"/>
                <w:szCs w:val="21"/>
                <w:highlight w:val="none"/>
              </w:rPr>
            </w:pPr>
          </w:p>
        </w:tc>
        <w:tc>
          <w:tcPr>
            <w:tcW w:w="2340" w:type="dxa"/>
            <w:tcBorders>
              <w:top w:val="single" w:color="auto" w:sz="4" w:space="0"/>
              <w:left w:val="single" w:color="auto" w:sz="4" w:space="0"/>
              <w:bottom w:val="single" w:color="auto" w:sz="4" w:space="0"/>
              <w:right w:val="single" w:color="auto" w:sz="4" w:space="0"/>
            </w:tcBorders>
            <w:vAlign w:val="center"/>
          </w:tcPr>
          <w:p>
            <w:pPr>
              <w:snapToGrid w:val="0"/>
              <w:rPr>
                <w:rFonts w:hint="eastAsia"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14" w:hRule="atLeast"/>
        </w:trPr>
        <w:tc>
          <w:tcPr>
            <w:tcW w:w="1548" w:type="dxa"/>
            <w:tcBorders>
              <w:top w:val="single" w:color="auto" w:sz="4" w:space="0"/>
              <w:left w:val="single" w:color="auto" w:sz="4" w:space="0"/>
              <w:bottom w:val="single" w:color="auto" w:sz="4" w:space="0"/>
              <w:right w:val="single" w:color="auto" w:sz="4" w:space="0"/>
            </w:tcBorders>
            <w:vAlign w:val="center"/>
          </w:tcPr>
          <w:p>
            <w:pPr>
              <w:snapToGrid w:val="0"/>
              <w:jc w:val="center"/>
              <w:rPr>
                <w:rFonts w:hint="eastAsia" w:ascii="宋体" w:hAnsi="宋体"/>
                <w:color w:val="auto"/>
                <w:szCs w:val="21"/>
                <w:highlight w:val="none"/>
              </w:rPr>
            </w:pPr>
            <w:r>
              <w:rPr>
                <w:rFonts w:hint="eastAsia" w:ascii="宋体" w:hAnsi="宋体"/>
                <w:color w:val="auto"/>
                <w:szCs w:val="21"/>
                <w:highlight w:val="none"/>
              </w:rPr>
              <w:t>…</w:t>
            </w:r>
          </w:p>
        </w:tc>
        <w:tc>
          <w:tcPr>
            <w:tcW w:w="2955" w:type="dxa"/>
            <w:tcBorders>
              <w:top w:val="single" w:color="auto" w:sz="4" w:space="0"/>
              <w:left w:val="single" w:color="auto" w:sz="4" w:space="0"/>
              <w:bottom w:val="single" w:color="auto" w:sz="4" w:space="0"/>
              <w:right w:val="single" w:color="auto" w:sz="4" w:space="0"/>
            </w:tcBorders>
            <w:vAlign w:val="center"/>
          </w:tcPr>
          <w:p>
            <w:pPr>
              <w:snapToGrid w:val="0"/>
              <w:jc w:val="center"/>
              <w:rPr>
                <w:rFonts w:hint="eastAsia" w:ascii="宋体" w:hAnsi="宋体"/>
                <w:color w:val="auto"/>
                <w:szCs w:val="21"/>
                <w:highlight w:val="none"/>
              </w:rPr>
            </w:pPr>
            <w:r>
              <w:rPr>
                <w:rFonts w:hint="eastAsia" w:ascii="宋体" w:hAnsi="宋体"/>
                <w:color w:val="auto"/>
                <w:szCs w:val="21"/>
                <w:highlight w:val="none"/>
              </w:rPr>
              <w:t>…</w:t>
            </w:r>
          </w:p>
        </w:tc>
        <w:tc>
          <w:tcPr>
            <w:tcW w:w="2625" w:type="dxa"/>
            <w:tcBorders>
              <w:top w:val="single" w:color="auto" w:sz="4" w:space="0"/>
              <w:left w:val="single" w:color="auto" w:sz="4" w:space="0"/>
              <w:bottom w:val="single" w:color="auto" w:sz="4" w:space="0"/>
              <w:right w:val="single" w:color="auto" w:sz="4" w:space="0"/>
            </w:tcBorders>
            <w:vAlign w:val="center"/>
          </w:tcPr>
          <w:p>
            <w:pPr>
              <w:snapToGrid w:val="0"/>
              <w:rPr>
                <w:rFonts w:hint="eastAsia" w:ascii="宋体" w:hAnsi="宋体"/>
                <w:color w:val="auto"/>
                <w:szCs w:val="21"/>
                <w:highlight w:val="none"/>
              </w:rPr>
            </w:pPr>
          </w:p>
        </w:tc>
        <w:tc>
          <w:tcPr>
            <w:tcW w:w="2340" w:type="dxa"/>
            <w:tcBorders>
              <w:top w:val="single" w:color="auto" w:sz="4" w:space="0"/>
              <w:left w:val="single" w:color="auto" w:sz="4" w:space="0"/>
              <w:bottom w:val="single" w:color="auto" w:sz="4" w:space="0"/>
              <w:right w:val="single" w:color="auto" w:sz="4" w:space="0"/>
            </w:tcBorders>
            <w:vAlign w:val="center"/>
          </w:tcPr>
          <w:p>
            <w:pPr>
              <w:snapToGrid w:val="0"/>
              <w:rPr>
                <w:rFonts w:hint="eastAsia" w:ascii="宋体" w:hAnsi="宋体"/>
                <w:color w:val="auto"/>
                <w:szCs w:val="21"/>
                <w:highlight w:val="none"/>
              </w:rPr>
            </w:pPr>
          </w:p>
        </w:tc>
      </w:tr>
    </w:tbl>
    <w:p>
      <w:pPr>
        <w:snapToGrid w:val="0"/>
        <w:spacing w:before="50" w:after="50" w:line="360" w:lineRule="exact"/>
        <w:rPr>
          <w:rFonts w:hint="eastAsia" w:ascii="宋体" w:hAnsi="宋体"/>
          <w:color w:val="auto"/>
          <w:spacing w:val="20"/>
          <w:szCs w:val="21"/>
          <w:highlight w:val="none"/>
        </w:rPr>
      </w:pPr>
    </w:p>
    <w:p>
      <w:pPr>
        <w:snapToGrid w:val="0"/>
        <w:spacing w:before="50" w:after="50" w:line="360" w:lineRule="exact"/>
        <w:ind w:firstLine="210" w:firstLineChars="100"/>
        <w:rPr>
          <w:rFonts w:hint="eastAsia" w:ascii="宋体" w:hAnsi="宋体"/>
          <w:color w:val="auto"/>
          <w:spacing w:val="20"/>
          <w:szCs w:val="21"/>
          <w:highlight w:val="none"/>
          <w:u w:val="single"/>
        </w:rPr>
      </w:pPr>
      <w:r>
        <w:rPr>
          <w:rFonts w:hint="eastAsia" w:ascii="宋体" w:hAnsi="宋体"/>
          <w:color w:val="auto"/>
          <w:szCs w:val="21"/>
          <w:highlight w:val="none"/>
        </w:rPr>
        <w:t>法定代表人或委托代理人签字或签章</w:t>
      </w:r>
      <w:r>
        <w:rPr>
          <w:rFonts w:hint="eastAsia" w:ascii="宋体" w:hAnsi="宋体"/>
          <w:color w:val="auto"/>
          <w:spacing w:val="20"/>
          <w:szCs w:val="21"/>
          <w:highlight w:val="none"/>
        </w:rPr>
        <w:t>：</w:t>
      </w:r>
      <w:r>
        <w:rPr>
          <w:rFonts w:hint="eastAsia" w:ascii="宋体" w:hAnsi="宋体"/>
          <w:color w:val="auto"/>
          <w:spacing w:val="20"/>
          <w:szCs w:val="21"/>
          <w:highlight w:val="none"/>
          <w:u w:val="single"/>
        </w:rPr>
        <w:t xml:space="preserve">        </w:t>
      </w:r>
    </w:p>
    <w:p>
      <w:pPr>
        <w:snapToGrid w:val="0"/>
        <w:spacing w:line="360" w:lineRule="exact"/>
        <w:ind w:firstLine="245" w:firstLineChars="98"/>
        <w:jc w:val="left"/>
        <w:rPr>
          <w:rFonts w:hint="eastAsia" w:ascii="宋体" w:hAnsi="宋体"/>
          <w:color w:val="auto"/>
          <w:spacing w:val="20"/>
          <w:szCs w:val="21"/>
          <w:highlight w:val="none"/>
        </w:rPr>
      </w:pPr>
    </w:p>
    <w:p>
      <w:pPr>
        <w:snapToGrid w:val="0"/>
        <w:spacing w:line="360" w:lineRule="exact"/>
        <w:ind w:firstLine="245" w:firstLineChars="98"/>
        <w:jc w:val="left"/>
        <w:rPr>
          <w:rFonts w:hint="eastAsia" w:ascii="宋体" w:hAnsi="宋体"/>
          <w:b/>
          <w:color w:val="auto"/>
          <w:szCs w:val="21"/>
          <w:highlight w:val="none"/>
        </w:rPr>
      </w:pPr>
      <w:r>
        <w:rPr>
          <w:rFonts w:hint="eastAsia" w:ascii="宋体" w:hAnsi="宋体"/>
          <w:color w:val="auto"/>
          <w:spacing w:val="20"/>
          <w:szCs w:val="21"/>
          <w:highlight w:val="none"/>
        </w:rPr>
        <w:t>投标人盖章：</w:t>
      </w:r>
      <w:r>
        <w:rPr>
          <w:rFonts w:hint="eastAsia" w:ascii="宋体" w:hAnsi="宋体"/>
          <w:color w:val="auto"/>
          <w:spacing w:val="20"/>
          <w:szCs w:val="21"/>
          <w:highlight w:val="none"/>
          <w:u w:val="single"/>
        </w:rPr>
        <w:t xml:space="preserve">            </w:t>
      </w:r>
      <w:r>
        <w:rPr>
          <w:rFonts w:hint="eastAsia" w:ascii="宋体" w:hAnsi="宋体"/>
          <w:color w:val="auto"/>
          <w:spacing w:val="20"/>
          <w:szCs w:val="21"/>
          <w:highlight w:val="none"/>
        </w:rPr>
        <w:t xml:space="preserve">              日 期：</w:t>
      </w:r>
      <w:r>
        <w:rPr>
          <w:rFonts w:hint="eastAsia" w:ascii="宋体" w:hAnsi="宋体"/>
          <w:color w:val="auto"/>
          <w:spacing w:val="20"/>
          <w:szCs w:val="21"/>
          <w:highlight w:val="none"/>
          <w:u w:val="single"/>
        </w:rPr>
        <w:t xml:space="preserve">          </w:t>
      </w:r>
    </w:p>
    <w:p>
      <w:pPr>
        <w:snapToGrid w:val="0"/>
        <w:spacing w:line="360" w:lineRule="exact"/>
        <w:ind w:firstLine="206" w:firstLineChars="98"/>
        <w:jc w:val="left"/>
        <w:rPr>
          <w:rFonts w:hint="eastAsia" w:ascii="宋体" w:hAnsi="宋体"/>
          <w:b/>
          <w:color w:val="auto"/>
          <w:szCs w:val="21"/>
          <w:highlight w:val="none"/>
        </w:rPr>
      </w:pPr>
    </w:p>
    <w:p>
      <w:pPr>
        <w:snapToGrid w:val="0"/>
        <w:spacing w:line="360" w:lineRule="exact"/>
        <w:ind w:left="840" w:hanging="840" w:hangingChars="400"/>
        <w:jc w:val="left"/>
        <w:rPr>
          <w:rFonts w:hint="eastAsia" w:ascii="宋体" w:hAnsi="宋体"/>
          <w:b/>
          <w:color w:val="auto"/>
          <w:szCs w:val="21"/>
          <w:highlight w:val="none"/>
        </w:rPr>
      </w:pPr>
      <w:r>
        <w:rPr>
          <w:rFonts w:hAnsi="宋体"/>
          <w:color w:val="auto"/>
          <w:highlight w:val="none"/>
        </w:rPr>
        <w:br w:type="page"/>
      </w:r>
      <w:r>
        <w:rPr>
          <w:rFonts w:hint="eastAsia" w:hAnsi="宋体"/>
          <w:color w:val="auto"/>
          <w:highlight w:val="none"/>
        </w:rPr>
        <w:t>▲</w:t>
      </w:r>
      <w:r>
        <w:rPr>
          <w:rFonts w:hint="eastAsia" w:ascii="宋体" w:hAnsi="宋体"/>
          <w:b/>
          <w:color w:val="auto"/>
          <w:szCs w:val="21"/>
          <w:highlight w:val="none"/>
        </w:rPr>
        <w:t>（9）招标项目采购需求中要求必须提供的材料等；</w:t>
      </w:r>
      <w:r>
        <w:rPr>
          <w:rFonts w:hint="eastAsia" w:ascii="宋体" w:hAnsi="宋体"/>
          <w:color w:val="auto"/>
          <w:szCs w:val="21"/>
          <w:highlight w:val="none"/>
        </w:rPr>
        <w:t>（招标项目采购需求中要求必须提供的材料，据实提供）</w:t>
      </w:r>
    </w:p>
    <w:p>
      <w:pPr>
        <w:snapToGrid w:val="0"/>
        <w:spacing w:before="312" w:beforeLines="100" w:after="312" w:afterLines="100" w:line="360" w:lineRule="exact"/>
        <w:ind w:firstLine="205" w:firstLineChars="98"/>
        <w:jc w:val="left"/>
        <w:rPr>
          <w:rFonts w:hint="eastAsia" w:ascii="宋体" w:hAnsi="宋体"/>
          <w:b/>
          <w:color w:val="auto"/>
          <w:szCs w:val="21"/>
          <w:highlight w:val="none"/>
        </w:rPr>
      </w:pPr>
      <w:r>
        <w:rPr>
          <w:rFonts w:hint="eastAsia" w:ascii="宋体" w:hAnsi="宋体"/>
          <w:color w:val="auto"/>
          <w:szCs w:val="21"/>
          <w:highlight w:val="none"/>
        </w:rPr>
        <w:t xml:space="preserve"> （10）具备法律、行政法规规定的其他条件的证明材料</w:t>
      </w:r>
      <w:r>
        <w:rPr>
          <w:rFonts w:hint="eastAsia" w:ascii="宋体" w:hAnsi="宋体"/>
          <w:b/>
          <w:color w:val="auto"/>
          <w:szCs w:val="21"/>
          <w:highlight w:val="none"/>
        </w:rPr>
        <w:t>；</w:t>
      </w:r>
      <w:r>
        <w:rPr>
          <w:rFonts w:hint="eastAsia" w:ascii="宋体" w:hAnsi="宋体"/>
          <w:color w:val="auto"/>
          <w:szCs w:val="21"/>
          <w:highlight w:val="none"/>
        </w:rPr>
        <w:t>（格式自拟）</w:t>
      </w:r>
    </w:p>
    <w:p>
      <w:pPr>
        <w:snapToGrid w:val="0"/>
        <w:spacing w:before="312" w:beforeLines="100" w:after="312" w:afterLines="100" w:line="360" w:lineRule="exact"/>
        <w:ind w:firstLine="205" w:firstLineChars="98"/>
        <w:jc w:val="left"/>
        <w:rPr>
          <w:rFonts w:hint="eastAsia" w:ascii="宋体" w:hAnsi="宋体"/>
          <w:b/>
          <w:color w:val="auto"/>
          <w:szCs w:val="21"/>
          <w:highlight w:val="none"/>
        </w:rPr>
      </w:pPr>
      <w:r>
        <w:rPr>
          <w:rFonts w:hint="eastAsia" w:ascii="宋体" w:hAnsi="宋体"/>
          <w:color w:val="auto"/>
          <w:szCs w:val="21"/>
          <w:highlight w:val="none"/>
        </w:rPr>
        <w:t xml:space="preserve"> （11）</w:t>
      </w:r>
      <w:r>
        <w:rPr>
          <w:rFonts w:hint="eastAsia" w:hAnsi="宋体"/>
          <w:color w:val="auto"/>
          <w:szCs w:val="21"/>
          <w:highlight w:val="none"/>
        </w:rPr>
        <w:t>类似案例成功的业绩（投标人同类项目实施情况一览表、合同扫描件）；</w:t>
      </w:r>
    </w:p>
    <w:p>
      <w:pPr>
        <w:snapToGrid w:val="0"/>
        <w:spacing w:before="312" w:beforeLines="100" w:after="312" w:afterLines="100" w:line="360" w:lineRule="exact"/>
        <w:ind w:firstLine="420" w:firstLineChars="200"/>
        <w:jc w:val="left"/>
        <w:rPr>
          <w:rFonts w:hint="eastAsia" w:hAnsi="宋体"/>
          <w:color w:val="auto"/>
          <w:szCs w:val="21"/>
          <w:highlight w:val="none"/>
        </w:rPr>
      </w:pPr>
      <w:r>
        <w:rPr>
          <w:rFonts w:hint="eastAsia" w:ascii="宋体" w:hAnsi="宋体" w:cs="宋体"/>
          <w:color w:val="auto"/>
          <w:szCs w:val="21"/>
          <w:highlight w:val="none"/>
        </w:rPr>
        <w:t>（12）</w:t>
      </w:r>
      <w:r>
        <w:rPr>
          <w:rFonts w:hint="eastAsia" w:hAnsi="宋体"/>
          <w:color w:val="auto"/>
          <w:szCs w:val="21"/>
          <w:highlight w:val="none"/>
        </w:rPr>
        <w:t>其他特殊资质证书（如本地化服务能力等）；</w:t>
      </w:r>
    </w:p>
    <w:p>
      <w:pPr>
        <w:snapToGrid w:val="0"/>
        <w:spacing w:before="312" w:beforeLines="100" w:after="312" w:afterLines="100" w:line="360" w:lineRule="exact"/>
        <w:ind w:firstLine="411" w:firstLineChars="196"/>
        <w:jc w:val="left"/>
        <w:rPr>
          <w:rFonts w:hint="eastAsia" w:hAnsi="宋体"/>
          <w:b/>
          <w:color w:val="auto"/>
          <w:szCs w:val="21"/>
          <w:highlight w:val="none"/>
        </w:rPr>
      </w:pPr>
      <w:r>
        <w:rPr>
          <w:rFonts w:hint="eastAsia" w:ascii="宋体" w:hAnsi="宋体" w:cs="宋体"/>
          <w:color w:val="auto"/>
          <w:szCs w:val="21"/>
          <w:highlight w:val="none"/>
        </w:rPr>
        <w:t>（13）</w:t>
      </w:r>
      <w:r>
        <w:rPr>
          <w:rFonts w:hint="eastAsia" w:hAnsi="宋体"/>
          <w:color w:val="auto"/>
          <w:szCs w:val="21"/>
          <w:highlight w:val="none"/>
        </w:rPr>
        <w:t>节能环保产品或政府强制采购节能产品清单证书</w:t>
      </w:r>
      <w:r>
        <w:rPr>
          <w:rFonts w:hint="eastAsia" w:hAnsi="宋体"/>
          <w:b/>
          <w:color w:val="auto"/>
          <w:szCs w:val="21"/>
          <w:highlight w:val="none"/>
        </w:rPr>
        <w:t>；</w:t>
      </w:r>
    </w:p>
    <w:p>
      <w:pPr>
        <w:snapToGrid w:val="0"/>
        <w:spacing w:before="312" w:beforeLines="100" w:after="312" w:afterLines="100" w:line="360" w:lineRule="exact"/>
        <w:ind w:firstLine="411" w:firstLineChars="196"/>
        <w:jc w:val="left"/>
        <w:rPr>
          <w:rFonts w:hint="eastAsia" w:hAnsi="宋体"/>
          <w:color w:val="auto"/>
          <w:szCs w:val="21"/>
          <w:highlight w:val="none"/>
        </w:rPr>
      </w:pPr>
      <w:r>
        <w:rPr>
          <w:rFonts w:hint="eastAsia" w:ascii="宋体" w:hAnsi="宋体" w:cs="宋体"/>
          <w:color w:val="auto"/>
          <w:szCs w:val="21"/>
          <w:highlight w:val="none"/>
        </w:rPr>
        <w:t>（14）</w:t>
      </w:r>
      <w:r>
        <w:rPr>
          <w:rFonts w:hint="eastAsia" w:hAnsi="宋体"/>
          <w:color w:val="auto"/>
          <w:szCs w:val="21"/>
          <w:highlight w:val="none"/>
        </w:rPr>
        <w:t>投标人质量管理和质量保证体系等方面的认证证书；</w:t>
      </w:r>
    </w:p>
    <w:p>
      <w:pPr>
        <w:snapToGrid w:val="0"/>
        <w:spacing w:before="312" w:beforeLines="100" w:after="312" w:afterLines="100" w:line="360" w:lineRule="exact"/>
        <w:ind w:firstLine="411" w:firstLineChars="196"/>
        <w:jc w:val="left"/>
        <w:rPr>
          <w:rFonts w:hint="eastAsia" w:hAnsi="宋体"/>
          <w:color w:val="auto"/>
          <w:szCs w:val="21"/>
          <w:highlight w:val="none"/>
        </w:rPr>
      </w:pPr>
      <w:r>
        <w:rPr>
          <w:rFonts w:hint="eastAsia" w:hAnsi="宋体"/>
          <w:color w:val="auto"/>
          <w:szCs w:val="21"/>
          <w:highlight w:val="none"/>
        </w:rPr>
        <w:t>（15）投标人认为可以证明其能力或业绩的其他材料；</w:t>
      </w:r>
    </w:p>
    <w:p>
      <w:pPr>
        <w:snapToGrid w:val="0"/>
        <w:spacing w:before="312" w:beforeLines="100" w:after="312" w:afterLines="100" w:line="360" w:lineRule="exact"/>
        <w:ind w:firstLine="411" w:firstLineChars="196"/>
        <w:jc w:val="left"/>
        <w:rPr>
          <w:rFonts w:hint="eastAsia" w:hAnsi="宋体"/>
          <w:color w:val="auto"/>
          <w:szCs w:val="21"/>
          <w:highlight w:val="none"/>
        </w:rPr>
      </w:pPr>
      <w:r>
        <w:rPr>
          <w:rFonts w:hint="eastAsia" w:hAnsi="宋体"/>
          <w:color w:val="auto"/>
          <w:szCs w:val="21"/>
          <w:highlight w:val="none"/>
        </w:rPr>
        <w:t>（16）投标人关于产品生产时间、升级或者更新淘汰计划、配件供应以及本单位债务纠纷、违法违规记录等方面的情况（内容见投标声明书）；</w:t>
      </w:r>
    </w:p>
    <w:p>
      <w:pPr>
        <w:rPr>
          <w:rFonts w:hint="eastAsia" w:hAnsi="宋体"/>
          <w:color w:val="auto"/>
          <w:szCs w:val="21"/>
          <w:highlight w:val="none"/>
        </w:rPr>
      </w:pPr>
      <w:r>
        <w:rPr>
          <w:rFonts w:hint="eastAsia" w:hAnsi="宋体"/>
          <w:color w:val="auto"/>
          <w:szCs w:val="21"/>
          <w:highlight w:val="none"/>
        </w:rPr>
        <w:br w:type="page"/>
      </w:r>
    </w:p>
    <w:p>
      <w:pPr>
        <w:snapToGrid w:val="0"/>
        <w:spacing w:before="312" w:beforeLines="100" w:after="312" w:afterLines="100" w:line="360" w:lineRule="exact"/>
        <w:ind w:firstLine="411" w:firstLineChars="196"/>
        <w:jc w:val="left"/>
        <w:rPr>
          <w:rFonts w:hint="eastAsia" w:ascii="宋体" w:hAnsi="宋体"/>
          <w:color w:val="auto"/>
          <w:szCs w:val="21"/>
          <w:highlight w:val="none"/>
        </w:rPr>
      </w:pPr>
      <w:r>
        <w:rPr>
          <w:rFonts w:hint="eastAsia" w:hAnsi="宋体"/>
          <w:color w:val="auto"/>
          <w:szCs w:val="21"/>
          <w:highlight w:val="none"/>
        </w:rPr>
        <w:t>（17）</w:t>
      </w:r>
      <w:r>
        <w:rPr>
          <w:rFonts w:ascii="宋体" w:hAnsi="宋体"/>
          <w:color w:val="auto"/>
          <w:highlight w:val="none"/>
        </w:rPr>
        <w:t>中小企业声明函</w:t>
      </w:r>
      <w:r>
        <w:rPr>
          <w:rFonts w:hint="eastAsia" w:ascii="宋体" w:hAnsi="宋体"/>
          <w:color w:val="auto"/>
          <w:highlight w:val="none"/>
        </w:rPr>
        <w:t>格式：</w:t>
      </w:r>
    </w:p>
    <w:p>
      <w:pPr>
        <w:pStyle w:val="401"/>
        <w:spacing w:after="0"/>
        <w:rPr>
          <w:rFonts w:hint="eastAsia"/>
          <w:color w:val="auto"/>
          <w:highlight w:val="none"/>
        </w:rPr>
      </w:pPr>
      <w:r>
        <w:rPr>
          <w:color w:val="auto"/>
          <w:highlight w:val="none"/>
        </w:rPr>
        <w:t>中小企业声明函</w:t>
      </w:r>
    </w:p>
    <w:p>
      <w:pPr>
        <w:pStyle w:val="401"/>
        <w:spacing w:after="0"/>
        <w:rPr>
          <w:rFonts w:hint="eastAsia"/>
          <w:color w:val="auto"/>
          <w:highlight w:val="none"/>
        </w:rPr>
      </w:pPr>
    </w:p>
    <w:p>
      <w:pPr>
        <w:pStyle w:val="403"/>
        <w:spacing w:line="506" w:lineRule="exact"/>
        <w:ind w:firstLine="640"/>
        <w:jc w:val="both"/>
        <w:rPr>
          <w:rFonts w:hint="eastAsia"/>
          <w:color w:val="auto"/>
          <w:sz w:val="21"/>
          <w:szCs w:val="21"/>
          <w:highlight w:val="none"/>
        </w:rPr>
      </w:pPr>
      <w:r>
        <w:rPr>
          <w:color w:val="auto"/>
          <w:sz w:val="21"/>
          <w:szCs w:val="21"/>
          <w:highlight w:val="none"/>
        </w:rPr>
        <w:t>本公司（联合体）郑重声明，根据《政府采购促进中小企业发展管理办法》（财库〔2020〕46号）的规定，本公司 （联合体）参加</w:t>
      </w:r>
      <w:r>
        <w:rPr>
          <w:color w:val="auto"/>
          <w:sz w:val="21"/>
          <w:szCs w:val="21"/>
          <w:highlight w:val="none"/>
          <w:u w:val="single"/>
        </w:rPr>
        <w:t>（单位名称）</w:t>
      </w:r>
      <w:r>
        <w:rPr>
          <w:color w:val="auto"/>
          <w:sz w:val="21"/>
          <w:szCs w:val="21"/>
          <w:highlight w:val="none"/>
        </w:rPr>
        <w:t>的</w:t>
      </w:r>
      <w:r>
        <w:rPr>
          <w:color w:val="auto"/>
          <w:sz w:val="21"/>
          <w:szCs w:val="21"/>
          <w:highlight w:val="none"/>
          <w:u w:val="single"/>
        </w:rPr>
        <w:t>（项目名称）</w:t>
      </w:r>
      <w:r>
        <w:rPr>
          <w:color w:val="auto"/>
          <w:sz w:val="21"/>
          <w:szCs w:val="21"/>
          <w:highlight w:val="none"/>
        </w:rPr>
        <w:t>釆购活动,提供的货物全部由符合政策要求的中小企业制造。相关企业（含联合体中的中小企业、签订分包意向协议的中小企业）的具体情况如下</w:t>
      </w:r>
      <w:bookmarkStart w:id="27" w:name="bookmark1"/>
      <w:bookmarkEnd w:id="27"/>
      <w:r>
        <w:rPr>
          <w:rFonts w:hint="eastAsia"/>
          <w:color w:val="auto"/>
          <w:sz w:val="21"/>
          <w:szCs w:val="21"/>
          <w:highlight w:val="none"/>
        </w:rPr>
        <w:t>：</w:t>
      </w:r>
    </w:p>
    <w:p>
      <w:pPr>
        <w:pStyle w:val="403"/>
        <w:spacing w:line="506" w:lineRule="exact"/>
        <w:ind w:firstLine="640"/>
        <w:jc w:val="both"/>
        <w:rPr>
          <w:rFonts w:hint="eastAsia"/>
          <w:color w:val="auto"/>
          <w:sz w:val="21"/>
          <w:szCs w:val="21"/>
          <w:highlight w:val="none"/>
        </w:rPr>
      </w:pPr>
      <w:r>
        <w:rPr>
          <w:rFonts w:hint="eastAsia"/>
          <w:color w:val="auto"/>
          <w:sz w:val="21"/>
          <w:szCs w:val="21"/>
          <w:highlight w:val="none"/>
        </w:rPr>
        <w:t>1.</w:t>
      </w:r>
      <w:r>
        <w:rPr>
          <w:rFonts w:hint="eastAsia"/>
          <w:color w:val="auto"/>
          <w:sz w:val="21"/>
          <w:szCs w:val="21"/>
          <w:highlight w:val="none"/>
          <w:u w:val="single"/>
        </w:rPr>
        <w:t xml:space="preserve">     （</w:t>
      </w:r>
      <w:r>
        <w:rPr>
          <w:color w:val="auto"/>
          <w:sz w:val="21"/>
          <w:szCs w:val="21"/>
          <w:highlight w:val="none"/>
          <w:u w:val="single"/>
        </w:rPr>
        <w:t>标的名称</w:t>
      </w:r>
      <w:r>
        <w:rPr>
          <w:rFonts w:hint="eastAsia"/>
          <w:color w:val="auto"/>
          <w:sz w:val="21"/>
          <w:szCs w:val="21"/>
          <w:highlight w:val="none"/>
          <w:u w:val="single"/>
        </w:rPr>
        <w:t>）</w:t>
      </w:r>
      <w:r>
        <w:rPr>
          <w:rFonts w:hint="eastAsia"/>
          <w:color w:val="auto"/>
          <w:sz w:val="21"/>
          <w:szCs w:val="21"/>
          <w:highlight w:val="none"/>
        </w:rPr>
        <w:t>，</w:t>
      </w:r>
      <w:r>
        <w:rPr>
          <w:color w:val="auto"/>
          <w:sz w:val="21"/>
          <w:szCs w:val="21"/>
          <w:highlight w:val="none"/>
        </w:rPr>
        <w:t>属于</w:t>
      </w:r>
      <w:r>
        <w:rPr>
          <w:rFonts w:hint="eastAsia"/>
          <w:color w:val="auto"/>
          <w:sz w:val="21"/>
          <w:szCs w:val="21"/>
          <w:highlight w:val="none"/>
          <w:u w:val="single"/>
        </w:rPr>
        <w:t xml:space="preserve">     </w:t>
      </w:r>
      <w:r>
        <w:rPr>
          <w:color w:val="auto"/>
          <w:sz w:val="21"/>
          <w:szCs w:val="21"/>
          <w:highlight w:val="none"/>
          <w:u w:val="single"/>
        </w:rPr>
        <w:t>（釆购文件中明确的所属行业）行业</w:t>
      </w:r>
      <w:r>
        <w:rPr>
          <w:rFonts w:hint="eastAsia"/>
          <w:color w:val="auto"/>
          <w:sz w:val="21"/>
          <w:szCs w:val="21"/>
          <w:highlight w:val="none"/>
        </w:rPr>
        <w:t>；</w:t>
      </w:r>
      <w:r>
        <w:rPr>
          <w:color w:val="auto"/>
          <w:sz w:val="21"/>
          <w:szCs w:val="21"/>
          <w:highlight w:val="none"/>
        </w:rPr>
        <w:t>制造商为</w:t>
      </w:r>
      <w:r>
        <w:rPr>
          <w:color w:val="auto"/>
          <w:sz w:val="21"/>
          <w:szCs w:val="21"/>
          <w:highlight w:val="none"/>
          <w:u w:val="single"/>
        </w:rPr>
        <w:t>（企业名称）</w:t>
      </w:r>
      <w:r>
        <w:rPr>
          <w:rFonts w:hint="eastAsia"/>
          <w:color w:val="auto"/>
          <w:sz w:val="21"/>
          <w:szCs w:val="21"/>
          <w:highlight w:val="none"/>
        </w:rPr>
        <w:t>，</w:t>
      </w:r>
      <w:r>
        <w:rPr>
          <w:color w:val="auto"/>
          <w:sz w:val="21"/>
          <w:szCs w:val="21"/>
          <w:highlight w:val="none"/>
        </w:rPr>
        <w:t>从业人员</w:t>
      </w:r>
      <w:r>
        <w:rPr>
          <w:rFonts w:hint="eastAsia"/>
          <w:color w:val="auto"/>
          <w:sz w:val="21"/>
          <w:szCs w:val="21"/>
          <w:highlight w:val="none"/>
          <w:u w:val="single"/>
        </w:rPr>
        <w:t xml:space="preserve"> </w:t>
      </w:r>
      <w:r>
        <w:rPr>
          <w:color w:val="auto"/>
          <w:sz w:val="21"/>
          <w:szCs w:val="21"/>
          <w:highlight w:val="none"/>
          <w:u w:val="single"/>
        </w:rPr>
        <w:tab/>
      </w:r>
      <w:r>
        <w:rPr>
          <w:color w:val="auto"/>
          <w:sz w:val="21"/>
          <w:szCs w:val="21"/>
          <w:highlight w:val="none"/>
        </w:rPr>
        <w:t>人，营业收入为</w:t>
      </w:r>
      <w:r>
        <w:rPr>
          <w:rFonts w:hint="eastAsia"/>
          <w:color w:val="auto"/>
          <w:sz w:val="21"/>
          <w:szCs w:val="21"/>
          <w:highlight w:val="none"/>
          <w:u w:val="single"/>
        </w:rPr>
        <w:t xml:space="preserve">    </w:t>
      </w:r>
      <w:r>
        <w:rPr>
          <w:color w:val="auto"/>
          <w:sz w:val="21"/>
          <w:szCs w:val="21"/>
          <w:highlight w:val="none"/>
        </w:rPr>
        <w:t>万元，资产总额为</w:t>
      </w:r>
      <w:r>
        <w:rPr>
          <w:rFonts w:hint="eastAsia"/>
          <w:color w:val="auto"/>
          <w:sz w:val="21"/>
          <w:szCs w:val="21"/>
          <w:highlight w:val="none"/>
          <w:u w:val="single"/>
        </w:rPr>
        <w:t xml:space="preserve">     </w:t>
      </w:r>
      <w:r>
        <w:rPr>
          <w:color w:val="auto"/>
          <w:sz w:val="21"/>
          <w:szCs w:val="21"/>
          <w:highlight w:val="none"/>
        </w:rPr>
        <w:t>万元</w:t>
      </w:r>
      <w:r>
        <w:rPr>
          <w:rFonts w:hint="eastAsia"/>
          <w:color w:val="auto"/>
          <w:sz w:val="21"/>
          <w:szCs w:val="21"/>
          <w:highlight w:val="none"/>
        </w:rPr>
        <w:t>，</w:t>
      </w:r>
      <w:r>
        <w:rPr>
          <w:color w:val="auto"/>
          <w:sz w:val="21"/>
          <w:szCs w:val="21"/>
          <w:highlight w:val="none"/>
        </w:rPr>
        <w:t>属于</w:t>
      </w:r>
      <w:r>
        <w:rPr>
          <w:color w:val="auto"/>
          <w:sz w:val="21"/>
          <w:szCs w:val="21"/>
          <w:highlight w:val="none"/>
          <w:u w:val="single"/>
        </w:rPr>
        <w:t>（中型企业、小型企业、微型企业）</w:t>
      </w:r>
      <w:r>
        <w:rPr>
          <w:rFonts w:hint="eastAsia"/>
          <w:color w:val="auto"/>
          <w:sz w:val="21"/>
          <w:szCs w:val="21"/>
          <w:highlight w:val="none"/>
        </w:rPr>
        <w:t>；</w:t>
      </w:r>
      <w:r>
        <w:rPr>
          <w:color w:val="auto"/>
          <w:sz w:val="21"/>
          <w:szCs w:val="21"/>
          <w:highlight w:val="none"/>
        </w:rPr>
        <w:t xml:space="preserve"> </w:t>
      </w:r>
    </w:p>
    <w:p>
      <w:pPr>
        <w:pStyle w:val="403"/>
        <w:spacing w:line="506" w:lineRule="exact"/>
        <w:ind w:firstLine="640"/>
        <w:jc w:val="both"/>
        <w:rPr>
          <w:rFonts w:hint="eastAsia"/>
          <w:color w:val="auto"/>
          <w:sz w:val="21"/>
          <w:szCs w:val="21"/>
          <w:highlight w:val="none"/>
        </w:rPr>
      </w:pPr>
      <w:r>
        <w:rPr>
          <w:rFonts w:hint="eastAsia"/>
          <w:color w:val="auto"/>
          <w:sz w:val="21"/>
          <w:szCs w:val="21"/>
          <w:highlight w:val="none"/>
        </w:rPr>
        <w:t>2.</w:t>
      </w:r>
      <w:r>
        <w:rPr>
          <w:rFonts w:hint="eastAsia"/>
          <w:color w:val="auto"/>
          <w:sz w:val="21"/>
          <w:szCs w:val="21"/>
          <w:highlight w:val="none"/>
          <w:u w:val="single"/>
        </w:rPr>
        <w:t xml:space="preserve">    </w:t>
      </w:r>
      <w:r>
        <w:rPr>
          <w:color w:val="auto"/>
          <w:sz w:val="21"/>
          <w:szCs w:val="21"/>
          <w:highlight w:val="none"/>
          <w:u w:val="single"/>
        </w:rPr>
        <w:t>（标的名称）</w:t>
      </w:r>
      <w:r>
        <w:rPr>
          <w:rFonts w:hint="eastAsia"/>
          <w:color w:val="auto"/>
          <w:sz w:val="21"/>
          <w:szCs w:val="21"/>
          <w:highlight w:val="none"/>
        </w:rPr>
        <w:t>，</w:t>
      </w:r>
      <w:r>
        <w:rPr>
          <w:color w:val="auto"/>
          <w:sz w:val="21"/>
          <w:szCs w:val="21"/>
          <w:highlight w:val="none"/>
        </w:rPr>
        <w:t>属于</w:t>
      </w:r>
      <w:r>
        <w:rPr>
          <w:rFonts w:hint="eastAsia"/>
          <w:color w:val="auto"/>
          <w:sz w:val="21"/>
          <w:szCs w:val="21"/>
          <w:highlight w:val="none"/>
          <w:u w:val="single"/>
        </w:rPr>
        <w:t xml:space="preserve">     </w:t>
      </w:r>
      <w:r>
        <w:rPr>
          <w:color w:val="auto"/>
          <w:sz w:val="21"/>
          <w:szCs w:val="21"/>
          <w:highlight w:val="none"/>
          <w:u w:val="single"/>
        </w:rPr>
        <w:t>（釆购文件中明确的所属行业）行业</w:t>
      </w:r>
      <w:r>
        <w:rPr>
          <w:rFonts w:hint="eastAsia"/>
          <w:color w:val="auto"/>
          <w:sz w:val="21"/>
          <w:szCs w:val="21"/>
          <w:highlight w:val="none"/>
        </w:rPr>
        <w:t>；</w:t>
      </w:r>
      <w:r>
        <w:rPr>
          <w:color w:val="auto"/>
          <w:sz w:val="21"/>
          <w:szCs w:val="21"/>
          <w:highlight w:val="none"/>
        </w:rPr>
        <w:t>制造商为</w:t>
      </w:r>
      <w:r>
        <w:rPr>
          <w:color w:val="auto"/>
          <w:sz w:val="21"/>
          <w:szCs w:val="21"/>
          <w:highlight w:val="none"/>
          <w:u w:val="single"/>
        </w:rPr>
        <w:t>（企业名称）</w:t>
      </w:r>
      <w:r>
        <w:rPr>
          <w:color w:val="auto"/>
          <w:sz w:val="21"/>
          <w:szCs w:val="21"/>
          <w:highlight w:val="none"/>
        </w:rPr>
        <w:t>、从业人员</w:t>
      </w:r>
      <w:r>
        <w:rPr>
          <w:color w:val="auto"/>
          <w:sz w:val="21"/>
          <w:szCs w:val="21"/>
          <w:highlight w:val="none"/>
          <w:u w:val="single"/>
        </w:rPr>
        <w:tab/>
      </w:r>
      <w:r>
        <w:rPr>
          <w:color w:val="auto"/>
          <w:sz w:val="21"/>
          <w:szCs w:val="21"/>
          <w:highlight w:val="none"/>
        </w:rPr>
        <w:t>人，营业收入为</w:t>
      </w:r>
      <w:r>
        <w:rPr>
          <w:rFonts w:hint="eastAsia"/>
          <w:color w:val="auto"/>
          <w:sz w:val="21"/>
          <w:szCs w:val="21"/>
          <w:highlight w:val="none"/>
          <w:u w:val="single"/>
        </w:rPr>
        <w:t xml:space="preserve">    </w:t>
      </w:r>
      <w:r>
        <w:rPr>
          <w:color w:val="auto"/>
          <w:sz w:val="21"/>
          <w:szCs w:val="21"/>
          <w:highlight w:val="none"/>
        </w:rPr>
        <w:t>万元，资产总额为</w:t>
      </w:r>
      <w:r>
        <w:rPr>
          <w:rFonts w:hint="eastAsia"/>
          <w:color w:val="auto"/>
          <w:sz w:val="21"/>
          <w:szCs w:val="21"/>
          <w:highlight w:val="none"/>
          <w:u w:val="single"/>
        </w:rPr>
        <w:t xml:space="preserve">    </w:t>
      </w:r>
      <w:r>
        <w:rPr>
          <w:color w:val="auto"/>
          <w:sz w:val="21"/>
          <w:szCs w:val="21"/>
          <w:highlight w:val="none"/>
        </w:rPr>
        <w:t>万元，属于</w:t>
      </w:r>
      <w:r>
        <w:rPr>
          <w:color w:val="auto"/>
          <w:sz w:val="21"/>
          <w:szCs w:val="21"/>
          <w:highlight w:val="none"/>
          <w:u w:val="single"/>
        </w:rPr>
        <w:t>（中型企业、小型 企业、微型企业）</w:t>
      </w:r>
      <w:r>
        <w:rPr>
          <w:rFonts w:hint="eastAsia"/>
          <w:color w:val="auto"/>
          <w:sz w:val="21"/>
          <w:szCs w:val="21"/>
          <w:highlight w:val="none"/>
        </w:rPr>
        <w:t>；</w:t>
      </w:r>
    </w:p>
    <w:p>
      <w:pPr>
        <w:pStyle w:val="403"/>
        <w:spacing w:line="506" w:lineRule="exact"/>
        <w:ind w:firstLine="640"/>
        <w:jc w:val="both"/>
        <w:rPr>
          <w:rFonts w:hint="eastAsia"/>
          <w:color w:val="auto"/>
          <w:sz w:val="21"/>
          <w:szCs w:val="21"/>
          <w:highlight w:val="none"/>
        </w:rPr>
      </w:pPr>
      <w:r>
        <w:rPr>
          <w:rFonts w:hint="eastAsia"/>
          <w:color w:val="auto"/>
          <w:sz w:val="21"/>
          <w:szCs w:val="21"/>
          <w:highlight w:val="none"/>
        </w:rPr>
        <w:t>......</w:t>
      </w:r>
    </w:p>
    <w:p>
      <w:pPr>
        <w:pStyle w:val="403"/>
        <w:spacing w:line="499" w:lineRule="exact"/>
        <w:ind w:firstLine="640"/>
        <w:jc w:val="both"/>
        <w:rPr>
          <w:rFonts w:hint="eastAsia"/>
          <w:color w:val="auto"/>
          <w:sz w:val="21"/>
          <w:szCs w:val="21"/>
          <w:highlight w:val="none"/>
        </w:rPr>
      </w:pPr>
      <w:r>
        <w:rPr>
          <w:color w:val="auto"/>
          <w:sz w:val="21"/>
          <w:szCs w:val="21"/>
          <w:highlight w:val="none"/>
        </w:rPr>
        <w:t>以上企业，不属于大企业的分支机构，不存在控股股东为大企业的情形，也不存在与大企业的负责人为同一人的情形。</w:t>
      </w:r>
    </w:p>
    <w:p>
      <w:pPr>
        <w:pStyle w:val="403"/>
        <w:spacing w:after="40" w:line="499" w:lineRule="exact"/>
        <w:ind w:firstLine="640"/>
        <w:jc w:val="both"/>
        <w:rPr>
          <w:rFonts w:hint="eastAsia"/>
          <w:color w:val="auto"/>
          <w:sz w:val="21"/>
          <w:szCs w:val="21"/>
          <w:highlight w:val="none"/>
        </w:rPr>
      </w:pPr>
      <w:r>
        <w:rPr>
          <w:color w:val="auto"/>
          <w:sz w:val="21"/>
          <w:szCs w:val="21"/>
          <w:highlight w:val="none"/>
        </w:rPr>
        <w:t>本企业对上述声明内容的真实性</w:t>
      </w:r>
      <w:r>
        <w:rPr>
          <w:rFonts w:hint="eastAsia"/>
          <w:color w:val="auto"/>
          <w:sz w:val="21"/>
          <w:szCs w:val="21"/>
          <w:highlight w:val="none"/>
        </w:rPr>
        <w:t>负责</w:t>
      </w:r>
      <w:r>
        <w:rPr>
          <w:color w:val="auto"/>
          <w:sz w:val="21"/>
          <w:szCs w:val="21"/>
          <w:highlight w:val="none"/>
        </w:rPr>
        <w:t>。如有虚假，将依法承担相应责任。</w:t>
      </w:r>
    </w:p>
    <w:p>
      <w:pPr>
        <w:pStyle w:val="403"/>
        <w:spacing w:line="506" w:lineRule="exact"/>
        <w:ind w:firstLine="640"/>
        <w:jc w:val="both"/>
        <w:rPr>
          <w:rFonts w:hint="eastAsia"/>
          <w:color w:val="auto"/>
          <w:sz w:val="21"/>
          <w:szCs w:val="21"/>
          <w:highlight w:val="none"/>
        </w:rPr>
      </w:pPr>
      <w:r>
        <w:rPr>
          <w:rFonts w:hint="eastAsia"/>
          <w:color w:val="auto"/>
          <w:sz w:val="21"/>
          <w:szCs w:val="21"/>
          <w:highlight w:val="none"/>
        </w:rPr>
        <w:t xml:space="preserve">                          </w:t>
      </w:r>
      <w:r>
        <w:rPr>
          <w:color w:val="auto"/>
          <w:sz w:val="21"/>
          <w:szCs w:val="21"/>
          <w:highlight w:val="none"/>
        </w:rPr>
        <w:t>企业名称（盖章）：</w:t>
      </w:r>
      <w:r>
        <w:rPr>
          <w:rFonts w:hint="eastAsia"/>
          <w:color w:val="auto"/>
          <w:sz w:val="21"/>
          <w:szCs w:val="21"/>
          <w:highlight w:val="none"/>
        </w:rPr>
        <w:t xml:space="preserve">   </w:t>
      </w:r>
    </w:p>
    <w:p>
      <w:pPr>
        <w:pStyle w:val="403"/>
        <w:spacing w:line="506" w:lineRule="exact"/>
        <w:ind w:firstLine="640"/>
        <w:jc w:val="both"/>
        <w:rPr>
          <w:rFonts w:hint="eastAsia"/>
          <w:color w:val="auto"/>
          <w:sz w:val="21"/>
          <w:szCs w:val="21"/>
          <w:highlight w:val="none"/>
        </w:rPr>
      </w:pPr>
      <w:r>
        <w:rPr>
          <w:rFonts w:hint="eastAsia"/>
          <w:color w:val="auto"/>
          <w:sz w:val="21"/>
          <w:szCs w:val="21"/>
          <w:highlight w:val="none"/>
        </w:rPr>
        <w:t xml:space="preserve">                           日期：</w:t>
      </w:r>
    </w:p>
    <w:p>
      <w:pPr>
        <w:pStyle w:val="401"/>
        <w:adjustRightInd w:val="0"/>
        <w:snapToGrid w:val="0"/>
        <w:spacing w:after="0" w:line="360" w:lineRule="exact"/>
        <w:jc w:val="left"/>
        <w:rPr>
          <w:rFonts w:hint="eastAsia"/>
          <w:color w:val="auto"/>
          <w:sz w:val="18"/>
          <w:szCs w:val="18"/>
          <w:highlight w:val="none"/>
        </w:rPr>
      </w:pPr>
      <w:r>
        <w:rPr>
          <w:color w:val="auto"/>
          <w:sz w:val="18"/>
          <w:szCs w:val="18"/>
          <w:highlight w:val="none"/>
        </w:rPr>
        <w:t>备注：</w:t>
      </w:r>
    </w:p>
    <w:p>
      <w:pPr>
        <w:pStyle w:val="401"/>
        <w:adjustRightInd w:val="0"/>
        <w:snapToGrid w:val="0"/>
        <w:spacing w:after="0" w:line="360" w:lineRule="exact"/>
        <w:jc w:val="left"/>
        <w:rPr>
          <w:rFonts w:hint="eastAsia"/>
          <w:color w:val="auto"/>
          <w:sz w:val="18"/>
          <w:szCs w:val="18"/>
          <w:highlight w:val="none"/>
        </w:rPr>
      </w:pPr>
      <w:r>
        <w:rPr>
          <w:rFonts w:hint="eastAsia"/>
          <w:color w:val="auto"/>
          <w:sz w:val="18"/>
          <w:szCs w:val="18"/>
          <w:highlight w:val="none"/>
        </w:rPr>
        <w:t>1、</w:t>
      </w:r>
      <w:r>
        <w:rPr>
          <w:color w:val="auto"/>
          <w:sz w:val="18"/>
          <w:szCs w:val="18"/>
          <w:highlight w:val="none"/>
        </w:rPr>
        <w:t>从业人员、营业收入、资产总额填报上一年度数据，无上一年度数据的新成立企业可不填报。</w:t>
      </w:r>
    </w:p>
    <w:p>
      <w:pPr>
        <w:pStyle w:val="401"/>
        <w:adjustRightInd w:val="0"/>
        <w:snapToGrid w:val="0"/>
        <w:spacing w:after="0" w:line="360" w:lineRule="exact"/>
        <w:jc w:val="left"/>
        <w:rPr>
          <w:rFonts w:hint="eastAsia"/>
          <w:color w:val="auto"/>
          <w:sz w:val="18"/>
          <w:szCs w:val="18"/>
          <w:highlight w:val="none"/>
        </w:rPr>
      </w:pPr>
      <w:r>
        <w:rPr>
          <w:rFonts w:hint="eastAsia"/>
          <w:color w:val="auto"/>
          <w:sz w:val="18"/>
          <w:szCs w:val="18"/>
          <w:highlight w:val="none"/>
        </w:rPr>
        <w:t>2、采购文件中明确的所属行业名称是根据《关于印发中小企业划型标准规定的通知》（工信部联企业[2011]300号）规定确定。</w:t>
      </w:r>
    </w:p>
    <w:p>
      <w:pPr>
        <w:snapToGrid w:val="0"/>
        <w:spacing w:line="360" w:lineRule="exact"/>
        <w:jc w:val="left"/>
        <w:rPr>
          <w:rFonts w:hint="eastAsia" w:hAnsi="宋体"/>
          <w:b/>
          <w:bCs/>
          <w:color w:val="auto"/>
          <w:szCs w:val="21"/>
          <w:highlight w:val="none"/>
        </w:rPr>
      </w:pPr>
      <w:r>
        <w:rPr>
          <w:rFonts w:hint="eastAsia"/>
          <w:b/>
          <w:bCs/>
          <w:color w:val="auto"/>
          <w:szCs w:val="21"/>
          <w:highlight w:val="none"/>
        </w:rPr>
        <w:t>3、</w:t>
      </w:r>
      <w:r>
        <w:rPr>
          <w:rFonts w:hint="eastAsia" w:hAnsi="宋体"/>
          <w:b/>
          <w:bCs/>
          <w:color w:val="auto"/>
          <w:szCs w:val="21"/>
          <w:highlight w:val="none"/>
        </w:rPr>
        <w:t>（</w:t>
      </w:r>
      <w:r>
        <w:rPr>
          <w:rFonts w:hint="eastAsia"/>
          <w:b/>
          <w:bCs/>
          <w:color w:val="auto"/>
          <w:highlight w:val="none"/>
        </w:rPr>
        <w:t>标的名称为“硬件设备（详细清单）”、“软件产品（详细清单）”、“定制开发软件</w:t>
      </w:r>
      <w:r>
        <w:rPr>
          <w:rFonts w:hint="eastAsia"/>
          <w:b/>
          <w:bCs/>
          <w:color w:val="auto"/>
          <w:highlight w:val="none"/>
          <w:lang w:eastAsia="zh-CN"/>
        </w:rPr>
        <w:t>（只需对标的名称：“两定机构接口数据检测系统”“运维系统升级”这两项作出声明）</w:t>
      </w:r>
      <w:r>
        <w:rPr>
          <w:rFonts w:hint="eastAsia"/>
          <w:b/>
          <w:bCs/>
          <w:color w:val="auto"/>
          <w:highlight w:val="none"/>
        </w:rPr>
        <w:t>”、“数据中心机柜租赁”。</w:t>
      </w:r>
      <w:r>
        <w:rPr>
          <w:rFonts w:hint="eastAsia" w:hAnsi="宋体"/>
          <w:b/>
          <w:bCs/>
          <w:color w:val="auto"/>
          <w:szCs w:val="21"/>
          <w:highlight w:val="none"/>
        </w:rPr>
        <w:t>）</w:t>
      </w:r>
    </w:p>
    <w:p>
      <w:pPr>
        <w:snapToGrid w:val="0"/>
        <w:spacing w:line="360" w:lineRule="exact"/>
        <w:ind w:firstLine="516" w:firstLineChars="246"/>
        <w:jc w:val="left"/>
        <w:rPr>
          <w:rFonts w:hint="eastAsia" w:ascii="宋体" w:hAnsi="宋体"/>
          <w:color w:val="auto"/>
          <w:szCs w:val="21"/>
          <w:highlight w:val="none"/>
        </w:rPr>
      </w:pPr>
    </w:p>
    <w:p>
      <w:pPr>
        <w:pStyle w:val="69"/>
        <w:spacing w:line="440" w:lineRule="exact"/>
        <w:ind w:firstLine="420" w:firstLineChars="200"/>
        <w:rPr>
          <w:rFonts w:hint="eastAsia" w:hAnsi="宋体" w:cs="Times New Roman"/>
          <w:color w:val="auto"/>
          <w:kern w:val="2"/>
          <w:sz w:val="21"/>
          <w:szCs w:val="21"/>
          <w:highlight w:val="none"/>
        </w:rPr>
      </w:pPr>
      <w:r>
        <w:rPr>
          <w:rFonts w:hint="eastAsia" w:hAnsi="宋体" w:cs="Times New Roman"/>
          <w:color w:val="auto"/>
          <w:kern w:val="2"/>
          <w:sz w:val="21"/>
          <w:szCs w:val="21"/>
          <w:highlight w:val="none"/>
        </w:rPr>
        <w:t>（18）关于符合本国产品标准的声明函格式：</w:t>
      </w:r>
    </w:p>
    <w:p>
      <w:pPr>
        <w:pStyle w:val="47"/>
        <w:shd w:val="clear" w:color="auto" w:fill="FFFFFF"/>
        <w:spacing w:before="30" w:beforeAutospacing="0" w:after="30" w:afterAutospacing="0"/>
        <w:jc w:val="center"/>
        <w:rPr>
          <w:rFonts w:hint="eastAsia" w:cs="宋体"/>
          <w:color w:val="auto"/>
          <w:sz w:val="36"/>
          <w:szCs w:val="36"/>
          <w:highlight w:val="none"/>
        </w:rPr>
      </w:pPr>
      <w:r>
        <w:rPr>
          <w:rStyle w:val="55"/>
          <w:rFonts w:hint="eastAsia" w:cs="宋体"/>
          <w:color w:val="auto"/>
          <w:sz w:val="36"/>
          <w:szCs w:val="36"/>
          <w:highlight w:val="none"/>
          <w:shd w:val="clear" w:color="auto" w:fill="FFFFFF"/>
        </w:rPr>
        <w:t>关于符合本国产品标准的声明函</w:t>
      </w:r>
    </w:p>
    <w:p>
      <w:pPr>
        <w:pStyle w:val="47"/>
        <w:shd w:val="clear" w:color="auto" w:fill="FFFFFF"/>
        <w:spacing w:before="30" w:beforeAutospacing="0" w:after="30" w:afterAutospacing="0"/>
        <w:ind w:firstLine="420"/>
        <w:rPr>
          <w:rFonts w:hint="eastAsia" w:cs="宋体"/>
          <w:color w:val="auto"/>
          <w:highlight w:val="none"/>
        </w:rPr>
      </w:pPr>
    </w:p>
    <w:p>
      <w:pPr>
        <w:pStyle w:val="47"/>
        <w:shd w:val="clear" w:color="auto" w:fill="FFFFFF"/>
        <w:spacing w:before="30" w:beforeAutospacing="0" w:after="30" w:afterAutospacing="0"/>
        <w:ind w:firstLine="420"/>
        <w:rPr>
          <w:rFonts w:hint="eastAsia" w:cs="宋体"/>
          <w:color w:val="auto"/>
          <w:highlight w:val="none"/>
        </w:rPr>
      </w:pPr>
      <w:r>
        <w:rPr>
          <w:rFonts w:hint="eastAsia" w:cs="宋体"/>
          <w:color w:val="auto"/>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pPr>
        <w:pStyle w:val="47"/>
        <w:shd w:val="clear" w:color="auto" w:fill="FFFFFF"/>
        <w:spacing w:before="30" w:beforeAutospacing="0" w:after="30" w:afterAutospacing="0"/>
        <w:ind w:firstLine="420"/>
        <w:rPr>
          <w:rFonts w:hint="eastAsia" w:cs="宋体"/>
          <w:color w:val="auto"/>
          <w:highlight w:val="none"/>
        </w:rPr>
      </w:pPr>
      <w:r>
        <w:rPr>
          <w:rFonts w:hint="eastAsia" w:cs="宋体"/>
          <w:color w:val="auto"/>
          <w:highlight w:val="none"/>
          <w:shd w:val="clear" w:color="auto" w:fill="FFFFFF"/>
        </w:rPr>
        <w:t>1.</w:t>
      </w:r>
      <w:r>
        <w:rPr>
          <w:rStyle w:val="58"/>
          <w:rFonts w:hint="eastAsia" w:cs="宋体"/>
          <w:color w:val="auto"/>
          <w:highlight w:val="none"/>
          <w:shd w:val="clear" w:color="auto" w:fill="FFFFFF"/>
        </w:rPr>
        <w:t>（产品名称1）</w:t>
      </w:r>
      <w:r>
        <w:rPr>
          <w:rStyle w:val="58"/>
          <w:rFonts w:hint="eastAsia" w:cs="宋体"/>
          <w:color w:val="auto"/>
          <w:highlight w:val="none"/>
          <w:shd w:val="clear" w:color="auto" w:fill="FFFFFF"/>
          <w:vertAlign w:val="superscript"/>
        </w:rPr>
        <w:t>1</w:t>
      </w:r>
      <w:r>
        <w:rPr>
          <w:rFonts w:hint="eastAsia" w:cs="宋体"/>
          <w:color w:val="auto"/>
          <w:highlight w:val="none"/>
          <w:shd w:val="clear" w:color="auto" w:fill="FFFFFF"/>
        </w:rPr>
        <w:t>，生产厂为</w:t>
      </w:r>
      <w:r>
        <w:rPr>
          <w:rStyle w:val="58"/>
          <w:rFonts w:hint="eastAsia" w:cs="宋体"/>
          <w:color w:val="auto"/>
          <w:highlight w:val="none"/>
          <w:shd w:val="clear" w:color="auto" w:fill="FFFFFF"/>
        </w:rPr>
        <w:t>（厂名）</w:t>
      </w:r>
      <w:r>
        <w:rPr>
          <w:rStyle w:val="58"/>
          <w:rFonts w:hint="eastAsia" w:cs="宋体"/>
          <w:color w:val="auto"/>
          <w:highlight w:val="none"/>
          <w:shd w:val="clear" w:color="auto" w:fill="FFFFFF"/>
          <w:vertAlign w:val="superscript"/>
        </w:rPr>
        <w:t>2</w:t>
      </w:r>
      <w:r>
        <w:rPr>
          <w:rFonts w:hint="eastAsia" w:cs="宋体"/>
          <w:color w:val="auto"/>
          <w:highlight w:val="none"/>
          <w:shd w:val="clear" w:color="auto" w:fill="FFFFFF"/>
        </w:rPr>
        <w:t>，厂址为</w:t>
      </w:r>
      <w:r>
        <w:rPr>
          <w:rStyle w:val="58"/>
          <w:rFonts w:hint="eastAsia" w:cs="宋体"/>
          <w:color w:val="auto"/>
          <w:highlight w:val="none"/>
          <w:shd w:val="clear" w:color="auto" w:fill="FFFFFF"/>
        </w:rPr>
        <w:t>（生产厂址）</w:t>
      </w:r>
      <w:r>
        <w:rPr>
          <w:rFonts w:hint="eastAsia" w:cs="宋体"/>
          <w:color w:val="auto"/>
          <w:highlight w:val="none"/>
          <w:shd w:val="clear" w:color="auto" w:fill="FFFFFF"/>
        </w:rPr>
        <w:t>。</w:t>
      </w:r>
    </w:p>
    <w:p>
      <w:pPr>
        <w:pStyle w:val="47"/>
        <w:shd w:val="clear" w:color="auto" w:fill="FFFFFF"/>
        <w:spacing w:before="30" w:beforeAutospacing="0" w:after="30" w:afterAutospacing="0"/>
        <w:ind w:firstLine="420"/>
        <w:rPr>
          <w:rFonts w:hint="eastAsia" w:cs="宋体"/>
          <w:color w:val="auto"/>
          <w:highlight w:val="none"/>
        </w:rPr>
      </w:pPr>
      <w:r>
        <w:rPr>
          <w:rFonts w:hint="eastAsia" w:cs="宋体"/>
          <w:color w:val="auto"/>
          <w:highlight w:val="none"/>
          <w:shd w:val="clear" w:color="auto" w:fill="FFFFFF"/>
        </w:rPr>
        <w:t>2.</w:t>
      </w:r>
      <w:r>
        <w:rPr>
          <w:rStyle w:val="58"/>
          <w:rFonts w:hint="eastAsia" w:cs="宋体"/>
          <w:color w:val="auto"/>
          <w:highlight w:val="none"/>
          <w:shd w:val="clear" w:color="auto" w:fill="FFFFFF"/>
        </w:rPr>
        <w:t>（产品名称2）</w:t>
      </w:r>
      <w:r>
        <w:rPr>
          <w:rFonts w:hint="eastAsia" w:cs="宋体"/>
          <w:color w:val="auto"/>
          <w:highlight w:val="none"/>
          <w:shd w:val="clear" w:color="auto" w:fill="FFFFFF"/>
        </w:rPr>
        <w:t>，生产厂为</w:t>
      </w:r>
      <w:r>
        <w:rPr>
          <w:rStyle w:val="58"/>
          <w:rFonts w:hint="eastAsia" w:cs="宋体"/>
          <w:color w:val="auto"/>
          <w:highlight w:val="none"/>
          <w:shd w:val="clear" w:color="auto" w:fill="FFFFFF"/>
        </w:rPr>
        <w:t>（厂名）</w:t>
      </w:r>
      <w:r>
        <w:rPr>
          <w:rFonts w:hint="eastAsia" w:cs="宋体"/>
          <w:color w:val="auto"/>
          <w:highlight w:val="none"/>
          <w:shd w:val="clear" w:color="auto" w:fill="FFFFFF"/>
        </w:rPr>
        <w:t>，厂址为</w:t>
      </w:r>
      <w:r>
        <w:rPr>
          <w:rStyle w:val="58"/>
          <w:rFonts w:hint="eastAsia" w:cs="宋体"/>
          <w:color w:val="auto"/>
          <w:highlight w:val="none"/>
          <w:shd w:val="clear" w:color="auto" w:fill="FFFFFF"/>
        </w:rPr>
        <w:t>（生产厂址）</w:t>
      </w:r>
      <w:r>
        <w:rPr>
          <w:rFonts w:hint="eastAsia" w:cs="宋体"/>
          <w:color w:val="auto"/>
          <w:highlight w:val="none"/>
          <w:shd w:val="clear" w:color="auto" w:fill="FFFFFF"/>
        </w:rPr>
        <w:t>。</w:t>
      </w:r>
    </w:p>
    <w:p>
      <w:pPr>
        <w:pStyle w:val="47"/>
        <w:shd w:val="clear" w:color="auto" w:fill="FFFFFF"/>
        <w:spacing w:before="30" w:beforeAutospacing="0" w:after="30" w:afterAutospacing="0"/>
        <w:ind w:firstLine="420"/>
        <w:rPr>
          <w:rFonts w:hint="eastAsia" w:cs="宋体"/>
          <w:color w:val="auto"/>
          <w:highlight w:val="none"/>
        </w:rPr>
      </w:pPr>
      <w:r>
        <w:rPr>
          <w:rFonts w:hint="eastAsia" w:cs="宋体"/>
          <w:color w:val="auto"/>
          <w:highlight w:val="none"/>
          <w:shd w:val="clear" w:color="auto" w:fill="FFFFFF"/>
        </w:rPr>
        <w:t>……</w:t>
      </w:r>
    </w:p>
    <w:p>
      <w:pPr>
        <w:pStyle w:val="47"/>
        <w:shd w:val="clear" w:color="auto" w:fill="FFFFFF"/>
        <w:spacing w:before="30" w:beforeAutospacing="0" w:after="30" w:afterAutospacing="0"/>
        <w:ind w:firstLine="420"/>
        <w:rPr>
          <w:rFonts w:hint="eastAsia" w:cs="宋体"/>
          <w:color w:val="auto"/>
          <w:highlight w:val="none"/>
        </w:rPr>
      </w:pPr>
      <w:r>
        <w:rPr>
          <w:rFonts w:hint="eastAsia" w:cs="宋体"/>
          <w:color w:val="auto"/>
          <w:highlight w:val="none"/>
          <w:shd w:val="clear" w:color="auto" w:fill="FFFFFF"/>
        </w:rPr>
        <w:t>本公司（单位）对上述声明内容的真实性负责。如有虚假，愿承担相应法律责任。</w:t>
      </w:r>
    </w:p>
    <w:p>
      <w:pPr>
        <w:pStyle w:val="47"/>
        <w:shd w:val="clear" w:color="auto" w:fill="FFFFFF"/>
        <w:spacing w:before="30" w:beforeAutospacing="0" w:after="30" w:afterAutospacing="0"/>
        <w:ind w:firstLine="420"/>
        <w:jc w:val="right"/>
        <w:rPr>
          <w:rFonts w:hint="eastAsia" w:cs="宋体"/>
          <w:color w:val="auto"/>
          <w:highlight w:val="none"/>
          <w:shd w:val="clear" w:color="auto" w:fill="FFFFFF"/>
        </w:rPr>
      </w:pPr>
    </w:p>
    <w:p>
      <w:pPr>
        <w:pStyle w:val="47"/>
        <w:shd w:val="clear" w:color="auto" w:fill="FFFFFF"/>
        <w:spacing w:before="30" w:beforeAutospacing="0" w:after="30" w:afterAutospacing="0"/>
        <w:ind w:firstLine="420"/>
        <w:jc w:val="right"/>
        <w:rPr>
          <w:rFonts w:hint="eastAsia" w:cs="宋体"/>
          <w:color w:val="auto"/>
          <w:highlight w:val="none"/>
        </w:rPr>
      </w:pPr>
      <w:r>
        <w:rPr>
          <w:rFonts w:hint="eastAsia" w:cs="宋体"/>
          <w:color w:val="auto"/>
          <w:highlight w:val="none"/>
          <w:shd w:val="clear" w:color="auto" w:fill="FFFFFF"/>
        </w:rPr>
        <w:t>公司（单位）名称（盖章）：      </w:t>
      </w:r>
    </w:p>
    <w:p>
      <w:pPr>
        <w:pStyle w:val="47"/>
        <w:shd w:val="clear" w:color="auto" w:fill="FFFFFF"/>
        <w:spacing w:before="30" w:beforeAutospacing="0" w:after="30" w:afterAutospacing="0"/>
        <w:ind w:firstLine="420"/>
        <w:jc w:val="right"/>
        <w:rPr>
          <w:rFonts w:hint="eastAsia" w:cs="宋体"/>
          <w:color w:val="auto"/>
          <w:highlight w:val="none"/>
        </w:rPr>
      </w:pPr>
      <w:r>
        <w:rPr>
          <w:rFonts w:hint="eastAsia" w:cs="宋体"/>
          <w:color w:val="auto"/>
          <w:highlight w:val="none"/>
          <w:shd w:val="clear" w:color="auto" w:fill="FFFFFF"/>
        </w:rPr>
        <w:t>日期：　　　　　年　　月　日    </w:t>
      </w:r>
    </w:p>
    <w:p>
      <w:pPr>
        <w:pStyle w:val="47"/>
        <w:shd w:val="clear" w:color="auto" w:fill="FFFFFF"/>
        <w:spacing w:before="30" w:beforeAutospacing="0" w:after="30" w:afterAutospacing="0"/>
        <w:ind w:firstLine="420"/>
        <w:rPr>
          <w:rFonts w:hint="eastAsia" w:cs="宋体"/>
          <w:color w:val="auto"/>
          <w:highlight w:val="none"/>
        </w:rPr>
      </w:pPr>
    </w:p>
    <w:p>
      <w:pPr>
        <w:pStyle w:val="47"/>
        <w:shd w:val="clear" w:color="auto" w:fill="FFFFFF"/>
        <w:spacing w:before="30" w:beforeAutospacing="0" w:after="30" w:afterAutospacing="0"/>
        <w:ind w:firstLine="420"/>
        <w:rPr>
          <w:rFonts w:hint="eastAsia" w:cs="宋体"/>
          <w:color w:val="auto"/>
          <w:highlight w:val="none"/>
        </w:rPr>
      </w:pPr>
    </w:p>
    <w:p>
      <w:pPr>
        <w:pStyle w:val="47"/>
        <w:shd w:val="clear" w:color="auto" w:fill="FFFFFF"/>
        <w:spacing w:before="30" w:beforeAutospacing="0" w:after="30" w:afterAutospacing="0"/>
        <w:rPr>
          <w:rFonts w:hint="eastAsia" w:cs="宋体"/>
          <w:color w:val="auto"/>
          <w:highlight w:val="none"/>
        </w:rPr>
      </w:pPr>
      <w:r>
        <w:rPr>
          <w:rFonts w:hint="eastAsia" w:cs="宋体"/>
          <w:color w:val="auto"/>
          <w:highlight w:val="none"/>
          <w:shd w:val="clear" w:color="auto" w:fill="FFFFFF"/>
        </w:rPr>
        <w:t>_____________________________</w:t>
      </w:r>
    </w:p>
    <w:p>
      <w:pPr>
        <w:pStyle w:val="47"/>
        <w:shd w:val="clear" w:color="auto" w:fill="FFFFFF"/>
        <w:spacing w:before="30" w:beforeAutospacing="0" w:after="30" w:afterAutospacing="0"/>
        <w:ind w:firstLine="420"/>
        <w:rPr>
          <w:rFonts w:hint="eastAsia" w:cs="宋体"/>
          <w:color w:val="auto"/>
          <w:highlight w:val="none"/>
        </w:rPr>
      </w:pPr>
      <w:r>
        <w:rPr>
          <w:rFonts w:hint="eastAsia" w:ascii="楷体" w:hAnsi="楷体" w:eastAsia="楷体" w:cs="楷体"/>
          <w:color w:val="auto"/>
          <w:highlight w:val="none"/>
          <w:shd w:val="clear" w:color="auto" w:fill="FFFFFF"/>
        </w:rPr>
        <w:t>1.产品如有型号，请在“产品名称”栏一并填写。</w:t>
      </w:r>
    </w:p>
    <w:p>
      <w:pPr>
        <w:pStyle w:val="47"/>
        <w:shd w:val="clear" w:color="auto" w:fill="FFFFFF"/>
        <w:spacing w:before="30" w:beforeAutospacing="0" w:after="30" w:afterAutospacing="0"/>
        <w:ind w:firstLine="420"/>
        <w:rPr>
          <w:rFonts w:hint="eastAsia" w:cs="宋体"/>
          <w:color w:val="auto"/>
          <w:highlight w:val="none"/>
        </w:rPr>
      </w:pPr>
      <w:r>
        <w:rPr>
          <w:rFonts w:hint="eastAsia" w:ascii="楷体" w:hAnsi="楷体" w:eastAsia="楷体" w:cs="楷体"/>
          <w:color w:val="auto"/>
          <w:highlight w:val="none"/>
          <w:shd w:val="clear" w:color="auto" w:fill="FFFFFF"/>
        </w:rPr>
        <w:t>2.生产厂名与厂址应与生产厂营业执照载明的相关信息保持一致。</w:t>
      </w:r>
    </w:p>
    <w:p>
      <w:pPr>
        <w:snapToGrid w:val="0"/>
        <w:spacing w:line="360" w:lineRule="exact"/>
        <w:ind w:firstLine="210" w:firstLineChars="100"/>
        <w:jc w:val="left"/>
        <w:rPr>
          <w:rFonts w:hint="eastAsia" w:hAnsi="宋体"/>
          <w:color w:val="auto"/>
          <w:szCs w:val="21"/>
          <w:highlight w:val="none"/>
        </w:rPr>
      </w:pPr>
      <w:r>
        <w:rPr>
          <w:rFonts w:hint="eastAsia" w:hAnsi="宋体"/>
          <w:color w:val="auto"/>
          <w:szCs w:val="21"/>
          <w:highlight w:val="none"/>
          <w:lang w:eastAsia="zh-CN"/>
        </w:rPr>
        <w:t>【】</w:t>
      </w:r>
      <w:r>
        <w:rPr>
          <w:rFonts w:hint="eastAsia" w:hAnsi="宋体"/>
          <w:color w:val="auto"/>
          <w:szCs w:val="21"/>
          <w:highlight w:val="none"/>
        </w:rPr>
        <w:t>注：产品名称</w:t>
      </w:r>
      <w:r>
        <w:rPr>
          <w:rFonts w:hint="eastAsia"/>
          <w:b/>
          <w:bCs/>
          <w:color w:val="auto"/>
          <w:highlight w:val="none"/>
        </w:rPr>
        <w:t>为“硬件设备（详细清单）”、“软件产品（详细清单）”、“定制开发软件</w:t>
      </w:r>
      <w:r>
        <w:rPr>
          <w:rFonts w:hint="eastAsia"/>
          <w:b/>
          <w:bCs/>
          <w:color w:val="auto"/>
          <w:highlight w:val="none"/>
          <w:lang w:eastAsia="zh-CN"/>
        </w:rPr>
        <w:t>（只需对产品名称：“两定机构接口数据检测系统”“运维系统升级”这两项作出声明）</w:t>
      </w:r>
      <w:r>
        <w:rPr>
          <w:rFonts w:hint="eastAsia"/>
          <w:b/>
          <w:bCs/>
          <w:color w:val="auto"/>
          <w:highlight w:val="none"/>
        </w:rPr>
        <w:t>”、“数据中心机柜租赁”。</w:t>
      </w:r>
    </w:p>
    <w:p>
      <w:pPr>
        <w:snapToGrid w:val="0"/>
        <w:spacing w:line="360" w:lineRule="exact"/>
        <w:ind w:firstLine="210" w:firstLineChars="100"/>
        <w:jc w:val="left"/>
        <w:rPr>
          <w:rFonts w:hint="eastAsia" w:hAnsi="宋体"/>
          <w:color w:val="auto"/>
          <w:szCs w:val="21"/>
          <w:highlight w:val="none"/>
        </w:rPr>
      </w:pPr>
      <w:r>
        <w:rPr>
          <w:rFonts w:hint="eastAsia" w:hAnsi="宋体"/>
          <w:color w:val="auto"/>
          <w:szCs w:val="21"/>
          <w:highlight w:val="none"/>
        </w:rPr>
        <w:t>（19）投标人情况介绍</w:t>
      </w:r>
      <w:r>
        <w:rPr>
          <w:rFonts w:hint="eastAsia" w:ascii="宋体" w:hAnsi="宋体"/>
          <w:color w:val="auto"/>
          <w:szCs w:val="21"/>
          <w:highlight w:val="none"/>
        </w:rPr>
        <w:t>（主要产品、技术力量、生产规模、经营业绩等，格式自拟）</w:t>
      </w:r>
      <w:r>
        <w:rPr>
          <w:rFonts w:hint="eastAsia" w:hAnsi="宋体"/>
          <w:color w:val="auto"/>
          <w:szCs w:val="21"/>
          <w:highlight w:val="none"/>
        </w:rPr>
        <w:t>。</w:t>
      </w:r>
    </w:p>
    <w:p>
      <w:pPr>
        <w:snapToGrid w:val="0"/>
        <w:spacing w:line="360" w:lineRule="exact"/>
        <w:ind w:firstLine="516" w:firstLineChars="246"/>
        <w:jc w:val="left"/>
        <w:rPr>
          <w:rFonts w:hint="eastAsia" w:ascii="宋体" w:hAnsi="宋体"/>
          <w:color w:val="auto"/>
          <w:szCs w:val="21"/>
          <w:highlight w:val="none"/>
        </w:rPr>
      </w:pPr>
    </w:p>
    <w:p>
      <w:pPr>
        <w:snapToGrid w:val="0"/>
        <w:spacing w:line="360" w:lineRule="exact"/>
        <w:ind w:firstLine="516" w:firstLineChars="246"/>
        <w:jc w:val="left"/>
        <w:rPr>
          <w:rFonts w:hint="eastAsia" w:ascii="宋体" w:hAnsi="宋体"/>
          <w:color w:val="auto"/>
          <w:szCs w:val="21"/>
          <w:highlight w:val="none"/>
        </w:rPr>
      </w:pPr>
    </w:p>
    <w:p>
      <w:pPr>
        <w:snapToGrid w:val="0"/>
        <w:spacing w:line="360" w:lineRule="exact"/>
        <w:ind w:firstLine="516" w:firstLineChars="246"/>
        <w:jc w:val="left"/>
        <w:rPr>
          <w:rFonts w:hint="eastAsia" w:ascii="宋体" w:hAnsi="宋体"/>
          <w:color w:val="auto"/>
          <w:szCs w:val="21"/>
          <w:highlight w:val="none"/>
        </w:rPr>
      </w:pPr>
    </w:p>
    <w:p>
      <w:pPr>
        <w:rPr>
          <w:rFonts w:hint="eastAsia" w:ascii="宋体" w:hAnsi="宋体"/>
          <w:b/>
          <w:color w:val="auto"/>
          <w:szCs w:val="21"/>
          <w:highlight w:val="none"/>
        </w:rPr>
      </w:pPr>
      <w:r>
        <w:rPr>
          <w:rFonts w:hint="eastAsia" w:ascii="宋体" w:hAnsi="宋体"/>
          <w:b/>
          <w:color w:val="auto"/>
          <w:szCs w:val="21"/>
          <w:highlight w:val="none"/>
        </w:rPr>
        <w:br w:type="page"/>
      </w:r>
    </w:p>
    <w:p>
      <w:pPr>
        <w:snapToGrid w:val="0"/>
        <w:spacing w:line="360" w:lineRule="exact"/>
        <w:ind w:firstLine="518" w:firstLineChars="246"/>
        <w:jc w:val="left"/>
        <w:rPr>
          <w:rFonts w:hint="eastAsia" w:ascii="宋体" w:hAnsi="宋体"/>
          <w:b/>
          <w:color w:val="auto"/>
          <w:szCs w:val="21"/>
          <w:highlight w:val="none"/>
        </w:rPr>
      </w:pPr>
      <w:r>
        <w:rPr>
          <w:rFonts w:hint="eastAsia" w:ascii="宋体" w:hAnsi="宋体"/>
          <w:b/>
          <w:color w:val="auto"/>
          <w:szCs w:val="21"/>
          <w:highlight w:val="none"/>
        </w:rPr>
        <w:t>三）、技术文件部分（格式）</w:t>
      </w:r>
    </w:p>
    <w:p>
      <w:pPr>
        <w:snapToGrid w:val="0"/>
        <w:spacing w:before="50" w:after="156" w:afterLines="50" w:line="360" w:lineRule="exact"/>
        <w:jc w:val="left"/>
        <w:rPr>
          <w:rFonts w:hint="eastAsia" w:ascii="宋体" w:hAnsi="宋体"/>
          <w:color w:val="auto"/>
          <w:szCs w:val="21"/>
          <w:highlight w:val="none"/>
        </w:rPr>
      </w:pPr>
      <w:r>
        <w:rPr>
          <w:rFonts w:hint="eastAsia" w:ascii="宋体" w:hAnsi="宋体"/>
          <w:bCs/>
          <w:color w:val="auto"/>
          <w:szCs w:val="21"/>
          <w:highlight w:val="none"/>
        </w:rPr>
        <w:t>（1）</w:t>
      </w:r>
      <w:r>
        <w:rPr>
          <w:rFonts w:hint="eastAsia" w:ascii="宋体" w:hAnsi="宋体"/>
          <w:color w:val="auto"/>
          <w:szCs w:val="21"/>
          <w:highlight w:val="none"/>
        </w:rPr>
        <w:t>对本项目系统总体要求的理解（包括：功能说明、性能指标、设备选型说明以及质量、性能、价格、外观、体积等方面进行比较和选择的理由和过程，格式自拟）</w:t>
      </w:r>
    </w:p>
    <w:p>
      <w:pPr>
        <w:snapToGrid w:val="0"/>
        <w:spacing w:before="50" w:after="156" w:afterLines="50" w:line="360" w:lineRule="exact"/>
        <w:jc w:val="left"/>
        <w:rPr>
          <w:rFonts w:hint="eastAsia" w:ascii="宋体" w:hAnsi="宋体"/>
          <w:b/>
          <w:color w:val="auto"/>
          <w:szCs w:val="21"/>
          <w:highlight w:val="none"/>
        </w:rPr>
      </w:pPr>
      <w:r>
        <w:rPr>
          <w:rFonts w:hint="eastAsia" w:ascii="宋体" w:hAnsi="宋体"/>
          <w:bCs/>
          <w:color w:val="auto"/>
          <w:szCs w:val="21"/>
          <w:highlight w:val="none"/>
        </w:rPr>
        <w:t>（2）</w:t>
      </w:r>
      <w:r>
        <w:rPr>
          <w:rFonts w:hint="eastAsia" w:ascii="宋体" w:hAnsi="宋体"/>
          <w:color w:val="auto"/>
          <w:szCs w:val="21"/>
          <w:highlight w:val="none"/>
        </w:rPr>
        <w:t>技术响应表格式：</w:t>
      </w:r>
      <w:r>
        <w:rPr>
          <w:rFonts w:hint="eastAsia" w:ascii="宋体" w:hAnsi="宋体"/>
          <w:b/>
          <w:color w:val="auto"/>
          <w:szCs w:val="21"/>
          <w:highlight w:val="none"/>
        </w:rPr>
        <w:t xml:space="preserve"> </w:t>
      </w:r>
    </w:p>
    <w:tbl>
      <w:tblPr>
        <w:tblStyle w:val="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1"/>
        <w:gridCol w:w="3600"/>
        <w:gridCol w:w="3600"/>
        <w:gridCol w:w="15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jc w:val="center"/>
        </w:trPr>
        <w:tc>
          <w:tcPr>
            <w:tcW w:w="801" w:type="dxa"/>
            <w:tcBorders>
              <w:top w:val="single" w:color="auto" w:sz="4" w:space="0"/>
              <w:left w:val="single" w:color="auto" w:sz="4" w:space="0"/>
              <w:bottom w:val="single" w:color="auto" w:sz="4" w:space="0"/>
              <w:right w:val="single" w:color="auto" w:sz="4" w:space="0"/>
            </w:tcBorders>
            <w:vAlign w:val="center"/>
          </w:tcPr>
          <w:p>
            <w:pPr>
              <w:pStyle w:val="29"/>
              <w:spacing w:line="400" w:lineRule="exact"/>
              <w:jc w:val="center"/>
              <w:rPr>
                <w:rFonts w:hint="eastAsia" w:hAnsi="宋体"/>
                <w:color w:val="auto"/>
                <w:highlight w:val="none"/>
              </w:rPr>
            </w:pPr>
            <w:r>
              <w:rPr>
                <w:rFonts w:hint="eastAsia" w:hAnsi="宋体"/>
                <w:color w:val="auto"/>
                <w:highlight w:val="none"/>
              </w:rPr>
              <w:t>项号</w:t>
            </w:r>
          </w:p>
        </w:tc>
        <w:tc>
          <w:tcPr>
            <w:tcW w:w="3600" w:type="dxa"/>
            <w:tcBorders>
              <w:top w:val="single" w:color="auto" w:sz="4" w:space="0"/>
              <w:left w:val="single" w:color="auto" w:sz="4" w:space="0"/>
              <w:bottom w:val="single" w:color="auto" w:sz="4" w:space="0"/>
              <w:right w:val="single" w:color="auto" w:sz="4" w:space="0"/>
            </w:tcBorders>
            <w:vAlign w:val="center"/>
          </w:tcPr>
          <w:p>
            <w:pPr>
              <w:pStyle w:val="29"/>
              <w:spacing w:line="400" w:lineRule="exact"/>
              <w:jc w:val="center"/>
              <w:rPr>
                <w:rFonts w:ascii="Times New Roman" w:hAnsi="Times New Roman"/>
                <w:color w:val="auto"/>
                <w:highlight w:val="none"/>
              </w:rPr>
            </w:pPr>
            <w:r>
              <w:rPr>
                <w:rFonts w:hint="eastAsia" w:ascii="Times New Roman" w:hAnsi="Times New Roman"/>
                <w:color w:val="auto"/>
                <w:highlight w:val="none"/>
              </w:rPr>
              <w:t>招标要求</w:t>
            </w:r>
          </w:p>
        </w:tc>
        <w:tc>
          <w:tcPr>
            <w:tcW w:w="3600" w:type="dxa"/>
            <w:tcBorders>
              <w:top w:val="single" w:color="auto" w:sz="4" w:space="0"/>
              <w:left w:val="single" w:color="auto" w:sz="4" w:space="0"/>
              <w:bottom w:val="single" w:color="auto" w:sz="4" w:space="0"/>
              <w:right w:val="single" w:color="auto" w:sz="4" w:space="0"/>
            </w:tcBorders>
            <w:vAlign w:val="center"/>
          </w:tcPr>
          <w:p>
            <w:pPr>
              <w:pStyle w:val="29"/>
              <w:spacing w:line="400" w:lineRule="exact"/>
              <w:jc w:val="center"/>
              <w:rPr>
                <w:rFonts w:ascii="Times New Roman" w:hAnsi="Times New Roman"/>
                <w:color w:val="auto"/>
                <w:highlight w:val="none"/>
              </w:rPr>
            </w:pPr>
            <w:r>
              <w:rPr>
                <w:rFonts w:hint="eastAsia" w:ascii="Times New Roman" w:hAnsi="Times New Roman"/>
                <w:color w:val="auto"/>
                <w:highlight w:val="none"/>
              </w:rPr>
              <w:t>应标情况</w:t>
            </w:r>
          </w:p>
        </w:tc>
        <w:tc>
          <w:tcPr>
            <w:tcW w:w="1573" w:type="dxa"/>
            <w:tcBorders>
              <w:top w:val="single" w:color="auto" w:sz="4" w:space="0"/>
              <w:left w:val="single" w:color="auto" w:sz="4" w:space="0"/>
              <w:bottom w:val="single" w:color="auto" w:sz="4" w:space="0"/>
              <w:right w:val="single" w:color="auto" w:sz="4" w:space="0"/>
            </w:tcBorders>
            <w:vAlign w:val="center"/>
          </w:tcPr>
          <w:p>
            <w:pPr>
              <w:pStyle w:val="29"/>
              <w:spacing w:line="400" w:lineRule="exact"/>
              <w:jc w:val="center"/>
              <w:rPr>
                <w:rFonts w:ascii="Times New Roman" w:hAnsi="Times New Roman"/>
                <w:color w:val="auto"/>
                <w:highlight w:val="none"/>
              </w:rPr>
            </w:pPr>
            <w:r>
              <w:rPr>
                <w:rFonts w:hint="eastAsia" w:ascii="Times New Roman" w:hAnsi="Times New Roman"/>
                <w:color w:val="auto"/>
                <w:highlight w:val="none"/>
              </w:rPr>
              <w:t>偏离说明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1" w:type="dxa"/>
            <w:tcBorders>
              <w:top w:val="single" w:color="auto" w:sz="4" w:space="0"/>
              <w:left w:val="single" w:color="auto" w:sz="4" w:space="0"/>
              <w:bottom w:val="single" w:color="auto" w:sz="4" w:space="0"/>
              <w:right w:val="single" w:color="auto" w:sz="4" w:space="0"/>
            </w:tcBorders>
          </w:tcPr>
          <w:p>
            <w:pPr>
              <w:pStyle w:val="29"/>
              <w:spacing w:line="600" w:lineRule="exact"/>
              <w:ind w:left="5250"/>
              <w:jc w:val="center"/>
              <w:rPr>
                <w:rFonts w:ascii="Times New Roman" w:hAnsi="Times New Roman"/>
                <w:color w:val="auto"/>
                <w:highlight w:val="none"/>
              </w:rPr>
            </w:pPr>
          </w:p>
        </w:tc>
        <w:tc>
          <w:tcPr>
            <w:tcW w:w="3600" w:type="dxa"/>
            <w:tcBorders>
              <w:top w:val="single" w:color="auto" w:sz="4" w:space="0"/>
              <w:left w:val="single" w:color="auto" w:sz="4" w:space="0"/>
              <w:bottom w:val="single" w:color="auto" w:sz="4" w:space="0"/>
              <w:right w:val="single" w:color="auto" w:sz="4" w:space="0"/>
            </w:tcBorders>
            <w:vAlign w:val="center"/>
          </w:tcPr>
          <w:p>
            <w:pPr>
              <w:pStyle w:val="29"/>
              <w:spacing w:line="600" w:lineRule="exact"/>
              <w:ind w:left="5250"/>
              <w:jc w:val="center"/>
              <w:rPr>
                <w:rFonts w:ascii="Times New Roman" w:hAnsi="Times New Roman"/>
                <w:color w:val="auto"/>
                <w:highlight w:val="none"/>
              </w:rPr>
            </w:pPr>
          </w:p>
        </w:tc>
        <w:tc>
          <w:tcPr>
            <w:tcW w:w="3600" w:type="dxa"/>
            <w:tcBorders>
              <w:top w:val="single" w:color="auto" w:sz="4" w:space="0"/>
              <w:left w:val="single" w:color="auto" w:sz="4" w:space="0"/>
              <w:bottom w:val="single" w:color="auto" w:sz="4" w:space="0"/>
              <w:right w:val="single" w:color="auto" w:sz="4" w:space="0"/>
            </w:tcBorders>
            <w:vAlign w:val="center"/>
          </w:tcPr>
          <w:p>
            <w:pPr>
              <w:pStyle w:val="29"/>
              <w:spacing w:line="600" w:lineRule="exact"/>
              <w:ind w:left="5250"/>
              <w:jc w:val="center"/>
              <w:rPr>
                <w:rFonts w:ascii="Times New Roman" w:hAnsi="Times New Roman"/>
                <w:color w:val="auto"/>
                <w:highlight w:val="none"/>
              </w:rPr>
            </w:pPr>
          </w:p>
        </w:tc>
        <w:tc>
          <w:tcPr>
            <w:tcW w:w="1573" w:type="dxa"/>
            <w:tcBorders>
              <w:top w:val="single" w:color="auto" w:sz="4" w:space="0"/>
              <w:left w:val="single" w:color="auto" w:sz="4" w:space="0"/>
              <w:bottom w:val="single" w:color="auto" w:sz="4" w:space="0"/>
              <w:right w:val="single" w:color="auto" w:sz="4" w:space="0"/>
            </w:tcBorders>
            <w:vAlign w:val="center"/>
          </w:tcPr>
          <w:p>
            <w:pPr>
              <w:pStyle w:val="29"/>
              <w:spacing w:line="600" w:lineRule="exact"/>
              <w:ind w:left="5250"/>
              <w:jc w:val="center"/>
              <w:rPr>
                <w:rFonts w:ascii="Times New Roman" w:hAnsi="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1" w:type="dxa"/>
            <w:tcBorders>
              <w:top w:val="single" w:color="auto" w:sz="4" w:space="0"/>
              <w:left w:val="single" w:color="auto" w:sz="4" w:space="0"/>
              <w:bottom w:val="single" w:color="auto" w:sz="4" w:space="0"/>
              <w:right w:val="single" w:color="auto" w:sz="4" w:space="0"/>
            </w:tcBorders>
          </w:tcPr>
          <w:p>
            <w:pPr>
              <w:pStyle w:val="29"/>
              <w:spacing w:line="600" w:lineRule="exact"/>
              <w:ind w:left="5250"/>
              <w:rPr>
                <w:rFonts w:ascii="Times New Roman" w:hAnsi="Times New Roman"/>
                <w:color w:val="auto"/>
                <w:highlight w:val="none"/>
              </w:rPr>
            </w:pPr>
          </w:p>
        </w:tc>
        <w:tc>
          <w:tcPr>
            <w:tcW w:w="3600" w:type="dxa"/>
            <w:tcBorders>
              <w:top w:val="single" w:color="auto" w:sz="4" w:space="0"/>
              <w:left w:val="single" w:color="auto" w:sz="4" w:space="0"/>
              <w:bottom w:val="single" w:color="auto" w:sz="4" w:space="0"/>
              <w:right w:val="single" w:color="auto" w:sz="4" w:space="0"/>
            </w:tcBorders>
          </w:tcPr>
          <w:p>
            <w:pPr>
              <w:pStyle w:val="29"/>
              <w:spacing w:line="600" w:lineRule="exact"/>
              <w:ind w:left="5250"/>
              <w:rPr>
                <w:rFonts w:ascii="Times New Roman" w:hAnsi="Times New Roman"/>
                <w:color w:val="auto"/>
                <w:highlight w:val="none"/>
              </w:rPr>
            </w:pPr>
          </w:p>
        </w:tc>
        <w:tc>
          <w:tcPr>
            <w:tcW w:w="3600" w:type="dxa"/>
            <w:tcBorders>
              <w:top w:val="single" w:color="auto" w:sz="4" w:space="0"/>
              <w:left w:val="single" w:color="auto" w:sz="4" w:space="0"/>
              <w:bottom w:val="single" w:color="auto" w:sz="4" w:space="0"/>
              <w:right w:val="single" w:color="auto" w:sz="4" w:space="0"/>
            </w:tcBorders>
          </w:tcPr>
          <w:p>
            <w:pPr>
              <w:pStyle w:val="29"/>
              <w:spacing w:line="600" w:lineRule="exact"/>
              <w:ind w:left="5250"/>
              <w:rPr>
                <w:rFonts w:ascii="Times New Roman" w:hAnsi="Times New Roman"/>
                <w:color w:val="auto"/>
                <w:highlight w:val="none"/>
              </w:rPr>
            </w:pPr>
          </w:p>
        </w:tc>
        <w:tc>
          <w:tcPr>
            <w:tcW w:w="1573" w:type="dxa"/>
            <w:tcBorders>
              <w:top w:val="single" w:color="auto" w:sz="4" w:space="0"/>
              <w:left w:val="single" w:color="auto" w:sz="4" w:space="0"/>
              <w:bottom w:val="single" w:color="auto" w:sz="4" w:space="0"/>
              <w:right w:val="single" w:color="auto" w:sz="4" w:space="0"/>
            </w:tcBorders>
          </w:tcPr>
          <w:p>
            <w:pPr>
              <w:pStyle w:val="29"/>
              <w:spacing w:line="600" w:lineRule="exact"/>
              <w:ind w:left="5250"/>
              <w:rPr>
                <w:rFonts w:ascii="Times New Roman" w:hAnsi="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1" w:type="dxa"/>
            <w:tcBorders>
              <w:top w:val="single" w:color="auto" w:sz="4" w:space="0"/>
              <w:left w:val="single" w:color="auto" w:sz="4" w:space="0"/>
              <w:bottom w:val="single" w:color="auto" w:sz="4" w:space="0"/>
              <w:right w:val="single" w:color="auto" w:sz="4" w:space="0"/>
            </w:tcBorders>
          </w:tcPr>
          <w:p>
            <w:pPr>
              <w:pStyle w:val="29"/>
              <w:spacing w:line="600" w:lineRule="exact"/>
              <w:ind w:left="5250"/>
              <w:rPr>
                <w:rFonts w:ascii="Times New Roman" w:hAnsi="Times New Roman"/>
                <w:color w:val="auto"/>
                <w:highlight w:val="none"/>
              </w:rPr>
            </w:pPr>
          </w:p>
        </w:tc>
        <w:tc>
          <w:tcPr>
            <w:tcW w:w="3600" w:type="dxa"/>
            <w:tcBorders>
              <w:top w:val="single" w:color="auto" w:sz="4" w:space="0"/>
              <w:left w:val="single" w:color="auto" w:sz="4" w:space="0"/>
              <w:bottom w:val="single" w:color="auto" w:sz="4" w:space="0"/>
              <w:right w:val="single" w:color="auto" w:sz="4" w:space="0"/>
            </w:tcBorders>
          </w:tcPr>
          <w:p>
            <w:pPr>
              <w:pStyle w:val="29"/>
              <w:spacing w:line="600" w:lineRule="exact"/>
              <w:ind w:left="5250"/>
              <w:rPr>
                <w:rFonts w:ascii="Times New Roman" w:hAnsi="Times New Roman"/>
                <w:color w:val="auto"/>
                <w:highlight w:val="none"/>
              </w:rPr>
            </w:pPr>
          </w:p>
        </w:tc>
        <w:tc>
          <w:tcPr>
            <w:tcW w:w="3600" w:type="dxa"/>
            <w:tcBorders>
              <w:top w:val="single" w:color="auto" w:sz="4" w:space="0"/>
              <w:left w:val="single" w:color="auto" w:sz="4" w:space="0"/>
              <w:bottom w:val="single" w:color="auto" w:sz="4" w:space="0"/>
              <w:right w:val="single" w:color="auto" w:sz="4" w:space="0"/>
            </w:tcBorders>
          </w:tcPr>
          <w:p>
            <w:pPr>
              <w:pStyle w:val="29"/>
              <w:spacing w:line="600" w:lineRule="exact"/>
              <w:ind w:left="5250"/>
              <w:rPr>
                <w:rFonts w:ascii="Times New Roman" w:hAnsi="Times New Roman"/>
                <w:color w:val="auto"/>
                <w:highlight w:val="none"/>
              </w:rPr>
            </w:pPr>
          </w:p>
        </w:tc>
        <w:tc>
          <w:tcPr>
            <w:tcW w:w="1573" w:type="dxa"/>
            <w:tcBorders>
              <w:top w:val="single" w:color="auto" w:sz="4" w:space="0"/>
              <w:left w:val="single" w:color="auto" w:sz="4" w:space="0"/>
              <w:bottom w:val="single" w:color="auto" w:sz="4" w:space="0"/>
              <w:right w:val="single" w:color="auto" w:sz="4" w:space="0"/>
            </w:tcBorders>
          </w:tcPr>
          <w:p>
            <w:pPr>
              <w:pStyle w:val="29"/>
              <w:spacing w:line="600" w:lineRule="exact"/>
              <w:ind w:left="5250"/>
              <w:rPr>
                <w:rFonts w:ascii="Times New Roman" w:hAnsi="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1" w:type="dxa"/>
            <w:tcBorders>
              <w:top w:val="single" w:color="auto" w:sz="4" w:space="0"/>
              <w:left w:val="single" w:color="auto" w:sz="4" w:space="0"/>
              <w:bottom w:val="single" w:color="auto" w:sz="4" w:space="0"/>
              <w:right w:val="single" w:color="auto" w:sz="4" w:space="0"/>
            </w:tcBorders>
          </w:tcPr>
          <w:p>
            <w:pPr>
              <w:pStyle w:val="29"/>
              <w:spacing w:line="600" w:lineRule="exact"/>
              <w:ind w:left="5250"/>
              <w:rPr>
                <w:rFonts w:ascii="Times New Roman" w:hAnsi="Times New Roman"/>
                <w:color w:val="auto"/>
                <w:highlight w:val="none"/>
              </w:rPr>
            </w:pPr>
          </w:p>
        </w:tc>
        <w:tc>
          <w:tcPr>
            <w:tcW w:w="3600" w:type="dxa"/>
            <w:tcBorders>
              <w:top w:val="single" w:color="auto" w:sz="4" w:space="0"/>
              <w:left w:val="single" w:color="auto" w:sz="4" w:space="0"/>
              <w:bottom w:val="single" w:color="auto" w:sz="4" w:space="0"/>
              <w:right w:val="single" w:color="auto" w:sz="4" w:space="0"/>
            </w:tcBorders>
          </w:tcPr>
          <w:p>
            <w:pPr>
              <w:pStyle w:val="29"/>
              <w:spacing w:line="600" w:lineRule="exact"/>
              <w:ind w:left="5250"/>
              <w:rPr>
                <w:rFonts w:ascii="Times New Roman" w:hAnsi="Times New Roman"/>
                <w:color w:val="auto"/>
                <w:highlight w:val="none"/>
              </w:rPr>
            </w:pPr>
          </w:p>
        </w:tc>
        <w:tc>
          <w:tcPr>
            <w:tcW w:w="3600" w:type="dxa"/>
            <w:tcBorders>
              <w:top w:val="single" w:color="auto" w:sz="4" w:space="0"/>
              <w:left w:val="single" w:color="auto" w:sz="4" w:space="0"/>
              <w:bottom w:val="single" w:color="auto" w:sz="4" w:space="0"/>
              <w:right w:val="single" w:color="auto" w:sz="4" w:space="0"/>
            </w:tcBorders>
          </w:tcPr>
          <w:p>
            <w:pPr>
              <w:pStyle w:val="29"/>
              <w:spacing w:line="600" w:lineRule="exact"/>
              <w:ind w:left="5250"/>
              <w:rPr>
                <w:rFonts w:ascii="Times New Roman" w:hAnsi="Times New Roman"/>
                <w:color w:val="auto"/>
                <w:highlight w:val="none"/>
              </w:rPr>
            </w:pPr>
          </w:p>
        </w:tc>
        <w:tc>
          <w:tcPr>
            <w:tcW w:w="1573" w:type="dxa"/>
            <w:tcBorders>
              <w:top w:val="single" w:color="auto" w:sz="4" w:space="0"/>
              <w:left w:val="single" w:color="auto" w:sz="4" w:space="0"/>
              <w:bottom w:val="single" w:color="auto" w:sz="4" w:space="0"/>
              <w:right w:val="single" w:color="auto" w:sz="4" w:space="0"/>
            </w:tcBorders>
          </w:tcPr>
          <w:p>
            <w:pPr>
              <w:pStyle w:val="29"/>
              <w:spacing w:line="600" w:lineRule="exact"/>
              <w:ind w:left="5250"/>
              <w:rPr>
                <w:rFonts w:ascii="Times New Roman" w:hAnsi="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1" w:type="dxa"/>
            <w:tcBorders>
              <w:top w:val="single" w:color="auto" w:sz="4" w:space="0"/>
              <w:left w:val="single" w:color="auto" w:sz="4" w:space="0"/>
              <w:bottom w:val="single" w:color="auto" w:sz="4" w:space="0"/>
              <w:right w:val="single" w:color="auto" w:sz="4" w:space="0"/>
            </w:tcBorders>
          </w:tcPr>
          <w:p>
            <w:pPr>
              <w:pStyle w:val="29"/>
              <w:spacing w:line="600" w:lineRule="exact"/>
              <w:ind w:left="5250"/>
              <w:rPr>
                <w:rFonts w:ascii="Times New Roman" w:hAnsi="Times New Roman"/>
                <w:color w:val="auto"/>
                <w:highlight w:val="none"/>
              </w:rPr>
            </w:pPr>
          </w:p>
        </w:tc>
        <w:tc>
          <w:tcPr>
            <w:tcW w:w="3600" w:type="dxa"/>
            <w:tcBorders>
              <w:top w:val="single" w:color="auto" w:sz="4" w:space="0"/>
              <w:left w:val="single" w:color="auto" w:sz="4" w:space="0"/>
              <w:bottom w:val="single" w:color="auto" w:sz="4" w:space="0"/>
              <w:right w:val="single" w:color="auto" w:sz="4" w:space="0"/>
            </w:tcBorders>
          </w:tcPr>
          <w:p>
            <w:pPr>
              <w:pStyle w:val="29"/>
              <w:spacing w:line="600" w:lineRule="exact"/>
              <w:ind w:left="5250"/>
              <w:rPr>
                <w:rFonts w:ascii="Times New Roman" w:hAnsi="Times New Roman"/>
                <w:color w:val="auto"/>
                <w:highlight w:val="none"/>
              </w:rPr>
            </w:pPr>
          </w:p>
        </w:tc>
        <w:tc>
          <w:tcPr>
            <w:tcW w:w="3600" w:type="dxa"/>
            <w:tcBorders>
              <w:top w:val="single" w:color="auto" w:sz="4" w:space="0"/>
              <w:left w:val="single" w:color="auto" w:sz="4" w:space="0"/>
              <w:bottom w:val="single" w:color="auto" w:sz="4" w:space="0"/>
              <w:right w:val="single" w:color="auto" w:sz="4" w:space="0"/>
            </w:tcBorders>
          </w:tcPr>
          <w:p>
            <w:pPr>
              <w:pStyle w:val="29"/>
              <w:spacing w:line="600" w:lineRule="exact"/>
              <w:ind w:left="5250"/>
              <w:rPr>
                <w:rFonts w:ascii="Times New Roman" w:hAnsi="Times New Roman"/>
                <w:color w:val="auto"/>
                <w:highlight w:val="none"/>
              </w:rPr>
            </w:pPr>
          </w:p>
        </w:tc>
        <w:tc>
          <w:tcPr>
            <w:tcW w:w="1573" w:type="dxa"/>
            <w:tcBorders>
              <w:top w:val="single" w:color="auto" w:sz="4" w:space="0"/>
              <w:left w:val="single" w:color="auto" w:sz="4" w:space="0"/>
              <w:bottom w:val="single" w:color="auto" w:sz="4" w:space="0"/>
              <w:right w:val="single" w:color="auto" w:sz="4" w:space="0"/>
            </w:tcBorders>
          </w:tcPr>
          <w:p>
            <w:pPr>
              <w:pStyle w:val="29"/>
              <w:spacing w:line="600" w:lineRule="exact"/>
              <w:ind w:left="5250"/>
              <w:rPr>
                <w:rFonts w:ascii="Times New Roman" w:hAnsi="Times New Roman"/>
                <w:color w:val="auto"/>
                <w:highlight w:val="none"/>
              </w:rPr>
            </w:pPr>
          </w:p>
        </w:tc>
      </w:tr>
    </w:tbl>
    <w:p>
      <w:pPr>
        <w:snapToGrid w:val="0"/>
        <w:spacing w:before="50" w:after="156" w:afterLines="50" w:line="360" w:lineRule="exact"/>
        <w:jc w:val="left"/>
        <w:rPr>
          <w:rFonts w:hint="eastAsia" w:ascii="宋体" w:hAnsi="宋体"/>
          <w:color w:val="auto"/>
          <w:szCs w:val="21"/>
          <w:highlight w:val="none"/>
          <w:u w:val="single"/>
        </w:rPr>
      </w:pPr>
    </w:p>
    <w:p>
      <w:pPr>
        <w:pStyle w:val="20"/>
        <w:spacing w:line="360" w:lineRule="exact"/>
        <w:ind w:firstLine="421" w:firstLineChars="200"/>
        <w:rPr>
          <w:rFonts w:hint="eastAsia" w:ascii="宋体" w:hAnsi="宋体"/>
          <w:color w:val="auto"/>
          <w:sz w:val="21"/>
          <w:szCs w:val="21"/>
          <w:highlight w:val="none"/>
        </w:rPr>
      </w:pPr>
      <w:r>
        <w:rPr>
          <w:rFonts w:hint="eastAsia" w:ascii="宋体" w:hAnsi="宋体"/>
          <w:color w:val="auto"/>
          <w:sz w:val="21"/>
          <w:szCs w:val="21"/>
          <w:highlight w:val="none"/>
        </w:rPr>
        <w:t>注：投标人应根据投标设备的性能指标、对照招标文件要求在技术响应表中详细列明招标要求及投标设备技术规格的响应情况，并填写“</w:t>
      </w:r>
      <w:r>
        <w:rPr>
          <w:rFonts w:hint="eastAsia"/>
          <w:color w:val="auto"/>
          <w:highlight w:val="none"/>
        </w:rPr>
        <w:t>偏离说明”。</w:t>
      </w:r>
      <w:r>
        <w:rPr>
          <w:rFonts w:hint="eastAsia" w:ascii="宋体" w:hAnsi="宋体"/>
          <w:color w:val="auto"/>
          <w:sz w:val="21"/>
          <w:szCs w:val="21"/>
          <w:highlight w:val="none"/>
        </w:rPr>
        <w:t>“偏离</w:t>
      </w:r>
      <w:r>
        <w:rPr>
          <w:rFonts w:hint="eastAsia"/>
          <w:color w:val="auto"/>
          <w:highlight w:val="none"/>
        </w:rPr>
        <w:t>说明</w:t>
      </w:r>
      <w:r>
        <w:rPr>
          <w:rFonts w:hint="eastAsia" w:ascii="宋体" w:hAnsi="宋体"/>
          <w:color w:val="auto"/>
          <w:sz w:val="21"/>
          <w:szCs w:val="21"/>
          <w:highlight w:val="none"/>
        </w:rPr>
        <w:t>”栏注明“正偏离”、“负偏离”或“无偏离”。投标技术规格与招标要求相同的为无偏离，投标技术规格高于招标要求的为正偏离，低于招标要求的为负偏离。</w:t>
      </w:r>
    </w:p>
    <w:p>
      <w:pPr>
        <w:snapToGrid w:val="0"/>
        <w:spacing w:before="50" w:after="50" w:line="360" w:lineRule="exact"/>
        <w:rPr>
          <w:rFonts w:hint="eastAsia" w:ascii="宋体" w:hAnsi="宋体"/>
          <w:color w:val="auto"/>
          <w:spacing w:val="20"/>
          <w:szCs w:val="21"/>
          <w:highlight w:val="none"/>
        </w:rPr>
      </w:pPr>
    </w:p>
    <w:p>
      <w:pPr>
        <w:snapToGrid w:val="0"/>
        <w:spacing w:before="50" w:after="50" w:line="360" w:lineRule="exact"/>
        <w:rPr>
          <w:rFonts w:hint="eastAsia" w:ascii="宋体" w:hAnsi="宋体"/>
          <w:color w:val="auto"/>
          <w:spacing w:val="20"/>
          <w:szCs w:val="21"/>
          <w:highlight w:val="none"/>
          <w:u w:val="single"/>
        </w:rPr>
      </w:pPr>
      <w:r>
        <w:rPr>
          <w:rFonts w:hint="eastAsia" w:ascii="宋体" w:hAnsi="宋体"/>
          <w:color w:val="auto"/>
          <w:szCs w:val="21"/>
          <w:highlight w:val="none"/>
        </w:rPr>
        <w:t>法定代表人或委托代理人签字或签章</w:t>
      </w:r>
      <w:r>
        <w:rPr>
          <w:rFonts w:hint="eastAsia" w:ascii="宋体" w:hAnsi="宋体"/>
          <w:color w:val="auto"/>
          <w:spacing w:val="20"/>
          <w:szCs w:val="21"/>
          <w:highlight w:val="none"/>
        </w:rPr>
        <w:t>：</w:t>
      </w:r>
      <w:r>
        <w:rPr>
          <w:rFonts w:hint="eastAsia" w:ascii="宋体" w:hAnsi="宋体"/>
          <w:color w:val="auto"/>
          <w:spacing w:val="20"/>
          <w:szCs w:val="21"/>
          <w:highlight w:val="none"/>
          <w:u w:val="single"/>
        </w:rPr>
        <w:t xml:space="preserve">        </w:t>
      </w:r>
    </w:p>
    <w:p>
      <w:pPr>
        <w:snapToGrid w:val="0"/>
        <w:spacing w:before="50" w:after="50" w:line="360" w:lineRule="exact"/>
        <w:rPr>
          <w:rFonts w:hint="eastAsia" w:ascii="宋体" w:hAnsi="宋体"/>
          <w:color w:val="auto"/>
          <w:spacing w:val="20"/>
          <w:szCs w:val="21"/>
          <w:highlight w:val="none"/>
          <w:u w:val="single"/>
        </w:rPr>
      </w:pPr>
      <w:r>
        <w:rPr>
          <w:rFonts w:hint="eastAsia" w:ascii="宋体" w:hAnsi="宋体"/>
          <w:color w:val="auto"/>
          <w:spacing w:val="20"/>
          <w:szCs w:val="21"/>
          <w:highlight w:val="none"/>
        </w:rPr>
        <w:t>投标人盖章：</w:t>
      </w:r>
      <w:r>
        <w:rPr>
          <w:rFonts w:hint="eastAsia" w:ascii="宋体" w:hAnsi="宋体"/>
          <w:color w:val="auto"/>
          <w:spacing w:val="20"/>
          <w:szCs w:val="21"/>
          <w:highlight w:val="none"/>
          <w:u w:val="single"/>
        </w:rPr>
        <w:t xml:space="preserve">            </w:t>
      </w:r>
      <w:r>
        <w:rPr>
          <w:rFonts w:hint="eastAsia" w:ascii="宋体" w:hAnsi="宋体"/>
          <w:color w:val="auto"/>
          <w:spacing w:val="20"/>
          <w:szCs w:val="21"/>
          <w:highlight w:val="none"/>
        </w:rPr>
        <w:t xml:space="preserve">              日 期：</w:t>
      </w:r>
      <w:r>
        <w:rPr>
          <w:rFonts w:hint="eastAsia" w:ascii="宋体" w:hAnsi="宋体"/>
          <w:color w:val="auto"/>
          <w:spacing w:val="20"/>
          <w:szCs w:val="21"/>
          <w:highlight w:val="none"/>
          <w:u w:val="single"/>
        </w:rPr>
        <w:t xml:space="preserve">            </w:t>
      </w:r>
    </w:p>
    <w:p>
      <w:pPr>
        <w:pStyle w:val="29"/>
        <w:jc w:val="center"/>
        <w:rPr>
          <w:color w:val="auto"/>
          <w:highlight w:val="none"/>
        </w:rPr>
      </w:pPr>
    </w:p>
    <w:p>
      <w:pPr>
        <w:snapToGrid w:val="0"/>
        <w:spacing w:before="50" w:after="156" w:afterLines="50" w:line="360" w:lineRule="exact"/>
        <w:jc w:val="left"/>
        <w:rPr>
          <w:rFonts w:hint="eastAsia" w:ascii="宋体" w:hAnsi="宋体"/>
          <w:color w:val="auto"/>
          <w:szCs w:val="21"/>
          <w:highlight w:val="none"/>
        </w:rPr>
      </w:pPr>
      <w:r>
        <w:rPr>
          <w:rFonts w:hint="eastAsia" w:ascii="宋体" w:hAnsi="宋体"/>
          <w:b/>
          <w:color w:val="auto"/>
          <w:szCs w:val="21"/>
          <w:highlight w:val="none"/>
        </w:rPr>
        <w:t>（3）</w:t>
      </w:r>
      <w:r>
        <w:rPr>
          <w:rFonts w:hint="eastAsia" w:ascii="宋体" w:hAnsi="宋体"/>
          <w:color w:val="auto"/>
          <w:szCs w:val="21"/>
          <w:highlight w:val="none"/>
        </w:rPr>
        <w:t>设备配置清单格式：</w:t>
      </w:r>
    </w:p>
    <w:tbl>
      <w:tblPr>
        <w:tblStyle w:val="52"/>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92"/>
        <w:gridCol w:w="1443"/>
        <w:gridCol w:w="839"/>
        <w:gridCol w:w="1498"/>
        <w:gridCol w:w="1620"/>
        <w:gridCol w:w="1809"/>
        <w:gridCol w:w="912"/>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0" w:hRule="atLeast"/>
          <w:jc w:val="center"/>
        </w:trPr>
        <w:tc>
          <w:tcPr>
            <w:tcW w:w="792" w:type="dxa"/>
            <w:tcBorders>
              <w:top w:val="single" w:color="auto" w:sz="4" w:space="0"/>
              <w:left w:val="single" w:color="auto" w:sz="4" w:space="0"/>
              <w:bottom w:val="single" w:color="auto" w:sz="4" w:space="0"/>
              <w:right w:val="single" w:color="auto" w:sz="4" w:space="0"/>
            </w:tcBorders>
            <w:vAlign w:val="center"/>
          </w:tcPr>
          <w:p>
            <w:pPr>
              <w:snapToGrid w:val="0"/>
              <w:spacing w:before="50" w:after="50" w:line="360" w:lineRule="exact"/>
              <w:jc w:val="center"/>
              <w:rPr>
                <w:rFonts w:hint="eastAsia" w:ascii="宋体" w:hAnsi="宋体"/>
                <w:color w:val="auto"/>
                <w:szCs w:val="21"/>
                <w:highlight w:val="none"/>
              </w:rPr>
            </w:pPr>
            <w:r>
              <w:rPr>
                <w:rFonts w:hint="eastAsia" w:ascii="宋体" w:hAnsi="宋体"/>
                <w:color w:val="auto"/>
                <w:szCs w:val="21"/>
                <w:highlight w:val="none"/>
              </w:rPr>
              <w:t>序号</w:t>
            </w:r>
          </w:p>
        </w:tc>
        <w:tc>
          <w:tcPr>
            <w:tcW w:w="1443" w:type="dxa"/>
            <w:tcBorders>
              <w:top w:val="single" w:color="auto" w:sz="4" w:space="0"/>
              <w:left w:val="single" w:color="auto" w:sz="4" w:space="0"/>
              <w:bottom w:val="single" w:color="auto" w:sz="4" w:space="0"/>
              <w:right w:val="single" w:color="auto" w:sz="4" w:space="0"/>
            </w:tcBorders>
            <w:vAlign w:val="center"/>
          </w:tcPr>
          <w:p>
            <w:pPr>
              <w:snapToGrid w:val="0"/>
              <w:spacing w:before="50" w:after="50" w:line="360" w:lineRule="exact"/>
              <w:jc w:val="center"/>
              <w:rPr>
                <w:rFonts w:hint="eastAsia" w:ascii="宋体" w:hAnsi="宋体"/>
                <w:color w:val="auto"/>
                <w:szCs w:val="21"/>
                <w:highlight w:val="none"/>
              </w:rPr>
            </w:pPr>
            <w:r>
              <w:rPr>
                <w:rFonts w:hint="eastAsia" w:ascii="宋体" w:hAnsi="宋体"/>
                <w:color w:val="auto"/>
                <w:szCs w:val="21"/>
                <w:highlight w:val="none"/>
              </w:rPr>
              <w:t>设备名称</w:t>
            </w:r>
          </w:p>
        </w:tc>
        <w:tc>
          <w:tcPr>
            <w:tcW w:w="839" w:type="dxa"/>
            <w:tcBorders>
              <w:top w:val="single" w:color="auto" w:sz="4" w:space="0"/>
              <w:left w:val="single" w:color="auto" w:sz="4" w:space="0"/>
              <w:bottom w:val="single" w:color="auto" w:sz="4" w:space="0"/>
              <w:right w:val="single" w:color="auto" w:sz="4" w:space="0"/>
            </w:tcBorders>
            <w:vAlign w:val="center"/>
          </w:tcPr>
          <w:p>
            <w:pPr>
              <w:snapToGrid w:val="0"/>
              <w:spacing w:before="50" w:after="50" w:line="360" w:lineRule="exact"/>
              <w:jc w:val="center"/>
              <w:rPr>
                <w:rFonts w:hint="eastAsia" w:ascii="宋体" w:hAnsi="宋体"/>
                <w:color w:val="auto"/>
                <w:szCs w:val="21"/>
                <w:highlight w:val="none"/>
              </w:rPr>
            </w:pPr>
            <w:r>
              <w:rPr>
                <w:rFonts w:hint="eastAsia" w:ascii="宋体" w:hAnsi="宋体"/>
                <w:color w:val="auto"/>
                <w:szCs w:val="21"/>
                <w:highlight w:val="none"/>
              </w:rPr>
              <w:t>品牌</w:t>
            </w:r>
          </w:p>
        </w:tc>
        <w:tc>
          <w:tcPr>
            <w:tcW w:w="1498" w:type="dxa"/>
            <w:tcBorders>
              <w:top w:val="single" w:color="auto" w:sz="4" w:space="0"/>
              <w:left w:val="single" w:color="auto" w:sz="4" w:space="0"/>
              <w:bottom w:val="single" w:color="auto" w:sz="4" w:space="0"/>
              <w:right w:val="single" w:color="auto" w:sz="4" w:space="0"/>
            </w:tcBorders>
            <w:vAlign w:val="center"/>
          </w:tcPr>
          <w:p>
            <w:pPr>
              <w:snapToGrid w:val="0"/>
              <w:spacing w:before="50" w:after="50" w:line="360" w:lineRule="exact"/>
              <w:jc w:val="center"/>
              <w:rPr>
                <w:rFonts w:hint="eastAsia" w:ascii="宋体" w:hAnsi="宋体"/>
                <w:color w:val="auto"/>
                <w:szCs w:val="21"/>
                <w:highlight w:val="none"/>
              </w:rPr>
            </w:pPr>
            <w:r>
              <w:rPr>
                <w:rFonts w:hint="eastAsia" w:ascii="宋体" w:hAnsi="宋体"/>
                <w:color w:val="auto"/>
                <w:szCs w:val="21"/>
                <w:highlight w:val="none"/>
              </w:rPr>
              <w:t>规格型号</w:t>
            </w:r>
          </w:p>
        </w:tc>
        <w:tc>
          <w:tcPr>
            <w:tcW w:w="1620" w:type="dxa"/>
            <w:tcBorders>
              <w:top w:val="single" w:color="auto" w:sz="4" w:space="0"/>
              <w:left w:val="single" w:color="auto" w:sz="4" w:space="0"/>
              <w:bottom w:val="single" w:color="auto" w:sz="4" w:space="0"/>
              <w:right w:val="single" w:color="auto" w:sz="4" w:space="0"/>
            </w:tcBorders>
            <w:vAlign w:val="center"/>
          </w:tcPr>
          <w:p>
            <w:pPr>
              <w:snapToGrid w:val="0"/>
              <w:spacing w:before="50" w:after="50" w:line="360" w:lineRule="exact"/>
              <w:jc w:val="center"/>
              <w:rPr>
                <w:rFonts w:hint="eastAsia" w:ascii="宋体" w:hAnsi="宋体"/>
                <w:color w:val="auto"/>
                <w:szCs w:val="21"/>
                <w:highlight w:val="none"/>
              </w:rPr>
            </w:pPr>
            <w:r>
              <w:rPr>
                <w:rFonts w:hint="eastAsia" w:ascii="宋体" w:hAnsi="宋体"/>
                <w:color w:val="auto"/>
                <w:szCs w:val="21"/>
                <w:highlight w:val="none"/>
              </w:rPr>
              <w:t>单位及数量</w:t>
            </w:r>
          </w:p>
        </w:tc>
        <w:tc>
          <w:tcPr>
            <w:tcW w:w="1809" w:type="dxa"/>
            <w:tcBorders>
              <w:top w:val="single" w:color="auto" w:sz="4" w:space="0"/>
              <w:left w:val="single" w:color="auto" w:sz="4" w:space="0"/>
              <w:bottom w:val="single" w:color="auto" w:sz="4" w:space="0"/>
              <w:right w:val="single" w:color="auto" w:sz="4" w:space="0"/>
            </w:tcBorders>
            <w:vAlign w:val="center"/>
          </w:tcPr>
          <w:p>
            <w:pPr>
              <w:snapToGrid w:val="0"/>
              <w:spacing w:before="50" w:after="50" w:line="360" w:lineRule="exact"/>
              <w:jc w:val="center"/>
              <w:rPr>
                <w:rFonts w:hint="eastAsia" w:ascii="宋体" w:hAnsi="宋体"/>
                <w:color w:val="auto"/>
                <w:szCs w:val="21"/>
                <w:highlight w:val="none"/>
              </w:rPr>
            </w:pPr>
            <w:r>
              <w:rPr>
                <w:rFonts w:hint="eastAsia" w:ascii="宋体" w:hAnsi="宋体"/>
                <w:color w:val="auto"/>
                <w:szCs w:val="21"/>
                <w:highlight w:val="none"/>
              </w:rPr>
              <w:t>性能及指标</w:t>
            </w:r>
          </w:p>
        </w:tc>
        <w:tc>
          <w:tcPr>
            <w:tcW w:w="912" w:type="dxa"/>
            <w:tcBorders>
              <w:top w:val="single" w:color="auto" w:sz="4" w:space="0"/>
              <w:left w:val="single" w:color="auto" w:sz="4" w:space="0"/>
              <w:bottom w:val="single" w:color="auto" w:sz="4" w:space="0"/>
              <w:right w:val="single" w:color="auto" w:sz="4" w:space="0"/>
            </w:tcBorders>
            <w:vAlign w:val="center"/>
          </w:tcPr>
          <w:p>
            <w:pPr>
              <w:snapToGrid w:val="0"/>
              <w:spacing w:before="50" w:after="50" w:line="360" w:lineRule="exact"/>
              <w:jc w:val="center"/>
              <w:rPr>
                <w:rFonts w:hint="eastAsia" w:ascii="宋体" w:hAnsi="宋体"/>
                <w:color w:val="auto"/>
                <w:szCs w:val="21"/>
                <w:highlight w:val="none"/>
              </w:rPr>
            </w:pPr>
            <w:r>
              <w:rPr>
                <w:rFonts w:hint="eastAsia" w:ascii="宋体" w:hAnsi="宋体"/>
                <w:color w:val="auto"/>
                <w:szCs w:val="21"/>
                <w:highlight w:val="none"/>
              </w:rPr>
              <w:t>产地</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0" w:hRule="atLeast"/>
          <w:jc w:val="center"/>
        </w:trPr>
        <w:tc>
          <w:tcPr>
            <w:tcW w:w="792" w:type="dxa"/>
            <w:tcBorders>
              <w:top w:val="single" w:color="auto" w:sz="4" w:space="0"/>
              <w:left w:val="single" w:color="auto" w:sz="4" w:space="0"/>
              <w:bottom w:val="single" w:color="auto" w:sz="4" w:space="0"/>
              <w:right w:val="single" w:color="auto" w:sz="4" w:space="0"/>
            </w:tcBorders>
            <w:vAlign w:val="center"/>
          </w:tcPr>
          <w:p>
            <w:pPr>
              <w:snapToGrid w:val="0"/>
              <w:spacing w:before="50" w:after="50" w:line="360" w:lineRule="exact"/>
              <w:jc w:val="center"/>
              <w:rPr>
                <w:rFonts w:hint="eastAsia" w:ascii="宋体" w:hAnsi="宋体"/>
                <w:color w:val="auto"/>
                <w:szCs w:val="21"/>
                <w:highlight w:val="none"/>
              </w:rPr>
            </w:pPr>
          </w:p>
        </w:tc>
        <w:tc>
          <w:tcPr>
            <w:tcW w:w="1443" w:type="dxa"/>
            <w:tcBorders>
              <w:top w:val="single" w:color="auto" w:sz="4" w:space="0"/>
              <w:left w:val="single" w:color="auto" w:sz="4" w:space="0"/>
              <w:bottom w:val="single" w:color="auto" w:sz="4" w:space="0"/>
              <w:right w:val="single" w:color="auto" w:sz="4" w:space="0"/>
            </w:tcBorders>
            <w:vAlign w:val="center"/>
          </w:tcPr>
          <w:p>
            <w:pPr>
              <w:snapToGrid w:val="0"/>
              <w:spacing w:before="50" w:after="50" w:line="360" w:lineRule="exact"/>
              <w:jc w:val="center"/>
              <w:rPr>
                <w:rFonts w:hint="eastAsia" w:ascii="宋体" w:hAnsi="宋体"/>
                <w:color w:val="auto"/>
                <w:szCs w:val="21"/>
                <w:highlight w:val="none"/>
              </w:rPr>
            </w:pPr>
          </w:p>
        </w:tc>
        <w:tc>
          <w:tcPr>
            <w:tcW w:w="839" w:type="dxa"/>
            <w:tcBorders>
              <w:top w:val="single" w:color="auto" w:sz="4" w:space="0"/>
              <w:left w:val="single" w:color="auto" w:sz="4" w:space="0"/>
              <w:bottom w:val="single" w:color="auto" w:sz="4" w:space="0"/>
              <w:right w:val="single" w:color="auto" w:sz="4" w:space="0"/>
            </w:tcBorders>
            <w:vAlign w:val="center"/>
          </w:tcPr>
          <w:p>
            <w:pPr>
              <w:snapToGrid w:val="0"/>
              <w:spacing w:before="50" w:after="50" w:line="360" w:lineRule="exact"/>
              <w:jc w:val="center"/>
              <w:rPr>
                <w:rFonts w:hint="eastAsia" w:ascii="宋体" w:hAnsi="宋体"/>
                <w:color w:val="auto"/>
                <w:szCs w:val="21"/>
                <w:highlight w:val="none"/>
              </w:rPr>
            </w:pPr>
          </w:p>
        </w:tc>
        <w:tc>
          <w:tcPr>
            <w:tcW w:w="1498" w:type="dxa"/>
            <w:tcBorders>
              <w:top w:val="single" w:color="auto" w:sz="4" w:space="0"/>
              <w:left w:val="single" w:color="auto" w:sz="4" w:space="0"/>
              <w:bottom w:val="single" w:color="auto" w:sz="4" w:space="0"/>
              <w:right w:val="single" w:color="auto" w:sz="4" w:space="0"/>
            </w:tcBorders>
            <w:vAlign w:val="center"/>
          </w:tcPr>
          <w:p>
            <w:pPr>
              <w:snapToGrid w:val="0"/>
              <w:spacing w:before="50" w:after="50" w:line="360" w:lineRule="exact"/>
              <w:jc w:val="center"/>
              <w:rPr>
                <w:rFonts w:hint="eastAsia" w:ascii="宋体" w:hAnsi="宋体"/>
                <w:color w:val="auto"/>
                <w:szCs w:val="21"/>
                <w:highlight w:val="none"/>
              </w:rPr>
            </w:pPr>
          </w:p>
        </w:tc>
        <w:tc>
          <w:tcPr>
            <w:tcW w:w="1620" w:type="dxa"/>
            <w:tcBorders>
              <w:top w:val="single" w:color="auto" w:sz="4" w:space="0"/>
              <w:left w:val="single" w:color="auto" w:sz="4" w:space="0"/>
              <w:bottom w:val="single" w:color="auto" w:sz="4" w:space="0"/>
              <w:right w:val="single" w:color="auto" w:sz="4" w:space="0"/>
            </w:tcBorders>
            <w:vAlign w:val="center"/>
          </w:tcPr>
          <w:p>
            <w:pPr>
              <w:snapToGrid w:val="0"/>
              <w:spacing w:before="50" w:after="50" w:line="360" w:lineRule="exact"/>
              <w:jc w:val="center"/>
              <w:rPr>
                <w:rFonts w:hint="eastAsia" w:ascii="宋体" w:hAnsi="宋体"/>
                <w:color w:val="auto"/>
                <w:szCs w:val="21"/>
                <w:highlight w:val="none"/>
              </w:rPr>
            </w:pPr>
          </w:p>
        </w:tc>
        <w:tc>
          <w:tcPr>
            <w:tcW w:w="1809" w:type="dxa"/>
            <w:tcBorders>
              <w:top w:val="single" w:color="auto" w:sz="4" w:space="0"/>
              <w:left w:val="single" w:color="auto" w:sz="4" w:space="0"/>
              <w:bottom w:val="single" w:color="auto" w:sz="4" w:space="0"/>
              <w:right w:val="single" w:color="auto" w:sz="4" w:space="0"/>
            </w:tcBorders>
            <w:vAlign w:val="center"/>
          </w:tcPr>
          <w:p>
            <w:pPr>
              <w:snapToGrid w:val="0"/>
              <w:spacing w:before="50" w:after="50" w:line="360" w:lineRule="exact"/>
              <w:jc w:val="center"/>
              <w:rPr>
                <w:rFonts w:hint="eastAsia" w:ascii="宋体" w:hAnsi="宋体"/>
                <w:color w:val="auto"/>
                <w:szCs w:val="21"/>
                <w:highlight w:val="none"/>
              </w:rPr>
            </w:pPr>
          </w:p>
        </w:tc>
        <w:tc>
          <w:tcPr>
            <w:tcW w:w="912" w:type="dxa"/>
            <w:tcBorders>
              <w:top w:val="single" w:color="auto" w:sz="4" w:space="0"/>
              <w:left w:val="single" w:color="auto" w:sz="4" w:space="0"/>
              <w:bottom w:val="single" w:color="auto" w:sz="4" w:space="0"/>
              <w:right w:val="single" w:color="auto" w:sz="4" w:space="0"/>
            </w:tcBorders>
            <w:vAlign w:val="center"/>
          </w:tcPr>
          <w:p>
            <w:pPr>
              <w:snapToGrid w:val="0"/>
              <w:spacing w:before="50" w:after="50" w:line="360" w:lineRule="exact"/>
              <w:jc w:val="center"/>
              <w:rPr>
                <w:rFonts w:hint="eastAsia"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0" w:hRule="atLeast"/>
          <w:jc w:val="center"/>
        </w:trPr>
        <w:tc>
          <w:tcPr>
            <w:tcW w:w="792" w:type="dxa"/>
            <w:tcBorders>
              <w:top w:val="single" w:color="auto" w:sz="4" w:space="0"/>
              <w:left w:val="single" w:color="auto" w:sz="4" w:space="0"/>
              <w:bottom w:val="single" w:color="auto" w:sz="4" w:space="0"/>
              <w:right w:val="single" w:color="auto" w:sz="4" w:space="0"/>
            </w:tcBorders>
            <w:vAlign w:val="center"/>
          </w:tcPr>
          <w:p>
            <w:pPr>
              <w:snapToGrid w:val="0"/>
              <w:spacing w:before="50" w:after="50" w:line="360" w:lineRule="exact"/>
              <w:jc w:val="center"/>
              <w:rPr>
                <w:rFonts w:hint="eastAsia" w:ascii="宋体" w:hAnsi="宋体"/>
                <w:color w:val="auto"/>
                <w:szCs w:val="21"/>
                <w:highlight w:val="none"/>
              </w:rPr>
            </w:pPr>
          </w:p>
        </w:tc>
        <w:tc>
          <w:tcPr>
            <w:tcW w:w="1443" w:type="dxa"/>
            <w:tcBorders>
              <w:top w:val="single" w:color="auto" w:sz="4" w:space="0"/>
              <w:left w:val="single" w:color="auto" w:sz="4" w:space="0"/>
              <w:bottom w:val="single" w:color="auto" w:sz="4" w:space="0"/>
              <w:right w:val="single" w:color="auto" w:sz="4" w:space="0"/>
            </w:tcBorders>
            <w:vAlign w:val="center"/>
          </w:tcPr>
          <w:p>
            <w:pPr>
              <w:snapToGrid w:val="0"/>
              <w:spacing w:before="50" w:after="50" w:line="360" w:lineRule="exact"/>
              <w:jc w:val="center"/>
              <w:rPr>
                <w:rFonts w:hint="eastAsia" w:ascii="宋体" w:hAnsi="宋体"/>
                <w:color w:val="auto"/>
                <w:szCs w:val="21"/>
                <w:highlight w:val="none"/>
              </w:rPr>
            </w:pPr>
          </w:p>
        </w:tc>
        <w:tc>
          <w:tcPr>
            <w:tcW w:w="839" w:type="dxa"/>
            <w:tcBorders>
              <w:top w:val="single" w:color="auto" w:sz="4" w:space="0"/>
              <w:left w:val="single" w:color="auto" w:sz="4" w:space="0"/>
              <w:bottom w:val="single" w:color="auto" w:sz="4" w:space="0"/>
              <w:right w:val="single" w:color="auto" w:sz="4" w:space="0"/>
            </w:tcBorders>
            <w:vAlign w:val="center"/>
          </w:tcPr>
          <w:p>
            <w:pPr>
              <w:snapToGrid w:val="0"/>
              <w:spacing w:before="50" w:after="50" w:line="360" w:lineRule="exact"/>
              <w:jc w:val="center"/>
              <w:rPr>
                <w:rFonts w:hint="eastAsia" w:ascii="宋体" w:hAnsi="宋体"/>
                <w:color w:val="auto"/>
                <w:szCs w:val="21"/>
                <w:highlight w:val="none"/>
              </w:rPr>
            </w:pPr>
          </w:p>
        </w:tc>
        <w:tc>
          <w:tcPr>
            <w:tcW w:w="1498" w:type="dxa"/>
            <w:tcBorders>
              <w:top w:val="single" w:color="auto" w:sz="4" w:space="0"/>
              <w:left w:val="single" w:color="auto" w:sz="4" w:space="0"/>
              <w:bottom w:val="single" w:color="auto" w:sz="4" w:space="0"/>
              <w:right w:val="single" w:color="auto" w:sz="4" w:space="0"/>
            </w:tcBorders>
            <w:vAlign w:val="center"/>
          </w:tcPr>
          <w:p>
            <w:pPr>
              <w:snapToGrid w:val="0"/>
              <w:spacing w:before="50" w:after="50" w:line="360" w:lineRule="exact"/>
              <w:jc w:val="center"/>
              <w:rPr>
                <w:rFonts w:hint="eastAsia" w:ascii="宋体" w:hAnsi="宋体"/>
                <w:color w:val="auto"/>
                <w:szCs w:val="21"/>
                <w:highlight w:val="none"/>
              </w:rPr>
            </w:pPr>
          </w:p>
        </w:tc>
        <w:tc>
          <w:tcPr>
            <w:tcW w:w="1620" w:type="dxa"/>
            <w:tcBorders>
              <w:top w:val="single" w:color="auto" w:sz="4" w:space="0"/>
              <w:left w:val="single" w:color="auto" w:sz="4" w:space="0"/>
              <w:bottom w:val="single" w:color="auto" w:sz="4" w:space="0"/>
              <w:right w:val="single" w:color="auto" w:sz="4" w:space="0"/>
            </w:tcBorders>
            <w:vAlign w:val="center"/>
          </w:tcPr>
          <w:p>
            <w:pPr>
              <w:snapToGrid w:val="0"/>
              <w:spacing w:before="50" w:after="50" w:line="360" w:lineRule="exact"/>
              <w:jc w:val="center"/>
              <w:rPr>
                <w:rFonts w:hint="eastAsia" w:ascii="宋体" w:hAnsi="宋体"/>
                <w:color w:val="auto"/>
                <w:szCs w:val="21"/>
                <w:highlight w:val="none"/>
              </w:rPr>
            </w:pPr>
          </w:p>
        </w:tc>
        <w:tc>
          <w:tcPr>
            <w:tcW w:w="1809" w:type="dxa"/>
            <w:tcBorders>
              <w:top w:val="single" w:color="auto" w:sz="4" w:space="0"/>
              <w:left w:val="single" w:color="auto" w:sz="4" w:space="0"/>
              <w:bottom w:val="single" w:color="auto" w:sz="4" w:space="0"/>
              <w:right w:val="single" w:color="auto" w:sz="4" w:space="0"/>
            </w:tcBorders>
            <w:vAlign w:val="center"/>
          </w:tcPr>
          <w:p>
            <w:pPr>
              <w:snapToGrid w:val="0"/>
              <w:spacing w:before="50" w:after="50" w:line="360" w:lineRule="exact"/>
              <w:jc w:val="center"/>
              <w:rPr>
                <w:rFonts w:hint="eastAsia" w:ascii="宋体" w:hAnsi="宋体"/>
                <w:color w:val="auto"/>
                <w:szCs w:val="21"/>
                <w:highlight w:val="none"/>
              </w:rPr>
            </w:pPr>
          </w:p>
        </w:tc>
        <w:tc>
          <w:tcPr>
            <w:tcW w:w="912" w:type="dxa"/>
            <w:tcBorders>
              <w:top w:val="single" w:color="auto" w:sz="4" w:space="0"/>
              <w:left w:val="single" w:color="auto" w:sz="4" w:space="0"/>
              <w:bottom w:val="single" w:color="auto" w:sz="4" w:space="0"/>
              <w:right w:val="single" w:color="auto" w:sz="4" w:space="0"/>
            </w:tcBorders>
            <w:vAlign w:val="center"/>
          </w:tcPr>
          <w:p>
            <w:pPr>
              <w:snapToGrid w:val="0"/>
              <w:spacing w:before="50" w:after="50" w:line="360" w:lineRule="exact"/>
              <w:jc w:val="center"/>
              <w:rPr>
                <w:rFonts w:hint="eastAsia"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0" w:hRule="atLeast"/>
          <w:jc w:val="center"/>
        </w:trPr>
        <w:tc>
          <w:tcPr>
            <w:tcW w:w="792" w:type="dxa"/>
            <w:tcBorders>
              <w:top w:val="single" w:color="auto" w:sz="4" w:space="0"/>
              <w:left w:val="single" w:color="auto" w:sz="4" w:space="0"/>
              <w:bottom w:val="single" w:color="auto" w:sz="4" w:space="0"/>
              <w:right w:val="single" w:color="auto" w:sz="4" w:space="0"/>
            </w:tcBorders>
            <w:vAlign w:val="center"/>
          </w:tcPr>
          <w:p>
            <w:pPr>
              <w:snapToGrid w:val="0"/>
              <w:spacing w:before="50" w:after="50" w:line="360" w:lineRule="exact"/>
              <w:jc w:val="center"/>
              <w:rPr>
                <w:rFonts w:hint="eastAsia" w:ascii="宋体" w:hAnsi="宋体"/>
                <w:color w:val="auto"/>
                <w:szCs w:val="21"/>
                <w:highlight w:val="none"/>
              </w:rPr>
            </w:pPr>
          </w:p>
        </w:tc>
        <w:tc>
          <w:tcPr>
            <w:tcW w:w="1443" w:type="dxa"/>
            <w:tcBorders>
              <w:top w:val="single" w:color="auto" w:sz="4" w:space="0"/>
              <w:left w:val="single" w:color="auto" w:sz="4" w:space="0"/>
              <w:bottom w:val="single" w:color="auto" w:sz="4" w:space="0"/>
              <w:right w:val="single" w:color="auto" w:sz="4" w:space="0"/>
            </w:tcBorders>
            <w:vAlign w:val="center"/>
          </w:tcPr>
          <w:p>
            <w:pPr>
              <w:snapToGrid w:val="0"/>
              <w:spacing w:before="50" w:after="50" w:line="360" w:lineRule="exact"/>
              <w:jc w:val="center"/>
              <w:rPr>
                <w:rFonts w:hint="eastAsia" w:ascii="宋体" w:hAnsi="宋体"/>
                <w:color w:val="auto"/>
                <w:szCs w:val="21"/>
                <w:highlight w:val="none"/>
              </w:rPr>
            </w:pPr>
          </w:p>
        </w:tc>
        <w:tc>
          <w:tcPr>
            <w:tcW w:w="839" w:type="dxa"/>
            <w:tcBorders>
              <w:top w:val="single" w:color="auto" w:sz="4" w:space="0"/>
              <w:left w:val="single" w:color="auto" w:sz="4" w:space="0"/>
              <w:bottom w:val="single" w:color="auto" w:sz="4" w:space="0"/>
              <w:right w:val="single" w:color="auto" w:sz="4" w:space="0"/>
            </w:tcBorders>
            <w:vAlign w:val="center"/>
          </w:tcPr>
          <w:p>
            <w:pPr>
              <w:snapToGrid w:val="0"/>
              <w:spacing w:before="50" w:after="50" w:line="360" w:lineRule="exact"/>
              <w:jc w:val="center"/>
              <w:rPr>
                <w:rFonts w:hint="eastAsia" w:ascii="宋体" w:hAnsi="宋体"/>
                <w:color w:val="auto"/>
                <w:szCs w:val="21"/>
                <w:highlight w:val="none"/>
              </w:rPr>
            </w:pPr>
          </w:p>
        </w:tc>
        <w:tc>
          <w:tcPr>
            <w:tcW w:w="1498" w:type="dxa"/>
            <w:tcBorders>
              <w:top w:val="single" w:color="auto" w:sz="4" w:space="0"/>
              <w:left w:val="single" w:color="auto" w:sz="4" w:space="0"/>
              <w:bottom w:val="single" w:color="auto" w:sz="4" w:space="0"/>
              <w:right w:val="single" w:color="auto" w:sz="4" w:space="0"/>
            </w:tcBorders>
            <w:vAlign w:val="center"/>
          </w:tcPr>
          <w:p>
            <w:pPr>
              <w:snapToGrid w:val="0"/>
              <w:spacing w:before="50" w:after="50" w:line="360" w:lineRule="exact"/>
              <w:jc w:val="center"/>
              <w:rPr>
                <w:rFonts w:hint="eastAsia" w:ascii="宋体" w:hAnsi="宋体"/>
                <w:color w:val="auto"/>
                <w:szCs w:val="21"/>
                <w:highlight w:val="none"/>
              </w:rPr>
            </w:pPr>
          </w:p>
        </w:tc>
        <w:tc>
          <w:tcPr>
            <w:tcW w:w="1620" w:type="dxa"/>
            <w:tcBorders>
              <w:top w:val="single" w:color="auto" w:sz="4" w:space="0"/>
              <w:left w:val="single" w:color="auto" w:sz="4" w:space="0"/>
              <w:bottom w:val="single" w:color="auto" w:sz="4" w:space="0"/>
              <w:right w:val="single" w:color="auto" w:sz="4" w:space="0"/>
            </w:tcBorders>
            <w:vAlign w:val="center"/>
          </w:tcPr>
          <w:p>
            <w:pPr>
              <w:snapToGrid w:val="0"/>
              <w:spacing w:before="50" w:after="50" w:line="360" w:lineRule="exact"/>
              <w:jc w:val="center"/>
              <w:rPr>
                <w:rFonts w:hint="eastAsia" w:ascii="宋体" w:hAnsi="宋体"/>
                <w:color w:val="auto"/>
                <w:szCs w:val="21"/>
                <w:highlight w:val="none"/>
              </w:rPr>
            </w:pPr>
          </w:p>
        </w:tc>
        <w:tc>
          <w:tcPr>
            <w:tcW w:w="1809" w:type="dxa"/>
            <w:tcBorders>
              <w:top w:val="single" w:color="auto" w:sz="4" w:space="0"/>
              <w:left w:val="single" w:color="auto" w:sz="4" w:space="0"/>
              <w:bottom w:val="single" w:color="auto" w:sz="4" w:space="0"/>
              <w:right w:val="single" w:color="auto" w:sz="4" w:space="0"/>
            </w:tcBorders>
            <w:vAlign w:val="center"/>
          </w:tcPr>
          <w:p>
            <w:pPr>
              <w:snapToGrid w:val="0"/>
              <w:spacing w:before="50" w:after="50" w:line="360" w:lineRule="exact"/>
              <w:jc w:val="center"/>
              <w:rPr>
                <w:rFonts w:hint="eastAsia" w:ascii="宋体" w:hAnsi="宋体"/>
                <w:color w:val="auto"/>
                <w:szCs w:val="21"/>
                <w:highlight w:val="none"/>
              </w:rPr>
            </w:pPr>
          </w:p>
        </w:tc>
        <w:tc>
          <w:tcPr>
            <w:tcW w:w="912" w:type="dxa"/>
            <w:tcBorders>
              <w:top w:val="single" w:color="auto" w:sz="4" w:space="0"/>
              <w:left w:val="single" w:color="auto" w:sz="4" w:space="0"/>
              <w:bottom w:val="single" w:color="auto" w:sz="4" w:space="0"/>
              <w:right w:val="single" w:color="auto" w:sz="4" w:space="0"/>
            </w:tcBorders>
            <w:vAlign w:val="center"/>
          </w:tcPr>
          <w:p>
            <w:pPr>
              <w:snapToGrid w:val="0"/>
              <w:spacing w:before="50" w:after="50" w:line="360" w:lineRule="exact"/>
              <w:jc w:val="center"/>
              <w:rPr>
                <w:rFonts w:hint="eastAsia" w:ascii="宋体" w:hAnsi="宋体"/>
                <w:color w:val="auto"/>
                <w:szCs w:val="21"/>
                <w:highlight w:val="none"/>
              </w:rPr>
            </w:pPr>
          </w:p>
        </w:tc>
      </w:tr>
    </w:tbl>
    <w:p>
      <w:pPr>
        <w:snapToGrid w:val="0"/>
        <w:spacing w:before="100" w:beforeAutospacing="1" w:after="100" w:afterAutospacing="1" w:line="480" w:lineRule="auto"/>
        <w:ind w:firstLine="315" w:firstLineChars="150"/>
        <w:rPr>
          <w:rFonts w:hint="eastAsia" w:ascii="宋体" w:hAnsi="宋体"/>
          <w:color w:val="auto"/>
          <w:spacing w:val="20"/>
          <w:szCs w:val="21"/>
          <w:highlight w:val="none"/>
          <w:u w:val="single"/>
        </w:rPr>
      </w:pPr>
      <w:r>
        <w:rPr>
          <w:rFonts w:hint="eastAsia" w:ascii="宋体" w:hAnsi="宋体"/>
          <w:color w:val="auto"/>
          <w:szCs w:val="21"/>
          <w:highlight w:val="none"/>
        </w:rPr>
        <w:t>法定代表人或委托代理人签字或签章</w:t>
      </w:r>
      <w:r>
        <w:rPr>
          <w:rFonts w:hint="eastAsia" w:ascii="宋体" w:hAnsi="宋体"/>
          <w:color w:val="auto"/>
          <w:spacing w:val="20"/>
          <w:szCs w:val="21"/>
          <w:highlight w:val="none"/>
        </w:rPr>
        <w:t>：</w:t>
      </w:r>
      <w:r>
        <w:rPr>
          <w:rFonts w:hint="eastAsia" w:ascii="宋体" w:hAnsi="宋体"/>
          <w:color w:val="auto"/>
          <w:spacing w:val="20"/>
          <w:szCs w:val="21"/>
          <w:highlight w:val="none"/>
          <w:u w:val="single"/>
        </w:rPr>
        <w:t xml:space="preserve">         </w:t>
      </w:r>
    </w:p>
    <w:p>
      <w:pPr>
        <w:snapToGrid w:val="0"/>
        <w:spacing w:before="100" w:beforeAutospacing="1" w:after="100" w:afterAutospacing="1" w:line="480" w:lineRule="auto"/>
        <w:ind w:firstLine="500" w:firstLineChars="200"/>
        <w:jc w:val="left"/>
        <w:rPr>
          <w:rFonts w:hint="eastAsia" w:ascii="宋体" w:hAnsi="宋体"/>
          <w:color w:val="auto"/>
          <w:spacing w:val="20"/>
          <w:szCs w:val="21"/>
          <w:highlight w:val="none"/>
          <w:u w:val="single"/>
        </w:rPr>
      </w:pPr>
      <w:r>
        <w:rPr>
          <w:rFonts w:hint="eastAsia" w:ascii="宋体" w:hAnsi="宋体"/>
          <w:color w:val="auto"/>
          <w:spacing w:val="20"/>
          <w:szCs w:val="21"/>
          <w:highlight w:val="none"/>
        </w:rPr>
        <w:t>投标人盖章：</w:t>
      </w:r>
      <w:r>
        <w:rPr>
          <w:rFonts w:hint="eastAsia" w:ascii="宋体" w:hAnsi="宋体"/>
          <w:color w:val="auto"/>
          <w:spacing w:val="20"/>
          <w:szCs w:val="21"/>
          <w:highlight w:val="none"/>
          <w:u w:val="single"/>
        </w:rPr>
        <w:t xml:space="preserve">            </w:t>
      </w:r>
      <w:r>
        <w:rPr>
          <w:rFonts w:hint="eastAsia" w:ascii="宋体" w:hAnsi="宋体"/>
          <w:color w:val="auto"/>
          <w:spacing w:val="20"/>
          <w:szCs w:val="21"/>
          <w:highlight w:val="none"/>
        </w:rPr>
        <w:t xml:space="preserve">              日  期：</w:t>
      </w:r>
      <w:r>
        <w:rPr>
          <w:rFonts w:hint="eastAsia" w:ascii="宋体" w:hAnsi="宋体"/>
          <w:color w:val="auto"/>
          <w:spacing w:val="20"/>
          <w:szCs w:val="21"/>
          <w:highlight w:val="none"/>
          <w:u w:val="single"/>
        </w:rPr>
        <w:t xml:space="preserve">          </w:t>
      </w:r>
    </w:p>
    <w:p>
      <w:pPr>
        <w:snapToGrid w:val="0"/>
        <w:spacing w:before="50" w:after="156" w:afterLines="50" w:line="360" w:lineRule="exact"/>
        <w:jc w:val="left"/>
        <w:rPr>
          <w:rFonts w:hint="eastAsia" w:ascii="宋体" w:hAnsi="宋体"/>
          <w:b/>
          <w:color w:val="auto"/>
          <w:szCs w:val="21"/>
          <w:highlight w:val="none"/>
        </w:rPr>
      </w:pPr>
      <w:r>
        <w:rPr>
          <w:rFonts w:hint="eastAsia" w:ascii="宋体" w:hAnsi="宋体"/>
          <w:bCs/>
          <w:color w:val="auto"/>
          <w:szCs w:val="21"/>
          <w:highlight w:val="none"/>
        </w:rPr>
        <w:t>（4）</w:t>
      </w:r>
      <w:r>
        <w:rPr>
          <w:rFonts w:hint="eastAsia" w:ascii="宋体" w:hAnsi="宋体"/>
          <w:color w:val="auto"/>
          <w:szCs w:val="21"/>
          <w:highlight w:val="none"/>
        </w:rPr>
        <w:t>售后服务承诺书</w:t>
      </w:r>
      <w:r>
        <w:rPr>
          <w:rFonts w:hint="eastAsia"/>
          <w:color w:val="auto"/>
          <w:highlight w:val="none"/>
        </w:rPr>
        <w:t>（应据项目实际要求描述如：</w:t>
      </w:r>
      <w:r>
        <w:rPr>
          <w:rFonts w:hint="eastAsia" w:ascii="宋体" w:hAnsi="宋体"/>
          <w:color w:val="auto"/>
          <w:szCs w:val="21"/>
          <w:highlight w:val="none"/>
        </w:rPr>
        <w:t>投标人建议的安装、调试、验收方法或方案；技术服务、技术培训、售后服务的内容和措施等）</w:t>
      </w:r>
      <w:r>
        <w:rPr>
          <w:rFonts w:hint="eastAsia" w:ascii="宋体" w:hAnsi="宋体"/>
          <w:b/>
          <w:color w:val="auto"/>
          <w:szCs w:val="21"/>
          <w:highlight w:val="none"/>
        </w:rPr>
        <w:t>(格式自拟,必须提供）</w:t>
      </w:r>
      <w:r>
        <w:rPr>
          <w:rFonts w:hint="eastAsia" w:ascii="宋体" w:hAnsi="宋体"/>
          <w:color w:val="auto"/>
          <w:szCs w:val="21"/>
          <w:highlight w:val="none"/>
        </w:rPr>
        <w:t>；</w:t>
      </w:r>
    </w:p>
    <w:p>
      <w:pPr>
        <w:snapToGrid w:val="0"/>
        <w:spacing w:before="50" w:after="156" w:afterLines="50" w:line="360" w:lineRule="exact"/>
        <w:ind w:left="514" w:hanging="514" w:hangingChars="245"/>
        <w:jc w:val="left"/>
        <w:rPr>
          <w:rFonts w:hint="eastAsia" w:ascii="宋体" w:hAnsi="宋体"/>
          <w:color w:val="auto"/>
          <w:szCs w:val="21"/>
          <w:highlight w:val="none"/>
        </w:rPr>
      </w:pPr>
      <w:r>
        <w:rPr>
          <w:rFonts w:hint="eastAsia" w:ascii="宋体" w:hAnsi="宋体"/>
          <w:bCs/>
          <w:color w:val="auto"/>
          <w:szCs w:val="21"/>
          <w:highlight w:val="none"/>
        </w:rPr>
        <w:t>（5）</w:t>
      </w:r>
      <w:r>
        <w:rPr>
          <w:rFonts w:hint="eastAsia" w:ascii="宋体" w:hAnsi="宋体"/>
          <w:color w:val="auto"/>
          <w:szCs w:val="21"/>
          <w:highlight w:val="none"/>
        </w:rPr>
        <w:t>投标人拥有主要装备和检测设施的情况和现状（格式自拟）及项目实施人员一览表</w:t>
      </w:r>
    </w:p>
    <w:p>
      <w:pPr>
        <w:snapToGrid w:val="0"/>
        <w:spacing w:before="50" w:after="156" w:afterLines="50" w:line="360" w:lineRule="exact"/>
        <w:jc w:val="left"/>
        <w:rPr>
          <w:rFonts w:hint="eastAsia" w:ascii="宋体" w:hAnsi="宋体"/>
          <w:color w:val="auto"/>
          <w:szCs w:val="21"/>
          <w:highlight w:val="none"/>
        </w:rPr>
      </w:pPr>
      <w:r>
        <w:rPr>
          <w:rFonts w:hint="eastAsia" w:ascii="宋体" w:hAnsi="宋体"/>
          <w:color w:val="auto"/>
          <w:szCs w:val="21"/>
          <w:highlight w:val="none"/>
        </w:rPr>
        <w:t>（6）优惠条件：投标人承诺给予招标人的各种优惠条件，包括备品备件、专用耗材、售后服务等方面的优惠；</w:t>
      </w:r>
    </w:p>
    <w:p>
      <w:pPr>
        <w:snapToGrid w:val="0"/>
        <w:spacing w:before="50" w:after="156" w:afterLines="50" w:line="360" w:lineRule="exact"/>
        <w:jc w:val="left"/>
        <w:rPr>
          <w:rFonts w:hint="eastAsia" w:ascii="宋体" w:hAnsi="宋体"/>
          <w:color w:val="auto"/>
          <w:szCs w:val="21"/>
          <w:highlight w:val="none"/>
        </w:rPr>
      </w:pPr>
      <w:r>
        <w:rPr>
          <w:rFonts w:hint="eastAsia" w:ascii="宋体" w:hAnsi="宋体"/>
          <w:color w:val="auto"/>
          <w:szCs w:val="21"/>
          <w:highlight w:val="none"/>
        </w:rPr>
        <w:t>备品备件、专用耗材、售后服务优惠表格式：</w:t>
      </w:r>
    </w:p>
    <w:tbl>
      <w:tblPr>
        <w:tblStyle w:val="52"/>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0" w:type="dxa"/>
          <w:bottom w:w="0" w:type="dxa"/>
          <w:right w:w="0" w:type="dxa"/>
        </w:tblCellMar>
      </w:tblPr>
      <w:tblGrid>
        <w:gridCol w:w="735"/>
        <w:gridCol w:w="2700"/>
        <w:gridCol w:w="1440"/>
        <w:gridCol w:w="1440"/>
        <w:gridCol w:w="1530"/>
        <w:gridCol w:w="153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567" w:hRule="atLeast"/>
        </w:trPr>
        <w:tc>
          <w:tcPr>
            <w:tcW w:w="73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pStyle w:val="29"/>
              <w:snapToGrid w:val="0"/>
              <w:jc w:val="center"/>
              <w:rPr>
                <w:rFonts w:hint="eastAsia" w:hAnsi="宋体"/>
                <w:color w:val="auto"/>
                <w:highlight w:val="none"/>
              </w:rPr>
            </w:pPr>
            <w:r>
              <w:rPr>
                <w:rFonts w:hint="eastAsia" w:hAnsi="宋体"/>
                <w:color w:val="auto"/>
                <w:highlight w:val="none"/>
              </w:rPr>
              <w:t>序号</w:t>
            </w:r>
          </w:p>
        </w:tc>
        <w:tc>
          <w:tcPr>
            <w:tcW w:w="2700" w:type="dxa"/>
            <w:tcBorders>
              <w:top w:val="single" w:color="auto" w:sz="4" w:space="0"/>
              <w:left w:val="single" w:color="auto" w:sz="4" w:space="0"/>
              <w:bottom w:val="single" w:color="auto" w:sz="2" w:space="0"/>
              <w:right w:val="single" w:color="auto" w:sz="4" w:space="0"/>
            </w:tcBorders>
            <w:vAlign w:val="center"/>
          </w:tcPr>
          <w:p>
            <w:pPr>
              <w:pStyle w:val="29"/>
              <w:snapToGrid w:val="0"/>
              <w:jc w:val="center"/>
              <w:rPr>
                <w:rFonts w:hint="eastAsia" w:hAnsi="宋体"/>
                <w:color w:val="auto"/>
                <w:highlight w:val="none"/>
              </w:rPr>
            </w:pPr>
            <w:r>
              <w:rPr>
                <w:rFonts w:hint="eastAsia" w:hAnsi="宋体"/>
                <w:color w:val="auto"/>
                <w:highlight w:val="none"/>
              </w:rPr>
              <w:t>优惠内容</w:t>
            </w:r>
          </w:p>
        </w:tc>
        <w:tc>
          <w:tcPr>
            <w:tcW w:w="1440" w:type="dxa"/>
            <w:tcBorders>
              <w:top w:val="single" w:color="auto" w:sz="4" w:space="0"/>
              <w:left w:val="single" w:color="auto" w:sz="4" w:space="0"/>
              <w:bottom w:val="single" w:color="auto" w:sz="2" w:space="0"/>
              <w:right w:val="single" w:color="auto" w:sz="4" w:space="0"/>
            </w:tcBorders>
            <w:vAlign w:val="center"/>
          </w:tcPr>
          <w:p>
            <w:pPr>
              <w:pStyle w:val="29"/>
              <w:snapToGrid w:val="0"/>
              <w:jc w:val="center"/>
              <w:rPr>
                <w:rFonts w:hint="eastAsia" w:hAnsi="宋体"/>
                <w:color w:val="auto"/>
                <w:highlight w:val="none"/>
              </w:rPr>
            </w:pPr>
            <w:r>
              <w:rPr>
                <w:rFonts w:hint="eastAsia" w:hAnsi="宋体"/>
                <w:color w:val="auto"/>
                <w:highlight w:val="none"/>
              </w:rPr>
              <w:t>适用机型</w:t>
            </w:r>
          </w:p>
        </w:tc>
        <w:tc>
          <w:tcPr>
            <w:tcW w:w="1440" w:type="dxa"/>
            <w:tcBorders>
              <w:top w:val="single" w:color="auto" w:sz="4" w:space="0"/>
              <w:left w:val="single" w:color="auto" w:sz="4" w:space="0"/>
              <w:bottom w:val="single" w:color="auto" w:sz="2" w:space="0"/>
              <w:right w:val="single" w:color="auto" w:sz="4" w:space="0"/>
            </w:tcBorders>
            <w:tcMar>
              <w:top w:w="15" w:type="dxa"/>
              <w:left w:w="15" w:type="dxa"/>
              <w:bottom w:w="0" w:type="dxa"/>
              <w:right w:w="15" w:type="dxa"/>
            </w:tcMar>
            <w:vAlign w:val="center"/>
          </w:tcPr>
          <w:p>
            <w:pPr>
              <w:pStyle w:val="29"/>
              <w:snapToGrid w:val="0"/>
              <w:jc w:val="center"/>
              <w:rPr>
                <w:rFonts w:hint="eastAsia" w:hAnsi="宋体"/>
                <w:color w:val="auto"/>
                <w:highlight w:val="none"/>
              </w:rPr>
            </w:pPr>
            <w:r>
              <w:rPr>
                <w:rFonts w:hint="eastAsia" w:hAnsi="宋体"/>
                <w:color w:val="auto"/>
                <w:highlight w:val="none"/>
              </w:rPr>
              <w:t>单价</w:t>
            </w:r>
          </w:p>
        </w:tc>
        <w:tc>
          <w:tcPr>
            <w:tcW w:w="1530" w:type="dxa"/>
            <w:tcBorders>
              <w:top w:val="single" w:color="auto" w:sz="4" w:space="0"/>
              <w:left w:val="single" w:color="auto" w:sz="4" w:space="0"/>
              <w:bottom w:val="single" w:color="auto" w:sz="2" w:space="0"/>
              <w:right w:val="single" w:color="auto" w:sz="4" w:space="0"/>
            </w:tcBorders>
            <w:vAlign w:val="center"/>
          </w:tcPr>
          <w:p>
            <w:pPr>
              <w:pStyle w:val="29"/>
              <w:snapToGrid w:val="0"/>
              <w:jc w:val="center"/>
              <w:rPr>
                <w:rFonts w:hint="eastAsia" w:hAnsi="宋体"/>
                <w:color w:val="auto"/>
                <w:highlight w:val="none"/>
              </w:rPr>
            </w:pPr>
            <w:r>
              <w:rPr>
                <w:rFonts w:hint="eastAsia" w:hAnsi="宋体"/>
                <w:color w:val="auto"/>
                <w:highlight w:val="none"/>
              </w:rPr>
              <w:t>比投标报价优惠率</w:t>
            </w:r>
          </w:p>
        </w:tc>
        <w:tc>
          <w:tcPr>
            <w:tcW w:w="1530" w:type="dxa"/>
            <w:tcBorders>
              <w:top w:val="single" w:color="auto" w:sz="4" w:space="0"/>
              <w:left w:val="single" w:color="auto" w:sz="4" w:space="0"/>
              <w:bottom w:val="single" w:color="auto" w:sz="2" w:space="0"/>
              <w:right w:val="single" w:color="auto" w:sz="4" w:space="0"/>
            </w:tcBorders>
            <w:vAlign w:val="center"/>
          </w:tcPr>
          <w:p>
            <w:pPr>
              <w:pStyle w:val="29"/>
              <w:snapToGrid w:val="0"/>
              <w:jc w:val="center"/>
              <w:rPr>
                <w:rFonts w:hint="eastAsia" w:hAnsi="宋体"/>
                <w:color w:val="auto"/>
                <w:highlight w:val="none"/>
              </w:rPr>
            </w:pPr>
            <w:r>
              <w:rPr>
                <w:rFonts w:hint="eastAsia" w:hAnsi="宋体"/>
                <w:color w:val="auto"/>
                <w:highlight w:val="none"/>
              </w:rPr>
              <w:t>比招标要求提供更优售后服务</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567" w:hRule="atLeast"/>
        </w:trPr>
        <w:tc>
          <w:tcPr>
            <w:tcW w:w="735" w:type="dxa"/>
            <w:tcBorders>
              <w:top w:val="single" w:color="auto" w:sz="4" w:space="0"/>
              <w:left w:val="single" w:color="auto" w:sz="4" w:space="0"/>
              <w:bottom w:val="single" w:color="auto" w:sz="4" w:space="0"/>
              <w:right w:val="single" w:color="auto" w:sz="2" w:space="0"/>
            </w:tcBorders>
            <w:tcMar>
              <w:top w:w="15" w:type="dxa"/>
              <w:left w:w="15" w:type="dxa"/>
              <w:bottom w:w="0" w:type="dxa"/>
              <w:right w:w="15" w:type="dxa"/>
            </w:tcMar>
            <w:vAlign w:val="center"/>
          </w:tcPr>
          <w:p>
            <w:pPr>
              <w:pStyle w:val="29"/>
              <w:snapToGrid w:val="0"/>
              <w:jc w:val="center"/>
              <w:rPr>
                <w:rFonts w:hint="eastAsia" w:hAnsi="宋体"/>
                <w:color w:val="auto"/>
                <w:highlight w:val="none"/>
              </w:rPr>
            </w:pPr>
          </w:p>
        </w:tc>
        <w:tc>
          <w:tcPr>
            <w:tcW w:w="2700" w:type="dxa"/>
            <w:tcBorders>
              <w:top w:val="single" w:color="auto" w:sz="2" w:space="0"/>
              <w:left w:val="single" w:color="auto" w:sz="2" w:space="0"/>
              <w:bottom w:val="single" w:color="auto" w:sz="6" w:space="0"/>
              <w:right w:val="single" w:color="auto" w:sz="4" w:space="0"/>
            </w:tcBorders>
            <w:vAlign w:val="center"/>
          </w:tcPr>
          <w:p>
            <w:pPr>
              <w:pStyle w:val="29"/>
              <w:snapToGrid w:val="0"/>
              <w:jc w:val="center"/>
              <w:rPr>
                <w:rFonts w:hint="eastAsia" w:hAnsi="宋体"/>
                <w:color w:val="auto"/>
                <w:highlight w:val="none"/>
              </w:rPr>
            </w:pPr>
          </w:p>
        </w:tc>
        <w:tc>
          <w:tcPr>
            <w:tcW w:w="1440" w:type="dxa"/>
            <w:tcBorders>
              <w:top w:val="single" w:color="auto" w:sz="2" w:space="0"/>
              <w:left w:val="single" w:color="auto" w:sz="4" w:space="0"/>
              <w:bottom w:val="single" w:color="auto" w:sz="6" w:space="0"/>
              <w:right w:val="single" w:color="auto" w:sz="6" w:space="0"/>
            </w:tcBorders>
            <w:vAlign w:val="center"/>
          </w:tcPr>
          <w:p>
            <w:pPr>
              <w:pStyle w:val="29"/>
              <w:snapToGrid w:val="0"/>
              <w:jc w:val="center"/>
              <w:rPr>
                <w:rFonts w:hint="eastAsia" w:hAnsi="宋体"/>
                <w:color w:val="auto"/>
                <w:highlight w:val="none"/>
              </w:rPr>
            </w:pPr>
          </w:p>
        </w:tc>
        <w:tc>
          <w:tcPr>
            <w:tcW w:w="1440" w:type="dxa"/>
            <w:tcBorders>
              <w:top w:val="single" w:color="auto" w:sz="2" w:space="0"/>
              <w:left w:val="single" w:color="auto" w:sz="6" w:space="0"/>
              <w:bottom w:val="single" w:color="auto" w:sz="6" w:space="0"/>
              <w:right w:val="single" w:color="auto" w:sz="6" w:space="0"/>
            </w:tcBorders>
            <w:tcMar>
              <w:top w:w="15" w:type="dxa"/>
              <w:left w:w="15" w:type="dxa"/>
              <w:bottom w:w="0" w:type="dxa"/>
              <w:right w:w="15" w:type="dxa"/>
            </w:tcMar>
            <w:vAlign w:val="center"/>
          </w:tcPr>
          <w:p>
            <w:pPr>
              <w:pStyle w:val="29"/>
              <w:snapToGrid w:val="0"/>
              <w:jc w:val="center"/>
              <w:rPr>
                <w:rFonts w:hint="eastAsia" w:hAnsi="宋体"/>
                <w:color w:val="auto"/>
                <w:highlight w:val="none"/>
              </w:rPr>
            </w:pPr>
          </w:p>
        </w:tc>
        <w:tc>
          <w:tcPr>
            <w:tcW w:w="1530" w:type="dxa"/>
            <w:tcBorders>
              <w:top w:val="single" w:color="auto" w:sz="2" w:space="0"/>
              <w:left w:val="single" w:color="auto" w:sz="6" w:space="0"/>
              <w:bottom w:val="single" w:color="auto" w:sz="6" w:space="0"/>
              <w:right w:val="single" w:color="auto" w:sz="2" w:space="0"/>
            </w:tcBorders>
            <w:vAlign w:val="center"/>
          </w:tcPr>
          <w:p>
            <w:pPr>
              <w:pStyle w:val="29"/>
              <w:snapToGrid w:val="0"/>
              <w:jc w:val="center"/>
              <w:rPr>
                <w:rFonts w:hint="eastAsia" w:hAnsi="宋体"/>
                <w:color w:val="auto"/>
                <w:highlight w:val="none"/>
              </w:rPr>
            </w:pPr>
            <w:r>
              <w:rPr>
                <w:rFonts w:hint="eastAsia" w:hAnsi="宋体"/>
                <w:color w:val="auto"/>
                <w:highlight w:val="none"/>
                <w:u w:val="single"/>
              </w:rPr>
              <w:t xml:space="preserve">            </w:t>
            </w:r>
            <w:r>
              <w:rPr>
                <w:rFonts w:hint="eastAsia" w:hAnsi="宋体"/>
                <w:color w:val="auto"/>
                <w:highlight w:val="none"/>
              </w:rPr>
              <w:t>%</w:t>
            </w:r>
          </w:p>
        </w:tc>
        <w:tc>
          <w:tcPr>
            <w:tcW w:w="1530" w:type="dxa"/>
            <w:tcBorders>
              <w:top w:val="single" w:color="auto" w:sz="2" w:space="0"/>
              <w:left w:val="single" w:color="auto" w:sz="6" w:space="0"/>
              <w:bottom w:val="single" w:color="auto" w:sz="6" w:space="0"/>
              <w:right w:val="single" w:color="auto" w:sz="2" w:space="0"/>
            </w:tcBorders>
            <w:vAlign w:val="center"/>
          </w:tcPr>
          <w:p>
            <w:pPr>
              <w:pStyle w:val="29"/>
              <w:snapToGrid w:val="0"/>
              <w:jc w:val="center"/>
              <w:rPr>
                <w:rFonts w:hint="eastAsia" w:hAnsi="宋体"/>
                <w:color w:val="auto"/>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567" w:hRule="atLeast"/>
        </w:trPr>
        <w:tc>
          <w:tcPr>
            <w:tcW w:w="735" w:type="dxa"/>
            <w:tcBorders>
              <w:top w:val="single" w:color="auto" w:sz="4" w:space="0"/>
              <w:left w:val="single" w:color="auto" w:sz="4" w:space="0"/>
              <w:bottom w:val="single" w:color="auto" w:sz="4" w:space="0"/>
              <w:right w:val="single" w:color="auto" w:sz="2" w:space="0"/>
            </w:tcBorders>
            <w:tcMar>
              <w:top w:w="15" w:type="dxa"/>
              <w:left w:w="15" w:type="dxa"/>
              <w:bottom w:w="0" w:type="dxa"/>
              <w:right w:w="15" w:type="dxa"/>
            </w:tcMar>
            <w:vAlign w:val="center"/>
          </w:tcPr>
          <w:p>
            <w:pPr>
              <w:pStyle w:val="29"/>
              <w:snapToGrid w:val="0"/>
              <w:jc w:val="center"/>
              <w:rPr>
                <w:rFonts w:hint="eastAsia" w:hAnsi="宋体"/>
                <w:color w:val="auto"/>
                <w:highlight w:val="none"/>
              </w:rPr>
            </w:pPr>
          </w:p>
        </w:tc>
        <w:tc>
          <w:tcPr>
            <w:tcW w:w="2700" w:type="dxa"/>
            <w:tcBorders>
              <w:top w:val="single" w:color="auto" w:sz="6" w:space="0"/>
              <w:left w:val="single" w:color="auto" w:sz="2" w:space="0"/>
              <w:bottom w:val="single" w:color="auto" w:sz="6" w:space="0"/>
              <w:right w:val="single" w:color="auto" w:sz="4" w:space="0"/>
            </w:tcBorders>
            <w:vAlign w:val="center"/>
          </w:tcPr>
          <w:p>
            <w:pPr>
              <w:pStyle w:val="29"/>
              <w:snapToGrid w:val="0"/>
              <w:jc w:val="center"/>
              <w:rPr>
                <w:rFonts w:hint="eastAsia" w:hAnsi="宋体"/>
                <w:color w:val="auto"/>
                <w:highlight w:val="none"/>
              </w:rPr>
            </w:pPr>
          </w:p>
        </w:tc>
        <w:tc>
          <w:tcPr>
            <w:tcW w:w="1440" w:type="dxa"/>
            <w:tcBorders>
              <w:top w:val="single" w:color="auto" w:sz="6" w:space="0"/>
              <w:left w:val="single" w:color="auto" w:sz="4" w:space="0"/>
              <w:bottom w:val="single" w:color="auto" w:sz="6" w:space="0"/>
              <w:right w:val="single" w:color="auto" w:sz="6" w:space="0"/>
            </w:tcBorders>
            <w:vAlign w:val="center"/>
          </w:tcPr>
          <w:p>
            <w:pPr>
              <w:pStyle w:val="29"/>
              <w:snapToGrid w:val="0"/>
              <w:jc w:val="center"/>
              <w:rPr>
                <w:rFonts w:hint="eastAsia" w:hAnsi="宋体"/>
                <w:color w:val="auto"/>
                <w:highlight w:val="none"/>
              </w:rPr>
            </w:pPr>
          </w:p>
        </w:tc>
        <w:tc>
          <w:tcPr>
            <w:tcW w:w="1440" w:type="dxa"/>
            <w:tcBorders>
              <w:top w:val="single" w:color="auto" w:sz="6" w:space="0"/>
              <w:left w:val="single" w:color="auto" w:sz="6" w:space="0"/>
              <w:bottom w:val="single" w:color="auto" w:sz="6" w:space="0"/>
              <w:right w:val="single" w:color="auto" w:sz="6" w:space="0"/>
            </w:tcBorders>
            <w:tcMar>
              <w:top w:w="15" w:type="dxa"/>
              <w:left w:w="15" w:type="dxa"/>
              <w:bottom w:w="0" w:type="dxa"/>
              <w:right w:w="15" w:type="dxa"/>
            </w:tcMar>
            <w:vAlign w:val="center"/>
          </w:tcPr>
          <w:p>
            <w:pPr>
              <w:pStyle w:val="29"/>
              <w:snapToGrid w:val="0"/>
              <w:jc w:val="center"/>
              <w:rPr>
                <w:rFonts w:hint="eastAsia" w:hAnsi="宋体"/>
                <w:color w:val="auto"/>
                <w:highlight w:val="none"/>
              </w:rPr>
            </w:pPr>
          </w:p>
        </w:tc>
        <w:tc>
          <w:tcPr>
            <w:tcW w:w="1530" w:type="dxa"/>
            <w:tcBorders>
              <w:top w:val="single" w:color="auto" w:sz="6" w:space="0"/>
              <w:left w:val="single" w:color="auto" w:sz="6" w:space="0"/>
              <w:bottom w:val="single" w:color="auto" w:sz="6" w:space="0"/>
              <w:right w:val="single" w:color="auto" w:sz="2" w:space="0"/>
            </w:tcBorders>
            <w:vAlign w:val="center"/>
          </w:tcPr>
          <w:p>
            <w:pPr>
              <w:pStyle w:val="29"/>
              <w:snapToGrid w:val="0"/>
              <w:jc w:val="center"/>
              <w:rPr>
                <w:rFonts w:hint="eastAsia" w:hAnsi="宋体"/>
                <w:color w:val="auto"/>
                <w:highlight w:val="none"/>
              </w:rPr>
            </w:pPr>
            <w:r>
              <w:rPr>
                <w:rFonts w:hint="eastAsia" w:hAnsi="宋体"/>
                <w:color w:val="auto"/>
                <w:highlight w:val="none"/>
                <w:u w:val="single"/>
              </w:rPr>
              <w:t xml:space="preserve">            </w:t>
            </w:r>
            <w:r>
              <w:rPr>
                <w:rFonts w:hint="eastAsia" w:hAnsi="宋体"/>
                <w:color w:val="auto"/>
                <w:highlight w:val="none"/>
              </w:rPr>
              <w:t>%</w:t>
            </w:r>
          </w:p>
        </w:tc>
        <w:tc>
          <w:tcPr>
            <w:tcW w:w="1530" w:type="dxa"/>
            <w:tcBorders>
              <w:top w:val="single" w:color="auto" w:sz="6" w:space="0"/>
              <w:left w:val="single" w:color="auto" w:sz="6" w:space="0"/>
              <w:bottom w:val="single" w:color="auto" w:sz="6" w:space="0"/>
              <w:right w:val="single" w:color="auto" w:sz="2" w:space="0"/>
            </w:tcBorders>
            <w:vAlign w:val="center"/>
          </w:tcPr>
          <w:p>
            <w:pPr>
              <w:pStyle w:val="29"/>
              <w:snapToGrid w:val="0"/>
              <w:jc w:val="center"/>
              <w:rPr>
                <w:rFonts w:hint="eastAsia" w:hAnsi="宋体"/>
                <w:color w:val="auto"/>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567" w:hRule="atLeast"/>
        </w:trPr>
        <w:tc>
          <w:tcPr>
            <w:tcW w:w="735" w:type="dxa"/>
            <w:tcBorders>
              <w:top w:val="single" w:color="auto" w:sz="4" w:space="0"/>
              <w:left w:val="single" w:color="auto" w:sz="4" w:space="0"/>
              <w:bottom w:val="single" w:color="auto" w:sz="4" w:space="0"/>
              <w:right w:val="single" w:color="auto" w:sz="2" w:space="0"/>
            </w:tcBorders>
            <w:tcMar>
              <w:top w:w="15" w:type="dxa"/>
              <w:left w:w="15" w:type="dxa"/>
              <w:bottom w:w="0" w:type="dxa"/>
              <w:right w:w="15" w:type="dxa"/>
            </w:tcMar>
            <w:vAlign w:val="center"/>
          </w:tcPr>
          <w:p>
            <w:pPr>
              <w:pStyle w:val="29"/>
              <w:snapToGrid w:val="0"/>
              <w:jc w:val="center"/>
              <w:rPr>
                <w:rFonts w:hint="eastAsia" w:hAnsi="宋体"/>
                <w:color w:val="auto"/>
                <w:highlight w:val="none"/>
              </w:rPr>
            </w:pPr>
          </w:p>
        </w:tc>
        <w:tc>
          <w:tcPr>
            <w:tcW w:w="2700" w:type="dxa"/>
            <w:tcBorders>
              <w:top w:val="single" w:color="auto" w:sz="6" w:space="0"/>
              <w:left w:val="single" w:color="auto" w:sz="2" w:space="0"/>
              <w:bottom w:val="single" w:color="auto" w:sz="6" w:space="0"/>
              <w:right w:val="single" w:color="auto" w:sz="4" w:space="0"/>
            </w:tcBorders>
            <w:vAlign w:val="center"/>
          </w:tcPr>
          <w:p>
            <w:pPr>
              <w:pStyle w:val="29"/>
              <w:snapToGrid w:val="0"/>
              <w:jc w:val="center"/>
              <w:rPr>
                <w:rFonts w:hint="eastAsia" w:hAnsi="宋体"/>
                <w:color w:val="auto"/>
                <w:highlight w:val="none"/>
              </w:rPr>
            </w:pPr>
          </w:p>
        </w:tc>
        <w:tc>
          <w:tcPr>
            <w:tcW w:w="1440" w:type="dxa"/>
            <w:tcBorders>
              <w:top w:val="single" w:color="auto" w:sz="6" w:space="0"/>
              <w:left w:val="single" w:color="auto" w:sz="4" w:space="0"/>
              <w:bottom w:val="single" w:color="auto" w:sz="6" w:space="0"/>
              <w:right w:val="single" w:color="auto" w:sz="6" w:space="0"/>
            </w:tcBorders>
            <w:vAlign w:val="center"/>
          </w:tcPr>
          <w:p>
            <w:pPr>
              <w:pStyle w:val="29"/>
              <w:snapToGrid w:val="0"/>
              <w:jc w:val="center"/>
              <w:rPr>
                <w:rFonts w:hint="eastAsia" w:hAnsi="宋体"/>
                <w:color w:val="auto"/>
                <w:highlight w:val="none"/>
              </w:rPr>
            </w:pPr>
          </w:p>
        </w:tc>
        <w:tc>
          <w:tcPr>
            <w:tcW w:w="1440" w:type="dxa"/>
            <w:tcBorders>
              <w:top w:val="single" w:color="auto" w:sz="6" w:space="0"/>
              <w:left w:val="single" w:color="auto" w:sz="6" w:space="0"/>
              <w:bottom w:val="single" w:color="auto" w:sz="6" w:space="0"/>
              <w:right w:val="single" w:color="auto" w:sz="6" w:space="0"/>
            </w:tcBorders>
            <w:tcMar>
              <w:top w:w="15" w:type="dxa"/>
              <w:left w:w="15" w:type="dxa"/>
              <w:bottom w:w="0" w:type="dxa"/>
              <w:right w:w="15" w:type="dxa"/>
            </w:tcMar>
            <w:vAlign w:val="center"/>
          </w:tcPr>
          <w:p>
            <w:pPr>
              <w:pStyle w:val="29"/>
              <w:snapToGrid w:val="0"/>
              <w:jc w:val="center"/>
              <w:rPr>
                <w:rFonts w:hint="eastAsia" w:hAnsi="宋体"/>
                <w:color w:val="auto"/>
                <w:highlight w:val="none"/>
              </w:rPr>
            </w:pPr>
          </w:p>
        </w:tc>
        <w:tc>
          <w:tcPr>
            <w:tcW w:w="1530" w:type="dxa"/>
            <w:tcBorders>
              <w:top w:val="single" w:color="auto" w:sz="6" w:space="0"/>
              <w:left w:val="single" w:color="auto" w:sz="6" w:space="0"/>
              <w:bottom w:val="single" w:color="auto" w:sz="6" w:space="0"/>
              <w:right w:val="single" w:color="auto" w:sz="2" w:space="0"/>
            </w:tcBorders>
            <w:vAlign w:val="center"/>
          </w:tcPr>
          <w:p>
            <w:pPr>
              <w:pStyle w:val="29"/>
              <w:snapToGrid w:val="0"/>
              <w:jc w:val="center"/>
              <w:rPr>
                <w:rFonts w:hint="eastAsia" w:hAnsi="宋体"/>
                <w:color w:val="auto"/>
                <w:highlight w:val="none"/>
              </w:rPr>
            </w:pPr>
            <w:r>
              <w:rPr>
                <w:rFonts w:hint="eastAsia" w:hAnsi="宋体"/>
                <w:color w:val="auto"/>
                <w:highlight w:val="none"/>
                <w:u w:val="single"/>
              </w:rPr>
              <w:t xml:space="preserve">            </w:t>
            </w:r>
            <w:r>
              <w:rPr>
                <w:rFonts w:hint="eastAsia" w:hAnsi="宋体"/>
                <w:color w:val="auto"/>
                <w:highlight w:val="none"/>
              </w:rPr>
              <w:t>%</w:t>
            </w:r>
          </w:p>
        </w:tc>
        <w:tc>
          <w:tcPr>
            <w:tcW w:w="1530" w:type="dxa"/>
            <w:tcBorders>
              <w:top w:val="single" w:color="auto" w:sz="6" w:space="0"/>
              <w:left w:val="single" w:color="auto" w:sz="6" w:space="0"/>
              <w:bottom w:val="single" w:color="auto" w:sz="6" w:space="0"/>
              <w:right w:val="single" w:color="auto" w:sz="2" w:space="0"/>
            </w:tcBorders>
            <w:vAlign w:val="center"/>
          </w:tcPr>
          <w:p>
            <w:pPr>
              <w:pStyle w:val="29"/>
              <w:snapToGrid w:val="0"/>
              <w:jc w:val="center"/>
              <w:rPr>
                <w:rFonts w:hint="eastAsia" w:hAnsi="宋体"/>
                <w:color w:val="auto"/>
                <w:highlight w:val="none"/>
              </w:rPr>
            </w:pPr>
          </w:p>
        </w:tc>
      </w:tr>
    </w:tbl>
    <w:p>
      <w:pPr>
        <w:snapToGrid w:val="0"/>
        <w:spacing w:before="100" w:beforeAutospacing="1" w:after="100" w:afterAutospacing="1" w:line="360" w:lineRule="auto"/>
        <w:rPr>
          <w:rFonts w:hint="eastAsia" w:ascii="宋体" w:hAnsi="宋体"/>
          <w:color w:val="auto"/>
          <w:spacing w:val="20"/>
          <w:szCs w:val="21"/>
          <w:highlight w:val="none"/>
          <w:u w:val="single"/>
        </w:rPr>
      </w:pPr>
      <w:r>
        <w:rPr>
          <w:rFonts w:hint="eastAsia" w:ascii="宋体" w:hAnsi="宋体"/>
          <w:color w:val="auto"/>
          <w:szCs w:val="21"/>
          <w:highlight w:val="none"/>
        </w:rPr>
        <w:t>法定代表人或委托代理人签字或签章</w:t>
      </w:r>
      <w:r>
        <w:rPr>
          <w:rFonts w:hint="eastAsia" w:ascii="宋体" w:hAnsi="宋体"/>
          <w:color w:val="auto"/>
          <w:spacing w:val="20"/>
          <w:szCs w:val="21"/>
          <w:highlight w:val="none"/>
        </w:rPr>
        <w:t>：</w:t>
      </w:r>
      <w:r>
        <w:rPr>
          <w:rFonts w:hint="eastAsia" w:ascii="宋体" w:hAnsi="宋体"/>
          <w:color w:val="auto"/>
          <w:spacing w:val="20"/>
          <w:szCs w:val="21"/>
          <w:highlight w:val="none"/>
          <w:u w:val="single"/>
        </w:rPr>
        <w:t xml:space="preserve">        </w:t>
      </w:r>
    </w:p>
    <w:p>
      <w:pPr>
        <w:snapToGrid w:val="0"/>
        <w:spacing w:before="100" w:beforeAutospacing="1" w:after="100" w:afterAutospacing="1" w:line="480" w:lineRule="auto"/>
        <w:rPr>
          <w:rFonts w:hint="eastAsia" w:ascii="宋体" w:hAnsi="宋体"/>
          <w:color w:val="auto"/>
          <w:szCs w:val="21"/>
          <w:highlight w:val="none"/>
        </w:rPr>
      </w:pPr>
      <w:r>
        <w:rPr>
          <w:rFonts w:hint="eastAsia" w:ascii="宋体" w:hAnsi="宋体"/>
          <w:color w:val="auto"/>
          <w:spacing w:val="20"/>
          <w:szCs w:val="21"/>
          <w:highlight w:val="none"/>
        </w:rPr>
        <w:t>投标人盖章：</w:t>
      </w:r>
      <w:r>
        <w:rPr>
          <w:rFonts w:hint="eastAsia" w:ascii="宋体" w:hAnsi="宋体"/>
          <w:color w:val="auto"/>
          <w:spacing w:val="20"/>
          <w:szCs w:val="21"/>
          <w:highlight w:val="none"/>
          <w:u w:val="single"/>
        </w:rPr>
        <w:t xml:space="preserve">            </w:t>
      </w:r>
      <w:r>
        <w:rPr>
          <w:rFonts w:hint="eastAsia" w:ascii="宋体" w:hAnsi="宋体"/>
          <w:color w:val="auto"/>
          <w:spacing w:val="20"/>
          <w:szCs w:val="21"/>
          <w:highlight w:val="none"/>
        </w:rPr>
        <w:t xml:space="preserve">            日 期：</w:t>
      </w:r>
      <w:r>
        <w:rPr>
          <w:rFonts w:hint="eastAsia" w:ascii="宋体" w:hAnsi="宋体"/>
          <w:color w:val="auto"/>
          <w:spacing w:val="20"/>
          <w:szCs w:val="21"/>
          <w:highlight w:val="none"/>
          <w:u w:val="single"/>
        </w:rPr>
        <w:t xml:space="preserve">            </w:t>
      </w:r>
    </w:p>
    <w:p>
      <w:pPr>
        <w:snapToGrid w:val="0"/>
        <w:spacing w:before="50" w:after="156" w:afterLines="50" w:line="360" w:lineRule="exact"/>
        <w:jc w:val="left"/>
        <w:rPr>
          <w:rFonts w:hint="eastAsia" w:ascii="宋体" w:hAnsi="宋体"/>
          <w:color w:val="auto"/>
          <w:szCs w:val="21"/>
          <w:highlight w:val="none"/>
        </w:rPr>
      </w:pPr>
    </w:p>
    <w:p>
      <w:pPr>
        <w:snapToGrid w:val="0"/>
        <w:spacing w:before="50" w:after="156" w:afterLines="50" w:line="360" w:lineRule="exact"/>
        <w:jc w:val="left"/>
        <w:rPr>
          <w:rFonts w:hint="eastAsia" w:ascii="宋体" w:hAnsi="宋体"/>
          <w:color w:val="auto"/>
          <w:szCs w:val="21"/>
          <w:highlight w:val="none"/>
        </w:rPr>
      </w:pPr>
      <w:r>
        <w:rPr>
          <w:rFonts w:hint="eastAsia" w:ascii="宋体" w:hAnsi="宋体"/>
          <w:color w:val="auto"/>
          <w:szCs w:val="21"/>
          <w:highlight w:val="none"/>
        </w:rPr>
        <w:t>（7）投标人对本项目的合理化建议和改进措施（格式自拟）</w:t>
      </w:r>
    </w:p>
    <w:p>
      <w:pPr>
        <w:snapToGrid w:val="0"/>
        <w:spacing w:before="50" w:after="156" w:afterLines="50" w:line="360" w:lineRule="exact"/>
        <w:jc w:val="left"/>
        <w:rPr>
          <w:rFonts w:hint="eastAsia" w:ascii="宋体" w:hAnsi="宋体"/>
          <w:color w:val="auto"/>
          <w:szCs w:val="21"/>
          <w:highlight w:val="none"/>
        </w:rPr>
      </w:pPr>
      <w:r>
        <w:rPr>
          <w:rFonts w:hint="eastAsia" w:ascii="宋体" w:hAnsi="宋体"/>
          <w:color w:val="auto"/>
          <w:szCs w:val="21"/>
          <w:highlight w:val="none"/>
        </w:rPr>
        <w:t>（8）投标人需要说明的其他文件和说明（格式自拟）</w:t>
      </w:r>
    </w:p>
    <w:p>
      <w:pPr>
        <w:snapToGrid w:val="0"/>
        <w:spacing w:line="360" w:lineRule="exact"/>
        <w:jc w:val="left"/>
        <w:rPr>
          <w:rFonts w:hint="eastAsia" w:ascii="宋体" w:hAnsi="宋体"/>
          <w:color w:val="auto"/>
          <w:szCs w:val="21"/>
          <w:highlight w:val="none"/>
        </w:rPr>
      </w:pPr>
      <w:r>
        <w:rPr>
          <w:rFonts w:hint="eastAsia" w:ascii="宋体" w:hAnsi="宋体"/>
          <w:color w:val="auto"/>
          <w:szCs w:val="21"/>
          <w:highlight w:val="none"/>
        </w:rPr>
        <w:t>▲（9）招标项目采购需求中要求必须提供的材料。（招标项目采购需求中要求必须提供的材料，据实提供）</w:t>
      </w:r>
    </w:p>
    <w:p>
      <w:pPr>
        <w:snapToGrid w:val="0"/>
        <w:spacing w:before="50" w:line="360" w:lineRule="exact"/>
        <w:jc w:val="left"/>
        <w:rPr>
          <w:rFonts w:hint="eastAsia" w:ascii="宋体" w:hAnsi="宋体"/>
          <w:b/>
          <w:color w:val="auto"/>
          <w:szCs w:val="21"/>
          <w:highlight w:val="none"/>
        </w:rPr>
      </w:pPr>
    </w:p>
    <w:p>
      <w:pPr>
        <w:snapToGrid w:val="0"/>
        <w:spacing w:before="156" w:beforeLines="50" w:after="50" w:line="360" w:lineRule="exact"/>
        <w:outlineLvl w:val="0"/>
        <w:rPr>
          <w:rFonts w:hint="eastAsia" w:ascii="宋体" w:hAnsi="宋体"/>
          <w:b/>
          <w:color w:val="auto"/>
          <w:szCs w:val="21"/>
          <w:highlight w:val="none"/>
        </w:rPr>
      </w:pPr>
      <w:r>
        <w:rPr>
          <w:rFonts w:hint="eastAsia" w:ascii="宋体" w:hAnsi="宋体"/>
          <w:b/>
          <w:color w:val="auto"/>
          <w:szCs w:val="21"/>
          <w:highlight w:val="none"/>
        </w:rPr>
        <w:t>四）报价文件部分 （格式）</w:t>
      </w:r>
    </w:p>
    <w:p>
      <w:pPr>
        <w:snapToGrid w:val="0"/>
        <w:spacing w:before="156" w:beforeLines="50" w:after="50" w:line="360" w:lineRule="exact"/>
        <w:rPr>
          <w:rFonts w:hint="eastAsia" w:ascii="宋体" w:hAnsi="宋体"/>
          <w:b/>
          <w:color w:val="auto"/>
          <w:szCs w:val="21"/>
          <w:highlight w:val="none"/>
        </w:rPr>
      </w:pPr>
      <w:r>
        <w:rPr>
          <w:rFonts w:hint="eastAsia" w:ascii="宋体" w:hAnsi="宋体"/>
          <w:b/>
          <w:color w:val="auto"/>
          <w:szCs w:val="21"/>
          <w:highlight w:val="none"/>
        </w:rPr>
        <w:t>（1）投标函格式：</w:t>
      </w:r>
    </w:p>
    <w:p>
      <w:pPr>
        <w:snapToGrid w:val="0"/>
        <w:spacing w:before="156" w:beforeLines="50" w:after="50" w:line="360" w:lineRule="exact"/>
        <w:jc w:val="center"/>
        <w:rPr>
          <w:rFonts w:hint="eastAsia" w:ascii="宋体" w:hAnsi="宋体"/>
          <w:b/>
          <w:color w:val="auto"/>
          <w:szCs w:val="21"/>
          <w:highlight w:val="none"/>
        </w:rPr>
      </w:pPr>
      <w:r>
        <w:rPr>
          <w:rFonts w:hint="eastAsia" w:ascii="宋体" w:hAnsi="宋体"/>
          <w:b/>
          <w:color w:val="auto"/>
          <w:szCs w:val="21"/>
          <w:highlight w:val="none"/>
        </w:rPr>
        <w:t>投 标 函</w:t>
      </w:r>
    </w:p>
    <w:p>
      <w:pPr>
        <w:snapToGrid w:val="0"/>
        <w:spacing w:line="500" w:lineRule="exact"/>
        <w:rPr>
          <w:rFonts w:hint="eastAsia" w:ascii="宋体" w:hAnsi="宋体"/>
          <w:color w:val="auto"/>
          <w:szCs w:val="21"/>
          <w:highlight w:val="none"/>
        </w:rPr>
      </w:pPr>
      <w:r>
        <w:rPr>
          <w:rFonts w:hint="eastAsia" w:ascii="宋体" w:hAnsi="宋体"/>
          <w:color w:val="auto"/>
          <w:szCs w:val="21"/>
          <w:highlight w:val="none"/>
        </w:rPr>
        <w:t>致：</w:t>
      </w:r>
      <w:r>
        <w:rPr>
          <w:rFonts w:hint="eastAsia"/>
          <w:color w:val="auto"/>
          <w:highlight w:val="none"/>
          <w:u w:val="single"/>
        </w:rPr>
        <w:t>广西壮族自治区政府采购中心</w:t>
      </w:r>
      <w:r>
        <w:rPr>
          <w:rFonts w:hint="eastAsia" w:ascii="宋体" w:hAnsi="宋体"/>
          <w:color w:val="auto"/>
          <w:szCs w:val="21"/>
          <w:highlight w:val="none"/>
        </w:rPr>
        <w:t>：</w:t>
      </w:r>
    </w:p>
    <w:p>
      <w:pPr>
        <w:snapToGrid w:val="0"/>
        <w:spacing w:line="500" w:lineRule="exact"/>
        <w:ind w:firstLine="480"/>
        <w:rPr>
          <w:rFonts w:hint="eastAsia" w:ascii="宋体" w:hAnsi="宋体"/>
          <w:color w:val="auto"/>
          <w:szCs w:val="21"/>
          <w:highlight w:val="none"/>
        </w:rPr>
      </w:pPr>
      <w:r>
        <w:rPr>
          <w:rFonts w:hint="eastAsia" w:ascii="宋体" w:hAnsi="宋体"/>
          <w:color w:val="auto"/>
          <w:szCs w:val="21"/>
          <w:highlight w:val="none"/>
        </w:rPr>
        <w:t>根据贵方为</w:t>
      </w:r>
      <w:r>
        <w:rPr>
          <w:rFonts w:hint="eastAsia" w:ascii="宋体" w:hAnsi="宋体"/>
          <w:color w:val="auto"/>
          <w:szCs w:val="21"/>
          <w:highlight w:val="none"/>
          <w:u w:val="single"/>
        </w:rPr>
        <w:t xml:space="preserve">                             </w:t>
      </w:r>
      <w:r>
        <w:rPr>
          <w:rFonts w:hint="eastAsia" w:ascii="宋体" w:hAnsi="宋体"/>
          <w:color w:val="auto"/>
          <w:szCs w:val="21"/>
          <w:highlight w:val="none"/>
        </w:rPr>
        <w:t>项目的招标公告（项目编号：____</w:t>
      </w:r>
      <w:r>
        <w:rPr>
          <w:rFonts w:hint="eastAsia" w:ascii="宋体" w:hAnsi="宋体"/>
          <w:color w:val="auto"/>
          <w:szCs w:val="21"/>
          <w:highlight w:val="none"/>
          <w:u w:val="single"/>
        </w:rPr>
        <w:t>_     _</w:t>
      </w:r>
      <w:r>
        <w:rPr>
          <w:rFonts w:hint="eastAsia" w:ascii="宋体" w:hAnsi="宋体"/>
          <w:color w:val="auto"/>
          <w:szCs w:val="21"/>
          <w:highlight w:val="none"/>
        </w:rPr>
        <w:t>_），签字代表______</w:t>
      </w:r>
      <w:r>
        <w:rPr>
          <w:rFonts w:hint="eastAsia" w:ascii="宋体" w:hAnsi="宋体"/>
          <w:color w:val="auto"/>
          <w:szCs w:val="21"/>
          <w:highlight w:val="none"/>
          <w:u w:val="single"/>
        </w:rPr>
        <w:t xml:space="preserve">_     </w:t>
      </w:r>
      <w:r>
        <w:rPr>
          <w:rFonts w:hint="eastAsia" w:ascii="宋体" w:hAnsi="宋体"/>
          <w:color w:val="auto"/>
          <w:szCs w:val="21"/>
          <w:highlight w:val="none"/>
        </w:rPr>
        <w:t>（全名）经正式授权并代表投标人_____</w:t>
      </w:r>
      <w:r>
        <w:rPr>
          <w:rFonts w:hint="eastAsia" w:ascii="宋体" w:hAnsi="宋体"/>
          <w:color w:val="auto"/>
          <w:szCs w:val="21"/>
          <w:highlight w:val="none"/>
          <w:u w:val="single"/>
        </w:rPr>
        <w:t>__                    __</w:t>
      </w:r>
      <w:r>
        <w:rPr>
          <w:rFonts w:hint="eastAsia" w:ascii="宋体" w:hAnsi="宋体"/>
          <w:color w:val="auto"/>
          <w:szCs w:val="21"/>
          <w:highlight w:val="none"/>
        </w:rPr>
        <w:t>（投标人名称）上传并提交加密的电子投标文件一份。</w:t>
      </w:r>
    </w:p>
    <w:p>
      <w:pPr>
        <w:snapToGrid w:val="0"/>
        <w:spacing w:line="500" w:lineRule="exact"/>
        <w:ind w:firstLine="420" w:firstLineChars="200"/>
        <w:rPr>
          <w:rFonts w:hint="eastAsia" w:ascii="宋体" w:hAnsi="宋体"/>
          <w:color w:val="auto"/>
          <w:szCs w:val="21"/>
          <w:highlight w:val="none"/>
        </w:rPr>
      </w:pPr>
      <w:r>
        <w:rPr>
          <w:rFonts w:hint="eastAsia" w:ascii="宋体" w:hAnsi="宋体"/>
          <w:color w:val="auto"/>
          <w:szCs w:val="21"/>
          <w:highlight w:val="none"/>
        </w:rPr>
        <w:t>据此函，签字代表宣布同意如下：</w:t>
      </w:r>
    </w:p>
    <w:p>
      <w:pPr>
        <w:snapToGrid w:val="0"/>
        <w:spacing w:line="500" w:lineRule="exact"/>
        <w:ind w:firstLine="420" w:firstLineChars="200"/>
        <w:rPr>
          <w:rFonts w:hint="eastAsia" w:ascii="宋体" w:hAnsi="宋体"/>
          <w:color w:val="auto"/>
          <w:szCs w:val="21"/>
          <w:highlight w:val="none"/>
        </w:rPr>
      </w:pPr>
      <w:r>
        <w:rPr>
          <w:rFonts w:hint="eastAsia" w:ascii="宋体" w:hAnsi="宋体"/>
          <w:color w:val="auto"/>
          <w:szCs w:val="21"/>
          <w:highlight w:val="none"/>
        </w:rPr>
        <w:t>1.投标人已详细审查全部“招标文件”，包括修改文件（如有的话）以及全部参考资料和有关附件，已经了解我方对于招标文件、采购过程、采购结果有依法进行询问、质疑、投诉的权利及相关渠道和要求。</w:t>
      </w:r>
    </w:p>
    <w:p>
      <w:pPr>
        <w:snapToGrid w:val="0"/>
        <w:spacing w:line="500" w:lineRule="exact"/>
        <w:ind w:firstLine="420" w:firstLineChars="200"/>
        <w:rPr>
          <w:rFonts w:hint="eastAsia" w:ascii="宋体" w:hAnsi="宋体"/>
          <w:color w:val="auto"/>
          <w:szCs w:val="21"/>
          <w:highlight w:val="none"/>
        </w:rPr>
      </w:pPr>
      <w:r>
        <w:rPr>
          <w:rFonts w:hint="eastAsia" w:ascii="宋体" w:hAnsi="宋体"/>
          <w:color w:val="auto"/>
          <w:szCs w:val="21"/>
          <w:highlight w:val="none"/>
        </w:rPr>
        <w:t>2.投标人在投标之前已经与贵方进行了充分的沟通，完全理解并接受招标文件的各项规定和要求，对招标文件的合理性、合法性不再有异议。</w:t>
      </w:r>
    </w:p>
    <w:p>
      <w:pPr>
        <w:snapToGrid w:val="0"/>
        <w:spacing w:line="500" w:lineRule="exact"/>
        <w:ind w:firstLine="420" w:firstLineChars="200"/>
        <w:rPr>
          <w:rFonts w:hint="eastAsia" w:ascii="宋体" w:hAnsi="宋体"/>
          <w:color w:val="auto"/>
          <w:szCs w:val="21"/>
          <w:highlight w:val="none"/>
        </w:rPr>
      </w:pPr>
      <w:r>
        <w:rPr>
          <w:rFonts w:hint="eastAsia" w:ascii="宋体" w:hAnsi="宋体"/>
          <w:color w:val="auto"/>
          <w:szCs w:val="21"/>
          <w:highlight w:val="none"/>
        </w:rPr>
        <w:t>3.本投标有效期自开标日起 ______个</w:t>
      </w:r>
      <w:r>
        <w:rPr>
          <w:rFonts w:hint="eastAsia" w:ascii="宋体" w:hAnsi="宋体"/>
          <w:color w:val="auto"/>
          <w:szCs w:val="21"/>
          <w:highlight w:val="none"/>
          <w:u w:val="single"/>
        </w:rPr>
        <w:t xml:space="preserve">     </w:t>
      </w:r>
      <w:r>
        <w:rPr>
          <w:rFonts w:hint="eastAsia" w:ascii="宋体" w:hAnsi="宋体"/>
          <w:color w:val="auto"/>
          <w:szCs w:val="21"/>
          <w:highlight w:val="none"/>
        </w:rPr>
        <w:t>日（自然日）。</w:t>
      </w:r>
    </w:p>
    <w:p>
      <w:pPr>
        <w:snapToGrid w:val="0"/>
        <w:spacing w:line="500" w:lineRule="exact"/>
        <w:ind w:firstLine="420" w:firstLineChars="200"/>
        <w:rPr>
          <w:rFonts w:hint="eastAsia" w:ascii="宋体" w:hAnsi="宋体"/>
          <w:color w:val="auto"/>
          <w:szCs w:val="21"/>
          <w:highlight w:val="none"/>
        </w:rPr>
      </w:pPr>
      <w:r>
        <w:rPr>
          <w:rFonts w:hint="eastAsia" w:ascii="宋体" w:hAnsi="宋体"/>
          <w:color w:val="auto"/>
          <w:szCs w:val="21"/>
          <w:highlight w:val="none"/>
        </w:rPr>
        <w:t>4.如中标，本投标文件至本项目合同履行完毕止均保持有效，本投标人将按“招标文件”及政府采购法律、法规的规定履行合同责任和义务。</w:t>
      </w:r>
    </w:p>
    <w:p>
      <w:pPr>
        <w:snapToGrid w:val="0"/>
        <w:spacing w:line="500" w:lineRule="exact"/>
        <w:ind w:firstLine="420" w:firstLineChars="200"/>
        <w:rPr>
          <w:rFonts w:hint="eastAsia" w:ascii="宋体" w:hAnsi="宋体"/>
          <w:color w:val="auto"/>
          <w:szCs w:val="21"/>
          <w:highlight w:val="none"/>
        </w:rPr>
      </w:pPr>
      <w:r>
        <w:rPr>
          <w:rFonts w:hint="eastAsia" w:ascii="宋体" w:hAnsi="宋体"/>
          <w:color w:val="auto"/>
          <w:szCs w:val="21"/>
          <w:highlight w:val="none"/>
        </w:rPr>
        <w:t>5.投标人同意按照贵方要求提供与投标有关的一切数据或资料。</w:t>
      </w:r>
    </w:p>
    <w:p>
      <w:pPr>
        <w:snapToGrid w:val="0"/>
        <w:spacing w:line="500" w:lineRule="exact"/>
        <w:ind w:firstLine="420" w:firstLineChars="200"/>
        <w:rPr>
          <w:rFonts w:hint="eastAsia" w:ascii="宋体" w:hAnsi="宋体"/>
          <w:color w:val="auto"/>
          <w:szCs w:val="21"/>
          <w:highlight w:val="none"/>
        </w:rPr>
      </w:pPr>
      <w:r>
        <w:rPr>
          <w:rFonts w:hint="eastAsia" w:ascii="宋体" w:hAnsi="宋体"/>
          <w:color w:val="auto"/>
          <w:szCs w:val="21"/>
          <w:highlight w:val="none"/>
        </w:rPr>
        <w:t>6.与本投标有关的一切正式往来信函请寄：</w:t>
      </w:r>
    </w:p>
    <w:p>
      <w:pPr>
        <w:snapToGrid w:val="0"/>
        <w:spacing w:line="500" w:lineRule="exact"/>
        <w:rPr>
          <w:rFonts w:hint="eastAsia" w:ascii="宋体" w:hAnsi="宋体"/>
          <w:color w:val="auto"/>
          <w:szCs w:val="21"/>
          <w:highlight w:val="none"/>
        </w:rPr>
      </w:pPr>
      <w:r>
        <w:rPr>
          <w:rFonts w:hint="eastAsia" w:ascii="宋体" w:hAnsi="宋体"/>
          <w:color w:val="auto"/>
          <w:szCs w:val="21"/>
          <w:highlight w:val="none"/>
        </w:rPr>
        <w:t>地址：______________________</w:t>
      </w:r>
      <w:r>
        <w:rPr>
          <w:rFonts w:hint="eastAsia" w:ascii="宋体" w:hAnsi="宋体"/>
          <w:color w:val="auto"/>
          <w:szCs w:val="21"/>
          <w:highlight w:val="none"/>
          <w:u w:val="single"/>
        </w:rPr>
        <w:t>_</w:t>
      </w:r>
      <w:r>
        <w:rPr>
          <w:rFonts w:hint="eastAsia" w:ascii="宋体" w:hAnsi="宋体"/>
          <w:color w:val="auto"/>
          <w:szCs w:val="21"/>
          <w:highlight w:val="none"/>
        </w:rPr>
        <w:t>___邮编：__________   电话：______________</w:t>
      </w:r>
    </w:p>
    <w:p>
      <w:pPr>
        <w:snapToGrid w:val="0"/>
        <w:spacing w:line="500" w:lineRule="exact"/>
        <w:rPr>
          <w:rFonts w:hint="eastAsia" w:ascii="宋体" w:hAnsi="宋体"/>
          <w:color w:val="auto"/>
          <w:szCs w:val="21"/>
          <w:highlight w:val="none"/>
        </w:rPr>
      </w:pPr>
      <w:r>
        <w:rPr>
          <w:rFonts w:hint="eastAsia" w:ascii="宋体" w:hAnsi="宋体"/>
          <w:color w:val="auto"/>
          <w:szCs w:val="21"/>
          <w:highlight w:val="none"/>
        </w:rPr>
        <w:t>传真：______________投标人代表姓名 ___________  职务：_____________</w:t>
      </w:r>
    </w:p>
    <w:p>
      <w:pPr>
        <w:snapToGrid w:val="0"/>
        <w:spacing w:line="500" w:lineRule="exact"/>
        <w:rPr>
          <w:rFonts w:hint="eastAsia" w:ascii="宋体" w:hAnsi="宋体"/>
          <w:color w:val="auto"/>
          <w:szCs w:val="21"/>
          <w:highlight w:val="none"/>
        </w:rPr>
      </w:pPr>
      <w:r>
        <w:rPr>
          <w:rFonts w:hint="eastAsia" w:ascii="宋体" w:hAnsi="宋体"/>
          <w:color w:val="auto"/>
          <w:szCs w:val="21"/>
          <w:highlight w:val="none"/>
        </w:rPr>
        <w:t>投标人名称(公章):___________________</w:t>
      </w:r>
    </w:p>
    <w:p>
      <w:pPr>
        <w:snapToGrid w:val="0"/>
        <w:spacing w:line="500" w:lineRule="exact"/>
        <w:rPr>
          <w:rFonts w:hint="eastAsia" w:ascii="宋体" w:hAnsi="宋体"/>
          <w:color w:val="auto"/>
          <w:szCs w:val="21"/>
          <w:highlight w:val="none"/>
        </w:rPr>
      </w:pPr>
      <w:r>
        <w:rPr>
          <w:rFonts w:hint="eastAsia" w:ascii="宋体" w:hAnsi="宋体"/>
          <w:color w:val="auto"/>
          <w:szCs w:val="21"/>
          <w:highlight w:val="none"/>
        </w:rPr>
        <w:t>开户银行：</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银行账号：</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p>
    <w:p>
      <w:pPr>
        <w:snapToGrid w:val="0"/>
        <w:spacing w:line="500" w:lineRule="exact"/>
        <w:rPr>
          <w:rFonts w:hint="eastAsia" w:ascii="宋体" w:hAnsi="宋体"/>
          <w:color w:val="auto"/>
          <w:szCs w:val="21"/>
          <w:highlight w:val="none"/>
        </w:rPr>
      </w:pPr>
      <w:r>
        <w:rPr>
          <w:rFonts w:hint="eastAsia" w:ascii="宋体" w:hAnsi="宋体"/>
          <w:color w:val="auto"/>
          <w:szCs w:val="21"/>
          <w:highlight w:val="none"/>
        </w:rPr>
        <w:t>法定代表人或委托代理人签字或签章:___________                 日期:_____年___月___日</w:t>
      </w:r>
    </w:p>
    <w:p>
      <w:pPr>
        <w:pStyle w:val="29"/>
        <w:snapToGrid w:val="0"/>
        <w:spacing w:line="500" w:lineRule="exact"/>
        <w:ind w:firstLine="5670" w:firstLineChars="2700"/>
        <w:rPr>
          <w:rFonts w:hint="eastAsia" w:hAnsi="宋体"/>
          <w:color w:val="auto"/>
          <w:highlight w:val="none"/>
        </w:rPr>
      </w:pPr>
      <w:r>
        <w:rPr>
          <w:rFonts w:hint="eastAsia" w:hAnsi="宋体"/>
          <w:color w:val="auto"/>
          <w:highlight w:val="none"/>
        </w:rPr>
        <w:t>(公章)</w:t>
      </w:r>
    </w:p>
    <w:p>
      <w:pPr>
        <w:pStyle w:val="29"/>
        <w:snapToGrid w:val="0"/>
        <w:spacing w:line="500" w:lineRule="exact"/>
        <w:ind w:firstLine="5565" w:firstLineChars="2650"/>
        <w:rPr>
          <w:rFonts w:hint="eastAsia" w:hAnsi="宋体"/>
          <w:color w:val="auto"/>
          <w:highlight w:val="none"/>
        </w:rPr>
      </w:pPr>
      <w:r>
        <w:rPr>
          <w:rFonts w:hint="eastAsia" w:hAnsi="宋体"/>
          <w:color w:val="auto"/>
          <w:highlight w:val="none"/>
        </w:rPr>
        <w:t>年___月___日</w:t>
      </w:r>
    </w:p>
    <w:p>
      <w:pPr>
        <w:snapToGrid w:val="0"/>
        <w:spacing w:before="156" w:beforeLines="50" w:after="50" w:line="360" w:lineRule="exact"/>
        <w:rPr>
          <w:rFonts w:hint="eastAsia" w:ascii="宋体" w:hAnsi="宋体"/>
          <w:b/>
          <w:color w:val="auto"/>
          <w:szCs w:val="21"/>
          <w:highlight w:val="none"/>
        </w:rPr>
      </w:pPr>
    </w:p>
    <w:p>
      <w:pPr>
        <w:snapToGrid w:val="0"/>
        <w:spacing w:before="156" w:beforeLines="50" w:after="50" w:line="360" w:lineRule="exact"/>
        <w:rPr>
          <w:rFonts w:hint="eastAsia" w:ascii="宋体" w:hAnsi="宋体"/>
          <w:b/>
          <w:color w:val="auto"/>
          <w:szCs w:val="21"/>
          <w:highlight w:val="none"/>
        </w:rPr>
      </w:pPr>
    </w:p>
    <w:p>
      <w:pPr>
        <w:snapToGrid w:val="0"/>
        <w:spacing w:line="360" w:lineRule="exact"/>
        <w:rPr>
          <w:rFonts w:hint="eastAsia" w:ascii="宋体" w:hAnsi="宋体"/>
          <w:b/>
          <w:color w:val="auto"/>
          <w:szCs w:val="21"/>
          <w:highlight w:val="none"/>
        </w:rPr>
      </w:pPr>
      <w:r>
        <w:rPr>
          <w:rFonts w:hint="eastAsia" w:ascii="宋体" w:hAnsi="宋体"/>
          <w:b/>
          <w:color w:val="auto"/>
          <w:szCs w:val="21"/>
          <w:highlight w:val="none"/>
        </w:rPr>
        <w:t>（2）投标报价明细表格式</w:t>
      </w:r>
    </w:p>
    <w:p>
      <w:pPr>
        <w:pStyle w:val="29"/>
        <w:snapToGrid w:val="0"/>
        <w:spacing w:line="360" w:lineRule="exact"/>
        <w:ind w:firstLine="105" w:firstLineChars="50"/>
        <w:rPr>
          <w:rFonts w:hint="eastAsia" w:hAnsi="宋体"/>
          <w:color w:val="auto"/>
          <w:highlight w:val="none"/>
        </w:rPr>
      </w:pPr>
      <w:r>
        <w:rPr>
          <w:rFonts w:hint="eastAsia" w:hAnsi="宋体"/>
          <w:color w:val="auto"/>
          <w:highlight w:val="none"/>
        </w:rPr>
        <w:t xml:space="preserve">                                                金额单位：人民币（元）</w:t>
      </w:r>
    </w:p>
    <w:tbl>
      <w:tblPr>
        <w:tblStyle w:val="52"/>
        <w:tblW w:w="0" w:type="auto"/>
        <w:tblInd w:w="-252"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00"/>
        <w:gridCol w:w="3600"/>
        <w:gridCol w:w="1080"/>
        <w:gridCol w:w="1620"/>
        <w:gridCol w:w="989"/>
        <w:gridCol w:w="1531"/>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00"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spacing w:before="50" w:after="50" w:line="360" w:lineRule="exact"/>
              <w:jc w:val="center"/>
              <w:rPr>
                <w:rFonts w:hint="eastAsia" w:ascii="宋体" w:hAnsi="宋体"/>
                <w:color w:val="auto"/>
                <w:spacing w:val="20"/>
                <w:szCs w:val="21"/>
                <w:highlight w:val="none"/>
              </w:rPr>
            </w:pPr>
            <w:r>
              <w:rPr>
                <w:rFonts w:hint="eastAsia" w:ascii="宋体" w:hAnsi="宋体"/>
                <w:color w:val="auto"/>
                <w:szCs w:val="21"/>
                <w:highlight w:val="none"/>
              </w:rPr>
              <w:t>序号</w:t>
            </w:r>
          </w:p>
        </w:tc>
        <w:tc>
          <w:tcPr>
            <w:tcW w:w="3600"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spacing w:before="50" w:after="50" w:line="260" w:lineRule="exact"/>
              <w:jc w:val="center"/>
              <w:rPr>
                <w:rFonts w:hint="eastAsia" w:ascii="宋体" w:hAnsi="宋体"/>
                <w:color w:val="auto"/>
                <w:szCs w:val="21"/>
                <w:highlight w:val="none"/>
              </w:rPr>
            </w:pPr>
            <w:r>
              <w:rPr>
                <w:rFonts w:hint="eastAsia" w:ascii="宋体" w:hAnsi="宋体"/>
                <w:color w:val="auto"/>
                <w:szCs w:val="21"/>
                <w:highlight w:val="none"/>
              </w:rPr>
              <w:t>设备名称</w:t>
            </w:r>
          </w:p>
        </w:tc>
        <w:tc>
          <w:tcPr>
            <w:tcW w:w="1080"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spacing w:before="50" w:after="50" w:line="260" w:lineRule="exact"/>
              <w:jc w:val="center"/>
              <w:rPr>
                <w:rFonts w:hint="eastAsia" w:ascii="宋体" w:hAnsi="宋体"/>
                <w:color w:val="auto"/>
                <w:szCs w:val="21"/>
                <w:highlight w:val="none"/>
              </w:rPr>
            </w:pPr>
            <w:r>
              <w:rPr>
                <w:rFonts w:hint="eastAsia" w:ascii="宋体" w:hAnsi="宋体"/>
                <w:color w:val="auto"/>
                <w:szCs w:val="21"/>
                <w:highlight w:val="none"/>
              </w:rPr>
              <w:t>数量</w:t>
            </w:r>
          </w:p>
        </w:tc>
        <w:tc>
          <w:tcPr>
            <w:tcW w:w="1620"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spacing w:before="50" w:after="50" w:line="360" w:lineRule="exact"/>
              <w:jc w:val="center"/>
              <w:rPr>
                <w:rFonts w:hint="eastAsia" w:ascii="宋体" w:hAnsi="宋体"/>
                <w:color w:val="auto"/>
                <w:szCs w:val="21"/>
                <w:highlight w:val="none"/>
              </w:rPr>
            </w:pPr>
            <w:r>
              <w:rPr>
                <w:rFonts w:hint="eastAsia" w:ascii="宋体" w:hAnsi="宋体"/>
                <w:color w:val="auto"/>
                <w:szCs w:val="21"/>
                <w:highlight w:val="none"/>
              </w:rPr>
              <w:t>单位</w:t>
            </w:r>
          </w:p>
        </w:tc>
        <w:tc>
          <w:tcPr>
            <w:tcW w:w="989"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spacing w:before="50" w:after="50" w:line="360" w:lineRule="exact"/>
              <w:jc w:val="center"/>
              <w:rPr>
                <w:rFonts w:hint="eastAsia" w:ascii="宋体" w:hAnsi="宋体"/>
                <w:color w:val="auto"/>
                <w:szCs w:val="21"/>
                <w:highlight w:val="none"/>
              </w:rPr>
            </w:pPr>
            <w:r>
              <w:rPr>
                <w:rFonts w:hint="eastAsia" w:ascii="宋体" w:hAnsi="宋体"/>
                <w:color w:val="auto"/>
                <w:szCs w:val="21"/>
                <w:highlight w:val="none"/>
              </w:rPr>
              <w:t>单价</w:t>
            </w:r>
          </w:p>
        </w:tc>
        <w:tc>
          <w:tcPr>
            <w:tcW w:w="1531"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spacing w:before="50" w:after="50" w:line="360" w:lineRule="exact"/>
              <w:jc w:val="center"/>
              <w:rPr>
                <w:rFonts w:hint="eastAsia" w:ascii="宋体" w:hAnsi="宋体"/>
                <w:color w:val="auto"/>
                <w:szCs w:val="21"/>
                <w:highlight w:val="none"/>
              </w:rPr>
            </w:pPr>
            <w:r>
              <w:rPr>
                <w:rFonts w:hint="eastAsia" w:ascii="宋体" w:hAnsi="宋体"/>
                <w:color w:val="auto"/>
                <w:szCs w:val="21"/>
                <w:highlight w:val="none"/>
              </w:rPr>
              <w:t>金额</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00"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spacing w:before="50" w:after="50" w:line="360" w:lineRule="exact"/>
              <w:jc w:val="center"/>
              <w:rPr>
                <w:rFonts w:hint="eastAsia" w:ascii="宋体" w:hAnsi="宋体"/>
                <w:color w:val="auto"/>
                <w:spacing w:val="20"/>
                <w:szCs w:val="21"/>
                <w:highlight w:val="none"/>
              </w:rPr>
            </w:pPr>
            <w:r>
              <w:rPr>
                <w:rFonts w:hint="eastAsia" w:ascii="宋体" w:hAnsi="宋体"/>
                <w:color w:val="auto"/>
                <w:spacing w:val="20"/>
                <w:szCs w:val="21"/>
                <w:highlight w:val="none"/>
              </w:rPr>
              <w:t>1</w:t>
            </w:r>
          </w:p>
        </w:tc>
        <w:tc>
          <w:tcPr>
            <w:tcW w:w="3600"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spacing w:before="50" w:after="50" w:line="360" w:lineRule="exact"/>
              <w:jc w:val="center"/>
              <w:rPr>
                <w:rFonts w:hint="eastAsia" w:ascii="宋体" w:hAnsi="宋体"/>
                <w:color w:val="auto"/>
                <w:spacing w:val="20"/>
                <w:szCs w:val="21"/>
                <w:highlight w:val="none"/>
              </w:rPr>
            </w:pPr>
            <w:r>
              <w:rPr>
                <w:rFonts w:hint="eastAsia" w:ascii="宋体" w:hAnsi="宋体"/>
                <w:color w:val="auto"/>
                <w:spacing w:val="20"/>
                <w:szCs w:val="21"/>
                <w:highlight w:val="none"/>
              </w:rPr>
              <w:t>广西壮族自治区医疗保障信息平台扩容建设（平台建设部分）</w:t>
            </w:r>
          </w:p>
        </w:tc>
        <w:tc>
          <w:tcPr>
            <w:tcW w:w="1080"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spacing w:before="50" w:after="50" w:line="360" w:lineRule="exact"/>
              <w:jc w:val="center"/>
              <w:rPr>
                <w:rFonts w:hint="eastAsia" w:ascii="宋体" w:hAnsi="宋体"/>
                <w:color w:val="auto"/>
                <w:spacing w:val="20"/>
                <w:szCs w:val="21"/>
                <w:highlight w:val="none"/>
              </w:rPr>
            </w:pPr>
            <w:r>
              <w:rPr>
                <w:rFonts w:hint="eastAsia" w:ascii="宋体" w:hAnsi="宋体"/>
                <w:color w:val="auto"/>
                <w:spacing w:val="20"/>
                <w:szCs w:val="21"/>
                <w:highlight w:val="none"/>
              </w:rPr>
              <w:t>1</w:t>
            </w:r>
          </w:p>
        </w:tc>
        <w:tc>
          <w:tcPr>
            <w:tcW w:w="1620"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spacing w:before="50" w:after="50" w:line="360" w:lineRule="exact"/>
              <w:jc w:val="center"/>
              <w:rPr>
                <w:rFonts w:hint="eastAsia" w:ascii="宋体" w:hAnsi="宋体"/>
                <w:color w:val="auto"/>
                <w:spacing w:val="20"/>
                <w:szCs w:val="21"/>
                <w:highlight w:val="none"/>
              </w:rPr>
            </w:pPr>
            <w:r>
              <w:rPr>
                <w:rFonts w:hint="eastAsia" w:ascii="宋体" w:hAnsi="宋体"/>
                <w:color w:val="auto"/>
                <w:spacing w:val="20"/>
                <w:szCs w:val="21"/>
                <w:highlight w:val="none"/>
              </w:rPr>
              <w:t>项</w:t>
            </w:r>
          </w:p>
        </w:tc>
        <w:tc>
          <w:tcPr>
            <w:tcW w:w="989"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spacing w:before="50" w:after="50" w:line="360" w:lineRule="exact"/>
              <w:jc w:val="center"/>
              <w:rPr>
                <w:rFonts w:hint="eastAsia" w:ascii="宋体" w:hAnsi="宋体"/>
                <w:color w:val="auto"/>
                <w:spacing w:val="20"/>
                <w:szCs w:val="21"/>
                <w:highlight w:val="none"/>
              </w:rPr>
            </w:pPr>
          </w:p>
        </w:tc>
        <w:tc>
          <w:tcPr>
            <w:tcW w:w="1531"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spacing w:before="50" w:after="50" w:line="360" w:lineRule="exact"/>
              <w:jc w:val="center"/>
              <w:rPr>
                <w:rFonts w:hint="eastAsia" w:ascii="宋体" w:hAnsi="宋体"/>
                <w:color w:val="auto"/>
                <w:spacing w:val="20"/>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8189" w:type="dxa"/>
            <w:gridSpan w:val="5"/>
            <w:tcBorders>
              <w:top w:val="single" w:color="auto" w:sz="4" w:space="0"/>
              <w:left w:val="single" w:color="auto" w:sz="4" w:space="0"/>
              <w:bottom w:val="single" w:color="auto" w:sz="4" w:space="0"/>
              <w:right w:val="single" w:color="auto" w:sz="4" w:space="0"/>
            </w:tcBorders>
            <w:vAlign w:val="center"/>
          </w:tcPr>
          <w:p>
            <w:pPr>
              <w:tabs>
                <w:tab w:val="left" w:pos="1418"/>
              </w:tabs>
              <w:snapToGrid w:val="0"/>
              <w:spacing w:before="50" w:after="50" w:line="360" w:lineRule="exact"/>
              <w:rPr>
                <w:rFonts w:hint="eastAsia" w:ascii="宋体" w:hAnsi="宋体"/>
                <w:color w:val="auto"/>
                <w:spacing w:val="20"/>
                <w:szCs w:val="21"/>
                <w:highlight w:val="none"/>
              </w:rPr>
            </w:pPr>
            <w:r>
              <w:rPr>
                <w:rFonts w:hint="eastAsia" w:hAnsi="宋体"/>
                <w:color w:val="auto"/>
                <w:highlight w:val="none"/>
              </w:rPr>
              <w:t>分标</w:t>
            </w:r>
            <w:r>
              <w:rPr>
                <w:rFonts w:hint="eastAsia" w:hAnsi="宋体"/>
                <w:color w:val="auto"/>
                <w:highlight w:val="none"/>
                <w:u w:val="single"/>
              </w:rPr>
              <w:t xml:space="preserve">  1  </w:t>
            </w:r>
            <w:r>
              <w:rPr>
                <w:rFonts w:hint="eastAsia"/>
                <w:color w:val="auto"/>
                <w:highlight w:val="none"/>
              </w:rPr>
              <w:t>投标总报价</w:t>
            </w:r>
            <w:r>
              <w:rPr>
                <w:rFonts w:hint="eastAsia" w:ascii="宋体" w:hAnsi="宋体"/>
                <w:color w:val="auto"/>
                <w:szCs w:val="21"/>
                <w:highlight w:val="none"/>
              </w:rPr>
              <w:t>金额大写：</w:t>
            </w:r>
          </w:p>
        </w:tc>
        <w:tc>
          <w:tcPr>
            <w:tcW w:w="1531"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spacing w:before="50" w:after="50" w:line="360" w:lineRule="exact"/>
              <w:rPr>
                <w:rFonts w:hint="eastAsia" w:ascii="宋体" w:hAnsi="宋体"/>
                <w:color w:val="auto"/>
                <w:spacing w:val="20"/>
                <w:szCs w:val="21"/>
                <w:highlight w:val="none"/>
              </w:rPr>
            </w:pPr>
            <w:r>
              <w:rPr>
                <w:rFonts w:hint="eastAsia" w:ascii="宋体" w:hAnsi="宋体"/>
                <w:color w:val="auto"/>
                <w:szCs w:val="21"/>
                <w:highlight w:val="none"/>
              </w:rPr>
              <w:t>￥</w:t>
            </w:r>
            <w:r>
              <w:rPr>
                <w:rFonts w:hint="eastAsia" w:ascii="宋体" w:hAnsi="宋体"/>
                <w:color w:val="auto"/>
                <w:szCs w:val="21"/>
                <w:highlight w:val="none"/>
                <w:u w:val="single"/>
              </w:rPr>
              <w:t xml:space="preserve">            </w:t>
            </w:r>
          </w:p>
        </w:tc>
      </w:tr>
    </w:tbl>
    <w:p>
      <w:pPr>
        <w:tabs>
          <w:tab w:val="left" w:pos="1418"/>
        </w:tabs>
        <w:snapToGrid w:val="0"/>
        <w:ind w:left="1418" w:hanging="567"/>
        <w:jc w:val="center"/>
        <w:rPr>
          <w:rFonts w:hint="eastAsia" w:ascii="宋体" w:hAnsi="宋体"/>
          <w:color w:val="auto"/>
          <w:spacing w:val="20"/>
          <w:szCs w:val="21"/>
          <w:highlight w:val="none"/>
          <w:u w:val="single"/>
        </w:rPr>
      </w:pPr>
    </w:p>
    <w:p>
      <w:pPr>
        <w:snapToGrid w:val="0"/>
        <w:rPr>
          <w:rFonts w:hint="eastAsia" w:ascii="宋体" w:hAnsi="宋体"/>
          <w:color w:val="auto"/>
          <w:spacing w:val="20"/>
          <w:szCs w:val="21"/>
          <w:highlight w:val="none"/>
          <w:u w:val="single"/>
        </w:rPr>
      </w:pPr>
      <w:r>
        <w:rPr>
          <w:rFonts w:hint="eastAsia" w:ascii="宋体" w:hAnsi="宋体"/>
          <w:color w:val="auto"/>
          <w:szCs w:val="21"/>
          <w:highlight w:val="none"/>
        </w:rPr>
        <w:t xml:space="preserve">     法定代表人或委托代理人</w:t>
      </w:r>
      <w:r>
        <w:rPr>
          <w:rFonts w:ascii="宋体" w:hAnsi="宋体"/>
          <w:color w:val="auto"/>
          <w:szCs w:val="21"/>
          <w:highlight w:val="none"/>
          <w:lang w:val="en"/>
        </w:rPr>
        <w:t>签字或签章</w:t>
      </w:r>
      <w:r>
        <w:rPr>
          <w:rFonts w:hint="eastAsia" w:ascii="宋体" w:hAnsi="宋体"/>
          <w:color w:val="auto"/>
          <w:spacing w:val="20"/>
          <w:szCs w:val="21"/>
          <w:highlight w:val="none"/>
        </w:rPr>
        <w:t>：</w:t>
      </w:r>
      <w:r>
        <w:rPr>
          <w:rFonts w:hint="eastAsia" w:ascii="宋体" w:hAnsi="宋体"/>
          <w:color w:val="auto"/>
          <w:spacing w:val="20"/>
          <w:szCs w:val="21"/>
          <w:highlight w:val="none"/>
          <w:u w:val="single"/>
        </w:rPr>
        <w:t xml:space="preserve">          </w:t>
      </w:r>
    </w:p>
    <w:p>
      <w:pPr>
        <w:snapToGrid w:val="0"/>
        <w:rPr>
          <w:rFonts w:hint="eastAsia" w:ascii="宋体" w:hAnsi="宋体"/>
          <w:color w:val="auto"/>
          <w:szCs w:val="21"/>
          <w:highlight w:val="none"/>
        </w:rPr>
      </w:pPr>
      <w:r>
        <w:rPr>
          <w:rFonts w:hint="eastAsia" w:ascii="宋体" w:hAnsi="宋体"/>
          <w:color w:val="auto"/>
          <w:szCs w:val="21"/>
          <w:highlight w:val="none"/>
        </w:rPr>
        <w:t xml:space="preserve">     投标人盖章：                               日  期：         </w:t>
      </w:r>
    </w:p>
    <w:p>
      <w:pPr>
        <w:snapToGrid w:val="0"/>
        <w:rPr>
          <w:rFonts w:hint="eastAsia" w:ascii="宋体" w:hAnsi="宋体"/>
          <w:b/>
          <w:color w:val="auto"/>
          <w:szCs w:val="21"/>
          <w:highlight w:val="none"/>
        </w:rPr>
      </w:pPr>
      <w:r>
        <w:rPr>
          <w:rFonts w:hint="eastAsia" w:ascii="宋体" w:hAnsi="宋体"/>
          <w:b/>
          <w:color w:val="auto"/>
          <w:szCs w:val="21"/>
          <w:highlight w:val="none"/>
        </w:rPr>
        <w:t xml:space="preserve">     注：</w:t>
      </w:r>
      <w:r>
        <w:rPr>
          <w:rFonts w:hint="eastAsia"/>
          <w:b/>
          <w:bCs/>
          <w:color w:val="auto"/>
          <w:highlight w:val="none"/>
        </w:rPr>
        <w:t>对本项目作出投标总报价，即是合同总报价。同时，须对“硬件设备”、“软件产品”按第二章招标项目采购需求中的清单及数量作出明细的投标报价；对“定制开发软件”、“数据中心机柜租赁”分别作出单项的投标报价。（格式自拟）</w:t>
      </w:r>
    </w:p>
    <w:p>
      <w:pPr>
        <w:snapToGrid w:val="0"/>
        <w:rPr>
          <w:rFonts w:hint="eastAsia" w:ascii="宋体" w:hAnsi="宋体"/>
          <w:color w:val="auto"/>
          <w:szCs w:val="21"/>
          <w:highlight w:val="none"/>
        </w:rPr>
      </w:pPr>
      <w:r>
        <w:rPr>
          <w:rFonts w:hint="eastAsia" w:ascii="宋体" w:hAnsi="宋体"/>
          <w:b/>
          <w:color w:val="auto"/>
          <w:szCs w:val="21"/>
          <w:highlight w:val="none"/>
        </w:rPr>
        <w:t>（3）</w:t>
      </w:r>
      <w:r>
        <w:rPr>
          <w:rFonts w:hint="eastAsia" w:ascii="宋体" w:hAnsi="宋体"/>
          <w:color w:val="auto"/>
          <w:szCs w:val="21"/>
          <w:highlight w:val="none"/>
        </w:rPr>
        <w:t>投标人针对报价需要说明的其他文件和说明（格式自拟）</w:t>
      </w:r>
    </w:p>
    <w:p>
      <w:pPr>
        <w:snapToGrid w:val="0"/>
        <w:spacing w:line="360" w:lineRule="exact"/>
        <w:rPr>
          <w:rFonts w:hint="eastAsia" w:ascii="宋体" w:hAnsi="宋体"/>
          <w:b/>
          <w:color w:val="auto"/>
          <w:szCs w:val="21"/>
          <w:highlight w:val="none"/>
        </w:rPr>
      </w:pPr>
      <w:r>
        <w:rPr>
          <w:rFonts w:hint="eastAsia" w:ascii="宋体" w:hAnsi="宋体"/>
          <w:b/>
          <w:color w:val="auto"/>
          <w:szCs w:val="21"/>
          <w:highlight w:val="none"/>
        </w:rPr>
        <w:t>（4）开标一览表</w:t>
      </w:r>
    </w:p>
    <w:p>
      <w:pPr>
        <w:snapToGrid w:val="0"/>
        <w:spacing w:line="360" w:lineRule="exact"/>
        <w:jc w:val="center"/>
        <w:rPr>
          <w:rFonts w:hint="eastAsia" w:ascii="宋体" w:hAnsi="宋体"/>
          <w:b/>
          <w:color w:val="auto"/>
          <w:szCs w:val="21"/>
          <w:highlight w:val="none"/>
        </w:rPr>
      </w:pPr>
      <w:r>
        <w:rPr>
          <w:rFonts w:hint="eastAsia" w:ascii="宋体" w:hAnsi="宋体"/>
          <w:b/>
          <w:color w:val="auto"/>
          <w:szCs w:val="21"/>
          <w:highlight w:val="none"/>
        </w:rPr>
        <w:t>开标一览表</w:t>
      </w:r>
    </w:p>
    <w:p>
      <w:pPr>
        <w:snapToGrid w:val="0"/>
        <w:spacing w:line="360" w:lineRule="exact"/>
        <w:jc w:val="left"/>
        <w:rPr>
          <w:color w:val="auto"/>
          <w:highlight w:val="none"/>
        </w:rPr>
      </w:pPr>
      <w:r>
        <w:rPr>
          <w:rFonts w:hint="eastAsia" w:hAnsi="宋体"/>
          <w:color w:val="auto"/>
          <w:highlight w:val="none"/>
        </w:rPr>
        <w:t xml:space="preserve">     项目名称：</w:t>
      </w:r>
    </w:p>
    <w:p>
      <w:pPr>
        <w:snapToGrid w:val="0"/>
        <w:spacing w:line="360" w:lineRule="exact"/>
        <w:jc w:val="left"/>
        <w:rPr>
          <w:rFonts w:hint="eastAsia" w:ascii="宋体" w:hAnsi="宋体"/>
          <w:b/>
          <w:color w:val="auto"/>
          <w:szCs w:val="21"/>
          <w:highlight w:val="none"/>
        </w:rPr>
      </w:pPr>
      <w:r>
        <w:rPr>
          <w:rFonts w:hint="eastAsia"/>
          <w:color w:val="auto"/>
          <w:highlight w:val="none"/>
        </w:rPr>
        <w:t xml:space="preserve">     项目编号：</w:t>
      </w:r>
      <w:r>
        <w:rPr>
          <w:color w:val="auto"/>
          <w:highlight w:val="none"/>
        </w:rPr>
        <w:t xml:space="preserve">                                        </w:t>
      </w:r>
    </w:p>
    <w:p>
      <w:pPr>
        <w:snapToGrid w:val="0"/>
        <w:spacing w:line="360" w:lineRule="exact"/>
        <w:ind w:firstLine="102" w:firstLineChars="49"/>
        <w:jc w:val="left"/>
        <w:rPr>
          <w:rFonts w:hint="eastAsia" w:ascii="宋体" w:hAnsi="宋体"/>
          <w:b/>
          <w:color w:val="auto"/>
          <w:szCs w:val="21"/>
          <w:highlight w:val="none"/>
        </w:rPr>
      </w:pPr>
      <w:r>
        <w:rPr>
          <w:rFonts w:hint="eastAsia"/>
          <w:color w:val="auto"/>
          <w:highlight w:val="none"/>
        </w:rPr>
        <w:t xml:space="preserve">                                                金额单位：人民币（元）</w:t>
      </w:r>
    </w:p>
    <w:tbl>
      <w:tblPr>
        <w:tblStyle w:val="52"/>
        <w:tblW w:w="970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47"/>
        <w:gridCol w:w="3141"/>
        <w:gridCol w:w="1855"/>
        <w:gridCol w:w="1381"/>
        <w:gridCol w:w="751"/>
        <w:gridCol w:w="172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847" w:type="dxa"/>
            <w:tcBorders>
              <w:top w:val="single" w:color="auto" w:sz="4" w:space="0"/>
              <w:left w:val="single" w:color="auto" w:sz="4" w:space="0"/>
              <w:bottom w:val="single" w:color="auto" w:sz="4" w:space="0"/>
              <w:right w:val="single" w:color="auto" w:sz="4" w:space="0"/>
            </w:tcBorders>
            <w:vAlign w:val="center"/>
          </w:tcPr>
          <w:p>
            <w:pPr>
              <w:snapToGrid w:val="0"/>
              <w:spacing w:before="50" w:after="50"/>
              <w:rPr>
                <w:rFonts w:hint="eastAsia" w:ascii="宋体" w:hAnsi="宋体"/>
                <w:color w:val="auto"/>
                <w:szCs w:val="21"/>
                <w:highlight w:val="none"/>
              </w:rPr>
            </w:pPr>
            <w:r>
              <w:rPr>
                <w:rFonts w:hint="eastAsia" w:ascii="宋体" w:hAnsi="宋体"/>
                <w:color w:val="auto"/>
                <w:szCs w:val="21"/>
                <w:highlight w:val="none"/>
              </w:rPr>
              <w:t>序号</w:t>
            </w:r>
          </w:p>
        </w:tc>
        <w:tc>
          <w:tcPr>
            <w:tcW w:w="3141"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hint="eastAsia" w:ascii="宋体" w:hAnsi="宋体"/>
                <w:color w:val="auto"/>
                <w:szCs w:val="21"/>
                <w:highlight w:val="none"/>
              </w:rPr>
            </w:pPr>
            <w:r>
              <w:rPr>
                <w:rFonts w:hint="eastAsia" w:ascii="宋体" w:hAnsi="宋体"/>
                <w:color w:val="auto"/>
                <w:szCs w:val="21"/>
                <w:highlight w:val="none"/>
              </w:rPr>
              <w:t>设备名称</w:t>
            </w:r>
          </w:p>
        </w:tc>
        <w:tc>
          <w:tcPr>
            <w:tcW w:w="1855"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hint="eastAsia" w:ascii="宋体" w:hAnsi="宋体"/>
                <w:color w:val="auto"/>
                <w:szCs w:val="21"/>
                <w:highlight w:val="none"/>
              </w:rPr>
            </w:pPr>
            <w:r>
              <w:rPr>
                <w:rFonts w:hint="eastAsia" w:ascii="宋体" w:hAnsi="宋体"/>
                <w:color w:val="auto"/>
                <w:szCs w:val="21"/>
                <w:highlight w:val="none"/>
              </w:rPr>
              <w:t>数量</w:t>
            </w:r>
          </w:p>
        </w:tc>
        <w:tc>
          <w:tcPr>
            <w:tcW w:w="1381"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hint="eastAsia" w:ascii="宋体" w:hAnsi="宋体"/>
                <w:color w:val="auto"/>
                <w:szCs w:val="21"/>
                <w:highlight w:val="none"/>
              </w:rPr>
            </w:pPr>
            <w:r>
              <w:rPr>
                <w:rFonts w:hint="eastAsia" w:ascii="宋体" w:hAnsi="宋体"/>
                <w:color w:val="auto"/>
                <w:szCs w:val="21"/>
                <w:highlight w:val="none"/>
              </w:rPr>
              <w:t>单位</w:t>
            </w:r>
          </w:p>
        </w:tc>
        <w:tc>
          <w:tcPr>
            <w:tcW w:w="751"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hint="eastAsia" w:ascii="宋体" w:hAnsi="宋体"/>
                <w:color w:val="auto"/>
                <w:szCs w:val="21"/>
                <w:highlight w:val="none"/>
              </w:rPr>
            </w:pPr>
            <w:r>
              <w:rPr>
                <w:rFonts w:hint="eastAsia" w:ascii="宋体" w:hAnsi="宋体"/>
                <w:color w:val="auto"/>
                <w:szCs w:val="21"/>
                <w:highlight w:val="none"/>
              </w:rPr>
              <w:t>单价</w:t>
            </w:r>
          </w:p>
        </w:tc>
        <w:tc>
          <w:tcPr>
            <w:tcW w:w="1725"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hint="eastAsia" w:ascii="宋体" w:hAnsi="宋体"/>
                <w:color w:val="auto"/>
                <w:szCs w:val="21"/>
                <w:highlight w:val="none"/>
              </w:rPr>
            </w:pPr>
            <w:r>
              <w:rPr>
                <w:rFonts w:hint="eastAsia" w:ascii="宋体" w:hAnsi="宋体"/>
                <w:color w:val="auto"/>
                <w:szCs w:val="21"/>
                <w:highlight w:val="none"/>
              </w:rPr>
              <w:t>投标报价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847" w:type="dxa"/>
            <w:tcBorders>
              <w:top w:val="single" w:color="auto" w:sz="4" w:space="0"/>
              <w:left w:val="single" w:color="auto" w:sz="4" w:space="0"/>
              <w:bottom w:val="single" w:color="auto" w:sz="4" w:space="0"/>
              <w:right w:val="single" w:color="auto" w:sz="4" w:space="0"/>
            </w:tcBorders>
            <w:vAlign w:val="center"/>
          </w:tcPr>
          <w:p>
            <w:pPr>
              <w:snapToGrid w:val="0"/>
              <w:spacing w:before="50" w:after="50" w:line="360" w:lineRule="exact"/>
              <w:jc w:val="center"/>
              <w:rPr>
                <w:rFonts w:hint="eastAsia" w:ascii="宋体" w:hAnsi="宋体"/>
                <w:color w:val="auto"/>
                <w:szCs w:val="21"/>
                <w:highlight w:val="none"/>
              </w:rPr>
            </w:pPr>
            <w:r>
              <w:rPr>
                <w:rFonts w:hint="eastAsia" w:ascii="宋体" w:hAnsi="宋体"/>
                <w:color w:val="auto"/>
                <w:szCs w:val="21"/>
                <w:highlight w:val="none"/>
              </w:rPr>
              <w:t>1</w:t>
            </w:r>
          </w:p>
        </w:tc>
        <w:tc>
          <w:tcPr>
            <w:tcW w:w="3141" w:type="dxa"/>
            <w:tcBorders>
              <w:top w:val="single" w:color="auto" w:sz="4" w:space="0"/>
              <w:left w:val="single" w:color="auto" w:sz="4" w:space="0"/>
              <w:bottom w:val="single" w:color="auto" w:sz="4" w:space="0"/>
              <w:right w:val="single" w:color="auto" w:sz="4" w:space="0"/>
            </w:tcBorders>
            <w:vAlign w:val="center"/>
          </w:tcPr>
          <w:p>
            <w:pPr>
              <w:snapToGrid w:val="0"/>
              <w:spacing w:before="50" w:after="50" w:line="360" w:lineRule="exact"/>
              <w:jc w:val="center"/>
              <w:rPr>
                <w:rFonts w:hint="eastAsia" w:ascii="宋体" w:hAnsi="宋体"/>
                <w:color w:val="auto"/>
                <w:szCs w:val="21"/>
                <w:highlight w:val="none"/>
              </w:rPr>
            </w:pPr>
            <w:r>
              <w:rPr>
                <w:rFonts w:hint="eastAsia" w:ascii="宋体" w:hAnsi="宋体"/>
                <w:color w:val="auto"/>
                <w:spacing w:val="20"/>
                <w:szCs w:val="21"/>
                <w:highlight w:val="none"/>
              </w:rPr>
              <w:t>广西壮族自治区医疗保障信息平台扩容建设（平台建设部分）</w:t>
            </w:r>
          </w:p>
        </w:tc>
        <w:tc>
          <w:tcPr>
            <w:tcW w:w="1855" w:type="dxa"/>
            <w:tcBorders>
              <w:top w:val="single" w:color="auto" w:sz="4" w:space="0"/>
              <w:left w:val="single" w:color="auto" w:sz="4" w:space="0"/>
              <w:bottom w:val="single" w:color="auto" w:sz="4" w:space="0"/>
              <w:right w:val="single" w:color="auto" w:sz="4" w:space="0"/>
            </w:tcBorders>
            <w:vAlign w:val="center"/>
          </w:tcPr>
          <w:p>
            <w:pPr>
              <w:snapToGrid w:val="0"/>
              <w:spacing w:before="50" w:after="50" w:line="360" w:lineRule="exact"/>
              <w:jc w:val="center"/>
              <w:rPr>
                <w:rFonts w:hint="eastAsia" w:ascii="宋体" w:hAnsi="宋体"/>
                <w:color w:val="auto"/>
                <w:szCs w:val="21"/>
                <w:highlight w:val="none"/>
              </w:rPr>
            </w:pPr>
            <w:r>
              <w:rPr>
                <w:rFonts w:hint="eastAsia" w:ascii="宋体" w:hAnsi="宋体"/>
                <w:color w:val="auto"/>
                <w:szCs w:val="21"/>
                <w:highlight w:val="none"/>
              </w:rPr>
              <w:t>1</w:t>
            </w:r>
          </w:p>
        </w:tc>
        <w:tc>
          <w:tcPr>
            <w:tcW w:w="1381" w:type="dxa"/>
            <w:tcBorders>
              <w:top w:val="single" w:color="auto" w:sz="4" w:space="0"/>
              <w:left w:val="single" w:color="auto" w:sz="4" w:space="0"/>
              <w:bottom w:val="single" w:color="auto" w:sz="4" w:space="0"/>
              <w:right w:val="single" w:color="auto" w:sz="4" w:space="0"/>
            </w:tcBorders>
            <w:vAlign w:val="center"/>
          </w:tcPr>
          <w:p>
            <w:pPr>
              <w:snapToGrid w:val="0"/>
              <w:spacing w:before="50" w:after="50" w:line="360" w:lineRule="exact"/>
              <w:jc w:val="center"/>
              <w:rPr>
                <w:rFonts w:hint="eastAsia" w:ascii="宋体" w:hAnsi="宋体"/>
                <w:color w:val="auto"/>
                <w:szCs w:val="21"/>
                <w:highlight w:val="none"/>
              </w:rPr>
            </w:pPr>
            <w:r>
              <w:rPr>
                <w:rFonts w:hint="eastAsia" w:ascii="宋体" w:hAnsi="宋体"/>
                <w:color w:val="auto"/>
                <w:szCs w:val="21"/>
                <w:highlight w:val="none"/>
              </w:rPr>
              <w:t>项</w:t>
            </w:r>
          </w:p>
        </w:tc>
        <w:tc>
          <w:tcPr>
            <w:tcW w:w="751" w:type="dxa"/>
            <w:tcBorders>
              <w:top w:val="single" w:color="auto" w:sz="4" w:space="0"/>
              <w:left w:val="single" w:color="auto" w:sz="4" w:space="0"/>
              <w:bottom w:val="single" w:color="auto" w:sz="4" w:space="0"/>
              <w:right w:val="single" w:color="auto" w:sz="4" w:space="0"/>
            </w:tcBorders>
            <w:vAlign w:val="center"/>
          </w:tcPr>
          <w:p>
            <w:pPr>
              <w:snapToGrid w:val="0"/>
              <w:spacing w:before="50" w:after="50" w:line="360" w:lineRule="exact"/>
              <w:jc w:val="center"/>
              <w:rPr>
                <w:rFonts w:hint="eastAsia" w:ascii="宋体" w:hAnsi="宋体"/>
                <w:color w:val="auto"/>
                <w:szCs w:val="21"/>
                <w:highlight w:val="none"/>
              </w:rPr>
            </w:pPr>
          </w:p>
        </w:tc>
        <w:tc>
          <w:tcPr>
            <w:tcW w:w="1725" w:type="dxa"/>
            <w:tcBorders>
              <w:top w:val="single" w:color="auto" w:sz="4" w:space="0"/>
              <w:left w:val="single" w:color="auto" w:sz="4" w:space="0"/>
              <w:bottom w:val="single" w:color="auto" w:sz="4" w:space="0"/>
              <w:right w:val="single" w:color="auto" w:sz="4" w:space="0"/>
            </w:tcBorders>
            <w:vAlign w:val="center"/>
          </w:tcPr>
          <w:p>
            <w:pPr>
              <w:snapToGrid w:val="0"/>
              <w:spacing w:before="50" w:after="50" w:line="360" w:lineRule="exact"/>
              <w:jc w:val="center"/>
              <w:rPr>
                <w:rFonts w:hint="eastAsia"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9700" w:type="dxa"/>
            <w:gridSpan w:val="6"/>
            <w:tcBorders>
              <w:top w:val="single" w:color="auto" w:sz="4" w:space="0"/>
              <w:left w:val="single" w:color="auto" w:sz="4" w:space="0"/>
              <w:bottom w:val="single" w:color="auto" w:sz="4" w:space="0"/>
              <w:right w:val="single" w:color="auto" w:sz="4" w:space="0"/>
            </w:tcBorders>
            <w:vAlign w:val="center"/>
          </w:tcPr>
          <w:p>
            <w:pPr>
              <w:snapToGrid w:val="0"/>
              <w:spacing w:before="50" w:after="50" w:line="360" w:lineRule="exact"/>
              <w:rPr>
                <w:rFonts w:hint="eastAsia" w:ascii="宋体" w:hAnsi="宋体"/>
                <w:color w:val="auto"/>
                <w:szCs w:val="21"/>
                <w:highlight w:val="none"/>
                <w:u w:val="single"/>
              </w:rPr>
            </w:pPr>
            <w:r>
              <w:rPr>
                <w:rFonts w:hint="eastAsia" w:hAnsi="宋体"/>
                <w:color w:val="auto"/>
                <w:highlight w:val="none"/>
              </w:rPr>
              <w:t>分标</w:t>
            </w:r>
            <w:r>
              <w:rPr>
                <w:rFonts w:hint="eastAsia" w:hAnsi="宋体"/>
                <w:color w:val="auto"/>
                <w:highlight w:val="none"/>
                <w:u w:val="single"/>
              </w:rPr>
              <w:t xml:space="preserve">  1   </w:t>
            </w:r>
            <w:r>
              <w:rPr>
                <w:rFonts w:hint="eastAsia"/>
                <w:color w:val="auto"/>
                <w:highlight w:val="none"/>
              </w:rPr>
              <w:t>投标总报价</w:t>
            </w:r>
            <w:r>
              <w:rPr>
                <w:rFonts w:hint="eastAsia" w:ascii="宋体" w:hAnsi="宋体"/>
                <w:color w:val="auto"/>
                <w:szCs w:val="21"/>
                <w:highlight w:val="none"/>
              </w:rPr>
              <w:t>金额大写大写：                                ￥</w:t>
            </w:r>
            <w:r>
              <w:rPr>
                <w:rFonts w:hint="eastAsia" w:ascii="宋体" w:hAnsi="宋体"/>
                <w:color w:val="auto"/>
                <w:szCs w:val="21"/>
                <w:highlight w:val="none"/>
                <w:u w:val="single"/>
              </w:rPr>
              <w:t xml:space="preserve">                  </w:t>
            </w:r>
          </w:p>
        </w:tc>
      </w:tr>
    </w:tbl>
    <w:p>
      <w:pPr>
        <w:snapToGrid w:val="0"/>
        <w:spacing w:before="50" w:after="50"/>
        <w:jc w:val="left"/>
        <w:rPr>
          <w:rFonts w:hint="eastAsia" w:ascii="宋体" w:hAnsi="宋体"/>
          <w:color w:val="auto"/>
          <w:szCs w:val="21"/>
          <w:highlight w:val="none"/>
        </w:rPr>
      </w:pPr>
    </w:p>
    <w:p>
      <w:pPr>
        <w:snapToGrid w:val="0"/>
        <w:spacing w:line="24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 xml:space="preserve">注: </w:t>
      </w:r>
    </w:p>
    <w:p>
      <w:pPr>
        <w:snapToGrid w:val="0"/>
        <w:spacing w:line="24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1.报价一经涂改，应在涂改处加盖单位公章或者由法定代表人或授权委托人签字或签章，否则其投标作无效标处理。</w:t>
      </w:r>
    </w:p>
    <w:p>
      <w:pPr>
        <w:snapToGrid w:val="0"/>
        <w:spacing w:line="24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2.凡需用专用耗材的专用设备类采购项目，应按招标文件规定的耗材量或按耗材的常规试用量提供报价。</w:t>
      </w:r>
    </w:p>
    <w:p>
      <w:pPr>
        <w:snapToGrid w:val="0"/>
        <w:spacing w:line="240" w:lineRule="exact"/>
        <w:jc w:val="left"/>
        <w:rPr>
          <w:rFonts w:hint="eastAsia" w:ascii="宋体" w:hAnsi="宋体"/>
          <w:color w:val="auto"/>
          <w:szCs w:val="21"/>
          <w:highlight w:val="none"/>
        </w:rPr>
      </w:pPr>
      <w:r>
        <w:rPr>
          <w:rFonts w:hint="eastAsia" w:ascii="宋体" w:hAnsi="宋体"/>
          <w:color w:val="auto"/>
          <w:szCs w:val="21"/>
          <w:highlight w:val="none"/>
        </w:rPr>
        <w:t xml:space="preserve">    3.投标费用包括项目实施所需的人工费、运输费、安装调试费、制作投标文件费、税费及其他一切费用。</w:t>
      </w:r>
    </w:p>
    <w:p>
      <w:pPr>
        <w:snapToGrid w:val="0"/>
        <w:spacing w:line="24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4.以上报价应与“投标设备报价明细表”中的“投标总价”相一致。</w:t>
      </w:r>
    </w:p>
    <w:p>
      <w:pPr>
        <w:snapToGrid w:val="0"/>
        <w:ind w:left="-2" w:leftChars="-1" w:right="-817" w:rightChars="-389" w:firstLine="420" w:firstLineChars="200"/>
        <w:rPr>
          <w:rFonts w:hint="eastAsia" w:ascii="宋体" w:hAnsi="宋体"/>
          <w:color w:val="auto"/>
          <w:szCs w:val="21"/>
          <w:highlight w:val="none"/>
        </w:rPr>
      </w:pPr>
      <w:r>
        <w:rPr>
          <w:rFonts w:hint="eastAsia" w:ascii="宋体" w:hAnsi="宋体"/>
          <w:color w:val="auto"/>
          <w:szCs w:val="21"/>
          <w:highlight w:val="none"/>
        </w:rPr>
        <w:t>法定代表人或委托代理人</w:t>
      </w:r>
      <w:r>
        <w:rPr>
          <w:rFonts w:ascii="宋体" w:hAnsi="宋体"/>
          <w:color w:val="auto"/>
          <w:szCs w:val="21"/>
          <w:highlight w:val="none"/>
          <w:lang w:val="en"/>
        </w:rPr>
        <w:t>签字或签章</w:t>
      </w:r>
      <w:r>
        <w:rPr>
          <w:rFonts w:hint="eastAsia" w:ascii="宋体" w:hAnsi="宋体"/>
          <w:color w:val="auto"/>
          <w:szCs w:val="21"/>
          <w:highlight w:val="none"/>
        </w:rPr>
        <w:t xml:space="preserve">：                    </w:t>
      </w:r>
    </w:p>
    <w:p>
      <w:pPr>
        <w:snapToGrid w:val="0"/>
        <w:ind w:right="-817" w:rightChars="-389" w:firstLine="420" w:firstLineChars="200"/>
        <w:rPr>
          <w:rFonts w:hint="eastAsia" w:ascii="宋体" w:hAnsi="宋体"/>
          <w:color w:val="auto"/>
          <w:szCs w:val="21"/>
          <w:highlight w:val="none"/>
        </w:rPr>
      </w:pPr>
    </w:p>
    <w:p>
      <w:pPr>
        <w:snapToGrid w:val="0"/>
        <w:ind w:right="-817" w:rightChars="-389" w:firstLine="420" w:firstLineChars="200"/>
        <w:rPr>
          <w:rFonts w:hint="eastAsia" w:ascii="宋体" w:hAnsi="宋体"/>
          <w:color w:val="auto"/>
          <w:szCs w:val="21"/>
          <w:highlight w:val="none"/>
        </w:rPr>
      </w:pPr>
      <w:r>
        <w:rPr>
          <w:rFonts w:hint="eastAsia" w:ascii="宋体" w:hAnsi="宋体"/>
          <w:color w:val="auto"/>
          <w:szCs w:val="21"/>
          <w:highlight w:val="none"/>
        </w:rPr>
        <w:t>投标人名称（盖章）：</w:t>
      </w:r>
    </w:p>
    <w:p>
      <w:pPr>
        <w:snapToGrid w:val="0"/>
        <w:jc w:val="center"/>
        <w:rPr>
          <w:color w:val="auto"/>
          <w:highlight w:val="none"/>
        </w:rPr>
      </w:pPr>
      <w:r>
        <w:rPr>
          <w:rFonts w:hint="eastAsia"/>
          <w:color w:val="auto"/>
          <w:highlight w:val="none"/>
        </w:rPr>
        <w:t xml:space="preserve">                  日期：  年   月   日 </w:t>
      </w:r>
    </w:p>
    <w:sectPr>
      <w:headerReference r:id="rId7" w:type="default"/>
      <w:footerReference r:id="rId8" w:type="default"/>
      <w:pgSz w:w="11906" w:h="16838"/>
      <w:pgMar w:top="1247" w:right="1247" w:bottom="1247" w:left="1247" w:header="851" w:footer="992"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Arial">
    <w:altName w:val="Nimbus Roman No9 L"/>
    <w:panose1 w:val="020B0604020202020204"/>
    <w:charset w:val="00"/>
    <w:family w:val="swiss"/>
    <w:pitch w:val="default"/>
    <w:sig w:usb0="00000000" w:usb1="00000000" w:usb2="00000009" w:usb3="00000000" w:csb0="000001FF" w:csb1="00000000"/>
  </w:font>
  <w:font w:name="仿宋_GB2312">
    <w:panose1 w:val="02010609030101010101"/>
    <w:charset w:val="86"/>
    <w:family w:val="modern"/>
    <w:pitch w:val="default"/>
    <w:sig w:usb0="00000001" w:usb1="080E0000" w:usb2="00000000" w:usb3="00000000" w:csb0="00040000" w:csb1="00000000"/>
  </w:font>
  <w:font w:name="Courier New">
    <w:altName w:val="DejaVu Sans"/>
    <w:panose1 w:val="02070309020205020404"/>
    <w:charset w:val="00"/>
    <w:family w:val="modern"/>
    <w:pitch w:val="default"/>
    <w:sig w:usb0="00000000" w:usb1="00000000" w:usb2="00000009" w:usb3="00000000" w:csb0="000001FF" w:csb1="00000000"/>
  </w:font>
  <w:font w:name="Cambria">
    <w:altName w:val="FreeSerif"/>
    <w:panose1 w:val="02040503050406030204"/>
    <w:charset w:val="00"/>
    <w:family w:val="roman"/>
    <w:pitch w:val="default"/>
    <w:sig w:usb0="00000000" w:usb1="00000000" w:usb2="02000000" w:usb3="00000000" w:csb0="0000019F" w:csb1="00000000"/>
  </w:font>
  <w:font w:name="Tahoma">
    <w:altName w:val="Droid Sans"/>
    <w:panose1 w:val="020B0604030504040204"/>
    <w:charset w:val="00"/>
    <w:family w:val="swiss"/>
    <w:pitch w:val="default"/>
    <w:sig w:usb0="00000000" w:usb1="00000000" w:usb2="00000029" w:usb3="00000000" w:csb0="000101FF" w:csb1="00000000"/>
  </w:font>
  <w:font w:name="方正中等线简体 Regular">
    <w:altName w:val="仿宋"/>
    <w:panose1 w:val="00000000000000000000"/>
    <w:charset w:val="86"/>
    <w:family w:val="auto"/>
    <w:pitch w:val="default"/>
    <w:sig w:usb0="00000000" w:usb1="00000000" w:usb2="00000010" w:usb3="00000000" w:csb0="00040000" w:csb1="00000000"/>
  </w:font>
  <w:font w:name="Verdana">
    <w:altName w:val="Ubuntu"/>
    <w:panose1 w:val="020B0604030504040204"/>
    <w:charset w:val="00"/>
    <w:family w:val="swiss"/>
    <w:pitch w:val="default"/>
    <w:sig w:usb0="00000000" w:usb1="00000000" w:usb2="00000010" w:usb3="00000000" w:csb0="0000019F" w:csb1="00000000"/>
  </w:font>
  <w:font w:name="楷体_GB2312">
    <w:altName w:val="楷体"/>
    <w:panose1 w:val="00000000000000000000"/>
    <w:charset w:val="86"/>
    <w:family w:val="modern"/>
    <w:pitch w:val="default"/>
    <w:sig w:usb0="00000000" w:usb1="00000000" w:usb2="00000000" w:usb3="00000000" w:csb0="00040000" w:csb1="00000000"/>
  </w:font>
  <w:font w:name="汉仪大黑简 regular">
    <w:altName w:val="黑体"/>
    <w:panose1 w:val="00000000000000000000"/>
    <w:charset w:val="86"/>
    <w:family w:val="auto"/>
    <w:pitch w:val="default"/>
    <w:sig w:usb0="00000000" w:usb1="00000000" w:usb2="00000010" w:usb3="00000000" w:csb0="00040000" w:csb1="00000000"/>
  </w:font>
  <w:font w:name="创艺简黑体">
    <w:altName w:val="黑体"/>
    <w:panose1 w:val="00000000000000000000"/>
    <w:charset w:val="86"/>
    <w:family w:val="auto"/>
    <w:pitch w:val="default"/>
    <w:sig w:usb0="00000000" w:usb1="00000000" w:usb2="00000010" w:usb3="00000000" w:csb0="00040000" w:csb1="00000000"/>
  </w:font>
  <w:font w:name="等线">
    <w:altName w:val="宋体"/>
    <w:panose1 w:val="02010600030101010101"/>
    <w:charset w:val="86"/>
    <w:family w:val="auto"/>
    <w:pitch w:val="default"/>
    <w:sig w:usb0="00000000" w:usb1="00000000" w:usb2="00000016" w:usb3="00000000" w:csb0="0004000F" w:csb1="00000000"/>
  </w:font>
  <w:font w:name="微软雅黑">
    <w:altName w:val="黑体"/>
    <w:panose1 w:val="020B0503020204020204"/>
    <w:charset w:val="86"/>
    <w:family w:val="swiss"/>
    <w:pitch w:val="default"/>
    <w:sig w:usb0="00000000" w:usb1="00000000" w:usb2="00000016" w:usb3="00000000" w:csb0="0004001F" w:csb1="00000000"/>
  </w:font>
  <w:font w:name="隶书">
    <w:altName w:val="宋体"/>
    <w:panose1 w:val="02010509060101010101"/>
    <w:charset w:val="86"/>
    <w:family w:val="modern"/>
    <w:pitch w:val="default"/>
    <w:sig w:usb0="00000000" w:usb1="00000000" w:usb2="00000010" w:usb3="00000000" w:csb0="00040000" w:csb1="00000000"/>
  </w:font>
  <w:font w:name="东文宋体">
    <w:altName w:val="宋体"/>
    <w:panose1 w:val="00000000000000000000"/>
    <w:charset w:val="00"/>
    <w:family w:val="auto"/>
    <w:pitch w:val="default"/>
    <w:sig w:usb0="00000000" w:usb1="00000000" w:usb2="00000000" w:usb3="00000000" w:csb0="00000000" w:csb1="00000000"/>
  </w:font>
  <w:font w:name="楷体">
    <w:panose1 w:val="02010609060101010101"/>
    <w:charset w:val="86"/>
    <w:family w:val="modern"/>
    <w:pitch w:val="default"/>
    <w:sig w:usb0="800002BF" w:usb1="38CF7CFA" w:usb2="00000016" w:usb3="00000000" w:csb0="00040001" w:csb1="00000000"/>
  </w:font>
  <w:font w:name="Nimbus Roman No9 L">
    <w:panose1 w:val="00000000000000000000"/>
    <w:charset w:val="00"/>
    <w:family w:val="auto"/>
    <w:pitch w:val="default"/>
    <w:sig w:usb0="00000000" w:usb1="00000000" w:usb2="00000000" w:usb3="00000000" w:csb0="00000000" w:csb1="00000000"/>
  </w:font>
  <w:font w:name="Noto Sans CJK HK">
    <w:panose1 w:val="020B0600000000000000"/>
    <w:charset w:val="88"/>
    <w:family w:val="auto"/>
    <w:pitch w:val="default"/>
    <w:sig w:usb0="30000083" w:usb1="2BDF3C10" w:usb2="00000016" w:usb3="00000000" w:csb0="603A0107" w:csb1="00000000"/>
  </w:font>
  <w:font w:name="DejaVu Sans">
    <w:panose1 w:val="020B0603030804020204"/>
    <w:charset w:val="00"/>
    <w:family w:val="auto"/>
    <w:pitch w:val="default"/>
    <w:sig w:usb0="E7006EFF" w:usb1="D200FDFF" w:usb2="0A246029" w:usb3="0400200C" w:csb0="600001FF" w:csb1="DFFF0000"/>
  </w:font>
  <w:font w:name="DejaVu Math TeX Gyre">
    <w:panose1 w:val="02000503000000000000"/>
    <w:charset w:val="00"/>
    <w:family w:val="auto"/>
    <w:pitch w:val="default"/>
    <w:sig w:usb0="A10000EF" w:usb1="4201F9EE" w:usb2="02000000" w:usb3="00000000" w:csb0="60000193" w:csb1="0DD40000"/>
  </w:font>
  <w:font w:name="FreeSerif">
    <w:panose1 w:val="02020603050405020304"/>
    <w:charset w:val="00"/>
    <w:family w:val="auto"/>
    <w:pitch w:val="default"/>
    <w:sig w:usb0="E59FAFFF" w:usb1="C200FDFF" w:usb2="43501B29" w:usb3="04000043" w:csb0="600101FF" w:csb1="FFFF0000"/>
  </w:font>
  <w:font w:name="Droid Sans">
    <w:panose1 w:val="020B0606030804020204"/>
    <w:charset w:val="00"/>
    <w:family w:val="auto"/>
    <w:pitch w:val="default"/>
    <w:sig w:usb0="E00002EF" w:usb1="4000205B" w:usb2="00000028" w:usb3="00000000" w:csb0="2000019F" w:csb1="00000000"/>
  </w:font>
  <w:font w:name="仿宋">
    <w:panose1 w:val="02010609060101010101"/>
    <w:charset w:val="86"/>
    <w:family w:val="auto"/>
    <w:pitch w:val="default"/>
    <w:sig w:usb0="800002BF" w:usb1="38CF7CFA" w:usb2="00000016" w:usb3="00000000" w:csb0="00040001" w:csb1="00000000"/>
  </w:font>
  <w:font w:name="Ubuntu">
    <w:panose1 w:val="020B0604030602030204"/>
    <w:charset w:val="00"/>
    <w:family w:val="auto"/>
    <w:pitch w:val="default"/>
    <w:sig w:usb0="E00002FF" w:usb1="5000205B" w:usb2="00000000" w:usb3="00000000" w:csb0="2000009F" w:csb1="56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BYAAABkcnMvUEsBAhQAFAAAAAgAh07iQLNJWO7QAAAA&#10;BQEAAA8AAAAAAAAAAQAgAAAAOAAAAGRycy9kb3ducmV2LnhtbFBLAQIUABQAAAAIAIdO4kDLlzVR&#10;DwIAAAcEAAAOAAAAAAAAAAEAIAAAADUBAABkcnMvZTJvRG9jLnhtbFBLBQYAAAAABgAGAFkBAAC2&#10;BQAAAAA=&#10;">
              <v:fill on="f" focussize="0,0"/>
              <v:stroke on="f" weight="0.5pt"/>
              <v:imagedata o:title=""/>
              <o:lock v:ext="edit" aspectratio="f"/>
              <v:textbox inset="0mm,0mm,0mm,0mm" style="mso-fit-shape-to-text:t;">
                <w:txbxContent>
                  <w:p>
                    <w:pPr>
                      <w:pStyle w:val="3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rPr>
        <w:lang w:val="en"/>
      </w:rPr>
    </w:pPr>
    <w:r>
      <w:rPr>
        <w:rFonts w:hint="eastAsia"/>
      </w:rPr>
      <w:t xml:space="preserve">                  广西壮族自治区医疗保障信息平台扩容建设采购（平台建设部分）</w:t>
    </w:r>
    <w:r>
      <w:rPr>
        <w:rFonts w:hint="eastAsia"/>
        <w:lang w:val="en"/>
      </w:rPr>
      <w:t>（GXZC2026-G1-002726-CGZX）</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1FCBC91"/>
    <w:multiLevelType w:val="singleLevel"/>
    <w:tmpl w:val="E1FCBC91"/>
    <w:lvl w:ilvl="0" w:tentative="0">
      <w:start w:val="1"/>
      <w:numFmt w:val="decimal"/>
      <w:suff w:val="nothing"/>
      <w:lvlText w:val="%1、"/>
      <w:lvlJc w:val="left"/>
    </w:lvl>
  </w:abstractNum>
  <w:abstractNum w:abstractNumId="1">
    <w:nsid w:val="F937F2BD"/>
    <w:multiLevelType w:val="singleLevel"/>
    <w:tmpl w:val="F937F2BD"/>
    <w:lvl w:ilvl="0" w:tentative="0">
      <w:start w:val="1"/>
      <w:numFmt w:val="decimal"/>
      <w:lvlText w:val="%1."/>
      <w:lvlJc w:val="left"/>
      <w:pPr>
        <w:tabs>
          <w:tab w:val="left" w:pos="312"/>
        </w:tabs>
      </w:pPr>
    </w:lvl>
  </w:abstractNum>
  <w:abstractNum w:abstractNumId="2">
    <w:nsid w:val="0000000C"/>
    <w:multiLevelType w:val="multilevel"/>
    <w:tmpl w:val="0000000C"/>
    <w:lvl w:ilvl="0" w:tentative="0">
      <w:start w:val="1"/>
      <w:numFmt w:val="decimal"/>
      <w:pStyle w:val="374"/>
      <w:suff w:val="nothing"/>
      <w:lvlText w:val="图%1　"/>
      <w:lvlJc w:val="left"/>
      <w:rPr>
        <w:rFonts w:hint="eastAsia" w:ascii="黑体" w:hAnsi="Times New Roman" w:eastAsia="黑体" w:cs="Times New Roman"/>
        <w:b w:val="0"/>
        <w:i w:val="0"/>
        <w:sz w:val="21"/>
      </w:rPr>
    </w:lvl>
    <w:lvl w:ilvl="1" w:tentative="0">
      <w:start w:val="1"/>
      <w:numFmt w:val="decimal"/>
      <w:suff w:val="nothing"/>
      <w:lvlText w:val="%1%2　"/>
      <w:lvlJc w:val="left"/>
      <w:rPr>
        <w:rFonts w:hint="default" w:ascii="Times New Roman" w:hAnsi="Times New Roman" w:eastAsia="黑体" w:cs="Times New Roman"/>
        <w:b w:val="0"/>
        <w:i w:val="0"/>
        <w:sz w:val="21"/>
      </w:rPr>
    </w:lvl>
    <w:lvl w:ilvl="2" w:tentative="0">
      <w:start w:val="1"/>
      <w:numFmt w:val="decimal"/>
      <w:suff w:val="nothing"/>
      <w:lvlText w:val="%1%2.%3　"/>
      <w:lvlJc w:val="left"/>
      <w:rPr>
        <w:rFonts w:hint="default" w:ascii="Times New Roman" w:hAnsi="Times New Roman" w:eastAsia="黑体" w:cs="Times New Roman"/>
        <w:b w:val="0"/>
        <w:i w:val="0"/>
        <w:sz w:val="21"/>
      </w:rPr>
    </w:lvl>
    <w:lvl w:ilvl="3" w:tentative="0">
      <w:start w:val="1"/>
      <w:numFmt w:val="decimal"/>
      <w:suff w:val="nothing"/>
      <w:lvlText w:val="%1%2.%3.%4　"/>
      <w:lvlJc w:val="left"/>
      <w:rPr>
        <w:rFonts w:hint="default" w:ascii="Times New Roman" w:hAnsi="Times New Roman" w:eastAsia="黑体" w:cs="Times New Roman"/>
        <w:b w:val="0"/>
        <w:i w:val="0"/>
        <w:sz w:val="21"/>
      </w:rPr>
    </w:lvl>
    <w:lvl w:ilvl="4" w:tentative="0">
      <w:start w:val="1"/>
      <w:numFmt w:val="decimal"/>
      <w:suff w:val="nothing"/>
      <w:lvlText w:val="%1%2.%3.%4.%5　"/>
      <w:lvlJc w:val="left"/>
      <w:rPr>
        <w:rFonts w:hint="default" w:ascii="Times New Roman" w:hAnsi="Times New Roman" w:eastAsia="黑体" w:cs="Times New Roman"/>
        <w:b w:val="0"/>
        <w:i w:val="0"/>
        <w:sz w:val="21"/>
      </w:rPr>
    </w:lvl>
    <w:lvl w:ilvl="5" w:tentative="0">
      <w:start w:val="1"/>
      <w:numFmt w:val="decimal"/>
      <w:suff w:val="nothing"/>
      <w:lvlText w:val="%1%2.%3.%4.%5.%6　"/>
      <w:lvlJc w:val="left"/>
      <w:rPr>
        <w:rFonts w:hint="default" w:ascii="Times New Roman" w:hAnsi="Times New Roman" w:eastAsia="黑体" w:cs="Times New Roman"/>
        <w:b w:val="0"/>
        <w:i w:val="0"/>
        <w:sz w:val="21"/>
      </w:rPr>
    </w:lvl>
    <w:lvl w:ilvl="6" w:tentative="0">
      <w:start w:val="1"/>
      <w:numFmt w:val="decimal"/>
      <w:suff w:val="nothing"/>
      <w:lvlText w:val="%1%2.%3.%4.%5.%6.%7　"/>
      <w:lvlJc w:val="left"/>
      <w:rPr>
        <w:rFonts w:hint="default" w:ascii="Times New Roman" w:hAnsi="Times New Roman" w:eastAsia="黑体" w:cs="Times New Roman"/>
        <w:b w:val="0"/>
        <w:i w:val="0"/>
        <w:sz w:val="21"/>
      </w:rPr>
    </w:lvl>
    <w:lvl w:ilvl="7" w:tentative="0">
      <w:start w:val="1"/>
      <w:numFmt w:val="decimal"/>
      <w:lvlText w:val="%1.%2.%3.%4.%5.%6.%7.%8"/>
      <w:lvlJc w:val="left"/>
      <w:pPr>
        <w:tabs>
          <w:tab w:val="left" w:pos="4351"/>
        </w:tabs>
        <w:ind w:left="3969" w:hanging="1418"/>
      </w:pPr>
      <w:rPr>
        <w:rFonts w:hint="eastAsia" w:cs="Times New Roman"/>
      </w:rPr>
    </w:lvl>
    <w:lvl w:ilvl="8" w:tentative="0">
      <w:start w:val="1"/>
      <w:numFmt w:val="decimal"/>
      <w:lvlText w:val="%1.%2.%3.%4.%5.%6.%7.%8.%9"/>
      <w:lvlJc w:val="left"/>
      <w:pPr>
        <w:tabs>
          <w:tab w:val="left" w:pos="4777"/>
        </w:tabs>
        <w:ind w:left="4677" w:hanging="1700"/>
      </w:pPr>
      <w:rPr>
        <w:rFonts w:hint="eastAsia" w:cs="Times New Roman"/>
      </w:rPr>
    </w:lvl>
  </w:abstractNum>
  <w:abstractNum w:abstractNumId="3">
    <w:nsid w:val="0000000D"/>
    <w:multiLevelType w:val="multilevel"/>
    <w:tmpl w:val="0000000D"/>
    <w:lvl w:ilvl="0" w:tentative="0">
      <w:start w:val="1"/>
      <w:numFmt w:val="none"/>
      <w:pStyle w:val="361"/>
      <w:suff w:val="nothing"/>
      <w:lvlText w:val="表2　"/>
      <w:lvlJc w:val="left"/>
      <w:pPr>
        <w:ind w:left="270"/>
      </w:pPr>
      <w:rPr>
        <w:rFonts w:hint="eastAsia" w:ascii="黑体" w:hAnsi="Times New Roman" w:eastAsia="黑体" w:cs="Times New Roman"/>
        <w:b w:val="0"/>
        <w:i w:val="0"/>
        <w:sz w:val="21"/>
      </w:rPr>
    </w:lvl>
    <w:lvl w:ilvl="1" w:tentative="0">
      <w:start w:val="1"/>
      <w:numFmt w:val="decimal"/>
      <w:lvlText w:val="%1.%2"/>
      <w:lvlJc w:val="left"/>
      <w:pPr>
        <w:tabs>
          <w:tab w:val="left" w:pos="992"/>
        </w:tabs>
        <w:ind w:left="992" w:hanging="567"/>
      </w:pPr>
      <w:rPr>
        <w:rFonts w:hint="eastAsia" w:cs="Times New Roman"/>
      </w:rPr>
    </w:lvl>
    <w:lvl w:ilvl="2" w:tentative="0">
      <w:start w:val="1"/>
      <w:numFmt w:val="decimal"/>
      <w:pStyle w:val="366"/>
      <w:lvlText w:val="%1.%2.%3"/>
      <w:lvlJc w:val="left"/>
      <w:pPr>
        <w:tabs>
          <w:tab w:val="left" w:pos="1418"/>
        </w:tabs>
        <w:ind w:left="1418" w:hanging="567"/>
      </w:pPr>
      <w:rPr>
        <w:rFonts w:hint="eastAsia" w:cs="Times New Roman"/>
      </w:rPr>
    </w:lvl>
    <w:lvl w:ilvl="3" w:tentative="0">
      <w:start w:val="1"/>
      <w:numFmt w:val="decimal"/>
      <w:pStyle w:val="365"/>
      <w:lvlText w:val="%1.%2.%3.%4"/>
      <w:lvlJc w:val="left"/>
      <w:pPr>
        <w:tabs>
          <w:tab w:val="left" w:pos="1984"/>
        </w:tabs>
        <w:ind w:left="1984" w:hanging="708"/>
      </w:pPr>
      <w:rPr>
        <w:rFonts w:hint="eastAsia" w:cs="Times New Roman"/>
      </w:rPr>
    </w:lvl>
    <w:lvl w:ilvl="4" w:tentative="0">
      <w:start w:val="1"/>
      <w:numFmt w:val="decimal"/>
      <w:pStyle w:val="364"/>
      <w:lvlText w:val="%1.%2.%3.%4.%5"/>
      <w:lvlJc w:val="left"/>
      <w:pPr>
        <w:tabs>
          <w:tab w:val="left" w:pos="2551"/>
        </w:tabs>
        <w:ind w:left="2551" w:hanging="850"/>
      </w:pPr>
      <w:rPr>
        <w:rFonts w:hint="eastAsia" w:cs="Times New Roman"/>
      </w:rPr>
    </w:lvl>
    <w:lvl w:ilvl="5" w:tentative="0">
      <w:start w:val="1"/>
      <w:numFmt w:val="decimal"/>
      <w:pStyle w:val="376"/>
      <w:lvlText w:val="%1.%2.%3.%4.%5.%6"/>
      <w:lvlJc w:val="left"/>
      <w:pPr>
        <w:tabs>
          <w:tab w:val="left" w:pos="3260"/>
        </w:tabs>
        <w:ind w:left="3260" w:hanging="1134"/>
      </w:pPr>
      <w:rPr>
        <w:rFonts w:hint="eastAsia" w:cs="Times New Roman"/>
      </w:rPr>
    </w:lvl>
    <w:lvl w:ilvl="6" w:tentative="0">
      <w:start w:val="1"/>
      <w:numFmt w:val="decimal"/>
      <w:pStyle w:val="386"/>
      <w:lvlText w:val="%1.%2.%3.%4.%5.%6.%7"/>
      <w:lvlJc w:val="left"/>
      <w:pPr>
        <w:tabs>
          <w:tab w:val="left" w:pos="3827"/>
        </w:tabs>
        <w:ind w:left="3827" w:hanging="1276"/>
      </w:pPr>
      <w:rPr>
        <w:rFonts w:hint="eastAsia" w:cs="Times New Roman"/>
      </w:rPr>
    </w:lvl>
    <w:lvl w:ilvl="7" w:tentative="0">
      <w:start w:val="1"/>
      <w:numFmt w:val="decimal"/>
      <w:lvlText w:val="%1.%2.%3.%4.%5.%6.%7.%8"/>
      <w:lvlJc w:val="left"/>
      <w:pPr>
        <w:tabs>
          <w:tab w:val="left" w:pos="4394"/>
        </w:tabs>
        <w:ind w:left="4394" w:hanging="1418"/>
      </w:pPr>
      <w:rPr>
        <w:rFonts w:hint="eastAsia" w:cs="Times New Roman"/>
      </w:rPr>
    </w:lvl>
    <w:lvl w:ilvl="8" w:tentative="0">
      <w:start w:val="1"/>
      <w:numFmt w:val="decimal"/>
      <w:lvlText w:val="%1.%2.%3.%4.%5.%6.%7.%8.%9"/>
      <w:lvlJc w:val="left"/>
      <w:pPr>
        <w:tabs>
          <w:tab w:val="left" w:pos="5102"/>
        </w:tabs>
        <w:ind w:left="5102" w:hanging="1700"/>
      </w:pPr>
      <w:rPr>
        <w:rFonts w:hint="eastAsia" w:cs="Times New Roman"/>
      </w:rPr>
    </w:lvl>
  </w:abstractNum>
  <w:abstractNum w:abstractNumId="4">
    <w:nsid w:val="0000000E"/>
    <w:multiLevelType w:val="multilevel"/>
    <w:tmpl w:val="0000000E"/>
    <w:lvl w:ilvl="0" w:tentative="0">
      <w:start w:val="1"/>
      <w:numFmt w:val="none"/>
      <w:pStyle w:val="387"/>
      <w:lvlText w:val="%1·　"/>
      <w:lvlJc w:val="left"/>
      <w:pPr>
        <w:tabs>
          <w:tab w:val="left" w:pos="1140"/>
        </w:tabs>
        <w:ind w:left="737" w:hanging="317"/>
      </w:pPr>
      <w:rPr>
        <w:rFonts w:hint="eastAsia" w:ascii="宋体" w:hAnsi="Times New Roman" w:eastAsia="宋体" w:cs="Times New Roman"/>
        <w:b w:val="0"/>
        <w:i w:val="0"/>
        <w:sz w:val="21"/>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5">
    <w:nsid w:val="0000000F"/>
    <w:multiLevelType w:val="multilevel"/>
    <w:tmpl w:val="0000000F"/>
    <w:lvl w:ilvl="0" w:tentative="0">
      <w:start w:val="1"/>
      <w:numFmt w:val="upperLetter"/>
      <w:suff w:val="nothing"/>
      <w:lvlText w:val="附　录　%1"/>
      <w:lvlJc w:val="left"/>
      <w:pPr>
        <w:ind w:left="4310"/>
      </w:pPr>
      <w:rPr>
        <w:rFonts w:cs="Times New Roman"/>
      </w:rPr>
    </w:lvl>
    <w:lvl w:ilvl="1" w:tentative="0">
      <w:start w:val="1"/>
      <w:numFmt w:val="decimal"/>
      <w:pStyle w:val="344"/>
      <w:suff w:val="nothing"/>
      <w:lvlText w:val="%1.%2　"/>
      <w:lvlJc w:val="left"/>
      <w:pPr>
        <w:ind w:left="568"/>
      </w:pPr>
      <w:rPr>
        <w:rFonts w:hint="eastAsia" w:ascii="黑体" w:hAnsi="Times New Roman" w:eastAsia="黑体" w:cs="Times New Roman"/>
        <w:b w:val="0"/>
        <w:i w:val="0"/>
        <w:snapToGrid/>
        <w:spacing w:val="0"/>
        <w:w w:val="100"/>
        <w:kern w:val="21"/>
        <w:sz w:val="21"/>
      </w:rPr>
    </w:lvl>
    <w:lvl w:ilvl="2" w:tentative="0">
      <w:start w:val="1"/>
      <w:numFmt w:val="decimal"/>
      <w:pStyle w:val="380"/>
      <w:suff w:val="nothing"/>
      <w:lvlText w:val="%1.%2.%3　"/>
      <w:lvlJc w:val="left"/>
      <w:pPr>
        <w:ind w:left="5355"/>
      </w:pPr>
      <w:rPr>
        <w:rFonts w:hint="eastAsia" w:ascii="黑体" w:hAnsi="Times New Roman" w:eastAsia="黑体" w:cs="Times New Roman"/>
        <w:b w:val="0"/>
        <w:i w:val="0"/>
        <w:sz w:val="21"/>
      </w:rPr>
    </w:lvl>
    <w:lvl w:ilvl="3" w:tentative="0">
      <w:start w:val="1"/>
      <w:numFmt w:val="decimal"/>
      <w:pStyle w:val="351"/>
      <w:suff w:val="nothing"/>
      <w:lvlText w:val="%1.%2.%3.%4　"/>
      <w:lvlJc w:val="left"/>
      <w:pPr>
        <w:ind w:left="4620"/>
      </w:pPr>
      <w:rPr>
        <w:rFonts w:hint="eastAsia" w:ascii="黑体" w:hAnsi="Times New Roman" w:eastAsia="黑体" w:cs="Times New Roman"/>
        <w:b w:val="0"/>
        <w:i w:val="0"/>
        <w:sz w:val="21"/>
      </w:rPr>
    </w:lvl>
    <w:lvl w:ilvl="4" w:tentative="0">
      <w:start w:val="1"/>
      <w:numFmt w:val="decimal"/>
      <w:pStyle w:val="346"/>
      <w:suff w:val="nothing"/>
      <w:lvlText w:val="%1.%2.%3.%4.%5　"/>
      <w:lvlJc w:val="left"/>
      <w:pPr>
        <w:ind w:left="4620"/>
      </w:pPr>
      <w:rPr>
        <w:rFonts w:hint="eastAsia" w:ascii="黑体" w:hAnsi="Times New Roman" w:eastAsia="黑体" w:cs="Times New Roman"/>
        <w:b w:val="0"/>
        <w:i w:val="0"/>
        <w:sz w:val="21"/>
      </w:rPr>
    </w:lvl>
    <w:lvl w:ilvl="5" w:tentative="0">
      <w:start w:val="1"/>
      <w:numFmt w:val="decimal"/>
      <w:pStyle w:val="368"/>
      <w:suff w:val="nothing"/>
      <w:lvlText w:val="%1.%2.%3.%4.%5.%6　"/>
      <w:lvlJc w:val="left"/>
      <w:pPr>
        <w:ind w:left="4620"/>
      </w:pPr>
      <w:rPr>
        <w:rFonts w:hint="eastAsia" w:ascii="黑体" w:hAnsi="Times New Roman" w:eastAsia="黑体" w:cs="Times New Roman"/>
        <w:b w:val="0"/>
        <w:i w:val="0"/>
        <w:sz w:val="21"/>
      </w:rPr>
    </w:lvl>
    <w:lvl w:ilvl="6" w:tentative="0">
      <w:start w:val="1"/>
      <w:numFmt w:val="decimal"/>
      <w:pStyle w:val="345"/>
      <w:suff w:val="nothing"/>
      <w:lvlText w:val="%1.%2.%3.%4.%5.%6.%7　"/>
      <w:lvlJc w:val="left"/>
      <w:pPr>
        <w:ind w:left="4620"/>
      </w:pPr>
      <w:rPr>
        <w:rFonts w:hint="eastAsia" w:ascii="黑体" w:hAnsi="Times New Roman" w:eastAsia="黑体" w:cs="Times New Roman"/>
        <w:b w:val="0"/>
        <w:i w:val="0"/>
        <w:sz w:val="21"/>
      </w:rPr>
    </w:lvl>
    <w:lvl w:ilvl="7" w:tentative="0">
      <w:start w:val="1"/>
      <w:numFmt w:val="decimal"/>
      <w:lvlText w:val="%1.%2.%3.%4.%5.%6.%7.%8"/>
      <w:lvlJc w:val="left"/>
      <w:pPr>
        <w:tabs>
          <w:tab w:val="left" w:pos="9014"/>
        </w:tabs>
        <w:ind w:left="9014" w:hanging="1418"/>
      </w:pPr>
      <w:rPr>
        <w:rFonts w:hint="eastAsia" w:cs="Times New Roman"/>
      </w:rPr>
    </w:lvl>
    <w:lvl w:ilvl="8" w:tentative="0">
      <w:start w:val="1"/>
      <w:numFmt w:val="decimal"/>
      <w:lvlText w:val="%1.%2.%3.%4.%5.%6.%7.%8.%9"/>
      <w:lvlJc w:val="left"/>
      <w:pPr>
        <w:tabs>
          <w:tab w:val="left" w:pos="9722"/>
        </w:tabs>
        <w:ind w:left="9722" w:hanging="1700"/>
      </w:pPr>
      <w:rPr>
        <w:rFonts w:hint="eastAsia" w:cs="Times New Roman"/>
      </w:rPr>
    </w:lvl>
  </w:abstractNum>
  <w:abstractNum w:abstractNumId="6">
    <w:nsid w:val="00000010"/>
    <w:multiLevelType w:val="multilevel"/>
    <w:tmpl w:val="00000010"/>
    <w:lvl w:ilvl="0" w:tentative="0">
      <w:start w:val="1"/>
      <w:numFmt w:val="none"/>
      <w:pStyle w:val="357"/>
      <w:suff w:val="nothing"/>
      <w:lvlText w:val="　"/>
      <w:lvlJc w:val="left"/>
      <w:rPr>
        <w:rFonts w:hint="eastAsia" w:ascii="黑体" w:hAnsi="Times New Roman" w:eastAsia="黑体" w:cs="Times New Roman"/>
        <w:b w:val="0"/>
        <w:i w:val="0"/>
        <w:sz w:val="21"/>
      </w:rPr>
    </w:lvl>
    <w:lvl w:ilvl="1" w:tentative="0">
      <w:start w:val="1"/>
      <w:numFmt w:val="decimal"/>
      <w:isLgl/>
      <w:suff w:val="nothing"/>
      <w:lvlText w:val="%2　"/>
      <w:lvlJc w:val="left"/>
      <w:rPr>
        <w:rFonts w:hint="eastAsia" w:ascii="黑体" w:hAnsi="Times New Roman" w:eastAsia="黑体" w:cs="Times New Roman"/>
        <w:b w:val="0"/>
        <w:i w:val="0"/>
        <w:snapToGrid/>
        <w:spacing w:val="0"/>
        <w:w w:val="100"/>
        <w:kern w:val="21"/>
        <w:sz w:val="21"/>
      </w:rPr>
    </w:lvl>
    <w:lvl w:ilvl="2" w:tentative="0">
      <w:start w:val="1"/>
      <w:numFmt w:val="decimal"/>
      <w:suff w:val="nothing"/>
      <w:lvlText w:val="%1%2.%3　"/>
      <w:lvlJc w:val="left"/>
      <w:rPr>
        <w:rFonts w:hint="eastAsia" w:ascii="黑体" w:hAnsi="Times New Roman" w:eastAsia="黑体" w:cs="Times New Roman"/>
        <w:b w:val="0"/>
        <w:i w:val="0"/>
        <w:sz w:val="21"/>
      </w:rPr>
    </w:lvl>
    <w:lvl w:ilvl="3" w:tentative="0">
      <w:start w:val="1"/>
      <w:numFmt w:val="decimal"/>
      <w:suff w:val="nothing"/>
      <w:lvlText w:val="%1%2.%3.%4　"/>
      <w:lvlJc w:val="left"/>
      <w:rPr>
        <w:rFonts w:hint="eastAsia" w:ascii="黑体" w:hAnsi="Times New Roman" w:eastAsia="黑体" w:cs="Times New Roman"/>
        <w:b w:val="0"/>
        <w:i w:val="0"/>
        <w:sz w:val="21"/>
      </w:rPr>
    </w:lvl>
    <w:lvl w:ilvl="4" w:tentative="0">
      <w:start w:val="1"/>
      <w:numFmt w:val="decimal"/>
      <w:suff w:val="nothing"/>
      <w:lvlText w:val="%1%2.%3.%4.%5　"/>
      <w:lvlJc w:val="left"/>
      <w:rPr>
        <w:rFonts w:hint="eastAsia" w:ascii="黑体" w:hAnsi="Times New Roman" w:eastAsia="黑体" w:cs="Times New Roman"/>
        <w:b w:val="0"/>
        <w:i w:val="0"/>
        <w:sz w:val="21"/>
      </w:rPr>
    </w:lvl>
    <w:lvl w:ilvl="5" w:tentative="0">
      <w:start w:val="1"/>
      <w:numFmt w:val="decimal"/>
      <w:suff w:val="nothing"/>
      <w:lvlText w:val="%1%2.%3.%4.%5.%6　"/>
      <w:lvlJc w:val="left"/>
      <w:rPr>
        <w:rFonts w:hint="eastAsia" w:ascii="黑体" w:hAnsi="Times New Roman" w:eastAsia="黑体" w:cs="Times New Roman"/>
        <w:b w:val="0"/>
        <w:i w:val="0"/>
        <w:sz w:val="21"/>
      </w:rPr>
    </w:lvl>
    <w:lvl w:ilvl="6" w:tentative="0">
      <w:start w:val="1"/>
      <w:numFmt w:val="decimal"/>
      <w:suff w:val="nothing"/>
      <w:lvlText w:val="%1%2.%3.%4.%5.%6.%7　"/>
      <w:lvlJc w:val="left"/>
      <w:rPr>
        <w:rFonts w:hint="eastAsia" w:ascii="黑体" w:hAnsi="Times New Roman" w:eastAsia="黑体" w:cs="Times New Roman"/>
        <w:b w:val="0"/>
        <w:i w:val="0"/>
        <w:sz w:val="21"/>
      </w:rPr>
    </w:lvl>
    <w:lvl w:ilvl="7" w:tentative="0">
      <w:start w:val="1"/>
      <w:numFmt w:val="decimal"/>
      <w:lvlText w:val="%1.%2.%3.%4.%5.%6.%7.%8"/>
      <w:lvlJc w:val="left"/>
      <w:pPr>
        <w:tabs>
          <w:tab w:val="left" w:pos="4394"/>
        </w:tabs>
        <w:ind w:left="4394" w:hanging="1418"/>
      </w:pPr>
      <w:rPr>
        <w:rFonts w:hint="eastAsia" w:cs="Times New Roman"/>
      </w:rPr>
    </w:lvl>
    <w:lvl w:ilvl="8" w:tentative="0">
      <w:start w:val="1"/>
      <w:numFmt w:val="decimal"/>
      <w:lvlText w:val="%1.%2.%3.%4.%5.%6.%7.%8.%9"/>
      <w:lvlJc w:val="left"/>
      <w:pPr>
        <w:tabs>
          <w:tab w:val="left" w:pos="5102"/>
        </w:tabs>
        <w:ind w:left="5102" w:hanging="1700"/>
      </w:pPr>
      <w:rPr>
        <w:rFonts w:hint="eastAsia" w:cs="Times New Roman"/>
      </w:rPr>
    </w:lvl>
  </w:abstractNum>
  <w:abstractNum w:abstractNumId="7">
    <w:nsid w:val="00000011"/>
    <w:multiLevelType w:val="multilevel"/>
    <w:tmpl w:val="00000011"/>
    <w:lvl w:ilvl="0" w:tentative="0">
      <w:start w:val="1"/>
      <w:numFmt w:val="none"/>
      <w:pStyle w:val="360"/>
      <w:lvlText w:val="%1注："/>
      <w:lvlJc w:val="left"/>
      <w:pPr>
        <w:tabs>
          <w:tab w:val="left" w:pos="1140"/>
        </w:tabs>
        <w:ind w:left="840" w:hanging="420"/>
      </w:pPr>
      <w:rPr>
        <w:rFonts w:hint="eastAsia" w:ascii="宋体" w:hAnsi="Times New Roman" w:eastAsia="宋体" w:cs="Times New Roman"/>
        <w:b w:val="0"/>
        <w:i w:val="0"/>
        <w:sz w:val="18"/>
      </w:rPr>
    </w:lvl>
    <w:lvl w:ilvl="1" w:tentative="0">
      <w:start w:val="1"/>
      <w:numFmt w:val="decimal"/>
      <w:lvlText w:val="%2."/>
      <w:lvlJc w:val="left"/>
      <w:pPr>
        <w:tabs>
          <w:tab w:val="left" w:pos="840"/>
        </w:tabs>
        <w:ind w:left="840" w:hanging="420"/>
      </w:pPr>
      <w:rPr>
        <w:rFonts w:hint="eastAsia" w:cs="Times New Roman"/>
        <w:b w:val="0"/>
        <w:i w:val="0"/>
        <w:sz w:val="18"/>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8">
    <w:nsid w:val="00000012"/>
    <w:multiLevelType w:val="multilevel"/>
    <w:tmpl w:val="00000012"/>
    <w:lvl w:ilvl="0" w:tentative="0">
      <w:start w:val="1"/>
      <w:numFmt w:val="none"/>
      <w:pStyle w:val="377"/>
      <w:lvlText w:val="%1示例"/>
      <w:lvlJc w:val="left"/>
      <w:pPr>
        <w:tabs>
          <w:tab w:val="left" w:pos="1120"/>
        </w:tabs>
        <w:ind w:firstLine="400"/>
      </w:pPr>
      <w:rPr>
        <w:rFonts w:hint="eastAsia" w:ascii="宋体" w:eastAsia="宋体" w:cs="Times New Roman"/>
        <w:b w:val="0"/>
        <w:i w:val="0"/>
        <w:sz w:val="18"/>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9">
    <w:nsid w:val="00000013"/>
    <w:multiLevelType w:val="multilevel"/>
    <w:tmpl w:val="00000013"/>
    <w:lvl w:ilvl="0" w:tentative="0">
      <w:start w:val="1"/>
      <w:numFmt w:val="none"/>
      <w:pStyle w:val="343"/>
      <w:suff w:val="nothing"/>
      <w:lvlText w:val="%1"/>
      <w:lvlJc w:val="left"/>
      <w:rPr>
        <w:rFonts w:hint="default" w:ascii="Times New Roman" w:hAnsi="Times New Roman" w:cs="Times New Roman"/>
        <w:b/>
        <w:i w:val="0"/>
        <w:sz w:val="21"/>
      </w:rPr>
    </w:lvl>
    <w:lvl w:ilvl="1" w:tentative="0">
      <w:start w:val="1"/>
      <w:numFmt w:val="decimal"/>
      <w:pStyle w:val="326"/>
      <w:suff w:val="nothing"/>
      <w:lvlText w:val="%1%2　"/>
      <w:lvlJc w:val="left"/>
      <w:pPr>
        <w:ind w:left="993"/>
      </w:pPr>
      <w:rPr>
        <w:rFonts w:hint="eastAsia" w:ascii="黑体" w:hAnsi="Times New Roman" w:eastAsia="黑体" w:cs="Times New Roman"/>
        <w:b w:val="0"/>
        <w:i w:val="0"/>
        <w:sz w:val="21"/>
      </w:rPr>
    </w:lvl>
    <w:lvl w:ilvl="2" w:tentative="0">
      <w:start w:val="1"/>
      <w:numFmt w:val="decimal"/>
      <w:pStyle w:val="330"/>
      <w:suff w:val="nothing"/>
      <w:lvlText w:val="%1%2.%3　"/>
      <w:lvlJc w:val="left"/>
      <w:rPr>
        <w:rFonts w:hint="eastAsia" w:ascii="黑体" w:hAnsi="Times New Roman" w:eastAsia="黑体" w:cs="Times New Roman"/>
        <w:b w:val="0"/>
        <w:i w:val="0"/>
        <w:sz w:val="21"/>
      </w:rPr>
    </w:lvl>
    <w:lvl w:ilvl="3" w:tentative="0">
      <w:start w:val="1"/>
      <w:numFmt w:val="decimal"/>
      <w:suff w:val="nothing"/>
      <w:lvlText w:val="%1%2.%3.%4　"/>
      <w:lvlJc w:val="left"/>
      <w:pPr>
        <w:ind w:left="3402"/>
      </w:pPr>
      <w:rPr>
        <w:rFonts w:hint="eastAsia" w:ascii="黑体" w:hAnsi="Times New Roman" w:eastAsia="黑体" w:cs="Times New Roman"/>
        <w:b w:val="0"/>
        <w:i w:val="0"/>
        <w:sz w:val="21"/>
      </w:rPr>
    </w:lvl>
    <w:lvl w:ilvl="4" w:tentative="0">
      <w:start w:val="1"/>
      <w:numFmt w:val="decimal"/>
      <w:suff w:val="nothing"/>
      <w:lvlText w:val="%1%2.%3.%4.%5　"/>
      <w:lvlJc w:val="left"/>
      <w:pPr>
        <w:ind w:left="284"/>
      </w:pPr>
      <w:rPr>
        <w:rFonts w:hint="eastAsia" w:ascii="黑体" w:hAnsi="Times New Roman" w:eastAsia="黑体" w:cs="Times New Roman"/>
        <w:b w:val="0"/>
        <w:i w:val="0"/>
        <w:sz w:val="21"/>
      </w:rPr>
    </w:lvl>
    <w:lvl w:ilvl="5" w:tentative="0">
      <w:start w:val="1"/>
      <w:numFmt w:val="decimal"/>
      <w:suff w:val="nothing"/>
      <w:lvlText w:val="%1%2.%3.%4.%5.%6　"/>
      <w:lvlJc w:val="left"/>
      <w:rPr>
        <w:rFonts w:hint="eastAsia" w:ascii="黑体" w:hAnsi="Times New Roman" w:eastAsia="黑体" w:cs="Times New Roman"/>
        <w:b w:val="0"/>
        <w:i w:val="0"/>
        <w:sz w:val="21"/>
      </w:rPr>
    </w:lvl>
    <w:lvl w:ilvl="6" w:tentative="0">
      <w:start w:val="1"/>
      <w:numFmt w:val="decimal"/>
      <w:suff w:val="nothing"/>
      <w:lvlText w:val="%1%2.%3.%4.%5.%6.%7　"/>
      <w:lvlJc w:val="left"/>
      <w:rPr>
        <w:rFonts w:hint="eastAsia" w:ascii="黑体" w:hAnsi="Times New Roman" w:eastAsia="黑体" w:cs="Times New Roman"/>
        <w:b w:val="0"/>
        <w:i w:val="0"/>
        <w:sz w:val="21"/>
      </w:rPr>
    </w:lvl>
    <w:lvl w:ilvl="7" w:tentative="0">
      <w:start w:val="1"/>
      <w:numFmt w:val="decimal"/>
      <w:lvlText w:val="%1.%2.%3.%4.%5.%6.%7.%8"/>
      <w:lvlJc w:val="left"/>
      <w:pPr>
        <w:tabs>
          <w:tab w:val="left" w:pos="4351"/>
        </w:tabs>
        <w:ind w:left="3969" w:hanging="1418"/>
      </w:pPr>
      <w:rPr>
        <w:rFonts w:hint="eastAsia" w:cs="Times New Roman"/>
      </w:rPr>
    </w:lvl>
    <w:lvl w:ilvl="8" w:tentative="0">
      <w:start w:val="1"/>
      <w:numFmt w:val="decimal"/>
      <w:lvlText w:val="%1.%2.%3.%4.%5.%6.%7.%8.%9"/>
      <w:lvlJc w:val="left"/>
      <w:pPr>
        <w:tabs>
          <w:tab w:val="left" w:pos="4777"/>
        </w:tabs>
        <w:ind w:left="4677" w:hanging="1700"/>
      </w:pPr>
      <w:rPr>
        <w:rFonts w:hint="eastAsia" w:cs="Times New Roman"/>
      </w:rPr>
    </w:lvl>
  </w:abstractNum>
  <w:abstractNum w:abstractNumId="10">
    <w:nsid w:val="00000014"/>
    <w:multiLevelType w:val="multilevel"/>
    <w:tmpl w:val="00000014"/>
    <w:lvl w:ilvl="0" w:tentative="0">
      <w:start w:val="1"/>
      <w:numFmt w:val="none"/>
      <w:pStyle w:val="375"/>
      <w:lvlText w:val="%1——"/>
      <w:lvlJc w:val="left"/>
      <w:pPr>
        <w:tabs>
          <w:tab w:val="left" w:pos="1140"/>
        </w:tabs>
        <w:ind w:left="840" w:hanging="420"/>
      </w:pPr>
      <w:rPr>
        <w:rFonts w:hint="eastAsia"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11">
    <w:nsid w:val="11A3534B"/>
    <w:multiLevelType w:val="multilevel"/>
    <w:tmpl w:val="11A3534B"/>
    <w:lvl w:ilvl="0" w:tentative="0">
      <w:start w:val="1"/>
      <w:numFmt w:val="japaneseCounting"/>
      <w:pStyle w:val="342"/>
      <w:lvlText w:val="%1、"/>
      <w:lvlJc w:val="left"/>
      <w:pPr>
        <w:ind w:left="1356" w:hanging="720"/>
      </w:pPr>
      <w:rPr>
        <w:rFonts w:hint="default" w:cs="Times New Roman"/>
      </w:rPr>
    </w:lvl>
    <w:lvl w:ilvl="1" w:tentative="0">
      <w:start w:val="1"/>
      <w:numFmt w:val="lowerLetter"/>
      <w:lvlText w:val="%2)"/>
      <w:lvlJc w:val="left"/>
      <w:pPr>
        <w:ind w:left="1476" w:hanging="420"/>
      </w:pPr>
      <w:rPr>
        <w:rFonts w:cs="Times New Roman"/>
      </w:rPr>
    </w:lvl>
    <w:lvl w:ilvl="2" w:tentative="0">
      <w:start w:val="1"/>
      <w:numFmt w:val="lowerRoman"/>
      <w:lvlText w:val="%3."/>
      <w:lvlJc w:val="right"/>
      <w:pPr>
        <w:ind w:left="1896" w:hanging="420"/>
      </w:pPr>
      <w:rPr>
        <w:rFonts w:cs="Times New Roman"/>
      </w:rPr>
    </w:lvl>
    <w:lvl w:ilvl="3" w:tentative="0">
      <w:start w:val="1"/>
      <w:numFmt w:val="decimal"/>
      <w:pStyle w:val="331"/>
      <w:lvlText w:val="%4."/>
      <w:lvlJc w:val="left"/>
      <w:pPr>
        <w:ind w:left="2316" w:hanging="420"/>
      </w:pPr>
      <w:rPr>
        <w:rFonts w:cs="Times New Roman"/>
      </w:rPr>
    </w:lvl>
    <w:lvl w:ilvl="4" w:tentative="0">
      <w:start w:val="1"/>
      <w:numFmt w:val="lowerLetter"/>
      <w:lvlText w:val="%5)"/>
      <w:lvlJc w:val="left"/>
      <w:pPr>
        <w:ind w:left="2736" w:hanging="420"/>
      </w:pPr>
      <w:rPr>
        <w:rFonts w:cs="Times New Roman"/>
      </w:rPr>
    </w:lvl>
    <w:lvl w:ilvl="5" w:tentative="0">
      <w:start w:val="1"/>
      <w:numFmt w:val="lowerRoman"/>
      <w:pStyle w:val="355"/>
      <w:lvlText w:val="%6."/>
      <w:lvlJc w:val="right"/>
      <w:pPr>
        <w:ind w:left="3156" w:hanging="420"/>
      </w:pPr>
      <w:rPr>
        <w:rFonts w:cs="Times New Roman"/>
      </w:rPr>
    </w:lvl>
    <w:lvl w:ilvl="6" w:tentative="0">
      <w:start w:val="1"/>
      <w:numFmt w:val="decimal"/>
      <w:pStyle w:val="358"/>
      <w:lvlText w:val="%7."/>
      <w:lvlJc w:val="left"/>
      <w:pPr>
        <w:ind w:left="3576" w:hanging="420"/>
      </w:pPr>
      <w:rPr>
        <w:rFonts w:cs="Times New Roman"/>
      </w:rPr>
    </w:lvl>
    <w:lvl w:ilvl="7" w:tentative="0">
      <w:start w:val="1"/>
      <w:numFmt w:val="lowerLetter"/>
      <w:lvlText w:val="%8)"/>
      <w:lvlJc w:val="left"/>
      <w:pPr>
        <w:ind w:left="3996" w:hanging="420"/>
      </w:pPr>
      <w:rPr>
        <w:rFonts w:cs="Times New Roman"/>
      </w:rPr>
    </w:lvl>
    <w:lvl w:ilvl="8" w:tentative="0">
      <w:start w:val="1"/>
      <w:numFmt w:val="lowerRoman"/>
      <w:lvlText w:val="%9."/>
      <w:lvlJc w:val="right"/>
      <w:pPr>
        <w:ind w:left="4416" w:hanging="420"/>
      </w:pPr>
      <w:rPr>
        <w:rFonts w:cs="Times New Roman"/>
      </w:rPr>
    </w:lvl>
  </w:abstractNum>
  <w:abstractNum w:abstractNumId="12">
    <w:nsid w:val="195367D1"/>
    <w:multiLevelType w:val="singleLevel"/>
    <w:tmpl w:val="195367D1"/>
    <w:lvl w:ilvl="0" w:tentative="0">
      <w:start w:val="1"/>
      <w:numFmt w:val="decimal"/>
      <w:lvlText w:val="%1."/>
      <w:lvlJc w:val="left"/>
      <w:pPr>
        <w:tabs>
          <w:tab w:val="left" w:pos="312"/>
        </w:tabs>
      </w:pPr>
    </w:lvl>
  </w:abstractNum>
  <w:abstractNum w:abstractNumId="13">
    <w:nsid w:val="1D57ACAE"/>
    <w:multiLevelType w:val="singleLevel"/>
    <w:tmpl w:val="1D57ACAE"/>
    <w:lvl w:ilvl="0" w:tentative="0">
      <w:start w:val="1"/>
      <w:numFmt w:val="decimal"/>
      <w:lvlText w:val="%1."/>
      <w:lvlJc w:val="left"/>
      <w:pPr>
        <w:tabs>
          <w:tab w:val="left" w:pos="312"/>
        </w:tabs>
      </w:pPr>
    </w:lvl>
  </w:abstractNum>
  <w:num w:numId="1">
    <w:abstractNumId w:val="9"/>
  </w:num>
  <w:num w:numId="2">
    <w:abstractNumId w:val="11"/>
  </w:num>
  <w:num w:numId="3">
    <w:abstractNumId w:val="5"/>
  </w:num>
  <w:num w:numId="4">
    <w:abstractNumId w:val="6"/>
  </w:num>
  <w:num w:numId="5">
    <w:abstractNumId w:val="7"/>
  </w:num>
  <w:num w:numId="6">
    <w:abstractNumId w:val="3"/>
  </w:num>
  <w:num w:numId="7">
    <w:abstractNumId w:val="2"/>
  </w:num>
  <w:num w:numId="8">
    <w:abstractNumId w:val="10"/>
  </w:num>
  <w:num w:numId="9">
    <w:abstractNumId w:val="8"/>
  </w:num>
  <w:num w:numId="10">
    <w:abstractNumId w:val="4"/>
  </w:num>
  <w:num w:numId="11">
    <w:abstractNumId w:val="0"/>
  </w:num>
  <w:num w:numId="12">
    <w:abstractNumId w:val="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0"/>
  <w:drawingGridVerticalSpacing w:val="156"/>
  <w:noPunctuationKerning w:val="1"/>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003C7"/>
    <w:rsid w:val="00000EDA"/>
    <w:rsid w:val="000017C3"/>
    <w:rsid w:val="00001919"/>
    <w:rsid w:val="0000228E"/>
    <w:rsid w:val="00002671"/>
    <w:rsid w:val="00004396"/>
    <w:rsid w:val="00004C13"/>
    <w:rsid w:val="00005283"/>
    <w:rsid w:val="000067E7"/>
    <w:rsid w:val="00011AD2"/>
    <w:rsid w:val="00011C3E"/>
    <w:rsid w:val="0001201E"/>
    <w:rsid w:val="00013C5C"/>
    <w:rsid w:val="00014485"/>
    <w:rsid w:val="000146BC"/>
    <w:rsid w:val="00014BA9"/>
    <w:rsid w:val="00014BC4"/>
    <w:rsid w:val="00014CBE"/>
    <w:rsid w:val="00015623"/>
    <w:rsid w:val="00015696"/>
    <w:rsid w:val="000158AC"/>
    <w:rsid w:val="00015FF2"/>
    <w:rsid w:val="00017214"/>
    <w:rsid w:val="00017E56"/>
    <w:rsid w:val="00020F29"/>
    <w:rsid w:val="00022F09"/>
    <w:rsid w:val="00023147"/>
    <w:rsid w:val="00023833"/>
    <w:rsid w:val="00023848"/>
    <w:rsid w:val="00024FE5"/>
    <w:rsid w:val="00026CF3"/>
    <w:rsid w:val="00027888"/>
    <w:rsid w:val="000307D3"/>
    <w:rsid w:val="000334B4"/>
    <w:rsid w:val="000337D0"/>
    <w:rsid w:val="0003403D"/>
    <w:rsid w:val="00034A87"/>
    <w:rsid w:val="00035BD8"/>
    <w:rsid w:val="0003651C"/>
    <w:rsid w:val="000366A6"/>
    <w:rsid w:val="00036A22"/>
    <w:rsid w:val="00040D5A"/>
    <w:rsid w:val="000422F8"/>
    <w:rsid w:val="0004284C"/>
    <w:rsid w:val="0004291C"/>
    <w:rsid w:val="0004402C"/>
    <w:rsid w:val="000442BF"/>
    <w:rsid w:val="000446BB"/>
    <w:rsid w:val="00044DA1"/>
    <w:rsid w:val="00044DA7"/>
    <w:rsid w:val="0004500B"/>
    <w:rsid w:val="00045C4F"/>
    <w:rsid w:val="000470EA"/>
    <w:rsid w:val="0004733C"/>
    <w:rsid w:val="0005023E"/>
    <w:rsid w:val="0005054B"/>
    <w:rsid w:val="000507E6"/>
    <w:rsid w:val="00050ADD"/>
    <w:rsid w:val="000527AA"/>
    <w:rsid w:val="00053526"/>
    <w:rsid w:val="00053753"/>
    <w:rsid w:val="00054FBB"/>
    <w:rsid w:val="000562EF"/>
    <w:rsid w:val="00060C9D"/>
    <w:rsid w:val="000618AE"/>
    <w:rsid w:val="00061B0C"/>
    <w:rsid w:val="000622B0"/>
    <w:rsid w:val="00062553"/>
    <w:rsid w:val="00062A76"/>
    <w:rsid w:val="0006301F"/>
    <w:rsid w:val="00063C24"/>
    <w:rsid w:val="00064A98"/>
    <w:rsid w:val="0006582E"/>
    <w:rsid w:val="00071134"/>
    <w:rsid w:val="000715C5"/>
    <w:rsid w:val="0007249F"/>
    <w:rsid w:val="000741DF"/>
    <w:rsid w:val="000747D4"/>
    <w:rsid w:val="00074E70"/>
    <w:rsid w:val="000763D2"/>
    <w:rsid w:val="00076604"/>
    <w:rsid w:val="00081973"/>
    <w:rsid w:val="00082306"/>
    <w:rsid w:val="00082606"/>
    <w:rsid w:val="000829EE"/>
    <w:rsid w:val="00082A8D"/>
    <w:rsid w:val="00082D83"/>
    <w:rsid w:val="000832D6"/>
    <w:rsid w:val="000854EF"/>
    <w:rsid w:val="00087650"/>
    <w:rsid w:val="00087B32"/>
    <w:rsid w:val="00090750"/>
    <w:rsid w:val="0009307B"/>
    <w:rsid w:val="00093182"/>
    <w:rsid w:val="000936B3"/>
    <w:rsid w:val="0009412D"/>
    <w:rsid w:val="000943A9"/>
    <w:rsid w:val="0009469C"/>
    <w:rsid w:val="00095FB4"/>
    <w:rsid w:val="00096B47"/>
    <w:rsid w:val="00097764"/>
    <w:rsid w:val="00097942"/>
    <w:rsid w:val="000979F1"/>
    <w:rsid w:val="000A10B2"/>
    <w:rsid w:val="000A11B6"/>
    <w:rsid w:val="000A18EB"/>
    <w:rsid w:val="000A1D29"/>
    <w:rsid w:val="000A1F77"/>
    <w:rsid w:val="000A4246"/>
    <w:rsid w:val="000A5C50"/>
    <w:rsid w:val="000A5E3C"/>
    <w:rsid w:val="000A5EDB"/>
    <w:rsid w:val="000A6667"/>
    <w:rsid w:val="000A699E"/>
    <w:rsid w:val="000A73A0"/>
    <w:rsid w:val="000B0EE7"/>
    <w:rsid w:val="000B0EF4"/>
    <w:rsid w:val="000B2E3B"/>
    <w:rsid w:val="000B2E66"/>
    <w:rsid w:val="000B3467"/>
    <w:rsid w:val="000B3972"/>
    <w:rsid w:val="000B47D8"/>
    <w:rsid w:val="000B4849"/>
    <w:rsid w:val="000B5197"/>
    <w:rsid w:val="000B522B"/>
    <w:rsid w:val="000B575D"/>
    <w:rsid w:val="000B6654"/>
    <w:rsid w:val="000B7A17"/>
    <w:rsid w:val="000C0A4D"/>
    <w:rsid w:val="000C0BB8"/>
    <w:rsid w:val="000C1A69"/>
    <w:rsid w:val="000C2614"/>
    <w:rsid w:val="000C2F7E"/>
    <w:rsid w:val="000C3F87"/>
    <w:rsid w:val="000C443C"/>
    <w:rsid w:val="000C4972"/>
    <w:rsid w:val="000D0113"/>
    <w:rsid w:val="000D09E9"/>
    <w:rsid w:val="000D14DE"/>
    <w:rsid w:val="000D266E"/>
    <w:rsid w:val="000D2B35"/>
    <w:rsid w:val="000D41E6"/>
    <w:rsid w:val="000D4886"/>
    <w:rsid w:val="000D4D2F"/>
    <w:rsid w:val="000D4FF6"/>
    <w:rsid w:val="000D6114"/>
    <w:rsid w:val="000D791A"/>
    <w:rsid w:val="000E5C74"/>
    <w:rsid w:val="000E616D"/>
    <w:rsid w:val="000F0207"/>
    <w:rsid w:val="000F06AF"/>
    <w:rsid w:val="000F0CDD"/>
    <w:rsid w:val="000F21AB"/>
    <w:rsid w:val="000F22D5"/>
    <w:rsid w:val="000F2305"/>
    <w:rsid w:val="000F3343"/>
    <w:rsid w:val="000F3C5E"/>
    <w:rsid w:val="000F437A"/>
    <w:rsid w:val="000F52C7"/>
    <w:rsid w:val="000F6D5A"/>
    <w:rsid w:val="000F78E8"/>
    <w:rsid w:val="00101B39"/>
    <w:rsid w:val="00102D4D"/>
    <w:rsid w:val="00103E6E"/>
    <w:rsid w:val="00103ED1"/>
    <w:rsid w:val="00104282"/>
    <w:rsid w:val="001053FF"/>
    <w:rsid w:val="00107742"/>
    <w:rsid w:val="00107CA9"/>
    <w:rsid w:val="00107FAF"/>
    <w:rsid w:val="00110645"/>
    <w:rsid w:val="00111011"/>
    <w:rsid w:val="001111AB"/>
    <w:rsid w:val="00111C88"/>
    <w:rsid w:val="0011300A"/>
    <w:rsid w:val="001153F3"/>
    <w:rsid w:val="00115F24"/>
    <w:rsid w:val="00117043"/>
    <w:rsid w:val="00117E54"/>
    <w:rsid w:val="001209A0"/>
    <w:rsid w:val="001212F2"/>
    <w:rsid w:val="00121785"/>
    <w:rsid w:val="0012314B"/>
    <w:rsid w:val="00125159"/>
    <w:rsid w:val="00125B28"/>
    <w:rsid w:val="00125B45"/>
    <w:rsid w:val="00125B4B"/>
    <w:rsid w:val="00125B6E"/>
    <w:rsid w:val="00125BFD"/>
    <w:rsid w:val="00126628"/>
    <w:rsid w:val="0012699C"/>
    <w:rsid w:val="00127037"/>
    <w:rsid w:val="00127CD1"/>
    <w:rsid w:val="00130A11"/>
    <w:rsid w:val="0013168C"/>
    <w:rsid w:val="001322AC"/>
    <w:rsid w:val="001347B6"/>
    <w:rsid w:val="00135F9C"/>
    <w:rsid w:val="001376A6"/>
    <w:rsid w:val="0013780B"/>
    <w:rsid w:val="00142CBD"/>
    <w:rsid w:val="00142DD5"/>
    <w:rsid w:val="00143E1C"/>
    <w:rsid w:val="00144528"/>
    <w:rsid w:val="00150F02"/>
    <w:rsid w:val="001512DF"/>
    <w:rsid w:val="0015289F"/>
    <w:rsid w:val="00152F33"/>
    <w:rsid w:val="00155195"/>
    <w:rsid w:val="00155AE7"/>
    <w:rsid w:val="0015619D"/>
    <w:rsid w:val="0015733F"/>
    <w:rsid w:val="001609A8"/>
    <w:rsid w:val="00160D7A"/>
    <w:rsid w:val="00161F35"/>
    <w:rsid w:val="00162A16"/>
    <w:rsid w:val="00162DF0"/>
    <w:rsid w:val="001633EA"/>
    <w:rsid w:val="001640C5"/>
    <w:rsid w:val="001640CF"/>
    <w:rsid w:val="0016484E"/>
    <w:rsid w:val="00164C45"/>
    <w:rsid w:val="00165788"/>
    <w:rsid w:val="00166082"/>
    <w:rsid w:val="00166112"/>
    <w:rsid w:val="00166B88"/>
    <w:rsid w:val="0016797F"/>
    <w:rsid w:val="00167F01"/>
    <w:rsid w:val="00170D3B"/>
    <w:rsid w:val="00171FC9"/>
    <w:rsid w:val="0017296F"/>
    <w:rsid w:val="00172A27"/>
    <w:rsid w:val="00172E18"/>
    <w:rsid w:val="001736D1"/>
    <w:rsid w:val="00174295"/>
    <w:rsid w:val="00174CE7"/>
    <w:rsid w:val="00174F75"/>
    <w:rsid w:val="0017603B"/>
    <w:rsid w:val="00176270"/>
    <w:rsid w:val="00177714"/>
    <w:rsid w:val="00181AA6"/>
    <w:rsid w:val="00182610"/>
    <w:rsid w:val="00182CAF"/>
    <w:rsid w:val="00183499"/>
    <w:rsid w:val="00183CB1"/>
    <w:rsid w:val="00184BD2"/>
    <w:rsid w:val="00184DDC"/>
    <w:rsid w:val="001851E1"/>
    <w:rsid w:val="00185D1C"/>
    <w:rsid w:val="00186819"/>
    <w:rsid w:val="00186E22"/>
    <w:rsid w:val="0019067C"/>
    <w:rsid w:val="001932A9"/>
    <w:rsid w:val="001933F1"/>
    <w:rsid w:val="001937F8"/>
    <w:rsid w:val="00193D1B"/>
    <w:rsid w:val="00193DE1"/>
    <w:rsid w:val="001947CE"/>
    <w:rsid w:val="00194E1A"/>
    <w:rsid w:val="001952FD"/>
    <w:rsid w:val="001A04EC"/>
    <w:rsid w:val="001A0961"/>
    <w:rsid w:val="001A1E4D"/>
    <w:rsid w:val="001A2221"/>
    <w:rsid w:val="001A2B79"/>
    <w:rsid w:val="001A5903"/>
    <w:rsid w:val="001A5ED0"/>
    <w:rsid w:val="001A6383"/>
    <w:rsid w:val="001A6B95"/>
    <w:rsid w:val="001A6D77"/>
    <w:rsid w:val="001A75B7"/>
    <w:rsid w:val="001B005D"/>
    <w:rsid w:val="001B0695"/>
    <w:rsid w:val="001B074A"/>
    <w:rsid w:val="001B0904"/>
    <w:rsid w:val="001B1069"/>
    <w:rsid w:val="001B2E6A"/>
    <w:rsid w:val="001B33BA"/>
    <w:rsid w:val="001B3BF0"/>
    <w:rsid w:val="001B4360"/>
    <w:rsid w:val="001B4495"/>
    <w:rsid w:val="001B4800"/>
    <w:rsid w:val="001B5297"/>
    <w:rsid w:val="001B5A88"/>
    <w:rsid w:val="001C05B5"/>
    <w:rsid w:val="001C06A6"/>
    <w:rsid w:val="001C086A"/>
    <w:rsid w:val="001C2BD6"/>
    <w:rsid w:val="001C2E72"/>
    <w:rsid w:val="001C322F"/>
    <w:rsid w:val="001C399D"/>
    <w:rsid w:val="001C3AF8"/>
    <w:rsid w:val="001C5804"/>
    <w:rsid w:val="001C61F9"/>
    <w:rsid w:val="001C6427"/>
    <w:rsid w:val="001C7802"/>
    <w:rsid w:val="001C7A99"/>
    <w:rsid w:val="001C7CE1"/>
    <w:rsid w:val="001D06DF"/>
    <w:rsid w:val="001D08F3"/>
    <w:rsid w:val="001D0C15"/>
    <w:rsid w:val="001D1658"/>
    <w:rsid w:val="001D2633"/>
    <w:rsid w:val="001D45D0"/>
    <w:rsid w:val="001D5FDA"/>
    <w:rsid w:val="001D6DEF"/>
    <w:rsid w:val="001E07B6"/>
    <w:rsid w:val="001E0EB3"/>
    <w:rsid w:val="001E19C4"/>
    <w:rsid w:val="001E25E8"/>
    <w:rsid w:val="001E2958"/>
    <w:rsid w:val="001E303D"/>
    <w:rsid w:val="001E46C5"/>
    <w:rsid w:val="001E4813"/>
    <w:rsid w:val="001E4BE1"/>
    <w:rsid w:val="001E4D60"/>
    <w:rsid w:val="001E5155"/>
    <w:rsid w:val="001E5C81"/>
    <w:rsid w:val="001E6ADD"/>
    <w:rsid w:val="001F1A52"/>
    <w:rsid w:val="001F1DEF"/>
    <w:rsid w:val="001F287E"/>
    <w:rsid w:val="001F5810"/>
    <w:rsid w:val="001F58B4"/>
    <w:rsid w:val="001F6988"/>
    <w:rsid w:val="001F72D2"/>
    <w:rsid w:val="001F7775"/>
    <w:rsid w:val="001F7D02"/>
    <w:rsid w:val="002007F6"/>
    <w:rsid w:val="00200AE1"/>
    <w:rsid w:val="00201C4F"/>
    <w:rsid w:val="00203CC0"/>
    <w:rsid w:val="00204D49"/>
    <w:rsid w:val="0020732B"/>
    <w:rsid w:val="00207CB8"/>
    <w:rsid w:val="00211702"/>
    <w:rsid w:val="00213241"/>
    <w:rsid w:val="00213300"/>
    <w:rsid w:val="0021330D"/>
    <w:rsid w:val="0021391C"/>
    <w:rsid w:val="00213EA5"/>
    <w:rsid w:val="00214AF2"/>
    <w:rsid w:val="00215005"/>
    <w:rsid w:val="00220DB2"/>
    <w:rsid w:val="00221419"/>
    <w:rsid w:val="0022260A"/>
    <w:rsid w:val="00223D26"/>
    <w:rsid w:val="00224E2A"/>
    <w:rsid w:val="002258AD"/>
    <w:rsid w:val="002274F2"/>
    <w:rsid w:val="0022764F"/>
    <w:rsid w:val="00232AE2"/>
    <w:rsid w:val="002333EE"/>
    <w:rsid w:val="00234937"/>
    <w:rsid w:val="0023770F"/>
    <w:rsid w:val="00237E28"/>
    <w:rsid w:val="00240EE4"/>
    <w:rsid w:val="002422C3"/>
    <w:rsid w:val="00242BC5"/>
    <w:rsid w:val="0024306B"/>
    <w:rsid w:val="002432DE"/>
    <w:rsid w:val="00243638"/>
    <w:rsid w:val="00243EB5"/>
    <w:rsid w:val="00243FC3"/>
    <w:rsid w:val="002455D7"/>
    <w:rsid w:val="0024586F"/>
    <w:rsid w:val="002464B4"/>
    <w:rsid w:val="00250193"/>
    <w:rsid w:val="00251ED1"/>
    <w:rsid w:val="002521DD"/>
    <w:rsid w:val="00252277"/>
    <w:rsid w:val="002532FC"/>
    <w:rsid w:val="00253A94"/>
    <w:rsid w:val="002542DC"/>
    <w:rsid w:val="002549CC"/>
    <w:rsid w:val="00254E69"/>
    <w:rsid w:val="00254E7A"/>
    <w:rsid w:val="0025738A"/>
    <w:rsid w:val="00262374"/>
    <w:rsid w:val="002625D6"/>
    <w:rsid w:val="00262999"/>
    <w:rsid w:val="002638AA"/>
    <w:rsid w:val="00263EEC"/>
    <w:rsid w:val="00263F04"/>
    <w:rsid w:val="002641D5"/>
    <w:rsid w:val="0026544E"/>
    <w:rsid w:val="00265823"/>
    <w:rsid w:val="00267299"/>
    <w:rsid w:val="00267F02"/>
    <w:rsid w:val="002713ED"/>
    <w:rsid w:val="00272830"/>
    <w:rsid w:val="00273AAB"/>
    <w:rsid w:val="00275FA3"/>
    <w:rsid w:val="002760B1"/>
    <w:rsid w:val="002763B7"/>
    <w:rsid w:val="002771ED"/>
    <w:rsid w:val="00277A24"/>
    <w:rsid w:val="00277F69"/>
    <w:rsid w:val="00280AFF"/>
    <w:rsid w:val="00280E24"/>
    <w:rsid w:val="00283505"/>
    <w:rsid w:val="00285419"/>
    <w:rsid w:val="00285F06"/>
    <w:rsid w:val="002875A0"/>
    <w:rsid w:val="0029119C"/>
    <w:rsid w:val="00291A71"/>
    <w:rsid w:val="00292D36"/>
    <w:rsid w:val="0029378C"/>
    <w:rsid w:val="00294744"/>
    <w:rsid w:val="002971C9"/>
    <w:rsid w:val="00297D9A"/>
    <w:rsid w:val="002A0001"/>
    <w:rsid w:val="002A0E5D"/>
    <w:rsid w:val="002A1A55"/>
    <w:rsid w:val="002A2585"/>
    <w:rsid w:val="002A2B54"/>
    <w:rsid w:val="002A2C8F"/>
    <w:rsid w:val="002A341F"/>
    <w:rsid w:val="002A3919"/>
    <w:rsid w:val="002A450A"/>
    <w:rsid w:val="002A4924"/>
    <w:rsid w:val="002A6057"/>
    <w:rsid w:val="002B0ACE"/>
    <w:rsid w:val="002B0E52"/>
    <w:rsid w:val="002B122F"/>
    <w:rsid w:val="002B12BB"/>
    <w:rsid w:val="002B1558"/>
    <w:rsid w:val="002B17E0"/>
    <w:rsid w:val="002B196C"/>
    <w:rsid w:val="002B54F9"/>
    <w:rsid w:val="002B57E2"/>
    <w:rsid w:val="002B612A"/>
    <w:rsid w:val="002B6C31"/>
    <w:rsid w:val="002B7584"/>
    <w:rsid w:val="002C1674"/>
    <w:rsid w:val="002C2064"/>
    <w:rsid w:val="002C3DEC"/>
    <w:rsid w:val="002C4B0A"/>
    <w:rsid w:val="002C51AA"/>
    <w:rsid w:val="002C52D6"/>
    <w:rsid w:val="002C593C"/>
    <w:rsid w:val="002C5D12"/>
    <w:rsid w:val="002C67F9"/>
    <w:rsid w:val="002D200A"/>
    <w:rsid w:val="002D222C"/>
    <w:rsid w:val="002D2656"/>
    <w:rsid w:val="002D2A69"/>
    <w:rsid w:val="002D2AE4"/>
    <w:rsid w:val="002D3514"/>
    <w:rsid w:val="002D372A"/>
    <w:rsid w:val="002D387A"/>
    <w:rsid w:val="002D4BDB"/>
    <w:rsid w:val="002D50B3"/>
    <w:rsid w:val="002D5611"/>
    <w:rsid w:val="002D7517"/>
    <w:rsid w:val="002E04D1"/>
    <w:rsid w:val="002E0650"/>
    <w:rsid w:val="002E255B"/>
    <w:rsid w:val="002E2FCC"/>
    <w:rsid w:val="002E33FB"/>
    <w:rsid w:val="002E38C0"/>
    <w:rsid w:val="002E46EC"/>
    <w:rsid w:val="002E4D8C"/>
    <w:rsid w:val="002E4E1D"/>
    <w:rsid w:val="002E58FB"/>
    <w:rsid w:val="002E6C25"/>
    <w:rsid w:val="002F08CF"/>
    <w:rsid w:val="002F0B22"/>
    <w:rsid w:val="002F1020"/>
    <w:rsid w:val="002F1122"/>
    <w:rsid w:val="002F3CCF"/>
    <w:rsid w:val="003000A2"/>
    <w:rsid w:val="00300925"/>
    <w:rsid w:val="00301A62"/>
    <w:rsid w:val="00302580"/>
    <w:rsid w:val="003026D1"/>
    <w:rsid w:val="00302EF2"/>
    <w:rsid w:val="00303004"/>
    <w:rsid w:val="003050A8"/>
    <w:rsid w:val="0030546F"/>
    <w:rsid w:val="003057CE"/>
    <w:rsid w:val="00305F03"/>
    <w:rsid w:val="00307D6F"/>
    <w:rsid w:val="003107FF"/>
    <w:rsid w:val="003131EE"/>
    <w:rsid w:val="00313F5C"/>
    <w:rsid w:val="00313FC0"/>
    <w:rsid w:val="00315012"/>
    <w:rsid w:val="00316B6B"/>
    <w:rsid w:val="00317D85"/>
    <w:rsid w:val="0032013B"/>
    <w:rsid w:val="00320A79"/>
    <w:rsid w:val="00320C69"/>
    <w:rsid w:val="0032227F"/>
    <w:rsid w:val="00322607"/>
    <w:rsid w:val="00323AD5"/>
    <w:rsid w:val="00323CC8"/>
    <w:rsid w:val="0032450C"/>
    <w:rsid w:val="003248AA"/>
    <w:rsid w:val="00330512"/>
    <w:rsid w:val="00330F18"/>
    <w:rsid w:val="00330F60"/>
    <w:rsid w:val="00332289"/>
    <w:rsid w:val="0033322E"/>
    <w:rsid w:val="00333C50"/>
    <w:rsid w:val="003340AE"/>
    <w:rsid w:val="00334B5D"/>
    <w:rsid w:val="00334D87"/>
    <w:rsid w:val="00334E62"/>
    <w:rsid w:val="00335125"/>
    <w:rsid w:val="00336242"/>
    <w:rsid w:val="00337163"/>
    <w:rsid w:val="00337231"/>
    <w:rsid w:val="0034109C"/>
    <w:rsid w:val="00341BDA"/>
    <w:rsid w:val="00341E2A"/>
    <w:rsid w:val="003440F5"/>
    <w:rsid w:val="003443A2"/>
    <w:rsid w:val="00344700"/>
    <w:rsid w:val="00344E8D"/>
    <w:rsid w:val="003451D7"/>
    <w:rsid w:val="00346E8F"/>
    <w:rsid w:val="00347DF8"/>
    <w:rsid w:val="0035149C"/>
    <w:rsid w:val="003516D1"/>
    <w:rsid w:val="0035238F"/>
    <w:rsid w:val="003534A9"/>
    <w:rsid w:val="003538AB"/>
    <w:rsid w:val="00353BDA"/>
    <w:rsid w:val="003549C8"/>
    <w:rsid w:val="0035698F"/>
    <w:rsid w:val="003574A0"/>
    <w:rsid w:val="00357B63"/>
    <w:rsid w:val="00357DB0"/>
    <w:rsid w:val="00360122"/>
    <w:rsid w:val="003614A1"/>
    <w:rsid w:val="00361FD0"/>
    <w:rsid w:val="0036275A"/>
    <w:rsid w:val="003631A4"/>
    <w:rsid w:val="00363443"/>
    <w:rsid w:val="00363D76"/>
    <w:rsid w:val="003643B5"/>
    <w:rsid w:val="00364972"/>
    <w:rsid w:val="00364E8E"/>
    <w:rsid w:val="00365E76"/>
    <w:rsid w:val="0036648E"/>
    <w:rsid w:val="00366F17"/>
    <w:rsid w:val="00366FA1"/>
    <w:rsid w:val="00367FDD"/>
    <w:rsid w:val="00367FFE"/>
    <w:rsid w:val="003704B8"/>
    <w:rsid w:val="00370A88"/>
    <w:rsid w:val="003714DE"/>
    <w:rsid w:val="003718F4"/>
    <w:rsid w:val="00371EAB"/>
    <w:rsid w:val="00372714"/>
    <w:rsid w:val="00372940"/>
    <w:rsid w:val="00372A69"/>
    <w:rsid w:val="00372FBD"/>
    <w:rsid w:val="00373A61"/>
    <w:rsid w:val="00373C3E"/>
    <w:rsid w:val="00376E73"/>
    <w:rsid w:val="003773B0"/>
    <w:rsid w:val="00377ADC"/>
    <w:rsid w:val="00380308"/>
    <w:rsid w:val="0038061E"/>
    <w:rsid w:val="0038142F"/>
    <w:rsid w:val="00381F0B"/>
    <w:rsid w:val="003820B6"/>
    <w:rsid w:val="00382C5D"/>
    <w:rsid w:val="00382FBA"/>
    <w:rsid w:val="00383290"/>
    <w:rsid w:val="00383537"/>
    <w:rsid w:val="00383B87"/>
    <w:rsid w:val="0038491B"/>
    <w:rsid w:val="0038543B"/>
    <w:rsid w:val="00387646"/>
    <w:rsid w:val="00387949"/>
    <w:rsid w:val="00387B16"/>
    <w:rsid w:val="00387DD5"/>
    <w:rsid w:val="0039053F"/>
    <w:rsid w:val="00391F09"/>
    <w:rsid w:val="003924B6"/>
    <w:rsid w:val="003927B2"/>
    <w:rsid w:val="0039445C"/>
    <w:rsid w:val="003948E2"/>
    <w:rsid w:val="00397666"/>
    <w:rsid w:val="00397842"/>
    <w:rsid w:val="00397A07"/>
    <w:rsid w:val="00397A3B"/>
    <w:rsid w:val="003A1B02"/>
    <w:rsid w:val="003A299A"/>
    <w:rsid w:val="003A2BBF"/>
    <w:rsid w:val="003A3052"/>
    <w:rsid w:val="003A32F2"/>
    <w:rsid w:val="003A3CA0"/>
    <w:rsid w:val="003A431C"/>
    <w:rsid w:val="003A482A"/>
    <w:rsid w:val="003A7DAC"/>
    <w:rsid w:val="003B018E"/>
    <w:rsid w:val="003B1C2F"/>
    <w:rsid w:val="003B27F0"/>
    <w:rsid w:val="003B3507"/>
    <w:rsid w:val="003B3809"/>
    <w:rsid w:val="003B3838"/>
    <w:rsid w:val="003B3D04"/>
    <w:rsid w:val="003B46E5"/>
    <w:rsid w:val="003B5711"/>
    <w:rsid w:val="003B5C52"/>
    <w:rsid w:val="003B7866"/>
    <w:rsid w:val="003B7BD6"/>
    <w:rsid w:val="003C07D5"/>
    <w:rsid w:val="003C0B48"/>
    <w:rsid w:val="003C0EB3"/>
    <w:rsid w:val="003C1358"/>
    <w:rsid w:val="003C2BFE"/>
    <w:rsid w:val="003C3788"/>
    <w:rsid w:val="003C48BC"/>
    <w:rsid w:val="003C530C"/>
    <w:rsid w:val="003C7265"/>
    <w:rsid w:val="003C734A"/>
    <w:rsid w:val="003C74C8"/>
    <w:rsid w:val="003D108A"/>
    <w:rsid w:val="003D130B"/>
    <w:rsid w:val="003D1607"/>
    <w:rsid w:val="003D2E34"/>
    <w:rsid w:val="003D3464"/>
    <w:rsid w:val="003D492B"/>
    <w:rsid w:val="003D4EB8"/>
    <w:rsid w:val="003D5982"/>
    <w:rsid w:val="003D6F83"/>
    <w:rsid w:val="003D762B"/>
    <w:rsid w:val="003D7836"/>
    <w:rsid w:val="003D7E49"/>
    <w:rsid w:val="003E06C0"/>
    <w:rsid w:val="003E0FB9"/>
    <w:rsid w:val="003E1E52"/>
    <w:rsid w:val="003E2446"/>
    <w:rsid w:val="003E2518"/>
    <w:rsid w:val="003E2981"/>
    <w:rsid w:val="003E3EFD"/>
    <w:rsid w:val="003E439A"/>
    <w:rsid w:val="003E48FD"/>
    <w:rsid w:val="003E54C9"/>
    <w:rsid w:val="003E5C25"/>
    <w:rsid w:val="003E62E5"/>
    <w:rsid w:val="003F0145"/>
    <w:rsid w:val="003F1DE3"/>
    <w:rsid w:val="003F20E1"/>
    <w:rsid w:val="003F2427"/>
    <w:rsid w:val="003F2691"/>
    <w:rsid w:val="003F277D"/>
    <w:rsid w:val="003F2796"/>
    <w:rsid w:val="003F4D43"/>
    <w:rsid w:val="003F5163"/>
    <w:rsid w:val="003F615D"/>
    <w:rsid w:val="003F61A4"/>
    <w:rsid w:val="003F71C4"/>
    <w:rsid w:val="003F7909"/>
    <w:rsid w:val="00400379"/>
    <w:rsid w:val="00400B2E"/>
    <w:rsid w:val="004016C2"/>
    <w:rsid w:val="00402B54"/>
    <w:rsid w:val="004031C6"/>
    <w:rsid w:val="0040458F"/>
    <w:rsid w:val="00406077"/>
    <w:rsid w:val="00406571"/>
    <w:rsid w:val="0041009E"/>
    <w:rsid w:val="00410FAF"/>
    <w:rsid w:val="00410FFC"/>
    <w:rsid w:val="00411CA5"/>
    <w:rsid w:val="00411FEC"/>
    <w:rsid w:val="004124CC"/>
    <w:rsid w:val="00413681"/>
    <w:rsid w:val="00413DFF"/>
    <w:rsid w:val="00414C6C"/>
    <w:rsid w:val="00414EAA"/>
    <w:rsid w:val="00416230"/>
    <w:rsid w:val="00416445"/>
    <w:rsid w:val="00416798"/>
    <w:rsid w:val="00416C83"/>
    <w:rsid w:val="004170FF"/>
    <w:rsid w:val="00417398"/>
    <w:rsid w:val="0042015B"/>
    <w:rsid w:val="0042124F"/>
    <w:rsid w:val="004228A8"/>
    <w:rsid w:val="00423128"/>
    <w:rsid w:val="0042328F"/>
    <w:rsid w:val="00423F66"/>
    <w:rsid w:val="00425143"/>
    <w:rsid w:val="0042729D"/>
    <w:rsid w:val="00427F4D"/>
    <w:rsid w:val="0043057C"/>
    <w:rsid w:val="00431284"/>
    <w:rsid w:val="00431CC3"/>
    <w:rsid w:val="00434751"/>
    <w:rsid w:val="00434ADA"/>
    <w:rsid w:val="00434EB7"/>
    <w:rsid w:val="00435BE7"/>
    <w:rsid w:val="004376AF"/>
    <w:rsid w:val="004405E3"/>
    <w:rsid w:val="00440714"/>
    <w:rsid w:val="00440C91"/>
    <w:rsid w:val="004419E0"/>
    <w:rsid w:val="0044261F"/>
    <w:rsid w:val="00442A3F"/>
    <w:rsid w:val="00444624"/>
    <w:rsid w:val="00445824"/>
    <w:rsid w:val="00445D74"/>
    <w:rsid w:val="00445E36"/>
    <w:rsid w:val="0044604C"/>
    <w:rsid w:val="00446279"/>
    <w:rsid w:val="00446EE6"/>
    <w:rsid w:val="00447CCA"/>
    <w:rsid w:val="004502F8"/>
    <w:rsid w:val="0045039B"/>
    <w:rsid w:val="004504B2"/>
    <w:rsid w:val="00450AF3"/>
    <w:rsid w:val="00450F72"/>
    <w:rsid w:val="0045174B"/>
    <w:rsid w:val="00453635"/>
    <w:rsid w:val="00453E28"/>
    <w:rsid w:val="00455D22"/>
    <w:rsid w:val="00456DB4"/>
    <w:rsid w:val="004574E8"/>
    <w:rsid w:val="00460BD9"/>
    <w:rsid w:val="00461477"/>
    <w:rsid w:val="00462ACF"/>
    <w:rsid w:val="00464E45"/>
    <w:rsid w:val="0046523A"/>
    <w:rsid w:val="004653D1"/>
    <w:rsid w:val="00465522"/>
    <w:rsid w:val="0046681D"/>
    <w:rsid w:val="00466D7D"/>
    <w:rsid w:val="0046717F"/>
    <w:rsid w:val="004703A6"/>
    <w:rsid w:val="0047168C"/>
    <w:rsid w:val="004723D9"/>
    <w:rsid w:val="00474966"/>
    <w:rsid w:val="00475146"/>
    <w:rsid w:val="00475287"/>
    <w:rsid w:val="004752BF"/>
    <w:rsid w:val="00475842"/>
    <w:rsid w:val="004763B5"/>
    <w:rsid w:val="00476B45"/>
    <w:rsid w:val="00477B86"/>
    <w:rsid w:val="004800C6"/>
    <w:rsid w:val="0048031F"/>
    <w:rsid w:val="00480DFE"/>
    <w:rsid w:val="00481A9D"/>
    <w:rsid w:val="00481F43"/>
    <w:rsid w:val="00482240"/>
    <w:rsid w:val="0048257D"/>
    <w:rsid w:val="00482611"/>
    <w:rsid w:val="004831ED"/>
    <w:rsid w:val="00483214"/>
    <w:rsid w:val="00486836"/>
    <w:rsid w:val="004872A7"/>
    <w:rsid w:val="00487E8E"/>
    <w:rsid w:val="00490AF9"/>
    <w:rsid w:val="004910AB"/>
    <w:rsid w:val="00492AC4"/>
    <w:rsid w:val="0049365C"/>
    <w:rsid w:val="0049414C"/>
    <w:rsid w:val="0049497E"/>
    <w:rsid w:val="00495949"/>
    <w:rsid w:val="004A17E0"/>
    <w:rsid w:val="004A1FCE"/>
    <w:rsid w:val="004A24B6"/>
    <w:rsid w:val="004A2EE5"/>
    <w:rsid w:val="004A3466"/>
    <w:rsid w:val="004A3AF0"/>
    <w:rsid w:val="004A4E25"/>
    <w:rsid w:val="004A6C43"/>
    <w:rsid w:val="004A78EB"/>
    <w:rsid w:val="004A7967"/>
    <w:rsid w:val="004B0AD3"/>
    <w:rsid w:val="004B2058"/>
    <w:rsid w:val="004B5C40"/>
    <w:rsid w:val="004B712A"/>
    <w:rsid w:val="004B7DC5"/>
    <w:rsid w:val="004B7ED0"/>
    <w:rsid w:val="004B7EFC"/>
    <w:rsid w:val="004C09A8"/>
    <w:rsid w:val="004C0B44"/>
    <w:rsid w:val="004C0F22"/>
    <w:rsid w:val="004C4A60"/>
    <w:rsid w:val="004C5BC4"/>
    <w:rsid w:val="004C7D32"/>
    <w:rsid w:val="004D16D0"/>
    <w:rsid w:val="004D1775"/>
    <w:rsid w:val="004D2368"/>
    <w:rsid w:val="004D36F1"/>
    <w:rsid w:val="004D382E"/>
    <w:rsid w:val="004D479B"/>
    <w:rsid w:val="004D4B54"/>
    <w:rsid w:val="004D63DA"/>
    <w:rsid w:val="004D7DEE"/>
    <w:rsid w:val="004E07E7"/>
    <w:rsid w:val="004E3687"/>
    <w:rsid w:val="004E3D4F"/>
    <w:rsid w:val="004E3F3F"/>
    <w:rsid w:val="004E4222"/>
    <w:rsid w:val="004E437F"/>
    <w:rsid w:val="004E497E"/>
    <w:rsid w:val="004E4C3C"/>
    <w:rsid w:val="004E538D"/>
    <w:rsid w:val="004E586F"/>
    <w:rsid w:val="004E5D4B"/>
    <w:rsid w:val="004E6242"/>
    <w:rsid w:val="004E7073"/>
    <w:rsid w:val="004E7AB8"/>
    <w:rsid w:val="004F0000"/>
    <w:rsid w:val="004F0761"/>
    <w:rsid w:val="004F110E"/>
    <w:rsid w:val="004F1D6B"/>
    <w:rsid w:val="004F1F13"/>
    <w:rsid w:val="004F3EF2"/>
    <w:rsid w:val="004F47BE"/>
    <w:rsid w:val="004F4C04"/>
    <w:rsid w:val="004F68D6"/>
    <w:rsid w:val="004F788B"/>
    <w:rsid w:val="004F7F0C"/>
    <w:rsid w:val="0050058C"/>
    <w:rsid w:val="005013F3"/>
    <w:rsid w:val="005025B7"/>
    <w:rsid w:val="0050281A"/>
    <w:rsid w:val="00503CAD"/>
    <w:rsid w:val="00504A90"/>
    <w:rsid w:val="005066CB"/>
    <w:rsid w:val="00506B14"/>
    <w:rsid w:val="005109C7"/>
    <w:rsid w:val="0051342E"/>
    <w:rsid w:val="00514CD5"/>
    <w:rsid w:val="00515B23"/>
    <w:rsid w:val="00515F49"/>
    <w:rsid w:val="00517B67"/>
    <w:rsid w:val="00521BA8"/>
    <w:rsid w:val="00521BB0"/>
    <w:rsid w:val="005235B8"/>
    <w:rsid w:val="00523EBC"/>
    <w:rsid w:val="00524392"/>
    <w:rsid w:val="0052573A"/>
    <w:rsid w:val="00525AAA"/>
    <w:rsid w:val="005260D7"/>
    <w:rsid w:val="005261F9"/>
    <w:rsid w:val="00526B15"/>
    <w:rsid w:val="00526F58"/>
    <w:rsid w:val="00530A95"/>
    <w:rsid w:val="00530AE2"/>
    <w:rsid w:val="00531894"/>
    <w:rsid w:val="00532B9F"/>
    <w:rsid w:val="00534CE9"/>
    <w:rsid w:val="00535A2B"/>
    <w:rsid w:val="0053642C"/>
    <w:rsid w:val="00536B4F"/>
    <w:rsid w:val="00537DFF"/>
    <w:rsid w:val="005409A3"/>
    <w:rsid w:val="005409E8"/>
    <w:rsid w:val="005409EF"/>
    <w:rsid w:val="00541107"/>
    <w:rsid w:val="00541627"/>
    <w:rsid w:val="00544602"/>
    <w:rsid w:val="00544867"/>
    <w:rsid w:val="00544A71"/>
    <w:rsid w:val="0054547D"/>
    <w:rsid w:val="00545B42"/>
    <w:rsid w:val="00545E27"/>
    <w:rsid w:val="00545ED5"/>
    <w:rsid w:val="00545F75"/>
    <w:rsid w:val="0054639A"/>
    <w:rsid w:val="00547315"/>
    <w:rsid w:val="00547A1D"/>
    <w:rsid w:val="00550255"/>
    <w:rsid w:val="00550C8D"/>
    <w:rsid w:val="005516A9"/>
    <w:rsid w:val="005521FE"/>
    <w:rsid w:val="00552A48"/>
    <w:rsid w:val="00552B50"/>
    <w:rsid w:val="005534B5"/>
    <w:rsid w:val="00553C80"/>
    <w:rsid w:val="00553D8C"/>
    <w:rsid w:val="00555C24"/>
    <w:rsid w:val="00556F4C"/>
    <w:rsid w:val="005604FE"/>
    <w:rsid w:val="00560C8C"/>
    <w:rsid w:val="00563C1D"/>
    <w:rsid w:val="00564CB3"/>
    <w:rsid w:val="00565AF3"/>
    <w:rsid w:val="005660A6"/>
    <w:rsid w:val="00567A55"/>
    <w:rsid w:val="00570E82"/>
    <w:rsid w:val="00570F36"/>
    <w:rsid w:val="00571D56"/>
    <w:rsid w:val="00571FFB"/>
    <w:rsid w:val="005732FA"/>
    <w:rsid w:val="00574139"/>
    <w:rsid w:val="0057487B"/>
    <w:rsid w:val="00574EE6"/>
    <w:rsid w:val="005757F8"/>
    <w:rsid w:val="005759BE"/>
    <w:rsid w:val="00575B79"/>
    <w:rsid w:val="00576327"/>
    <w:rsid w:val="0057653C"/>
    <w:rsid w:val="005767FA"/>
    <w:rsid w:val="005768E7"/>
    <w:rsid w:val="005772C9"/>
    <w:rsid w:val="00581027"/>
    <w:rsid w:val="005810A0"/>
    <w:rsid w:val="005813F1"/>
    <w:rsid w:val="00582974"/>
    <w:rsid w:val="00583343"/>
    <w:rsid w:val="00584577"/>
    <w:rsid w:val="00584941"/>
    <w:rsid w:val="00586459"/>
    <w:rsid w:val="00586D82"/>
    <w:rsid w:val="00586DF8"/>
    <w:rsid w:val="00587FF5"/>
    <w:rsid w:val="0059009D"/>
    <w:rsid w:val="005913A3"/>
    <w:rsid w:val="00591F67"/>
    <w:rsid w:val="0059243D"/>
    <w:rsid w:val="005929B9"/>
    <w:rsid w:val="005938C6"/>
    <w:rsid w:val="005948A5"/>
    <w:rsid w:val="0059562C"/>
    <w:rsid w:val="00595BBA"/>
    <w:rsid w:val="00595DB2"/>
    <w:rsid w:val="00595E93"/>
    <w:rsid w:val="00596700"/>
    <w:rsid w:val="00596816"/>
    <w:rsid w:val="00596F0C"/>
    <w:rsid w:val="00596F3C"/>
    <w:rsid w:val="00596FA8"/>
    <w:rsid w:val="005975DC"/>
    <w:rsid w:val="00597AB0"/>
    <w:rsid w:val="005A0AB1"/>
    <w:rsid w:val="005A2724"/>
    <w:rsid w:val="005A2EBE"/>
    <w:rsid w:val="005A3911"/>
    <w:rsid w:val="005A41B5"/>
    <w:rsid w:val="005A42E7"/>
    <w:rsid w:val="005A48AE"/>
    <w:rsid w:val="005A499B"/>
    <w:rsid w:val="005A696F"/>
    <w:rsid w:val="005A71F8"/>
    <w:rsid w:val="005A7930"/>
    <w:rsid w:val="005A7977"/>
    <w:rsid w:val="005A7B07"/>
    <w:rsid w:val="005B1261"/>
    <w:rsid w:val="005B1B6D"/>
    <w:rsid w:val="005B567F"/>
    <w:rsid w:val="005B6A17"/>
    <w:rsid w:val="005B6C77"/>
    <w:rsid w:val="005B799C"/>
    <w:rsid w:val="005C1094"/>
    <w:rsid w:val="005C29BB"/>
    <w:rsid w:val="005C2DA0"/>
    <w:rsid w:val="005C31FF"/>
    <w:rsid w:val="005C35CC"/>
    <w:rsid w:val="005C4533"/>
    <w:rsid w:val="005C5119"/>
    <w:rsid w:val="005C57E9"/>
    <w:rsid w:val="005C701E"/>
    <w:rsid w:val="005C7903"/>
    <w:rsid w:val="005D0B87"/>
    <w:rsid w:val="005D1E27"/>
    <w:rsid w:val="005D32EE"/>
    <w:rsid w:val="005D4C15"/>
    <w:rsid w:val="005D4E2D"/>
    <w:rsid w:val="005D7759"/>
    <w:rsid w:val="005E0367"/>
    <w:rsid w:val="005E0C8D"/>
    <w:rsid w:val="005E2FB4"/>
    <w:rsid w:val="005E4593"/>
    <w:rsid w:val="005E4905"/>
    <w:rsid w:val="005E4F18"/>
    <w:rsid w:val="005E7917"/>
    <w:rsid w:val="005F017F"/>
    <w:rsid w:val="005F0821"/>
    <w:rsid w:val="005F0A2F"/>
    <w:rsid w:val="005F0F9E"/>
    <w:rsid w:val="005F1C3F"/>
    <w:rsid w:val="005F391A"/>
    <w:rsid w:val="005F471A"/>
    <w:rsid w:val="005F509D"/>
    <w:rsid w:val="0060084D"/>
    <w:rsid w:val="00601712"/>
    <w:rsid w:val="00601B8E"/>
    <w:rsid w:val="006023C9"/>
    <w:rsid w:val="006034C4"/>
    <w:rsid w:val="00603578"/>
    <w:rsid w:val="00603631"/>
    <w:rsid w:val="00604293"/>
    <w:rsid w:val="00605147"/>
    <w:rsid w:val="0060694B"/>
    <w:rsid w:val="00606A3E"/>
    <w:rsid w:val="00610137"/>
    <w:rsid w:val="00612C5C"/>
    <w:rsid w:val="006138C6"/>
    <w:rsid w:val="00613F72"/>
    <w:rsid w:val="006144B1"/>
    <w:rsid w:val="00616857"/>
    <w:rsid w:val="00617AB8"/>
    <w:rsid w:val="0062135C"/>
    <w:rsid w:val="00623802"/>
    <w:rsid w:val="00623B29"/>
    <w:rsid w:val="00624289"/>
    <w:rsid w:val="00624F5B"/>
    <w:rsid w:val="00626450"/>
    <w:rsid w:val="0062675E"/>
    <w:rsid w:val="00626D6E"/>
    <w:rsid w:val="00627220"/>
    <w:rsid w:val="00627B9D"/>
    <w:rsid w:val="00630E30"/>
    <w:rsid w:val="006317D0"/>
    <w:rsid w:val="00631C79"/>
    <w:rsid w:val="0063242A"/>
    <w:rsid w:val="00632A87"/>
    <w:rsid w:val="00633B94"/>
    <w:rsid w:val="00633B99"/>
    <w:rsid w:val="00634C48"/>
    <w:rsid w:val="0063534A"/>
    <w:rsid w:val="00635A7A"/>
    <w:rsid w:val="006404BF"/>
    <w:rsid w:val="006406B7"/>
    <w:rsid w:val="0064294B"/>
    <w:rsid w:val="00642A84"/>
    <w:rsid w:val="006435F1"/>
    <w:rsid w:val="006450EB"/>
    <w:rsid w:val="006451CD"/>
    <w:rsid w:val="00647B17"/>
    <w:rsid w:val="00650E99"/>
    <w:rsid w:val="00651ECB"/>
    <w:rsid w:val="00651FEB"/>
    <w:rsid w:val="00652581"/>
    <w:rsid w:val="00653480"/>
    <w:rsid w:val="0065481D"/>
    <w:rsid w:val="00654D49"/>
    <w:rsid w:val="00655718"/>
    <w:rsid w:val="006566EE"/>
    <w:rsid w:val="00656C99"/>
    <w:rsid w:val="006575D3"/>
    <w:rsid w:val="0065788D"/>
    <w:rsid w:val="006602CE"/>
    <w:rsid w:val="00663518"/>
    <w:rsid w:val="00663A8A"/>
    <w:rsid w:val="0066438C"/>
    <w:rsid w:val="00667501"/>
    <w:rsid w:val="00667E50"/>
    <w:rsid w:val="0067085B"/>
    <w:rsid w:val="00673515"/>
    <w:rsid w:val="006742F5"/>
    <w:rsid w:val="0067496E"/>
    <w:rsid w:val="006752EB"/>
    <w:rsid w:val="006764EE"/>
    <w:rsid w:val="0068090F"/>
    <w:rsid w:val="006809F6"/>
    <w:rsid w:val="00680AAC"/>
    <w:rsid w:val="00682468"/>
    <w:rsid w:val="00683048"/>
    <w:rsid w:val="00684F17"/>
    <w:rsid w:val="00687361"/>
    <w:rsid w:val="0069036C"/>
    <w:rsid w:val="00690E98"/>
    <w:rsid w:val="006922DA"/>
    <w:rsid w:val="0069349E"/>
    <w:rsid w:val="0069375E"/>
    <w:rsid w:val="006957FD"/>
    <w:rsid w:val="00696FBC"/>
    <w:rsid w:val="00697318"/>
    <w:rsid w:val="006A1112"/>
    <w:rsid w:val="006A1274"/>
    <w:rsid w:val="006A3552"/>
    <w:rsid w:val="006A3DCF"/>
    <w:rsid w:val="006A45EF"/>
    <w:rsid w:val="006A4A5B"/>
    <w:rsid w:val="006A54E7"/>
    <w:rsid w:val="006A5568"/>
    <w:rsid w:val="006A5955"/>
    <w:rsid w:val="006A6D2C"/>
    <w:rsid w:val="006A7173"/>
    <w:rsid w:val="006A7593"/>
    <w:rsid w:val="006B03E8"/>
    <w:rsid w:val="006B2F8A"/>
    <w:rsid w:val="006B6928"/>
    <w:rsid w:val="006B6C02"/>
    <w:rsid w:val="006B7AD6"/>
    <w:rsid w:val="006C1D39"/>
    <w:rsid w:val="006C2C84"/>
    <w:rsid w:val="006C3AAF"/>
    <w:rsid w:val="006C48A4"/>
    <w:rsid w:val="006C4A51"/>
    <w:rsid w:val="006C7574"/>
    <w:rsid w:val="006C7C6E"/>
    <w:rsid w:val="006D179A"/>
    <w:rsid w:val="006D20DB"/>
    <w:rsid w:val="006D297C"/>
    <w:rsid w:val="006D2F81"/>
    <w:rsid w:val="006D3323"/>
    <w:rsid w:val="006D47C1"/>
    <w:rsid w:val="006D514C"/>
    <w:rsid w:val="006D56E7"/>
    <w:rsid w:val="006D61E3"/>
    <w:rsid w:val="006D65C0"/>
    <w:rsid w:val="006D70B9"/>
    <w:rsid w:val="006E0DE1"/>
    <w:rsid w:val="006E0E3F"/>
    <w:rsid w:val="006E27C7"/>
    <w:rsid w:val="006E455F"/>
    <w:rsid w:val="006E499D"/>
    <w:rsid w:val="006E49AC"/>
    <w:rsid w:val="006F0069"/>
    <w:rsid w:val="006F0BCB"/>
    <w:rsid w:val="006F18E6"/>
    <w:rsid w:val="006F318A"/>
    <w:rsid w:val="006F3228"/>
    <w:rsid w:val="006F3E6C"/>
    <w:rsid w:val="006F44CB"/>
    <w:rsid w:val="006F4D6A"/>
    <w:rsid w:val="006F4F82"/>
    <w:rsid w:val="006F54D4"/>
    <w:rsid w:val="006F5C64"/>
    <w:rsid w:val="006F62EB"/>
    <w:rsid w:val="006F6C54"/>
    <w:rsid w:val="006F6F11"/>
    <w:rsid w:val="00700010"/>
    <w:rsid w:val="00700793"/>
    <w:rsid w:val="00700A09"/>
    <w:rsid w:val="0070138F"/>
    <w:rsid w:val="00701F4A"/>
    <w:rsid w:val="00702071"/>
    <w:rsid w:val="0070259B"/>
    <w:rsid w:val="00702C94"/>
    <w:rsid w:val="00702EDB"/>
    <w:rsid w:val="0070643B"/>
    <w:rsid w:val="007066CA"/>
    <w:rsid w:val="0070717B"/>
    <w:rsid w:val="00707C90"/>
    <w:rsid w:val="00710985"/>
    <w:rsid w:val="00711A2A"/>
    <w:rsid w:val="00711F24"/>
    <w:rsid w:val="007134E4"/>
    <w:rsid w:val="00714C47"/>
    <w:rsid w:val="00715981"/>
    <w:rsid w:val="00717AF2"/>
    <w:rsid w:val="00722BED"/>
    <w:rsid w:val="00722EC3"/>
    <w:rsid w:val="00722F34"/>
    <w:rsid w:val="007247CD"/>
    <w:rsid w:val="00725BE7"/>
    <w:rsid w:val="00725D40"/>
    <w:rsid w:val="0072610D"/>
    <w:rsid w:val="00727086"/>
    <w:rsid w:val="00731D45"/>
    <w:rsid w:val="007321AC"/>
    <w:rsid w:val="007328A5"/>
    <w:rsid w:val="00733609"/>
    <w:rsid w:val="007345DA"/>
    <w:rsid w:val="0073500D"/>
    <w:rsid w:val="00735266"/>
    <w:rsid w:val="007352A2"/>
    <w:rsid w:val="0073533E"/>
    <w:rsid w:val="00735DBB"/>
    <w:rsid w:val="00736391"/>
    <w:rsid w:val="00736E6D"/>
    <w:rsid w:val="00737D0A"/>
    <w:rsid w:val="00740963"/>
    <w:rsid w:val="0074119A"/>
    <w:rsid w:val="00741A65"/>
    <w:rsid w:val="00741BC0"/>
    <w:rsid w:val="0074265B"/>
    <w:rsid w:val="00743BB0"/>
    <w:rsid w:val="00743EF1"/>
    <w:rsid w:val="0074524E"/>
    <w:rsid w:val="00746534"/>
    <w:rsid w:val="00746744"/>
    <w:rsid w:val="00746CB5"/>
    <w:rsid w:val="00747FEB"/>
    <w:rsid w:val="00750026"/>
    <w:rsid w:val="0075046E"/>
    <w:rsid w:val="007506CF"/>
    <w:rsid w:val="007511AC"/>
    <w:rsid w:val="00753247"/>
    <w:rsid w:val="007551AF"/>
    <w:rsid w:val="00757B5E"/>
    <w:rsid w:val="00757E09"/>
    <w:rsid w:val="00760322"/>
    <w:rsid w:val="00760B52"/>
    <w:rsid w:val="00760FDF"/>
    <w:rsid w:val="007644F2"/>
    <w:rsid w:val="007666B9"/>
    <w:rsid w:val="00766A2E"/>
    <w:rsid w:val="00766C9E"/>
    <w:rsid w:val="0076781B"/>
    <w:rsid w:val="00767974"/>
    <w:rsid w:val="00767CCF"/>
    <w:rsid w:val="00770C0E"/>
    <w:rsid w:val="007712FD"/>
    <w:rsid w:val="007723B7"/>
    <w:rsid w:val="007724F3"/>
    <w:rsid w:val="00772B2B"/>
    <w:rsid w:val="00773ACA"/>
    <w:rsid w:val="00773D2D"/>
    <w:rsid w:val="00774BE6"/>
    <w:rsid w:val="007751C8"/>
    <w:rsid w:val="007755D5"/>
    <w:rsid w:val="00776EA8"/>
    <w:rsid w:val="00777A91"/>
    <w:rsid w:val="0078062C"/>
    <w:rsid w:val="0078149D"/>
    <w:rsid w:val="007824DD"/>
    <w:rsid w:val="00782908"/>
    <w:rsid w:val="00783158"/>
    <w:rsid w:val="00783E5A"/>
    <w:rsid w:val="007846D7"/>
    <w:rsid w:val="00784D21"/>
    <w:rsid w:val="0078640E"/>
    <w:rsid w:val="00786F00"/>
    <w:rsid w:val="0079022C"/>
    <w:rsid w:val="007918E6"/>
    <w:rsid w:val="007923F2"/>
    <w:rsid w:val="0079264C"/>
    <w:rsid w:val="0079301E"/>
    <w:rsid w:val="007938F8"/>
    <w:rsid w:val="00793EE6"/>
    <w:rsid w:val="00795510"/>
    <w:rsid w:val="0079554A"/>
    <w:rsid w:val="00795AD2"/>
    <w:rsid w:val="00795EF4"/>
    <w:rsid w:val="00796786"/>
    <w:rsid w:val="00796CB4"/>
    <w:rsid w:val="00796ECA"/>
    <w:rsid w:val="007979C7"/>
    <w:rsid w:val="007A014F"/>
    <w:rsid w:val="007A0EFB"/>
    <w:rsid w:val="007A433C"/>
    <w:rsid w:val="007A4640"/>
    <w:rsid w:val="007A464D"/>
    <w:rsid w:val="007A477E"/>
    <w:rsid w:val="007A4888"/>
    <w:rsid w:val="007A5CD5"/>
    <w:rsid w:val="007A7572"/>
    <w:rsid w:val="007B1C83"/>
    <w:rsid w:val="007B23F1"/>
    <w:rsid w:val="007B34E9"/>
    <w:rsid w:val="007B3E34"/>
    <w:rsid w:val="007B4DF9"/>
    <w:rsid w:val="007B7702"/>
    <w:rsid w:val="007B7CE7"/>
    <w:rsid w:val="007B7D4B"/>
    <w:rsid w:val="007C01B7"/>
    <w:rsid w:val="007C0887"/>
    <w:rsid w:val="007C1F48"/>
    <w:rsid w:val="007C2A4A"/>
    <w:rsid w:val="007C2F3B"/>
    <w:rsid w:val="007C4EC6"/>
    <w:rsid w:val="007C6479"/>
    <w:rsid w:val="007C66DF"/>
    <w:rsid w:val="007C697D"/>
    <w:rsid w:val="007C69E6"/>
    <w:rsid w:val="007C6DFC"/>
    <w:rsid w:val="007C7642"/>
    <w:rsid w:val="007D0370"/>
    <w:rsid w:val="007D0566"/>
    <w:rsid w:val="007D0764"/>
    <w:rsid w:val="007D0903"/>
    <w:rsid w:val="007D0A70"/>
    <w:rsid w:val="007D1BB5"/>
    <w:rsid w:val="007D1FAB"/>
    <w:rsid w:val="007D28C2"/>
    <w:rsid w:val="007D4296"/>
    <w:rsid w:val="007D4BE9"/>
    <w:rsid w:val="007D57A8"/>
    <w:rsid w:val="007D79CE"/>
    <w:rsid w:val="007E0084"/>
    <w:rsid w:val="007E042E"/>
    <w:rsid w:val="007E0FB2"/>
    <w:rsid w:val="007E10E1"/>
    <w:rsid w:val="007E13D4"/>
    <w:rsid w:val="007E1515"/>
    <w:rsid w:val="007E153B"/>
    <w:rsid w:val="007E2DDC"/>
    <w:rsid w:val="007E3DC0"/>
    <w:rsid w:val="007E3EE8"/>
    <w:rsid w:val="007E41DC"/>
    <w:rsid w:val="007E4D75"/>
    <w:rsid w:val="007E54C2"/>
    <w:rsid w:val="007E5725"/>
    <w:rsid w:val="007E5A60"/>
    <w:rsid w:val="007E6826"/>
    <w:rsid w:val="007E79DB"/>
    <w:rsid w:val="007F0D29"/>
    <w:rsid w:val="007F1183"/>
    <w:rsid w:val="007F1344"/>
    <w:rsid w:val="007F2AA3"/>
    <w:rsid w:val="007F2E84"/>
    <w:rsid w:val="007F3457"/>
    <w:rsid w:val="007F3BCD"/>
    <w:rsid w:val="007F3BD0"/>
    <w:rsid w:val="007F4367"/>
    <w:rsid w:val="007F488B"/>
    <w:rsid w:val="007F5D7F"/>
    <w:rsid w:val="007F5FE1"/>
    <w:rsid w:val="007F62D8"/>
    <w:rsid w:val="007F6A23"/>
    <w:rsid w:val="007F7230"/>
    <w:rsid w:val="008004FA"/>
    <w:rsid w:val="008006EC"/>
    <w:rsid w:val="008008AC"/>
    <w:rsid w:val="00800C2F"/>
    <w:rsid w:val="00801788"/>
    <w:rsid w:val="00802237"/>
    <w:rsid w:val="00803089"/>
    <w:rsid w:val="00803723"/>
    <w:rsid w:val="0080378F"/>
    <w:rsid w:val="008037EB"/>
    <w:rsid w:val="00804275"/>
    <w:rsid w:val="00804AB2"/>
    <w:rsid w:val="0080506D"/>
    <w:rsid w:val="00806038"/>
    <w:rsid w:val="0080663F"/>
    <w:rsid w:val="0080721A"/>
    <w:rsid w:val="00807C70"/>
    <w:rsid w:val="00810B59"/>
    <w:rsid w:val="008117D2"/>
    <w:rsid w:val="00811A17"/>
    <w:rsid w:val="00811B18"/>
    <w:rsid w:val="0081309B"/>
    <w:rsid w:val="008131FD"/>
    <w:rsid w:val="008149D9"/>
    <w:rsid w:val="0081500C"/>
    <w:rsid w:val="00815DBB"/>
    <w:rsid w:val="00816683"/>
    <w:rsid w:val="008175BC"/>
    <w:rsid w:val="00817ABE"/>
    <w:rsid w:val="00820D6C"/>
    <w:rsid w:val="00821CED"/>
    <w:rsid w:val="00822C9A"/>
    <w:rsid w:val="0082323D"/>
    <w:rsid w:val="008238AC"/>
    <w:rsid w:val="00824148"/>
    <w:rsid w:val="00825578"/>
    <w:rsid w:val="008259C2"/>
    <w:rsid w:val="00825BA3"/>
    <w:rsid w:val="00825E9E"/>
    <w:rsid w:val="008260BD"/>
    <w:rsid w:val="00826122"/>
    <w:rsid w:val="008261C5"/>
    <w:rsid w:val="00826C71"/>
    <w:rsid w:val="00830161"/>
    <w:rsid w:val="0083119D"/>
    <w:rsid w:val="0083180D"/>
    <w:rsid w:val="008326B6"/>
    <w:rsid w:val="0083312D"/>
    <w:rsid w:val="00833787"/>
    <w:rsid w:val="00833ED6"/>
    <w:rsid w:val="008340EC"/>
    <w:rsid w:val="00835E8D"/>
    <w:rsid w:val="00837E0C"/>
    <w:rsid w:val="008407BD"/>
    <w:rsid w:val="008416A7"/>
    <w:rsid w:val="00841D8A"/>
    <w:rsid w:val="00843095"/>
    <w:rsid w:val="0084495B"/>
    <w:rsid w:val="008466B1"/>
    <w:rsid w:val="00847536"/>
    <w:rsid w:val="00847F07"/>
    <w:rsid w:val="00851911"/>
    <w:rsid w:val="00852444"/>
    <w:rsid w:val="00853609"/>
    <w:rsid w:val="00853886"/>
    <w:rsid w:val="00854DE2"/>
    <w:rsid w:val="008557AC"/>
    <w:rsid w:val="008604BA"/>
    <w:rsid w:val="00861B29"/>
    <w:rsid w:val="0086275C"/>
    <w:rsid w:val="0086321D"/>
    <w:rsid w:val="008638E7"/>
    <w:rsid w:val="00863B1C"/>
    <w:rsid w:val="00863B7E"/>
    <w:rsid w:val="00866A85"/>
    <w:rsid w:val="00867293"/>
    <w:rsid w:val="008702BB"/>
    <w:rsid w:val="00870CDB"/>
    <w:rsid w:val="00871D0B"/>
    <w:rsid w:val="00871DF0"/>
    <w:rsid w:val="008722EE"/>
    <w:rsid w:val="008728A3"/>
    <w:rsid w:val="00872F49"/>
    <w:rsid w:val="008748E3"/>
    <w:rsid w:val="008751AB"/>
    <w:rsid w:val="00875515"/>
    <w:rsid w:val="00875A8B"/>
    <w:rsid w:val="0087672E"/>
    <w:rsid w:val="008768B2"/>
    <w:rsid w:val="00876922"/>
    <w:rsid w:val="0087720A"/>
    <w:rsid w:val="008801B8"/>
    <w:rsid w:val="008829B9"/>
    <w:rsid w:val="00882DD2"/>
    <w:rsid w:val="00882E34"/>
    <w:rsid w:val="008830E6"/>
    <w:rsid w:val="00883BF5"/>
    <w:rsid w:val="00883DFB"/>
    <w:rsid w:val="0088414E"/>
    <w:rsid w:val="008848EF"/>
    <w:rsid w:val="008856B7"/>
    <w:rsid w:val="00885FEF"/>
    <w:rsid w:val="00886523"/>
    <w:rsid w:val="00886617"/>
    <w:rsid w:val="00890974"/>
    <w:rsid w:val="00891011"/>
    <w:rsid w:val="00893D60"/>
    <w:rsid w:val="0089416F"/>
    <w:rsid w:val="008947BE"/>
    <w:rsid w:val="00894F19"/>
    <w:rsid w:val="008951CB"/>
    <w:rsid w:val="0089538C"/>
    <w:rsid w:val="0089553C"/>
    <w:rsid w:val="00895C8E"/>
    <w:rsid w:val="008A2003"/>
    <w:rsid w:val="008A3CC9"/>
    <w:rsid w:val="008A466D"/>
    <w:rsid w:val="008A67E8"/>
    <w:rsid w:val="008A7F02"/>
    <w:rsid w:val="008B07DB"/>
    <w:rsid w:val="008B2A9C"/>
    <w:rsid w:val="008B3710"/>
    <w:rsid w:val="008B39D4"/>
    <w:rsid w:val="008B3A4C"/>
    <w:rsid w:val="008B4387"/>
    <w:rsid w:val="008B5D3B"/>
    <w:rsid w:val="008B6089"/>
    <w:rsid w:val="008B644E"/>
    <w:rsid w:val="008B702B"/>
    <w:rsid w:val="008B79A6"/>
    <w:rsid w:val="008C06B4"/>
    <w:rsid w:val="008C0D22"/>
    <w:rsid w:val="008C262C"/>
    <w:rsid w:val="008C26A4"/>
    <w:rsid w:val="008C35D7"/>
    <w:rsid w:val="008C376D"/>
    <w:rsid w:val="008C3B8E"/>
    <w:rsid w:val="008C4AC0"/>
    <w:rsid w:val="008C52EE"/>
    <w:rsid w:val="008C604A"/>
    <w:rsid w:val="008D02B6"/>
    <w:rsid w:val="008D03D9"/>
    <w:rsid w:val="008D064A"/>
    <w:rsid w:val="008D3D83"/>
    <w:rsid w:val="008D67EE"/>
    <w:rsid w:val="008D68F5"/>
    <w:rsid w:val="008D74AF"/>
    <w:rsid w:val="008D7A0E"/>
    <w:rsid w:val="008E0906"/>
    <w:rsid w:val="008E0F3B"/>
    <w:rsid w:val="008E2A23"/>
    <w:rsid w:val="008E2CEA"/>
    <w:rsid w:val="008E3C1B"/>
    <w:rsid w:val="008F0C9D"/>
    <w:rsid w:val="008F234D"/>
    <w:rsid w:val="008F3423"/>
    <w:rsid w:val="008F3CD8"/>
    <w:rsid w:val="008F6046"/>
    <w:rsid w:val="008F65AE"/>
    <w:rsid w:val="008F69B2"/>
    <w:rsid w:val="00902A9D"/>
    <w:rsid w:val="0090382B"/>
    <w:rsid w:val="00903955"/>
    <w:rsid w:val="00904375"/>
    <w:rsid w:val="009049D9"/>
    <w:rsid w:val="00905359"/>
    <w:rsid w:val="00905950"/>
    <w:rsid w:val="00905CBD"/>
    <w:rsid w:val="0090610B"/>
    <w:rsid w:val="00906908"/>
    <w:rsid w:val="00907940"/>
    <w:rsid w:val="00907ADD"/>
    <w:rsid w:val="00907C9C"/>
    <w:rsid w:val="00907CA9"/>
    <w:rsid w:val="00907D4A"/>
    <w:rsid w:val="009101A9"/>
    <w:rsid w:val="00910929"/>
    <w:rsid w:val="0091104A"/>
    <w:rsid w:val="0091126F"/>
    <w:rsid w:val="00912039"/>
    <w:rsid w:val="00912354"/>
    <w:rsid w:val="00912E2C"/>
    <w:rsid w:val="00913AB5"/>
    <w:rsid w:val="00913FED"/>
    <w:rsid w:val="00914060"/>
    <w:rsid w:val="009150E5"/>
    <w:rsid w:val="0091562D"/>
    <w:rsid w:val="00916DBE"/>
    <w:rsid w:val="00917244"/>
    <w:rsid w:val="00917BB9"/>
    <w:rsid w:val="00922BB9"/>
    <w:rsid w:val="0092314C"/>
    <w:rsid w:val="0092432E"/>
    <w:rsid w:val="00924A4E"/>
    <w:rsid w:val="00926145"/>
    <w:rsid w:val="00926A38"/>
    <w:rsid w:val="00926A78"/>
    <w:rsid w:val="00927266"/>
    <w:rsid w:val="00927318"/>
    <w:rsid w:val="009273C4"/>
    <w:rsid w:val="00927830"/>
    <w:rsid w:val="00927FC3"/>
    <w:rsid w:val="0093005A"/>
    <w:rsid w:val="009304B5"/>
    <w:rsid w:val="00930D8D"/>
    <w:rsid w:val="00931844"/>
    <w:rsid w:val="00931EF8"/>
    <w:rsid w:val="00932144"/>
    <w:rsid w:val="00932C92"/>
    <w:rsid w:val="00932D2C"/>
    <w:rsid w:val="00933C8B"/>
    <w:rsid w:val="00934A2C"/>
    <w:rsid w:val="00934BE5"/>
    <w:rsid w:val="0093563B"/>
    <w:rsid w:val="00936685"/>
    <w:rsid w:val="00936DA3"/>
    <w:rsid w:val="00937298"/>
    <w:rsid w:val="009377DD"/>
    <w:rsid w:val="00937A04"/>
    <w:rsid w:val="009401D5"/>
    <w:rsid w:val="00940EBE"/>
    <w:rsid w:val="0094141C"/>
    <w:rsid w:val="009420ED"/>
    <w:rsid w:val="009430D0"/>
    <w:rsid w:val="009438BE"/>
    <w:rsid w:val="00943DEB"/>
    <w:rsid w:val="009469F6"/>
    <w:rsid w:val="0095093A"/>
    <w:rsid w:val="00950DAA"/>
    <w:rsid w:val="009515E9"/>
    <w:rsid w:val="00951D9B"/>
    <w:rsid w:val="00952DB0"/>
    <w:rsid w:val="00952FC8"/>
    <w:rsid w:val="009534A5"/>
    <w:rsid w:val="00954485"/>
    <w:rsid w:val="00954624"/>
    <w:rsid w:val="00954679"/>
    <w:rsid w:val="00954835"/>
    <w:rsid w:val="009549F2"/>
    <w:rsid w:val="00954F42"/>
    <w:rsid w:val="0095504A"/>
    <w:rsid w:val="00955723"/>
    <w:rsid w:val="0095727D"/>
    <w:rsid w:val="009603EC"/>
    <w:rsid w:val="00960AC9"/>
    <w:rsid w:val="00960FF4"/>
    <w:rsid w:val="00961B0E"/>
    <w:rsid w:val="00964D14"/>
    <w:rsid w:val="00964DFF"/>
    <w:rsid w:val="00965B3F"/>
    <w:rsid w:val="009679D4"/>
    <w:rsid w:val="00967E36"/>
    <w:rsid w:val="009703B7"/>
    <w:rsid w:val="00970974"/>
    <w:rsid w:val="00970AEB"/>
    <w:rsid w:val="0097111B"/>
    <w:rsid w:val="00971C6E"/>
    <w:rsid w:val="00972210"/>
    <w:rsid w:val="009754D1"/>
    <w:rsid w:val="00975DAD"/>
    <w:rsid w:val="009768E6"/>
    <w:rsid w:val="00976D96"/>
    <w:rsid w:val="0097732F"/>
    <w:rsid w:val="00977E98"/>
    <w:rsid w:val="00977EB1"/>
    <w:rsid w:val="009803BE"/>
    <w:rsid w:val="0098196C"/>
    <w:rsid w:val="009836E0"/>
    <w:rsid w:val="009838E0"/>
    <w:rsid w:val="00983BDB"/>
    <w:rsid w:val="00983E29"/>
    <w:rsid w:val="00983E2A"/>
    <w:rsid w:val="00984412"/>
    <w:rsid w:val="00985760"/>
    <w:rsid w:val="00986AD6"/>
    <w:rsid w:val="00986D24"/>
    <w:rsid w:val="009877A9"/>
    <w:rsid w:val="0099006F"/>
    <w:rsid w:val="00990A89"/>
    <w:rsid w:val="00990C08"/>
    <w:rsid w:val="00990CF2"/>
    <w:rsid w:val="00991075"/>
    <w:rsid w:val="00991EEA"/>
    <w:rsid w:val="009951F2"/>
    <w:rsid w:val="00995322"/>
    <w:rsid w:val="0099569A"/>
    <w:rsid w:val="009959D6"/>
    <w:rsid w:val="00995F1D"/>
    <w:rsid w:val="00996997"/>
    <w:rsid w:val="00997A45"/>
    <w:rsid w:val="00997CE1"/>
    <w:rsid w:val="00997EBF"/>
    <w:rsid w:val="009A1038"/>
    <w:rsid w:val="009A193D"/>
    <w:rsid w:val="009A1B3C"/>
    <w:rsid w:val="009A410D"/>
    <w:rsid w:val="009A4739"/>
    <w:rsid w:val="009A4CF9"/>
    <w:rsid w:val="009A4E27"/>
    <w:rsid w:val="009A51D0"/>
    <w:rsid w:val="009A5B6E"/>
    <w:rsid w:val="009A5BFB"/>
    <w:rsid w:val="009A5F36"/>
    <w:rsid w:val="009A608B"/>
    <w:rsid w:val="009A7F09"/>
    <w:rsid w:val="009B002A"/>
    <w:rsid w:val="009B0347"/>
    <w:rsid w:val="009B147B"/>
    <w:rsid w:val="009B1D1C"/>
    <w:rsid w:val="009B2F1D"/>
    <w:rsid w:val="009B30DA"/>
    <w:rsid w:val="009B393E"/>
    <w:rsid w:val="009B4659"/>
    <w:rsid w:val="009B4F71"/>
    <w:rsid w:val="009B4F7A"/>
    <w:rsid w:val="009B5DC2"/>
    <w:rsid w:val="009B6E7E"/>
    <w:rsid w:val="009B7DB2"/>
    <w:rsid w:val="009C05C7"/>
    <w:rsid w:val="009C0CFC"/>
    <w:rsid w:val="009C1692"/>
    <w:rsid w:val="009C3ABD"/>
    <w:rsid w:val="009C3E70"/>
    <w:rsid w:val="009C3F33"/>
    <w:rsid w:val="009C4FE3"/>
    <w:rsid w:val="009C63D1"/>
    <w:rsid w:val="009C6400"/>
    <w:rsid w:val="009D014A"/>
    <w:rsid w:val="009D176D"/>
    <w:rsid w:val="009D2189"/>
    <w:rsid w:val="009D615B"/>
    <w:rsid w:val="009D69EB"/>
    <w:rsid w:val="009D6FDC"/>
    <w:rsid w:val="009D747A"/>
    <w:rsid w:val="009E0D15"/>
    <w:rsid w:val="009E0FF2"/>
    <w:rsid w:val="009E2258"/>
    <w:rsid w:val="009E25DA"/>
    <w:rsid w:val="009E367E"/>
    <w:rsid w:val="009E3C6B"/>
    <w:rsid w:val="009E466E"/>
    <w:rsid w:val="009E51F1"/>
    <w:rsid w:val="009E5258"/>
    <w:rsid w:val="009E5310"/>
    <w:rsid w:val="009E54F4"/>
    <w:rsid w:val="009E57FE"/>
    <w:rsid w:val="009E5B76"/>
    <w:rsid w:val="009E5FCE"/>
    <w:rsid w:val="009E60F8"/>
    <w:rsid w:val="009E6510"/>
    <w:rsid w:val="009E697C"/>
    <w:rsid w:val="009E6BD2"/>
    <w:rsid w:val="009E6C0B"/>
    <w:rsid w:val="009E7C82"/>
    <w:rsid w:val="009E7DF5"/>
    <w:rsid w:val="009F03D2"/>
    <w:rsid w:val="009F06BC"/>
    <w:rsid w:val="009F07BE"/>
    <w:rsid w:val="009F2242"/>
    <w:rsid w:val="009F2B2D"/>
    <w:rsid w:val="009F30CE"/>
    <w:rsid w:val="009F40AD"/>
    <w:rsid w:val="009F58D5"/>
    <w:rsid w:val="009F6D13"/>
    <w:rsid w:val="00A0137B"/>
    <w:rsid w:val="00A01A78"/>
    <w:rsid w:val="00A023DE"/>
    <w:rsid w:val="00A02449"/>
    <w:rsid w:val="00A0347F"/>
    <w:rsid w:val="00A04C22"/>
    <w:rsid w:val="00A04EA2"/>
    <w:rsid w:val="00A052DF"/>
    <w:rsid w:val="00A05365"/>
    <w:rsid w:val="00A060F1"/>
    <w:rsid w:val="00A06BB9"/>
    <w:rsid w:val="00A06C4D"/>
    <w:rsid w:val="00A06FD3"/>
    <w:rsid w:val="00A11129"/>
    <w:rsid w:val="00A1117D"/>
    <w:rsid w:val="00A13105"/>
    <w:rsid w:val="00A13649"/>
    <w:rsid w:val="00A142B6"/>
    <w:rsid w:val="00A161D0"/>
    <w:rsid w:val="00A16EA5"/>
    <w:rsid w:val="00A172EC"/>
    <w:rsid w:val="00A20340"/>
    <w:rsid w:val="00A21EBF"/>
    <w:rsid w:val="00A2231C"/>
    <w:rsid w:val="00A235B9"/>
    <w:rsid w:val="00A237EA"/>
    <w:rsid w:val="00A24700"/>
    <w:rsid w:val="00A2556B"/>
    <w:rsid w:val="00A25876"/>
    <w:rsid w:val="00A26F29"/>
    <w:rsid w:val="00A332A5"/>
    <w:rsid w:val="00A34778"/>
    <w:rsid w:val="00A35305"/>
    <w:rsid w:val="00A35900"/>
    <w:rsid w:val="00A36354"/>
    <w:rsid w:val="00A36BD8"/>
    <w:rsid w:val="00A375B6"/>
    <w:rsid w:val="00A4330E"/>
    <w:rsid w:val="00A434C6"/>
    <w:rsid w:val="00A43B41"/>
    <w:rsid w:val="00A4488E"/>
    <w:rsid w:val="00A44C15"/>
    <w:rsid w:val="00A44C8A"/>
    <w:rsid w:val="00A45FC6"/>
    <w:rsid w:val="00A4674D"/>
    <w:rsid w:val="00A479BF"/>
    <w:rsid w:val="00A47A16"/>
    <w:rsid w:val="00A50204"/>
    <w:rsid w:val="00A50FF5"/>
    <w:rsid w:val="00A510A4"/>
    <w:rsid w:val="00A512AF"/>
    <w:rsid w:val="00A5196C"/>
    <w:rsid w:val="00A537FE"/>
    <w:rsid w:val="00A54334"/>
    <w:rsid w:val="00A56995"/>
    <w:rsid w:val="00A56B61"/>
    <w:rsid w:val="00A57EBB"/>
    <w:rsid w:val="00A61753"/>
    <w:rsid w:val="00A62A87"/>
    <w:rsid w:val="00A62AC7"/>
    <w:rsid w:val="00A62C9A"/>
    <w:rsid w:val="00A64664"/>
    <w:rsid w:val="00A64C4D"/>
    <w:rsid w:val="00A65C52"/>
    <w:rsid w:val="00A66214"/>
    <w:rsid w:val="00A66C4C"/>
    <w:rsid w:val="00A708A9"/>
    <w:rsid w:val="00A70CDA"/>
    <w:rsid w:val="00A7124C"/>
    <w:rsid w:val="00A727CD"/>
    <w:rsid w:val="00A72D12"/>
    <w:rsid w:val="00A73BA5"/>
    <w:rsid w:val="00A73D47"/>
    <w:rsid w:val="00A74F26"/>
    <w:rsid w:val="00A75202"/>
    <w:rsid w:val="00A753B5"/>
    <w:rsid w:val="00A75A41"/>
    <w:rsid w:val="00A75D09"/>
    <w:rsid w:val="00A804CF"/>
    <w:rsid w:val="00A8311A"/>
    <w:rsid w:val="00A83438"/>
    <w:rsid w:val="00A84639"/>
    <w:rsid w:val="00A84780"/>
    <w:rsid w:val="00A851BA"/>
    <w:rsid w:val="00A857BD"/>
    <w:rsid w:val="00A85B02"/>
    <w:rsid w:val="00A87982"/>
    <w:rsid w:val="00A87D12"/>
    <w:rsid w:val="00A90FF8"/>
    <w:rsid w:val="00A91945"/>
    <w:rsid w:val="00A92BD8"/>
    <w:rsid w:val="00A92FD6"/>
    <w:rsid w:val="00A9394E"/>
    <w:rsid w:val="00A9478B"/>
    <w:rsid w:val="00A954B9"/>
    <w:rsid w:val="00A9777A"/>
    <w:rsid w:val="00A97C92"/>
    <w:rsid w:val="00A97DBE"/>
    <w:rsid w:val="00AA04D9"/>
    <w:rsid w:val="00AA08A1"/>
    <w:rsid w:val="00AA1B67"/>
    <w:rsid w:val="00AA3A5A"/>
    <w:rsid w:val="00AA4136"/>
    <w:rsid w:val="00AA426F"/>
    <w:rsid w:val="00AA44BF"/>
    <w:rsid w:val="00AA7073"/>
    <w:rsid w:val="00AA79EB"/>
    <w:rsid w:val="00AB0AEF"/>
    <w:rsid w:val="00AB10D9"/>
    <w:rsid w:val="00AB12DF"/>
    <w:rsid w:val="00AB22E2"/>
    <w:rsid w:val="00AB2F7F"/>
    <w:rsid w:val="00AB3176"/>
    <w:rsid w:val="00AB33E7"/>
    <w:rsid w:val="00AB3817"/>
    <w:rsid w:val="00AB57FB"/>
    <w:rsid w:val="00AB68D7"/>
    <w:rsid w:val="00AB714E"/>
    <w:rsid w:val="00AB7F6B"/>
    <w:rsid w:val="00AC1C81"/>
    <w:rsid w:val="00AC1FF9"/>
    <w:rsid w:val="00AC3598"/>
    <w:rsid w:val="00AC3B38"/>
    <w:rsid w:val="00AC49B1"/>
    <w:rsid w:val="00AC4D1E"/>
    <w:rsid w:val="00AC62AD"/>
    <w:rsid w:val="00AC6517"/>
    <w:rsid w:val="00AC720C"/>
    <w:rsid w:val="00AC765E"/>
    <w:rsid w:val="00AD0204"/>
    <w:rsid w:val="00AD04FE"/>
    <w:rsid w:val="00AD0715"/>
    <w:rsid w:val="00AD1E1A"/>
    <w:rsid w:val="00AD2EB0"/>
    <w:rsid w:val="00AD31FD"/>
    <w:rsid w:val="00AD34E4"/>
    <w:rsid w:val="00AD3A7C"/>
    <w:rsid w:val="00AD4789"/>
    <w:rsid w:val="00AD5351"/>
    <w:rsid w:val="00AD699C"/>
    <w:rsid w:val="00AD71A3"/>
    <w:rsid w:val="00AD75C6"/>
    <w:rsid w:val="00AE0238"/>
    <w:rsid w:val="00AE05AB"/>
    <w:rsid w:val="00AE1D12"/>
    <w:rsid w:val="00AE1EE3"/>
    <w:rsid w:val="00AE1F54"/>
    <w:rsid w:val="00AE252C"/>
    <w:rsid w:val="00AE488F"/>
    <w:rsid w:val="00AE691A"/>
    <w:rsid w:val="00AE76A9"/>
    <w:rsid w:val="00AE7710"/>
    <w:rsid w:val="00AE7952"/>
    <w:rsid w:val="00AF1416"/>
    <w:rsid w:val="00AF1DEC"/>
    <w:rsid w:val="00AF2284"/>
    <w:rsid w:val="00AF2CC0"/>
    <w:rsid w:val="00AF2FB4"/>
    <w:rsid w:val="00AF3E13"/>
    <w:rsid w:val="00AF4602"/>
    <w:rsid w:val="00AF55FC"/>
    <w:rsid w:val="00AF6EFD"/>
    <w:rsid w:val="00AF7173"/>
    <w:rsid w:val="00AF73E1"/>
    <w:rsid w:val="00AF7BB5"/>
    <w:rsid w:val="00AF7ED7"/>
    <w:rsid w:val="00B00ADC"/>
    <w:rsid w:val="00B01944"/>
    <w:rsid w:val="00B0511A"/>
    <w:rsid w:val="00B05294"/>
    <w:rsid w:val="00B056B0"/>
    <w:rsid w:val="00B073CC"/>
    <w:rsid w:val="00B078D2"/>
    <w:rsid w:val="00B10461"/>
    <w:rsid w:val="00B11627"/>
    <w:rsid w:val="00B118B1"/>
    <w:rsid w:val="00B126BB"/>
    <w:rsid w:val="00B12F7B"/>
    <w:rsid w:val="00B130E9"/>
    <w:rsid w:val="00B134CF"/>
    <w:rsid w:val="00B13A40"/>
    <w:rsid w:val="00B14FE3"/>
    <w:rsid w:val="00B152E4"/>
    <w:rsid w:val="00B15ED3"/>
    <w:rsid w:val="00B16A11"/>
    <w:rsid w:val="00B1729F"/>
    <w:rsid w:val="00B1754F"/>
    <w:rsid w:val="00B21D53"/>
    <w:rsid w:val="00B224F0"/>
    <w:rsid w:val="00B22CAA"/>
    <w:rsid w:val="00B230B6"/>
    <w:rsid w:val="00B2452C"/>
    <w:rsid w:val="00B24628"/>
    <w:rsid w:val="00B25D6A"/>
    <w:rsid w:val="00B26C06"/>
    <w:rsid w:val="00B271F5"/>
    <w:rsid w:val="00B30D6E"/>
    <w:rsid w:val="00B30DE6"/>
    <w:rsid w:val="00B3186F"/>
    <w:rsid w:val="00B31BCE"/>
    <w:rsid w:val="00B3259C"/>
    <w:rsid w:val="00B32AA4"/>
    <w:rsid w:val="00B34440"/>
    <w:rsid w:val="00B34A8C"/>
    <w:rsid w:val="00B3539C"/>
    <w:rsid w:val="00B3558E"/>
    <w:rsid w:val="00B3654B"/>
    <w:rsid w:val="00B37809"/>
    <w:rsid w:val="00B41650"/>
    <w:rsid w:val="00B44447"/>
    <w:rsid w:val="00B44E35"/>
    <w:rsid w:val="00B44F54"/>
    <w:rsid w:val="00B4592B"/>
    <w:rsid w:val="00B45AB4"/>
    <w:rsid w:val="00B45DFC"/>
    <w:rsid w:val="00B468EE"/>
    <w:rsid w:val="00B46ACA"/>
    <w:rsid w:val="00B47113"/>
    <w:rsid w:val="00B47326"/>
    <w:rsid w:val="00B50978"/>
    <w:rsid w:val="00B512BA"/>
    <w:rsid w:val="00B51BD1"/>
    <w:rsid w:val="00B51DE7"/>
    <w:rsid w:val="00B52222"/>
    <w:rsid w:val="00B527BF"/>
    <w:rsid w:val="00B529B8"/>
    <w:rsid w:val="00B5300D"/>
    <w:rsid w:val="00B53E4D"/>
    <w:rsid w:val="00B53EB0"/>
    <w:rsid w:val="00B541FA"/>
    <w:rsid w:val="00B5490B"/>
    <w:rsid w:val="00B56098"/>
    <w:rsid w:val="00B56BE2"/>
    <w:rsid w:val="00B5726D"/>
    <w:rsid w:val="00B611C8"/>
    <w:rsid w:val="00B61370"/>
    <w:rsid w:val="00B61CA9"/>
    <w:rsid w:val="00B622B0"/>
    <w:rsid w:val="00B6234B"/>
    <w:rsid w:val="00B62B95"/>
    <w:rsid w:val="00B64D88"/>
    <w:rsid w:val="00B64EFA"/>
    <w:rsid w:val="00B66392"/>
    <w:rsid w:val="00B66B9E"/>
    <w:rsid w:val="00B66E4E"/>
    <w:rsid w:val="00B67876"/>
    <w:rsid w:val="00B67AEC"/>
    <w:rsid w:val="00B70152"/>
    <w:rsid w:val="00B70CFE"/>
    <w:rsid w:val="00B712AF"/>
    <w:rsid w:val="00B71E75"/>
    <w:rsid w:val="00B7237A"/>
    <w:rsid w:val="00B72CDB"/>
    <w:rsid w:val="00B7417C"/>
    <w:rsid w:val="00B742AE"/>
    <w:rsid w:val="00B7556F"/>
    <w:rsid w:val="00B75A44"/>
    <w:rsid w:val="00B80B00"/>
    <w:rsid w:val="00B85A2B"/>
    <w:rsid w:val="00B87B95"/>
    <w:rsid w:val="00B9061C"/>
    <w:rsid w:val="00B90D1F"/>
    <w:rsid w:val="00B91205"/>
    <w:rsid w:val="00B918EC"/>
    <w:rsid w:val="00B9206D"/>
    <w:rsid w:val="00B925F6"/>
    <w:rsid w:val="00B92F3F"/>
    <w:rsid w:val="00B946B8"/>
    <w:rsid w:val="00B94E6E"/>
    <w:rsid w:val="00B94EF2"/>
    <w:rsid w:val="00B95514"/>
    <w:rsid w:val="00B9618C"/>
    <w:rsid w:val="00B96341"/>
    <w:rsid w:val="00BA11E3"/>
    <w:rsid w:val="00BA203B"/>
    <w:rsid w:val="00BA20C7"/>
    <w:rsid w:val="00BA2201"/>
    <w:rsid w:val="00BA23FF"/>
    <w:rsid w:val="00BA2A4A"/>
    <w:rsid w:val="00BA2B50"/>
    <w:rsid w:val="00BA2DFD"/>
    <w:rsid w:val="00BA4A47"/>
    <w:rsid w:val="00BA557B"/>
    <w:rsid w:val="00BA5F5C"/>
    <w:rsid w:val="00BB00B9"/>
    <w:rsid w:val="00BB060B"/>
    <w:rsid w:val="00BB114C"/>
    <w:rsid w:val="00BB1709"/>
    <w:rsid w:val="00BB2F96"/>
    <w:rsid w:val="00BB360D"/>
    <w:rsid w:val="00BB68A1"/>
    <w:rsid w:val="00BB756A"/>
    <w:rsid w:val="00BC019E"/>
    <w:rsid w:val="00BC09AA"/>
    <w:rsid w:val="00BC2C85"/>
    <w:rsid w:val="00BC523E"/>
    <w:rsid w:val="00BC640C"/>
    <w:rsid w:val="00BD0434"/>
    <w:rsid w:val="00BD0474"/>
    <w:rsid w:val="00BD04E7"/>
    <w:rsid w:val="00BD0B1E"/>
    <w:rsid w:val="00BD14B5"/>
    <w:rsid w:val="00BD24D8"/>
    <w:rsid w:val="00BD308D"/>
    <w:rsid w:val="00BD3CA6"/>
    <w:rsid w:val="00BD4DB4"/>
    <w:rsid w:val="00BD4EE4"/>
    <w:rsid w:val="00BD56EE"/>
    <w:rsid w:val="00BD58DD"/>
    <w:rsid w:val="00BD656B"/>
    <w:rsid w:val="00BD6BEB"/>
    <w:rsid w:val="00BD6FE9"/>
    <w:rsid w:val="00BD7600"/>
    <w:rsid w:val="00BD777A"/>
    <w:rsid w:val="00BD7A1D"/>
    <w:rsid w:val="00BE0287"/>
    <w:rsid w:val="00BE0ACF"/>
    <w:rsid w:val="00BE2DF8"/>
    <w:rsid w:val="00BE32AD"/>
    <w:rsid w:val="00BE37E4"/>
    <w:rsid w:val="00BE4470"/>
    <w:rsid w:val="00BE58F7"/>
    <w:rsid w:val="00BE631E"/>
    <w:rsid w:val="00BE6CEB"/>
    <w:rsid w:val="00BE6FCE"/>
    <w:rsid w:val="00BF03A4"/>
    <w:rsid w:val="00BF08C6"/>
    <w:rsid w:val="00BF0BA3"/>
    <w:rsid w:val="00BF17C1"/>
    <w:rsid w:val="00BF2A28"/>
    <w:rsid w:val="00BF3832"/>
    <w:rsid w:val="00BF3CD7"/>
    <w:rsid w:val="00BF4F38"/>
    <w:rsid w:val="00BF748A"/>
    <w:rsid w:val="00C0098B"/>
    <w:rsid w:val="00C01724"/>
    <w:rsid w:val="00C01994"/>
    <w:rsid w:val="00C01E93"/>
    <w:rsid w:val="00C03133"/>
    <w:rsid w:val="00C03639"/>
    <w:rsid w:val="00C04B46"/>
    <w:rsid w:val="00C04F80"/>
    <w:rsid w:val="00C055B6"/>
    <w:rsid w:val="00C06AD5"/>
    <w:rsid w:val="00C0762F"/>
    <w:rsid w:val="00C077F2"/>
    <w:rsid w:val="00C11BB7"/>
    <w:rsid w:val="00C11F1E"/>
    <w:rsid w:val="00C121B1"/>
    <w:rsid w:val="00C13649"/>
    <w:rsid w:val="00C1521E"/>
    <w:rsid w:val="00C16135"/>
    <w:rsid w:val="00C161FA"/>
    <w:rsid w:val="00C1656D"/>
    <w:rsid w:val="00C17286"/>
    <w:rsid w:val="00C17835"/>
    <w:rsid w:val="00C2061A"/>
    <w:rsid w:val="00C2149F"/>
    <w:rsid w:val="00C21DC9"/>
    <w:rsid w:val="00C21F03"/>
    <w:rsid w:val="00C226C0"/>
    <w:rsid w:val="00C228F1"/>
    <w:rsid w:val="00C23B84"/>
    <w:rsid w:val="00C24713"/>
    <w:rsid w:val="00C24B99"/>
    <w:rsid w:val="00C2535B"/>
    <w:rsid w:val="00C2745C"/>
    <w:rsid w:val="00C3142E"/>
    <w:rsid w:val="00C31E36"/>
    <w:rsid w:val="00C321D7"/>
    <w:rsid w:val="00C32A7B"/>
    <w:rsid w:val="00C33FDD"/>
    <w:rsid w:val="00C34427"/>
    <w:rsid w:val="00C35D52"/>
    <w:rsid w:val="00C367E3"/>
    <w:rsid w:val="00C37262"/>
    <w:rsid w:val="00C402AE"/>
    <w:rsid w:val="00C409B9"/>
    <w:rsid w:val="00C421E8"/>
    <w:rsid w:val="00C4245F"/>
    <w:rsid w:val="00C43300"/>
    <w:rsid w:val="00C43654"/>
    <w:rsid w:val="00C43AD7"/>
    <w:rsid w:val="00C44863"/>
    <w:rsid w:val="00C4514C"/>
    <w:rsid w:val="00C46E04"/>
    <w:rsid w:val="00C472A8"/>
    <w:rsid w:val="00C4733D"/>
    <w:rsid w:val="00C47902"/>
    <w:rsid w:val="00C50765"/>
    <w:rsid w:val="00C50A01"/>
    <w:rsid w:val="00C51195"/>
    <w:rsid w:val="00C52235"/>
    <w:rsid w:val="00C526A3"/>
    <w:rsid w:val="00C53496"/>
    <w:rsid w:val="00C53DB1"/>
    <w:rsid w:val="00C54C6A"/>
    <w:rsid w:val="00C555D5"/>
    <w:rsid w:val="00C56782"/>
    <w:rsid w:val="00C56859"/>
    <w:rsid w:val="00C57049"/>
    <w:rsid w:val="00C63434"/>
    <w:rsid w:val="00C64255"/>
    <w:rsid w:val="00C6431D"/>
    <w:rsid w:val="00C645F7"/>
    <w:rsid w:val="00C64C9C"/>
    <w:rsid w:val="00C668EF"/>
    <w:rsid w:val="00C66AE9"/>
    <w:rsid w:val="00C670BD"/>
    <w:rsid w:val="00C67D1D"/>
    <w:rsid w:val="00C70511"/>
    <w:rsid w:val="00C7108E"/>
    <w:rsid w:val="00C7171D"/>
    <w:rsid w:val="00C723F3"/>
    <w:rsid w:val="00C7272A"/>
    <w:rsid w:val="00C733BC"/>
    <w:rsid w:val="00C7435D"/>
    <w:rsid w:val="00C75659"/>
    <w:rsid w:val="00C7621F"/>
    <w:rsid w:val="00C778FD"/>
    <w:rsid w:val="00C82082"/>
    <w:rsid w:val="00C85C0D"/>
    <w:rsid w:val="00C86B35"/>
    <w:rsid w:val="00C87746"/>
    <w:rsid w:val="00C87BE8"/>
    <w:rsid w:val="00C87FEA"/>
    <w:rsid w:val="00C91692"/>
    <w:rsid w:val="00C918BF"/>
    <w:rsid w:val="00C93029"/>
    <w:rsid w:val="00C93C1B"/>
    <w:rsid w:val="00C94A6D"/>
    <w:rsid w:val="00C94E32"/>
    <w:rsid w:val="00C951F4"/>
    <w:rsid w:val="00C96B47"/>
    <w:rsid w:val="00C96BB4"/>
    <w:rsid w:val="00C96E92"/>
    <w:rsid w:val="00CA1F87"/>
    <w:rsid w:val="00CA25F4"/>
    <w:rsid w:val="00CA2A94"/>
    <w:rsid w:val="00CA3211"/>
    <w:rsid w:val="00CA40E3"/>
    <w:rsid w:val="00CA4D5C"/>
    <w:rsid w:val="00CA6597"/>
    <w:rsid w:val="00CB0639"/>
    <w:rsid w:val="00CB192C"/>
    <w:rsid w:val="00CB201F"/>
    <w:rsid w:val="00CB2C07"/>
    <w:rsid w:val="00CB2E64"/>
    <w:rsid w:val="00CB2F4E"/>
    <w:rsid w:val="00CB337A"/>
    <w:rsid w:val="00CB4173"/>
    <w:rsid w:val="00CB5390"/>
    <w:rsid w:val="00CB564B"/>
    <w:rsid w:val="00CB5A47"/>
    <w:rsid w:val="00CC10CB"/>
    <w:rsid w:val="00CC2B29"/>
    <w:rsid w:val="00CC30DD"/>
    <w:rsid w:val="00CC36F4"/>
    <w:rsid w:val="00CC43E3"/>
    <w:rsid w:val="00CC4999"/>
    <w:rsid w:val="00CC532C"/>
    <w:rsid w:val="00CC6350"/>
    <w:rsid w:val="00CC64A1"/>
    <w:rsid w:val="00CC68B3"/>
    <w:rsid w:val="00CC70C2"/>
    <w:rsid w:val="00CC7713"/>
    <w:rsid w:val="00CC7B07"/>
    <w:rsid w:val="00CD2423"/>
    <w:rsid w:val="00CD4C21"/>
    <w:rsid w:val="00CD57D6"/>
    <w:rsid w:val="00CD6264"/>
    <w:rsid w:val="00CD689E"/>
    <w:rsid w:val="00CD7A4D"/>
    <w:rsid w:val="00CE017B"/>
    <w:rsid w:val="00CE1098"/>
    <w:rsid w:val="00CE13AA"/>
    <w:rsid w:val="00CE1574"/>
    <w:rsid w:val="00CE2F20"/>
    <w:rsid w:val="00CE33FD"/>
    <w:rsid w:val="00CE36AE"/>
    <w:rsid w:val="00CE4916"/>
    <w:rsid w:val="00CE6054"/>
    <w:rsid w:val="00CE6677"/>
    <w:rsid w:val="00CE694E"/>
    <w:rsid w:val="00CE7358"/>
    <w:rsid w:val="00CF0C27"/>
    <w:rsid w:val="00CF0FCC"/>
    <w:rsid w:val="00CF204F"/>
    <w:rsid w:val="00CF27C3"/>
    <w:rsid w:val="00CF3CDF"/>
    <w:rsid w:val="00CF4347"/>
    <w:rsid w:val="00CF5695"/>
    <w:rsid w:val="00CF58E8"/>
    <w:rsid w:val="00CF5CB0"/>
    <w:rsid w:val="00CF6F7B"/>
    <w:rsid w:val="00CF75DE"/>
    <w:rsid w:val="00CF7E19"/>
    <w:rsid w:val="00D001CD"/>
    <w:rsid w:val="00D01218"/>
    <w:rsid w:val="00D01840"/>
    <w:rsid w:val="00D01A46"/>
    <w:rsid w:val="00D02945"/>
    <w:rsid w:val="00D06B01"/>
    <w:rsid w:val="00D0792B"/>
    <w:rsid w:val="00D11D0C"/>
    <w:rsid w:val="00D12214"/>
    <w:rsid w:val="00D1288F"/>
    <w:rsid w:val="00D129B4"/>
    <w:rsid w:val="00D14FC5"/>
    <w:rsid w:val="00D15897"/>
    <w:rsid w:val="00D159FE"/>
    <w:rsid w:val="00D15D88"/>
    <w:rsid w:val="00D173E9"/>
    <w:rsid w:val="00D17602"/>
    <w:rsid w:val="00D179B4"/>
    <w:rsid w:val="00D17B7B"/>
    <w:rsid w:val="00D20A9C"/>
    <w:rsid w:val="00D21257"/>
    <w:rsid w:val="00D214A7"/>
    <w:rsid w:val="00D21E84"/>
    <w:rsid w:val="00D21F58"/>
    <w:rsid w:val="00D22855"/>
    <w:rsid w:val="00D236C5"/>
    <w:rsid w:val="00D23947"/>
    <w:rsid w:val="00D239EA"/>
    <w:rsid w:val="00D2440F"/>
    <w:rsid w:val="00D2497D"/>
    <w:rsid w:val="00D24B8D"/>
    <w:rsid w:val="00D259B2"/>
    <w:rsid w:val="00D26C27"/>
    <w:rsid w:val="00D3012D"/>
    <w:rsid w:val="00D3115F"/>
    <w:rsid w:val="00D318CE"/>
    <w:rsid w:val="00D32651"/>
    <w:rsid w:val="00D328BA"/>
    <w:rsid w:val="00D32C27"/>
    <w:rsid w:val="00D34A1D"/>
    <w:rsid w:val="00D34AC9"/>
    <w:rsid w:val="00D36385"/>
    <w:rsid w:val="00D366AD"/>
    <w:rsid w:val="00D36BE4"/>
    <w:rsid w:val="00D374D6"/>
    <w:rsid w:val="00D37593"/>
    <w:rsid w:val="00D400B4"/>
    <w:rsid w:val="00D405D3"/>
    <w:rsid w:val="00D41D1C"/>
    <w:rsid w:val="00D4437E"/>
    <w:rsid w:val="00D4735E"/>
    <w:rsid w:val="00D475E7"/>
    <w:rsid w:val="00D47CE1"/>
    <w:rsid w:val="00D47DFD"/>
    <w:rsid w:val="00D5010D"/>
    <w:rsid w:val="00D510C6"/>
    <w:rsid w:val="00D52BA1"/>
    <w:rsid w:val="00D53788"/>
    <w:rsid w:val="00D54C77"/>
    <w:rsid w:val="00D5564F"/>
    <w:rsid w:val="00D55D76"/>
    <w:rsid w:val="00D567F2"/>
    <w:rsid w:val="00D57548"/>
    <w:rsid w:val="00D57D69"/>
    <w:rsid w:val="00D601C2"/>
    <w:rsid w:val="00D60203"/>
    <w:rsid w:val="00D640C6"/>
    <w:rsid w:val="00D64B0D"/>
    <w:rsid w:val="00D65737"/>
    <w:rsid w:val="00D65A14"/>
    <w:rsid w:val="00D66A45"/>
    <w:rsid w:val="00D67299"/>
    <w:rsid w:val="00D672DE"/>
    <w:rsid w:val="00D702F1"/>
    <w:rsid w:val="00D70F4D"/>
    <w:rsid w:val="00D7444D"/>
    <w:rsid w:val="00D7467B"/>
    <w:rsid w:val="00D80020"/>
    <w:rsid w:val="00D805A1"/>
    <w:rsid w:val="00D808B5"/>
    <w:rsid w:val="00D84606"/>
    <w:rsid w:val="00D84D51"/>
    <w:rsid w:val="00D8543F"/>
    <w:rsid w:val="00D85788"/>
    <w:rsid w:val="00D86422"/>
    <w:rsid w:val="00D86634"/>
    <w:rsid w:val="00D86868"/>
    <w:rsid w:val="00D87218"/>
    <w:rsid w:val="00D8740B"/>
    <w:rsid w:val="00D877E4"/>
    <w:rsid w:val="00D879F8"/>
    <w:rsid w:val="00D87F0B"/>
    <w:rsid w:val="00D90674"/>
    <w:rsid w:val="00D907C0"/>
    <w:rsid w:val="00D90D1C"/>
    <w:rsid w:val="00D918F7"/>
    <w:rsid w:val="00D91B17"/>
    <w:rsid w:val="00D92999"/>
    <w:rsid w:val="00D94ABA"/>
    <w:rsid w:val="00D94F20"/>
    <w:rsid w:val="00D95112"/>
    <w:rsid w:val="00D951E0"/>
    <w:rsid w:val="00D95F5E"/>
    <w:rsid w:val="00DA03CE"/>
    <w:rsid w:val="00DA155C"/>
    <w:rsid w:val="00DA1D1D"/>
    <w:rsid w:val="00DA2B18"/>
    <w:rsid w:val="00DA2BE7"/>
    <w:rsid w:val="00DA333A"/>
    <w:rsid w:val="00DA3C39"/>
    <w:rsid w:val="00DA489E"/>
    <w:rsid w:val="00DA4A76"/>
    <w:rsid w:val="00DA5154"/>
    <w:rsid w:val="00DA53CA"/>
    <w:rsid w:val="00DA6006"/>
    <w:rsid w:val="00DA6E22"/>
    <w:rsid w:val="00DA7835"/>
    <w:rsid w:val="00DB01CA"/>
    <w:rsid w:val="00DB3C86"/>
    <w:rsid w:val="00DB441F"/>
    <w:rsid w:val="00DB47D4"/>
    <w:rsid w:val="00DB52FB"/>
    <w:rsid w:val="00DB58C3"/>
    <w:rsid w:val="00DB596C"/>
    <w:rsid w:val="00DB6E24"/>
    <w:rsid w:val="00DB6EF8"/>
    <w:rsid w:val="00DB7A25"/>
    <w:rsid w:val="00DC0C48"/>
    <w:rsid w:val="00DC0DAA"/>
    <w:rsid w:val="00DC2146"/>
    <w:rsid w:val="00DC2F62"/>
    <w:rsid w:val="00DC3522"/>
    <w:rsid w:val="00DC35FD"/>
    <w:rsid w:val="00DC3AD7"/>
    <w:rsid w:val="00DC44BB"/>
    <w:rsid w:val="00DC4786"/>
    <w:rsid w:val="00DC4954"/>
    <w:rsid w:val="00DC5A73"/>
    <w:rsid w:val="00DC5D8A"/>
    <w:rsid w:val="00DC6B1E"/>
    <w:rsid w:val="00DC7CB5"/>
    <w:rsid w:val="00DD0B1C"/>
    <w:rsid w:val="00DD106D"/>
    <w:rsid w:val="00DD1195"/>
    <w:rsid w:val="00DD17B1"/>
    <w:rsid w:val="00DD18DA"/>
    <w:rsid w:val="00DD319E"/>
    <w:rsid w:val="00DD3822"/>
    <w:rsid w:val="00DD47C8"/>
    <w:rsid w:val="00DD5B72"/>
    <w:rsid w:val="00DD6D7D"/>
    <w:rsid w:val="00DD7788"/>
    <w:rsid w:val="00DE0272"/>
    <w:rsid w:val="00DE0CDA"/>
    <w:rsid w:val="00DE0E9B"/>
    <w:rsid w:val="00DE126E"/>
    <w:rsid w:val="00DE1CA3"/>
    <w:rsid w:val="00DE2EA1"/>
    <w:rsid w:val="00DE30F1"/>
    <w:rsid w:val="00DE3453"/>
    <w:rsid w:val="00DE3D73"/>
    <w:rsid w:val="00DE71D8"/>
    <w:rsid w:val="00DF0380"/>
    <w:rsid w:val="00DF124D"/>
    <w:rsid w:val="00DF1B68"/>
    <w:rsid w:val="00DF1DDC"/>
    <w:rsid w:val="00DF1F8B"/>
    <w:rsid w:val="00DF2B1D"/>
    <w:rsid w:val="00DF3E98"/>
    <w:rsid w:val="00DF48C6"/>
    <w:rsid w:val="00DF4AC3"/>
    <w:rsid w:val="00DF552E"/>
    <w:rsid w:val="00DF5DA8"/>
    <w:rsid w:val="00DF62C7"/>
    <w:rsid w:val="00DF63D9"/>
    <w:rsid w:val="00DF7CEE"/>
    <w:rsid w:val="00E00761"/>
    <w:rsid w:val="00E00E62"/>
    <w:rsid w:val="00E019A2"/>
    <w:rsid w:val="00E01A23"/>
    <w:rsid w:val="00E01ABF"/>
    <w:rsid w:val="00E021DD"/>
    <w:rsid w:val="00E03166"/>
    <w:rsid w:val="00E03E53"/>
    <w:rsid w:val="00E06627"/>
    <w:rsid w:val="00E071EA"/>
    <w:rsid w:val="00E10104"/>
    <w:rsid w:val="00E1111D"/>
    <w:rsid w:val="00E125CE"/>
    <w:rsid w:val="00E12902"/>
    <w:rsid w:val="00E200D8"/>
    <w:rsid w:val="00E209AD"/>
    <w:rsid w:val="00E223EF"/>
    <w:rsid w:val="00E229D6"/>
    <w:rsid w:val="00E23E93"/>
    <w:rsid w:val="00E24611"/>
    <w:rsid w:val="00E25515"/>
    <w:rsid w:val="00E267A7"/>
    <w:rsid w:val="00E26A70"/>
    <w:rsid w:val="00E2762D"/>
    <w:rsid w:val="00E27A9B"/>
    <w:rsid w:val="00E27F53"/>
    <w:rsid w:val="00E3046B"/>
    <w:rsid w:val="00E30977"/>
    <w:rsid w:val="00E30CDC"/>
    <w:rsid w:val="00E316D6"/>
    <w:rsid w:val="00E31A3A"/>
    <w:rsid w:val="00E3230C"/>
    <w:rsid w:val="00E32AC9"/>
    <w:rsid w:val="00E32C73"/>
    <w:rsid w:val="00E33CF8"/>
    <w:rsid w:val="00E353C7"/>
    <w:rsid w:val="00E358A4"/>
    <w:rsid w:val="00E35D49"/>
    <w:rsid w:val="00E366ED"/>
    <w:rsid w:val="00E36B26"/>
    <w:rsid w:val="00E36C0D"/>
    <w:rsid w:val="00E3712E"/>
    <w:rsid w:val="00E4092E"/>
    <w:rsid w:val="00E40B64"/>
    <w:rsid w:val="00E40FC6"/>
    <w:rsid w:val="00E415C0"/>
    <w:rsid w:val="00E41A92"/>
    <w:rsid w:val="00E41A93"/>
    <w:rsid w:val="00E42129"/>
    <w:rsid w:val="00E432B3"/>
    <w:rsid w:val="00E43510"/>
    <w:rsid w:val="00E43927"/>
    <w:rsid w:val="00E46325"/>
    <w:rsid w:val="00E46515"/>
    <w:rsid w:val="00E4651C"/>
    <w:rsid w:val="00E46D8D"/>
    <w:rsid w:val="00E47CA3"/>
    <w:rsid w:val="00E51E49"/>
    <w:rsid w:val="00E525AB"/>
    <w:rsid w:val="00E526A0"/>
    <w:rsid w:val="00E52C51"/>
    <w:rsid w:val="00E53792"/>
    <w:rsid w:val="00E545E6"/>
    <w:rsid w:val="00E5549F"/>
    <w:rsid w:val="00E57167"/>
    <w:rsid w:val="00E57C6A"/>
    <w:rsid w:val="00E604CD"/>
    <w:rsid w:val="00E60625"/>
    <w:rsid w:val="00E60785"/>
    <w:rsid w:val="00E637E8"/>
    <w:rsid w:val="00E638F4"/>
    <w:rsid w:val="00E63AD5"/>
    <w:rsid w:val="00E65A08"/>
    <w:rsid w:val="00E65C0F"/>
    <w:rsid w:val="00E65C50"/>
    <w:rsid w:val="00E66051"/>
    <w:rsid w:val="00E66BD0"/>
    <w:rsid w:val="00E677E5"/>
    <w:rsid w:val="00E70B68"/>
    <w:rsid w:val="00E70C9F"/>
    <w:rsid w:val="00E711D4"/>
    <w:rsid w:val="00E71A75"/>
    <w:rsid w:val="00E72EDB"/>
    <w:rsid w:val="00E737FD"/>
    <w:rsid w:val="00E739E8"/>
    <w:rsid w:val="00E74DC0"/>
    <w:rsid w:val="00E7588C"/>
    <w:rsid w:val="00E76625"/>
    <w:rsid w:val="00E76653"/>
    <w:rsid w:val="00E816FE"/>
    <w:rsid w:val="00E823EE"/>
    <w:rsid w:val="00E82A60"/>
    <w:rsid w:val="00E85D06"/>
    <w:rsid w:val="00E87860"/>
    <w:rsid w:val="00E87FE2"/>
    <w:rsid w:val="00E90287"/>
    <w:rsid w:val="00E91826"/>
    <w:rsid w:val="00E91AB5"/>
    <w:rsid w:val="00E91E5E"/>
    <w:rsid w:val="00E924B1"/>
    <w:rsid w:val="00E96980"/>
    <w:rsid w:val="00E96B10"/>
    <w:rsid w:val="00E97591"/>
    <w:rsid w:val="00E97C33"/>
    <w:rsid w:val="00E97FF9"/>
    <w:rsid w:val="00EA0F4B"/>
    <w:rsid w:val="00EA175C"/>
    <w:rsid w:val="00EA24C7"/>
    <w:rsid w:val="00EA2566"/>
    <w:rsid w:val="00EA289E"/>
    <w:rsid w:val="00EA2B7E"/>
    <w:rsid w:val="00EA2DDE"/>
    <w:rsid w:val="00EA3C1B"/>
    <w:rsid w:val="00EA69F5"/>
    <w:rsid w:val="00EA6C05"/>
    <w:rsid w:val="00EB035C"/>
    <w:rsid w:val="00EB14CB"/>
    <w:rsid w:val="00EB243B"/>
    <w:rsid w:val="00EB24B3"/>
    <w:rsid w:val="00EB2580"/>
    <w:rsid w:val="00EB2E32"/>
    <w:rsid w:val="00EB4161"/>
    <w:rsid w:val="00EB4200"/>
    <w:rsid w:val="00EB483B"/>
    <w:rsid w:val="00EB48D3"/>
    <w:rsid w:val="00EB4B95"/>
    <w:rsid w:val="00EB7688"/>
    <w:rsid w:val="00EB794A"/>
    <w:rsid w:val="00EB7AEA"/>
    <w:rsid w:val="00EC0508"/>
    <w:rsid w:val="00EC07B8"/>
    <w:rsid w:val="00EC08DD"/>
    <w:rsid w:val="00EC1A18"/>
    <w:rsid w:val="00EC1CE5"/>
    <w:rsid w:val="00EC2446"/>
    <w:rsid w:val="00EC2514"/>
    <w:rsid w:val="00EC27A8"/>
    <w:rsid w:val="00EC2B07"/>
    <w:rsid w:val="00EC3A3D"/>
    <w:rsid w:val="00EC427A"/>
    <w:rsid w:val="00EC439D"/>
    <w:rsid w:val="00EC43FE"/>
    <w:rsid w:val="00EC456E"/>
    <w:rsid w:val="00EC4B7B"/>
    <w:rsid w:val="00EC5698"/>
    <w:rsid w:val="00ED066A"/>
    <w:rsid w:val="00ED0B6B"/>
    <w:rsid w:val="00ED108D"/>
    <w:rsid w:val="00ED30DB"/>
    <w:rsid w:val="00ED3481"/>
    <w:rsid w:val="00ED605D"/>
    <w:rsid w:val="00ED74C8"/>
    <w:rsid w:val="00ED7912"/>
    <w:rsid w:val="00EE01E1"/>
    <w:rsid w:val="00EE0265"/>
    <w:rsid w:val="00EE1380"/>
    <w:rsid w:val="00EE5B3B"/>
    <w:rsid w:val="00EE6007"/>
    <w:rsid w:val="00EE6ED2"/>
    <w:rsid w:val="00EF1195"/>
    <w:rsid w:val="00EF206E"/>
    <w:rsid w:val="00EF2919"/>
    <w:rsid w:val="00EF3F7F"/>
    <w:rsid w:val="00EF457B"/>
    <w:rsid w:val="00EF4CF8"/>
    <w:rsid w:val="00EF5336"/>
    <w:rsid w:val="00EF682D"/>
    <w:rsid w:val="00EF7EAB"/>
    <w:rsid w:val="00F02AAA"/>
    <w:rsid w:val="00F03CF1"/>
    <w:rsid w:val="00F060EB"/>
    <w:rsid w:val="00F06106"/>
    <w:rsid w:val="00F071CB"/>
    <w:rsid w:val="00F11598"/>
    <w:rsid w:val="00F119BD"/>
    <w:rsid w:val="00F11A38"/>
    <w:rsid w:val="00F123E6"/>
    <w:rsid w:val="00F13CBB"/>
    <w:rsid w:val="00F146BE"/>
    <w:rsid w:val="00F156BA"/>
    <w:rsid w:val="00F168CD"/>
    <w:rsid w:val="00F16AC5"/>
    <w:rsid w:val="00F16BD4"/>
    <w:rsid w:val="00F16FA9"/>
    <w:rsid w:val="00F1709A"/>
    <w:rsid w:val="00F21E44"/>
    <w:rsid w:val="00F22A86"/>
    <w:rsid w:val="00F239B7"/>
    <w:rsid w:val="00F23F9C"/>
    <w:rsid w:val="00F2475E"/>
    <w:rsid w:val="00F24890"/>
    <w:rsid w:val="00F25268"/>
    <w:rsid w:val="00F26AD2"/>
    <w:rsid w:val="00F26ED7"/>
    <w:rsid w:val="00F274FC"/>
    <w:rsid w:val="00F316A6"/>
    <w:rsid w:val="00F317AE"/>
    <w:rsid w:val="00F32023"/>
    <w:rsid w:val="00F33A3F"/>
    <w:rsid w:val="00F35454"/>
    <w:rsid w:val="00F35FF7"/>
    <w:rsid w:val="00F3740F"/>
    <w:rsid w:val="00F414C4"/>
    <w:rsid w:val="00F41CC9"/>
    <w:rsid w:val="00F41D6C"/>
    <w:rsid w:val="00F41DBF"/>
    <w:rsid w:val="00F420C4"/>
    <w:rsid w:val="00F42956"/>
    <w:rsid w:val="00F44068"/>
    <w:rsid w:val="00F4494D"/>
    <w:rsid w:val="00F44CDF"/>
    <w:rsid w:val="00F453B3"/>
    <w:rsid w:val="00F45E70"/>
    <w:rsid w:val="00F45FF1"/>
    <w:rsid w:val="00F46859"/>
    <w:rsid w:val="00F46A94"/>
    <w:rsid w:val="00F47B27"/>
    <w:rsid w:val="00F519BD"/>
    <w:rsid w:val="00F51E44"/>
    <w:rsid w:val="00F54023"/>
    <w:rsid w:val="00F55F18"/>
    <w:rsid w:val="00F565A3"/>
    <w:rsid w:val="00F566E9"/>
    <w:rsid w:val="00F57325"/>
    <w:rsid w:val="00F57786"/>
    <w:rsid w:val="00F6107E"/>
    <w:rsid w:val="00F6170A"/>
    <w:rsid w:val="00F62EFC"/>
    <w:rsid w:val="00F6509E"/>
    <w:rsid w:val="00F6514D"/>
    <w:rsid w:val="00F65D98"/>
    <w:rsid w:val="00F67213"/>
    <w:rsid w:val="00F7085F"/>
    <w:rsid w:val="00F71BDE"/>
    <w:rsid w:val="00F71F95"/>
    <w:rsid w:val="00F72423"/>
    <w:rsid w:val="00F74294"/>
    <w:rsid w:val="00F7449C"/>
    <w:rsid w:val="00F757F2"/>
    <w:rsid w:val="00F75B49"/>
    <w:rsid w:val="00F768E1"/>
    <w:rsid w:val="00F779EC"/>
    <w:rsid w:val="00F80281"/>
    <w:rsid w:val="00F8228C"/>
    <w:rsid w:val="00F8308B"/>
    <w:rsid w:val="00F846C4"/>
    <w:rsid w:val="00F85EF1"/>
    <w:rsid w:val="00F87D29"/>
    <w:rsid w:val="00F900FE"/>
    <w:rsid w:val="00F91142"/>
    <w:rsid w:val="00F917F8"/>
    <w:rsid w:val="00F91888"/>
    <w:rsid w:val="00F92B84"/>
    <w:rsid w:val="00F92FFF"/>
    <w:rsid w:val="00F9339D"/>
    <w:rsid w:val="00F941F1"/>
    <w:rsid w:val="00F956CF"/>
    <w:rsid w:val="00F96321"/>
    <w:rsid w:val="00F968CC"/>
    <w:rsid w:val="00F971B3"/>
    <w:rsid w:val="00F97412"/>
    <w:rsid w:val="00F97E61"/>
    <w:rsid w:val="00FA102A"/>
    <w:rsid w:val="00FA1094"/>
    <w:rsid w:val="00FA202A"/>
    <w:rsid w:val="00FA20AE"/>
    <w:rsid w:val="00FA20F3"/>
    <w:rsid w:val="00FA276A"/>
    <w:rsid w:val="00FA5936"/>
    <w:rsid w:val="00FA70A0"/>
    <w:rsid w:val="00FA72BC"/>
    <w:rsid w:val="00FA7C70"/>
    <w:rsid w:val="00FB08C2"/>
    <w:rsid w:val="00FB0A11"/>
    <w:rsid w:val="00FB1F7C"/>
    <w:rsid w:val="00FB42A7"/>
    <w:rsid w:val="00FB48F4"/>
    <w:rsid w:val="00FB574C"/>
    <w:rsid w:val="00FB60DF"/>
    <w:rsid w:val="00FB68D4"/>
    <w:rsid w:val="00FB7F8C"/>
    <w:rsid w:val="00FC137F"/>
    <w:rsid w:val="00FC16F0"/>
    <w:rsid w:val="00FC1AE8"/>
    <w:rsid w:val="00FC37DB"/>
    <w:rsid w:val="00FC4C1C"/>
    <w:rsid w:val="00FC4CE7"/>
    <w:rsid w:val="00FC5BE6"/>
    <w:rsid w:val="00FC6AFA"/>
    <w:rsid w:val="00FC714E"/>
    <w:rsid w:val="00FC7F09"/>
    <w:rsid w:val="00FD0D25"/>
    <w:rsid w:val="00FD0FEC"/>
    <w:rsid w:val="00FD24F0"/>
    <w:rsid w:val="00FD2D8A"/>
    <w:rsid w:val="00FD475D"/>
    <w:rsid w:val="00FD55A7"/>
    <w:rsid w:val="00FD592A"/>
    <w:rsid w:val="00FD6F89"/>
    <w:rsid w:val="00FD7C90"/>
    <w:rsid w:val="00FD7D25"/>
    <w:rsid w:val="00FE2964"/>
    <w:rsid w:val="00FE39BE"/>
    <w:rsid w:val="00FE39EE"/>
    <w:rsid w:val="00FE3A78"/>
    <w:rsid w:val="00FE3B09"/>
    <w:rsid w:val="00FE58BB"/>
    <w:rsid w:val="00FE5C3B"/>
    <w:rsid w:val="00FE5C49"/>
    <w:rsid w:val="00FE6159"/>
    <w:rsid w:val="00FE6288"/>
    <w:rsid w:val="00FE6357"/>
    <w:rsid w:val="00FE6A14"/>
    <w:rsid w:val="00FE7251"/>
    <w:rsid w:val="00FE7900"/>
    <w:rsid w:val="00FE7F3E"/>
    <w:rsid w:val="00FF027C"/>
    <w:rsid w:val="00FF0559"/>
    <w:rsid w:val="00FF0B0D"/>
    <w:rsid w:val="00FF146E"/>
    <w:rsid w:val="00FF1674"/>
    <w:rsid w:val="00FF1B8A"/>
    <w:rsid w:val="00FF2108"/>
    <w:rsid w:val="00FF2388"/>
    <w:rsid w:val="00FF38F1"/>
    <w:rsid w:val="00FF3F07"/>
    <w:rsid w:val="00FF435D"/>
    <w:rsid w:val="00FF4AB1"/>
    <w:rsid w:val="00FF540B"/>
    <w:rsid w:val="00FF5D9E"/>
    <w:rsid w:val="00FF6655"/>
    <w:rsid w:val="0123E6E6"/>
    <w:rsid w:val="01C03306"/>
    <w:rsid w:val="01C310E7"/>
    <w:rsid w:val="02146CE3"/>
    <w:rsid w:val="03291083"/>
    <w:rsid w:val="037E689E"/>
    <w:rsid w:val="03ED241C"/>
    <w:rsid w:val="040B3AF1"/>
    <w:rsid w:val="04AF4A55"/>
    <w:rsid w:val="04FA52B7"/>
    <w:rsid w:val="06EF5174"/>
    <w:rsid w:val="075D1031"/>
    <w:rsid w:val="07F16915"/>
    <w:rsid w:val="08185842"/>
    <w:rsid w:val="08BBF491"/>
    <w:rsid w:val="0AEF9229"/>
    <w:rsid w:val="0B3B9676"/>
    <w:rsid w:val="0C041CFF"/>
    <w:rsid w:val="0D603BD0"/>
    <w:rsid w:val="0DFBDADE"/>
    <w:rsid w:val="0E272EC6"/>
    <w:rsid w:val="0EF4169C"/>
    <w:rsid w:val="0FE224EF"/>
    <w:rsid w:val="0FF35CB0"/>
    <w:rsid w:val="10523E33"/>
    <w:rsid w:val="115B3EEF"/>
    <w:rsid w:val="11683B24"/>
    <w:rsid w:val="11804676"/>
    <w:rsid w:val="13045DA8"/>
    <w:rsid w:val="1318202A"/>
    <w:rsid w:val="133C3906"/>
    <w:rsid w:val="137A2AC6"/>
    <w:rsid w:val="13810AA4"/>
    <w:rsid w:val="14BD0D6B"/>
    <w:rsid w:val="14DA77BA"/>
    <w:rsid w:val="157F1A49"/>
    <w:rsid w:val="15CDBDC8"/>
    <w:rsid w:val="160C22A3"/>
    <w:rsid w:val="1629143C"/>
    <w:rsid w:val="16670663"/>
    <w:rsid w:val="16742EED"/>
    <w:rsid w:val="16FD73B0"/>
    <w:rsid w:val="170F7D9C"/>
    <w:rsid w:val="173014EC"/>
    <w:rsid w:val="17BDADFB"/>
    <w:rsid w:val="17BEC69B"/>
    <w:rsid w:val="17C96C63"/>
    <w:rsid w:val="17D47B03"/>
    <w:rsid w:val="17DF1EA9"/>
    <w:rsid w:val="17FE183B"/>
    <w:rsid w:val="189B3D09"/>
    <w:rsid w:val="18AE1E77"/>
    <w:rsid w:val="19791A18"/>
    <w:rsid w:val="1B2FBC94"/>
    <w:rsid w:val="1B6FAA61"/>
    <w:rsid w:val="1BCFCF31"/>
    <w:rsid w:val="1BDA3BC5"/>
    <w:rsid w:val="1BEE6E5A"/>
    <w:rsid w:val="1BFF6D08"/>
    <w:rsid w:val="1CDEDA0E"/>
    <w:rsid w:val="1CF94428"/>
    <w:rsid w:val="1CFBAF00"/>
    <w:rsid w:val="1D3B6AA2"/>
    <w:rsid w:val="1D886D0B"/>
    <w:rsid w:val="1DBF436D"/>
    <w:rsid w:val="1DBF78BF"/>
    <w:rsid w:val="1DEFB4C7"/>
    <w:rsid w:val="1DEFBE59"/>
    <w:rsid w:val="1DFD7FE0"/>
    <w:rsid w:val="1DFFB513"/>
    <w:rsid w:val="1E3D321B"/>
    <w:rsid w:val="1E7D713A"/>
    <w:rsid w:val="1EF10CB1"/>
    <w:rsid w:val="1F0FEAA9"/>
    <w:rsid w:val="1FBF7375"/>
    <w:rsid w:val="1FEE6CB0"/>
    <w:rsid w:val="1FF9A8E2"/>
    <w:rsid w:val="1FFF2B4F"/>
    <w:rsid w:val="214A7396"/>
    <w:rsid w:val="218F4931"/>
    <w:rsid w:val="219E062F"/>
    <w:rsid w:val="21BFC071"/>
    <w:rsid w:val="233708A3"/>
    <w:rsid w:val="2577011E"/>
    <w:rsid w:val="25AD2A5D"/>
    <w:rsid w:val="25CE052F"/>
    <w:rsid w:val="261D50CD"/>
    <w:rsid w:val="264E3873"/>
    <w:rsid w:val="267A5045"/>
    <w:rsid w:val="26EE8D71"/>
    <w:rsid w:val="26F708A4"/>
    <w:rsid w:val="2732EE28"/>
    <w:rsid w:val="27370766"/>
    <w:rsid w:val="275F976D"/>
    <w:rsid w:val="2776915C"/>
    <w:rsid w:val="279351FA"/>
    <w:rsid w:val="27B96C35"/>
    <w:rsid w:val="27DB2ADC"/>
    <w:rsid w:val="27EFA6FC"/>
    <w:rsid w:val="27EFDAF0"/>
    <w:rsid w:val="29DFDC0C"/>
    <w:rsid w:val="29FF340B"/>
    <w:rsid w:val="2BA95CC2"/>
    <w:rsid w:val="2BFF6160"/>
    <w:rsid w:val="2CC7271F"/>
    <w:rsid w:val="2D7D3CE6"/>
    <w:rsid w:val="2D7F49AD"/>
    <w:rsid w:val="2DB7A765"/>
    <w:rsid w:val="2DF7D6CC"/>
    <w:rsid w:val="2E1F7190"/>
    <w:rsid w:val="2EA7AF2A"/>
    <w:rsid w:val="2EBBF7CD"/>
    <w:rsid w:val="2ECFDF22"/>
    <w:rsid w:val="2EEFE88B"/>
    <w:rsid w:val="2F6BFAC9"/>
    <w:rsid w:val="2FDDA261"/>
    <w:rsid w:val="2FF71CFE"/>
    <w:rsid w:val="2FFF07B0"/>
    <w:rsid w:val="30912494"/>
    <w:rsid w:val="30E3C6D8"/>
    <w:rsid w:val="30E65529"/>
    <w:rsid w:val="31B735F1"/>
    <w:rsid w:val="32ED3BF7"/>
    <w:rsid w:val="33FBCDCC"/>
    <w:rsid w:val="34B779C7"/>
    <w:rsid w:val="34CF5CEC"/>
    <w:rsid w:val="34E055A5"/>
    <w:rsid w:val="34E5346C"/>
    <w:rsid w:val="35BB8A04"/>
    <w:rsid w:val="35EF353B"/>
    <w:rsid w:val="3677BA75"/>
    <w:rsid w:val="36816193"/>
    <w:rsid w:val="36995ED7"/>
    <w:rsid w:val="36B6F232"/>
    <w:rsid w:val="36DEF824"/>
    <w:rsid w:val="36FF3DC3"/>
    <w:rsid w:val="3797248F"/>
    <w:rsid w:val="37EF5621"/>
    <w:rsid w:val="37EF74DB"/>
    <w:rsid w:val="37F76A7A"/>
    <w:rsid w:val="37FD7C30"/>
    <w:rsid w:val="37FFEC72"/>
    <w:rsid w:val="384113C3"/>
    <w:rsid w:val="385B2C3E"/>
    <w:rsid w:val="389FFD0E"/>
    <w:rsid w:val="392BF547"/>
    <w:rsid w:val="39776AA3"/>
    <w:rsid w:val="3979E4D6"/>
    <w:rsid w:val="397B4E51"/>
    <w:rsid w:val="398C4612"/>
    <w:rsid w:val="39A39EF4"/>
    <w:rsid w:val="39E621E1"/>
    <w:rsid w:val="39FBD2E6"/>
    <w:rsid w:val="3A7F6245"/>
    <w:rsid w:val="3AEB0E5A"/>
    <w:rsid w:val="3B3E9B37"/>
    <w:rsid w:val="3B4FA1AF"/>
    <w:rsid w:val="3B4FA5C0"/>
    <w:rsid w:val="3B531602"/>
    <w:rsid w:val="3B5F70F6"/>
    <w:rsid w:val="3B768DA0"/>
    <w:rsid w:val="3BA9F012"/>
    <w:rsid w:val="3BAB9182"/>
    <w:rsid w:val="3BEB16C6"/>
    <w:rsid w:val="3BF66F8C"/>
    <w:rsid w:val="3C9B2C06"/>
    <w:rsid w:val="3CB7C9C3"/>
    <w:rsid w:val="3CBDCC0E"/>
    <w:rsid w:val="3CCE1B4E"/>
    <w:rsid w:val="3CDFFDA9"/>
    <w:rsid w:val="3CEF8113"/>
    <w:rsid w:val="3D73248C"/>
    <w:rsid w:val="3D761FDF"/>
    <w:rsid w:val="3D7B60D0"/>
    <w:rsid w:val="3D7D5F47"/>
    <w:rsid w:val="3D7EE166"/>
    <w:rsid w:val="3D9758B0"/>
    <w:rsid w:val="3DB15A34"/>
    <w:rsid w:val="3DCBE874"/>
    <w:rsid w:val="3DD33287"/>
    <w:rsid w:val="3DD4574E"/>
    <w:rsid w:val="3DD72671"/>
    <w:rsid w:val="3DE77B80"/>
    <w:rsid w:val="3DEAC215"/>
    <w:rsid w:val="3DFD693B"/>
    <w:rsid w:val="3DFF2784"/>
    <w:rsid w:val="3DFFA6CB"/>
    <w:rsid w:val="3DFFDC4F"/>
    <w:rsid w:val="3E5DE891"/>
    <w:rsid w:val="3E7EC5D1"/>
    <w:rsid w:val="3EB74863"/>
    <w:rsid w:val="3ECA3916"/>
    <w:rsid w:val="3EF66B68"/>
    <w:rsid w:val="3EF79E87"/>
    <w:rsid w:val="3EFF4A97"/>
    <w:rsid w:val="3F3F3761"/>
    <w:rsid w:val="3F673003"/>
    <w:rsid w:val="3F7F1AE5"/>
    <w:rsid w:val="3F9D935E"/>
    <w:rsid w:val="3FAF2975"/>
    <w:rsid w:val="3FAFD343"/>
    <w:rsid w:val="3FBBA733"/>
    <w:rsid w:val="3FBEFB5C"/>
    <w:rsid w:val="3FBF537A"/>
    <w:rsid w:val="3FCF4807"/>
    <w:rsid w:val="3FCF8ACA"/>
    <w:rsid w:val="3FDF3ED9"/>
    <w:rsid w:val="3FDF676E"/>
    <w:rsid w:val="3FE6949F"/>
    <w:rsid w:val="3FEB6D5B"/>
    <w:rsid w:val="3FEF360D"/>
    <w:rsid w:val="3FEF7861"/>
    <w:rsid w:val="3FF1D5C2"/>
    <w:rsid w:val="3FF35356"/>
    <w:rsid w:val="3FFA0245"/>
    <w:rsid w:val="3FFEB1BF"/>
    <w:rsid w:val="3FFF7F4B"/>
    <w:rsid w:val="3FFF9FBB"/>
    <w:rsid w:val="3FFFA286"/>
    <w:rsid w:val="402E5086"/>
    <w:rsid w:val="407D4D03"/>
    <w:rsid w:val="41A63871"/>
    <w:rsid w:val="421A572A"/>
    <w:rsid w:val="421E2F4D"/>
    <w:rsid w:val="425B0D45"/>
    <w:rsid w:val="428D0BB2"/>
    <w:rsid w:val="43817E6A"/>
    <w:rsid w:val="43EF1321"/>
    <w:rsid w:val="44260386"/>
    <w:rsid w:val="44EED997"/>
    <w:rsid w:val="45605CF4"/>
    <w:rsid w:val="45FF0815"/>
    <w:rsid w:val="46725C94"/>
    <w:rsid w:val="468E1469"/>
    <w:rsid w:val="471F9705"/>
    <w:rsid w:val="47C47F74"/>
    <w:rsid w:val="47E7B1C1"/>
    <w:rsid w:val="47FD46E8"/>
    <w:rsid w:val="487C33A3"/>
    <w:rsid w:val="491F48CF"/>
    <w:rsid w:val="49693D13"/>
    <w:rsid w:val="4AEFB419"/>
    <w:rsid w:val="4B1AD193"/>
    <w:rsid w:val="4B7744CC"/>
    <w:rsid w:val="4BB7B22D"/>
    <w:rsid w:val="4CBB3BB3"/>
    <w:rsid w:val="4CE01F6D"/>
    <w:rsid w:val="4D5ED344"/>
    <w:rsid w:val="4D678F58"/>
    <w:rsid w:val="4D70739B"/>
    <w:rsid w:val="4DAD3831"/>
    <w:rsid w:val="4DADC526"/>
    <w:rsid w:val="4DC36B8D"/>
    <w:rsid w:val="4DEE7E83"/>
    <w:rsid w:val="4DEF6F6C"/>
    <w:rsid w:val="4DF3F31D"/>
    <w:rsid w:val="4E121292"/>
    <w:rsid w:val="4E7B459A"/>
    <w:rsid w:val="4E7DDDC5"/>
    <w:rsid w:val="4ECD10F0"/>
    <w:rsid w:val="4EFE1133"/>
    <w:rsid w:val="4EFFC69C"/>
    <w:rsid w:val="4F4AF30E"/>
    <w:rsid w:val="4F5E1EC6"/>
    <w:rsid w:val="4F7BF852"/>
    <w:rsid w:val="4FAE06CB"/>
    <w:rsid w:val="4FAE0BB5"/>
    <w:rsid w:val="4FAFB09B"/>
    <w:rsid w:val="4FF3C995"/>
    <w:rsid w:val="4FFA63C2"/>
    <w:rsid w:val="4FFE346F"/>
    <w:rsid w:val="4FFF02FB"/>
    <w:rsid w:val="4FFF26E9"/>
    <w:rsid w:val="4FFF9BD4"/>
    <w:rsid w:val="505A76D1"/>
    <w:rsid w:val="50F7734E"/>
    <w:rsid w:val="51ED42C6"/>
    <w:rsid w:val="51F7DAF4"/>
    <w:rsid w:val="525F4103"/>
    <w:rsid w:val="526667B8"/>
    <w:rsid w:val="52963FB5"/>
    <w:rsid w:val="52F842CA"/>
    <w:rsid w:val="53D90AE1"/>
    <w:rsid w:val="53F9CDE4"/>
    <w:rsid w:val="53FE449A"/>
    <w:rsid w:val="54695B81"/>
    <w:rsid w:val="55151BCF"/>
    <w:rsid w:val="553E3E88"/>
    <w:rsid w:val="55571013"/>
    <w:rsid w:val="557F59FD"/>
    <w:rsid w:val="558B2ED4"/>
    <w:rsid w:val="55BFC283"/>
    <w:rsid w:val="55EA6B3E"/>
    <w:rsid w:val="55FF7BDB"/>
    <w:rsid w:val="56BF8D58"/>
    <w:rsid w:val="56C73045"/>
    <w:rsid w:val="56CA4837"/>
    <w:rsid w:val="56FFA02C"/>
    <w:rsid w:val="56FFCDE5"/>
    <w:rsid w:val="57286503"/>
    <w:rsid w:val="5736C8ED"/>
    <w:rsid w:val="576511D6"/>
    <w:rsid w:val="577BB77E"/>
    <w:rsid w:val="57BE94E1"/>
    <w:rsid w:val="57ED2C79"/>
    <w:rsid w:val="58B007D9"/>
    <w:rsid w:val="59F7966E"/>
    <w:rsid w:val="5A4E5B07"/>
    <w:rsid w:val="5A7BFCFF"/>
    <w:rsid w:val="5ABE3825"/>
    <w:rsid w:val="5ACB49FE"/>
    <w:rsid w:val="5AEDE7B3"/>
    <w:rsid w:val="5AEF3882"/>
    <w:rsid w:val="5AFCBEAC"/>
    <w:rsid w:val="5B819832"/>
    <w:rsid w:val="5B93C95D"/>
    <w:rsid w:val="5BE79DD4"/>
    <w:rsid w:val="5BEEA8DA"/>
    <w:rsid w:val="5BEF6472"/>
    <w:rsid w:val="5BFF1A7D"/>
    <w:rsid w:val="5BFFF14A"/>
    <w:rsid w:val="5C436DFB"/>
    <w:rsid w:val="5C55325F"/>
    <w:rsid w:val="5CBB6E3E"/>
    <w:rsid w:val="5CDF44A6"/>
    <w:rsid w:val="5CE5754D"/>
    <w:rsid w:val="5D55822B"/>
    <w:rsid w:val="5D6857E9"/>
    <w:rsid w:val="5D7E3057"/>
    <w:rsid w:val="5D7EA7FE"/>
    <w:rsid w:val="5DB4F2CF"/>
    <w:rsid w:val="5DBF61DA"/>
    <w:rsid w:val="5DCD610C"/>
    <w:rsid w:val="5DEF040C"/>
    <w:rsid w:val="5DF65422"/>
    <w:rsid w:val="5DF7113D"/>
    <w:rsid w:val="5DF78162"/>
    <w:rsid w:val="5DFE3C2B"/>
    <w:rsid w:val="5E1D3FB1"/>
    <w:rsid w:val="5E2A73C0"/>
    <w:rsid w:val="5E793521"/>
    <w:rsid w:val="5E7F79EF"/>
    <w:rsid w:val="5E8866D7"/>
    <w:rsid w:val="5EB2016C"/>
    <w:rsid w:val="5EB35867"/>
    <w:rsid w:val="5EB7242C"/>
    <w:rsid w:val="5EDBF34C"/>
    <w:rsid w:val="5EDD4722"/>
    <w:rsid w:val="5EDE6DC2"/>
    <w:rsid w:val="5EE3C637"/>
    <w:rsid w:val="5EEFA5D6"/>
    <w:rsid w:val="5EF5284B"/>
    <w:rsid w:val="5EF76C7E"/>
    <w:rsid w:val="5EFBE8D9"/>
    <w:rsid w:val="5EFCC07A"/>
    <w:rsid w:val="5EFEF3ED"/>
    <w:rsid w:val="5EFF7BE9"/>
    <w:rsid w:val="5EFFEC86"/>
    <w:rsid w:val="5F1C91B9"/>
    <w:rsid w:val="5F309A2C"/>
    <w:rsid w:val="5F351A5D"/>
    <w:rsid w:val="5F370C2B"/>
    <w:rsid w:val="5F3B1E97"/>
    <w:rsid w:val="5F3D403C"/>
    <w:rsid w:val="5F5EBF92"/>
    <w:rsid w:val="5FB71965"/>
    <w:rsid w:val="5FBE7281"/>
    <w:rsid w:val="5FBF4356"/>
    <w:rsid w:val="5FBFB419"/>
    <w:rsid w:val="5FDB0928"/>
    <w:rsid w:val="5FEE4964"/>
    <w:rsid w:val="5FEEF60C"/>
    <w:rsid w:val="5FF54A80"/>
    <w:rsid w:val="5FF6FB1C"/>
    <w:rsid w:val="5FF7A055"/>
    <w:rsid w:val="5FF7A82D"/>
    <w:rsid w:val="5FF7A9D2"/>
    <w:rsid w:val="5FF9708D"/>
    <w:rsid w:val="5FFB6BAF"/>
    <w:rsid w:val="5FFDA3EE"/>
    <w:rsid w:val="5FFE17C6"/>
    <w:rsid w:val="5FFE8776"/>
    <w:rsid w:val="5FFF3A13"/>
    <w:rsid w:val="60F5C22B"/>
    <w:rsid w:val="617FDA56"/>
    <w:rsid w:val="61BFB8AF"/>
    <w:rsid w:val="633F6CC7"/>
    <w:rsid w:val="636F12CD"/>
    <w:rsid w:val="641F491E"/>
    <w:rsid w:val="648C0471"/>
    <w:rsid w:val="64E11B2C"/>
    <w:rsid w:val="656102B9"/>
    <w:rsid w:val="657C820C"/>
    <w:rsid w:val="659C79D3"/>
    <w:rsid w:val="65B31319"/>
    <w:rsid w:val="65DF9500"/>
    <w:rsid w:val="65E747BC"/>
    <w:rsid w:val="65F78D8C"/>
    <w:rsid w:val="65FFA1F8"/>
    <w:rsid w:val="65FFE939"/>
    <w:rsid w:val="6656B455"/>
    <w:rsid w:val="66BA8E63"/>
    <w:rsid w:val="672F3A41"/>
    <w:rsid w:val="675EF6D4"/>
    <w:rsid w:val="676F4304"/>
    <w:rsid w:val="67E61DB3"/>
    <w:rsid w:val="67EF3224"/>
    <w:rsid w:val="67FE857C"/>
    <w:rsid w:val="67FED58C"/>
    <w:rsid w:val="67FF003E"/>
    <w:rsid w:val="67FF4BB5"/>
    <w:rsid w:val="682FD221"/>
    <w:rsid w:val="684501D4"/>
    <w:rsid w:val="686E411D"/>
    <w:rsid w:val="694D23DB"/>
    <w:rsid w:val="69650304"/>
    <w:rsid w:val="6A275F63"/>
    <w:rsid w:val="6A7A31E5"/>
    <w:rsid w:val="6AAFED99"/>
    <w:rsid w:val="6AE9C1DA"/>
    <w:rsid w:val="6B436831"/>
    <w:rsid w:val="6B6E3DC4"/>
    <w:rsid w:val="6B7179B2"/>
    <w:rsid w:val="6B772FA9"/>
    <w:rsid w:val="6B77E2D5"/>
    <w:rsid w:val="6BD51137"/>
    <w:rsid w:val="6BD72141"/>
    <w:rsid w:val="6BDA6921"/>
    <w:rsid w:val="6BF7B077"/>
    <w:rsid w:val="6BF7EAFA"/>
    <w:rsid w:val="6BFD1422"/>
    <w:rsid w:val="6BFEE694"/>
    <w:rsid w:val="6BFF5620"/>
    <w:rsid w:val="6BFFD4BB"/>
    <w:rsid w:val="6C430D4D"/>
    <w:rsid w:val="6C642A0F"/>
    <w:rsid w:val="6C759F29"/>
    <w:rsid w:val="6CB076BA"/>
    <w:rsid w:val="6CF7BF9B"/>
    <w:rsid w:val="6CFD091F"/>
    <w:rsid w:val="6CFFC3B5"/>
    <w:rsid w:val="6CFFCCC8"/>
    <w:rsid w:val="6D1B9328"/>
    <w:rsid w:val="6D50169A"/>
    <w:rsid w:val="6D73CC41"/>
    <w:rsid w:val="6D77449D"/>
    <w:rsid w:val="6DA50DBC"/>
    <w:rsid w:val="6DB5F7F1"/>
    <w:rsid w:val="6DBA2ADD"/>
    <w:rsid w:val="6DDD1263"/>
    <w:rsid w:val="6DE56911"/>
    <w:rsid w:val="6DEF40CD"/>
    <w:rsid w:val="6DEF94B1"/>
    <w:rsid w:val="6DF8D4BD"/>
    <w:rsid w:val="6DF9AADB"/>
    <w:rsid w:val="6DFF0672"/>
    <w:rsid w:val="6EB32275"/>
    <w:rsid w:val="6EBFEB94"/>
    <w:rsid w:val="6EC677F3"/>
    <w:rsid w:val="6EF127BF"/>
    <w:rsid w:val="6EFD3EB9"/>
    <w:rsid w:val="6EFE8F88"/>
    <w:rsid w:val="6F3B17DD"/>
    <w:rsid w:val="6F53462D"/>
    <w:rsid w:val="6F71D401"/>
    <w:rsid w:val="6F7796A3"/>
    <w:rsid w:val="6F7F319E"/>
    <w:rsid w:val="6F8F7E74"/>
    <w:rsid w:val="6FABE17F"/>
    <w:rsid w:val="6FB4E98C"/>
    <w:rsid w:val="6FBB594C"/>
    <w:rsid w:val="6FBD54F7"/>
    <w:rsid w:val="6FBF6045"/>
    <w:rsid w:val="6FBFEC2E"/>
    <w:rsid w:val="6FCF7FB5"/>
    <w:rsid w:val="6FD902DD"/>
    <w:rsid w:val="6FDE7331"/>
    <w:rsid w:val="6FE5BAF3"/>
    <w:rsid w:val="6FE7C91E"/>
    <w:rsid w:val="6FEED370"/>
    <w:rsid w:val="6FF716C9"/>
    <w:rsid w:val="6FF71E06"/>
    <w:rsid w:val="6FF7F514"/>
    <w:rsid w:val="6FFC15B4"/>
    <w:rsid w:val="6FFD0C51"/>
    <w:rsid w:val="6FFD4120"/>
    <w:rsid w:val="6FFE0FFC"/>
    <w:rsid w:val="6FFE3253"/>
    <w:rsid w:val="6FFF1619"/>
    <w:rsid w:val="704666B3"/>
    <w:rsid w:val="7076285A"/>
    <w:rsid w:val="70DE4677"/>
    <w:rsid w:val="70F4632C"/>
    <w:rsid w:val="71AD6475"/>
    <w:rsid w:val="71C542E2"/>
    <w:rsid w:val="71FB6C78"/>
    <w:rsid w:val="71FE8064"/>
    <w:rsid w:val="721FCB48"/>
    <w:rsid w:val="724E022D"/>
    <w:rsid w:val="727BDBB6"/>
    <w:rsid w:val="72874010"/>
    <w:rsid w:val="72CF0DAC"/>
    <w:rsid w:val="72F2C217"/>
    <w:rsid w:val="72FB5973"/>
    <w:rsid w:val="737BDE1A"/>
    <w:rsid w:val="739EBC35"/>
    <w:rsid w:val="73AFD98D"/>
    <w:rsid w:val="73BB6BF6"/>
    <w:rsid w:val="73BF8F93"/>
    <w:rsid w:val="73BFDBC7"/>
    <w:rsid w:val="73DF29A0"/>
    <w:rsid w:val="73E55634"/>
    <w:rsid w:val="73E99824"/>
    <w:rsid w:val="73EFF69A"/>
    <w:rsid w:val="73F32AB8"/>
    <w:rsid w:val="73FF1F09"/>
    <w:rsid w:val="73FFA5BE"/>
    <w:rsid w:val="741811A2"/>
    <w:rsid w:val="741B741F"/>
    <w:rsid w:val="744EA2DA"/>
    <w:rsid w:val="745B3E5A"/>
    <w:rsid w:val="74EDFC71"/>
    <w:rsid w:val="751A2D35"/>
    <w:rsid w:val="7562642D"/>
    <w:rsid w:val="7567D346"/>
    <w:rsid w:val="758C76DF"/>
    <w:rsid w:val="75B2D8F4"/>
    <w:rsid w:val="75CB71F4"/>
    <w:rsid w:val="75CB9CA2"/>
    <w:rsid w:val="75CF66C2"/>
    <w:rsid w:val="75DFCDD0"/>
    <w:rsid w:val="75E7EC3E"/>
    <w:rsid w:val="75ED4C81"/>
    <w:rsid w:val="75EE106A"/>
    <w:rsid w:val="75FB87B9"/>
    <w:rsid w:val="75FD87F9"/>
    <w:rsid w:val="75FE714E"/>
    <w:rsid w:val="76B7A01E"/>
    <w:rsid w:val="76BF6434"/>
    <w:rsid w:val="76C41C51"/>
    <w:rsid w:val="76D73466"/>
    <w:rsid w:val="76ED63DC"/>
    <w:rsid w:val="76EDFEA8"/>
    <w:rsid w:val="76EFA86B"/>
    <w:rsid w:val="76FBE0A6"/>
    <w:rsid w:val="76FEB519"/>
    <w:rsid w:val="77120D81"/>
    <w:rsid w:val="773B6E94"/>
    <w:rsid w:val="773F416B"/>
    <w:rsid w:val="773FC2B4"/>
    <w:rsid w:val="774F1A39"/>
    <w:rsid w:val="776573F9"/>
    <w:rsid w:val="7767697B"/>
    <w:rsid w:val="7774FCA3"/>
    <w:rsid w:val="777E1C13"/>
    <w:rsid w:val="777E241C"/>
    <w:rsid w:val="777FAAE5"/>
    <w:rsid w:val="777FE2C2"/>
    <w:rsid w:val="77BEFEDF"/>
    <w:rsid w:val="77BF0C56"/>
    <w:rsid w:val="77BF2C6C"/>
    <w:rsid w:val="77BF4469"/>
    <w:rsid w:val="77BF6CA4"/>
    <w:rsid w:val="77D3B109"/>
    <w:rsid w:val="77DA9E1C"/>
    <w:rsid w:val="77DF0902"/>
    <w:rsid w:val="77DF7320"/>
    <w:rsid w:val="77E7A053"/>
    <w:rsid w:val="77EBC94C"/>
    <w:rsid w:val="77EC7166"/>
    <w:rsid w:val="77EF434A"/>
    <w:rsid w:val="77F3F99A"/>
    <w:rsid w:val="77F7B6A1"/>
    <w:rsid w:val="77FB3794"/>
    <w:rsid w:val="77FB69F2"/>
    <w:rsid w:val="77FBA462"/>
    <w:rsid w:val="77FC1973"/>
    <w:rsid w:val="77FF2E5D"/>
    <w:rsid w:val="77FF6BD3"/>
    <w:rsid w:val="77FF6C17"/>
    <w:rsid w:val="77FF73FE"/>
    <w:rsid w:val="77FF8DE4"/>
    <w:rsid w:val="77FF96DC"/>
    <w:rsid w:val="77FF98D9"/>
    <w:rsid w:val="77FFD07D"/>
    <w:rsid w:val="780E2ADE"/>
    <w:rsid w:val="783FA804"/>
    <w:rsid w:val="78DB50B6"/>
    <w:rsid w:val="78E751EF"/>
    <w:rsid w:val="795A4F5B"/>
    <w:rsid w:val="797F5239"/>
    <w:rsid w:val="79AF4544"/>
    <w:rsid w:val="79B78C19"/>
    <w:rsid w:val="79DD1813"/>
    <w:rsid w:val="79FF7B0D"/>
    <w:rsid w:val="79FFCB07"/>
    <w:rsid w:val="7A4A60C9"/>
    <w:rsid w:val="7A71A7FD"/>
    <w:rsid w:val="7A97FF58"/>
    <w:rsid w:val="7ABC998C"/>
    <w:rsid w:val="7ADC9D1C"/>
    <w:rsid w:val="7AF30C9D"/>
    <w:rsid w:val="7AF70606"/>
    <w:rsid w:val="7AF7D67B"/>
    <w:rsid w:val="7AFBDED6"/>
    <w:rsid w:val="7AFE0FCA"/>
    <w:rsid w:val="7B4307D3"/>
    <w:rsid w:val="7B4F838D"/>
    <w:rsid w:val="7B5D00BF"/>
    <w:rsid w:val="7B6BB10C"/>
    <w:rsid w:val="7B6F5563"/>
    <w:rsid w:val="7B77A0CF"/>
    <w:rsid w:val="7B77F2FD"/>
    <w:rsid w:val="7B77F8E5"/>
    <w:rsid w:val="7B7E6EAB"/>
    <w:rsid w:val="7B7ED2FE"/>
    <w:rsid w:val="7B7FB3C3"/>
    <w:rsid w:val="7B7FE5AC"/>
    <w:rsid w:val="7B9A2410"/>
    <w:rsid w:val="7B9FA5D8"/>
    <w:rsid w:val="7BC7C2B2"/>
    <w:rsid w:val="7BCDC113"/>
    <w:rsid w:val="7BD298ED"/>
    <w:rsid w:val="7BD32125"/>
    <w:rsid w:val="7BD587A0"/>
    <w:rsid w:val="7BDB155B"/>
    <w:rsid w:val="7BDDE200"/>
    <w:rsid w:val="7BDFB5C3"/>
    <w:rsid w:val="7BE74C94"/>
    <w:rsid w:val="7BE8B7E0"/>
    <w:rsid w:val="7BEFBC60"/>
    <w:rsid w:val="7BF35C83"/>
    <w:rsid w:val="7BF41C86"/>
    <w:rsid w:val="7BF5878C"/>
    <w:rsid w:val="7BF5E51E"/>
    <w:rsid w:val="7BF74946"/>
    <w:rsid w:val="7BF85915"/>
    <w:rsid w:val="7BFA1327"/>
    <w:rsid w:val="7BFD6EB5"/>
    <w:rsid w:val="7BFEB61B"/>
    <w:rsid w:val="7BFFE1E3"/>
    <w:rsid w:val="7C3DCC41"/>
    <w:rsid w:val="7C6E6434"/>
    <w:rsid w:val="7C6F4849"/>
    <w:rsid w:val="7CA144D9"/>
    <w:rsid w:val="7CE37221"/>
    <w:rsid w:val="7CE7B5D6"/>
    <w:rsid w:val="7CF37388"/>
    <w:rsid w:val="7CFA7567"/>
    <w:rsid w:val="7CFAD471"/>
    <w:rsid w:val="7CFC9292"/>
    <w:rsid w:val="7CFCE577"/>
    <w:rsid w:val="7CFE1B60"/>
    <w:rsid w:val="7D2FD223"/>
    <w:rsid w:val="7D5D42EC"/>
    <w:rsid w:val="7D696218"/>
    <w:rsid w:val="7D6E0348"/>
    <w:rsid w:val="7D732DDD"/>
    <w:rsid w:val="7D7E1CC4"/>
    <w:rsid w:val="7D7F35B0"/>
    <w:rsid w:val="7D7F7B08"/>
    <w:rsid w:val="7D8D9123"/>
    <w:rsid w:val="7D9730E6"/>
    <w:rsid w:val="7D97BD5E"/>
    <w:rsid w:val="7DA12917"/>
    <w:rsid w:val="7DA55C93"/>
    <w:rsid w:val="7DAF073E"/>
    <w:rsid w:val="7DB7C70A"/>
    <w:rsid w:val="7DBA4278"/>
    <w:rsid w:val="7DBF991A"/>
    <w:rsid w:val="7DC6D82A"/>
    <w:rsid w:val="7DDB197B"/>
    <w:rsid w:val="7DDB3FF1"/>
    <w:rsid w:val="7DDDE4C2"/>
    <w:rsid w:val="7DDDEA04"/>
    <w:rsid w:val="7DDF2B9D"/>
    <w:rsid w:val="7DDF54C6"/>
    <w:rsid w:val="7DDFBB82"/>
    <w:rsid w:val="7DEB3466"/>
    <w:rsid w:val="7DED8DF7"/>
    <w:rsid w:val="7DEEADF7"/>
    <w:rsid w:val="7DEF083D"/>
    <w:rsid w:val="7DEF1F47"/>
    <w:rsid w:val="7DEFC657"/>
    <w:rsid w:val="7DF6689E"/>
    <w:rsid w:val="7DF7FC2B"/>
    <w:rsid w:val="7DFBE697"/>
    <w:rsid w:val="7DFD5F34"/>
    <w:rsid w:val="7DFDDCC0"/>
    <w:rsid w:val="7DFE2F0F"/>
    <w:rsid w:val="7E2B1B1F"/>
    <w:rsid w:val="7E4435A0"/>
    <w:rsid w:val="7E47CD03"/>
    <w:rsid w:val="7E5FC005"/>
    <w:rsid w:val="7E6B99FE"/>
    <w:rsid w:val="7E76C969"/>
    <w:rsid w:val="7E7AE341"/>
    <w:rsid w:val="7E7E0D0B"/>
    <w:rsid w:val="7E7FE21D"/>
    <w:rsid w:val="7EAFF8B5"/>
    <w:rsid w:val="7EB2B236"/>
    <w:rsid w:val="7EB7B603"/>
    <w:rsid w:val="7EBC11EA"/>
    <w:rsid w:val="7EBE5878"/>
    <w:rsid w:val="7EBF58A0"/>
    <w:rsid w:val="7ED9541D"/>
    <w:rsid w:val="7EDD1C07"/>
    <w:rsid w:val="7EDF0B57"/>
    <w:rsid w:val="7EDF7E6F"/>
    <w:rsid w:val="7EE32EEC"/>
    <w:rsid w:val="7EE71208"/>
    <w:rsid w:val="7EE9456A"/>
    <w:rsid w:val="7EEEA49A"/>
    <w:rsid w:val="7EEEBE07"/>
    <w:rsid w:val="7EF44AC5"/>
    <w:rsid w:val="7EF51FA5"/>
    <w:rsid w:val="7EF7424F"/>
    <w:rsid w:val="7EF99FF1"/>
    <w:rsid w:val="7EFA5A26"/>
    <w:rsid w:val="7EFC857F"/>
    <w:rsid w:val="7EFD26EF"/>
    <w:rsid w:val="7EFD6A88"/>
    <w:rsid w:val="7EFDCAA9"/>
    <w:rsid w:val="7EFF019F"/>
    <w:rsid w:val="7EFF50EB"/>
    <w:rsid w:val="7EFF5ED2"/>
    <w:rsid w:val="7EFFE722"/>
    <w:rsid w:val="7EFFF169"/>
    <w:rsid w:val="7F1F3849"/>
    <w:rsid w:val="7F37422C"/>
    <w:rsid w:val="7F37B6C6"/>
    <w:rsid w:val="7F4D3341"/>
    <w:rsid w:val="7F4FE693"/>
    <w:rsid w:val="7F52B9EE"/>
    <w:rsid w:val="7F53B1E3"/>
    <w:rsid w:val="7F570B34"/>
    <w:rsid w:val="7F5E35AF"/>
    <w:rsid w:val="7F5E413C"/>
    <w:rsid w:val="7F6CB838"/>
    <w:rsid w:val="7F6E4D68"/>
    <w:rsid w:val="7F795B47"/>
    <w:rsid w:val="7F7EFBC9"/>
    <w:rsid w:val="7F7F4C63"/>
    <w:rsid w:val="7F7F88FE"/>
    <w:rsid w:val="7F9450B2"/>
    <w:rsid w:val="7F96E7FE"/>
    <w:rsid w:val="7F9B6B55"/>
    <w:rsid w:val="7F9E9DD4"/>
    <w:rsid w:val="7FA38CEE"/>
    <w:rsid w:val="7FA7C4F9"/>
    <w:rsid w:val="7FA932EE"/>
    <w:rsid w:val="7FABC639"/>
    <w:rsid w:val="7FAD9DD0"/>
    <w:rsid w:val="7FAF17A5"/>
    <w:rsid w:val="7FAF8AFF"/>
    <w:rsid w:val="7FB2CBDF"/>
    <w:rsid w:val="7FB30E7D"/>
    <w:rsid w:val="7FB79512"/>
    <w:rsid w:val="7FB7A4CB"/>
    <w:rsid w:val="7FBC335E"/>
    <w:rsid w:val="7FBC5AFD"/>
    <w:rsid w:val="7FBD1317"/>
    <w:rsid w:val="7FBDC990"/>
    <w:rsid w:val="7FBE3A7A"/>
    <w:rsid w:val="7FBEDAF6"/>
    <w:rsid w:val="7FBF37F2"/>
    <w:rsid w:val="7FBF6F94"/>
    <w:rsid w:val="7FBF790E"/>
    <w:rsid w:val="7FBF7DC2"/>
    <w:rsid w:val="7FBF8B21"/>
    <w:rsid w:val="7FBFA282"/>
    <w:rsid w:val="7FBFEB69"/>
    <w:rsid w:val="7FC0448B"/>
    <w:rsid w:val="7FC9169B"/>
    <w:rsid w:val="7FCBE30D"/>
    <w:rsid w:val="7FD713CC"/>
    <w:rsid w:val="7FD9127F"/>
    <w:rsid w:val="7FDAC39C"/>
    <w:rsid w:val="7FDB945F"/>
    <w:rsid w:val="7FDCADA8"/>
    <w:rsid w:val="7FDE127E"/>
    <w:rsid w:val="7FDE2061"/>
    <w:rsid w:val="7FDE354E"/>
    <w:rsid w:val="7FDF40D7"/>
    <w:rsid w:val="7FDF5DF8"/>
    <w:rsid w:val="7FDF9342"/>
    <w:rsid w:val="7FE77CC4"/>
    <w:rsid w:val="7FEB85CC"/>
    <w:rsid w:val="7FEF1DEB"/>
    <w:rsid w:val="7FEFBBEE"/>
    <w:rsid w:val="7FEFF6AD"/>
    <w:rsid w:val="7FF453DC"/>
    <w:rsid w:val="7FF53FC6"/>
    <w:rsid w:val="7FF701E9"/>
    <w:rsid w:val="7FF72FF4"/>
    <w:rsid w:val="7FF797D6"/>
    <w:rsid w:val="7FF88170"/>
    <w:rsid w:val="7FFB0636"/>
    <w:rsid w:val="7FFB51BE"/>
    <w:rsid w:val="7FFB6A91"/>
    <w:rsid w:val="7FFBA9B5"/>
    <w:rsid w:val="7FFBC450"/>
    <w:rsid w:val="7FFCB6FC"/>
    <w:rsid w:val="7FFD1AFA"/>
    <w:rsid w:val="7FFD320A"/>
    <w:rsid w:val="7FFF0A39"/>
    <w:rsid w:val="7FFF18DF"/>
    <w:rsid w:val="7FFFA237"/>
    <w:rsid w:val="7FFFA720"/>
    <w:rsid w:val="7FFFA8F0"/>
    <w:rsid w:val="7FFFB070"/>
    <w:rsid w:val="7FFFB9C6"/>
    <w:rsid w:val="7FFFCEFB"/>
    <w:rsid w:val="81F18177"/>
    <w:rsid w:val="84F3EEA4"/>
    <w:rsid w:val="857DCA8C"/>
    <w:rsid w:val="873D52FC"/>
    <w:rsid w:val="8B9F340F"/>
    <w:rsid w:val="8E6BD07B"/>
    <w:rsid w:val="8F7B6424"/>
    <w:rsid w:val="8FBF9EA4"/>
    <w:rsid w:val="8FFD0918"/>
    <w:rsid w:val="93BB7998"/>
    <w:rsid w:val="93FE2EBD"/>
    <w:rsid w:val="957D9633"/>
    <w:rsid w:val="95FFAC86"/>
    <w:rsid w:val="96DB80FD"/>
    <w:rsid w:val="96DD27EB"/>
    <w:rsid w:val="97B5A6D1"/>
    <w:rsid w:val="97D863FB"/>
    <w:rsid w:val="99D77A41"/>
    <w:rsid w:val="9AFAD547"/>
    <w:rsid w:val="9B6D7D98"/>
    <w:rsid w:val="9B9FF190"/>
    <w:rsid w:val="9BE7DD3E"/>
    <w:rsid w:val="9BFE5D1B"/>
    <w:rsid w:val="9C2D62C5"/>
    <w:rsid w:val="9CDF4B66"/>
    <w:rsid w:val="9CF9F38E"/>
    <w:rsid w:val="9D77CC9D"/>
    <w:rsid w:val="9DFFE4C5"/>
    <w:rsid w:val="9E3F2FA2"/>
    <w:rsid w:val="9EDB644C"/>
    <w:rsid w:val="9EE22732"/>
    <w:rsid w:val="9EEB06CE"/>
    <w:rsid w:val="9F1BCEB1"/>
    <w:rsid w:val="9F5F0D2C"/>
    <w:rsid w:val="9F7E2BD0"/>
    <w:rsid w:val="9FBB84DA"/>
    <w:rsid w:val="9FBF2280"/>
    <w:rsid w:val="9FBF7360"/>
    <w:rsid w:val="9FD3D22D"/>
    <w:rsid w:val="9FD50814"/>
    <w:rsid w:val="9FDF2FDD"/>
    <w:rsid w:val="9FEF6EA6"/>
    <w:rsid w:val="9FFEBA99"/>
    <w:rsid w:val="9FFF3D56"/>
    <w:rsid w:val="9FFF4D92"/>
    <w:rsid w:val="A3E70971"/>
    <w:rsid w:val="A5EEFEF4"/>
    <w:rsid w:val="A5F8D4B3"/>
    <w:rsid w:val="A67FA771"/>
    <w:rsid w:val="A73D0DD5"/>
    <w:rsid w:val="A77A9539"/>
    <w:rsid w:val="A7DEBC16"/>
    <w:rsid w:val="A9538121"/>
    <w:rsid w:val="A99B7769"/>
    <w:rsid w:val="AAF784E8"/>
    <w:rsid w:val="AB9E912C"/>
    <w:rsid w:val="ABAF73A5"/>
    <w:rsid w:val="ABF7CADC"/>
    <w:rsid w:val="ACFA3339"/>
    <w:rsid w:val="ADAFDFC9"/>
    <w:rsid w:val="ADCFA514"/>
    <w:rsid w:val="AE75E8B2"/>
    <w:rsid w:val="AE7F4CDB"/>
    <w:rsid w:val="AEFBEDE2"/>
    <w:rsid w:val="AF772FC8"/>
    <w:rsid w:val="AF7FC906"/>
    <w:rsid w:val="AFCBAA9A"/>
    <w:rsid w:val="AFD72315"/>
    <w:rsid w:val="AFF67AA9"/>
    <w:rsid w:val="AFF7527D"/>
    <w:rsid w:val="AFFFA1A6"/>
    <w:rsid w:val="B0FFBD90"/>
    <w:rsid w:val="B17B764D"/>
    <w:rsid w:val="B37FD117"/>
    <w:rsid w:val="B3DCEFF3"/>
    <w:rsid w:val="B3F763FD"/>
    <w:rsid w:val="B3FB50B9"/>
    <w:rsid w:val="B675F493"/>
    <w:rsid w:val="B6D5EC63"/>
    <w:rsid w:val="B6DD05AB"/>
    <w:rsid w:val="B6EACFCF"/>
    <w:rsid w:val="B6EB3214"/>
    <w:rsid w:val="B6EC7BC0"/>
    <w:rsid w:val="B777AE16"/>
    <w:rsid w:val="B77DCC5C"/>
    <w:rsid w:val="B77ED830"/>
    <w:rsid w:val="B7BB8F72"/>
    <w:rsid w:val="B7DF047F"/>
    <w:rsid w:val="B7DF5616"/>
    <w:rsid w:val="B7DF7816"/>
    <w:rsid w:val="B7FA3634"/>
    <w:rsid w:val="B991A51D"/>
    <w:rsid w:val="B9FF6ADC"/>
    <w:rsid w:val="BA7B7903"/>
    <w:rsid w:val="BABFFD34"/>
    <w:rsid w:val="BB0EB864"/>
    <w:rsid w:val="BB2E45B1"/>
    <w:rsid w:val="BBAFBAB2"/>
    <w:rsid w:val="BBCECFDB"/>
    <w:rsid w:val="BBE9D1DD"/>
    <w:rsid w:val="BBF32364"/>
    <w:rsid w:val="BBFE5245"/>
    <w:rsid w:val="BC5D25E6"/>
    <w:rsid w:val="BC7FDC1C"/>
    <w:rsid w:val="BCB73D11"/>
    <w:rsid w:val="BD1F5AE9"/>
    <w:rsid w:val="BD57B2B1"/>
    <w:rsid w:val="BD6F761E"/>
    <w:rsid w:val="BD772A0D"/>
    <w:rsid w:val="BD7F4132"/>
    <w:rsid w:val="BDB38651"/>
    <w:rsid w:val="BDBE6A84"/>
    <w:rsid w:val="BDCF7ADE"/>
    <w:rsid w:val="BDEE245C"/>
    <w:rsid w:val="BDEF9152"/>
    <w:rsid w:val="BE3D4E97"/>
    <w:rsid w:val="BE7F74EF"/>
    <w:rsid w:val="BECEDF43"/>
    <w:rsid w:val="BEDE61D9"/>
    <w:rsid w:val="BEECC0F3"/>
    <w:rsid w:val="BEEF69F5"/>
    <w:rsid w:val="BEFE7628"/>
    <w:rsid w:val="BF038994"/>
    <w:rsid w:val="BF17D58A"/>
    <w:rsid w:val="BF5FC9D0"/>
    <w:rsid w:val="BF7A7CE8"/>
    <w:rsid w:val="BF7E5043"/>
    <w:rsid w:val="BFADC2A3"/>
    <w:rsid w:val="BFB761DD"/>
    <w:rsid w:val="BFBF242B"/>
    <w:rsid w:val="BFBFA5EB"/>
    <w:rsid w:val="BFBFE6FC"/>
    <w:rsid w:val="BFCFBB5F"/>
    <w:rsid w:val="BFDA8798"/>
    <w:rsid w:val="BFDB645D"/>
    <w:rsid w:val="BFDDF50E"/>
    <w:rsid w:val="BFDE6F09"/>
    <w:rsid w:val="BFDFAA72"/>
    <w:rsid w:val="BFE2B905"/>
    <w:rsid w:val="BFF26A67"/>
    <w:rsid w:val="BFF7C717"/>
    <w:rsid w:val="BFFF97C2"/>
    <w:rsid w:val="BFFFFA17"/>
    <w:rsid w:val="C3ED5CDF"/>
    <w:rsid w:val="C5AC0AC5"/>
    <w:rsid w:val="C6473A2D"/>
    <w:rsid w:val="C7FB8E09"/>
    <w:rsid w:val="C8FB5839"/>
    <w:rsid w:val="CBFE3D58"/>
    <w:rsid w:val="CBFEFB0C"/>
    <w:rsid w:val="CC8BBDE1"/>
    <w:rsid w:val="CCEC791A"/>
    <w:rsid w:val="CDED10BA"/>
    <w:rsid w:val="CDF16012"/>
    <w:rsid w:val="CDFFB12E"/>
    <w:rsid w:val="CEAD47A0"/>
    <w:rsid w:val="CEEB128B"/>
    <w:rsid w:val="CF3FC383"/>
    <w:rsid w:val="CF57DF9C"/>
    <w:rsid w:val="CF6F24A8"/>
    <w:rsid w:val="CF78EB40"/>
    <w:rsid w:val="CF7C7D31"/>
    <w:rsid w:val="CF7FFFB3"/>
    <w:rsid w:val="CFAF0E91"/>
    <w:rsid w:val="CFBF1DE7"/>
    <w:rsid w:val="CFE7C8E0"/>
    <w:rsid w:val="CFF810C0"/>
    <w:rsid w:val="CFFD656E"/>
    <w:rsid w:val="CFFDF045"/>
    <w:rsid w:val="D1BDD2F4"/>
    <w:rsid w:val="D1EAE632"/>
    <w:rsid w:val="D2F3BC68"/>
    <w:rsid w:val="D2FBD627"/>
    <w:rsid w:val="D3E8E1CA"/>
    <w:rsid w:val="D5BDA60A"/>
    <w:rsid w:val="D5F3AF56"/>
    <w:rsid w:val="D5FA850E"/>
    <w:rsid w:val="D6C66085"/>
    <w:rsid w:val="D769096E"/>
    <w:rsid w:val="D77FEC1C"/>
    <w:rsid w:val="D7E72685"/>
    <w:rsid w:val="D7EF669A"/>
    <w:rsid w:val="D7F7DD0A"/>
    <w:rsid w:val="D8722C93"/>
    <w:rsid w:val="D8B34ED6"/>
    <w:rsid w:val="D8BDF9FC"/>
    <w:rsid w:val="D8DE3529"/>
    <w:rsid w:val="D9FFB7BB"/>
    <w:rsid w:val="DA595172"/>
    <w:rsid w:val="DAB92CC4"/>
    <w:rsid w:val="DACCC658"/>
    <w:rsid w:val="DAEE91DF"/>
    <w:rsid w:val="DAEF8942"/>
    <w:rsid w:val="DAFFEF29"/>
    <w:rsid w:val="DB379D99"/>
    <w:rsid w:val="DB3B70C9"/>
    <w:rsid w:val="DB3BF12B"/>
    <w:rsid w:val="DB67C22D"/>
    <w:rsid w:val="DB7B533E"/>
    <w:rsid w:val="DBA34696"/>
    <w:rsid w:val="DBF8E8B2"/>
    <w:rsid w:val="DBFF2ED8"/>
    <w:rsid w:val="DD7F6851"/>
    <w:rsid w:val="DD9FD5B5"/>
    <w:rsid w:val="DDB4B099"/>
    <w:rsid w:val="DDDFBEB5"/>
    <w:rsid w:val="DDEF68B4"/>
    <w:rsid w:val="DDF160E4"/>
    <w:rsid w:val="DDFF6C41"/>
    <w:rsid w:val="DDFFC5DE"/>
    <w:rsid w:val="DE1F4019"/>
    <w:rsid w:val="DE7927F5"/>
    <w:rsid w:val="DEBB921B"/>
    <w:rsid w:val="DED575A0"/>
    <w:rsid w:val="DEDAB6FD"/>
    <w:rsid w:val="DEECBB00"/>
    <w:rsid w:val="DEF35BCA"/>
    <w:rsid w:val="DEFD52A1"/>
    <w:rsid w:val="DEFF7FDF"/>
    <w:rsid w:val="DF2F3FF3"/>
    <w:rsid w:val="DF340EEB"/>
    <w:rsid w:val="DF3F99F6"/>
    <w:rsid w:val="DF5FE7E6"/>
    <w:rsid w:val="DF7BA1A6"/>
    <w:rsid w:val="DF7FCA58"/>
    <w:rsid w:val="DF7FCB2E"/>
    <w:rsid w:val="DFAFEBC2"/>
    <w:rsid w:val="DFBD1562"/>
    <w:rsid w:val="DFCF157D"/>
    <w:rsid w:val="DFD7016D"/>
    <w:rsid w:val="DFD76A57"/>
    <w:rsid w:val="DFE6E889"/>
    <w:rsid w:val="DFED50A2"/>
    <w:rsid w:val="DFEEABDF"/>
    <w:rsid w:val="DFEECAEF"/>
    <w:rsid w:val="DFEF1307"/>
    <w:rsid w:val="DFEF2AAB"/>
    <w:rsid w:val="DFF4F857"/>
    <w:rsid w:val="DFF5AD9A"/>
    <w:rsid w:val="DFF7A57B"/>
    <w:rsid w:val="DFFF8F42"/>
    <w:rsid w:val="DFFFBA83"/>
    <w:rsid w:val="DFFFBDC4"/>
    <w:rsid w:val="DFFFC6EA"/>
    <w:rsid w:val="E1FE1A99"/>
    <w:rsid w:val="E2D587DA"/>
    <w:rsid w:val="E2F9C95C"/>
    <w:rsid w:val="E31F42E7"/>
    <w:rsid w:val="E32E06BB"/>
    <w:rsid w:val="E387722D"/>
    <w:rsid w:val="E3BE5050"/>
    <w:rsid w:val="E3BFA3CA"/>
    <w:rsid w:val="E3D74D1A"/>
    <w:rsid w:val="E3FBB6E8"/>
    <w:rsid w:val="E3FDD47D"/>
    <w:rsid w:val="E4FEF684"/>
    <w:rsid w:val="E57FCC86"/>
    <w:rsid w:val="E59C0E56"/>
    <w:rsid w:val="E5E96D15"/>
    <w:rsid w:val="E5FFAD4B"/>
    <w:rsid w:val="E74B0F27"/>
    <w:rsid w:val="E75E182F"/>
    <w:rsid w:val="E79ACF5B"/>
    <w:rsid w:val="E7AA5B5A"/>
    <w:rsid w:val="E7B06A65"/>
    <w:rsid w:val="E7BE4A86"/>
    <w:rsid w:val="E7BF0E98"/>
    <w:rsid w:val="E7FDAF71"/>
    <w:rsid w:val="E7FF9243"/>
    <w:rsid w:val="E7FFFB1C"/>
    <w:rsid w:val="E9C71B84"/>
    <w:rsid w:val="E9FF6880"/>
    <w:rsid w:val="EAEEC950"/>
    <w:rsid w:val="EB37AD10"/>
    <w:rsid w:val="EB7B27EF"/>
    <w:rsid w:val="EBCAF011"/>
    <w:rsid w:val="EBCF2E2D"/>
    <w:rsid w:val="EBF36459"/>
    <w:rsid w:val="EBF796B7"/>
    <w:rsid w:val="EBF7F591"/>
    <w:rsid w:val="EBFC93BB"/>
    <w:rsid w:val="EBFFC98B"/>
    <w:rsid w:val="EC3F55C1"/>
    <w:rsid w:val="EC6B5CA0"/>
    <w:rsid w:val="ECADA1C7"/>
    <w:rsid w:val="ECBF9672"/>
    <w:rsid w:val="ECCFD51D"/>
    <w:rsid w:val="ECDF8682"/>
    <w:rsid w:val="ECEDEB38"/>
    <w:rsid w:val="ED7296D8"/>
    <w:rsid w:val="EDEBF818"/>
    <w:rsid w:val="EDEC4F9E"/>
    <w:rsid w:val="EDED0EC0"/>
    <w:rsid w:val="EDF73454"/>
    <w:rsid w:val="EDFD0151"/>
    <w:rsid w:val="EDFE0E96"/>
    <w:rsid w:val="EDFF3F2D"/>
    <w:rsid w:val="EE5F0BD7"/>
    <w:rsid w:val="EE73EBDF"/>
    <w:rsid w:val="EE7759B6"/>
    <w:rsid w:val="EE7D49C7"/>
    <w:rsid w:val="EE7D761B"/>
    <w:rsid w:val="EE9F6710"/>
    <w:rsid w:val="EEBD69DE"/>
    <w:rsid w:val="EEEA9F01"/>
    <w:rsid w:val="EEED24C7"/>
    <w:rsid w:val="EEEEBEA1"/>
    <w:rsid w:val="EEEF313C"/>
    <w:rsid w:val="EEF344FE"/>
    <w:rsid w:val="EEF59491"/>
    <w:rsid w:val="EEFBBDF6"/>
    <w:rsid w:val="EEFBC13C"/>
    <w:rsid w:val="EF3BDF7C"/>
    <w:rsid w:val="EF3E0208"/>
    <w:rsid w:val="EF5F87D5"/>
    <w:rsid w:val="EF5FFFC3"/>
    <w:rsid w:val="EF7BC6B7"/>
    <w:rsid w:val="EF7F047C"/>
    <w:rsid w:val="EF99C2BB"/>
    <w:rsid w:val="EFCE905A"/>
    <w:rsid w:val="EFD5C645"/>
    <w:rsid w:val="EFD7DBEB"/>
    <w:rsid w:val="EFDC3271"/>
    <w:rsid w:val="EFDD0567"/>
    <w:rsid w:val="EFEF0728"/>
    <w:rsid w:val="EFEF2AA3"/>
    <w:rsid w:val="EFF3D27F"/>
    <w:rsid w:val="EFF59DA7"/>
    <w:rsid w:val="EFF5ED34"/>
    <w:rsid w:val="EFF7230F"/>
    <w:rsid w:val="EFF7624A"/>
    <w:rsid w:val="EFFB0E03"/>
    <w:rsid w:val="EFFB0F67"/>
    <w:rsid w:val="EFFBADC9"/>
    <w:rsid w:val="EFFD087D"/>
    <w:rsid w:val="EFFFBB1F"/>
    <w:rsid w:val="EFFFD1B5"/>
    <w:rsid w:val="F0E97D8B"/>
    <w:rsid w:val="F1332741"/>
    <w:rsid w:val="F1FEEE09"/>
    <w:rsid w:val="F2778ABC"/>
    <w:rsid w:val="F27DA92F"/>
    <w:rsid w:val="F2DD75B2"/>
    <w:rsid w:val="F35F651E"/>
    <w:rsid w:val="F375DF47"/>
    <w:rsid w:val="F3BD0F6A"/>
    <w:rsid w:val="F3BF09FF"/>
    <w:rsid w:val="F3EB3B85"/>
    <w:rsid w:val="F3F34751"/>
    <w:rsid w:val="F3F379BA"/>
    <w:rsid w:val="F3F96835"/>
    <w:rsid w:val="F3FD34E8"/>
    <w:rsid w:val="F3FF7C7F"/>
    <w:rsid w:val="F4DFC893"/>
    <w:rsid w:val="F4F5E0BF"/>
    <w:rsid w:val="F4FF0120"/>
    <w:rsid w:val="F53FFD93"/>
    <w:rsid w:val="F57E11BD"/>
    <w:rsid w:val="F57F8151"/>
    <w:rsid w:val="F5B7BF95"/>
    <w:rsid w:val="F5BB617B"/>
    <w:rsid w:val="F5BFC447"/>
    <w:rsid w:val="F5CE2975"/>
    <w:rsid w:val="F5EB3CD9"/>
    <w:rsid w:val="F5ECA83B"/>
    <w:rsid w:val="F5F23960"/>
    <w:rsid w:val="F5FBE503"/>
    <w:rsid w:val="F5FF5B35"/>
    <w:rsid w:val="F5FF76FA"/>
    <w:rsid w:val="F60BFEBF"/>
    <w:rsid w:val="F67B0000"/>
    <w:rsid w:val="F67F2D6B"/>
    <w:rsid w:val="F6AE12A4"/>
    <w:rsid w:val="F6BC6FDE"/>
    <w:rsid w:val="F6BF3B09"/>
    <w:rsid w:val="F6CBEFDC"/>
    <w:rsid w:val="F6CED197"/>
    <w:rsid w:val="F6DF63A2"/>
    <w:rsid w:val="F6EF39F4"/>
    <w:rsid w:val="F6F7095B"/>
    <w:rsid w:val="F6FC9CB3"/>
    <w:rsid w:val="F727F50B"/>
    <w:rsid w:val="F73D64AE"/>
    <w:rsid w:val="F747E823"/>
    <w:rsid w:val="F76FEEA4"/>
    <w:rsid w:val="F77F77D4"/>
    <w:rsid w:val="F77FDFAB"/>
    <w:rsid w:val="F77FF3DF"/>
    <w:rsid w:val="F7992129"/>
    <w:rsid w:val="F79D24FB"/>
    <w:rsid w:val="F7A547C8"/>
    <w:rsid w:val="F7AB552A"/>
    <w:rsid w:val="F7AB9091"/>
    <w:rsid w:val="F7ACC92D"/>
    <w:rsid w:val="F7AEE001"/>
    <w:rsid w:val="F7AF7C5E"/>
    <w:rsid w:val="F7B9B3C4"/>
    <w:rsid w:val="F7BF295F"/>
    <w:rsid w:val="F7BFE1C3"/>
    <w:rsid w:val="F7DD942A"/>
    <w:rsid w:val="F7DDEFF1"/>
    <w:rsid w:val="F7DE7453"/>
    <w:rsid w:val="F7DF7265"/>
    <w:rsid w:val="F7EDD196"/>
    <w:rsid w:val="F7EEBA21"/>
    <w:rsid w:val="F7EEE7EC"/>
    <w:rsid w:val="F7EF3B05"/>
    <w:rsid w:val="F7F2E75C"/>
    <w:rsid w:val="F7F65183"/>
    <w:rsid w:val="F7FD5B87"/>
    <w:rsid w:val="F7FF55F5"/>
    <w:rsid w:val="F7FF8F31"/>
    <w:rsid w:val="F7FFB46C"/>
    <w:rsid w:val="F7FFE84D"/>
    <w:rsid w:val="F7FFF532"/>
    <w:rsid w:val="F86FCDF2"/>
    <w:rsid w:val="F8896D97"/>
    <w:rsid w:val="F8AB1099"/>
    <w:rsid w:val="F8EED86C"/>
    <w:rsid w:val="F8FF78C3"/>
    <w:rsid w:val="F95CAA88"/>
    <w:rsid w:val="F9BF925E"/>
    <w:rsid w:val="F9CF2780"/>
    <w:rsid w:val="F9D544BC"/>
    <w:rsid w:val="F9DE874A"/>
    <w:rsid w:val="F9F7FDF2"/>
    <w:rsid w:val="F9FA00BB"/>
    <w:rsid w:val="F9FB0F67"/>
    <w:rsid w:val="F9FBF928"/>
    <w:rsid w:val="FA374A1A"/>
    <w:rsid w:val="FA7DC955"/>
    <w:rsid w:val="FA9DB90D"/>
    <w:rsid w:val="FAB738F3"/>
    <w:rsid w:val="FABDC9E4"/>
    <w:rsid w:val="FAE7F320"/>
    <w:rsid w:val="FAED6C51"/>
    <w:rsid w:val="FAF0DFC6"/>
    <w:rsid w:val="FAFDF315"/>
    <w:rsid w:val="FAFFB8EB"/>
    <w:rsid w:val="FB2AB3E5"/>
    <w:rsid w:val="FB4D387A"/>
    <w:rsid w:val="FB5858FB"/>
    <w:rsid w:val="FB5A53A2"/>
    <w:rsid w:val="FBA990D1"/>
    <w:rsid w:val="FBAACCCA"/>
    <w:rsid w:val="FBAFF34D"/>
    <w:rsid w:val="FBB56939"/>
    <w:rsid w:val="FBB95C7F"/>
    <w:rsid w:val="FBBB1189"/>
    <w:rsid w:val="FBBBB094"/>
    <w:rsid w:val="FBBBFA1E"/>
    <w:rsid w:val="FBBBFDBF"/>
    <w:rsid w:val="FBBE9ACD"/>
    <w:rsid w:val="FBD3B090"/>
    <w:rsid w:val="FBDB9061"/>
    <w:rsid w:val="FBDF1618"/>
    <w:rsid w:val="FBED9F05"/>
    <w:rsid w:val="FBEEB09E"/>
    <w:rsid w:val="FBEF3174"/>
    <w:rsid w:val="FBEF8594"/>
    <w:rsid w:val="FBF38B18"/>
    <w:rsid w:val="FBF3CAA7"/>
    <w:rsid w:val="FBF7A6ED"/>
    <w:rsid w:val="FBF915E9"/>
    <w:rsid w:val="FBFA326D"/>
    <w:rsid w:val="FBFB4CA3"/>
    <w:rsid w:val="FBFB9188"/>
    <w:rsid w:val="FBFD07A2"/>
    <w:rsid w:val="FBFD5512"/>
    <w:rsid w:val="FBFE27BB"/>
    <w:rsid w:val="FBFE814D"/>
    <w:rsid w:val="FBFEB732"/>
    <w:rsid w:val="FBFF40F4"/>
    <w:rsid w:val="FBFF6A84"/>
    <w:rsid w:val="FBFFA369"/>
    <w:rsid w:val="FBFFA96C"/>
    <w:rsid w:val="FBFFE708"/>
    <w:rsid w:val="FC7EF94E"/>
    <w:rsid w:val="FC7F21D6"/>
    <w:rsid w:val="FC9CDC85"/>
    <w:rsid w:val="FCAD976A"/>
    <w:rsid w:val="FCD3C473"/>
    <w:rsid w:val="FCD5F6E2"/>
    <w:rsid w:val="FCDEE495"/>
    <w:rsid w:val="FCDF6C22"/>
    <w:rsid w:val="FCE7D0C1"/>
    <w:rsid w:val="FCEB6C25"/>
    <w:rsid w:val="FCEE210B"/>
    <w:rsid w:val="FCF324BC"/>
    <w:rsid w:val="FCF4FD18"/>
    <w:rsid w:val="FCF73229"/>
    <w:rsid w:val="FCF78121"/>
    <w:rsid w:val="FCFC1180"/>
    <w:rsid w:val="FD732306"/>
    <w:rsid w:val="FD7385D8"/>
    <w:rsid w:val="FD76EC3C"/>
    <w:rsid w:val="FD7ADA0E"/>
    <w:rsid w:val="FD7BA142"/>
    <w:rsid w:val="FD7E7C8F"/>
    <w:rsid w:val="FD7F56BA"/>
    <w:rsid w:val="FDABF936"/>
    <w:rsid w:val="FDAD04B8"/>
    <w:rsid w:val="FDB90CB4"/>
    <w:rsid w:val="FDB9918C"/>
    <w:rsid w:val="FDBF4BBF"/>
    <w:rsid w:val="FDCB7DCA"/>
    <w:rsid w:val="FDD570B8"/>
    <w:rsid w:val="FDDAED36"/>
    <w:rsid w:val="FDDD77BE"/>
    <w:rsid w:val="FDDF099B"/>
    <w:rsid w:val="FDDFAAE7"/>
    <w:rsid w:val="FDDFB843"/>
    <w:rsid w:val="FDE6B727"/>
    <w:rsid w:val="FDEBD1F7"/>
    <w:rsid w:val="FDEF6C90"/>
    <w:rsid w:val="FDF39664"/>
    <w:rsid w:val="FDF74D82"/>
    <w:rsid w:val="FDFA7413"/>
    <w:rsid w:val="FDFAB1C5"/>
    <w:rsid w:val="FDFBC892"/>
    <w:rsid w:val="FDFCE639"/>
    <w:rsid w:val="FDFFA415"/>
    <w:rsid w:val="FDFFE94D"/>
    <w:rsid w:val="FDFFFF36"/>
    <w:rsid w:val="FE03C3A5"/>
    <w:rsid w:val="FE370956"/>
    <w:rsid w:val="FE3E8C80"/>
    <w:rsid w:val="FE3F3BD4"/>
    <w:rsid w:val="FE3F4037"/>
    <w:rsid w:val="FE4DB469"/>
    <w:rsid w:val="FE5EC233"/>
    <w:rsid w:val="FE5F682D"/>
    <w:rsid w:val="FE7DE4F2"/>
    <w:rsid w:val="FE92E028"/>
    <w:rsid w:val="FE9A8C7E"/>
    <w:rsid w:val="FE9D281B"/>
    <w:rsid w:val="FEAF3724"/>
    <w:rsid w:val="FEBF0FBF"/>
    <w:rsid w:val="FEBFCFF9"/>
    <w:rsid w:val="FEBFEDD9"/>
    <w:rsid w:val="FEBFEFF2"/>
    <w:rsid w:val="FEBFF8EF"/>
    <w:rsid w:val="FEC694A1"/>
    <w:rsid w:val="FECA2A23"/>
    <w:rsid w:val="FECD3A18"/>
    <w:rsid w:val="FECF3F38"/>
    <w:rsid w:val="FEDE973F"/>
    <w:rsid w:val="FEEB0125"/>
    <w:rsid w:val="FEF07F29"/>
    <w:rsid w:val="FEFB2736"/>
    <w:rsid w:val="FEFB3A46"/>
    <w:rsid w:val="FEFB9AB5"/>
    <w:rsid w:val="FEFD8A40"/>
    <w:rsid w:val="FEFDC52C"/>
    <w:rsid w:val="FEFE1208"/>
    <w:rsid w:val="FEFFCD5D"/>
    <w:rsid w:val="FEFFF7C5"/>
    <w:rsid w:val="FF02AED4"/>
    <w:rsid w:val="FF130B56"/>
    <w:rsid w:val="FF1B1323"/>
    <w:rsid w:val="FF1C417F"/>
    <w:rsid w:val="FF2F5FB9"/>
    <w:rsid w:val="FF2FF4D8"/>
    <w:rsid w:val="FF336FC0"/>
    <w:rsid w:val="FF366BFC"/>
    <w:rsid w:val="FF382914"/>
    <w:rsid w:val="FF3B6C13"/>
    <w:rsid w:val="FF3F916B"/>
    <w:rsid w:val="FF46559B"/>
    <w:rsid w:val="FF4B5C8F"/>
    <w:rsid w:val="FF4F2A57"/>
    <w:rsid w:val="FF594D85"/>
    <w:rsid w:val="FF5D2607"/>
    <w:rsid w:val="FF6B18CD"/>
    <w:rsid w:val="FF6B6E9B"/>
    <w:rsid w:val="FF6BD663"/>
    <w:rsid w:val="FF7773DE"/>
    <w:rsid w:val="FF7D0411"/>
    <w:rsid w:val="FF7EC806"/>
    <w:rsid w:val="FF7F554F"/>
    <w:rsid w:val="FF7F6A57"/>
    <w:rsid w:val="FF7FD1F0"/>
    <w:rsid w:val="FF86C66D"/>
    <w:rsid w:val="FF8F6DB5"/>
    <w:rsid w:val="FF8F93B5"/>
    <w:rsid w:val="FF95BF71"/>
    <w:rsid w:val="FF999B46"/>
    <w:rsid w:val="FF9BE821"/>
    <w:rsid w:val="FF9E3875"/>
    <w:rsid w:val="FFAD8156"/>
    <w:rsid w:val="FFAEF5C6"/>
    <w:rsid w:val="FFB327D6"/>
    <w:rsid w:val="FFBB1725"/>
    <w:rsid w:val="FFBB5C56"/>
    <w:rsid w:val="FFBD0937"/>
    <w:rsid w:val="FFBD4D1A"/>
    <w:rsid w:val="FFBDF24B"/>
    <w:rsid w:val="FFBE72FD"/>
    <w:rsid w:val="FFBF1974"/>
    <w:rsid w:val="FFBF5C9F"/>
    <w:rsid w:val="FFBFA3FE"/>
    <w:rsid w:val="FFBFD8C3"/>
    <w:rsid w:val="FFCDDD54"/>
    <w:rsid w:val="FFCF03CE"/>
    <w:rsid w:val="FFD350DE"/>
    <w:rsid w:val="FFD783BF"/>
    <w:rsid w:val="FFD7F949"/>
    <w:rsid w:val="FFDBAB4B"/>
    <w:rsid w:val="FFDD1CDC"/>
    <w:rsid w:val="FFDD6461"/>
    <w:rsid w:val="FFDE3EE8"/>
    <w:rsid w:val="FFDEA5E2"/>
    <w:rsid w:val="FFDF132E"/>
    <w:rsid w:val="FFDF521D"/>
    <w:rsid w:val="FFE575D1"/>
    <w:rsid w:val="FFE7327E"/>
    <w:rsid w:val="FFE75614"/>
    <w:rsid w:val="FFEA88BC"/>
    <w:rsid w:val="FFEB619C"/>
    <w:rsid w:val="FFEB855A"/>
    <w:rsid w:val="FFEDE2B3"/>
    <w:rsid w:val="FFEDFD59"/>
    <w:rsid w:val="FFEE02A3"/>
    <w:rsid w:val="FFEE3999"/>
    <w:rsid w:val="FFEF2051"/>
    <w:rsid w:val="FFEF3A33"/>
    <w:rsid w:val="FFEFC0E2"/>
    <w:rsid w:val="FFF13DE9"/>
    <w:rsid w:val="FFF56E7B"/>
    <w:rsid w:val="FFF61430"/>
    <w:rsid w:val="FFF67A9D"/>
    <w:rsid w:val="FFF6FDFC"/>
    <w:rsid w:val="FFF70967"/>
    <w:rsid w:val="FFF7CCE5"/>
    <w:rsid w:val="FFF8CC0C"/>
    <w:rsid w:val="FFFA8E86"/>
    <w:rsid w:val="FFFB3136"/>
    <w:rsid w:val="FFFB72C0"/>
    <w:rsid w:val="FFFC7B80"/>
    <w:rsid w:val="FFFCA5FD"/>
    <w:rsid w:val="FFFD1680"/>
    <w:rsid w:val="FFFD1977"/>
    <w:rsid w:val="FFFD3188"/>
    <w:rsid w:val="FFFD808F"/>
    <w:rsid w:val="FFFE301F"/>
    <w:rsid w:val="FFFE4FEB"/>
    <w:rsid w:val="FFFF8D11"/>
    <w:rsid w:val="FFFF930E"/>
    <w:rsid w:val="FFFFB345"/>
    <w:rsid w:val="FFFFDFFB"/>
    <w:rsid w:val="FFFFFE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qFormat="1" w:uiPriority="0" w:semiHidden="0" w:name="endnote text"/>
    <w:lsdException w:unhideWhenUsed="0" w:uiPriority="0" w:semiHidden="0" w:name="table of authorities"/>
    <w:lsdException w:unhideWhenUsed="0" w:uiPriority="0" w:semiHidden="0" w:name="macro"/>
    <w:lsdException w:qFormat="1" w:unhideWhenUsed="0" w:uiPriority="0" w:name="toa heading"/>
    <w:lsdException w:qFormat="1" w:unhideWhenUsed="0" w:uiPriority="0" w:semiHidden="0" w:name="List"/>
    <w:lsdException w:unhideWhenUsed="0" w:uiPriority="0" w:semiHidden="0" w:name="List Bullet"/>
    <w:lsdException w:qFormat="1"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qFormat="1"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iPriority="9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after="160" w:line="278" w:lineRule="auto"/>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71"/>
    <w:qFormat/>
    <w:uiPriority w:val="0"/>
    <w:pPr>
      <w:keepNext/>
      <w:keepLines/>
      <w:spacing w:before="340" w:after="330" w:line="578" w:lineRule="auto"/>
      <w:outlineLvl w:val="0"/>
    </w:pPr>
    <w:rPr>
      <w:b/>
      <w:bCs/>
      <w:kern w:val="44"/>
      <w:sz w:val="44"/>
      <w:szCs w:val="44"/>
    </w:rPr>
  </w:style>
  <w:style w:type="paragraph" w:styleId="4">
    <w:name w:val="heading 2"/>
    <w:basedOn w:val="1"/>
    <w:next w:val="1"/>
    <w:link w:val="72"/>
    <w:qFormat/>
    <w:uiPriority w:val="0"/>
    <w:pPr>
      <w:keepNext/>
      <w:keepLines/>
      <w:spacing w:before="260" w:after="260" w:line="416" w:lineRule="auto"/>
      <w:outlineLvl w:val="1"/>
    </w:pPr>
    <w:rPr>
      <w:rFonts w:ascii="Arial" w:hAnsi="Arial" w:eastAsia="黑体"/>
      <w:b/>
      <w:bCs/>
      <w:kern w:val="0"/>
      <w:sz w:val="32"/>
      <w:szCs w:val="32"/>
    </w:rPr>
  </w:style>
  <w:style w:type="paragraph" w:styleId="5">
    <w:name w:val="heading 3"/>
    <w:basedOn w:val="1"/>
    <w:next w:val="1"/>
    <w:link w:val="73"/>
    <w:qFormat/>
    <w:uiPriority w:val="0"/>
    <w:pPr>
      <w:keepNext/>
      <w:keepLines/>
      <w:spacing w:before="260" w:after="260" w:line="416" w:lineRule="auto"/>
      <w:outlineLvl w:val="2"/>
    </w:pPr>
    <w:rPr>
      <w:b/>
      <w:bCs/>
      <w:kern w:val="0"/>
      <w:sz w:val="32"/>
      <w:szCs w:val="32"/>
    </w:rPr>
  </w:style>
  <w:style w:type="paragraph" w:styleId="6">
    <w:name w:val="heading 4"/>
    <w:basedOn w:val="1"/>
    <w:next w:val="1"/>
    <w:link w:val="74"/>
    <w:qFormat/>
    <w:uiPriority w:val="0"/>
    <w:pPr>
      <w:keepNext/>
      <w:keepLines/>
      <w:widowControl/>
      <w:spacing w:before="120" w:after="120" w:line="360" w:lineRule="auto"/>
      <w:jc w:val="center"/>
      <w:outlineLvl w:val="3"/>
    </w:pPr>
    <w:rPr>
      <w:rFonts w:ascii="Arial" w:hAnsi="Arial" w:eastAsia="黑体"/>
      <w:kern w:val="0"/>
      <w:sz w:val="28"/>
      <w:szCs w:val="20"/>
    </w:rPr>
  </w:style>
  <w:style w:type="paragraph" w:styleId="7">
    <w:name w:val="heading 5"/>
    <w:basedOn w:val="1"/>
    <w:next w:val="1"/>
    <w:link w:val="75"/>
    <w:qFormat/>
    <w:uiPriority w:val="0"/>
    <w:pPr>
      <w:keepNext/>
      <w:keepLines/>
      <w:spacing w:before="280" w:after="290" w:line="376" w:lineRule="auto"/>
      <w:outlineLvl w:val="4"/>
    </w:pPr>
    <w:rPr>
      <w:b/>
      <w:sz w:val="28"/>
    </w:rPr>
  </w:style>
  <w:style w:type="paragraph" w:styleId="8">
    <w:name w:val="heading 6"/>
    <w:basedOn w:val="1"/>
    <w:next w:val="1"/>
    <w:link w:val="76"/>
    <w:qFormat/>
    <w:uiPriority w:val="0"/>
    <w:pPr>
      <w:keepNext/>
      <w:keepLines/>
      <w:spacing w:before="240" w:after="64" w:line="320" w:lineRule="auto"/>
      <w:outlineLvl w:val="5"/>
    </w:pPr>
    <w:rPr>
      <w:rFonts w:ascii="Arial" w:hAnsi="Arial" w:eastAsia="黑体"/>
      <w:b/>
      <w:sz w:val="24"/>
    </w:rPr>
  </w:style>
  <w:style w:type="paragraph" w:styleId="9">
    <w:name w:val="heading 7"/>
    <w:basedOn w:val="1"/>
    <w:next w:val="10"/>
    <w:link w:val="77"/>
    <w:qFormat/>
    <w:uiPriority w:val="0"/>
    <w:pPr>
      <w:keepNext/>
      <w:keepLines/>
      <w:spacing w:before="240" w:after="64" w:line="320" w:lineRule="auto"/>
      <w:outlineLvl w:val="6"/>
    </w:pPr>
    <w:rPr>
      <w:b/>
      <w:sz w:val="24"/>
    </w:rPr>
  </w:style>
  <w:style w:type="paragraph" w:styleId="11">
    <w:name w:val="heading 8"/>
    <w:basedOn w:val="1"/>
    <w:next w:val="10"/>
    <w:link w:val="78"/>
    <w:qFormat/>
    <w:uiPriority w:val="0"/>
    <w:pPr>
      <w:keepNext/>
      <w:keepLines/>
      <w:spacing w:before="240" w:after="64" w:line="320" w:lineRule="auto"/>
      <w:outlineLvl w:val="7"/>
    </w:pPr>
    <w:rPr>
      <w:rFonts w:ascii="Arial" w:hAnsi="Arial" w:eastAsia="黑体"/>
      <w:sz w:val="24"/>
    </w:rPr>
  </w:style>
  <w:style w:type="paragraph" w:styleId="12">
    <w:name w:val="heading 9"/>
    <w:basedOn w:val="1"/>
    <w:next w:val="10"/>
    <w:link w:val="79"/>
    <w:qFormat/>
    <w:uiPriority w:val="0"/>
    <w:pPr>
      <w:keepNext/>
      <w:keepLines/>
      <w:spacing w:before="240" w:after="64" w:line="320" w:lineRule="auto"/>
      <w:outlineLvl w:val="8"/>
    </w:pPr>
    <w:rPr>
      <w:rFonts w:ascii="Arial" w:hAnsi="Arial" w:eastAsia="黑体"/>
    </w:rPr>
  </w:style>
  <w:style w:type="character" w:default="1" w:styleId="54">
    <w:name w:val="Default Paragraph Font"/>
    <w:semiHidden/>
    <w:unhideWhenUsed/>
    <w:qFormat/>
    <w:uiPriority w:val="1"/>
  </w:style>
  <w:style w:type="table" w:default="1" w:styleId="52">
    <w:name w:val="Normal Table"/>
    <w:semiHidden/>
    <w:unhideWhenUsed/>
    <w:qFormat/>
    <w:uiPriority w:val="99"/>
    <w:tblPr>
      <w:tblCellMar>
        <w:top w:w="0" w:type="dxa"/>
        <w:left w:w="108" w:type="dxa"/>
        <w:bottom w:w="0" w:type="dxa"/>
        <w:right w:w="108" w:type="dxa"/>
      </w:tblCellMar>
    </w:tblPr>
  </w:style>
  <w:style w:type="paragraph" w:styleId="2">
    <w:name w:val="toc 1"/>
    <w:basedOn w:val="1"/>
    <w:next w:val="1"/>
    <w:qFormat/>
    <w:uiPriority w:val="39"/>
    <w:pPr>
      <w:tabs>
        <w:tab w:val="right" w:leader="dot" w:pos="8296"/>
        <w:tab w:val="right" w:leader="dot" w:pos="8398"/>
      </w:tabs>
      <w:spacing w:before="120" w:after="120" w:line="320" w:lineRule="exact"/>
      <w:ind w:firstLine="840" w:firstLineChars="400"/>
      <w:jc w:val="left"/>
    </w:pPr>
    <w:rPr>
      <w:rFonts w:ascii="仿宋_GB2312" w:hAnsi="宋体" w:eastAsia="仿宋_GB2312" w:cs="Courier New"/>
      <w:bCs/>
      <w:caps/>
      <w:szCs w:val="21"/>
    </w:rPr>
  </w:style>
  <w:style w:type="paragraph" w:styleId="10">
    <w:name w:val="Normal Indent"/>
    <w:basedOn w:val="1"/>
    <w:qFormat/>
    <w:uiPriority w:val="0"/>
    <w:pPr>
      <w:ind w:firstLine="420"/>
    </w:pPr>
    <w:rPr>
      <w:szCs w:val="20"/>
    </w:rPr>
  </w:style>
  <w:style w:type="paragraph" w:styleId="13">
    <w:name w:val="toc 7"/>
    <w:basedOn w:val="1"/>
    <w:next w:val="1"/>
    <w:qFormat/>
    <w:uiPriority w:val="0"/>
    <w:pPr>
      <w:tabs>
        <w:tab w:val="right" w:leader="dot" w:pos="9185"/>
      </w:tabs>
      <w:adjustRightInd w:val="0"/>
      <w:spacing w:line="312" w:lineRule="atLeast"/>
      <w:ind w:left="2520"/>
      <w:textAlignment w:val="baseline"/>
    </w:pPr>
    <w:rPr>
      <w:kern w:val="0"/>
      <w:szCs w:val="20"/>
    </w:rPr>
  </w:style>
  <w:style w:type="paragraph" w:styleId="14">
    <w:name w:val="List Number"/>
    <w:basedOn w:val="1"/>
    <w:qFormat/>
    <w:uiPriority w:val="0"/>
    <w:pPr>
      <w:widowControl/>
      <w:tabs>
        <w:tab w:val="left" w:pos="454"/>
        <w:tab w:val="left" w:pos="720"/>
        <w:tab w:val="left" w:pos="840"/>
      </w:tabs>
      <w:spacing w:after="156" w:afterLines="50"/>
      <w:ind w:left="454" w:hanging="284"/>
      <w:jc w:val="left"/>
    </w:pPr>
    <w:rPr>
      <w:kern w:val="0"/>
      <w:sz w:val="24"/>
      <w:szCs w:val="20"/>
    </w:rPr>
  </w:style>
  <w:style w:type="paragraph" w:styleId="15">
    <w:name w:val="caption"/>
    <w:basedOn w:val="1"/>
    <w:next w:val="1"/>
    <w:qFormat/>
    <w:uiPriority w:val="0"/>
    <w:pPr>
      <w:spacing w:before="152"/>
    </w:pPr>
    <w:rPr>
      <w:rFonts w:ascii="Arial" w:hAnsi="Arial" w:eastAsia="黑体" w:cs="Arial"/>
      <w:sz w:val="20"/>
      <w:szCs w:val="20"/>
    </w:rPr>
  </w:style>
  <w:style w:type="paragraph" w:styleId="16">
    <w:name w:val="Document Map"/>
    <w:basedOn w:val="1"/>
    <w:link w:val="80"/>
    <w:semiHidden/>
    <w:qFormat/>
    <w:uiPriority w:val="0"/>
    <w:pPr>
      <w:shd w:val="clear" w:color="auto" w:fill="000080"/>
    </w:pPr>
  </w:style>
  <w:style w:type="paragraph" w:styleId="17">
    <w:name w:val="toa heading"/>
    <w:basedOn w:val="1"/>
    <w:next w:val="1"/>
    <w:semiHidden/>
    <w:qFormat/>
    <w:uiPriority w:val="0"/>
    <w:pPr>
      <w:adjustRightInd w:val="0"/>
      <w:spacing w:before="120" w:line="312" w:lineRule="atLeast"/>
    </w:pPr>
    <w:rPr>
      <w:rFonts w:ascii="Arial" w:hAnsi="Arial"/>
      <w:b/>
      <w:kern w:val="0"/>
      <w:sz w:val="24"/>
    </w:rPr>
  </w:style>
  <w:style w:type="paragraph" w:styleId="18">
    <w:name w:val="annotation text"/>
    <w:basedOn w:val="1"/>
    <w:link w:val="81"/>
    <w:qFormat/>
    <w:uiPriority w:val="0"/>
    <w:pPr>
      <w:adjustRightInd w:val="0"/>
      <w:spacing w:line="360" w:lineRule="atLeast"/>
      <w:jc w:val="left"/>
      <w:textAlignment w:val="baseline"/>
    </w:pPr>
    <w:rPr>
      <w:kern w:val="0"/>
      <w:sz w:val="24"/>
      <w:szCs w:val="20"/>
    </w:rPr>
  </w:style>
  <w:style w:type="paragraph" w:styleId="19">
    <w:name w:val="Salutation"/>
    <w:basedOn w:val="1"/>
    <w:next w:val="1"/>
    <w:link w:val="82"/>
    <w:qFormat/>
    <w:uiPriority w:val="0"/>
    <w:rPr>
      <w:sz w:val="28"/>
    </w:rPr>
  </w:style>
  <w:style w:type="paragraph" w:styleId="20">
    <w:name w:val="Body Text 3"/>
    <w:basedOn w:val="1"/>
    <w:link w:val="83"/>
    <w:qFormat/>
    <w:uiPriority w:val="0"/>
    <w:pPr>
      <w:spacing w:line="500" w:lineRule="exact"/>
    </w:pPr>
    <w:rPr>
      <w:b/>
      <w:bCs/>
      <w:sz w:val="24"/>
    </w:rPr>
  </w:style>
  <w:style w:type="paragraph" w:styleId="21">
    <w:name w:val="Body Text"/>
    <w:basedOn w:val="1"/>
    <w:next w:val="1"/>
    <w:link w:val="70"/>
    <w:qFormat/>
    <w:uiPriority w:val="0"/>
    <w:pPr>
      <w:spacing w:line="380" w:lineRule="exact"/>
    </w:pPr>
    <w:rPr>
      <w:sz w:val="24"/>
    </w:rPr>
  </w:style>
  <w:style w:type="paragraph" w:styleId="22">
    <w:name w:val="Body Text Indent"/>
    <w:basedOn w:val="1"/>
    <w:link w:val="84"/>
    <w:qFormat/>
    <w:uiPriority w:val="0"/>
    <w:pPr>
      <w:ind w:firstLine="830" w:firstLineChars="352"/>
    </w:pPr>
    <w:rPr>
      <w:rFonts w:ascii="仿宋_GB2312" w:eastAsia="仿宋_GB2312"/>
      <w:sz w:val="32"/>
      <w:szCs w:val="20"/>
    </w:rPr>
  </w:style>
  <w:style w:type="paragraph" w:styleId="23">
    <w:name w:val="List Number 3"/>
    <w:basedOn w:val="1"/>
    <w:qFormat/>
    <w:uiPriority w:val="0"/>
    <w:pPr>
      <w:tabs>
        <w:tab w:val="left" w:pos="360"/>
      </w:tabs>
      <w:ind w:left="360" w:hanging="360"/>
    </w:pPr>
  </w:style>
  <w:style w:type="paragraph" w:styleId="24">
    <w:name w:val="List 2"/>
    <w:basedOn w:val="1"/>
    <w:qFormat/>
    <w:uiPriority w:val="0"/>
    <w:pPr>
      <w:ind w:left="100" w:leftChars="200" w:hanging="200" w:hangingChars="200"/>
    </w:pPr>
    <w:rPr>
      <w:sz w:val="28"/>
    </w:rPr>
  </w:style>
  <w:style w:type="paragraph" w:styleId="25">
    <w:name w:val="Block Text"/>
    <w:basedOn w:val="1"/>
    <w:qFormat/>
    <w:uiPriority w:val="0"/>
    <w:pPr>
      <w:adjustRightInd w:val="0"/>
      <w:ind w:left="420" w:right="33"/>
      <w:jc w:val="left"/>
      <w:textAlignment w:val="baseline"/>
    </w:pPr>
    <w:rPr>
      <w:kern w:val="0"/>
      <w:sz w:val="24"/>
      <w:szCs w:val="20"/>
    </w:rPr>
  </w:style>
  <w:style w:type="paragraph" w:styleId="26">
    <w:name w:val="HTML Address"/>
    <w:basedOn w:val="1"/>
    <w:link w:val="85"/>
    <w:qFormat/>
    <w:uiPriority w:val="0"/>
    <w:rPr>
      <w:rFonts w:ascii="宋体"/>
      <w:i/>
      <w:iCs/>
      <w:kern w:val="21"/>
      <w:szCs w:val="21"/>
    </w:rPr>
  </w:style>
  <w:style w:type="paragraph" w:styleId="27">
    <w:name w:val="toc 5"/>
    <w:basedOn w:val="1"/>
    <w:next w:val="1"/>
    <w:qFormat/>
    <w:uiPriority w:val="0"/>
    <w:pPr>
      <w:tabs>
        <w:tab w:val="right" w:leader="dot" w:pos="9185"/>
      </w:tabs>
      <w:adjustRightInd w:val="0"/>
      <w:spacing w:line="312" w:lineRule="atLeast"/>
      <w:ind w:left="1680"/>
      <w:textAlignment w:val="baseline"/>
    </w:pPr>
    <w:rPr>
      <w:kern w:val="0"/>
      <w:szCs w:val="20"/>
    </w:rPr>
  </w:style>
  <w:style w:type="paragraph" w:styleId="28">
    <w:name w:val="toc 3"/>
    <w:basedOn w:val="1"/>
    <w:next w:val="1"/>
    <w:link w:val="86"/>
    <w:qFormat/>
    <w:uiPriority w:val="0"/>
    <w:pPr>
      <w:ind w:left="840" w:leftChars="400"/>
    </w:pPr>
  </w:style>
  <w:style w:type="paragraph" w:styleId="29">
    <w:name w:val="Plain Text"/>
    <w:basedOn w:val="1"/>
    <w:next w:val="3"/>
    <w:link w:val="87"/>
    <w:qFormat/>
    <w:uiPriority w:val="0"/>
    <w:rPr>
      <w:rFonts w:ascii="宋体" w:hAnsi="Courier New" w:cs="Courier New"/>
      <w:szCs w:val="21"/>
    </w:rPr>
  </w:style>
  <w:style w:type="paragraph" w:styleId="30">
    <w:name w:val="toc 8"/>
    <w:basedOn w:val="1"/>
    <w:next w:val="1"/>
    <w:qFormat/>
    <w:uiPriority w:val="0"/>
    <w:pPr>
      <w:tabs>
        <w:tab w:val="right" w:leader="dot" w:pos="9185"/>
      </w:tabs>
      <w:adjustRightInd w:val="0"/>
      <w:spacing w:line="312" w:lineRule="atLeast"/>
      <w:ind w:left="2940"/>
      <w:textAlignment w:val="baseline"/>
    </w:pPr>
    <w:rPr>
      <w:kern w:val="0"/>
      <w:szCs w:val="20"/>
    </w:rPr>
  </w:style>
  <w:style w:type="paragraph" w:styleId="31">
    <w:name w:val="Date"/>
    <w:basedOn w:val="1"/>
    <w:next w:val="1"/>
    <w:link w:val="88"/>
    <w:qFormat/>
    <w:uiPriority w:val="0"/>
    <w:pPr>
      <w:ind w:left="100" w:leftChars="2500"/>
    </w:pPr>
    <w:rPr>
      <w:rFonts w:ascii="宋体" w:hAnsi="Courier New" w:cs="Courier New"/>
      <w:szCs w:val="21"/>
    </w:rPr>
  </w:style>
  <w:style w:type="paragraph" w:styleId="32">
    <w:name w:val="Body Text Indent 2"/>
    <w:basedOn w:val="1"/>
    <w:link w:val="89"/>
    <w:qFormat/>
    <w:uiPriority w:val="0"/>
    <w:pPr>
      <w:ind w:firstLine="630"/>
    </w:pPr>
    <w:rPr>
      <w:sz w:val="32"/>
      <w:szCs w:val="20"/>
    </w:rPr>
  </w:style>
  <w:style w:type="paragraph" w:styleId="33">
    <w:name w:val="endnote text"/>
    <w:basedOn w:val="1"/>
    <w:link w:val="90"/>
    <w:unhideWhenUsed/>
    <w:qFormat/>
    <w:uiPriority w:val="0"/>
    <w:pPr>
      <w:snapToGrid w:val="0"/>
      <w:jc w:val="left"/>
    </w:pPr>
    <w:rPr>
      <w:rFonts w:ascii="Calibri" w:hAnsi="Calibri"/>
      <w:szCs w:val="22"/>
    </w:rPr>
  </w:style>
  <w:style w:type="paragraph" w:styleId="34">
    <w:name w:val="Balloon Text"/>
    <w:basedOn w:val="1"/>
    <w:link w:val="91"/>
    <w:semiHidden/>
    <w:qFormat/>
    <w:uiPriority w:val="0"/>
    <w:rPr>
      <w:sz w:val="18"/>
      <w:szCs w:val="18"/>
    </w:rPr>
  </w:style>
  <w:style w:type="paragraph" w:styleId="35">
    <w:name w:val="footer"/>
    <w:basedOn w:val="1"/>
    <w:link w:val="92"/>
    <w:qFormat/>
    <w:uiPriority w:val="99"/>
    <w:pPr>
      <w:tabs>
        <w:tab w:val="center" w:pos="4153"/>
        <w:tab w:val="right" w:pos="8306"/>
      </w:tabs>
      <w:snapToGrid w:val="0"/>
      <w:jc w:val="left"/>
    </w:pPr>
    <w:rPr>
      <w:sz w:val="18"/>
      <w:szCs w:val="18"/>
    </w:rPr>
  </w:style>
  <w:style w:type="paragraph" w:styleId="36">
    <w:name w:val="header"/>
    <w:basedOn w:val="1"/>
    <w:link w:val="93"/>
    <w:qFormat/>
    <w:uiPriority w:val="99"/>
    <w:pPr>
      <w:pBdr>
        <w:bottom w:val="single" w:color="auto" w:sz="6" w:space="1"/>
      </w:pBdr>
      <w:tabs>
        <w:tab w:val="center" w:pos="4153"/>
        <w:tab w:val="right" w:pos="8306"/>
      </w:tabs>
      <w:snapToGrid w:val="0"/>
      <w:jc w:val="center"/>
    </w:pPr>
    <w:rPr>
      <w:sz w:val="18"/>
      <w:szCs w:val="18"/>
    </w:rPr>
  </w:style>
  <w:style w:type="paragraph" w:styleId="37">
    <w:name w:val="toc 4"/>
    <w:basedOn w:val="1"/>
    <w:next w:val="1"/>
    <w:qFormat/>
    <w:uiPriority w:val="0"/>
    <w:pPr>
      <w:tabs>
        <w:tab w:val="right" w:leader="dot" w:pos="9185"/>
      </w:tabs>
      <w:adjustRightInd w:val="0"/>
      <w:spacing w:line="312" w:lineRule="atLeast"/>
      <w:ind w:left="1260"/>
      <w:textAlignment w:val="baseline"/>
    </w:pPr>
    <w:rPr>
      <w:kern w:val="0"/>
      <w:szCs w:val="20"/>
    </w:rPr>
  </w:style>
  <w:style w:type="paragraph" w:styleId="38">
    <w:name w:val="List"/>
    <w:basedOn w:val="1"/>
    <w:qFormat/>
    <w:uiPriority w:val="0"/>
    <w:pPr>
      <w:ind w:left="200" w:hanging="200" w:hangingChars="200"/>
    </w:pPr>
    <w:rPr>
      <w:sz w:val="28"/>
    </w:rPr>
  </w:style>
  <w:style w:type="paragraph" w:styleId="39">
    <w:name w:val="footnote text"/>
    <w:basedOn w:val="1"/>
    <w:link w:val="94"/>
    <w:semiHidden/>
    <w:qFormat/>
    <w:uiPriority w:val="0"/>
    <w:pPr>
      <w:snapToGrid w:val="0"/>
      <w:jc w:val="left"/>
    </w:pPr>
    <w:rPr>
      <w:rFonts w:ascii="宋体"/>
      <w:kern w:val="21"/>
      <w:sz w:val="18"/>
      <w:szCs w:val="18"/>
    </w:rPr>
  </w:style>
  <w:style w:type="paragraph" w:styleId="40">
    <w:name w:val="toc 6"/>
    <w:basedOn w:val="1"/>
    <w:next w:val="1"/>
    <w:qFormat/>
    <w:uiPriority w:val="0"/>
    <w:pPr>
      <w:tabs>
        <w:tab w:val="right" w:leader="dot" w:pos="9185"/>
      </w:tabs>
      <w:adjustRightInd w:val="0"/>
      <w:spacing w:line="312" w:lineRule="atLeast"/>
      <w:ind w:left="2100"/>
      <w:textAlignment w:val="baseline"/>
    </w:pPr>
    <w:rPr>
      <w:kern w:val="0"/>
      <w:szCs w:val="20"/>
    </w:rPr>
  </w:style>
  <w:style w:type="paragraph" w:styleId="41">
    <w:name w:val="List 5"/>
    <w:basedOn w:val="1"/>
    <w:qFormat/>
    <w:uiPriority w:val="0"/>
    <w:pPr>
      <w:ind w:left="2100" w:hanging="420"/>
    </w:pPr>
    <w:rPr>
      <w:szCs w:val="20"/>
    </w:rPr>
  </w:style>
  <w:style w:type="paragraph" w:styleId="42">
    <w:name w:val="Body Text Indent 3"/>
    <w:basedOn w:val="1"/>
    <w:link w:val="95"/>
    <w:qFormat/>
    <w:uiPriority w:val="0"/>
    <w:pPr>
      <w:spacing w:after="120"/>
      <w:ind w:left="420" w:leftChars="200"/>
    </w:pPr>
    <w:rPr>
      <w:sz w:val="16"/>
      <w:szCs w:val="16"/>
    </w:rPr>
  </w:style>
  <w:style w:type="paragraph" w:styleId="43">
    <w:name w:val="toc 2"/>
    <w:basedOn w:val="1"/>
    <w:next w:val="1"/>
    <w:qFormat/>
    <w:uiPriority w:val="39"/>
    <w:pPr>
      <w:ind w:left="420" w:leftChars="200"/>
    </w:pPr>
  </w:style>
  <w:style w:type="paragraph" w:styleId="44">
    <w:name w:val="toc 9"/>
    <w:basedOn w:val="1"/>
    <w:next w:val="1"/>
    <w:qFormat/>
    <w:uiPriority w:val="0"/>
    <w:pPr>
      <w:tabs>
        <w:tab w:val="right" w:leader="dot" w:pos="9185"/>
      </w:tabs>
      <w:adjustRightInd w:val="0"/>
      <w:spacing w:line="312" w:lineRule="atLeast"/>
      <w:ind w:left="3360"/>
      <w:textAlignment w:val="baseline"/>
    </w:pPr>
    <w:rPr>
      <w:kern w:val="0"/>
      <w:szCs w:val="20"/>
    </w:rPr>
  </w:style>
  <w:style w:type="paragraph" w:styleId="45">
    <w:name w:val="Body Text 2"/>
    <w:basedOn w:val="1"/>
    <w:link w:val="96"/>
    <w:qFormat/>
    <w:uiPriority w:val="0"/>
    <w:pPr>
      <w:spacing w:after="120" w:line="480" w:lineRule="auto"/>
    </w:pPr>
  </w:style>
  <w:style w:type="paragraph" w:styleId="46">
    <w:name w:val="HTML Preformatted"/>
    <w:basedOn w:val="1"/>
    <w:link w:val="97"/>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kern w:val="0"/>
      <w:sz w:val="20"/>
      <w:szCs w:val="20"/>
    </w:rPr>
  </w:style>
  <w:style w:type="paragraph" w:styleId="47">
    <w:name w:val="Normal (Web)"/>
    <w:basedOn w:val="1"/>
    <w:qFormat/>
    <w:uiPriority w:val="99"/>
    <w:pPr>
      <w:widowControl/>
      <w:spacing w:before="100" w:beforeAutospacing="1" w:after="100" w:afterAutospacing="1"/>
      <w:jc w:val="left"/>
    </w:pPr>
    <w:rPr>
      <w:rFonts w:ascii="宋体" w:hAnsi="宋体"/>
      <w:kern w:val="0"/>
      <w:sz w:val="24"/>
    </w:rPr>
  </w:style>
  <w:style w:type="paragraph" w:styleId="48">
    <w:name w:val="index 1"/>
    <w:basedOn w:val="1"/>
    <w:next w:val="1"/>
    <w:semiHidden/>
    <w:qFormat/>
    <w:uiPriority w:val="0"/>
    <w:pPr>
      <w:spacing w:line="400" w:lineRule="exact"/>
      <w:ind w:firstLine="420" w:firstLineChars="200"/>
    </w:pPr>
    <w:rPr>
      <w:rFonts w:ascii="宋体" w:hAnsi="Courier New"/>
      <w:b/>
      <w:szCs w:val="20"/>
    </w:rPr>
  </w:style>
  <w:style w:type="paragraph" w:styleId="49">
    <w:name w:val="Title"/>
    <w:basedOn w:val="1"/>
    <w:link w:val="98"/>
    <w:qFormat/>
    <w:uiPriority w:val="0"/>
    <w:pPr>
      <w:spacing w:before="240" w:after="60"/>
      <w:jc w:val="center"/>
      <w:outlineLvl w:val="0"/>
    </w:pPr>
    <w:rPr>
      <w:rFonts w:ascii="Arial" w:hAnsi="Arial"/>
      <w:b/>
      <w:bCs/>
      <w:sz w:val="32"/>
      <w:szCs w:val="32"/>
    </w:rPr>
  </w:style>
  <w:style w:type="paragraph" w:styleId="50">
    <w:name w:val="annotation subject"/>
    <w:basedOn w:val="18"/>
    <w:next w:val="18"/>
    <w:link w:val="99"/>
    <w:semiHidden/>
    <w:qFormat/>
    <w:uiPriority w:val="0"/>
    <w:pPr>
      <w:adjustRightInd/>
      <w:spacing w:line="240" w:lineRule="auto"/>
      <w:textAlignment w:val="auto"/>
    </w:pPr>
    <w:rPr>
      <w:b/>
      <w:bCs/>
      <w:kern w:val="2"/>
      <w:sz w:val="21"/>
      <w:szCs w:val="24"/>
    </w:rPr>
  </w:style>
  <w:style w:type="paragraph" w:styleId="51">
    <w:name w:val="Body Text First Indent"/>
    <w:basedOn w:val="1"/>
    <w:qFormat/>
    <w:uiPriority w:val="0"/>
    <w:pPr>
      <w:spacing w:after="0" w:line="380" w:lineRule="exact"/>
      <w:ind w:firstLine="420" w:firstLineChars="100"/>
    </w:pPr>
    <w:rPr>
      <w:sz w:val="24"/>
    </w:rPr>
  </w:style>
  <w:style w:type="table" w:styleId="53">
    <w:name w:val="Table Grid"/>
    <w:basedOn w:val="52"/>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5">
    <w:name w:val="Strong"/>
    <w:qFormat/>
    <w:uiPriority w:val="0"/>
    <w:rPr>
      <w:b/>
      <w:bCs/>
    </w:rPr>
  </w:style>
  <w:style w:type="character" w:styleId="56">
    <w:name w:val="page number"/>
    <w:basedOn w:val="54"/>
    <w:qFormat/>
    <w:uiPriority w:val="0"/>
  </w:style>
  <w:style w:type="character" w:styleId="57">
    <w:name w:val="FollowedHyperlink"/>
    <w:qFormat/>
    <w:uiPriority w:val="0"/>
    <w:rPr>
      <w:color w:val="800080"/>
      <w:u w:val="single"/>
    </w:rPr>
  </w:style>
  <w:style w:type="character" w:styleId="58">
    <w:name w:val="Emphasis"/>
    <w:qFormat/>
    <w:uiPriority w:val="0"/>
    <w:rPr>
      <w:color w:val="CC0000"/>
    </w:rPr>
  </w:style>
  <w:style w:type="character" w:styleId="59">
    <w:name w:val="HTML Definition"/>
    <w:basedOn w:val="54"/>
    <w:qFormat/>
    <w:uiPriority w:val="0"/>
    <w:rPr>
      <w:i/>
    </w:rPr>
  </w:style>
  <w:style w:type="character" w:styleId="60">
    <w:name w:val="HTML Typewriter"/>
    <w:basedOn w:val="54"/>
    <w:qFormat/>
    <w:uiPriority w:val="0"/>
    <w:rPr>
      <w:rFonts w:ascii="Courier New" w:hAnsi="Courier New"/>
      <w:sz w:val="20"/>
    </w:rPr>
  </w:style>
  <w:style w:type="character" w:styleId="61">
    <w:name w:val="HTML Acronym"/>
    <w:basedOn w:val="54"/>
    <w:qFormat/>
    <w:uiPriority w:val="0"/>
    <w:rPr>
      <w:rFonts w:cs="Times New Roman"/>
    </w:rPr>
  </w:style>
  <w:style w:type="character" w:styleId="62">
    <w:name w:val="HTML Variable"/>
    <w:basedOn w:val="54"/>
    <w:qFormat/>
    <w:uiPriority w:val="0"/>
    <w:rPr>
      <w:i/>
    </w:rPr>
  </w:style>
  <w:style w:type="character" w:styleId="63">
    <w:name w:val="Hyperlink"/>
    <w:qFormat/>
    <w:uiPriority w:val="99"/>
    <w:rPr>
      <w:color w:val="0000FF"/>
      <w:u w:val="single"/>
    </w:rPr>
  </w:style>
  <w:style w:type="character" w:styleId="64">
    <w:name w:val="HTML Code"/>
    <w:basedOn w:val="54"/>
    <w:qFormat/>
    <w:uiPriority w:val="0"/>
    <w:rPr>
      <w:rFonts w:ascii="Courier New" w:hAnsi="Courier New"/>
      <w:sz w:val="20"/>
    </w:rPr>
  </w:style>
  <w:style w:type="character" w:styleId="65">
    <w:name w:val="annotation reference"/>
    <w:qFormat/>
    <w:uiPriority w:val="0"/>
    <w:rPr>
      <w:sz w:val="21"/>
      <w:szCs w:val="21"/>
    </w:rPr>
  </w:style>
  <w:style w:type="character" w:styleId="66">
    <w:name w:val="HTML Cite"/>
    <w:basedOn w:val="54"/>
    <w:qFormat/>
    <w:uiPriority w:val="0"/>
    <w:rPr>
      <w:i/>
    </w:rPr>
  </w:style>
  <w:style w:type="character" w:styleId="67">
    <w:name w:val="HTML Keyboard"/>
    <w:basedOn w:val="54"/>
    <w:qFormat/>
    <w:uiPriority w:val="0"/>
    <w:rPr>
      <w:rFonts w:ascii="Courier New" w:hAnsi="Courier New"/>
      <w:sz w:val="20"/>
    </w:rPr>
  </w:style>
  <w:style w:type="character" w:styleId="68">
    <w:name w:val="HTML Sample"/>
    <w:basedOn w:val="54"/>
    <w:qFormat/>
    <w:uiPriority w:val="0"/>
    <w:rPr>
      <w:rFonts w:ascii="Courier New" w:hAnsi="Courier New"/>
    </w:rPr>
  </w:style>
  <w:style w:type="paragraph" w:customStyle="1" w:styleId="69">
    <w:name w:val="Default"/>
    <w:qFormat/>
    <w:uiPriority w:val="0"/>
    <w:pPr>
      <w:widowControl w:val="0"/>
      <w:autoSpaceDE w:val="0"/>
      <w:autoSpaceDN w:val="0"/>
      <w:adjustRightInd w:val="0"/>
      <w:spacing w:after="160" w:line="278" w:lineRule="auto"/>
    </w:pPr>
    <w:rPr>
      <w:rFonts w:ascii="宋体" w:hAnsi="Times New Roman" w:eastAsia="宋体" w:cs="宋体"/>
      <w:color w:val="000000"/>
      <w:sz w:val="24"/>
      <w:szCs w:val="24"/>
      <w:lang w:val="en-US" w:eastAsia="zh-CN" w:bidi="ar-SA"/>
    </w:rPr>
  </w:style>
  <w:style w:type="character" w:customStyle="1" w:styleId="70">
    <w:name w:val="正文文本 字符5"/>
    <w:link w:val="21"/>
    <w:qFormat/>
    <w:uiPriority w:val="0"/>
    <w:rPr>
      <w:rFonts w:eastAsia="宋体"/>
      <w:kern w:val="2"/>
      <w:sz w:val="24"/>
      <w:szCs w:val="24"/>
      <w:lang w:val="en-US" w:eastAsia="zh-CN" w:bidi="ar-SA"/>
    </w:rPr>
  </w:style>
  <w:style w:type="character" w:customStyle="1" w:styleId="71">
    <w:name w:val="标题 1 字符5"/>
    <w:link w:val="3"/>
    <w:qFormat/>
    <w:uiPriority w:val="0"/>
    <w:rPr>
      <w:rFonts w:eastAsia="宋体"/>
      <w:b/>
      <w:bCs/>
      <w:kern w:val="44"/>
      <w:sz w:val="44"/>
      <w:szCs w:val="44"/>
      <w:lang w:val="en-US" w:eastAsia="zh-CN" w:bidi="ar-SA"/>
    </w:rPr>
  </w:style>
  <w:style w:type="character" w:customStyle="1" w:styleId="72">
    <w:name w:val="标题 2 字符5"/>
    <w:link w:val="4"/>
    <w:qFormat/>
    <w:uiPriority w:val="0"/>
    <w:rPr>
      <w:rFonts w:ascii="Arial" w:hAnsi="Arial" w:eastAsia="黑体"/>
      <w:b/>
      <w:bCs/>
      <w:sz w:val="32"/>
      <w:szCs w:val="32"/>
      <w:lang w:bidi="ar-SA"/>
    </w:rPr>
  </w:style>
  <w:style w:type="character" w:customStyle="1" w:styleId="73">
    <w:name w:val="标题 3 字符5"/>
    <w:link w:val="5"/>
    <w:qFormat/>
    <w:uiPriority w:val="0"/>
    <w:rPr>
      <w:rFonts w:eastAsia="宋体"/>
      <w:b/>
      <w:bCs/>
      <w:sz w:val="32"/>
      <w:szCs w:val="32"/>
      <w:lang w:bidi="ar-SA"/>
    </w:rPr>
  </w:style>
  <w:style w:type="character" w:customStyle="1" w:styleId="74">
    <w:name w:val="标题 4 字符5"/>
    <w:link w:val="6"/>
    <w:qFormat/>
    <w:uiPriority w:val="0"/>
    <w:rPr>
      <w:rFonts w:ascii="Arial" w:hAnsi="Arial" w:eastAsia="黑体"/>
      <w:sz w:val="28"/>
      <w:lang w:bidi="ar-SA"/>
    </w:rPr>
  </w:style>
  <w:style w:type="character" w:customStyle="1" w:styleId="75">
    <w:name w:val="标题 5 字符5"/>
    <w:link w:val="7"/>
    <w:qFormat/>
    <w:uiPriority w:val="0"/>
    <w:rPr>
      <w:rFonts w:eastAsia="宋体"/>
      <w:b/>
      <w:kern w:val="2"/>
      <w:sz w:val="28"/>
      <w:szCs w:val="24"/>
      <w:lang w:val="en-US" w:eastAsia="zh-CN" w:bidi="ar-SA"/>
    </w:rPr>
  </w:style>
  <w:style w:type="character" w:customStyle="1" w:styleId="76">
    <w:name w:val="标题 6 字符5"/>
    <w:link w:val="8"/>
    <w:qFormat/>
    <w:uiPriority w:val="0"/>
    <w:rPr>
      <w:rFonts w:ascii="Arial" w:hAnsi="Arial" w:eastAsia="黑体"/>
      <w:b/>
      <w:kern w:val="2"/>
      <w:sz w:val="24"/>
      <w:szCs w:val="24"/>
      <w:lang w:val="en-US" w:eastAsia="zh-CN" w:bidi="ar-SA"/>
    </w:rPr>
  </w:style>
  <w:style w:type="character" w:customStyle="1" w:styleId="77">
    <w:name w:val="标题 7 字符5"/>
    <w:link w:val="9"/>
    <w:qFormat/>
    <w:uiPriority w:val="0"/>
    <w:rPr>
      <w:rFonts w:eastAsia="宋体"/>
      <w:b/>
      <w:kern w:val="2"/>
      <w:sz w:val="24"/>
      <w:szCs w:val="24"/>
      <w:lang w:val="en-US" w:eastAsia="zh-CN" w:bidi="ar-SA"/>
    </w:rPr>
  </w:style>
  <w:style w:type="character" w:customStyle="1" w:styleId="78">
    <w:name w:val="标题 8 字符5"/>
    <w:link w:val="11"/>
    <w:qFormat/>
    <w:uiPriority w:val="0"/>
    <w:rPr>
      <w:rFonts w:ascii="Arial" w:hAnsi="Arial" w:eastAsia="黑体"/>
      <w:kern w:val="2"/>
      <w:sz w:val="24"/>
      <w:szCs w:val="24"/>
      <w:lang w:val="en-US" w:eastAsia="zh-CN" w:bidi="ar-SA"/>
    </w:rPr>
  </w:style>
  <w:style w:type="character" w:customStyle="1" w:styleId="79">
    <w:name w:val="标题 9 字符5"/>
    <w:link w:val="12"/>
    <w:qFormat/>
    <w:uiPriority w:val="0"/>
    <w:rPr>
      <w:rFonts w:ascii="Arial" w:hAnsi="Arial" w:eastAsia="黑体"/>
      <w:kern w:val="2"/>
      <w:sz w:val="21"/>
      <w:szCs w:val="24"/>
      <w:lang w:val="en-US" w:eastAsia="zh-CN" w:bidi="ar-SA"/>
    </w:rPr>
  </w:style>
  <w:style w:type="character" w:customStyle="1" w:styleId="80">
    <w:name w:val="文档结构图 字符5"/>
    <w:link w:val="16"/>
    <w:qFormat/>
    <w:uiPriority w:val="0"/>
    <w:rPr>
      <w:rFonts w:eastAsia="宋体"/>
      <w:kern w:val="2"/>
      <w:sz w:val="21"/>
      <w:szCs w:val="24"/>
      <w:lang w:val="en-US" w:eastAsia="zh-CN" w:bidi="ar-SA"/>
    </w:rPr>
  </w:style>
  <w:style w:type="character" w:customStyle="1" w:styleId="81">
    <w:name w:val="批注文字 字符5"/>
    <w:link w:val="18"/>
    <w:qFormat/>
    <w:uiPriority w:val="0"/>
    <w:rPr>
      <w:rFonts w:eastAsia="宋体"/>
      <w:sz w:val="24"/>
      <w:lang w:bidi="ar-SA"/>
    </w:rPr>
  </w:style>
  <w:style w:type="character" w:customStyle="1" w:styleId="82">
    <w:name w:val="称呼 字符5"/>
    <w:link w:val="19"/>
    <w:qFormat/>
    <w:uiPriority w:val="0"/>
    <w:rPr>
      <w:kern w:val="2"/>
      <w:sz w:val="28"/>
      <w:szCs w:val="24"/>
    </w:rPr>
  </w:style>
  <w:style w:type="character" w:customStyle="1" w:styleId="83">
    <w:name w:val="正文文本 3 字符5"/>
    <w:link w:val="20"/>
    <w:qFormat/>
    <w:uiPriority w:val="0"/>
    <w:rPr>
      <w:rFonts w:eastAsia="宋体"/>
      <w:b/>
      <w:bCs/>
      <w:kern w:val="2"/>
      <w:sz w:val="24"/>
      <w:szCs w:val="24"/>
      <w:lang w:val="en-US" w:eastAsia="zh-CN" w:bidi="ar-SA"/>
    </w:rPr>
  </w:style>
  <w:style w:type="character" w:customStyle="1" w:styleId="84">
    <w:name w:val="正文文本缩进 字符5"/>
    <w:link w:val="22"/>
    <w:qFormat/>
    <w:uiPriority w:val="0"/>
    <w:rPr>
      <w:rFonts w:ascii="仿宋_GB2312" w:eastAsia="仿宋_GB2312"/>
      <w:kern w:val="2"/>
      <w:sz w:val="32"/>
      <w:lang w:val="en-US" w:eastAsia="zh-CN" w:bidi="ar-SA"/>
    </w:rPr>
  </w:style>
  <w:style w:type="character" w:customStyle="1" w:styleId="85">
    <w:name w:val="HTML 地址 字符5"/>
    <w:basedOn w:val="54"/>
    <w:link w:val="26"/>
    <w:qFormat/>
    <w:locked/>
    <w:uiPriority w:val="0"/>
    <w:rPr>
      <w:rFonts w:ascii="宋体" w:eastAsia="宋体"/>
      <w:i/>
      <w:iCs/>
      <w:kern w:val="21"/>
      <w:sz w:val="21"/>
      <w:szCs w:val="21"/>
      <w:lang w:val="en-US" w:eastAsia="zh-CN" w:bidi="ar-SA"/>
    </w:rPr>
  </w:style>
  <w:style w:type="character" w:customStyle="1" w:styleId="86">
    <w:name w:val="TOC 3 字符1"/>
    <w:link w:val="28"/>
    <w:qFormat/>
    <w:locked/>
    <w:uiPriority w:val="0"/>
    <w:rPr>
      <w:rFonts w:eastAsia="宋体"/>
      <w:kern w:val="2"/>
      <w:sz w:val="21"/>
      <w:szCs w:val="24"/>
      <w:lang w:val="en-US" w:eastAsia="zh-CN" w:bidi="ar-SA"/>
    </w:rPr>
  </w:style>
  <w:style w:type="character" w:customStyle="1" w:styleId="87">
    <w:name w:val="纯文本 字符6"/>
    <w:link w:val="29"/>
    <w:qFormat/>
    <w:uiPriority w:val="0"/>
    <w:rPr>
      <w:rFonts w:ascii="宋体" w:hAnsi="Courier New" w:eastAsia="宋体" w:cs="Courier New"/>
      <w:kern w:val="2"/>
      <w:sz w:val="21"/>
      <w:szCs w:val="21"/>
      <w:lang w:val="en-US" w:eastAsia="zh-CN" w:bidi="ar-SA"/>
    </w:rPr>
  </w:style>
  <w:style w:type="character" w:customStyle="1" w:styleId="88">
    <w:name w:val="日期 字符5"/>
    <w:link w:val="31"/>
    <w:qFormat/>
    <w:uiPriority w:val="0"/>
    <w:rPr>
      <w:rFonts w:ascii="宋体" w:hAnsi="Courier New" w:eastAsia="宋体" w:cs="Courier New"/>
      <w:kern w:val="2"/>
      <w:sz w:val="21"/>
      <w:szCs w:val="21"/>
      <w:lang w:val="en-US" w:eastAsia="zh-CN" w:bidi="ar-SA"/>
    </w:rPr>
  </w:style>
  <w:style w:type="character" w:customStyle="1" w:styleId="89">
    <w:name w:val="正文文本缩进 2 字符5"/>
    <w:link w:val="32"/>
    <w:qFormat/>
    <w:uiPriority w:val="0"/>
    <w:rPr>
      <w:rFonts w:eastAsia="宋体"/>
      <w:kern w:val="2"/>
      <w:sz w:val="32"/>
      <w:lang w:val="en-US" w:eastAsia="zh-CN" w:bidi="ar-SA"/>
    </w:rPr>
  </w:style>
  <w:style w:type="character" w:customStyle="1" w:styleId="90">
    <w:name w:val="尾注文本 字符5"/>
    <w:link w:val="33"/>
    <w:qFormat/>
    <w:uiPriority w:val="0"/>
    <w:rPr>
      <w:rFonts w:ascii="Calibri" w:hAnsi="Calibri"/>
      <w:kern w:val="2"/>
      <w:sz w:val="21"/>
      <w:szCs w:val="22"/>
    </w:rPr>
  </w:style>
  <w:style w:type="character" w:customStyle="1" w:styleId="91">
    <w:name w:val="批注框文本 字符"/>
    <w:link w:val="34"/>
    <w:semiHidden/>
    <w:qFormat/>
    <w:uiPriority w:val="0"/>
    <w:rPr>
      <w:rFonts w:eastAsia="宋体"/>
      <w:kern w:val="2"/>
      <w:sz w:val="18"/>
      <w:szCs w:val="18"/>
      <w:lang w:val="en-US" w:eastAsia="zh-CN" w:bidi="ar-SA"/>
    </w:rPr>
  </w:style>
  <w:style w:type="character" w:customStyle="1" w:styleId="92">
    <w:name w:val="页脚 字符5"/>
    <w:link w:val="35"/>
    <w:qFormat/>
    <w:uiPriority w:val="99"/>
    <w:rPr>
      <w:rFonts w:eastAsia="宋体"/>
      <w:kern w:val="2"/>
      <w:sz w:val="18"/>
      <w:szCs w:val="18"/>
      <w:lang w:val="en-US" w:eastAsia="zh-CN" w:bidi="ar-SA"/>
    </w:rPr>
  </w:style>
  <w:style w:type="character" w:customStyle="1" w:styleId="93">
    <w:name w:val="页眉 字符5"/>
    <w:link w:val="36"/>
    <w:qFormat/>
    <w:uiPriority w:val="99"/>
    <w:rPr>
      <w:rFonts w:eastAsia="宋体"/>
      <w:kern w:val="2"/>
      <w:sz w:val="18"/>
      <w:szCs w:val="18"/>
      <w:lang w:val="en-US" w:eastAsia="zh-CN" w:bidi="ar-SA"/>
    </w:rPr>
  </w:style>
  <w:style w:type="character" w:customStyle="1" w:styleId="94">
    <w:name w:val="脚注文本 字符5"/>
    <w:basedOn w:val="54"/>
    <w:link w:val="39"/>
    <w:qFormat/>
    <w:locked/>
    <w:uiPriority w:val="0"/>
    <w:rPr>
      <w:rFonts w:ascii="宋体" w:eastAsia="宋体"/>
      <w:kern w:val="21"/>
      <w:sz w:val="18"/>
      <w:szCs w:val="18"/>
      <w:lang w:val="en-US" w:eastAsia="zh-CN" w:bidi="ar-SA"/>
    </w:rPr>
  </w:style>
  <w:style w:type="character" w:customStyle="1" w:styleId="95">
    <w:name w:val="正文文本缩进 3 字符5"/>
    <w:link w:val="42"/>
    <w:qFormat/>
    <w:uiPriority w:val="0"/>
    <w:rPr>
      <w:rFonts w:eastAsia="宋体"/>
      <w:kern w:val="2"/>
      <w:sz w:val="16"/>
      <w:szCs w:val="16"/>
      <w:lang w:val="en-US" w:eastAsia="zh-CN" w:bidi="ar-SA"/>
    </w:rPr>
  </w:style>
  <w:style w:type="character" w:customStyle="1" w:styleId="96">
    <w:name w:val="正文文本 2 字符5"/>
    <w:link w:val="45"/>
    <w:qFormat/>
    <w:uiPriority w:val="0"/>
    <w:rPr>
      <w:rFonts w:eastAsia="宋体"/>
      <w:kern w:val="2"/>
      <w:sz w:val="21"/>
      <w:szCs w:val="24"/>
      <w:lang w:val="en-US" w:eastAsia="zh-CN" w:bidi="ar-SA"/>
    </w:rPr>
  </w:style>
  <w:style w:type="character" w:customStyle="1" w:styleId="97">
    <w:name w:val="HTML 预设格式 字符5"/>
    <w:link w:val="46"/>
    <w:qFormat/>
    <w:uiPriority w:val="0"/>
    <w:rPr>
      <w:rFonts w:ascii="黑体" w:hAnsi="Courier New" w:eastAsia="黑体" w:cs="Courier New"/>
      <w:lang w:val="en-US" w:eastAsia="zh-CN" w:bidi="ar-SA"/>
    </w:rPr>
  </w:style>
  <w:style w:type="character" w:customStyle="1" w:styleId="98">
    <w:name w:val="标题 字符5"/>
    <w:link w:val="49"/>
    <w:qFormat/>
    <w:uiPriority w:val="0"/>
    <w:rPr>
      <w:rFonts w:ascii="Arial" w:hAnsi="Arial" w:eastAsia="宋体"/>
      <w:b/>
      <w:bCs/>
      <w:kern w:val="2"/>
      <w:sz w:val="32"/>
      <w:szCs w:val="32"/>
      <w:lang w:bidi="ar-SA"/>
    </w:rPr>
  </w:style>
  <w:style w:type="character" w:customStyle="1" w:styleId="99">
    <w:name w:val="批注主题 字符"/>
    <w:link w:val="50"/>
    <w:semiHidden/>
    <w:qFormat/>
    <w:uiPriority w:val="0"/>
    <w:rPr>
      <w:b/>
      <w:bCs/>
      <w:kern w:val="2"/>
      <w:sz w:val="21"/>
      <w:szCs w:val="24"/>
    </w:rPr>
  </w:style>
  <w:style w:type="paragraph" w:customStyle="1" w:styleId="100">
    <w:name w:val="表格文字"/>
    <w:basedOn w:val="1"/>
    <w:next w:val="21"/>
    <w:qFormat/>
    <w:uiPriority w:val="0"/>
    <w:pPr>
      <w:spacing w:before="25" w:after="25"/>
      <w:jc w:val="left"/>
    </w:pPr>
    <w:rPr>
      <w:bCs/>
      <w:spacing w:val="10"/>
      <w:kern w:val="0"/>
      <w:sz w:val="24"/>
    </w:rPr>
  </w:style>
  <w:style w:type="paragraph" w:customStyle="1" w:styleId="101">
    <w:name w:val="_Style 8"/>
    <w:basedOn w:val="16"/>
    <w:qFormat/>
    <w:uiPriority w:val="0"/>
    <w:pPr>
      <w:widowControl/>
      <w:ind w:firstLine="454"/>
      <w:jc w:val="left"/>
    </w:pPr>
  </w:style>
  <w:style w:type="character" w:customStyle="1" w:styleId="102">
    <w:name w:val="自定义标题一 Char Char"/>
    <w:qFormat/>
    <w:uiPriority w:val="0"/>
    <w:rPr>
      <w:rFonts w:ascii="黑体" w:hAnsi="黑体" w:eastAsia="黑体"/>
      <w:b/>
      <w:bCs/>
      <w:kern w:val="44"/>
      <w:sz w:val="44"/>
      <w:szCs w:val="44"/>
      <w:lang w:bidi="ar-SA"/>
      <w14:shadow w14:blurRad="50800" w14:dist="38100" w14:dir="2700000" w14:sx="100000" w14:sy="100000" w14:kx="0" w14:ky="0" w14:algn="tl">
        <w14:srgbClr w14:val="000000">
          <w14:alpha w14:val="60000"/>
        </w14:srgbClr>
      </w14:shadow>
    </w:rPr>
  </w:style>
  <w:style w:type="character" w:customStyle="1" w:styleId="103">
    <w:name w:val="apple-style-span"/>
    <w:basedOn w:val="54"/>
    <w:qFormat/>
    <w:uiPriority w:val="0"/>
  </w:style>
  <w:style w:type="character" w:customStyle="1" w:styleId="104">
    <w:name w:val="无间隔 字符9"/>
    <w:link w:val="105"/>
    <w:qFormat/>
    <w:uiPriority w:val="0"/>
    <w:rPr>
      <w:sz w:val="22"/>
      <w:szCs w:val="22"/>
      <w:lang w:val="en-US" w:eastAsia="zh-CN" w:bidi="ar-SA"/>
    </w:rPr>
  </w:style>
  <w:style w:type="paragraph" w:styleId="105">
    <w:name w:val="No Spacing"/>
    <w:link w:val="104"/>
    <w:qFormat/>
    <w:uiPriority w:val="0"/>
    <w:pPr>
      <w:spacing w:after="160" w:line="278" w:lineRule="auto"/>
    </w:pPr>
    <w:rPr>
      <w:rFonts w:ascii="Times New Roman" w:hAnsi="Times New Roman" w:eastAsia="宋体" w:cs="Times New Roman"/>
      <w:sz w:val="22"/>
      <w:szCs w:val="22"/>
      <w:lang w:val="en-US" w:eastAsia="zh-CN" w:bidi="ar-SA"/>
    </w:rPr>
  </w:style>
  <w:style w:type="character" w:customStyle="1" w:styleId="106">
    <w:name w:val="纯文本 Char"/>
    <w:qFormat/>
    <w:uiPriority w:val="99"/>
    <w:rPr>
      <w:rFonts w:ascii="宋体" w:hAnsi="Courier New" w:eastAsia="宋体"/>
      <w:kern w:val="2"/>
      <w:sz w:val="21"/>
      <w:lang w:val="en-US" w:eastAsia="zh-CN" w:bidi="ar-SA"/>
    </w:rPr>
  </w:style>
  <w:style w:type="character" w:customStyle="1" w:styleId="107">
    <w:name w:val="ca-10"/>
    <w:basedOn w:val="54"/>
    <w:qFormat/>
    <w:uiPriority w:val="0"/>
  </w:style>
  <w:style w:type="character" w:customStyle="1" w:styleId="108">
    <w:name w:val="Char Char Char Char Char"/>
    <w:qFormat/>
    <w:uiPriority w:val="0"/>
    <w:rPr>
      <w:rFonts w:hint="eastAsia" w:ascii="宋体" w:hAnsi="宋体" w:eastAsia="宋体"/>
      <w:b/>
      <w:bCs/>
      <w:kern w:val="44"/>
      <w:sz w:val="44"/>
      <w:szCs w:val="44"/>
      <w:lang w:val="en-US" w:eastAsia="zh-CN" w:bidi="ar-SA"/>
    </w:rPr>
  </w:style>
  <w:style w:type="character" w:customStyle="1" w:styleId="109">
    <w:name w:val="font41"/>
    <w:basedOn w:val="54"/>
    <w:qFormat/>
    <w:uiPriority w:val="0"/>
    <w:rPr>
      <w:rFonts w:hint="eastAsia" w:ascii="仿宋_GB2312" w:eastAsia="仿宋_GB2312" w:cs="仿宋_GB2312"/>
      <w:color w:val="000000"/>
      <w:sz w:val="20"/>
      <w:szCs w:val="20"/>
      <w:u w:val="none"/>
    </w:rPr>
  </w:style>
  <w:style w:type="character" w:customStyle="1" w:styleId="110">
    <w:name w:val="ca-11"/>
    <w:basedOn w:val="54"/>
    <w:qFormat/>
    <w:uiPriority w:val="0"/>
  </w:style>
  <w:style w:type="character" w:customStyle="1" w:styleId="111">
    <w:name w:val="Char Char12"/>
    <w:qFormat/>
    <w:uiPriority w:val="0"/>
    <w:rPr>
      <w:rFonts w:ascii="宋体" w:eastAsia="宋体" w:cs="Courier New"/>
      <w:kern w:val="2"/>
      <w:sz w:val="21"/>
      <w:szCs w:val="21"/>
      <w:lang w:val="en-US" w:eastAsia="zh-CN" w:bidi="ar-SA"/>
    </w:rPr>
  </w:style>
  <w:style w:type="character" w:customStyle="1" w:styleId="112">
    <w:name w:val="普通文字 Char Char4"/>
    <w:qFormat/>
    <w:uiPriority w:val="0"/>
    <w:rPr>
      <w:rFonts w:ascii="宋体" w:hAnsi="Courier New" w:eastAsia="宋体" w:cs="Courier New"/>
      <w:kern w:val="2"/>
      <w:sz w:val="21"/>
      <w:szCs w:val="21"/>
      <w:lang w:val="en-US" w:eastAsia="zh-CN" w:bidi="ar-SA"/>
    </w:rPr>
  </w:style>
  <w:style w:type="character" w:customStyle="1" w:styleId="113">
    <w:name w:val="ca-12"/>
    <w:basedOn w:val="54"/>
    <w:qFormat/>
    <w:uiPriority w:val="0"/>
  </w:style>
  <w:style w:type="character" w:customStyle="1" w:styleId="114">
    <w:name w:val="font71"/>
    <w:basedOn w:val="54"/>
    <w:qFormat/>
    <w:uiPriority w:val="0"/>
    <w:rPr>
      <w:rFonts w:hint="eastAsia" w:ascii="宋体" w:hAnsi="宋体" w:eastAsia="宋体" w:cs="宋体"/>
      <w:color w:val="FF0000"/>
      <w:sz w:val="18"/>
      <w:szCs w:val="18"/>
      <w:u w:val="none"/>
    </w:rPr>
  </w:style>
  <w:style w:type="character" w:customStyle="1" w:styleId="115">
    <w:name w:val="unnamed3"/>
    <w:basedOn w:val="54"/>
    <w:qFormat/>
    <w:uiPriority w:val="0"/>
  </w:style>
  <w:style w:type="character" w:customStyle="1" w:styleId="116">
    <w:name w:val="Char Char7"/>
    <w:qFormat/>
    <w:uiPriority w:val="0"/>
    <w:rPr>
      <w:rFonts w:ascii="宋体" w:eastAsia="宋体" w:cs="Courier New"/>
      <w:kern w:val="2"/>
      <w:sz w:val="21"/>
      <w:szCs w:val="21"/>
      <w:lang w:val="en-US" w:eastAsia="zh-CN" w:bidi="ar-SA"/>
    </w:rPr>
  </w:style>
  <w:style w:type="character" w:customStyle="1" w:styleId="117">
    <w:name w:val="ca-3"/>
    <w:basedOn w:val="54"/>
    <w:qFormat/>
    <w:uiPriority w:val="0"/>
  </w:style>
  <w:style w:type="character" w:customStyle="1" w:styleId="118">
    <w:name w:val="mark13"/>
    <w:basedOn w:val="54"/>
    <w:qFormat/>
    <w:uiPriority w:val="0"/>
  </w:style>
  <w:style w:type="character" w:customStyle="1" w:styleId="119">
    <w:name w:val="style21"/>
    <w:qFormat/>
    <w:uiPriority w:val="0"/>
    <w:rPr>
      <w:sz w:val="18"/>
      <w:szCs w:val="18"/>
    </w:rPr>
  </w:style>
  <w:style w:type="character" w:customStyle="1" w:styleId="120">
    <w:name w:val="Char Char14"/>
    <w:qFormat/>
    <w:uiPriority w:val="0"/>
    <w:rPr>
      <w:sz w:val="18"/>
      <w:szCs w:val="18"/>
    </w:rPr>
  </w:style>
  <w:style w:type="character" w:customStyle="1" w:styleId="121">
    <w:name w:val="Char Char15"/>
    <w:qFormat/>
    <w:uiPriority w:val="0"/>
    <w:rPr>
      <w:sz w:val="18"/>
      <w:szCs w:val="18"/>
    </w:rPr>
  </w:style>
  <w:style w:type="character" w:customStyle="1" w:styleId="122">
    <w:name w:val="p1"/>
    <w:basedOn w:val="54"/>
    <w:qFormat/>
    <w:uiPriority w:val="0"/>
  </w:style>
  <w:style w:type="character" w:customStyle="1" w:styleId="123">
    <w:name w:val="UP标题3 Char Char"/>
    <w:link w:val="124"/>
    <w:qFormat/>
    <w:locked/>
    <w:uiPriority w:val="0"/>
    <w:rPr>
      <w:rFonts w:ascii="黑体" w:eastAsia="黑体"/>
      <w:sz w:val="28"/>
      <w:szCs w:val="28"/>
      <w:lang w:bidi="ar-SA"/>
    </w:rPr>
  </w:style>
  <w:style w:type="paragraph" w:customStyle="1" w:styleId="124">
    <w:name w:val="UP标题3"/>
    <w:basedOn w:val="1"/>
    <w:link w:val="123"/>
    <w:qFormat/>
    <w:uiPriority w:val="0"/>
    <w:pPr>
      <w:spacing w:line="360" w:lineRule="auto"/>
      <w:ind w:firstLine="149" w:firstLineChars="149"/>
    </w:pPr>
    <w:rPr>
      <w:rFonts w:ascii="黑体" w:eastAsia="黑体"/>
      <w:kern w:val="0"/>
      <w:sz w:val="28"/>
      <w:szCs w:val="28"/>
    </w:rPr>
  </w:style>
  <w:style w:type="character" w:customStyle="1" w:styleId="125">
    <w:name w:val="ca-8"/>
    <w:basedOn w:val="54"/>
    <w:qFormat/>
    <w:uiPriority w:val="0"/>
  </w:style>
  <w:style w:type="character" w:customStyle="1" w:styleId="126">
    <w:name w:val="Body Text Char"/>
    <w:qFormat/>
    <w:locked/>
    <w:uiPriority w:val="0"/>
    <w:rPr>
      <w:rFonts w:eastAsia="宋体"/>
      <w:kern w:val="2"/>
      <w:sz w:val="24"/>
      <w:szCs w:val="24"/>
      <w:lang w:val="en-US" w:eastAsia="zh-CN" w:bidi="ar-SA"/>
    </w:rPr>
  </w:style>
  <w:style w:type="character" w:customStyle="1" w:styleId="127">
    <w:name w:val="ca-16"/>
    <w:basedOn w:val="54"/>
    <w:qFormat/>
    <w:uiPriority w:val="0"/>
  </w:style>
  <w:style w:type="character" w:customStyle="1" w:styleId="128">
    <w:name w:val="Char Char17"/>
    <w:qFormat/>
    <w:uiPriority w:val="0"/>
    <w:rPr>
      <w:rFonts w:hint="default" w:ascii="Times New Roman" w:hAnsi="Times New Roman" w:cs="Times New Roman"/>
      <w:b/>
      <w:bCs/>
      <w:kern w:val="2"/>
      <w:sz w:val="21"/>
      <w:szCs w:val="24"/>
    </w:rPr>
  </w:style>
  <w:style w:type="character" w:customStyle="1" w:styleId="129">
    <w:name w:val="ca-0"/>
    <w:qFormat/>
    <w:uiPriority w:val="0"/>
  </w:style>
  <w:style w:type="character" w:customStyle="1" w:styleId="130">
    <w:name w:val="Char Char8"/>
    <w:qFormat/>
    <w:uiPriority w:val="0"/>
    <w:rPr>
      <w:rFonts w:hint="eastAsia" w:ascii="仿宋_GB2312" w:eastAsia="仿宋_GB2312"/>
      <w:kern w:val="2"/>
      <w:sz w:val="32"/>
      <w:lang w:val="en-US" w:eastAsia="zh-CN" w:bidi="ar-SA"/>
    </w:rPr>
  </w:style>
  <w:style w:type="character" w:customStyle="1" w:styleId="131">
    <w:name w:val="Char Char3"/>
    <w:qFormat/>
    <w:locked/>
    <w:uiPriority w:val="0"/>
    <w:rPr>
      <w:rFonts w:ascii="宋体" w:hAnsi="Courier New" w:eastAsia="宋体" w:cs="Courier New"/>
      <w:kern w:val="2"/>
      <w:sz w:val="21"/>
      <w:szCs w:val="21"/>
      <w:lang w:val="en-US" w:eastAsia="zh-CN" w:bidi="ar-SA"/>
    </w:rPr>
  </w:style>
  <w:style w:type="character" w:customStyle="1" w:styleId="132">
    <w:name w:val="Char Char2"/>
    <w:qFormat/>
    <w:uiPriority w:val="0"/>
    <w:rPr>
      <w:rFonts w:eastAsia="宋体"/>
      <w:sz w:val="24"/>
    </w:rPr>
  </w:style>
  <w:style w:type="character" w:customStyle="1" w:styleId="133">
    <w:name w:val="批注文字 Char1"/>
    <w:semiHidden/>
    <w:qFormat/>
    <w:uiPriority w:val="0"/>
    <w:rPr>
      <w:kern w:val="2"/>
      <w:sz w:val="21"/>
      <w:szCs w:val="24"/>
    </w:rPr>
  </w:style>
  <w:style w:type="character" w:customStyle="1" w:styleId="134">
    <w:name w:val="Char Char23"/>
    <w:qFormat/>
    <w:uiPriority w:val="0"/>
    <w:rPr>
      <w:rFonts w:hint="default" w:ascii="Times New Roman" w:hAnsi="Times New Roman" w:eastAsia="宋体" w:cs="Times New Roman"/>
      <w:b/>
      <w:bCs/>
      <w:kern w:val="44"/>
      <w:sz w:val="44"/>
      <w:szCs w:val="44"/>
    </w:rPr>
  </w:style>
  <w:style w:type="character" w:customStyle="1" w:styleId="135">
    <w:name w:val="ca-5"/>
    <w:basedOn w:val="54"/>
    <w:qFormat/>
    <w:uiPriority w:val="0"/>
  </w:style>
  <w:style w:type="character" w:customStyle="1" w:styleId="136">
    <w:name w:val="cubane_hilight1"/>
    <w:qFormat/>
    <w:uiPriority w:val="0"/>
    <w:rPr>
      <w:color w:val="CC0000"/>
    </w:rPr>
  </w:style>
  <w:style w:type="character" w:customStyle="1" w:styleId="137">
    <w:name w:val="ca-7"/>
    <w:basedOn w:val="54"/>
    <w:qFormat/>
    <w:uiPriority w:val="0"/>
  </w:style>
  <w:style w:type="character" w:customStyle="1" w:styleId="138">
    <w:name w:val="普通文字 Char Char2"/>
    <w:qFormat/>
    <w:uiPriority w:val="0"/>
    <w:rPr>
      <w:rFonts w:ascii="宋体" w:hAnsi="Courier New" w:eastAsia="宋体"/>
      <w:kern w:val="2"/>
      <w:sz w:val="21"/>
      <w:lang w:val="en-US" w:eastAsia="zh-CN" w:bidi="ar-SA"/>
    </w:rPr>
  </w:style>
  <w:style w:type="character" w:customStyle="1" w:styleId="139">
    <w:name w:val="apple-converted-space"/>
    <w:basedOn w:val="54"/>
    <w:qFormat/>
    <w:uiPriority w:val="0"/>
  </w:style>
  <w:style w:type="character" w:customStyle="1" w:styleId="140">
    <w:name w:val="标题 Char1"/>
    <w:qFormat/>
    <w:uiPriority w:val="0"/>
    <w:rPr>
      <w:rFonts w:hint="default" w:ascii="Cambria" w:hAnsi="Cambria" w:cs="Times New Roman"/>
      <w:b/>
      <w:bCs/>
      <w:kern w:val="2"/>
      <w:sz w:val="32"/>
      <w:szCs w:val="32"/>
    </w:rPr>
  </w:style>
  <w:style w:type="character" w:customStyle="1" w:styleId="141">
    <w:name w:val="ca-4"/>
    <w:basedOn w:val="54"/>
    <w:qFormat/>
    <w:uiPriority w:val="0"/>
  </w:style>
  <w:style w:type="character" w:customStyle="1" w:styleId="142">
    <w:name w:val="ca-2"/>
    <w:basedOn w:val="54"/>
    <w:qFormat/>
    <w:uiPriority w:val="0"/>
  </w:style>
  <w:style w:type="character" w:customStyle="1" w:styleId="143">
    <w:name w:val="Char Char10"/>
    <w:semiHidden/>
    <w:qFormat/>
    <w:uiPriority w:val="0"/>
    <w:rPr>
      <w:rFonts w:hint="eastAsia" w:ascii="宋体" w:hAnsi="宋体" w:eastAsia="宋体"/>
      <w:kern w:val="2"/>
      <w:sz w:val="24"/>
      <w:szCs w:val="24"/>
      <w:lang w:val="en-US" w:eastAsia="zh-CN" w:bidi="ar-SA"/>
    </w:rPr>
  </w:style>
  <w:style w:type="character" w:customStyle="1" w:styleId="144">
    <w:name w:val="1ji Char Char"/>
    <w:qFormat/>
    <w:locked/>
    <w:uiPriority w:val="0"/>
    <w:rPr>
      <w:rFonts w:ascii="宋体" w:hAnsi="宋体" w:eastAsia="宋体"/>
      <w:b/>
      <w:bCs/>
      <w:kern w:val="44"/>
      <w:sz w:val="36"/>
      <w:szCs w:val="44"/>
    </w:rPr>
  </w:style>
  <w:style w:type="character" w:customStyle="1" w:styleId="145">
    <w:name w:val="H1 Char1"/>
    <w:qFormat/>
    <w:uiPriority w:val="0"/>
    <w:rPr>
      <w:rFonts w:eastAsia="宋体"/>
      <w:b/>
      <w:bCs/>
      <w:kern w:val="44"/>
      <w:sz w:val="44"/>
      <w:szCs w:val="44"/>
      <w:lang w:val="en-US" w:eastAsia="zh-CN" w:bidi="ar-SA"/>
    </w:rPr>
  </w:style>
  <w:style w:type="character" w:customStyle="1" w:styleId="146">
    <w:name w:val="Char Char1011"/>
    <w:semiHidden/>
    <w:qFormat/>
    <w:uiPriority w:val="0"/>
    <w:rPr>
      <w:rFonts w:eastAsia="宋体"/>
      <w:kern w:val="2"/>
      <w:sz w:val="24"/>
      <w:szCs w:val="24"/>
      <w:lang w:val="en-US" w:eastAsia="zh-CN" w:bidi="ar-SA"/>
    </w:rPr>
  </w:style>
  <w:style w:type="character" w:customStyle="1" w:styleId="147">
    <w:name w:val="Char Char1411"/>
    <w:qFormat/>
    <w:uiPriority w:val="0"/>
    <w:rPr>
      <w:sz w:val="18"/>
      <w:szCs w:val="18"/>
    </w:rPr>
  </w:style>
  <w:style w:type="character" w:customStyle="1" w:styleId="148">
    <w:name w:val="H1 Char2"/>
    <w:qFormat/>
    <w:uiPriority w:val="0"/>
    <w:rPr>
      <w:rFonts w:eastAsia="宋体"/>
      <w:b/>
      <w:bCs/>
      <w:kern w:val="44"/>
      <w:sz w:val="44"/>
      <w:szCs w:val="44"/>
      <w:lang w:val="en-US" w:eastAsia="zh-CN" w:bidi="ar-SA"/>
    </w:rPr>
  </w:style>
  <w:style w:type="character" w:customStyle="1" w:styleId="149">
    <w:name w:val="无间隔 Char Char"/>
    <w:qFormat/>
    <w:uiPriority w:val="0"/>
    <w:rPr>
      <w:rFonts w:ascii="Calibri" w:hAnsi="Calibri" w:eastAsia="宋体"/>
      <w:sz w:val="22"/>
      <w:szCs w:val="22"/>
      <w:lang w:val="en-US" w:eastAsia="zh-CN" w:bidi="ar-SA"/>
    </w:rPr>
  </w:style>
  <w:style w:type="character" w:customStyle="1" w:styleId="150">
    <w:name w:val="正文文本缩进 Char1"/>
    <w:semiHidden/>
    <w:qFormat/>
    <w:uiPriority w:val="0"/>
    <w:rPr>
      <w:kern w:val="2"/>
      <w:sz w:val="21"/>
      <w:szCs w:val="22"/>
    </w:rPr>
  </w:style>
  <w:style w:type="character" w:customStyle="1" w:styleId="151">
    <w:name w:val="font31"/>
    <w:basedOn w:val="54"/>
    <w:qFormat/>
    <w:uiPriority w:val="0"/>
    <w:rPr>
      <w:rFonts w:hint="eastAsia" w:ascii="宋体" w:hAnsi="宋体" w:eastAsia="宋体" w:cs="宋体"/>
      <w:color w:val="000000"/>
      <w:sz w:val="16"/>
      <w:szCs w:val="16"/>
      <w:u w:val="none"/>
    </w:rPr>
  </w:style>
  <w:style w:type="character" w:customStyle="1" w:styleId="152">
    <w:name w:val="Char Char4"/>
    <w:qFormat/>
    <w:locked/>
    <w:uiPriority w:val="0"/>
    <w:rPr>
      <w:rFonts w:ascii="宋体" w:hAnsi="Courier New" w:eastAsia="宋体" w:cs="Courier New"/>
      <w:kern w:val="2"/>
      <w:sz w:val="21"/>
      <w:szCs w:val="21"/>
      <w:lang w:val="en-US" w:eastAsia="zh-CN" w:bidi="ar-SA"/>
    </w:rPr>
  </w:style>
  <w:style w:type="character" w:customStyle="1" w:styleId="153">
    <w:name w:val="Char Char21"/>
    <w:qFormat/>
    <w:uiPriority w:val="0"/>
    <w:rPr>
      <w:rFonts w:ascii="宋体" w:eastAsia="宋体"/>
      <w:sz w:val="24"/>
    </w:rPr>
  </w:style>
  <w:style w:type="character" w:customStyle="1" w:styleId="154">
    <w:name w:val="Char Char11"/>
    <w:qFormat/>
    <w:uiPriority w:val="0"/>
    <w:rPr>
      <w:rFonts w:ascii="Times New Roman" w:hAnsi="Times New Roman" w:eastAsia="宋体" w:cs="Times New Roman"/>
      <w:sz w:val="30"/>
      <w:szCs w:val="24"/>
    </w:rPr>
  </w:style>
  <w:style w:type="character" w:customStyle="1" w:styleId="155">
    <w:name w:val="font21"/>
    <w:basedOn w:val="54"/>
    <w:qFormat/>
    <w:uiPriority w:val="0"/>
    <w:rPr>
      <w:rFonts w:ascii="Calibri" w:hAnsi="Calibri" w:cs="Calibri"/>
      <w:color w:val="000000"/>
      <w:sz w:val="20"/>
      <w:szCs w:val="20"/>
      <w:u w:val="none"/>
    </w:rPr>
  </w:style>
  <w:style w:type="character" w:customStyle="1" w:styleId="156">
    <w:name w:val="彩色列表 - 强调文字颜色 1 Char"/>
    <w:qFormat/>
    <w:locked/>
    <w:uiPriority w:val="34"/>
    <w:rPr>
      <w:rFonts w:ascii="Calibri" w:hAnsi="Calibri"/>
      <w:sz w:val="24"/>
      <w:szCs w:val="24"/>
      <w:lang w:eastAsia="en-US"/>
    </w:rPr>
  </w:style>
  <w:style w:type="character" w:customStyle="1" w:styleId="157">
    <w:name w:val="Char Char111"/>
    <w:qFormat/>
    <w:uiPriority w:val="0"/>
    <w:rPr>
      <w:rFonts w:hint="default" w:ascii="Times New Roman" w:hAnsi="Times New Roman" w:eastAsia="宋体" w:cs="Times New Roman"/>
      <w:sz w:val="30"/>
      <w:szCs w:val="24"/>
    </w:rPr>
  </w:style>
  <w:style w:type="character" w:customStyle="1" w:styleId="158">
    <w:name w:val="ca-14"/>
    <w:basedOn w:val="54"/>
    <w:qFormat/>
    <w:uiPriority w:val="0"/>
  </w:style>
  <w:style w:type="character" w:customStyle="1" w:styleId="159">
    <w:name w:val="font11"/>
    <w:qFormat/>
    <w:uiPriority w:val="0"/>
    <w:rPr>
      <w:rFonts w:hint="eastAsia" w:ascii="宋体" w:hAnsi="宋体" w:eastAsia="宋体" w:cs="宋体"/>
      <w:color w:val="FF0000"/>
      <w:sz w:val="16"/>
      <w:szCs w:val="16"/>
      <w:u w:val="none"/>
    </w:rPr>
  </w:style>
  <w:style w:type="character" w:customStyle="1" w:styleId="160">
    <w:name w:val="row08"/>
    <w:qFormat/>
    <w:uiPriority w:val="0"/>
    <w:rPr>
      <w:rFonts w:cs="Times New Roman"/>
      <w:lang w:bidi="ar-SA"/>
    </w:rPr>
  </w:style>
  <w:style w:type="character" w:customStyle="1" w:styleId="161">
    <w:name w:val="列出段落 Char"/>
    <w:link w:val="162"/>
    <w:qFormat/>
    <w:uiPriority w:val="0"/>
    <w:rPr>
      <w:rFonts w:ascii="Calibri" w:hAnsi="Calibri" w:eastAsia="宋体"/>
      <w:kern w:val="2"/>
      <w:sz w:val="21"/>
      <w:szCs w:val="22"/>
      <w:lang w:val="en-US" w:eastAsia="zh-CN" w:bidi="ar-SA"/>
    </w:rPr>
  </w:style>
  <w:style w:type="paragraph" w:customStyle="1" w:styleId="162">
    <w:name w:val="列出段落3"/>
    <w:basedOn w:val="1"/>
    <w:link w:val="161"/>
    <w:qFormat/>
    <w:uiPriority w:val="0"/>
    <w:pPr>
      <w:ind w:firstLine="420" w:firstLineChars="200"/>
    </w:pPr>
    <w:rPr>
      <w:rFonts w:ascii="Calibri" w:hAnsi="Calibri"/>
      <w:szCs w:val="22"/>
    </w:rPr>
  </w:style>
  <w:style w:type="character" w:customStyle="1" w:styleId="163">
    <w:name w:val="自定义标题一 Char"/>
    <w:link w:val="164"/>
    <w:qFormat/>
    <w:uiPriority w:val="0"/>
    <w:rPr>
      <w:rFonts w:ascii="黑体" w:hAnsi="黑体" w:eastAsia="黑体"/>
      <w:b/>
      <w:bCs/>
      <w:kern w:val="44"/>
      <w:sz w:val="44"/>
      <w:szCs w:val="44"/>
      <w:lang w:bidi="ar-SA"/>
      <w14:shadow w14:blurRad="50800" w14:dist="38100" w14:dir="2700000" w14:sx="100000" w14:sy="100000" w14:kx="0" w14:ky="0" w14:algn="tl">
        <w14:srgbClr w14:val="000000">
          <w14:alpha w14:val="60000"/>
        </w14:srgbClr>
      </w14:shadow>
    </w:rPr>
  </w:style>
  <w:style w:type="paragraph" w:customStyle="1" w:styleId="164">
    <w:name w:val="自定义标题一"/>
    <w:basedOn w:val="3"/>
    <w:link w:val="163"/>
    <w:qFormat/>
    <w:uiPriority w:val="0"/>
    <w:pPr>
      <w:pageBreakBefore/>
      <w:tabs>
        <w:tab w:val="left" w:pos="144"/>
      </w:tabs>
      <w:spacing w:before="0" w:after="0" w:line="360" w:lineRule="auto"/>
      <w:ind w:left="144" w:hanging="144"/>
      <w:jc w:val="center"/>
    </w:pPr>
    <w:rPr>
      <w:rFonts w:ascii="黑体" w:hAnsi="黑体" w:eastAsia="黑体"/>
      <w14:shadow w14:blurRad="50800" w14:dist="38100" w14:dir="2700000" w14:sx="100000" w14:sy="100000" w14:kx="0" w14:ky="0" w14:algn="tl">
        <w14:srgbClr w14:val="000000">
          <w14:alpha w14:val="60000"/>
        </w14:srgbClr>
      </w14:shadow>
    </w:rPr>
  </w:style>
  <w:style w:type="character" w:customStyle="1" w:styleId="165">
    <w:name w:val="Char Char6"/>
    <w:qFormat/>
    <w:locked/>
    <w:uiPriority w:val="0"/>
    <w:rPr>
      <w:rFonts w:ascii="宋体" w:hAnsi="Courier New" w:eastAsia="宋体" w:cs="Courier New"/>
      <w:kern w:val="2"/>
      <w:sz w:val="21"/>
      <w:szCs w:val="21"/>
      <w:lang w:val="en-US" w:eastAsia="zh-CN" w:bidi="ar-SA"/>
    </w:rPr>
  </w:style>
  <w:style w:type="character" w:customStyle="1" w:styleId="166">
    <w:name w:val="ca-15"/>
    <w:basedOn w:val="54"/>
    <w:qFormat/>
    <w:uiPriority w:val="0"/>
  </w:style>
  <w:style w:type="character" w:customStyle="1" w:styleId="167">
    <w:name w:val="Char Char28"/>
    <w:qFormat/>
    <w:locked/>
    <w:uiPriority w:val="0"/>
    <w:rPr>
      <w:rFonts w:eastAsia="宋体"/>
      <w:b/>
      <w:bCs/>
      <w:kern w:val="44"/>
      <w:sz w:val="44"/>
      <w:szCs w:val="44"/>
      <w:lang w:val="en-US" w:eastAsia="zh-CN" w:bidi="ar-SA"/>
    </w:rPr>
  </w:style>
  <w:style w:type="character" w:customStyle="1" w:styleId="168">
    <w:name w:val="Char Char Char Char Char11"/>
    <w:qFormat/>
    <w:uiPriority w:val="0"/>
    <w:rPr>
      <w:rFonts w:eastAsia="宋体"/>
      <w:b/>
      <w:bCs/>
      <w:kern w:val="44"/>
      <w:sz w:val="44"/>
      <w:szCs w:val="44"/>
      <w:lang w:val="en-US" w:eastAsia="zh-CN" w:bidi="ar-SA"/>
    </w:rPr>
  </w:style>
  <w:style w:type="character" w:customStyle="1" w:styleId="169">
    <w:name w:val="正文2 Char Char"/>
    <w:link w:val="170"/>
    <w:qFormat/>
    <w:locked/>
    <w:uiPriority w:val="0"/>
    <w:rPr>
      <w:kern w:val="2"/>
      <w:sz w:val="28"/>
      <w:szCs w:val="22"/>
      <w:lang w:bidi="ar-SA"/>
    </w:rPr>
  </w:style>
  <w:style w:type="paragraph" w:customStyle="1" w:styleId="170">
    <w:name w:val="正文2"/>
    <w:basedOn w:val="1"/>
    <w:link w:val="169"/>
    <w:qFormat/>
    <w:uiPriority w:val="0"/>
    <w:pPr>
      <w:spacing w:line="360" w:lineRule="auto"/>
      <w:ind w:firstLine="200" w:firstLineChars="200"/>
    </w:pPr>
    <w:rPr>
      <w:sz w:val="28"/>
      <w:szCs w:val="22"/>
    </w:rPr>
  </w:style>
  <w:style w:type="character" w:customStyle="1" w:styleId="171">
    <w:name w:val="正文文字首行缩进 Char"/>
    <w:qFormat/>
    <w:locked/>
    <w:uiPriority w:val="0"/>
    <w:rPr>
      <w:rFonts w:ascii="仿宋_GB2312" w:eastAsia="仿宋_GB2312"/>
      <w:kern w:val="2"/>
      <w:sz w:val="32"/>
    </w:rPr>
  </w:style>
  <w:style w:type="character" w:customStyle="1" w:styleId="172">
    <w:name w:val="Char Char"/>
    <w:qFormat/>
    <w:uiPriority w:val="0"/>
    <w:rPr>
      <w:rFonts w:ascii="宋体" w:eastAsia="宋体" w:cs="Courier New"/>
      <w:kern w:val="2"/>
      <w:sz w:val="21"/>
      <w:szCs w:val="21"/>
      <w:lang w:val="en-US" w:eastAsia="zh-CN" w:bidi="ar-SA"/>
    </w:rPr>
  </w:style>
  <w:style w:type="character" w:customStyle="1" w:styleId="173">
    <w:name w:val="H1 Char"/>
    <w:qFormat/>
    <w:uiPriority w:val="0"/>
    <w:rPr>
      <w:rFonts w:eastAsia="宋体"/>
      <w:b/>
      <w:bCs/>
      <w:kern w:val="44"/>
      <w:sz w:val="44"/>
      <w:szCs w:val="44"/>
      <w:lang w:val="en-US" w:eastAsia="zh-CN" w:bidi="ar-SA"/>
    </w:rPr>
  </w:style>
  <w:style w:type="character" w:customStyle="1" w:styleId="174">
    <w:name w:val="Plain Text Char"/>
    <w:link w:val="175"/>
    <w:qFormat/>
    <w:locked/>
    <w:uiPriority w:val="0"/>
    <w:rPr>
      <w:rFonts w:ascii="宋体" w:hAnsi="Courier New" w:eastAsia="宋体"/>
      <w:kern w:val="2"/>
      <w:sz w:val="21"/>
    </w:rPr>
  </w:style>
  <w:style w:type="paragraph" w:customStyle="1" w:styleId="175">
    <w:name w:val="纯文本1"/>
    <w:basedOn w:val="1"/>
    <w:link w:val="174"/>
    <w:qFormat/>
    <w:uiPriority w:val="0"/>
    <w:rPr>
      <w:rFonts w:ascii="宋体" w:hAnsi="Courier New"/>
      <w:szCs w:val="20"/>
    </w:rPr>
  </w:style>
  <w:style w:type="character" w:customStyle="1" w:styleId="176">
    <w:name w:val="style31"/>
    <w:qFormat/>
    <w:uiPriority w:val="0"/>
    <w:rPr>
      <w:sz w:val="18"/>
      <w:szCs w:val="18"/>
    </w:rPr>
  </w:style>
  <w:style w:type="character" w:customStyle="1" w:styleId="177">
    <w:name w:val="纯文本 字符"/>
    <w:qFormat/>
    <w:uiPriority w:val="0"/>
    <w:rPr>
      <w:rFonts w:ascii="宋体" w:hAnsi="Courier New" w:eastAsia="宋体" w:cs="Courier New"/>
      <w:kern w:val="2"/>
      <w:sz w:val="21"/>
      <w:szCs w:val="21"/>
      <w:lang w:val="en-US" w:eastAsia="zh-CN" w:bidi="ar-SA"/>
    </w:rPr>
  </w:style>
  <w:style w:type="character" w:customStyle="1" w:styleId="178">
    <w:name w:val="ti"/>
    <w:basedOn w:val="54"/>
    <w:qFormat/>
    <w:uiPriority w:val="0"/>
  </w:style>
  <w:style w:type="character" w:customStyle="1" w:styleId="179">
    <w:name w:val="1ji Char"/>
    <w:link w:val="180"/>
    <w:qFormat/>
    <w:uiPriority w:val="0"/>
    <w:rPr>
      <w:rFonts w:ascii="宋体" w:hAnsi="宋体" w:eastAsia="宋体"/>
      <w:b/>
      <w:bCs/>
      <w:kern w:val="44"/>
      <w:sz w:val="36"/>
      <w:szCs w:val="44"/>
      <w:lang w:val="en-US" w:eastAsia="zh-CN" w:bidi="ar-SA"/>
    </w:rPr>
  </w:style>
  <w:style w:type="paragraph" w:customStyle="1" w:styleId="180">
    <w:name w:val="1ji"/>
    <w:basedOn w:val="3"/>
    <w:link w:val="179"/>
    <w:qFormat/>
    <w:uiPriority w:val="0"/>
    <w:pPr>
      <w:keepLines w:val="0"/>
      <w:widowControl/>
      <w:spacing w:before="0" w:after="0" w:line="240" w:lineRule="auto"/>
      <w:jc w:val="center"/>
    </w:pPr>
    <w:rPr>
      <w:rFonts w:ascii="宋体" w:hAnsi="宋体"/>
      <w:sz w:val="36"/>
    </w:rPr>
  </w:style>
  <w:style w:type="character" w:customStyle="1" w:styleId="181">
    <w:name w:val="Char Char2311"/>
    <w:qFormat/>
    <w:uiPriority w:val="0"/>
    <w:rPr>
      <w:rFonts w:ascii="Times New Roman" w:hAnsi="Times New Roman" w:eastAsia="宋体" w:cs="Times New Roman"/>
      <w:b/>
      <w:bCs/>
      <w:kern w:val="44"/>
      <w:sz w:val="44"/>
      <w:szCs w:val="44"/>
    </w:rPr>
  </w:style>
  <w:style w:type="character" w:customStyle="1" w:styleId="182">
    <w:name w:val="ca-13"/>
    <w:basedOn w:val="54"/>
    <w:qFormat/>
    <w:uiPriority w:val="0"/>
  </w:style>
  <w:style w:type="character" w:customStyle="1" w:styleId="183">
    <w:name w:val="纯文本 Char1"/>
    <w:qFormat/>
    <w:uiPriority w:val="99"/>
    <w:rPr>
      <w:rFonts w:ascii="宋体" w:hAnsi="Courier New" w:eastAsia="宋体" w:cs="Courier New"/>
      <w:kern w:val="2"/>
      <w:sz w:val="21"/>
      <w:szCs w:val="21"/>
      <w:lang w:val="en-US" w:eastAsia="zh-CN" w:bidi="ar-SA"/>
    </w:rPr>
  </w:style>
  <w:style w:type="character" w:customStyle="1" w:styleId="184">
    <w:name w:val="font51"/>
    <w:basedOn w:val="54"/>
    <w:qFormat/>
    <w:uiPriority w:val="0"/>
    <w:rPr>
      <w:rFonts w:hint="eastAsia" w:ascii="宋体" w:hAnsi="宋体" w:eastAsia="宋体" w:cs="宋体"/>
      <w:color w:val="FF0000"/>
      <w:sz w:val="18"/>
      <w:szCs w:val="18"/>
      <w:u w:val="none"/>
      <w:vertAlign w:val="superscript"/>
    </w:rPr>
  </w:style>
  <w:style w:type="character" w:customStyle="1" w:styleId="185">
    <w:name w:val="ca-6"/>
    <w:basedOn w:val="54"/>
    <w:qFormat/>
    <w:uiPriority w:val="0"/>
  </w:style>
  <w:style w:type="character" w:customStyle="1" w:styleId="186">
    <w:name w:val="style161"/>
    <w:qFormat/>
    <w:uiPriority w:val="0"/>
    <w:rPr>
      <w:color w:val="666666"/>
    </w:rPr>
  </w:style>
  <w:style w:type="character" w:customStyle="1" w:styleId="187">
    <w:name w:val="Char Char1511"/>
    <w:qFormat/>
    <w:uiPriority w:val="0"/>
    <w:rPr>
      <w:sz w:val="18"/>
      <w:szCs w:val="18"/>
    </w:rPr>
  </w:style>
  <w:style w:type="character" w:customStyle="1" w:styleId="188">
    <w:name w:val="llyf92"/>
    <w:qFormat/>
    <w:uiPriority w:val="0"/>
    <w:rPr>
      <w:sz w:val="18"/>
      <w:szCs w:val="18"/>
    </w:rPr>
  </w:style>
  <w:style w:type="paragraph" w:customStyle="1" w:styleId="189">
    <w:name w:val="Char Char Char Char Char Char Char Char Char Char Char Char Char Char Char Char"/>
    <w:basedOn w:val="1"/>
    <w:qFormat/>
    <w:uiPriority w:val="0"/>
    <w:pPr>
      <w:tabs>
        <w:tab w:val="left" w:pos="360"/>
      </w:tabs>
      <w:spacing w:line="360" w:lineRule="auto"/>
      <w:ind w:left="482" w:firstLine="200" w:firstLineChars="200"/>
    </w:pPr>
    <w:rPr>
      <w:rFonts w:ascii="宋体"/>
      <w:sz w:val="24"/>
    </w:rPr>
  </w:style>
  <w:style w:type="paragraph" w:customStyle="1" w:styleId="190">
    <w:name w:val="Char Char1 Char Char Char Char1"/>
    <w:basedOn w:val="16"/>
    <w:qFormat/>
    <w:uiPriority w:val="0"/>
    <w:rPr>
      <w:rFonts w:ascii="Tahoma" w:hAnsi="Tahoma"/>
      <w:sz w:val="24"/>
    </w:rPr>
  </w:style>
  <w:style w:type="paragraph" w:customStyle="1" w:styleId="191">
    <w:name w:val="表-正文"/>
    <w:basedOn w:val="1"/>
    <w:qFormat/>
    <w:uiPriority w:val="0"/>
    <w:pPr>
      <w:autoSpaceDE w:val="0"/>
      <w:autoSpaceDN w:val="0"/>
      <w:adjustRightInd w:val="0"/>
      <w:spacing w:line="240" w:lineRule="atLeast"/>
      <w:jc w:val="center"/>
    </w:pPr>
    <w:rPr>
      <w:rFonts w:ascii="方正中等线简体 Regular" w:hAnsi="Calibri" w:eastAsia="方正中等线简体 Regular" w:cs="方正中等线简体 Regular"/>
      <w:color w:val="000000"/>
      <w:kern w:val="0"/>
      <w:sz w:val="18"/>
      <w:szCs w:val="18"/>
      <w:lang w:val="zh-CN"/>
    </w:rPr>
  </w:style>
  <w:style w:type="paragraph" w:customStyle="1" w:styleId="192">
    <w:name w:val="Char Char1121"/>
    <w:basedOn w:val="1"/>
    <w:qFormat/>
    <w:uiPriority w:val="0"/>
    <w:pPr>
      <w:widowControl/>
      <w:spacing w:line="240" w:lineRule="exact"/>
      <w:jc w:val="left"/>
    </w:pPr>
    <w:rPr>
      <w:rFonts w:ascii="Verdana" w:hAnsi="Verdana" w:eastAsia="楷体_GB2312" w:cs="宋体"/>
      <w:b/>
      <w:i/>
      <w:iCs/>
      <w:color w:val="000000"/>
      <w:kern w:val="0"/>
      <w:sz w:val="20"/>
      <w:lang w:eastAsia="en-US"/>
    </w:rPr>
  </w:style>
  <w:style w:type="paragraph" w:customStyle="1" w:styleId="193">
    <w:name w:val="列出段落1"/>
    <w:qFormat/>
    <w:uiPriority w:val="0"/>
    <w:pPr>
      <w:spacing w:after="160" w:line="278" w:lineRule="auto"/>
      <w:ind w:firstLine="420" w:firstLineChars="200"/>
    </w:pPr>
    <w:rPr>
      <w:rFonts w:ascii="Times New Roman" w:hAnsi="Times New Roman" w:eastAsia="宋体" w:cs="Times New Roman"/>
      <w:szCs w:val="22"/>
      <w:lang w:val="en-US" w:eastAsia="zh-CN" w:bidi="ar-SA"/>
    </w:rPr>
  </w:style>
  <w:style w:type="paragraph" w:customStyle="1" w:styleId="194">
    <w:name w:val="标准文本"/>
    <w:basedOn w:val="1"/>
    <w:qFormat/>
    <w:uiPriority w:val="0"/>
    <w:pPr>
      <w:spacing w:line="360" w:lineRule="auto"/>
      <w:ind w:firstLine="200" w:firstLineChars="200"/>
    </w:pPr>
    <w:rPr>
      <w:kern w:val="0"/>
      <w:sz w:val="24"/>
      <w:szCs w:val="20"/>
    </w:rPr>
  </w:style>
  <w:style w:type="paragraph" w:customStyle="1" w:styleId="195">
    <w:name w:val="Char Char Char1 Char"/>
    <w:basedOn w:val="1"/>
    <w:qFormat/>
    <w:uiPriority w:val="0"/>
    <w:pPr>
      <w:tabs>
        <w:tab w:val="left" w:pos="360"/>
      </w:tabs>
      <w:spacing w:line="360" w:lineRule="auto"/>
      <w:ind w:left="482" w:firstLine="200" w:firstLineChars="200"/>
    </w:pPr>
    <w:rPr>
      <w:rFonts w:ascii="宋体"/>
      <w:sz w:val="24"/>
      <w:szCs w:val="20"/>
    </w:rPr>
  </w:style>
  <w:style w:type="paragraph" w:customStyle="1" w:styleId="196">
    <w:name w:val="font10"/>
    <w:basedOn w:val="1"/>
    <w:qFormat/>
    <w:uiPriority w:val="0"/>
    <w:pPr>
      <w:widowControl/>
      <w:spacing w:before="100" w:beforeAutospacing="1" w:after="100" w:afterAutospacing="1"/>
      <w:jc w:val="left"/>
    </w:pPr>
    <w:rPr>
      <w:color w:val="000000"/>
      <w:kern w:val="0"/>
      <w:sz w:val="24"/>
    </w:rPr>
  </w:style>
  <w:style w:type="paragraph" w:customStyle="1" w:styleId="197">
    <w:name w:val="Char Char Char Char Char Char Char Char Char Char Char Char"/>
    <w:basedOn w:val="1"/>
    <w:qFormat/>
    <w:uiPriority w:val="0"/>
    <w:pPr>
      <w:widowControl/>
      <w:spacing w:line="240" w:lineRule="exact"/>
      <w:jc w:val="left"/>
    </w:pPr>
    <w:rPr>
      <w:rFonts w:ascii="Verdana" w:hAnsi="Verdana"/>
      <w:kern w:val="0"/>
      <w:sz w:val="20"/>
      <w:szCs w:val="20"/>
      <w:lang w:eastAsia="en-US"/>
    </w:rPr>
  </w:style>
  <w:style w:type="paragraph" w:customStyle="1" w:styleId="198">
    <w:name w:val="列出段落2"/>
    <w:basedOn w:val="1"/>
    <w:qFormat/>
    <w:uiPriority w:val="0"/>
    <w:pPr>
      <w:ind w:firstLine="420" w:firstLineChars="200"/>
    </w:pPr>
    <w:rPr>
      <w:sz w:val="24"/>
    </w:rPr>
  </w:style>
  <w:style w:type="paragraph" w:customStyle="1" w:styleId="199">
    <w:name w:val="Char Char18"/>
    <w:basedOn w:val="16"/>
    <w:qFormat/>
    <w:uiPriority w:val="0"/>
    <w:pPr>
      <w:widowControl/>
      <w:ind w:firstLine="454"/>
      <w:jc w:val="left"/>
    </w:pPr>
    <w:rPr>
      <w:rFonts w:ascii="Tahoma" w:hAnsi="Tahoma" w:cs="宋体"/>
      <w:kern w:val="0"/>
      <w:sz w:val="24"/>
      <w:szCs w:val="20"/>
    </w:rPr>
  </w:style>
  <w:style w:type="paragraph" w:customStyle="1" w:styleId="200">
    <w:name w:val="Char Char Char Char Char Char Char Char Char"/>
    <w:basedOn w:val="1"/>
    <w:qFormat/>
    <w:uiPriority w:val="0"/>
    <w:pPr>
      <w:widowControl/>
      <w:spacing w:line="240" w:lineRule="exact"/>
      <w:jc w:val="left"/>
    </w:pPr>
    <w:rPr>
      <w:szCs w:val="20"/>
    </w:rPr>
  </w:style>
  <w:style w:type="paragraph" w:customStyle="1" w:styleId="201">
    <w:name w:val="Table Paragraph"/>
    <w:basedOn w:val="1"/>
    <w:qFormat/>
    <w:uiPriority w:val="1"/>
    <w:rPr>
      <w:rFonts w:ascii="宋体" w:hAnsi="宋体" w:cs="宋体"/>
      <w:lang w:val="zh-CN" w:bidi="zh-CN"/>
    </w:rPr>
  </w:style>
  <w:style w:type="paragraph" w:customStyle="1" w:styleId="202">
    <w:name w:val="纯文本111"/>
    <w:basedOn w:val="1"/>
    <w:qFormat/>
    <w:uiPriority w:val="0"/>
    <w:rPr>
      <w:rFonts w:ascii="宋体"/>
      <w:szCs w:val="21"/>
    </w:rPr>
  </w:style>
  <w:style w:type="paragraph" w:customStyle="1" w:styleId="203">
    <w:name w:val="1"/>
    <w:basedOn w:val="1"/>
    <w:next w:val="29"/>
    <w:qFormat/>
    <w:uiPriority w:val="0"/>
    <w:rPr>
      <w:rFonts w:ascii="宋体" w:hAnsi="Courier New"/>
      <w:szCs w:val="20"/>
    </w:rPr>
  </w:style>
  <w:style w:type="paragraph" w:customStyle="1" w:styleId="204">
    <w:name w:val="文章附标题"/>
    <w:basedOn w:val="1"/>
    <w:next w:val="3"/>
    <w:qFormat/>
    <w:uiPriority w:val="0"/>
    <w:pPr>
      <w:widowControl/>
      <w:spacing w:before="187" w:after="175" w:line="374" w:lineRule="atLeast"/>
      <w:jc w:val="center"/>
      <w:textAlignment w:val="baseline"/>
    </w:pPr>
    <w:rPr>
      <w:color w:val="000000"/>
      <w:kern w:val="0"/>
      <w:sz w:val="36"/>
      <w:szCs w:val="20"/>
    </w:rPr>
  </w:style>
  <w:style w:type="paragraph" w:customStyle="1" w:styleId="205">
    <w:name w:val="xl3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kern w:val="0"/>
      <w:szCs w:val="21"/>
    </w:rPr>
  </w:style>
  <w:style w:type="paragraph" w:customStyle="1" w:styleId="206">
    <w:name w:val="Char2"/>
    <w:basedOn w:val="1"/>
    <w:qFormat/>
    <w:uiPriority w:val="0"/>
    <w:rPr>
      <w:szCs w:val="20"/>
    </w:rPr>
  </w:style>
  <w:style w:type="paragraph" w:customStyle="1" w:styleId="207">
    <w:name w:val="_Style 205"/>
    <w:basedOn w:val="3"/>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208">
    <w:name w:val="正文文本缩进 Char Char Char Char"/>
    <w:basedOn w:val="1"/>
    <w:qFormat/>
    <w:uiPriority w:val="0"/>
    <w:pPr>
      <w:ind w:firstLine="540"/>
    </w:pPr>
    <w:rPr>
      <w:rFonts w:hint="eastAsia" w:ascii="宋体" w:hAnsi="Courier New"/>
      <w:szCs w:val="20"/>
    </w:rPr>
  </w:style>
  <w:style w:type="paragraph" w:customStyle="1" w:styleId="209">
    <w:name w:val="Char Char19 Char Char Char Char"/>
    <w:basedOn w:val="16"/>
    <w:qFormat/>
    <w:uiPriority w:val="0"/>
    <w:pPr>
      <w:widowControl/>
      <w:ind w:firstLine="454"/>
      <w:jc w:val="left"/>
    </w:pPr>
  </w:style>
  <w:style w:type="paragraph" w:customStyle="1" w:styleId="210">
    <w:name w:val="pa-14"/>
    <w:basedOn w:val="1"/>
    <w:qFormat/>
    <w:uiPriority w:val="0"/>
    <w:pPr>
      <w:widowControl/>
      <w:spacing w:before="169" w:after="169"/>
      <w:jc w:val="left"/>
    </w:pPr>
    <w:rPr>
      <w:rFonts w:ascii="宋体" w:hAnsi="宋体" w:cs="宋体"/>
      <w:kern w:val="0"/>
      <w:sz w:val="24"/>
    </w:rPr>
  </w:style>
  <w:style w:type="paragraph" w:customStyle="1" w:styleId="211">
    <w:name w:val="标题3"/>
    <w:basedOn w:val="5"/>
    <w:qFormat/>
    <w:uiPriority w:val="0"/>
    <w:pPr>
      <w:keepLines w:val="0"/>
      <w:widowControl/>
      <w:tabs>
        <w:tab w:val="left" w:pos="1247"/>
      </w:tabs>
      <w:spacing w:before="240" w:after="120" w:line="360" w:lineRule="auto"/>
      <w:ind w:left="1247" w:hanging="1247"/>
      <w:jc w:val="left"/>
    </w:pPr>
    <w:rPr>
      <w:rFonts w:ascii="Arial" w:hAnsi="Arial"/>
      <w:sz w:val="52"/>
      <w:szCs w:val="52"/>
    </w:rPr>
  </w:style>
  <w:style w:type="paragraph" w:customStyle="1" w:styleId="212">
    <w:name w:val="msolistparagraph"/>
    <w:basedOn w:val="1"/>
    <w:qFormat/>
    <w:uiPriority w:val="0"/>
    <w:pPr>
      <w:ind w:firstLine="420" w:firstLineChars="200"/>
    </w:pPr>
    <w:rPr>
      <w:rFonts w:ascii="Calibri" w:hAnsi="Calibri"/>
      <w:szCs w:val="22"/>
    </w:rPr>
  </w:style>
  <w:style w:type="paragraph" w:customStyle="1" w:styleId="213">
    <w:name w:val="标准正文"/>
    <w:basedOn w:val="1"/>
    <w:qFormat/>
    <w:uiPriority w:val="0"/>
    <w:pPr>
      <w:spacing w:before="60" w:after="60" w:line="360" w:lineRule="auto"/>
      <w:ind w:firstLine="482"/>
    </w:pPr>
    <w:rPr>
      <w:rFonts w:ascii="Arial" w:hAnsi="Arial"/>
      <w:color w:val="000000"/>
      <w:sz w:val="24"/>
      <w:szCs w:val="20"/>
    </w:rPr>
  </w:style>
  <w:style w:type="paragraph" w:customStyle="1" w:styleId="214">
    <w:name w:val="pa-6"/>
    <w:basedOn w:val="1"/>
    <w:qFormat/>
    <w:uiPriority w:val="0"/>
    <w:pPr>
      <w:widowControl/>
      <w:spacing w:before="169" w:after="169"/>
      <w:jc w:val="left"/>
    </w:pPr>
    <w:rPr>
      <w:rFonts w:ascii="宋体" w:hAnsi="宋体" w:cs="宋体"/>
      <w:kern w:val="0"/>
      <w:sz w:val="24"/>
    </w:rPr>
  </w:style>
  <w:style w:type="paragraph" w:customStyle="1" w:styleId="215">
    <w:name w:val="_Style 213"/>
    <w:semiHidden/>
    <w:qFormat/>
    <w:uiPriority w:val="99"/>
    <w:pPr>
      <w:spacing w:after="160" w:line="278" w:lineRule="auto"/>
    </w:pPr>
    <w:rPr>
      <w:rFonts w:ascii="Times New Roman" w:hAnsi="Times New Roman" w:eastAsia="宋体" w:cs="Times New Roman"/>
      <w:kern w:val="2"/>
      <w:sz w:val="21"/>
      <w:szCs w:val="24"/>
      <w:lang w:val="en-US" w:eastAsia="zh-CN" w:bidi="ar-SA"/>
    </w:rPr>
  </w:style>
  <w:style w:type="paragraph" w:customStyle="1" w:styleId="216">
    <w:name w:val="pa-4"/>
    <w:basedOn w:val="1"/>
    <w:qFormat/>
    <w:uiPriority w:val="0"/>
    <w:pPr>
      <w:widowControl/>
      <w:spacing w:before="169" w:after="169"/>
      <w:jc w:val="left"/>
    </w:pPr>
    <w:rPr>
      <w:rFonts w:ascii="宋体" w:hAnsi="宋体" w:cs="宋体"/>
      <w:kern w:val="0"/>
      <w:sz w:val="24"/>
    </w:rPr>
  </w:style>
  <w:style w:type="paragraph" w:customStyle="1" w:styleId="217">
    <w:name w:val="xl31"/>
    <w:basedOn w:val="1"/>
    <w:qFormat/>
    <w:uiPriority w:val="0"/>
    <w:pPr>
      <w:widowControl/>
      <w:pBdr>
        <w:bottom w:val="single" w:color="auto" w:sz="4" w:space="0"/>
        <w:right w:val="single" w:color="auto" w:sz="4" w:space="0"/>
      </w:pBdr>
      <w:spacing w:before="100" w:beforeAutospacing="1" w:after="100" w:afterAutospacing="1"/>
      <w:jc w:val="center"/>
    </w:pPr>
    <w:rPr>
      <w:rFonts w:ascii="宋体" w:hAnsi="宋体"/>
      <w:kern w:val="0"/>
      <w:szCs w:val="21"/>
    </w:rPr>
  </w:style>
  <w:style w:type="paragraph" w:customStyle="1" w:styleId="218">
    <w:name w:val="样式 标题 2 + Times New Roman 四号 非加粗 段前: 5 磅 段后: 0 磅 行距: 固定值 20..."/>
    <w:basedOn w:val="4"/>
    <w:qFormat/>
    <w:uiPriority w:val="0"/>
    <w:pPr>
      <w:spacing w:before="100" w:after="0" w:line="400" w:lineRule="exact"/>
    </w:pPr>
    <w:rPr>
      <w:rFonts w:ascii="Times New Roman" w:hAnsi="Times New Roman" w:cs="宋体"/>
      <w:b w:val="0"/>
      <w:bCs w:val="0"/>
      <w:sz w:val="28"/>
      <w:szCs w:val="20"/>
    </w:rPr>
  </w:style>
  <w:style w:type="paragraph" w:customStyle="1" w:styleId="219">
    <w:name w:val="样式 首行缩进:  2 字符"/>
    <w:basedOn w:val="1"/>
    <w:qFormat/>
    <w:uiPriority w:val="0"/>
    <w:pPr>
      <w:spacing w:line="400" w:lineRule="exact"/>
      <w:ind w:firstLine="200" w:firstLineChars="200"/>
    </w:pPr>
    <w:rPr>
      <w:rFonts w:cs="宋体"/>
      <w:sz w:val="24"/>
    </w:rPr>
  </w:style>
  <w:style w:type="paragraph" w:customStyle="1" w:styleId="220">
    <w:name w:val="表格题注"/>
    <w:next w:val="1"/>
    <w:qFormat/>
    <w:uiPriority w:val="0"/>
    <w:pPr>
      <w:keepLines/>
      <w:spacing w:before="312" w:beforeLines="100" w:after="160" w:line="278" w:lineRule="auto"/>
      <w:ind w:left="1089" w:hanging="369"/>
      <w:jc w:val="center"/>
    </w:pPr>
    <w:rPr>
      <w:rFonts w:ascii="Arial" w:hAnsi="Arial" w:eastAsia="宋体" w:cs="Times New Roman"/>
      <w:sz w:val="18"/>
      <w:szCs w:val="18"/>
      <w:lang w:val="en-US" w:eastAsia="zh-CN" w:bidi="ar-SA"/>
    </w:rPr>
  </w:style>
  <w:style w:type="paragraph" w:customStyle="1" w:styleId="221">
    <w:name w:val="7"/>
    <w:basedOn w:val="16"/>
    <w:qFormat/>
    <w:uiPriority w:val="0"/>
    <w:pPr>
      <w:widowControl/>
      <w:ind w:firstLine="454"/>
      <w:jc w:val="left"/>
    </w:pPr>
    <w:rPr>
      <w:rFonts w:ascii="Tahoma" w:hAnsi="Tahoma" w:cs="宋体"/>
      <w:kern w:val="0"/>
      <w:sz w:val="24"/>
      <w:szCs w:val="20"/>
    </w:rPr>
  </w:style>
  <w:style w:type="paragraph" w:customStyle="1" w:styleId="222">
    <w:name w:val="Char Char1"/>
    <w:basedOn w:val="1"/>
    <w:qFormat/>
    <w:uiPriority w:val="0"/>
    <w:pPr>
      <w:widowControl/>
      <w:spacing w:line="240" w:lineRule="exact"/>
      <w:jc w:val="left"/>
    </w:pPr>
    <w:rPr>
      <w:rFonts w:ascii="Verdana" w:hAnsi="Verdana" w:eastAsia="楷体_GB2312" w:cs="宋体"/>
      <w:b/>
      <w:i/>
      <w:iCs/>
      <w:color w:val="000000"/>
      <w:kern w:val="0"/>
      <w:sz w:val="20"/>
      <w:lang w:eastAsia="en-US"/>
    </w:rPr>
  </w:style>
  <w:style w:type="paragraph" w:customStyle="1" w:styleId="223">
    <w:name w:val="pa-10"/>
    <w:basedOn w:val="1"/>
    <w:qFormat/>
    <w:uiPriority w:val="0"/>
    <w:pPr>
      <w:widowControl/>
      <w:spacing w:before="169" w:after="169"/>
      <w:jc w:val="left"/>
    </w:pPr>
    <w:rPr>
      <w:rFonts w:ascii="宋体" w:hAnsi="宋体" w:cs="宋体"/>
      <w:kern w:val="0"/>
      <w:sz w:val="24"/>
    </w:rPr>
  </w:style>
  <w:style w:type="paragraph" w:customStyle="1" w:styleId="224">
    <w:name w:val="表格"/>
    <w:basedOn w:val="1"/>
    <w:qFormat/>
    <w:uiPriority w:val="0"/>
    <w:pPr>
      <w:spacing w:line="400" w:lineRule="exact"/>
    </w:pPr>
    <w:rPr>
      <w:sz w:val="24"/>
    </w:rPr>
  </w:style>
  <w:style w:type="paragraph" w:customStyle="1" w:styleId="225">
    <w:name w:val="小节标题"/>
    <w:basedOn w:val="1"/>
    <w:next w:val="1"/>
    <w:qFormat/>
    <w:uiPriority w:val="0"/>
    <w:pPr>
      <w:widowControl/>
      <w:spacing w:before="175" w:after="102" w:line="351" w:lineRule="atLeast"/>
      <w:textAlignment w:val="baseline"/>
    </w:pPr>
    <w:rPr>
      <w:rFonts w:eastAsia="黑体"/>
      <w:color w:val="000000"/>
      <w:kern w:val="0"/>
      <w:szCs w:val="20"/>
    </w:rPr>
  </w:style>
  <w:style w:type="paragraph" w:customStyle="1" w:styleId="226">
    <w:name w:val="p15"/>
    <w:basedOn w:val="1"/>
    <w:qFormat/>
    <w:uiPriority w:val="0"/>
    <w:pPr>
      <w:widowControl/>
    </w:pPr>
    <w:rPr>
      <w:rFonts w:ascii="宋体" w:hAnsi="宋体" w:cs="宋体"/>
      <w:kern w:val="0"/>
      <w:szCs w:val="21"/>
    </w:rPr>
  </w:style>
  <w:style w:type="paragraph" w:customStyle="1" w:styleId="227">
    <w:name w:val="目录3"/>
    <w:basedOn w:val="1"/>
    <w:next w:val="1"/>
    <w:qFormat/>
    <w:uiPriority w:val="0"/>
    <w:pPr>
      <w:widowControl/>
      <w:tabs>
        <w:tab w:val="left" w:leader="dot" w:pos="8503"/>
      </w:tabs>
      <w:spacing w:line="317" w:lineRule="atLeast"/>
      <w:ind w:firstLine="419"/>
      <w:textAlignment w:val="baseline"/>
    </w:pPr>
    <w:rPr>
      <w:color w:val="000000"/>
      <w:kern w:val="0"/>
      <w:szCs w:val="20"/>
    </w:rPr>
  </w:style>
  <w:style w:type="paragraph" w:customStyle="1" w:styleId="228">
    <w:name w:val="正文段"/>
    <w:basedOn w:val="1"/>
    <w:qFormat/>
    <w:uiPriority w:val="0"/>
    <w:pPr>
      <w:widowControl/>
      <w:snapToGrid w:val="0"/>
      <w:spacing w:after="156" w:afterLines="50"/>
      <w:ind w:firstLine="200" w:firstLineChars="200"/>
    </w:pPr>
    <w:rPr>
      <w:kern w:val="0"/>
      <w:sz w:val="24"/>
      <w:szCs w:val="20"/>
    </w:rPr>
  </w:style>
  <w:style w:type="paragraph" w:customStyle="1" w:styleId="229">
    <w:name w:val="Char Char Char Char Char Char1 Char1"/>
    <w:basedOn w:val="1"/>
    <w:qFormat/>
    <w:uiPriority w:val="0"/>
    <w:pPr>
      <w:widowControl/>
      <w:spacing w:line="240" w:lineRule="exact"/>
      <w:jc w:val="left"/>
    </w:pPr>
    <w:rPr>
      <w:rFonts w:ascii="Verdana" w:hAnsi="Verdana"/>
      <w:kern w:val="0"/>
      <w:szCs w:val="20"/>
      <w:lang w:eastAsia="en-US"/>
    </w:rPr>
  </w:style>
  <w:style w:type="paragraph" w:customStyle="1" w:styleId="230">
    <w:name w:val="Default Paragraph Font Para Char Char Char Char Char Char"/>
    <w:basedOn w:val="1"/>
    <w:qFormat/>
    <w:uiPriority w:val="0"/>
    <w:pPr>
      <w:widowControl/>
      <w:spacing w:line="240" w:lineRule="exact"/>
      <w:jc w:val="left"/>
    </w:pPr>
    <w:rPr>
      <w:rFonts w:ascii="Verdana" w:hAnsi="Verdana"/>
      <w:kern w:val="0"/>
      <w:sz w:val="20"/>
      <w:szCs w:val="20"/>
      <w:lang w:eastAsia="en-US"/>
    </w:rPr>
  </w:style>
  <w:style w:type="paragraph" w:customStyle="1" w:styleId="231">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232">
    <w:name w:val="p0"/>
    <w:basedOn w:val="1"/>
    <w:qFormat/>
    <w:uiPriority w:val="0"/>
    <w:pPr>
      <w:widowControl/>
    </w:pPr>
    <w:rPr>
      <w:kern w:val="0"/>
      <w:szCs w:val="21"/>
    </w:rPr>
  </w:style>
  <w:style w:type="paragraph" w:customStyle="1" w:styleId="233">
    <w:name w:val="段"/>
    <w:link w:val="234"/>
    <w:qFormat/>
    <w:uiPriority w:val="0"/>
    <w:pPr>
      <w:autoSpaceDE w:val="0"/>
      <w:autoSpaceDN w:val="0"/>
      <w:spacing w:after="160" w:line="278" w:lineRule="auto"/>
      <w:ind w:firstLine="200" w:firstLineChars="200"/>
      <w:jc w:val="both"/>
    </w:pPr>
    <w:rPr>
      <w:rFonts w:ascii="宋体" w:hAnsi="Times New Roman" w:eastAsia="宋体" w:cs="Times New Roman"/>
      <w:sz w:val="21"/>
      <w:lang w:val="en-US" w:eastAsia="zh-CN" w:bidi="ar-SA"/>
    </w:rPr>
  </w:style>
  <w:style w:type="character" w:customStyle="1" w:styleId="234">
    <w:name w:val="段 Char Char"/>
    <w:link w:val="233"/>
    <w:qFormat/>
    <w:locked/>
    <w:uiPriority w:val="0"/>
    <w:rPr>
      <w:rFonts w:ascii="宋体"/>
      <w:sz w:val="21"/>
      <w:lang w:val="en-US" w:eastAsia="zh-CN" w:bidi="ar-SA"/>
    </w:rPr>
  </w:style>
  <w:style w:type="paragraph" w:customStyle="1" w:styleId="235">
    <w:name w:val="插图题注"/>
    <w:next w:val="1"/>
    <w:qFormat/>
    <w:uiPriority w:val="0"/>
    <w:pPr>
      <w:spacing w:after="312" w:afterLines="100" w:line="278" w:lineRule="auto"/>
      <w:ind w:left="1089" w:hanging="369"/>
      <w:jc w:val="center"/>
    </w:pPr>
    <w:rPr>
      <w:rFonts w:ascii="Arial" w:hAnsi="Arial" w:eastAsia="宋体" w:cs="Times New Roman"/>
      <w:sz w:val="18"/>
      <w:szCs w:val="18"/>
      <w:lang w:val="en-US" w:eastAsia="zh-CN" w:bidi="ar-SA"/>
    </w:rPr>
  </w:style>
  <w:style w:type="paragraph" w:customStyle="1" w:styleId="236">
    <w:name w:val="Char Char19 Char Char Char Char11"/>
    <w:basedOn w:val="16"/>
    <w:qFormat/>
    <w:uiPriority w:val="0"/>
    <w:pPr>
      <w:widowControl/>
      <w:ind w:firstLine="454"/>
      <w:jc w:val="left"/>
    </w:pPr>
  </w:style>
  <w:style w:type="paragraph" w:customStyle="1" w:styleId="237">
    <w:name w:val="文章总标题"/>
    <w:basedOn w:val="1"/>
    <w:next w:val="204"/>
    <w:qFormat/>
    <w:uiPriority w:val="0"/>
    <w:pPr>
      <w:widowControl/>
      <w:spacing w:before="566" w:after="544" w:line="566" w:lineRule="atLeast"/>
      <w:jc w:val="center"/>
      <w:textAlignment w:val="baseline"/>
    </w:pPr>
    <w:rPr>
      <w:rFonts w:ascii="Arial" w:eastAsia="黑体"/>
      <w:color w:val="000000"/>
      <w:kern w:val="0"/>
      <w:sz w:val="54"/>
      <w:szCs w:val="20"/>
    </w:rPr>
  </w:style>
  <w:style w:type="paragraph" w:customStyle="1" w:styleId="238">
    <w:name w:val="xl26"/>
    <w:basedOn w:val="1"/>
    <w:qFormat/>
    <w:uiPriority w:val="0"/>
    <w:pPr>
      <w:widowControl/>
      <w:pBdr>
        <w:left w:val="single" w:color="auto" w:sz="4" w:space="0"/>
        <w:bottom w:val="single" w:color="auto" w:sz="4" w:space="0"/>
        <w:right w:val="single" w:color="auto" w:sz="4" w:space="0"/>
      </w:pBdr>
      <w:spacing w:before="100" w:beforeAutospacing="1" w:after="100" w:afterAutospacing="1"/>
      <w:textAlignment w:val="top"/>
    </w:pPr>
    <w:rPr>
      <w:kern w:val="0"/>
      <w:szCs w:val="21"/>
    </w:rPr>
  </w:style>
  <w:style w:type="paragraph" w:customStyle="1" w:styleId="239">
    <w:name w:val="目录4"/>
    <w:basedOn w:val="1"/>
    <w:next w:val="1"/>
    <w:qFormat/>
    <w:uiPriority w:val="0"/>
    <w:pPr>
      <w:widowControl/>
      <w:tabs>
        <w:tab w:val="left" w:leader="dot" w:pos="8503"/>
      </w:tabs>
      <w:spacing w:line="317" w:lineRule="atLeast"/>
      <w:ind w:firstLine="629"/>
      <w:textAlignment w:val="baseline"/>
    </w:pPr>
    <w:rPr>
      <w:color w:val="000000"/>
      <w:kern w:val="0"/>
      <w:szCs w:val="20"/>
    </w:rPr>
  </w:style>
  <w:style w:type="paragraph" w:customStyle="1" w:styleId="240">
    <w:name w:val="4"/>
    <w:basedOn w:val="1"/>
    <w:next w:val="32"/>
    <w:qFormat/>
    <w:uiPriority w:val="0"/>
    <w:pPr>
      <w:spacing w:line="420" w:lineRule="exact"/>
      <w:ind w:firstLine="409" w:firstLineChars="195"/>
    </w:pPr>
  </w:style>
  <w:style w:type="paragraph" w:customStyle="1" w:styleId="241">
    <w:name w:val="pa-8"/>
    <w:basedOn w:val="1"/>
    <w:qFormat/>
    <w:uiPriority w:val="0"/>
    <w:pPr>
      <w:widowControl/>
      <w:spacing w:before="169" w:after="169"/>
      <w:jc w:val="left"/>
    </w:pPr>
    <w:rPr>
      <w:rFonts w:ascii="宋体" w:hAnsi="宋体" w:cs="宋体"/>
      <w:kern w:val="0"/>
      <w:sz w:val="24"/>
    </w:rPr>
  </w:style>
  <w:style w:type="paragraph" w:customStyle="1" w:styleId="242">
    <w:name w:val="Char Char Char Char"/>
    <w:basedOn w:val="16"/>
    <w:qFormat/>
    <w:uiPriority w:val="0"/>
    <w:pPr>
      <w:adjustRightInd w:val="0"/>
      <w:snapToGrid w:val="0"/>
      <w:spacing w:line="360" w:lineRule="auto"/>
    </w:pPr>
    <w:rPr>
      <w:rFonts w:ascii="Tahoma" w:hAnsi="Tahoma"/>
      <w:sz w:val="24"/>
    </w:rPr>
  </w:style>
  <w:style w:type="paragraph" w:customStyle="1" w:styleId="243">
    <w:name w:val="Char1"/>
    <w:basedOn w:val="1"/>
    <w:qFormat/>
    <w:uiPriority w:val="0"/>
    <w:pPr>
      <w:widowControl/>
      <w:spacing w:line="240" w:lineRule="exact"/>
      <w:jc w:val="left"/>
    </w:pPr>
    <w:rPr>
      <w:rFonts w:ascii="Verdana" w:hAnsi="Verdana" w:eastAsia="仿宋_GB2312"/>
      <w:kern w:val="0"/>
      <w:sz w:val="24"/>
      <w:szCs w:val="20"/>
      <w:lang w:eastAsia="en-US"/>
    </w:rPr>
  </w:style>
  <w:style w:type="paragraph" w:customStyle="1" w:styleId="244">
    <w:name w:val="表内文字"/>
    <w:basedOn w:val="1"/>
    <w:qFormat/>
    <w:uiPriority w:val="0"/>
    <w:pPr>
      <w:snapToGrid w:val="0"/>
      <w:spacing w:before="50" w:after="50" w:line="360" w:lineRule="exact"/>
    </w:pPr>
    <w:rPr>
      <w:rFonts w:ascii="宋体" w:hAnsi="宋体"/>
      <w:b/>
      <w:color w:val="0000FF"/>
      <w:szCs w:val="21"/>
    </w:rPr>
  </w:style>
  <w:style w:type="paragraph" w:customStyle="1" w:styleId="245">
    <w:name w:val="样式 正文文字 + 小四 段后: 0 磅 行距: 1.5 倍行距"/>
    <w:basedOn w:val="21"/>
    <w:qFormat/>
    <w:uiPriority w:val="0"/>
    <w:pPr>
      <w:spacing w:line="360" w:lineRule="auto"/>
      <w:ind w:firstLine="480" w:firstLineChars="200"/>
    </w:pPr>
    <w:rPr>
      <w:rFonts w:cs="宋体"/>
      <w:szCs w:val="20"/>
    </w:rPr>
  </w:style>
  <w:style w:type="paragraph" w:customStyle="1" w:styleId="246">
    <w:name w:val="No Spacing11"/>
    <w:link w:val="247"/>
    <w:qFormat/>
    <w:uiPriority w:val="0"/>
    <w:pPr>
      <w:widowControl w:val="0"/>
      <w:spacing w:after="160" w:line="278" w:lineRule="auto"/>
      <w:jc w:val="both"/>
    </w:pPr>
    <w:rPr>
      <w:rFonts w:ascii="Times New Roman" w:hAnsi="Times New Roman" w:eastAsia="宋体" w:cs="Times New Roman"/>
      <w:kern w:val="2"/>
      <w:sz w:val="21"/>
      <w:szCs w:val="22"/>
      <w:lang w:val="en-US" w:eastAsia="zh-CN" w:bidi="ar-SA"/>
    </w:rPr>
  </w:style>
  <w:style w:type="character" w:customStyle="1" w:styleId="247">
    <w:name w:val="No Spacing Char"/>
    <w:link w:val="246"/>
    <w:qFormat/>
    <w:locked/>
    <w:uiPriority w:val="0"/>
    <w:rPr>
      <w:kern w:val="2"/>
      <w:sz w:val="21"/>
      <w:szCs w:val="22"/>
      <w:lang w:val="en-US" w:eastAsia="zh-CN" w:bidi="ar-SA"/>
    </w:rPr>
  </w:style>
  <w:style w:type="paragraph" w:customStyle="1" w:styleId="248">
    <w:name w:val="Char21"/>
    <w:basedOn w:val="1"/>
    <w:qFormat/>
    <w:uiPriority w:val="0"/>
    <w:pPr>
      <w:widowControl/>
      <w:spacing w:line="240" w:lineRule="exact"/>
      <w:jc w:val="left"/>
    </w:pPr>
  </w:style>
  <w:style w:type="paragraph" w:customStyle="1" w:styleId="249">
    <w:name w:val="Char Char Char Char Char Char Char Char Char Char Char Char Char Char Char Char1"/>
    <w:basedOn w:val="1"/>
    <w:qFormat/>
    <w:uiPriority w:val="0"/>
    <w:pPr>
      <w:tabs>
        <w:tab w:val="left" w:pos="360"/>
      </w:tabs>
      <w:spacing w:line="360" w:lineRule="auto"/>
      <w:ind w:left="482" w:firstLine="200" w:firstLineChars="200"/>
    </w:pPr>
    <w:rPr>
      <w:rFonts w:ascii="宋体"/>
      <w:sz w:val="24"/>
    </w:rPr>
  </w:style>
  <w:style w:type="paragraph" w:customStyle="1" w:styleId="250">
    <w:name w:val="默认段落字体 Para Char"/>
    <w:basedOn w:val="1"/>
    <w:qFormat/>
    <w:uiPriority w:val="0"/>
    <w:pPr>
      <w:adjustRightInd w:val="0"/>
      <w:spacing w:line="360" w:lineRule="auto"/>
    </w:pPr>
    <w:rPr>
      <w:szCs w:val="20"/>
    </w:rPr>
  </w:style>
  <w:style w:type="paragraph" w:customStyle="1" w:styleId="251">
    <w:name w:val="Char11"/>
    <w:basedOn w:val="16"/>
    <w:qFormat/>
    <w:uiPriority w:val="0"/>
    <w:pPr>
      <w:widowControl/>
      <w:ind w:firstLine="454"/>
      <w:jc w:val="left"/>
    </w:pPr>
    <w:rPr>
      <w:rFonts w:ascii="Tahoma" w:hAnsi="Tahoma" w:cs="宋体"/>
      <w:kern w:val="0"/>
      <w:sz w:val="24"/>
      <w:szCs w:val="20"/>
    </w:rPr>
  </w:style>
  <w:style w:type="paragraph" w:customStyle="1" w:styleId="252">
    <w:name w:val="pa-11"/>
    <w:basedOn w:val="1"/>
    <w:qFormat/>
    <w:uiPriority w:val="0"/>
    <w:pPr>
      <w:widowControl/>
      <w:spacing w:before="169" w:after="169"/>
      <w:jc w:val="left"/>
    </w:pPr>
    <w:rPr>
      <w:rFonts w:ascii="宋体" w:hAnsi="宋体" w:cs="宋体"/>
      <w:kern w:val="0"/>
      <w:sz w:val="24"/>
    </w:rPr>
  </w:style>
  <w:style w:type="paragraph" w:customStyle="1" w:styleId="253">
    <w:name w:val="Char"/>
    <w:basedOn w:val="16"/>
    <w:qFormat/>
    <w:uiPriority w:val="0"/>
    <w:pPr>
      <w:widowControl/>
      <w:ind w:firstLine="454"/>
      <w:jc w:val="left"/>
    </w:pPr>
    <w:rPr>
      <w:rFonts w:ascii="Tahoma" w:hAnsi="Tahoma" w:cs="宋体"/>
      <w:kern w:val="0"/>
      <w:sz w:val="24"/>
      <w:szCs w:val="20"/>
    </w:rPr>
  </w:style>
  <w:style w:type="paragraph" w:customStyle="1" w:styleId="254">
    <w:name w:val="目录2"/>
    <w:basedOn w:val="1"/>
    <w:next w:val="1"/>
    <w:qFormat/>
    <w:uiPriority w:val="0"/>
    <w:pPr>
      <w:widowControl/>
      <w:tabs>
        <w:tab w:val="left" w:leader="dot" w:pos="8503"/>
      </w:tabs>
      <w:spacing w:line="317" w:lineRule="atLeast"/>
      <w:ind w:firstLine="209"/>
      <w:textAlignment w:val="baseline"/>
    </w:pPr>
    <w:rPr>
      <w:color w:val="000000"/>
      <w:kern w:val="0"/>
      <w:szCs w:val="20"/>
    </w:rPr>
  </w:style>
  <w:style w:type="paragraph" w:customStyle="1" w:styleId="255">
    <w:name w:val="Char Char1 Char Char Char Char"/>
    <w:basedOn w:val="16"/>
    <w:qFormat/>
    <w:uiPriority w:val="0"/>
    <w:rPr>
      <w:rFonts w:ascii="Tahoma" w:hAnsi="Tahoma"/>
      <w:sz w:val="24"/>
    </w:rPr>
  </w:style>
  <w:style w:type="paragraph" w:customStyle="1" w:styleId="256">
    <w:name w:val="目录1"/>
    <w:basedOn w:val="1"/>
    <w:next w:val="1"/>
    <w:qFormat/>
    <w:uiPriority w:val="0"/>
    <w:pPr>
      <w:widowControl/>
      <w:tabs>
        <w:tab w:val="left" w:leader="dot" w:pos="8503"/>
      </w:tabs>
      <w:spacing w:after="136" w:line="289" w:lineRule="atLeast"/>
      <w:jc w:val="left"/>
      <w:textAlignment w:val="baseline"/>
    </w:pPr>
    <w:rPr>
      <w:rFonts w:ascii="Arial" w:eastAsia="黑体"/>
      <w:color w:val="000000"/>
      <w:kern w:val="0"/>
      <w:sz w:val="28"/>
      <w:szCs w:val="20"/>
    </w:rPr>
  </w:style>
  <w:style w:type="paragraph" w:customStyle="1" w:styleId="257">
    <w:name w:val="pa-12"/>
    <w:basedOn w:val="1"/>
    <w:qFormat/>
    <w:uiPriority w:val="0"/>
    <w:pPr>
      <w:widowControl/>
      <w:spacing w:before="169" w:after="169"/>
      <w:jc w:val="left"/>
    </w:pPr>
    <w:rPr>
      <w:rFonts w:ascii="宋体" w:hAnsi="宋体" w:cs="宋体"/>
      <w:kern w:val="0"/>
      <w:sz w:val="24"/>
    </w:rPr>
  </w:style>
  <w:style w:type="paragraph" w:customStyle="1" w:styleId="258">
    <w:name w:val="标题1"/>
    <w:basedOn w:val="3"/>
    <w:qFormat/>
    <w:uiPriority w:val="0"/>
    <w:pPr>
      <w:keepLines w:val="0"/>
      <w:widowControl/>
      <w:pBdr>
        <w:bottom w:val="single" w:color="auto" w:sz="8" w:space="6"/>
      </w:pBdr>
      <w:tabs>
        <w:tab w:val="left" w:pos="0"/>
      </w:tabs>
      <w:spacing w:before="480" w:after="240" w:line="360" w:lineRule="auto"/>
      <w:ind w:left="567" w:hanging="567"/>
      <w:jc w:val="left"/>
    </w:pPr>
    <w:rPr>
      <w:rFonts w:ascii="宋体" w:hAnsi="宋体"/>
      <w:smallCaps/>
      <w:color w:val="000000"/>
      <w:spacing w:val="10"/>
      <w:kern w:val="20"/>
      <w:sz w:val="21"/>
      <w:szCs w:val="21"/>
    </w:rPr>
  </w:style>
  <w:style w:type="paragraph" w:customStyle="1" w:styleId="259">
    <w:name w:val="2ji"/>
    <w:basedOn w:val="4"/>
    <w:qFormat/>
    <w:uiPriority w:val="0"/>
    <w:pPr>
      <w:adjustRightInd w:val="0"/>
      <w:spacing w:before="0" w:after="0" w:line="360" w:lineRule="auto"/>
      <w:textAlignment w:val="baseline"/>
    </w:pPr>
    <w:rPr>
      <w:rFonts w:ascii="宋体" w:hAnsi="宋体" w:eastAsia="宋体"/>
      <w:sz w:val="21"/>
      <w:szCs w:val="21"/>
    </w:rPr>
  </w:style>
  <w:style w:type="paragraph" w:customStyle="1" w:styleId="260">
    <w:name w:val="pa-9"/>
    <w:basedOn w:val="1"/>
    <w:qFormat/>
    <w:uiPriority w:val="0"/>
    <w:pPr>
      <w:widowControl/>
      <w:spacing w:before="169" w:after="169"/>
      <w:jc w:val="left"/>
    </w:pPr>
    <w:rPr>
      <w:rFonts w:ascii="宋体" w:hAnsi="宋体" w:cs="宋体"/>
      <w:kern w:val="0"/>
      <w:sz w:val="24"/>
    </w:rPr>
  </w:style>
  <w:style w:type="paragraph" w:customStyle="1" w:styleId="261">
    <w:name w:val="正文首行缩进两字符"/>
    <w:basedOn w:val="1"/>
    <w:qFormat/>
    <w:uiPriority w:val="0"/>
    <w:pPr>
      <w:spacing w:line="360" w:lineRule="auto"/>
      <w:ind w:firstLine="200" w:firstLineChars="200"/>
    </w:pPr>
  </w:style>
  <w:style w:type="paragraph" w:customStyle="1" w:styleId="262">
    <w:name w:val="Char Char Char1"/>
    <w:basedOn w:val="1"/>
    <w:qFormat/>
    <w:uiPriority w:val="0"/>
    <w:rPr>
      <w:rFonts w:ascii="Tahoma" w:hAnsi="Tahoma"/>
      <w:sz w:val="24"/>
      <w:szCs w:val="20"/>
    </w:rPr>
  </w:style>
  <w:style w:type="paragraph" w:customStyle="1" w:styleId="263">
    <w:name w:val="节标题"/>
    <w:basedOn w:val="1"/>
    <w:next w:val="225"/>
    <w:qFormat/>
    <w:uiPriority w:val="0"/>
    <w:pPr>
      <w:widowControl/>
      <w:spacing w:line="289" w:lineRule="atLeast"/>
      <w:jc w:val="center"/>
      <w:textAlignment w:val="baseline"/>
    </w:pPr>
    <w:rPr>
      <w:color w:val="000000"/>
      <w:kern w:val="0"/>
      <w:sz w:val="28"/>
      <w:szCs w:val="20"/>
    </w:rPr>
  </w:style>
  <w:style w:type="paragraph" w:customStyle="1" w:styleId="264">
    <w:name w:val="F2"/>
    <w:basedOn w:val="1"/>
    <w:qFormat/>
    <w:uiPriority w:val="0"/>
    <w:pPr>
      <w:autoSpaceDE w:val="0"/>
      <w:autoSpaceDN w:val="0"/>
      <w:adjustRightInd w:val="0"/>
      <w:ind w:firstLine="601"/>
    </w:pPr>
    <w:rPr>
      <w:kern w:val="0"/>
      <w:sz w:val="24"/>
      <w:szCs w:val="20"/>
    </w:rPr>
  </w:style>
  <w:style w:type="paragraph" w:customStyle="1" w:styleId="265">
    <w:name w:val="Char Char Char Char Char Char Char Char Char Char Char Char Char Char Char Char21"/>
    <w:basedOn w:val="1"/>
    <w:qFormat/>
    <w:uiPriority w:val="0"/>
    <w:pPr>
      <w:tabs>
        <w:tab w:val="left" w:pos="360"/>
      </w:tabs>
      <w:spacing w:line="360" w:lineRule="auto"/>
      <w:ind w:left="482" w:firstLine="200" w:firstLineChars="200"/>
    </w:pPr>
    <w:rPr>
      <w:rFonts w:ascii="宋体"/>
      <w:sz w:val="24"/>
    </w:rPr>
  </w:style>
  <w:style w:type="paragraph" w:customStyle="1" w:styleId="266">
    <w:name w:val="Char Char Char"/>
    <w:basedOn w:val="1"/>
    <w:qFormat/>
    <w:uiPriority w:val="0"/>
    <w:pPr>
      <w:widowControl/>
      <w:spacing w:line="240" w:lineRule="exact"/>
      <w:jc w:val="left"/>
    </w:pPr>
    <w:rPr>
      <w:rFonts w:ascii="Verdana" w:hAnsi="Verdana"/>
      <w:kern w:val="0"/>
      <w:sz w:val="20"/>
      <w:szCs w:val="20"/>
      <w:lang w:eastAsia="en-US"/>
    </w:rPr>
  </w:style>
  <w:style w:type="paragraph" w:customStyle="1" w:styleId="267">
    <w:name w:val="Char Char9 Char Char Char Char"/>
    <w:basedOn w:val="1"/>
    <w:qFormat/>
    <w:uiPriority w:val="0"/>
    <w:pPr>
      <w:widowControl/>
      <w:spacing w:line="240" w:lineRule="exact"/>
      <w:jc w:val="left"/>
    </w:pPr>
  </w:style>
  <w:style w:type="paragraph" w:customStyle="1" w:styleId="268">
    <w:name w:val="p16"/>
    <w:basedOn w:val="1"/>
    <w:qFormat/>
    <w:uiPriority w:val="0"/>
    <w:pPr>
      <w:widowControl/>
    </w:pPr>
    <w:rPr>
      <w:rFonts w:ascii="宋体" w:cs="宋体"/>
      <w:kern w:val="0"/>
      <w:sz w:val="20"/>
      <w:szCs w:val="20"/>
    </w:rPr>
  </w:style>
  <w:style w:type="paragraph" w:customStyle="1" w:styleId="269">
    <w:name w:val="Char Char Char1 Char Char Char Char Char Char Char Char Char Char Char Char Char Char Char"/>
    <w:basedOn w:val="1"/>
    <w:qFormat/>
    <w:uiPriority w:val="0"/>
    <w:pPr>
      <w:widowControl/>
      <w:adjustRightInd w:val="0"/>
      <w:spacing w:line="240" w:lineRule="exact"/>
      <w:jc w:val="left"/>
    </w:pPr>
    <w:rPr>
      <w:rFonts w:ascii="Verdana" w:hAnsi="Verdana"/>
      <w:kern w:val="0"/>
      <w:sz w:val="20"/>
      <w:szCs w:val="20"/>
      <w:lang w:eastAsia="en-US"/>
    </w:rPr>
  </w:style>
  <w:style w:type="paragraph" w:customStyle="1" w:styleId="270">
    <w:name w:val="_Style 35"/>
    <w:basedOn w:val="16"/>
    <w:qFormat/>
    <w:uiPriority w:val="0"/>
    <w:pPr>
      <w:widowControl/>
      <w:ind w:firstLine="454"/>
      <w:jc w:val="left"/>
    </w:pPr>
  </w:style>
  <w:style w:type="paragraph" w:customStyle="1" w:styleId="271">
    <w:name w:val="Body"/>
    <w:basedOn w:val="1"/>
    <w:qFormat/>
    <w:uiPriority w:val="0"/>
    <w:pPr>
      <w:widowControl/>
      <w:tabs>
        <w:tab w:val="left" w:pos="1980"/>
      </w:tabs>
      <w:spacing w:before="80" w:after="80" w:line="360" w:lineRule="auto"/>
      <w:jc w:val="center"/>
    </w:pPr>
    <w:rPr>
      <w:szCs w:val="21"/>
    </w:rPr>
  </w:style>
  <w:style w:type="paragraph" w:customStyle="1" w:styleId="272">
    <w:name w:val="列出段落11"/>
    <w:basedOn w:val="1"/>
    <w:qFormat/>
    <w:uiPriority w:val="0"/>
    <w:pPr>
      <w:ind w:firstLine="200" w:firstLineChars="200"/>
    </w:pPr>
    <w:rPr>
      <w:sz w:val="24"/>
    </w:rPr>
  </w:style>
  <w:style w:type="paragraph" w:customStyle="1" w:styleId="273">
    <w:name w:val="pa-7"/>
    <w:basedOn w:val="1"/>
    <w:qFormat/>
    <w:uiPriority w:val="0"/>
    <w:pPr>
      <w:widowControl/>
      <w:spacing w:before="169" w:after="169"/>
      <w:jc w:val="left"/>
    </w:pPr>
    <w:rPr>
      <w:rFonts w:ascii="宋体" w:hAnsi="宋体" w:cs="宋体"/>
      <w:kern w:val="0"/>
      <w:sz w:val="24"/>
    </w:rPr>
  </w:style>
  <w:style w:type="paragraph" w:customStyle="1" w:styleId="274">
    <w:name w:val="Char31"/>
    <w:basedOn w:val="16"/>
    <w:qFormat/>
    <w:uiPriority w:val="0"/>
    <w:pPr>
      <w:widowControl/>
      <w:ind w:firstLine="454"/>
      <w:jc w:val="left"/>
    </w:pPr>
    <w:rPr>
      <w:rFonts w:ascii="Tahoma" w:hAnsi="Tahoma" w:cs="宋体"/>
      <w:kern w:val="0"/>
      <w:sz w:val="24"/>
      <w:szCs w:val="20"/>
    </w:rPr>
  </w:style>
  <w:style w:type="paragraph" w:customStyle="1" w:styleId="275">
    <w:name w:val="pa-15"/>
    <w:basedOn w:val="1"/>
    <w:qFormat/>
    <w:uiPriority w:val="0"/>
    <w:pPr>
      <w:widowControl/>
      <w:spacing w:before="169" w:after="169"/>
      <w:jc w:val="left"/>
    </w:pPr>
    <w:rPr>
      <w:rFonts w:ascii="宋体" w:hAnsi="宋体" w:cs="宋体"/>
      <w:kern w:val="0"/>
      <w:sz w:val="24"/>
    </w:rPr>
  </w:style>
  <w:style w:type="paragraph" w:customStyle="1" w:styleId="276">
    <w:name w:val="表-标题"/>
    <w:basedOn w:val="1"/>
    <w:qFormat/>
    <w:uiPriority w:val="0"/>
    <w:pPr>
      <w:autoSpaceDE w:val="0"/>
      <w:autoSpaceDN w:val="0"/>
      <w:adjustRightInd w:val="0"/>
      <w:spacing w:line="288" w:lineRule="auto"/>
      <w:jc w:val="center"/>
    </w:pPr>
    <w:rPr>
      <w:rFonts w:ascii="汉仪大黑简 regular" w:hAnsi="Calibri" w:eastAsia="汉仪大黑简 regular" w:cs="汉仪大黑简 regular"/>
      <w:color w:val="000000"/>
      <w:kern w:val="0"/>
      <w:sz w:val="16"/>
      <w:szCs w:val="16"/>
      <w:lang w:val="zh-CN"/>
    </w:rPr>
  </w:style>
  <w:style w:type="paragraph" w:customStyle="1" w:styleId="277">
    <w:name w:val="表项"/>
    <w:next w:val="1"/>
    <w:qFormat/>
    <w:uiPriority w:val="0"/>
    <w:pPr>
      <w:keepNext/>
      <w:spacing w:after="160" w:line="300" w:lineRule="auto"/>
      <w:jc w:val="center"/>
      <w:textAlignment w:val="baseline"/>
    </w:pPr>
    <w:rPr>
      <w:rFonts w:ascii="Arial" w:hAnsi="Arial" w:eastAsia="黑体" w:cs="Times New Roman"/>
      <w:sz w:val="21"/>
      <w:lang w:val="en-US" w:eastAsia="zh-CN" w:bidi="ar-SA"/>
    </w:rPr>
  </w:style>
  <w:style w:type="paragraph" w:customStyle="1" w:styleId="278">
    <w:name w:val="List Paragraph1"/>
    <w:basedOn w:val="1"/>
    <w:qFormat/>
    <w:uiPriority w:val="0"/>
    <w:pPr>
      <w:ind w:firstLine="420" w:firstLineChars="200"/>
    </w:pPr>
  </w:style>
  <w:style w:type="paragraph" w:customStyle="1" w:styleId="279">
    <w:name w:val="Char Char Char Char Char Char1 Char"/>
    <w:basedOn w:val="1"/>
    <w:qFormat/>
    <w:uiPriority w:val="0"/>
    <w:pPr>
      <w:widowControl/>
      <w:spacing w:line="240" w:lineRule="exact"/>
      <w:jc w:val="left"/>
    </w:pPr>
    <w:rPr>
      <w:rFonts w:ascii="Verdana" w:hAnsi="Verdana"/>
      <w:kern w:val="0"/>
      <w:szCs w:val="20"/>
      <w:lang w:eastAsia="en-US"/>
    </w:rPr>
  </w:style>
  <w:style w:type="paragraph" w:customStyle="1" w:styleId="280">
    <w:name w:val="[基本段落]"/>
    <w:basedOn w:val="1"/>
    <w:qFormat/>
    <w:uiPriority w:val="0"/>
    <w:pPr>
      <w:autoSpaceDE w:val="0"/>
      <w:autoSpaceDN w:val="0"/>
      <w:adjustRightInd w:val="0"/>
      <w:spacing w:line="288" w:lineRule="auto"/>
    </w:pPr>
    <w:rPr>
      <w:rFonts w:ascii="汉仪大黑简 regular" w:hAnsi="Calibri" w:eastAsia="汉仪大黑简 regular"/>
      <w:color w:val="000000"/>
      <w:kern w:val="0"/>
      <w:sz w:val="24"/>
      <w:lang w:val="zh-CN"/>
    </w:rPr>
  </w:style>
  <w:style w:type="paragraph" w:customStyle="1" w:styleId="281">
    <w:name w:val="Char Char1 Char Char Char Char21"/>
    <w:basedOn w:val="16"/>
    <w:qFormat/>
    <w:uiPriority w:val="0"/>
    <w:rPr>
      <w:rFonts w:ascii="Tahoma" w:hAnsi="Tahoma"/>
      <w:sz w:val="24"/>
    </w:rPr>
  </w:style>
  <w:style w:type="paragraph" w:customStyle="1" w:styleId="282">
    <w:name w:val="默认段落字体 Para Char Char Char Char Char Char Char Char Char1 Char Char Char Char"/>
    <w:basedOn w:val="1"/>
    <w:qFormat/>
    <w:uiPriority w:val="0"/>
    <w:rPr>
      <w:rFonts w:ascii="Tahoma" w:hAnsi="Tahoma"/>
      <w:sz w:val="24"/>
      <w:szCs w:val="20"/>
    </w:rPr>
  </w:style>
  <w:style w:type="paragraph" w:customStyle="1" w:styleId="283">
    <w:name w:val="目录标题"/>
    <w:basedOn w:val="1"/>
    <w:next w:val="1"/>
    <w:qFormat/>
    <w:uiPriority w:val="0"/>
    <w:pPr>
      <w:widowControl/>
      <w:spacing w:before="566" w:after="544" w:line="566" w:lineRule="atLeast"/>
      <w:ind w:firstLine="419"/>
      <w:jc w:val="center"/>
      <w:textAlignment w:val="baseline"/>
    </w:pPr>
    <w:rPr>
      <w:rFonts w:ascii="Arial" w:eastAsia="黑体"/>
      <w:color w:val="000000"/>
      <w:spacing w:val="566"/>
      <w:kern w:val="0"/>
      <w:sz w:val="54"/>
      <w:szCs w:val="20"/>
    </w:rPr>
  </w:style>
  <w:style w:type="paragraph" w:customStyle="1" w:styleId="284">
    <w:name w:val="样式"/>
    <w:qFormat/>
    <w:uiPriority w:val="0"/>
    <w:pPr>
      <w:widowControl w:val="0"/>
      <w:autoSpaceDE w:val="0"/>
      <w:autoSpaceDN w:val="0"/>
      <w:adjustRightInd w:val="0"/>
      <w:spacing w:after="160" w:line="278" w:lineRule="auto"/>
    </w:pPr>
    <w:rPr>
      <w:rFonts w:ascii="宋体" w:hAnsi="宋体" w:eastAsia="宋体" w:cs="宋体"/>
      <w:sz w:val="24"/>
      <w:szCs w:val="24"/>
      <w:lang w:val="en-US" w:eastAsia="zh-CN" w:bidi="ar-SA"/>
    </w:rPr>
  </w:style>
  <w:style w:type="paragraph" w:customStyle="1" w:styleId="285">
    <w:name w:val="我的正文"/>
    <w:basedOn w:val="1"/>
    <w:qFormat/>
    <w:uiPriority w:val="0"/>
    <w:pPr>
      <w:spacing w:line="520" w:lineRule="exact"/>
      <w:ind w:firstLine="192" w:firstLineChars="192"/>
    </w:pPr>
    <w:rPr>
      <w:sz w:val="28"/>
      <w:szCs w:val="28"/>
    </w:rPr>
  </w:style>
  <w:style w:type="paragraph" w:customStyle="1" w:styleId="286">
    <w:name w:val="Char Char Char Char Char Char1 Char21"/>
    <w:basedOn w:val="1"/>
    <w:qFormat/>
    <w:uiPriority w:val="0"/>
    <w:pPr>
      <w:widowControl/>
      <w:spacing w:line="240" w:lineRule="exact"/>
      <w:jc w:val="left"/>
    </w:pPr>
    <w:rPr>
      <w:rFonts w:ascii="Verdana" w:hAnsi="Verdana" w:eastAsia="仿宋_GB2312"/>
      <w:kern w:val="0"/>
      <w:sz w:val="30"/>
      <w:szCs w:val="30"/>
      <w:lang w:eastAsia="en-US"/>
    </w:rPr>
  </w:style>
  <w:style w:type="paragraph" w:customStyle="1" w:styleId="287">
    <w:name w:val="Char221"/>
    <w:basedOn w:val="1"/>
    <w:qFormat/>
    <w:uiPriority w:val="0"/>
    <w:pPr>
      <w:widowControl/>
      <w:spacing w:line="240" w:lineRule="exact"/>
      <w:jc w:val="left"/>
    </w:pPr>
    <w:rPr>
      <w:rFonts w:ascii="Verdana" w:hAnsi="Verdana"/>
      <w:kern w:val="0"/>
      <w:szCs w:val="20"/>
      <w:lang w:eastAsia="en-US"/>
    </w:rPr>
  </w:style>
  <w:style w:type="paragraph" w:customStyle="1" w:styleId="288">
    <w:name w:val="Char12"/>
    <w:basedOn w:val="1"/>
    <w:qFormat/>
    <w:uiPriority w:val="0"/>
    <w:pPr>
      <w:widowControl/>
      <w:spacing w:line="240" w:lineRule="exact"/>
      <w:jc w:val="left"/>
    </w:pPr>
    <w:rPr>
      <w:rFonts w:ascii="Verdana" w:hAnsi="Verdana" w:eastAsia="仿宋_GB2312"/>
      <w:kern w:val="0"/>
      <w:sz w:val="24"/>
      <w:szCs w:val="20"/>
      <w:lang w:eastAsia="en-US"/>
    </w:rPr>
  </w:style>
  <w:style w:type="paragraph" w:customStyle="1" w:styleId="289">
    <w:name w:val="无间隔1"/>
    <w:qFormat/>
    <w:uiPriority w:val="0"/>
    <w:pPr>
      <w:widowControl w:val="0"/>
      <w:spacing w:after="160" w:line="278" w:lineRule="auto"/>
      <w:jc w:val="both"/>
    </w:pPr>
    <w:rPr>
      <w:rFonts w:ascii="Times New Roman" w:hAnsi="Times New Roman" w:eastAsia="宋体" w:cs="Times New Roman"/>
      <w:kern w:val="2"/>
      <w:sz w:val="21"/>
      <w:szCs w:val="22"/>
      <w:lang w:val="en-US" w:eastAsia="zh-CN" w:bidi="ar-SA"/>
    </w:rPr>
  </w:style>
  <w:style w:type="paragraph" w:customStyle="1" w:styleId="290">
    <w:name w:val="Char Char9 Char Char Char Char1"/>
    <w:basedOn w:val="1"/>
    <w:qFormat/>
    <w:uiPriority w:val="0"/>
    <w:pPr>
      <w:widowControl/>
      <w:spacing w:line="240" w:lineRule="exact"/>
      <w:jc w:val="left"/>
    </w:pPr>
  </w:style>
  <w:style w:type="paragraph" w:customStyle="1" w:styleId="291">
    <w:name w:val="样式 宋体 小四 行距: 1.5 倍行距1 Char"/>
    <w:basedOn w:val="1"/>
    <w:qFormat/>
    <w:uiPriority w:val="0"/>
    <w:pPr>
      <w:spacing w:line="360" w:lineRule="auto"/>
      <w:ind w:firstLine="540" w:firstLineChars="225"/>
    </w:pPr>
    <w:rPr>
      <w:rFonts w:ascii="宋体" w:hAnsi="宋体"/>
      <w:sz w:val="24"/>
    </w:rPr>
  </w:style>
  <w:style w:type="paragraph" w:customStyle="1" w:styleId="292">
    <w:name w:val="Char Char Char21"/>
    <w:basedOn w:val="1"/>
    <w:qFormat/>
    <w:uiPriority w:val="0"/>
    <w:pPr>
      <w:widowControl/>
      <w:spacing w:line="240" w:lineRule="exact"/>
      <w:jc w:val="left"/>
    </w:pPr>
    <w:rPr>
      <w:rFonts w:ascii="Verdana" w:hAnsi="Verdana"/>
      <w:kern w:val="0"/>
      <w:sz w:val="20"/>
      <w:szCs w:val="20"/>
      <w:lang w:eastAsia="en-US"/>
    </w:rPr>
  </w:style>
  <w:style w:type="paragraph" w:customStyle="1" w:styleId="293">
    <w:name w:val="样式 标题 3 + (中文) 黑体 小四 非加粗 段前: 7.8 磅 段后: 0 磅 行距: 固定值 20 磅"/>
    <w:basedOn w:val="5"/>
    <w:qFormat/>
    <w:uiPriority w:val="0"/>
    <w:pPr>
      <w:spacing w:before="0" w:after="0" w:line="400" w:lineRule="exact"/>
    </w:pPr>
    <w:rPr>
      <w:rFonts w:eastAsia="黑体" w:cs="宋体"/>
      <w:b w:val="0"/>
      <w:bCs w:val="0"/>
      <w:sz w:val="24"/>
      <w:szCs w:val="20"/>
    </w:rPr>
  </w:style>
  <w:style w:type="paragraph" w:customStyle="1" w:styleId="294">
    <w:name w:val="Bullets"/>
    <w:basedOn w:val="1"/>
    <w:qFormat/>
    <w:uiPriority w:val="0"/>
    <w:pPr>
      <w:widowControl/>
      <w:adjustRightInd w:val="0"/>
      <w:snapToGrid w:val="0"/>
      <w:spacing w:before="60" w:after="60"/>
    </w:pPr>
    <w:rPr>
      <w:kern w:val="0"/>
      <w:sz w:val="24"/>
      <w:lang w:val="en-GB"/>
    </w:rPr>
  </w:style>
  <w:style w:type="paragraph" w:customStyle="1" w:styleId="295">
    <w:name w:val="Char131"/>
    <w:basedOn w:val="1"/>
    <w:qFormat/>
    <w:uiPriority w:val="0"/>
    <w:rPr>
      <w:szCs w:val="21"/>
    </w:rPr>
  </w:style>
  <w:style w:type="paragraph" w:customStyle="1" w:styleId="296">
    <w:name w:val="样式3"/>
    <w:basedOn w:val="1"/>
    <w:qFormat/>
    <w:uiPriority w:val="0"/>
    <w:pPr>
      <w:tabs>
        <w:tab w:val="left" w:pos="560"/>
        <w:tab w:val="left" w:pos="1120"/>
      </w:tabs>
      <w:spacing w:line="480" w:lineRule="atLeast"/>
    </w:pPr>
    <w:rPr>
      <w:rFonts w:ascii="宋体" w:eastAsia="创艺简黑体"/>
      <w:szCs w:val="20"/>
    </w:rPr>
  </w:style>
  <w:style w:type="paragraph" w:customStyle="1" w:styleId="297">
    <w:name w:val="样式1"/>
    <w:basedOn w:val="1"/>
    <w:qFormat/>
    <w:uiPriority w:val="0"/>
    <w:pPr>
      <w:spacing w:before="120" w:after="120" w:line="300" w:lineRule="auto"/>
    </w:pPr>
    <w:rPr>
      <w:rFonts w:ascii="宋体" w:hAnsi="宋体"/>
      <w:b/>
      <w:sz w:val="24"/>
      <w:szCs w:val="20"/>
    </w:rPr>
  </w:style>
  <w:style w:type="paragraph" w:customStyle="1" w:styleId="298">
    <w:name w:val="列表段落1"/>
    <w:basedOn w:val="1"/>
    <w:qFormat/>
    <w:uiPriority w:val="34"/>
    <w:pPr>
      <w:ind w:firstLine="420" w:firstLineChars="200"/>
    </w:pPr>
    <w:rPr>
      <w:rFonts w:ascii="Calibri" w:hAnsi="Calibri"/>
      <w:szCs w:val="22"/>
    </w:rPr>
  </w:style>
  <w:style w:type="paragraph" w:customStyle="1" w:styleId="299">
    <w:name w:val="Char Char Char Char Char Char Char Char Char Char Char Char11"/>
    <w:basedOn w:val="1"/>
    <w:qFormat/>
    <w:uiPriority w:val="0"/>
    <w:pPr>
      <w:widowControl/>
      <w:spacing w:line="240" w:lineRule="exact"/>
      <w:jc w:val="left"/>
    </w:pPr>
    <w:rPr>
      <w:rFonts w:ascii="Verdana" w:hAnsi="Verdana"/>
      <w:kern w:val="0"/>
      <w:sz w:val="20"/>
      <w:szCs w:val="20"/>
      <w:lang w:eastAsia="en-US"/>
    </w:rPr>
  </w:style>
  <w:style w:type="paragraph" w:customStyle="1" w:styleId="300">
    <w:name w:val="444"/>
    <w:basedOn w:val="1"/>
    <w:qFormat/>
    <w:uiPriority w:val="0"/>
    <w:pPr>
      <w:adjustRightInd w:val="0"/>
      <w:spacing w:line="312" w:lineRule="atLeast"/>
      <w:jc w:val="center"/>
      <w:textAlignment w:val="baseline"/>
    </w:pPr>
    <w:rPr>
      <w:b/>
      <w:kern w:val="0"/>
      <w:sz w:val="36"/>
      <w:szCs w:val="36"/>
    </w:rPr>
  </w:style>
  <w:style w:type="paragraph" w:customStyle="1" w:styleId="301">
    <w:name w:val="Char Char9 Char Char Char Char21"/>
    <w:basedOn w:val="1"/>
    <w:qFormat/>
    <w:uiPriority w:val="0"/>
    <w:pPr>
      <w:widowControl/>
      <w:spacing w:line="240" w:lineRule="exact"/>
      <w:jc w:val="left"/>
    </w:pPr>
  </w:style>
  <w:style w:type="paragraph" w:customStyle="1" w:styleId="302">
    <w:name w:val="样式 标题 2 + (西文) 宋体 非加粗 居中"/>
    <w:basedOn w:val="4"/>
    <w:qFormat/>
    <w:uiPriority w:val="0"/>
    <w:pPr>
      <w:jc w:val="center"/>
    </w:pPr>
    <w:rPr>
      <w:rFonts w:ascii="宋体" w:hAnsi="宋体" w:cs="宋体"/>
      <w:b w:val="0"/>
      <w:bCs w:val="0"/>
      <w:spacing w:val="2"/>
      <w:sz w:val="28"/>
      <w:szCs w:val="20"/>
    </w:rPr>
  </w:style>
  <w:style w:type="paragraph" w:customStyle="1" w:styleId="303">
    <w:name w:val="2-2ji"/>
    <w:basedOn w:val="4"/>
    <w:qFormat/>
    <w:uiPriority w:val="0"/>
    <w:pPr>
      <w:adjustRightInd w:val="0"/>
      <w:spacing w:before="0" w:after="0" w:line="360" w:lineRule="auto"/>
      <w:jc w:val="center"/>
      <w:textAlignment w:val="baseline"/>
    </w:pPr>
    <w:rPr>
      <w:rFonts w:ascii="宋体" w:hAnsi="宋体" w:eastAsia="宋体"/>
      <w:bCs w:val="0"/>
      <w:sz w:val="36"/>
    </w:rPr>
  </w:style>
  <w:style w:type="table" w:customStyle="1" w:styleId="304">
    <w:name w:val="彩色列表 - 强调文字颜色 1111"/>
    <w:basedOn w:val="52"/>
    <w:qFormat/>
    <w:uiPriority w:val="34"/>
    <w:rPr>
      <w:rFonts w:ascii="Calibri" w:hAnsi="Calibri"/>
      <w:sz w:val="24"/>
      <w:szCs w:val="24"/>
      <w:lang w:eastAsia="en-US"/>
    </w:rPr>
    <w:tcPr>
      <w:shd w:val="clear" w:color="auto" w:fill="EDF2F8"/>
    </w:tcPr>
    <w:tblStylePr w:type="firstRow">
      <w:rPr>
        <w:b/>
        <w:bCs/>
        <w:color w:val="FFFFFF"/>
      </w:rPr>
      <w:tcPr>
        <w:tcBorders>
          <w:top w:val="nil"/>
          <w:left w:val="single" w:color="FFFFFF" w:sz="12" w:space="0"/>
          <w:bottom w:val="nil"/>
          <w:right w:val="nil"/>
          <w:insideH w:val="nil"/>
          <w:insideV w:val="nil"/>
          <w:tl2br w:val="nil"/>
          <w:tr2bl w:val="nil"/>
        </w:tcBorders>
        <w:shd w:val="clear" w:color="auto" w:fill="9E3A38"/>
      </w:tcPr>
    </w:tblStylePr>
    <w:tblStylePr w:type="lastRow">
      <w:rPr>
        <w:b/>
        <w:bCs/>
        <w:color w:val="9E3A38"/>
      </w:rPr>
      <w:tcPr>
        <w:tcBorders>
          <w:top w:val="single" w:color="000000" w:sz="12" w:space="0"/>
          <w:left w:val="nil"/>
          <w:bottom w:val="nil"/>
          <w:right w:val="nil"/>
          <w:insideH w:val="nil"/>
          <w:insideV w:val="nil"/>
          <w:tl2br w:val="nil"/>
          <w:tr2bl w:val="nil"/>
        </w:tcBorders>
        <w:shd w:val="clear" w:color="auto" w:fill="FFFFFF"/>
      </w:tcPr>
    </w:tblStylePr>
    <w:tblStylePr w:type="firstCol">
      <w:rPr>
        <w:b/>
        <w:bCs/>
      </w:rPr>
    </w:tblStylePr>
    <w:tblStylePr w:type="lastCol">
      <w:rPr>
        <w:b/>
        <w:bCs/>
      </w:rPr>
    </w:tblStylePr>
    <w:tblStylePr w:type="band1Vert">
      <w:tcPr>
        <w:tcBorders>
          <w:top w:val="nil"/>
          <w:left w:val="nil"/>
          <w:bottom w:val="nil"/>
          <w:right w:val="nil"/>
          <w:insideH w:val="nil"/>
          <w:insideV w:val="nil"/>
          <w:tl2br w:val="nil"/>
          <w:tr2bl w:val="nil"/>
        </w:tcBorders>
        <w:shd w:val="clear" w:color="auto" w:fill="D3DFEE"/>
      </w:tcPr>
    </w:tblStylePr>
    <w:tblStylePr w:type="band1Horz">
      <w:tcPr>
        <w:shd w:val="clear" w:color="auto" w:fill="DBE5F1"/>
      </w:tcPr>
    </w:tblStylePr>
  </w:style>
  <w:style w:type="paragraph" w:customStyle="1" w:styleId="305">
    <w:name w:val="_Style 4"/>
    <w:basedOn w:val="1"/>
    <w:next w:val="298"/>
    <w:qFormat/>
    <w:uiPriority w:val="0"/>
    <w:pPr>
      <w:ind w:firstLine="420" w:firstLineChars="200"/>
    </w:pPr>
  </w:style>
  <w:style w:type="table" w:customStyle="1" w:styleId="306">
    <w:name w:val="彩色列表 - 强调文字颜色 11"/>
    <w:basedOn w:val="52"/>
    <w:qFormat/>
    <w:uiPriority w:val="0"/>
    <w:rPr>
      <w:rFonts w:ascii="Calibri" w:hAnsi="Calibri" w:eastAsia="等线"/>
      <w:sz w:val="24"/>
      <w:szCs w:val="24"/>
      <w:lang w:eastAsia="en-US"/>
    </w:rPr>
    <w:tcPr>
      <w:shd w:val="clear" w:color="auto" w:fill="EDF2F8"/>
    </w:tcPr>
    <w:tblStylePr w:type="firstRow">
      <w:rPr>
        <w:b/>
        <w:bCs/>
        <w:color w:val="FFFFFF"/>
      </w:rPr>
      <w:tcPr>
        <w:tcBorders>
          <w:top w:val="nil"/>
          <w:left w:val="single" w:color="FFFFFF" w:sz="12" w:space="0"/>
          <w:bottom w:val="nil"/>
          <w:right w:val="nil"/>
          <w:insideH w:val="nil"/>
          <w:insideV w:val="nil"/>
          <w:tl2br w:val="nil"/>
          <w:tr2bl w:val="nil"/>
        </w:tcBorders>
        <w:shd w:val="clear" w:color="auto" w:fill="9E3A38"/>
      </w:tcPr>
    </w:tblStylePr>
    <w:tblStylePr w:type="lastRow">
      <w:rPr>
        <w:b/>
        <w:bCs/>
        <w:color w:val="9E3A38"/>
      </w:rPr>
      <w:tcPr>
        <w:tcBorders>
          <w:top w:val="single" w:color="000000" w:sz="12" w:space="0"/>
          <w:left w:val="nil"/>
          <w:bottom w:val="nil"/>
          <w:right w:val="nil"/>
          <w:insideH w:val="nil"/>
          <w:insideV w:val="nil"/>
          <w:tl2br w:val="nil"/>
          <w:tr2bl w:val="nil"/>
        </w:tcBorders>
        <w:shd w:val="clear" w:color="auto" w:fill="FFFFFF"/>
      </w:tcPr>
    </w:tblStylePr>
    <w:tblStylePr w:type="firstCol">
      <w:rPr>
        <w:b/>
        <w:bCs/>
      </w:rPr>
    </w:tblStylePr>
    <w:tblStylePr w:type="lastCol">
      <w:rPr>
        <w:b/>
        <w:bCs/>
      </w:rPr>
    </w:tblStylePr>
    <w:tblStylePr w:type="band1Vert">
      <w:tcPr>
        <w:tcBorders>
          <w:top w:val="nil"/>
          <w:left w:val="nil"/>
          <w:bottom w:val="nil"/>
          <w:right w:val="nil"/>
          <w:insideH w:val="nil"/>
          <w:insideV w:val="nil"/>
          <w:tl2br w:val="nil"/>
          <w:tr2bl w:val="nil"/>
        </w:tcBorders>
        <w:shd w:val="clear" w:color="auto" w:fill="D3DFEE"/>
      </w:tcPr>
    </w:tblStylePr>
    <w:tblStylePr w:type="band1Horz">
      <w:tcPr>
        <w:shd w:val="clear" w:color="auto" w:fill="DBE5F1"/>
      </w:tcPr>
    </w:tblStylePr>
  </w:style>
  <w:style w:type="character" w:customStyle="1" w:styleId="307">
    <w:name w:val="Header Char"/>
    <w:basedOn w:val="54"/>
    <w:qFormat/>
    <w:locked/>
    <w:uiPriority w:val="0"/>
    <w:rPr>
      <w:rFonts w:ascii="Calibri" w:hAnsi="Calibri" w:eastAsia="宋体"/>
      <w:kern w:val="2"/>
      <w:sz w:val="18"/>
      <w:szCs w:val="18"/>
      <w:lang w:val="en-US" w:eastAsia="zh-CN" w:bidi="ar-SA"/>
    </w:rPr>
  </w:style>
  <w:style w:type="character" w:customStyle="1" w:styleId="308">
    <w:name w:val="Footer Char"/>
    <w:basedOn w:val="54"/>
    <w:qFormat/>
    <w:locked/>
    <w:uiPriority w:val="0"/>
    <w:rPr>
      <w:rFonts w:ascii="Calibri" w:hAnsi="Calibri" w:eastAsia="宋体"/>
      <w:kern w:val="2"/>
      <w:sz w:val="18"/>
      <w:szCs w:val="18"/>
      <w:lang w:val="en-US" w:eastAsia="zh-CN" w:bidi="ar-SA"/>
    </w:rPr>
  </w:style>
  <w:style w:type="paragraph" w:customStyle="1" w:styleId="309">
    <w:name w:val="列表段落111"/>
    <w:basedOn w:val="1"/>
    <w:qFormat/>
    <w:uiPriority w:val="0"/>
    <w:pPr>
      <w:ind w:firstLine="420" w:firstLineChars="200"/>
    </w:pPr>
    <w:rPr>
      <w:rFonts w:ascii="Calibri" w:hAnsi="Calibri"/>
      <w:szCs w:val="22"/>
    </w:rPr>
  </w:style>
  <w:style w:type="character" w:customStyle="1" w:styleId="310">
    <w:name w:val="Heading 1 Char"/>
    <w:basedOn w:val="54"/>
    <w:qFormat/>
    <w:locked/>
    <w:uiPriority w:val="0"/>
    <w:rPr>
      <w:rFonts w:ascii="宋体" w:eastAsia="宋体"/>
      <w:b/>
      <w:bCs/>
      <w:kern w:val="44"/>
      <w:sz w:val="44"/>
      <w:szCs w:val="44"/>
      <w:lang w:val="en-US" w:eastAsia="zh-CN" w:bidi="ar-SA"/>
    </w:rPr>
  </w:style>
  <w:style w:type="character" w:customStyle="1" w:styleId="311">
    <w:name w:val="Heading 2 Char"/>
    <w:basedOn w:val="54"/>
    <w:qFormat/>
    <w:locked/>
    <w:uiPriority w:val="0"/>
    <w:rPr>
      <w:rFonts w:ascii="Arial" w:hAnsi="Arial" w:eastAsia="黑体"/>
      <w:b/>
      <w:bCs/>
      <w:kern w:val="21"/>
      <w:sz w:val="32"/>
      <w:szCs w:val="32"/>
      <w:lang w:val="en-US" w:eastAsia="zh-CN" w:bidi="ar-SA"/>
    </w:rPr>
  </w:style>
  <w:style w:type="character" w:customStyle="1" w:styleId="312">
    <w:name w:val="Heading 3 Char"/>
    <w:basedOn w:val="54"/>
    <w:qFormat/>
    <w:locked/>
    <w:uiPriority w:val="0"/>
    <w:rPr>
      <w:rFonts w:ascii="宋体" w:eastAsia="宋体"/>
      <w:b/>
      <w:bCs/>
      <w:kern w:val="21"/>
      <w:sz w:val="32"/>
      <w:szCs w:val="32"/>
      <w:lang w:val="en-US" w:eastAsia="zh-CN" w:bidi="ar-SA"/>
    </w:rPr>
  </w:style>
  <w:style w:type="character" w:customStyle="1" w:styleId="313">
    <w:name w:val="Heading 4 Char"/>
    <w:basedOn w:val="54"/>
    <w:qFormat/>
    <w:locked/>
    <w:uiPriority w:val="0"/>
    <w:rPr>
      <w:rFonts w:ascii="Arial" w:hAnsi="Arial" w:eastAsia="黑体"/>
      <w:b/>
      <w:bCs/>
      <w:kern w:val="21"/>
      <w:sz w:val="28"/>
      <w:szCs w:val="28"/>
      <w:lang w:val="en-US" w:eastAsia="zh-CN" w:bidi="ar-SA"/>
    </w:rPr>
  </w:style>
  <w:style w:type="character" w:customStyle="1" w:styleId="314">
    <w:name w:val="Heading 5 Char"/>
    <w:basedOn w:val="54"/>
    <w:qFormat/>
    <w:locked/>
    <w:uiPriority w:val="0"/>
    <w:rPr>
      <w:rFonts w:ascii="宋体" w:eastAsia="宋体"/>
      <w:b/>
      <w:bCs/>
      <w:kern w:val="21"/>
      <w:sz w:val="28"/>
      <w:szCs w:val="28"/>
      <w:lang w:val="en-US" w:eastAsia="zh-CN" w:bidi="ar-SA"/>
    </w:rPr>
  </w:style>
  <w:style w:type="character" w:customStyle="1" w:styleId="315">
    <w:name w:val="Heading 6 Char"/>
    <w:basedOn w:val="54"/>
    <w:qFormat/>
    <w:locked/>
    <w:uiPriority w:val="0"/>
    <w:rPr>
      <w:rFonts w:ascii="Arial" w:hAnsi="Arial" w:eastAsia="黑体"/>
      <w:b/>
      <w:bCs/>
      <w:kern w:val="21"/>
      <w:sz w:val="24"/>
      <w:szCs w:val="21"/>
      <w:lang w:val="en-US" w:eastAsia="zh-CN" w:bidi="ar-SA"/>
    </w:rPr>
  </w:style>
  <w:style w:type="character" w:customStyle="1" w:styleId="316">
    <w:name w:val="Heading 7 Char"/>
    <w:basedOn w:val="54"/>
    <w:qFormat/>
    <w:locked/>
    <w:uiPriority w:val="0"/>
    <w:rPr>
      <w:rFonts w:ascii="宋体" w:eastAsia="宋体"/>
      <w:b/>
      <w:bCs/>
      <w:kern w:val="21"/>
      <w:sz w:val="24"/>
      <w:szCs w:val="21"/>
      <w:lang w:val="en-US" w:eastAsia="zh-CN" w:bidi="ar-SA"/>
    </w:rPr>
  </w:style>
  <w:style w:type="character" w:customStyle="1" w:styleId="317">
    <w:name w:val="Heading 8 Char"/>
    <w:basedOn w:val="54"/>
    <w:qFormat/>
    <w:locked/>
    <w:uiPriority w:val="0"/>
    <w:rPr>
      <w:rFonts w:ascii="Arial" w:hAnsi="Arial" w:eastAsia="黑体"/>
      <w:kern w:val="21"/>
      <w:sz w:val="24"/>
      <w:szCs w:val="21"/>
      <w:lang w:val="en-US" w:eastAsia="zh-CN" w:bidi="ar-SA"/>
    </w:rPr>
  </w:style>
  <w:style w:type="character" w:customStyle="1" w:styleId="318">
    <w:name w:val="Heading 9 Char"/>
    <w:basedOn w:val="54"/>
    <w:qFormat/>
    <w:locked/>
    <w:uiPriority w:val="0"/>
    <w:rPr>
      <w:rFonts w:ascii="Arial" w:hAnsi="Arial" w:eastAsia="黑体"/>
      <w:kern w:val="21"/>
      <w:sz w:val="21"/>
      <w:szCs w:val="21"/>
      <w:lang w:val="en-US" w:eastAsia="zh-CN" w:bidi="ar-SA"/>
    </w:rPr>
  </w:style>
  <w:style w:type="character" w:customStyle="1" w:styleId="319">
    <w:name w:val="一级条标题 Char"/>
    <w:basedOn w:val="320"/>
    <w:qFormat/>
    <w:uiPriority w:val="0"/>
    <w:rPr>
      <w:rFonts w:ascii="黑体" w:eastAsia="黑体" w:cs="黑体"/>
      <w:sz w:val="21"/>
      <w:szCs w:val="21"/>
      <w:lang w:val="en-US" w:eastAsia="zh-CN" w:bidi="ar-SA"/>
    </w:rPr>
  </w:style>
  <w:style w:type="character" w:customStyle="1" w:styleId="320">
    <w:name w:val="章标题 Char"/>
    <w:qFormat/>
    <w:uiPriority w:val="0"/>
    <w:rPr>
      <w:rFonts w:ascii="黑体" w:eastAsia="黑体"/>
      <w:sz w:val="21"/>
      <w:lang w:val="en-US" w:eastAsia="zh-CN"/>
    </w:rPr>
  </w:style>
  <w:style w:type="character" w:customStyle="1" w:styleId="321">
    <w:name w:val="发布"/>
    <w:qFormat/>
    <w:uiPriority w:val="0"/>
    <w:rPr>
      <w:rFonts w:ascii="黑体" w:eastAsia="黑体"/>
      <w:spacing w:val="22"/>
      <w:w w:val="100"/>
      <w:position w:val="3"/>
      <w:sz w:val="28"/>
    </w:rPr>
  </w:style>
  <w:style w:type="character" w:customStyle="1" w:styleId="322">
    <w:name w:val="个人答复风格"/>
    <w:qFormat/>
    <w:uiPriority w:val="0"/>
    <w:rPr>
      <w:rFonts w:ascii="Arial" w:hAnsi="Arial" w:eastAsia="宋体"/>
      <w:color w:val="auto"/>
      <w:sz w:val="20"/>
    </w:rPr>
  </w:style>
  <w:style w:type="character" w:customStyle="1" w:styleId="323">
    <w:name w:val="三级条标题 Char"/>
    <w:basedOn w:val="324"/>
    <w:qFormat/>
    <w:uiPriority w:val="0"/>
    <w:rPr>
      <w:rFonts w:ascii="黑体" w:eastAsia="黑体" w:cs="黑体"/>
      <w:sz w:val="21"/>
      <w:szCs w:val="21"/>
      <w:lang w:val="en-US" w:eastAsia="zh-CN" w:bidi="ar-SA"/>
    </w:rPr>
  </w:style>
  <w:style w:type="character" w:customStyle="1" w:styleId="324">
    <w:name w:val="二级条标题 Char"/>
    <w:basedOn w:val="319"/>
    <w:qFormat/>
    <w:uiPriority w:val="0"/>
    <w:rPr>
      <w:rFonts w:ascii="黑体" w:eastAsia="黑体" w:cs="黑体"/>
      <w:sz w:val="21"/>
      <w:szCs w:val="21"/>
      <w:lang w:val="en-US" w:eastAsia="zh-CN" w:bidi="ar-SA"/>
    </w:rPr>
  </w:style>
  <w:style w:type="character" w:customStyle="1" w:styleId="325">
    <w:name w:val="章标题 Char Char"/>
    <w:link w:val="326"/>
    <w:qFormat/>
    <w:locked/>
    <w:uiPriority w:val="0"/>
    <w:rPr>
      <w:rFonts w:ascii="黑体" w:eastAsia="黑体"/>
      <w:kern w:val="2"/>
      <w:sz w:val="22"/>
      <w:lang w:val="en-US" w:eastAsia="zh-CN" w:bidi="ar-SA"/>
    </w:rPr>
  </w:style>
  <w:style w:type="paragraph" w:customStyle="1" w:styleId="326">
    <w:name w:val="章标题"/>
    <w:next w:val="233"/>
    <w:link w:val="325"/>
    <w:qFormat/>
    <w:uiPriority w:val="0"/>
    <w:pPr>
      <w:numPr>
        <w:ilvl w:val="1"/>
        <w:numId w:val="1"/>
      </w:numPr>
      <w:spacing w:beforeLines="50" w:after="160" w:afterLines="50" w:line="278" w:lineRule="auto"/>
      <w:jc w:val="both"/>
      <w:outlineLvl w:val="1"/>
    </w:pPr>
    <w:rPr>
      <w:rFonts w:ascii="黑体" w:hAnsi="Times New Roman" w:eastAsia="黑体" w:cs="Times New Roman"/>
      <w:kern w:val="2"/>
      <w:sz w:val="22"/>
      <w:lang w:val="en-US" w:eastAsia="zh-CN" w:bidi="ar-SA"/>
    </w:rPr>
  </w:style>
  <w:style w:type="character" w:customStyle="1" w:styleId="327">
    <w:name w:val="三级条标题 Char Char"/>
    <w:basedOn w:val="328"/>
    <w:link w:val="332"/>
    <w:qFormat/>
    <w:locked/>
    <w:uiPriority w:val="0"/>
    <w:rPr>
      <w:rFonts w:ascii="黑体" w:eastAsia="黑体"/>
      <w:kern w:val="2"/>
      <w:sz w:val="22"/>
      <w:szCs w:val="22"/>
      <w:lang w:val="en-US" w:eastAsia="zh-CN" w:bidi="ar-SA"/>
    </w:rPr>
  </w:style>
  <w:style w:type="character" w:customStyle="1" w:styleId="328">
    <w:name w:val="二级条标题 Char Char"/>
    <w:basedOn w:val="329"/>
    <w:link w:val="331"/>
    <w:qFormat/>
    <w:locked/>
    <w:uiPriority w:val="0"/>
    <w:rPr>
      <w:rFonts w:ascii="黑体" w:eastAsia="黑体"/>
      <w:kern w:val="2"/>
      <w:sz w:val="22"/>
      <w:szCs w:val="22"/>
      <w:lang w:val="en-US" w:eastAsia="zh-CN" w:bidi="ar-SA"/>
    </w:rPr>
  </w:style>
  <w:style w:type="character" w:customStyle="1" w:styleId="329">
    <w:name w:val="一级条标题 Char Char"/>
    <w:basedOn w:val="325"/>
    <w:link w:val="330"/>
    <w:qFormat/>
    <w:locked/>
    <w:uiPriority w:val="0"/>
    <w:rPr>
      <w:rFonts w:ascii="黑体" w:eastAsia="黑体"/>
      <w:kern w:val="2"/>
      <w:sz w:val="22"/>
      <w:szCs w:val="22"/>
      <w:lang w:val="en-US" w:eastAsia="zh-CN" w:bidi="ar-SA"/>
    </w:rPr>
  </w:style>
  <w:style w:type="paragraph" w:customStyle="1" w:styleId="330">
    <w:name w:val="一级条标题"/>
    <w:basedOn w:val="326"/>
    <w:next w:val="233"/>
    <w:link w:val="329"/>
    <w:qFormat/>
    <w:uiPriority w:val="0"/>
    <w:pPr>
      <w:numPr>
        <w:ilvl w:val="2"/>
      </w:numPr>
      <w:tabs>
        <w:tab w:val="left" w:pos="312"/>
        <w:tab w:val="left" w:pos="360"/>
      </w:tabs>
      <w:spacing w:beforeLines="0" w:afterLines="0"/>
      <w:ind w:left="0"/>
      <w:outlineLvl w:val="2"/>
    </w:pPr>
    <w:rPr>
      <w:szCs w:val="22"/>
    </w:rPr>
  </w:style>
  <w:style w:type="paragraph" w:customStyle="1" w:styleId="331">
    <w:name w:val="二级条标题"/>
    <w:basedOn w:val="330"/>
    <w:next w:val="233"/>
    <w:link w:val="328"/>
    <w:qFormat/>
    <w:uiPriority w:val="0"/>
    <w:pPr>
      <w:numPr>
        <w:ilvl w:val="3"/>
        <w:numId w:val="2"/>
      </w:numPr>
      <w:outlineLvl w:val="3"/>
    </w:pPr>
  </w:style>
  <w:style w:type="paragraph" w:customStyle="1" w:styleId="332">
    <w:name w:val="三级条标题"/>
    <w:basedOn w:val="331"/>
    <w:next w:val="233"/>
    <w:link w:val="327"/>
    <w:qFormat/>
    <w:uiPriority w:val="0"/>
  </w:style>
  <w:style w:type="character" w:customStyle="1" w:styleId="333">
    <w:name w:val="个人撰写风格"/>
    <w:qFormat/>
    <w:uiPriority w:val="0"/>
    <w:rPr>
      <w:rFonts w:ascii="Arial" w:hAnsi="Arial" w:eastAsia="宋体"/>
      <w:color w:val="auto"/>
      <w:sz w:val="20"/>
    </w:rPr>
  </w:style>
  <w:style w:type="paragraph" w:customStyle="1" w:styleId="334">
    <w:name w:val="其他发布部门"/>
    <w:basedOn w:val="335"/>
    <w:qFormat/>
    <w:uiPriority w:val="0"/>
    <w:pPr>
      <w:spacing w:line="240" w:lineRule="atLeast"/>
    </w:pPr>
    <w:rPr>
      <w:rFonts w:ascii="黑体" w:eastAsia="黑体"/>
      <w:b w:val="0"/>
    </w:rPr>
  </w:style>
  <w:style w:type="paragraph" w:customStyle="1" w:styleId="335">
    <w:name w:val="发布部门"/>
    <w:next w:val="233"/>
    <w:qFormat/>
    <w:uiPriority w:val="0"/>
    <w:pPr>
      <w:spacing w:after="160" w:line="278" w:lineRule="auto"/>
      <w:jc w:val="center"/>
    </w:pPr>
    <w:rPr>
      <w:rFonts w:ascii="宋体" w:hAnsi="Times New Roman" w:eastAsia="宋体" w:cs="Times New Roman"/>
      <w:b/>
      <w:spacing w:val="20"/>
      <w:w w:val="135"/>
      <w:sz w:val="36"/>
      <w:lang w:val="en-US" w:eastAsia="zh-CN" w:bidi="ar-SA"/>
    </w:rPr>
  </w:style>
  <w:style w:type="paragraph" w:customStyle="1" w:styleId="336">
    <w:name w:val="其他标准称谓"/>
    <w:qFormat/>
    <w:uiPriority w:val="0"/>
    <w:pPr>
      <w:spacing w:after="160" w:line="240" w:lineRule="atLeast"/>
      <w:jc w:val="distribute"/>
    </w:pPr>
    <w:rPr>
      <w:rFonts w:ascii="黑体" w:hAnsi="宋体" w:eastAsia="黑体" w:cs="Times New Roman"/>
      <w:sz w:val="52"/>
      <w:lang w:val="en-US" w:eastAsia="zh-CN" w:bidi="ar-SA"/>
    </w:rPr>
  </w:style>
  <w:style w:type="paragraph" w:customStyle="1" w:styleId="337">
    <w:name w:val="封面一致性程度标识"/>
    <w:qFormat/>
    <w:uiPriority w:val="0"/>
    <w:pPr>
      <w:spacing w:before="440" w:after="160" w:line="400" w:lineRule="exact"/>
      <w:jc w:val="center"/>
    </w:pPr>
    <w:rPr>
      <w:rFonts w:ascii="宋体" w:hAnsi="Times New Roman" w:eastAsia="宋体" w:cs="Times New Roman"/>
      <w:sz w:val="28"/>
      <w:lang w:val="en-US" w:eastAsia="zh-CN" w:bidi="ar-SA"/>
    </w:rPr>
  </w:style>
  <w:style w:type="paragraph" w:customStyle="1" w:styleId="338">
    <w:name w:val="文献分类号"/>
    <w:qFormat/>
    <w:uiPriority w:val="0"/>
    <w:pPr>
      <w:widowControl w:val="0"/>
      <w:spacing w:after="160" w:line="278" w:lineRule="auto"/>
      <w:jc w:val="both"/>
      <w:textAlignment w:val="center"/>
    </w:pPr>
    <w:rPr>
      <w:rFonts w:ascii="Times New Roman" w:hAnsi="Times New Roman" w:eastAsia="黑体" w:cs="Times New Roman"/>
      <w:sz w:val="21"/>
      <w:lang w:val="en-US" w:eastAsia="zh-CN" w:bidi="ar-SA"/>
    </w:rPr>
  </w:style>
  <w:style w:type="paragraph" w:customStyle="1" w:styleId="339">
    <w:name w:val="封面标准代替信息"/>
    <w:basedOn w:val="340"/>
    <w:qFormat/>
    <w:uiPriority w:val="0"/>
    <w:pPr>
      <w:spacing w:before="57"/>
    </w:pPr>
    <w:rPr>
      <w:rFonts w:ascii="宋体"/>
      <w:sz w:val="21"/>
    </w:rPr>
  </w:style>
  <w:style w:type="paragraph" w:customStyle="1" w:styleId="340">
    <w:name w:val="封面标准号2"/>
    <w:basedOn w:val="341"/>
    <w:qFormat/>
    <w:uiPriority w:val="0"/>
    <w:pPr>
      <w:adjustRightInd w:val="0"/>
      <w:spacing w:before="357" w:line="280" w:lineRule="exact"/>
    </w:pPr>
  </w:style>
  <w:style w:type="paragraph" w:customStyle="1" w:styleId="341">
    <w:name w:val="封面标准号1"/>
    <w:qFormat/>
    <w:uiPriority w:val="0"/>
    <w:pPr>
      <w:widowControl w:val="0"/>
      <w:kinsoku w:val="0"/>
      <w:overflowPunct w:val="0"/>
      <w:autoSpaceDE w:val="0"/>
      <w:autoSpaceDN w:val="0"/>
      <w:spacing w:before="308" w:after="160" w:line="278" w:lineRule="auto"/>
      <w:jc w:val="right"/>
      <w:textAlignment w:val="center"/>
    </w:pPr>
    <w:rPr>
      <w:rFonts w:ascii="Times New Roman" w:hAnsi="Times New Roman" w:eastAsia="宋体" w:cs="Times New Roman"/>
      <w:sz w:val="28"/>
      <w:lang w:val="en-US" w:eastAsia="zh-CN" w:bidi="ar-SA"/>
    </w:rPr>
  </w:style>
  <w:style w:type="paragraph" w:customStyle="1" w:styleId="342">
    <w:name w:val="前言、引言标题"/>
    <w:next w:val="1"/>
    <w:qFormat/>
    <w:uiPriority w:val="0"/>
    <w:pPr>
      <w:numPr>
        <w:ilvl w:val="0"/>
        <w:numId w:val="2"/>
      </w:numPr>
      <w:shd w:val="clear" w:color="FFFFFF" w:fill="FFFFFF"/>
      <w:spacing w:before="640" w:after="560" w:line="278" w:lineRule="auto"/>
      <w:jc w:val="center"/>
      <w:outlineLvl w:val="0"/>
    </w:pPr>
    <w:rPr>
      <w:rFonts w:ascii="黑体" w:hAnsi="Times New Roman" w:eastAsia="黑体" w:cs="Times New Roman"/>
      <w:sz w:val="32"/>
      <w:lang w:val="en-US" w:eastAsia="zh-CN" w:bidi="ar-SA"/>
    </w:rPr>
  </w:style>
  <w:style w:type="paragraph" w:customStyle="1" w:styleId="343">
    <w:name w:val="正文表标题"/>
    <w:next w:val="233"/>
    <w:qFormat/>
    <w:uiPriority w:val="0"/>
    <w:pPr>
      <w:numPr>
        <w:ilvl w:val="0"/>
        <w:numId w:val="1"/>
      </w:numPr>
      <w:spacing w:after="160" w:line="278" w:lineRule="auto"/>
      <w:jc w:val="center"/>
    </w:pPr>
    <w:rPr>
      <w:rFonts w:ascii="黑体" w:hAnsi="Times New Roman" w:eastAsia="黑体" w:cs="Times New Roman"/>
      <w:sz w:val="21"/>
      <w:lang w:val="en-US" w:eastAsia="zh-CN" w:bidi="ar-SA"/>
    </w:rPr>
  </w:style>
  <w:style w:type="paragraph" w:customStyle="1" w:styleId="344">
    <w:name w:val="附录章标题"/>
    <w:next w:val="233"/>
    <w:qFormat/>
    <w:uiPriority w:val="0"/>
    <w:pPr>
      <w:numPr>
        <w:ilvl w:val="1"/>
        <w:numId w:val="3"/>
      </w:numPr>
      <w:wordWrap w:val="0"/>
      <w:overflowPunct w:val="0"/>
      <w:autoSpaceDE w:val="0"/>
      <w:spacing w:beforeLines="50" w:after="160" w:afterLines="50" w:line="278" w:lineRule="auto"/>
      <w:jc w:val="both"/>
      <w:textAlignment w:val="baseline"/>
      <w:outlineLvl w:val="1"/>
    </w:pPr>
    <w:rPr>
      <w:rFonts w:ascii="黑体" w:hAnsi="Times New Roman" w:eastAsia="黑体" w:cs="Times New Roman"/>
      <w:kern w:val="21"/>
      <w:sz w:val="21"/>
      <w:lang w:val="en-US" w:eastAsia="zh-CN" w:bidi="ar-SA"/>
    </w:rPr>
  </w:style>
  <w:style w:type="paragraph" w:customStyle="1" w:styleId="345">
    <w:name w:val="五级无标题条"/>
    <w:basedOn w:val="1"/>
    <w:qFormat/>
    <w:uiPriority w:val="0"/>
    <w:pPr>
      <w:numPr>
        <w:ilvl w:val="6"/>
        <w:numId w:val="3"/>
      </w:numPr>
    </w:pPr>
    <w:rPr>
      <w:rFonts w:ascii="宋体"/>
      <w:kern w:val="21"/>
      <w:szCs w:val="21"/>
    </w:rPr>
  </w:style>
  <w:style w:type="paragraph" w:customStyle="1" w:styleId="346">
    <w:name w:val="三级无标题条"/>
    <w:basedOn w:val="1"/>
    <w:qFormat/>
    <w:uiPriority w:val="0"/>
    <w:pPr>
      <w:numPr>
        <w:ilvl w:val="4"/>
        <w:numId w:val="3"/>
      </w:numPr>
    </w:pPr>
    <w:rPr>
      <w:rFonts w:ascii="宋体"/>
      <w:kern w:val="21"/>
      <w:szCs w:val="21"/>
    </w:rPr>
  </w:style>
  <w:style w:type="character" w:customStyle="1" w:styleId="347">
    <w:name w:val="Document Map Char"/>
    <w:basedOn w:val="54"/>
    <w:qFormat/>
    <w:locked/>
    <w:uiPriority w:val="0"/>
    <w:rPr>
      <w:rFonts w:ascii="宋体" w:eastAsia="宋体"/>
      <w:kern w:val="21"/>
      <w:sz w:val="21"/>
      <w:szCs w:val="21"/>
      <w:lang w:val="en-US" w:eastAsia="zh-CN" w:bidi="ar-SA"/>
    </w:rPr>
  </w:style>
  <w:style w:type="paragraph" w:customStyle="1" w:styleId="348">
    <w:name w:val="数字编号列项（二级）"/>
    <w:qFormat/>
    <w:uiPriority w:val="0"/>
    <w:pPr>
      <w:spacing w:after="160" w:line="278" w:lineRule="auto"/>
      <w:ind w:left="1260" w:leftChars="400" w:hanging="420" w:hangingChars="200"/>
      <w:jc w:val="both"/>
    </w:pPr>
    <w:rPr>
      <w:rFonts w:ascii="宋体" w:hAnsi="Times New Roman" w:eastAsia="宋体" w:cs="Times New Roman"/>
      <w:sz w:val="21"/>
      <w:lang w:val="en-US" w:eastAsia="zh-CN" w:bidi="ar-SA"/>
    </w:rPr>
  </w:style>
  <w:style w:type="paragraph" w:customStyle="1" w:styleId="349">
    <w:name w:val="目次、标准名称标题"/>
    <w:basedOn w:val="342"/>
    <w:next w:val="233"/>
    <w:qFormat/>
    <w:uiPriority w:val="0"/>
    <w:pPr>
      <w:numPr>
        <w:numId w:val="0"/>
      </w:numPr>
      <w:spacing w:line="460" w:lineRule="exact"/>
    </w:pPr>
  </w:style>
  <w:style w:type="paragraph" w:customStyle="1" w:styleId="350">
    <w:name w:val="封面标准名称"/>
    <w:qFormat/>
    <w:uiPriority w:val="0"/>
    <w:pPr>
      <w:widowControl w:val="0"/>
      <w:spacing w:after="160" w:line="680" w:lineRule="exact"/>
      <w:jc w:val="center"/>
      <w:textAlignment w:val="center"/>
    </w:pPr>
    <w:rPr>
      <w:rFonts w:ascii="黑体" w:hAnsi="Times New Roman" w:eastAsia="黑体" w:cs="Times New Roman"/>
      <w:sz w:val="52"/>
      <w:lang w:val="en-US" w:eastAsia="zh-CN" w:bidi="ar-SA"/>
    </w:rPr>
  </w:style>
  <w:style w:type="paragraph" w:customStyle="1" w:styleId="351">
    <w:name w:val="二级无标题条"/>
    <w:basedOn w:val="1"/>
    <w:qFormat/>
    <w:uiPriority w:val="0"/>
    <w:pPr>
      <w:numPr>
        <w:ilvl w:val="3"/>
        <w:numId w:val="3"/>
      </w:numPr>
    </w:pPr>
    <w:rPr>
      <w:rFonts w:ascii="宋体"/>
      <w:kern w:val="21"/>
      <w:szCs w:val="21"/>
    </w:rPr>
  </w:style>
  <w:style w:type="paragraph" w:customStyle="1" w:styleId="352">
    <w:name w:val="条文脚注"/>
    <w:basedOn w:val="39"/>
    <w:qFormat/>
    <w:uiPriority w:val="0"/>
    <w:pPr>
      <w:ind w:left="780" w:leftChars="200" w:hanging="360" w:hangingChars="200"/>
      <w:jc w:val="both"/>
    </w:pPr>
  </w:style>
  <w:style w:type="character" w:customStyle="1" w:styleId="353">
    <w:name w:val="HTML Preformatted Char"/>
    <w:basedOn w:val="54"/>
    <w:qFormat/>
    <w:locked/>
    <w:uiPriority w:val="0"/>
    <w:rPr>
      <w:rFonts w:ascii="Courier New" w:hAnsi="Courier New" w:eastAsia="宋体" w:cs="Courier New"/>
      <w:kern w:val="21"/>
      <w:lang w:val="en-US" w:eastAsia="zh-CN" w:bidi="ar-SA"/>
    </w:rPr>
  </w:style>
  <w:style w:type="character" w:customStyle="1" w:styleId="354">
    <w:name w:val="Date Char"/>
    <w:basedOn w:val="54"/>
    <w:qFormat/>
    <w:locked/>
    <w:uiPriority w:val="0"/>
    <w:rPr>
      <w:rFonts w:ascii="宋体" w:eastAsia="宋体"/>
      <w:kern w:val="21"/>
      <w:sz w:val="24"/>
      <w:lang w:val="en-US" w:eastAsia="zh-CN" w:bidi="ar-SA"/>
    </w:rPr>
  </w:style>
  <w:style w:type="paragraph" w:customStyle="1" w:styleId="355">
    <w:name w:val="四级条标题"/>
    <w:basedOn w:val="332"/>
    <w:next w:val="233"/>
    <w:qFormat/>
    <w:uiPriority w:val="0"/>
    <w:pPr>
      <w:numPr>
        <w:ilvl w:val="5"/>
      </w:numPr>
      <w:ind w:left="2316"/>
      <w:outlineLvl w:val="5"/>
    </w:pPr>
  </w:style>
  <w:style w:type="character" w:customStyle="1" w:styleId="356">
    <w:name w:val="Title Char"/>
    <w:basedOn w:val="54"/>
    <w:qFormat/>
    <w:locked/>
    <w:uiPriority w:val="0"/>
    <w:rPr>
      <w:rFonts w:ascii="Arial" w:hAnsi="Arial" w:eastAsia="宋体" w:cs="Arial"/>
      <w:b/>
      <w:bCs/>
      <w:kern w:val="21"/>
      <w:sz w:val="32"/>
      <w:szCs w:val="32"/>
      <w:lang w:val="en-US" w:eastAsia="zh-CN" w:bidi="ar-SA"/>
    </w:rPr>
  </w:style>
  <w:style w:type="paragraph" w:customStyle="1" w:styleId="357">
    <w:name w:val="注："/>
    <w:next w:val="233"/>
    <w:qFormat/>
    <w:uiPriority w:val="0"/>
    <w:pPr>
      <w:widowControl w:val="0"/>
      <w:numPr>
        <w:ilvl w:val="0"/>
        <w:numId w:val="4"/>
      </w:numPr>
      <w:autoSpaceDE w:val="0"/>
      <w:autoSpaceDN w:val="0"/>
      <w:spacing w:after="160" w:line="278" w:lineRule="auto"/>
      <w:jc w:val="both"/>
    </w:pPr>
    <w:rPr>
      <w:rFonts w:ascii="宋体" w:hAnsi="Times New Roman" w:eastAsia="宋体" w:cs="Times New Roman"/>
      <w:sz w:val="18"/>
      <w:lang w:val="en-US" w:eastAsia="zh-CN" w:bidi="ar-SA"/>
    </w:rPr>
  </w:style>
  <w:style w:type="paragraph" w:customStyle="1" w:styleId="358">
    <w:name w:val="五级条标题"/>
    <w:basedOn w:val="355"/>
    <w:next w:val="233"/>
    <w:qFormat/>
    <w:uiPriority w:val="0"/>
    <w:pPr>
      <w:numPr>
        <w:ilvl w:val="6"/>
      </w:numPr>
      <w:outlineLvl w:val="6"/>
    </w:pPr>
  </w:style>
  <w:style w:type="paragraph" w:customStyle="1" w:styleId="359">
    <w:name w:val="附录表标题"/>
    <w:next w:val="233"/>
    <w:qFormat/>
    <w:uiPriority w:val="0"/>
    <w:pPr>
      <w:spacing w:after="160" w:line="278" w:lineRule="auto"/>
      <w:jc w:val="center"/>
      <w:textAlignment w:val="baseline"/>
    </w:pPr>
    <w:rPr>
      <w:rFonts w:ascii="黑体" w:hAnsi="Times New Roman" w:eastAsia="黑体" w:cs="Times New Roman"/>
      <w:kern w:val="21"/>
      <w:sz w:val="21"/>
      <w:lang w:val="en-US" w:eastAsia="zh-CN" w:bidi="ar-SA"/>
    </w:rPr>
  </w:style>
  <w:style w:type="paragraph" w:customStyle="1" w:styleId="360">
    <w:name w:val="正文图标题"/>
    <w:next w:val="233"/>
    <w:qFormat/>
    <w:uiPriority w:val="0"/>
    <w:pPr>
      <w:numPr>
        <w:ilvl w:val="0"/>
        <w:numId w:val="5"/>
      </w:numPr>
      <w:spacing w:after="160" w:line="278" w:lineRule="auto"/>
      <w:jc w:val="center"/>
    </w:pPr>
    <w:rPr>
      <w:rFonts w:ascii="黑体" w:hAnsi="Times New Roman" w:eastAsia="黑体" w:cs="Times New Roman"/>
      <w:sz w:val="21"/>
      <w:lang w:val="en-US" w:eastAsia="zh-CN" w:bidi="ar-SA"/>
    </w:rPr>
  </w:style>
  <w:style w:type="paragraph" w:customStyle="1" w:styleId="361">
    <w:name w:val="附录标识"/>
    <w:basedOn w:val="342"/>
    <w:qFormat/>
    <w:uiPriority w:val="0"/>
    <w:pPr>
      <w:numPr>
        <w:ilvl w:val="0"/>
        <w:numId w:val="6"/>
      </w:numPr>
      <w:tabs>
        <w:tab w:val="left" w:pos="6405"/>
      </w:tabs>
      <w:spacing w:after="200"/>
      <w:ind w:firstLine="0"/>
    </w:pPr>
    <w:rPr>
      <w:sz w:val="21"/>
    </w:rPr>
  </w:style>
  <w:style w:type="paragraph" w:customStyle="1" w:styleId="362">
    <w:name w:val="标准书眉_偶数页"/>
    <w:basedOn w:val="363"/>
    <w:next w:val="1"/>
    <w:qFormat/>
    <w:uiPriority w:val="0"/>
    <w:pPr>
      <w:tabs>
        <w:tab w:val="center" w:pos="4154"/>
        <w:tab w:val="right" w:pos="8306"/>
      </w:tabs>
      <w:jc w:val="left"/>
    </w:pPr>
  </w:style>
  <w:style w:type="paragraph" w:customStyle="1" w:styleId="363">
    <w:name w:val="标准书眉_奇数页"/>
    <w:next w:val="1"/>
    <w:qFormat/>
    <w:uiPriority w:val="0"/>
    <w:pPr>
      <w:tabs>
        <w:tab w:val="center" w:pos="4154"/>
        <w:tab w:val="right" w:pos="8306"/>
      </w:tabs>
      <w:spacing w:after="120" w:line="278" w:lineRule="auto"/>
      <w:jc w:val="right"/>
    </w:pPr>
    <w:rPr>
      <w:rFonts w:ascii="Times New Roman" w:hAnsi="Times New Roman" w:eastAsia="宋体" w:cs="Times New Roman"/>
      <w:sz w:val="21"/>
      <w:lang w:val="en-US" w:eastAsia="zh-CN" w:bidi="ar-SA"/>
    </w:rPr>
  </w:style>
  <w:style w:type="paragraph" w:customStyle="1" w:styleId="364">
    <w:name w:val="附录三级条标题"/>
    <w:basedOn w:val="365"/>
    <w:next w:val="233"/>
    <w:qFormat/>
    <w:uiPriority w:val="0"/>
    <w:pPr>
      <w:numPr>
        <w:ilvl w:val="4"/>
      </w:numPr>
      <w:tabs>
        <w:tab w:val="left" w:pos="1418"/>
      </w:tabs>
      <w:outlineLvl w:val="4"/>
    </w:pPr>
  </w:style>
  <w:style w:type="paragraph" w:customStyle="1" w:styleId="365">
    <w:name w:val="附录二级条标题"/>
    <w:basedOn w:val="366"/>
    <w:next w:val="233"/>
    <w:qFormat/>
    <w:uiPriority w:val="0"/>
    <w:pPr>
      <w:numPr>
        <w:ilvl w:val="3"/>
      </w:numPr>
      <w:tabs>
        <w:tab w:val="left" w:pos="1418"/>
      </w:tabs>
      <w:outlineLvl w:val="3"/>
    </w:pPr>
  </w:style>
  <w:style w:type="paragraph" w:customStyle="1" w:styleId="366">
    <w:name w:val="附录一级条标题"/>
    <w:basedOn w:val="344"/>
    <w:next w:val="233"/>
    <w:qFormat/>
    <w:uiPriority w:val="0"/>
    <w:pPr>
      <w:numPr>
        <w:ilvl w:val="2"/>
        <w:numId w:val="6"/>
      </w:numPr>
      <w:autoSpaceDN w:val="0"/>
      <w:spacing w:beforeLines="0" w:afterLines="0"/>
      <w:outlineLvl w:val="2"/>
    </w:pPr>
  </w:style>
  <w:style w:type="paragraph" w:customStyle="1" w:styleId="367">
    <w:name w:val="附录图标题"/>
    <w:next w:val="233"/>
    <w:qFormat/>
    <w:uiPriority w:val="0"/>
    <w:pPr>
      <w:spacing w:after="160" w:line="278" w:lineRule="auto"/>
      <w:jc w:val="center"/>
    </w:pPr>
    <w:rPr>
      <w:rFonts w:ascii="黑体" w:hAnsi="Times New Roman" w:eastAsia="黑体" w:cs="Times New Roman"/>
      <w:sz w:val="21"/>
      <w:lang w:val="en-US" w:eastAsia="zh-CN" w:bidi="ar-SA"/>
    </w:rPr>
  </w:style>
  <w:style w:type="paragraph" w:customStyle="1" w:styleId="368">
    <w:name w:val="四级无标题条"/>
    <w:basedOn w:val="1"/>
    <w:qFormat/>
    <w:uiPriority w:val="0"/>
    <w:pPr>
      <w:numPr>
        <w:ilvl w:val="5"/>
        <w:numId w:val="3"/>
      </w:numPr>
    </w:pPr>
    <w:rPr>
      <w:rFonts w:ascii="宋体"/>
      <w:kern w:val="21"/>
      <w:szCs w:val="21"/>
    </w:rPr>
  </w:style>
  <w:style w:type="paragraph" w:customStyle="1" w:styleId="369">
    <w:name w:val="字母编号列项（一级）"/>
    <w:qFormat/>
    <w:uiPriority w:val="0"/>
    <w:pPr>
      <w:spacing w:after="160" w:line="278" w:lineRule="auto"/>
      <w:ind w:left="840" w:leftChars="200" w:hanging="420" w:hangingChars="200"/>
      <w:jc w:val="both"/>
    </w:pPr>
    <w:rPr>
      <w:rFonts w:ascii="宋体" w:hAnsi="Times New Roman" w:eastAsia="宋体" w:cs="Times New Roman"/>
      <w:sz w:val="21"/>
      <w:lang w:val="en-US" w:eastAsia="zh-CN" w:bidi="ar-SA"/>
    </w:rPr>
  </w:style>
  <w:style w:type="paragraph" w:customStyle="1" w:styleId="370">
    <w:name w:val="封面正文"/>
    <w:qFormat/>
    <w:uiPriority w:val="0"/>
    <w:pPr>
      <w:spacing w:after="160" w:line="278" w:lineRule="auto"/>
      <w:jc w:val="both"/>
    </w:pPr>
    <w:rPr>
      <w:rFonts w:ascii="Times New Roman" w:hAnsi="Times New Roman" w:eastAsia="宋体" w:cs="Times New Roman"/>
      <w:lang w:val="en-US" w:eastAsia="zh-CN" w:bidi="ar-SA"/>
    </w:rPr>
  </w:style>
  <w:style w:type="character" w:customStyle="1" w:styleId="371">
    <w:name w:val="Balloon Text Char"/>
    <w:basedOn w:val="54"/>
    <w:qFormat/>
    <w:locked/>
    <w:uiPriority w:val="0"/>
    <w:rPr>
      <w:rFonts w:ascii="宋体" w:eastAsia="宋体"/>
      <w:kern w:val="21"/>
      <w:sz w:val="18"/>
      <w:szCs w:val="18"/>
      <w:lang w:val="en-US" w:eastAsia="zh-CN" w:bidi="ar-SA"/>
    </w:rPr>
  </w:style>
  <w:style w:type="paragraph" w:customStyle="1" w:styleId="372">
    <w:name w:val="实施日期"/>
    <w:basedOn w:val="373"/>
    <w:qFormat/>
    <w:uiPriority w:val="0"/>
    <w:pPr>
      <w:jc w:val="right"/>
    </w:pPr>
  </w:style>
  <w:style w:type="paragraph" w:customStyle="1" w:styleId="373">
    <w:name w:val="发布日期"/>
    <w:qFormat/>
    <w:uiPriority w:val="0"/>
    <w:pPr>
      <w:spacing w:after="160" w:line="278" w:lineRule="auto"/>
      <w:jc w:val="both"/>
    </w:pPr>
    <w:rPr>
      <w:rFonts w:ascii="Times New Roman" w:hAnsi="Times New Roman" w:eastAsia="黑体" w:cs="Times New Roman"/>
      <w:sz w:val="28"/>
      <w:lang w:val="en-US" w:eastAsia="zh-CN" w:bidi="ar-SA"/>
    </w:rPr>
  </w:style>
  <w:style w:type="paragraph" w:customStyle="1" w:styleId="374">
    <w:name w:val="列项——"/>
    <w:qFormat/>
    <w:uiPriority w:val="0"/>
    <w:pPr>
      <w:widowControl w:val="0"/>
      <w:numPr>
        <w:ilvl w:val="0"/>
        <w:numId w:val="7"/>
      </w:numPr>
      <w:tabs>
        <w:tab w:val="left" w:pos="854"/>
      </w:tabs>
      <w:spacing w:after="160" w:line="278" w:lineRule="auto"/>
      <w:ind w:left="200" w:leftChars="200" w:hanging="200" w:hangingChars="200"/>
      <w:jc w:val="both"/>
    </w:pPr>
    <w:rPr>
      <w:rFonts w:ascii="宋体" w:hAnsi="Times New Roman" w:eastAsia="宋体" w:cs="Times New Roman"/>
      <w:sz w:val="21"/>
      <w:lang w:val="en-US" w:eastAsia="zh-CN" w:bidi="ar-SA"/>
    </w:rPr>
  </w:style>
  <w:style w:type="paragraph" w:customStyle="1" w:styleId="375">
    <w:name w:val="示例"/>
    <w:next w:val="233"/>
    <w:qFormat/>
    <w:uiPriority w:val="0"/>
    <w:pPr>
      <w:numPr>
        <w:ilvl w:val="0"/>
        <w:numId w:val="8"/>
      </w:numPr>
      <w:tabs>
        <w:tab w:val="left" w:pos="816"/>
        <w:tab w:val="clear" w:pos="1140"/>
      </w:tabs>
      <w:spacing w:after="160" w:line="278" w:lineRule="auto"/>
      <w:ind w:firstLine="419" w:firstLineChars="233"/>
      <w:jc w:val="both"/>
    </w:pPr>
    <w:rPr>
      <w:rFonts w:ascii="宋体" w:hAnsi="Times New Roman" w:eastAsia="宋体" w:cs="Times New Roman"/>
      <w:sz w:val="18"/>
      <w:lang w:val="en-US" w:eastAsia="zh-CN" w:bidi="ar-SA"/>
    </w:rPr>
  </w:style>
  <w:style w:type="paragraph" w:customStyle="1" w:styleId="376">
    <w:name w:val="附录四级条标题"/>
    <w:basedOn w:val="364"/>
    <w:next w:val="233"/>
    <w:qFormat/>
    <w:uiPriority w:val="0"/>
    <w:pPr>
      <w:numPr>
        <w:ilvl w:val="5"/>
      </w:numPr>
      <w:outlineLvl w:val="5"/>
    </w:pPr>
  </w:style>
  <w:style w:type="paragraph" w:customStyle="1" w:styleId="377">
    <w:name w:val="列项·"/>
    <w:qFormat/>
    <w:uiPriority w:val="0"/>
    <w:pPr>
      <w:numPr>
        <w:ilvl w:val="0"/>
        <w:numId w:val="9"/>
      </w:numPr>
      <w:tabs>
        <w:tab w:val="left" w:pos="840"/>
        <w:tab w:val="clear" w:pos="1120"/>
      </w:tabs>
      <w:spacing w:after="160" w:line="278" w:lineRule="auto"/>
      <w:ind w:left="840" w:leftChars="200" w:hanging="420" w:hangingChars="200"/>
      <w:jc w:val="both"/>
    </w:pPr>
    <w:rPr>
      <w:rFonts w:ascii="宋体" w:hAnsi="Times New Roman" w:eastAsia="宋体" w:cs="Times New Roman"/>
      <w:sz w:val="21"/>
      <w:lang w:val="en-US" w:eastAsia="zh-CN" w:bidi="ar-SA"/>
    </w:rPr>
  </w:style>
  <w:style w:type="paragraph" w:customStyle="1" w:styleId="378">
    <w:name w:val="图表脚注"/>
    <w:next w:val="233"/>
    <w:qFormat/>
    <w:uiPriority w:val="0"/>
    <w:pPr>
      <w:spacing w:after="160" w:line="278" w:lineRule="auto"/>
      <w:ind w:left="300" w:leftChars="200" w:hanging="100" w:hangingChars="100"/>
      <w:jc w:val="both"/>
    </w:pPr>
    <w:rPr>
      <w:rFonts w:ascii="宋体" w:hAnsi="Times New Roman" w:eastAsia="宋体" w:cs="Times New Roman"/>
      <w:sz w:val="18"/>
      <w:lang w:val="en-US" w:eastAsia="zh-CN" w:bidi="ar-SA"/>
    </w:rPr>
  </w:style>
  <w:style w:type="paragraph" w:customStyle="1" w:styleId="379">
    <w:name w:val="封面标准文稿编辑信息"/>
    <w:qFormat/>
    <w:uiPriority w:val="0"/>
    <w:pPr>
      <w:spacing w:before="180" w:after="160" w:line="180" w:lineRule="exact"/>
      <w:jc w:val="center"/>
    </w:pPr>
    <w:rPr>
      <w:rFonts w:ascii="宋体" w:hAnsi="Times New Roman" w:eastAsia="宋体" w:cs="Times New Roman"/>
      <w:sz w:val="21"/>
      <w:lang w:val="en-US" w:eastAsia="zh-CN" w:bidi="ar-SA"/>
    </w:rPr>
  </w:style>
  <w:style w:type="paragraph" w:customStyle="1" w:styleId="380">
    <w:name w:val="一级无标题条"/>
    <w:basedOn w:val="1"/>
    <w:qFormat/>
    <w:uiPriority w:val="0"/>
    <w:pPr>
      <w:numPr>
        <w:ilvl w:val="2"/>
        <w:numId w:val="3"/>
      </w:numPr>
    </w:pPr>
    <w:rPr>
      <w:rFonts w:ascii="宋体"/>
      <w:kern w:val="21"/>
      <w:szCs w:val="21"/>
    </w:rPr>
  </w:style>
  <w:style w:type="paragraph" w:customStyle="1" w:styleId="381">
    <w:name w:val="目次、索引正文"/>
    <w:qFormat/>
    <w:uiPriority w:val="0"/>
    <w:pPr>
      <w:spacing w:after="160" w:line="320" w:lineRule="exact"/>
      <w:jc w:val="both"/>
    </w:pPr>
    <w:rPr>
      <w:rFonts w:ascii="宋体" w:hAnsi="Times New Roman" w:eastAsia="宋体" w:cs="Times New Roman"/>
      <w:sz w:val="21"/>
      <w:lang w:val="en-US" w:eastAsia="zh-CN" w:bidi="ar-SA"/>
    </w:rPr>
  </w:style>
  <w:style w:type="paragraph" w:customStyle="1" w:styleId="382">
    <w:name w:val="无标题条"/>
    <w:next w:val="233"/>
    <w:qFormat/>
    <w:uiPriority w:val="0"/>
    <w:pPr>
      <w:spacing w:after="160" w:line="278" w:lineRule="auto"/>
      <w:jc w:val="both"/>
    </w:pPr>
    <w:rPr>
      <w:rFonts w:ascii="Times New Roman" w:hAnsi="Times New Roman" w:eastAsia="宋体" w:cs="Times New Roman"/>
      <w:sz w:val="21"/>
      <w:lang w:val="en-US" w:eastAsia="zh-CN" w:bidi="ar-SA"/>
    </w:rPr>
  </w:style>
  <w:style w:type="paragraph" w:customStyle="1" w:styleId="383">
    <w:name w:val="标准书眉一"/>
    <w:qFormat/>
    <w:uiPriority w:val="0"/>
    <w:pPr>
      <w:spacing w:after="160" w:line="278" w:lineRule="auto"/>
      <w:jc w:val="both"/>
    </w:pPr>
    <w:rPr>
      <w:rFonts w:ascii="Times New Roman" w:hAnsi="Times New Roman" w:eastAsia="宋体" w:cs="Times New Roman"/>
      <w:lang w:val="en-US" w:eastAsia="zh-CN" w:bidi="ar-SA"/>
    </w:rPr>
  </w:style>
  <w:style w:type="paragraph" w:customStyle="1" w:styleId="384">
    <w:name w:val="封面标准英文名称"/>
    <w:qFormat/>
    <w:uiPriority w:val="0"/>
    <w:pPr>
      <w:widowControl w:val="0"/>
      <w:spacing w:before="370" w:after="160" w:line="400" w:lineRule="exact"/>
      <w:jc w:val="center"/>
    </w:pPr>
    <w:rPr>
      <w:rFonts w:ascii="Times New Roman" w:hAnsi="Times New Roman" w:eastAsia="宋体" w:cs="Times New Roman"/>
      <w:sz w:val="28"/>
      <w:lang w:val="en-US" w:eastAsia="zh-CN" w:bidi="ar-SA"/>
    </w:rPr>
  </w:style>
  <w:style w:type="paragraph" w:customStyle="1" w:styleId="385">
    <w:name w:val="标准称谓"/>
    <w:next w:val="1"/>
    <w:qFormat/>
    <w:uiPriority w:val="0"/>
    <w:pPr>
      <w:widowControl w:val="0"/>
      <w:kinsoku w:val="0"/>
      <w:overflowPunct w:val="0"/>
      <w:autoSpaceDE w:val="0"/>
      <w:autoSpaceDN w:val="0"/>
      <w:spacing w:after="160" w:line="240" w:lineRule="atLeast"/>
      <w:jc w:val="distribute"/>
    </w:pPr>
    <w:rPr>
      <w:rFonts w:ascii="宋体" w:hAnsi="Times New Roman" w:eastAsia="宋体" w:cs="Times New Roman"/>
      <w:b/>
      <w:bCs/>
      <w:spacing w:val="20"/>
      <w:w w:val="148"/>
      <w:sz w:val="52"/>
      <w:lang w:val="en-US" w:eastAsia="zh-CN" w:bidi="ar-SA"/>
    </w:rPr>
  </w:style>
  <w:style w:type="paragraph" w:customStyle="1" w:styleId="386">
    <w:name w:val="附录五级条标题"/>
    <w:basedOn w:val="376"/>
    <w:next w:val="233"/>
    <w:qFormat/>
    <w:uiPriority w:val="0"/>
    <w:pPr>
      <w:numPr>
        <w:ilvl w:val="6"/>
      </w:numPr>
      <w:outlineLvl w:val="6"/>
    </w:pPr>
  </w:style>
  <w:style w:type="paragraph" w:customStyle="1" w:styleId="387">
    <w:name w:val="注×："/>
    <w:qFormat/>
    <w:uiPriority w:val="0"/>
    <w:pPr>
      <w:widowControl w:val="0"/>
      <w:numPr>
        <w:ilvl w:val="0"/>
        <w:numId w:val="10"/>
      </w:numPr>
      <w:tabs>
        <w:tab w:val="left" w:pos="630"/>
      </w:tabs>
      <w:autoSpaceDE w:val="0"/>
      <w:autoSpaceDN w:val="0"/>
      <w:spacing w:after="160" w:line="278" w:lineRule="auto"/>
      <w:jc w:val="both"/>
    </w:pPr>
    <w:rPr>
      <w:rFonts w:ascii="宋体" w:hAnsi="Times New Roman" w:eastAsia="宋体" w:cs="Times New Roman"/>
      <w:sz w:val="18"/>
      <w:lang w:val="en-US" w:eastAsia="zh-CN" w:bidi="ar-SA"/>
    </w:rPr>
  </w:style>
  <w:style w:type="paragraph" w:customStyle="1" w:styleId="388">
    <w:name w:val="封面标准文稿类别"/>
    <w:qFormat/>
    <w:uiPriority w:val="0"/>
    <w:pPr>
      <w:spacing w:before="440" w:after="160" w:line="400" w:lineRule="exact"/>
      <w:jc w:val="center"/>
    </w:pPr>
    <w:rPr>
      <w:rFonts w:ascii="宋体" w:hAnsi="Times New Roman" w:eastAsia="宋体" w:cs="Times New Roman"/>
      <w:sz w:val="24"/>
      <w:lang w:val="en-US" w:eastAsia="zh-CN" w:bidi="ar-SA"/>
    </w:rPr>
  </w:style>
  <w:style w:type="paragraph" w:customStyle="1" w:styleId="389">
    <w:name w:val="标准书脚_奇数页"/>
    <w:qFormat/>
    <w:uiPriority w:val="0"/>
    <w:pPr>
      <w:spacing w:before="120" w:after="160" w:line="278" w:lineRule="auto"/>
      <w:jc w:val="right"/>
    </w:pPr>
    <w:rPr>
      <w:rFonts w:ascii="Times New Roman" w:hAnsi="Times New Roman" w:eastAsia="宋体" w:cs="Times New Roman"/>
      <w:sz w:val="18"/>
      <w:lang w:val="en-US" w:eastAsia="zh-CN" w:bidi="ar-SA"/>
    </w:rPr>
  </w:style>
  <w:style w:type="paragraph" w:customStyle="1" w:styleId="390">
    <w:name w:val="参考文献、索引标题"/>
    <w:basedOn w:val="342"/>
    <w:next w:val="1"/>
    <w:qFormat/>
    <w:uiPriority w:val="0"/>
    <w:pPr>
      <w:numPr>
        <w:numId w:val="0"/>
      </w:numPr>
      <w:spacing w:after="200"/>
    </w:pPr>
    <w:rPr>
      <w:sz w:val="21"/>
    </w:rPr>
  </w:style>
  <w:style w:type="paragraph" w:customStyle="1" w:styleId="391">
    <w:name w:val="标准书脚_偶数页"/>
    <w:qFormat/>
    <w:uiPriority w:val="0"/>
    <w:pPr>
      <w:spacing w:before="120" w:after="160" w:line="278" w:lineRule="auto"/>
      <w:jc w:val="both"/>
    </w:pPr>
    <w:rPr>
      <w:rFonts w:ascii="Times New Roman" w:hAnsi="Times New Roman" w:eastAsia="宋体" w:cs="Times New Roman"/>
      <w:sz w:val="18"/>
      <w:lang w:val="en-US" w:eastAsia="zh-CN" w:bidi="ar-SA"/>
    </w:rPr>
  </w:style>
  <w:style w:type="paragraph" w:customStyle="1" w:styleId="392">
    <w:name w:val="标准标志"/>
    <w:next w:val="1"/>
    <w:qFormat/>
    <w:uiPriority w:val="0"/>
    <w:pPr>
      <w:shd w:val="solid" w:color="FFFFFF" w:fill="FFFFFF"/>
      <w:spacing w:after="160" w:line="240" w:lineRule="atLeast"/>
      <w:jc w:val="right"/>
    </w:pPr>
    <w:rPr>
      <w:rFonts w:ascii="Times New Roman" w:hAnsi="Times New Roman" w:eastAsia="宋体" w:cs="Times New Roman"/>
      <w:b/>
      <w:w w:val="130"/>
      <w:sz w:val="96"/>
      <w:lang w:val="en-US" w:eastAsia="zh-CN" w:bidi="ar-SA"/>
    </w:rPr>
  </w:style>
  <w:style w:type="paragraph" w:customStyle="1" w:styleId="393">
    <w:name w:val="示例×："/>
    <w:basedOn w:val="1"/>
    <w:next w:val="1"/>
    <w:qFormat/>
    <w:uiPriority w:val="0"/>
    <w:pPr>
      <w:tabs>
        <w:tab w:val="left" w:pos="630"/>
        <w:tab w:val="left" w:pos="760"/>
      </w:tabs>
      <w:autoSpaceDE w:val="0"/>
      <w:autoSpaceDN w:val="0"/>
      <w:ind w:left="20" w:firstLine="380"/>
    </w:pPr>
    <w:rPr>
      <w:rFonts w:ascii="宋体"/>
      <w:kern w:val="0"/>
      <w:sz w:val="18"/>
      <w:szCs w:val="20"/>
    </w:rPr>
  </w:style>
  <w:style w:type="character" w:customStyle="1" w:styleId="394">
    <w:name w:val="Char Char33"/>
    <w:qFormat/>
    <w:uiPriority w:val="0"/>
    <w:rPr>
      <w:rFonts w:eastAsia="宋体"/>
      <w:b/>
      <w:bCs/>
      <w:kern w:val="44"/>
      <w:sz w:val="44"/>
      <w:szCs w:val="44"/>
      <w:lang w:val="en-US" w:eastAsia="zh-CN" w:bidi="ar-SA"/>
    </w:rPr>
  </w:style>
  <w:style w:type="character" w:customStyle="1" w:styleId="395">
    <w:name w:val="Char Char32"/>
    <w:qFormat/>
    <w:uiPriority w:val="0"/>
    <w:rPr>
      <w:rFonts w:ascii="Arial" w:hAnsi="Arial" w:eastAsia="黑体"/>
      <w:b/>
      <w:bCs/>
      <w:sz w:val="32"/>
      <w:szCs w:val="32"/>
      <w:lang w:bidi="ar-SA"/>
    </w:rPr>
  </w:style>
  <w:style w:type="character" w:customStyle="1" w:styleId="396">
    <w:name w:val="Char Char35"/>
    <w:qFormat/>
    <w:uiPriority w:val="0"/>
    <w:rPr>
      <w:rFonts w:eastAsia="宋体"/>
      <w:b/>
      <w:bCs/>
      <w:kern w:val="44"/>
      <w:sz w:val="44"/>
      <w:szCs w:val="44"/>
      <w:lang w:val="en-US" w:eastAsia="zh-CN" w:bidi="ar-SA"/>
    </w:rPr>
  </w:style>
  <w:style w:type="character" w:customStyle="1" w:styleId="397">
    <w:name w:val="Char Char34"/>
    <w:qFormat/>
    <w:uiPriority w:val="0"/>
    <w:rPr>
      <w:rFonts w:ascii="Arial" w:hAnsi="Arial" w:eastAsia="黑体"/>
      <w:b/>
      <w:bCs/>
      <w:sz w:val="32"/>
      <w:szCs w:val="32"/>
      <w:lang w:bidi="ar-SA"/>
    </w:rPr>
  </w:style>
  <w:style w:type="paragraph" w:customStyle="1" w:styleId="398">
    <w:name w:val="标准正文 S"/>
    <w:basedOn w:val="1"/>
    <w:qFormat/>
    <w:uiPriority w:val="0"/>
    <w:pPr>
      <w:spacing w:beforeLines="50" w:afterLines="50" w:line="360" w:lineRule="auto"/>
      <w:ind w:firstLine="480"/>
      <w:jc w:val="left"/>
    </w:pPr>
    <w:rPr>
      <w:rFonts w:ascii="Calibri" w:hAnsi="Calibri"/>
      <w:sz w:val="24"/>
    </w:rPr>
  </w:style>
  <w:style w:type="paragraph" w:customStyle="1" w:styleId="399">
    <w:name w:val="*正文"/>
    <w:basedOn w:val="1"/>
    <w:qFormat/>
    <w:uiPriority w:val="0"/>
    <w:pPr>
      <w:spacing w:line="360" w:lineRule="auto"/>
      <w:ind w:firstLine="482"/>
      <w:jc w:val="left"/>
    </w:pPr>
    <w:rPr>
      <w:rFonts w:ascii="宋体" w:hAnsi="宋体"/>
      <w:kern w:val="0"/>
      <w:sz w:val="24"/>
      <w:szCs w:val="20"/>
    </w:rPr>
  </w:style>
  <w:style w:type="character" w:customStyle="1" w:styleId="400">
    <w:name w:val="Body text|3_"/>
    <w:basedOn w:val="54"/>
    <w:link w:val="401"/>
    <w:qFormat/>
    <w:uiPriority w:val="0"/>
    <w:rPr>
      <w:rFonts w:ascii="宋体" w:hAnsi="宋体" w:eastAsia="宋体"/>
      <w:sz w:val="34"/>
      <w:szCs w:val="34"/>
      <w:lang w:bidi="ar-SA"/>
    </w:rPr>
  </w:style>
  <w:style w:type="paragraph" w:customStyle="1" w:styleId="401">
    <w:name w:val="Body text|3"/>
    <w:basedOn w:val="1"/>
    <w:link w:val="400"/>
    <w:qFormat/>
    <w:uiPriority w:val="0"/>
    <w:pPr>
      <w:spacing w:after="460"/>
      <w:jc w:val="center"/>
    </w:pPr>
    <w:rPr>
      <w:rFonts w:ascii="宋体" w:hAnsi="宋体"/>
      <w:kern w:val="0"/>
      <w:sz w:val="34"/>
      <w:szCs w:val="34"/>
    </w:rPr>
  </w:style>
  <w:style w:type="character" w:customStyle="1" w:styleId="402">
    <w:name w:val="Body text|1_"/>
    <w:basedOn w:val="54"/>
    <w:link w:val="403"/>
    <w:qFormat/>
    <w:uiPriority w:val="0"/>
    <w:rPr>
      <w:rFonts w:ascii="宋体" w:hAnsi="宋体" w:eastAsia="宋体"/>
      <w:sz w:val="30"/>
      <w:szCs w:val="30"/>
      <w:lang w:bidi="ar-SA"/>
    </w:rPr>
  </w:style>
  <w:style w:type="paragraph" w:customStyle="1" w:styleId="403">
    <w:name w:val="Body text|1"/>
    <w:basedOn w:val="1"/>
    <w:link w:val="402"/>
    <w:qFormat/>
    <w:uiPriority w:val="0"/>
    <w:pPr>
      <w:spacing w:line="353" w:lineRule="auto"/>
      <w:ind w:firstLine="400"/>
      <w:jc w:val="left"/>
    </w:pPr>
    <w:rPr>
      <w:rFonts w:ascii="宋体" w:hAnsi="宋体"/>
      <w:kern w:val="0"/>
      <w:sz w:val="30"/>
      <w:szCs w:val="30"/>
    </w:rPr>
  </w:style>
  <w:style w:type="character" w:customStyle="1" w:styleId="404">
    <w:name w:val="Char Char37"/>
    <w:qFormat/>
    <w:uiPriority w:val="0"/>
    <w:rPr>
      <w:rFonts w:eastAsia="宋体"/>
      <w:b/>
      <w:bCs/>
      <w:kern w:val="44"/>
      <w:sz w:val="44"/>
      <w:szCs w:val="44"/>
      <w:lang w:val="en-US" w:eastAsia="zh-CN" w:bidi="ar-SA"/>
    </w:rPr>
  </w:style>
  <w:style w:type="character" w:customStyle="1" w:styleId="405">
    <w:name w:val="Char Char36"/>
    <w:qFormat/>
    <w:uiPriority w:val="0"/>
    <w:rPr>
      <w:rFonts w:ascii="Arial" w:hAnsi="Arial" w:eastAsia="黑体"/>
      <w:b/>
      <w:bCs/>
      <w:sz w:val="32"/>
      <w:szCs w:val="32"/>
      <w:lang w:bidi="ar-SA"/>
    </w:rPr>
  </w:style>
  <w:style w:type="character" w:customStyle="1" w:styleId="406">
    <w:name w:val="无间隔 字符"/>
    <w:qFormat/>
    <w:uiPriority w:val="0"/>
    <w:rPr>
      <w:sz w:val="22"/>
      <w:szCs w:val="22"/>
      <w:lang w:val="en-US" w:eastAsia="zh-CN" w:bidi="ar-SA"/>
    </w:rPr>
  </w:style>
  <w:style w:type="character" w:customStyle="1" w:styleId="407">
    <w:name w:val="正文文本 2 字符"/>
    <w:qFormat/>
    <w:uiPriority w:val="0"/>
    <w:rPr>
      <w:rFonts w:eastAsia="宋体"/>
      <w:kern w:val="2"/>
      <w:sz w:val="21"/>
      <w:szCs w:val="24"/>
      <w:lang w:val="en-US" w:eastAsia="zh-CN" w:bidi="ar-SA"/>
    </w:rPr>
  </w:style>
  <w:style w:type="character" w:customStyle="1" w:styleId="408">
    <w:name w:val="HTML 地址 字符"/>
    <w:qFormat/>
    <w:locked/>
    <w:uiPriority w:val="0"/>
    <w:rPr>
      <w:rFonts w:ascii="宋体" w:eastAsia="宋体"/>
      <w:i/>
      <w:iCs/>
      <w:kern w:val="21"/>
      <w:sz w:val="21"/>
      <w:szCs w:val="21"/>
      <w:lang w:val="en-US" w:eastAsia="zh-CN" w:bidi="ar-SA"/>
    </w:rPr>
  </w:style>
  <w:style w:type="character" w:customStyle="1" w:styleId="409">
    <w:name w:val="标题 6 字符"/>
    <w:qFormat/>
    <w:uiPriority w:val="0"/>
    <w:rPr>
      <w:rFonts w:ascii="Arial" w:hAnsi="Arial" w:eastAsia="黑体"/>
      <w:b/>
      <w:kern w:val="2"/>
      <w:sz w:val="24"/>
      <w:szCs w:val="24"/>
      <w:lang w:val="en-US" w:eastAsia="zh-CN" w:bidi="ar-SA"/>
    </w:rPr>
  </w:style>
  <w:style w:type="character" w:customStyle="1" w:styleId="410">
    <w:name w:val="日期 字符"/>
    <w:qFormat/>
    <w:uiPriority w:val="0"/>
    <w:rPr>
      <w:rFonts w:ascii="宋体" w:hAnsi="Courier New" w:eastAsia="宋体" w:cs="Courier New"/>
      <w:kern w:val="2"/>
      <w:sz w:val="21"/>
      <w:szCs w:val="21"/>
      <w:lang w:val="en-US" w:eastAsia="zh-CN" w:bidi="ar-SA"/>
    </w:rPr>
  </w:style>
  <w:style w:type="character" w:customStyle="1" w:styleId="411">
    <w:name w:val="正文文本缩进 2 字符"/>
    <w:qFormat/>
    <w:uiPriority w:val="0"/>
    <w:rPr>
      <w:rFonts w:eastAsia="宋体"/>
      <w:kern w:val="2"/>
      <w:sz w:val="32"/>
      <w:lang w:val="en-US" w:eastAsia="zh-CN" w:bidi="ar-SA"/>
    </w:rPr>
  </w:style>
  <w:style w:type="character" w:customStyle="1" w:styleId="412">
    <w:name w:val="标题 1 字符"/>
    <w:qFormat/>
    <w:uiPriority w:val="0"/>
    <w:rPr>
      <w:rFonts w:eastAsia="宋体"/>
      <w:b/>
      <w:bCs/>
      <w:kern w:val="44"/>
      <w:sz w:val="44"/>
      <w:szCs w:val="44"/>
      <w:lang w:val="en-US" w:eastAsia="zh-CN" w:bidi="ar-SA"/>
    </w:rPr>
  </w:style>
  <w:style w:type="character" w:customStyle="1" w:styleId="413">
    <w:name w:val="正文文本缩进 3 字符"/>
    <w:qFormat/>
    <w:uiPriority w:val="0"/>
    <w:rPr>
      <w:rFonts w:eastAsia="宋体"/>
      <w:kern w:val="2"/>
      <w:sz w:val="16"/>
      <w:szCs w:val="16"/>
      <w:lang w:val="en-US" w:eastAsia="zh-CN" w:bidi="ar-SA"/>
    </w:rPr>
  </w:style>
  <w:style w:type="character" w:customStyle="1" w:styleId="414">
    <w:name w:val="标题 2 字符"/>
    <w:qFormat/>
    <w:uiPriority w:val="0"/>
    <w:rPr>
      <w:rFonts w:ascii="Arial" w:hAnsi="Arial" w:eastAsia="黑体"/>
      <w:b/>
      <w:bCs/>
      <w:sz w:val="32"/>
      <w:szCs w:val="32"/>
      <w:lang w:bidi="ar-SA"/>
    </w:rPr>
  </w:style>
  <w:style w:type="character" w:customStyle="1" w:styleId="415">
    <w:name w:val="标题 3 字符"/>
    <w:qFormat/>
    <w:uiPriority w:val="0"/>
    <w:rPr>
      <w:rFonts w:eastAsia="宋体"/>
      <w:b/>
      <w:bCs/>
      <w:sz w:val="32"/>
      <w:szCs w:val="32"/>
      <w:lang w:bidi="ar-SA"/>
    </w:rPr>
  </w:style>
  <w:style w:type="character" w:customStyle="1" w:styleId="416">
    <w:name w:val="标题 4 字符"/>
    <w:qFormat/>
    <w:uiPriority w:val="0"/>
    <w:rPr>
      <w:rFonts w:ascii="Arial" w:hAnsi="Arial" w:eastAsia="黑体"/>
      <w:sz w:val="28"/>
      <w:lang w:bidi="ar-SA"/>
    </w:rPr>
  </w:style>
  <w:style w:type="character" w:customStyle="1" w:styleId="417">
    <w:name w:val="标题 5 字符"/>
    <w:qFormat/>
    <w:uiPriority w:val="0"/>
    <w:rPr>
      <w:rFonts w:eastAsia="宋体"/>
      <w:b/>
      <w:kern w:val="2"/>
      <w:sz w:val="28"/>
      <w:szCs w:val="24"/>
      <w:lang w:val="en-US" w:eastAsia="zh-CN" w:bidi="ar-SA"/>
    </w:rPr>
  </w:style>
  <w:style w:type="character" w:customStyle="1" w:styleId="418">
    <w:name w:val="标题 7 字符"/>
    <w:qFormat/>
    <w:uiPriority w:val="0"/>
    <w:rPr>
      <w:rFonts w:eastAsia="宋体"/>
      <w:b/>
      <w:kern w:val="2"/>
      <w:sz w:val="24"/>
      <w:szCs w:val="24"/>
      <w:lang w:val="en-US" w:eastAsia="zh-CN" w:bidi="ar-SA"/>
    </w:rPr>
  </w:style>
  <w:style w:type="character" w:customStyle="1" w:styleId="419">
    <w:name w:val="标题 8 字符"/>
    <w:qFormat/>
    <w:uiPriority w:val="0"/>
    <w:rPr>
      <w:rFonts w:ascii="Arial" w:hAnsi="Arial" w:eastAsia="黑体"/>
      <w:kern w:val="2"/>
      <w:sz w:val="24"/>
      <w:szCs w:val="24"/>
      <w:lang w:val="en-US" w:eastAsia="zh-CN" w:bidi="ar-SA"/>
    </w:rPr>
  </w:style>
  <w:style w:type="character" w:customStyle="1" w:styleId="420">
    <w:name w:val="标题 9 字符"/>
    <w:qFormat/>
    <w:uiPriority w:val="0"/>
    <w:rPr>
      <w:rFonts w:ascii="Arial" w:hAnsi="Arial" w:eastAsia="黑体"/>
      <w:kern w:val="2"/>
      <w:sz w:val="21"/>
      <w:szCs w:val="24"/>
      <w:lang w:val="en-US" w:eastAsia="zh-CN" w:bidi="ar-SA"/>
    </w:rPr>
  </w:style>
  <w:style w:type="character" w:customStyle="1" w:styleId="421">
    <w:name w:val="正文文本 3 字符"/>
    <w:qFormat/>
    <w:uiPriority w:val="0"/>
    <w:rPr>
      <w:rFonts w:eastAsia="宋体"/>
      <w:b/>
      <w:bCs/>
      <w:kern w:val="2"/>
      <w:sz w:val="24"/>
      <w:szCs w:val="24"/>
      <w:lang w:val="en-US" w:eastAsia="zh-CN" w:bidi="ar-SA"/>
    </w:rPr>
  </w:style>
  <w:style w:type="character" w:customStyle="1" w:styleId="422">
    <w:name w:val="页眉 字符"/>
    <w:qFormat/>
    <w:uiPriority w:val="0"/>
    <w:rPr>
      <w:rFonts w:eastAsia="宋体"/>
      <w:kern w:val="2"/>
      <w:sz w:val="18"/>
      <w:szCs w:val="18"/>
      <w:lang w:val="en-US" w:eastAsia="zh-CN" w:bidi="ar-SA"/>
    </w:rPr>
  </w:style>
  <w:style w:type="character" w:customStyle="1" w:styleId="423">
    <w:name w:val="标题 字符"/>
    <w:qFormat/>
    <w:uiPriority w:val="0"/>
    <w:rPr>
      <w:rFonts w:ascii="Arial" w:hAnsi="Arial" w:eastAsia="宋体"/>
      <w:b/>
      <w:bCs/>
      <w:kern w:val="2"/>
      <w:sz w:val="32"/>
      <w:szCs w:val="32"/>
      <w:lang w:bidi="ar-SA"/>
    </w:rPr>
  </w:style>
  <w:style w:type="character" w:customStyle="1" w:styleId="424">
    <w:name w:val="称呼 字符"/>
    <w:qFormat/>
    <w:uiPriority w:val="0"/>
    <w:rPr>
      <w:kern w:val="2"/>
      <w:sz w:val="28"/>
      <w:szCs w:val="24"/>
    </w:rPr>
  </w:style>
  <w:style w:type="character" w:customStyle="1" w:styleId="425">
    <w:name w:val="尾注文本 字符"/>
    <w:qFormat/>
    <w:uiPriority w:val="0"/>
    <w:rPr>
      <w:rFonts w:ascii="Calibri" w:hAnsi="Calibri"/>
      <w:kern w:val="2"/>
      <w:sz w:val="21"/>
      <w:szCs w:val="22"/>
    </w:rPr>
  </w:style>
  <w:style w:type="character" w:customStyle="1" w:styleId="426">
    <w:name w:val="纯文本 字符1"/>
    <w:qFormat/>
    <w:uiPriority w:val="0"/>
    <w:rPr>
      <w:rFonts w:ascii="宋体" w:hAnsi="Courier New" w:eastAsia="宋体" w:cs="Courier New"/>
      <w:kern w:val="2"/>
      <w:sz w:val="21"/>
      <w:szCs w:val="21"/>
      <w:lang w:val="en-US" w:eastAsia="zh-CN" w:bidi="ar-SA"/>
    </w:rPr>
  </w:style>
  <w:style w:type="character" w:customStyle="1" w:styleId="427">
    <w:name w:val="页脚 字符"/>
    <w:qFormat/>
    <w:uiPriority w:val="0"/>
    <w:rPr>
      <w:rFonts w:eastAsia="宋体"/>
      <w:kern w:val="2"/>
      <w:sz w:val="18"/>
      <w:szCs w:val="18"/>
      <w:lang w:val="en-US" w:eastAsia="zh-CN" w:bidi="ar-SA"/>
    </w:rPr>
  </w:style>
  <w:style w:type="character" w:customStyle="1" w:styleId="428">
    <w:name w:val="正文文本 字符"/>
    <w:qFormat/>
    <w:uiPriority w:val="0"/>
    <w:rPr>
      <w:rFonts w:eastAsia="宋体"/>
      <w:kern w:val="2"/>
      <w:sz w:val="24"/>
      <w:szCs w:val="24"/>
      <w:lang w:val="en-US" w:eastAsia="zh-CN" w:bidi="ar-SA"/>
    </w:rPr>
  </w:style>
  <w:style w:type="character" w:customStyle="1" w:styleId="429">
    <w:name w:val="HTML 预设格式 字符"/>
    <w:qFormat/>
    <w:uiPriority w:val="0"/>
    <w:rPr>
      <w:rFonts w:ascii="黑体" w:hAnsi="Courier New" w:eastAsia="黑体" w:cs="Courier New"/>
      <w:lang w:val="en-US" w:eastAsia="zh-CN" w:bidi="ar-SA"/>
    </w:rPr>
  </w:style>
  <w:style w:type="character" w:customStyle="1" w:styleId="430">
    <w:name w:val="批注文字 字符"/>
    <w:qFormat/>
    <w:uiPriority w:val="0"/>
    <w:rPr>
      <w:rFonts w:eastAsia="宋体"/>
      <w:sz w:val="24"/>
      <w:lang w:bidi="ar-SA"/>
    </w:rPr>
  </w:style>
  <w:style w:type="character" w:customStyle="1" w:styleId="431">
    <w:name w:val="正文文本缩进 字符"/>
    <w:qFormat/>
    <w:uiPriority w:val="0"/>
    <w:rPr>
      <w:rFonts w:ascii="仿宋_GB2312" w:eastAsia="仿宋_GB2312"/>
      <w:kern w:val="2"/>
      <w:sz w:val="32"/>
      <w:lang w:val="en-US" w:eastAsia="zh-CN" w:bidi="ar-SA"/>
    </w:rPr>
  </w:style>
  <w:style w:type="character" w:customStyle="1" w:styleId="432">
    <w:name w:val="脚注文本 字符"/>
    <w:qFormat/>
    <w:locked/>
    <w:uiPriority w:val="0"/>
    <w:rPr>
      <w:rFonts w:ascii="宋体" w:eastAsia="宋体"/>
      <w:kern w:val="21"/>
      <w:sz w:val="18"/>
      <w:szCs w:val="18"/>
      <w:lang w:val="en-US" w:eastAsia="zh-CN" w:bidi="ar-SA"/>
    </w:rPr>
  </w:style>
  <w:style w:type="character" w:customStyle="1" w:styleId="433">
    <w:name w:val="文档结构图 字符"/>
    <w:qFormat/>
    <w:uiPriority w:val="0"/>
    <w:rPr>
      <w:rFonts w:eastAsia="宋体"/>
      <w:kern w:val="2"/>
      <w:sz w:val="21"/>
      <w:szCs w:val="24"/>
      <w:lang w:val="en-US" w:eastAsia="zh-CN" w:bidi="ar-SA"/>
    </w:rPr>
  </w:style>
  <w:style w:type="character" w:customStyle="1" w:styleId="434">
    <w:name w:val="标题 3 字符1"/>
    <w:qFormat/>
    <w:uiPriority w:val="0"/>
    <w:rPr>
      <w:rFonts w:eastAsia="宋体"/>
      <w:b/>
      <w:bCs/>
      <w:sz w:val="32"/>
      <w:szCs w:val="32"/>
      <w:lang w:bidi="ar-SA"/>
    </w:rPr>
  </w:style>
  <w:style w:type="character" w:customStyle="1" w:styleId="435">
    <w:name w:val="纯文本 字符2"/>
    <w:qFormat/>
    <w:uiPriority w:val="0"/>
    <w:rPr>
      <w:rFonts w:ascii="宋体" w:hAnsi="Courier New" w:eastAsia="宋体" w:cs="Courier New"/>
      <w:kern w:val="2"/>
      <w:sz w:val="21"/>
      <w:szCs w:val="21"/>
      <w:lang w:val="en-US" w:eastAsia="zh-CN" w:bidi="ar-SA"/>
    </w:rPr>
  </w:style>
  <w:style w:type="character" w:customStyle="1" w:styleId="436">
    <w:name w:val="标题 5 字符1"/>
    <w:qFormat/>
    <w:uiPriority w:val="0"/>
    <w:rPr>
      <w:rFonts w:eastAsia="宋体"/>
      <w:b/>
      <w:kern w:val="2"/>
      <w:sz w:val="28"/>
      <w:szCs w:val="24"/>
      <w:lang w:val="en-US" w:eastAsia="zh-CN" w:bidi="ar-SA"/>
    </w:rPr>
  </w:style>
  <w:style w:type="character" w:customStyle="1" w:styleId="437">
    <w:name w:val="标题 8 字符1"/>
    <w:qFormat/>
    <w:uiPriority w:val="0"/>
    <w:rPr>
      <w:rFonts w:ascii="Arial" w:hAnsi="Arial" w:eastAsia="黑体"/>
      <w:kern w:val="2"/>
      <w:sz w:val="24"/>
      <w:szCs w:val="24"/>
      <w:lang w:val="en-US" w:eastAsia="zh-CN" w:bidi="ar-SA"/>
    </w:rPr>
  </w:style>
  <w:style w:type="character" w:customStyle="1" w:styleId="438">
    <w:name w:val="文档结构图 字符1"/>
    <w:qFormat/>
    <w:uiPriority w:val="0"/>
    <w:rPr>
      <w:rFonts w:eastAsia="宋体"/>
      <w:kern w:val="2"/>
      <w:sz w:val="21"/>
      <w:szCs w:val="24"/>
      <w:lang w:val="en-US" w:eastAsia="zh-CN" w:bidi="ar-SA"/>
    </w:rPr>
  </w:style>
  <w:style w:type="character" w:customStyle="1" w:styleId="439">
    <w:name w:val="标题 1 字符1"/>
    <w:qFormat/>
    <w:uiPriority w:val="0"/>
    <w:rPr>
      <w:rFonts w:eastAsia="宋体"/>
      <w:b/>
      <w:bCs/>
      <w:kern w:val="44"/>
      <w:sz w:val="44"/>
      <w:szCs w:val="44"/>
      <w:lang w:val="en-US" w:eastAsia="zh-CN" w:bidi="ar-SA"/>
    </w:rPr>
  </w:style>
  <w:style w:type="character" w:customStyle="1" w:styleId="440">
    <w:name w:val="页眉 字符1"/>
    <w:qFormat/>
    <w:uiPriority w:val="0"/>
    <w:rPr>
      <w:rFonts w:eastAsia="宋体"/>
      <w:kern w:val="2"/>
      <w:sz w:val="18"/>
      <w:szCs w:val="18"/>
      <w:lang w:val="en-US" w:eastAsia="zh-CN" w:bidi="ar-SA"/>
    </w:rPr>
  </w:style>
  <w:style w:type="character" w:customStyle="1" w:styleId="441">
    <w:name w:val="正文文本缩进 3 字符1"/>
    <w:qFormat/>
    <w:uiPriority w:val="0"/>
    <w:rPr>
      <w:rFonts w:eastAsia="宋体"/>
      <w:kern w:val="2"/>
      <w:sz w:val="16"/>
      <w:szCs w:val="16"/>
      <w:lang w:val="en-US" w:eastAsia="zh-CN" w:bidi="ar-SA"/>
    </w:rPr>
  </w:style>
  <w:style w:type="character" w:customStyle="1" w:styleId="442">
    <w:name w:val="页脚 字符1"/>
    <w:qFormat/>
    <w:uiPriority w:val="0"/>
    <w:rPr>
      <w:rFonts w:eastAsia="宋体"/>
      <w:kern w:val="2"/>
      <w:sz w:val="18"/>
      <w:szCs w:val="18"/>
      <w:lang w:val="en-US" w:eastAsia="zh-CN" w:bidi="ar-SA"/>
    </w:rPr>
  </w:style>
  <w:style w:type="character" w:customStyle="1" w:styleId="443">
    <w:name w:val="正文文本缩进 字符1"/>
    <w:qFormat/>
    <w:uiPriority w:val="0"/>
    <w:rPr>
      <w:rFonts w:ascii="仿宋_GB2312" w:eastAsia="仿宋_GB2312"/>
      <w:kern w:val="2"/>
      <w:sz w:val="32"/>
      <w:lang w:val="en-US" w:eastAsia="zh-CN" w:bidi="ar-SA"/>
    </w:rPr>
  </w:style>
  <w:style w:type="character" w:customStyle="1" w:styleId="444">
    <w:name w:val="标题 9 字符1"/>
    <w:qFormat/>
    <w:uiPriority w:val="0"/>
    <w:rPr>
      <w:rFonts w:ascii="Arial" w:hAnsi="Arial" w:eastAsia="黑体"/>
      <w:kern w:val="2"/>
      <w:sz w:val="21"/>
      <w:szCs w:val="24"/>
      <w:lang w:val="en-US" w:eastAsia="zh-CN" w:bidi="ar-SA"/>
    </w:rPr>
  </w:style>
  <w:style w:type="character" w:customStyle="1" w:styleId="445">
    <w:name w:val="正文文本缩进 2 字符1"/>
    <w:qFormat/>
    <w:uiPriority w:val="0"/>
    <w:rPr>
      <w:rFonts w:eastAsia="宋体"/>
      <w:kern w:val="2"/>
      <w:sz w:val="32"/>
      <w:lang w:val="en-US" w:eastAsia="zh-CN" w:bidi="ar-SA"/>
    </w:rPr>
  </w:style>
  <w:style w:type="character" w:customStyle="1" w:styleId="446">
    <w:name w:val="HTML 预设格式 字符1"/>
    <w:qFormat/>
    <w:uiPriority w:val="0"/>
    <w:rPr>
      <w:rFonts w:ascii="黑体" w:hAnsi="Courier New" w:eastAsia="黑体" w:cs="Courier New"/>
      <w:lang w:val="en-US" w:eastAsia="zh-CN" w:bidi="ar-SA"/>
    </w:rPr>
  </w:style>
  <w:style w:type="character" w:customStyle="1" w:styleId="447">
    <w:name w:val="正文文本 2 字符1"/>
    <w:qFormat/>
    <w:uiPriority w:val="0"/>
    <w:rPr>
      <w:rFonts w:eastAsia="宋体"/>
      <w:kern w:val="2"/>
      <w:sz w:val="21"/>
      <w:szCs w:val="24"/>
      <w:lang w:val="en-US" w:eastAsia="zh-CN" w:bidi="ar-SA"/>
    </w:rPr>
  </w:style>
  <w:style w:type="character" w:customStyle="1" w:styleId="448">
    <w:name w:val="正文文本 字符1"/>
    <w:qFormat/>
    <w:uiPriority w:val="0"/>
    <w:rPr>
      <w:rFonts w:eastAsia="宋体"/>
      <w:kern w:val="2"/>
      <w:sz w:val="24"/>
      <w:szCs w:val="24"/>
      <w:lang w:val="en-US" w:eastAsia="zh-CN" w:bidi="ar-SA"/>
    </w:rPr>
  </w:style>
  <w:style w:type="character" w:customStyle="1" w:styleId="449">
    <w:name w:val="标题 6 字符1"/>
    <w:qFormat/>
    <w:uiPriority w:val="0"/>
    <w:rPr>
      <w:rFonts w:ascii="Arial" w:hAnsi="Arial" w:eastAsia="黑体"/>
      <w:b/>
      <w:kern w:val="2"/>
      <w:sz w:val="24"/>
      <w:szCs w:val="24"/>
      <w:lang w:val="en-US" w:eastAsia="zh-CN" w:bidi="ar-SA"/>
    </w:rPr>
  </w:style>
  <w:style w:type="character" w:customStyle="1" w:styleId="450">
    <w:name w:val="称呼 字符1"/>
    <w:qFormat/>
    <w:uiPriority w:val="0"/>
    <w:rPr>
      <w:kern w:val="2"/>
      <w:sz w:val="28"/>
      <w:szCs w:val="24"/>
    </w:rPr>
  </w:style>
  <w:style w:type="character" w:customStyle="1" w:styleId="451">
    <w:name w:val="标题 4 字符1"/>
    <w:qFormat/>
    <w:uiPriority w:val="0"/>
    <w:rPr>
      <w:rFonts w:ascii="Arial" w:hAnsi="Arial" w:eastAsia="黑体"/>
      <w:sz w:val="28"/>
      <w:lang w:bidi="ar-SA"/>
    </w:rPr>
  </w:style>
  <w:style w:type="character" w:customStyle="1" w:styleId="452">
    <w:name w:val="标题 2 字符1"/>
    <w:qFormat/>
    <w:uiPriority w:val="0"/>
    <w:rPr>
      <w:rFonts w:ascii="Arial" w:hAnsi="Arial" w:eastAsia="黑体"/>
      <w:b/>
      <w:bCs/>
      <w:sz w:val="32"/>
      <w:szCs w:val="32"/>
      <w:lang w:bidi="ar-SA"/>
    </w:rPr>
  </w:style>
  <w:style w:type="character" w:customStyle="1" w:styleId="453">
    <w:name w:val="尾注文本 字符1"/>
    <w:qFormat/>
    <w:uiPriority w:val="0"/>
    <w:rPr>
      <w:rFonts w:ascii="Calibri" w:hAnsi="Calibri"/>
      <w:kern w:val="2"/>
      <w:sz w:val="21"/>
      <w:szCs w:val="22"/>
    </w:rPr>
  </w:style>
  <w:style w:type="character" w:customStyle="1" w:styleId="454">
    <w:name w:val="正文文本 3 字符1"/>
    <w:qFormat/>
    <w:uiPriority w:val="0"/>
    <w:rPr>
      <w:rFonts w:eastAsia="宋体"/>
      <w:b/>
      <w:bCs/>
      <w:kern w:val="2"/>
      <w:sz w:val="24"/>
      <w:szCs w:val="24"/>
      <w:lang w:val="en-US" w:eastAsia="zh-CN" w:bidi="ar-SA"/>
    </w:rPr>
  </w:style>
  <w:style w:type="character" w:customStyle="1" w:styleId="455">
    <w:name w:val="日期 字符1"/>
    <w:qFormat/>
    <w:uiPriority w:val="0"/>
    <w:rPr>
      <w:rFonts w:ascii="宋体" w:hAnsi="Courier New" w:eastAsia="宋体" w:cs="Courier New"/>
      <w:kern w:val="2"/>
      <w:sz w:val="21"/>
      <w:szCs w:val="21"/>
      <w:lang w:val="en-US" w:eastAsia="zh-CN" w:bidi="ar-SA"/>
    </w:rPr>
  </w:style>
  <w:style w:type="character" w:customStyle="1" w:styleId="456">
    <w:name w:val="批注文字 字符1"/>
    <w:qFormat/>
    <w:uiPriority w:val="0"/>
    <w:rPr>
      <w:rFonts w:eastAsia="宋体"/>
      <w:sz w:val="24"/>
      <w:lang w:bidi="ar-SA"/>
    </w:rPr>
  </w:style>
  <w:style w:type="character" w:customStyle="1" w:styleId="457">
    <w:name w:val="标题 字符1"/>
    <w:qFormat/>
    <w:uiPriority w:val="0"/>
    <w:rPr>
      <w:rFonts w:ascii="Arial" w:hAnsi="Arial" w:eastAsia="宋体"/>
      <w:b/>
      <w:bCs/>
      <w:kern w:val="2"/>
      <w:sz w:val="32"/>
      <w:szCs w:val="32"/>
      <w:lang w:bidi="ar-SA"/>
    </w:rPr>
  </w:style>
  <w:style w:type="character" w:customStyle="1" w:styleId="458">
    <w:name w:val="标题 7 字符1"/>
    <w:qFormat/>
    <w:uiPriority w:val="0"/>
    <w:rPr>
      <w:rFonts w:eastAsia="宋体"/>
      <w:b/>
      <w:kern w:val="2"/>
      <w:sz w:val="24"/>
      <w:szCs w:val="24"/>
      <w:lang w:val="en-US" w:eastAsia="zh-CN" w:bidi="ar-SA"/>
    </w:rPr>
  </w:style>
  <w:style w:type="character" w:customStyle="1" w:styleId="459">
    <w:name w:val="HTML 地址 字符1"/>
    <w:qFormat/>
    <w:locked/>
    <w:uiPriority w:val="0"/>
    <w:rPr>
      <w:rFonts w:ascii="宋体" w:eastAsia="宋体"/>
      <w:i/>
      <w:iCs/>
      <w:kern w:val="21"/>
      <w:sz w:val="21"/>
      <w:szCs w:val="21"/>
      <w:lang w:val="en-US" w:eastAsia="zh-CN" w:bidi="ar-SA"/>
    </w:rPr>
  </w:style>
  <w:style w:type="character" w:customStyle="1" w:styleId="460">
    <w:name w:val="无间隔 字符1"/>
    <w:qFormat/>
    <w:uiPriority w:val="0"/>
    <w:rPr>
      <w:sz w:val="22"/>
      <w:szCs w:val="22"/>
      <w:lang w:val="en-US" w:eastAsia="zh-CN" w:bidi="ar-SA"/>
    </w:rPr>
  </w:style>
  <w:style w:type="character" w:customStyle="1" w:styleId="461">
    <w:name w:val="脚注文本 字符1"/>
    <w:qFormat/>
    <w:locked/>
    <w:uiPriority w:val="0"/>
    <w:rPr>
      <w:rFonts w:ascii="宋体" w:eastAsia="宋体"/>
      <w:kern w:val="21"/>
      <w:sz w:val="18"/>
      <w:szCs w:val="18"/>
      <w:lang w:val="en-US" w:eastAsia="zh-CN" w:bidi="ar-SA"/>
    </w:rPr>
  </w:style>
  <w:style w:type="character" w:customStyle="1" w:styleId="462">
    <w:name w:val="批注文字 字符2"/>
    <w:qFormat/>
    <w:uiPriority w:val="0"/>
    <w:rPr>
      <w:rFonts w:eastAsia="宋体"/>
      <w:sz w:val="24"/>
      <w:lang w:bidi="ar-SA"/>
    </w:rPr>
  </w:style>
  <w:style w:type="character" w:customStyle="1" w:styleId="463">
    <w:name w:val="HTML 预设格式 字符2"/>
    <w:qFormat/>
    <w:uiPriority w:val="0"/>
    <w:rPr>
      <w:rFonts w:ascii="黑体" w:hAnsi="Courier New" w:eastAsia="黑体" w:cs="Courier New"/>
      <w:lang w:val="en-US" w:eastAsia="zh-CN" w:bidi="ar-SA"/>
    </w:rPr>
  </w:style>
  <w:style w:type="character" w:customStyle="1" w:styleId="464">
    <w:name w:val="HTML 地址 字符2"/>
    <w:qFormat/>
    <w:locked/>
    <w:uiPriority w:val="0"/>
    <w:rPr>
      <w:rFonts w:ascii="宋体" w:eastAsia="宋体"/>
      <w:i/>
      <w:iCs/>
      <w:kern w:val="21"/>
      <w:sz w:val="21"/>
      <w:szCs w:val="21"/>
      <w:lang w:val="en-US" w:eastAsia="zh-CN" w:bidi="ar-SA"/>
    </w:rPr>
  </w:style>
  <w:style w:type="character" w:customStyle="1" w:styleId="465">
    <w:name w:val="页脚 字符2"/>
    <w:qFormat/>
    <w:uiPriority w:val="0"/>
    <w:rPr>
      <w:rFonts w:eastAsia="宋体"/>
      <w:kern w:val="2"/>
      <w:sz w:val="18"/>
      <w:szCs w:val="18"/>
      <w:lang w:val="en-US" w:eastAsia="zh-CN" w:bidi="ar-SA"/>
    </w:rPr>
  </w:style>
  <w:style w:type="character" w:customStyle="1" w:styleId="466">
    <w:name w:val="标题 5 字符2"/>
    <w:qFormat/>
    <w:uiPriority w:val="0"/>
    <w:rPr>
      <w:rFonts w:eastAsia="宋体"/>
      <w:b/>
      <w:kern w:val="2"/>
      <w:sz w:val="28"/>
      <w:szCs w:val="24"/>
      <w:lang w:val="en-US" w:eastAsia="zh-CN" w:bidi="ar-SA"/>
    </w:rPr>
  </w:style>
  <w:style w:type="character" w:customStyle="1" w:styleId="467">
    <w:name w:val="标题 8 字符2"/>
    <w:qFormat/>
    <w:uiPriority w:val="0"/>
    <w:rPr>
      <w:rFonts w:ascii="Arial" w:hAnsi="Arial" w:eastAsia="黑体"/>
      <w:kern w:val="2"/>
      <w:sz w:val="24"/>
      <w:szCs w:val="24"/>
      <w:lang w:val="en-US" w:eastAsia="zh-CN" w:bidi="ar-SA"/>
    </w:rPr>
  </w:style>
  <w:style w:type="character" w:customStyle="1" w:styleId="468">
    <w:name w:val="尾注文本 字符2"/>
    <w:qFormat/>
    <w:uiPriority w:val="0"/>
    <w:rPr>
      <w:rFonts w:ascii="Calibri" w:hAnsi="Calibri"/>
      <w:kern w:val="2"/>
      <w:sz w:val="21"/>
      <w:szCs w:val="22"/>
    </w:rPr>
  </w:style>
  <w:style w:type="character" w:customStyle="1" w:styleId="469">
    <w:name w:val="正文文本 2 字符2"/>
    <w:qFormat/>
    <w:uiPriority w:val="0"/>
    <w:rPr>
      <w:rFonts w:eastAsia="宋体"/>
      <w:kern w:val="2"/>
      <w:sz w:val="21"/>
      <w:szCs w:val="24"/>
      <w:lang w:val="en-US" w:eastAsia="zh-CN" w:bidi="ar-SA"/>
    </w:rPr>
  </w:style>
  <w:style w:type="character" w:customStyle="1" w:styleId="470">
    <w:name w:val="标题 1 字符2"/>
    <w:qFormat/>
    <w:uiPriority w:val="0"/>
    <w:rPr>
      <w:rFonts w:eastAsia="宋体"/>
      <w:b/>
      <w:bCs/>
      <w:kern w:val="44"/>
      <w:sz w:val="44"/>
      <w:szCs w:val="44"/>
      <w:lang w:val="en-US" w:eastAsia="zh-CN" w:bidi="ar-SA"/>
    </w:rPr>
  </w:style>
  <w:style w:type="character" w:customStyle="1" w:styleId="471">
    <w:name w:val="标题 9 字符2"/>
    <w:qFormat/>
    <w:uiPriority w:val="0"/>
    <w:rPr>
      <w:rFonts w:ascii="Arial" w:hAnsi="Arial" w:eastAsia="黑体"/>
      <w:kern w:val="2"/>
      <w:sz w:val="21"/>
      <w:szCs w:val="24"/>
      <w:lang w:val="en-US" w:eastAsia="zh-CN" w:bidi="ar-SA"/>
    </w:rPr>
  </w:style>
  <w:style w:type="character" w:customStyle="1" w:styleId="472">
    <w:name w:val="标题 6 字符2"/>
    <w:qFormat/>
    <w:uiPriority w:val="0"/>
    <w:rPr>
      <w:rFonts w:ascii="Arial" w:hAnsi="Arial" w:eastAsia="黑体"/>
      <w:b/>
      <w:kern w:val="2"/>
      <w:sz w:val="24"/>
      <w:szCs w:val="24"/>
      <w:lang w:val="en-US" w:eastAsia="zh-CN" w:bidi="ar-SA"/>
    </w:rPr>
  </w:style>
  <w:style w:type="character" w:customStyle="1" w:styleId="473">
    <w:name w:val="正文文本缩进 3 字符2"/>
    <w:qFormat/>
    <w:uiPriority w:val="0"/>
    <w:rPr>
      <w:rFonts w:eastAsia="宋体"/>
      <w:kern w:val="2"/>
      <w:sz w:val="16"/>
      <w:szCs w:val="16"/>
      <w:lang w:val="en-US" w:eastAsia="zh-CN" w:bidi="ar-SA"/>
    </w:rPr>
  </w:style>
  <w:style w:type="character" w:customStyle="1" w:styleId="474">
    <w:name w:val="标题 4 字符2"/>
    <w:qFormat/>
    <w:uiPriority w:val="0"/>
    <w:rPr>
      <w:rFonts w:ascii="Arial" w:hAnsi="Arial" w:eastAsia="黑体"/>
      <w:sz w:val="28"/>
      <w:lang w:bidi="ar-SA"/>
    </w:rPr>
  </w:style>
  <w:style w:type="character" w:customStyle="1" w:styleId="475">
    <w:name w:val="标题 字符2"/>
    <w:qFormat/>
    <w:uiPriority w:val="0"/>
    <w:rPr>
      <w:rFonts w:ascii="Arial" w:hAnsi="Arial" w:eastAsia="宋体"/>
      <w:b/>
      <w:bCs/>
      <w:kern w:val="2"/>
      <w:sz w:val="32"/>
      <w:szCs w:val="32"/>
      <w:lang w:bidi="ar-SA"/>
    </w:rPr>
  </w:style>
  <w:style w:type="character" w:customStyle="1" w:styleId="476">
    <w:name w:val="文档结构图 字符2"/>
    <w:qFormat/>
    <w:uiPriority w:val="0"/>
    <w:rPr>
      <w:rFonts w:eastAsia="宋体"/>
      <w:kern w:val="2"/>
      <w:sz w:val="21"/>
      <w:szCs w:val="24"/>
      <w:lang w:val="en-US" w:eastAsia="zh-CN" w:bidi="ar-SA"/>
    </w:rPr>
  </w:style>
  <w:style w:type="character" w:customStyle="1" w:styleId="477">
    <w:name w:val="正文文本 3 字符2"/>
    <w:qFormat/>
    <w:uiPriority w:val="0"/>
    <w:rPr>
      <w:rFonts w:eastAsia="宋体"/>
      <w:b/>
      <w:bCs/>
      <w:kern w:val="2"/>
      <w:sz w:val="24"/>
      <w:szCs w:val="24"/>
      <w:lang w:val="en-US" w:eastAsia="zh-CN" w:bidi="ar-SA"/>
    </w:rPr>
  </w:style>
  <w:style w:type="character" w:customStyle="1" w:styleId="478">
    <w:name w:val="正文文本 字符2"/>
    <w:qFormat/>
    <w:uiPriority w:val="0"/>
    <w:rPr>
      <w:rFonts w:eastAsia="宋体"/>
      <w:kern w:val="2"/>
      <w:sz w:val="24"/>
      <w:szCs w:val="24"/>
      <w:lang w:val="en-US" w:eastAsia="zh-CN" w:bidi="ar-SA"/>
    </w:rPr>
  </w:style>
  <w:style w:type="character" w:customStyle="1" w:styleId="479">
    <w:name w:val="无间隔 字符2"/>
    <w:qFormat/>
    <w:uiPriority w:val="0"/>
    <w:rPr>
      <w:sz w:val="22"/>
      <w:szCs w:val="22"/>
      <w:lang w:val="en-US" w:eastAsia="zh-CN" w:bidi="ar-SA"/>
    </w:rPr>
  </w:style>
  <w:style w:type="character" w:customStyle="1" w:styleId="480">
    <w:name w:val="正文文本缩进 字符2"/>
    <w:qFormat/>
    <w:uiPriority w:val="0"/>
    <w:rPr>
      <w:rFonts w:ascii="仿宋_GB2312" w:eastAsia="仿宋_GB2312"/>
      <w:kern w:val="2"/>
      <w:sz w:val="32"/>
      <w:lang w:val="en-US" w:eastAsia="zh-CN" w:bidi="ar-SA"/>
    </w:rPr>
  </w:style>
  <w:style w:type="character" w:customStyle="1" w:styleId="481">
    <w:name w:val="标题 2 字符2"/>
    <w:qFormat/>
    <w:uiPriority w:val="0"/>
    <w:rPr>
      <w:rFonts w:ascii="Arial" w:hAnsi="Arial" w:eastAsia="黑体"/>
      <w:b/>
      <w:bCs/>
      <w:sz w:val="32"/>
      <w:szCs w:val="32"/>
      <w:lang w:bidi="ar-SA"/>
    </w:rPr>
  </w:style>
  <w:style w:type="character" w:customStyle="1" w:styleId="482">
    <w:name w:val="标题 3 字符2"/>
    <w:qFormat/>
    <w:uiPriority w:val="0"/>
    <w:rPr>
      <w:rFonts w:eastAsia="宋体"/>
      <w:b/>
      <w:bCs/>
      <w:sz w:val="32"/>
      <w:szCs w:val="32"/>
      <w:lang w:bidi="ar-SA"/>
    </w:rPr>
  </w:style>
  <w:style w:type="character" w:customStyle="1" w:styleId="483">
    <w:name w:val="标题 7 字符2"/>
    <w:qFormat/>
    <w:uiPriority w:val="0"/>
    <w:rPr>
      <w:rFonts w:eastAsia="宋体"/>
      <w:b/>
      <w:kern w:val="2"/>
      <w:sz w:val="24"/>
      <w:szCs w:val="24"/>
      <w:lang w:val="en-US" w:eastAsia="zh-CN" w:bidi="ar-SA"/>
    </w:rPr>
  </w:style>
  <w:style w:type="character" w:customStyle="1" w:styleId="484">
    <w:name w:val="正文文本缩进 2 字符2"/>
    <w:qFormat/>
    <w:uiPriority w:val="0"/>
    <w:rPr>
      <w:rFonts w:eastAsia="宋体"/>
      <w:kern w:val="2"/>
      <w:sz w:val="32"/>
      <w:lang w:val="en-US" w:eastAsia="zh-CN" w:bidi="ar-SA"/>
    </w:rPr>
  </w:style>
  <w:style w:type="character" w:customStyle="1" w:styleId="485">
    <w:name w:val="称呼 字符2"/>
    <w:qFormat/>
    <w:uiPriority w:val="0"/>
    <w:rPr>
      <w:kern w:val="2"/>
      <w:sz w:val="28"/>
      <w:szCs w:val="24"/>
    </w:rPr>
  </w:style>
  <w:style w:type="character" w:customStyle="1" w:styleId="486">
    <w:name w:val="纯文本 字符3"/>
    <w:qFormat/>
    <w:uiPriority w:val="0"/>
    <w:rPr>
      <w:rFonts w:ascii="宋体" w:hAnsi="Courier New" w:eastAsia="宋体" w:cs="Courier New"/>
      <w:kern w:val="2"/>
      <w:sz w:val="21"/>
      <w:szCs w:val="21"/>
      <w:lang w:val="en-US" w:eastAsia="zh-CN" w:bidi="ar-SA"/>
    </w:rPr>
  </w:style>
  <w:style w:type="character" w:customStyle="1" w:styleId="487">
    <w:name w:val="日期 字符2"/>
    <w:qFormat/>
    <w:uiPriority w:val="0"/>
    <w:rPr>
      <w:rFonts w:ascii="宋体" w:hAnsi="Courier New" w:eastAsia="宋体" w:cs="Courier New"/>
      <w:kern w:val="2"/>
      <w:sz w:val="21"/>
      <w:szCs w:val="21"/>
      <w:lang w:val="en-US" w:eastAsia="zh-CN" w:bidi="ar-SA"/>
    </w:rPr>
  </w:style>
  <w:style w:type="character" w:customStyle="1" w:styleId="488">
    <w:name w:val="页眉 字符2"/>
    <w:qFormat/>
    <w:uiPriority w:val="0"/>
    <w:rPr>
      <w:rFonts w:eastAsia="宋体"/>
      <w:kern w:val="2"/>
      <w:sz w:val="18"/>
      <w:szCs w:val="18"/>
      <w:lang w:val="en-US" w:eastAsia="zh-CN" w:bidi="ar-SA"/>
    </w:rPr>
  </w:style>
  <w:style w:type="character" w:customStyle="1" w:styleId="489">
    <w:name w:val="脚注文本 字符2"/>
    <w:qFormat/>
    <w:locked/>
    <w:uiPriority w:val="0"/>
    <w:rPr>
      <w:rFonts w:ascii="宋体" w:eastAsia="宋体"/>
      <w:kern w:val="21"/>
      <w:sz w:val="18"/>
      <w:szCs w:val="18"/>
      <w:lang w:val="en-US" w:eastAsia="zh-CN" w:bidi="ar-SA"/>
    </w:rPr>
  </w:style>
  <w:style w:type="character" w:customStyle="1" w:styleId="490">
    <w:name w:val="Char Char39"/>
    <w:qFormat/>
    <w:uiPriority w:val="0"/>
    <w:rPr>
      <w:rFonts w:eastAsia="宋体"/>
      <w:b/>
      <w:bCs/>
      <w:kern w:val="44"/>
      <w:sz w:val="44"/>
      <w:szCs w:val="44"/>
      <w:lang w:val="en-US" w:eastAsia="zh-CN" w:bidi="ar-SA"/>
    </w:rPr>
  </w:style>
  <w:style w:type="character" w:customStyle="1" w:styleId="491">
    <w:name w:val="Char Char38"/>
    <w:qFormat/>
    <w:uiPriority w:val="0"/>
    <w:rPr>
      <w:rFonts w:ascii="Arial" w:hAnsi="Arial" w:eastAsia="黑体"/>
      <w:b/>
      <w:bCs/>
      <w:sz w:val="32"/>
      <w:szCs w:val="32"/>
      <w:lang w:bidi="ar-SA"/>
    </w:rPr>
  </w:style>
  <w:style w:type="character" w:customStyle="1" w:styleId="492">
    <w:name w:val="无间隔 字符3"/>
    <w:qFormat/>
    <w:uiPriority w:val="0"/>
    <w:rPr>
      <w:sz w:val="22"/>
      <w:szCs w:val="22"/>
      <w:lang w:val="en-US" w:eastAsia="zh-CN" w:bidi="ar-SA"/>
    </w:rPr>
  </w:style>
  <w:style w:type="character" w:customStyle="1" w:styleId="493">
    <w:name w:val="普通文字 Char Char6"/>
    <w:qFormat/>
    <w:uiPriority w:val="0"/>
    <w:rPr>
      <w:rFonts w:ascii="宋体" w:hAnsi="Courier New" w:eastAsia="宋体" w:cs="Courier New"/>
      <w:kern w:val="2"/>
      <w:sz w:val="21"/>
      <w:szCs w:val="21"/>
      <w:lang w:val="en-US" w:eastAsia="zh-CN" w:bidi="ar-SA"/>
    </w:rPr>
  </w:style>
  <w:style w:type="character" w:customStyle="1" w:styleId="494">
    <w:name w:val="页脚 Char2"/>
    <w:qFormat/>
    <w:locked/>
    <w:uiPriority w:val="0"/>
    <w:rPr>
      <w:rFonts w:hint="eastAsia" w:ascii="宋体" w:hAnsi="宋体" w:eastAsia="宋体"/>
      <w:kern w:val="2"/>
      <w:sz w:val="18"/>
      <w:szCs w:val="18"/>
    </w:rPr>
  </w:style>
  <w:style w:type="character" w:customStyle="1" w:styleId="495">
    <w:name w:val="font61"/>
    <w:basedOn w:val="54"/>
    <w:qFormat/>
    <w:uiPriority w:val="0"/>
    <w:rPr>
      <w:rFonts w:hint="eastAsia" w:ascii="宋体" w:hAnsi="宋体" w:eastAsia="宋体" w:cs="宋体"/>
      <w:color w:val="000000"/>
      <w:sz w:val="21"/>
      <w:szCs w:val="21"/>
      <w:u w:val="none"/>
    </w:rPr>
  </w:style>
  <w:style w:type="character" w:customStyle="1" w:styleId="496">
    <w:name w:val="font101"/>
    <w:basedOn w:val="54"/>
    <w:qFormat/>
    <w:uiPriority w:val="0"/>
    <w:rPr>
      <w:rFonts w:hint="eastAsia" w:ascii="宋体" w:hAnsi="宋体" w:eastAsia="宋体" w:cs="宋体"/>
      <w:color w:val="000000"/>
      <w:sz w:val="21"/>
      <w:szCs w:val="21"/>
      <w:u w:val="none"/>
    </w:rPr>
  </w:style>
  <w:style w:type="table" w:customStyle="1" w:styleId="497">
    <w:name w:val="彩色列表 - 着色 11"/>
    <w:qFormat/>
    <w:uiPriority w:val="0"/>
    <w:rPr>
      <w:rFonts w:ascii="Calibri" w:hAnsi="Calibri"/>
      <w:sz w:val="24"/>
      <w:szCs w:val="24"/>
      <w:lang w:eastAsia="en-US"/>
    </w:rPr>
    <w:tblPr>
      <w:tblCellMar>
        <w:top w:w="0" w:type="dxa"/>
        <w:left w:w="108" w:type="dxa"/>
        <w:bottom w:w="0" w:type="dxa"/>
        <w:right w:w="108" w:type="dxa"/>
      </w:tblCellMar>
    </w:tblPr>
    <w:tcPr>
      <w:shd w:val="clear" w:color="auto" w:fill="EDF2F8"/>
    </w:tcPr>
  </w:style>
  <w:style w:type="character" w:customStyle="1" w:styleId="498">
    <w:name w:val="Body Text Char1"/>
    <w:qFormat/>
    <w:locked/>
    <w:uiPriority w:val="0"/>
    <w:rPr>
      <w:rFonts w:eastAsia="宋体"/>
      <w:kern w:val="2"/>
      <w:sz w:val="24"/>
      <w:lang w:val="en-US" w:eastAsia="zh-CN"/>
    </w:rPr>
  </w:style>
  <w:style w:type="character" w:customStyle="1" w:styleId="499">
    <w:name w:val="Heading 1 Char1"/>
    <w:qFormat/>
    <w:locked/>
    <w:uiPriority w:val="0"/>
    <w:rPr>
      <w:rFonts w:eastAsia="宋体"/>
      <w:b/>
      <w:kern w:val="44"/>
      <w:sz w:val="44"/>
      <w:lang w:val="en-US" w:eastAsia="zh-CN"/>
    </w:rPr>
  </w:style>
  <w:style w:type="character" w:customStyle="1" w:styleId="500">
    <w:name w:val="Heading 2 Char1"/>
    <w:qFormat/>
    <w:locked/>
    <w:uiPriority w:val="0"/>
    <w:rPr>
      <w:rFonts w:ascii="Arial" w:hAnsi="Arial" w:eastAsia="黑体"/>
      <w:b/>
      <w:sz w:val="32"/>
    </w:rPr>
  </w:style>
  <w:style w:type="character" w:customStyle="1" w:styleId="501">
    <w:name w:val="Heading 3 Char1"/>
    <w:qFormat/>
    <w:locked/>
    <w:uiPriority w:val="0"/>
    <w:rPr>
      <w:rFonts w:eastAsia="宋体"/>
      <w:b/>
      <w:sz w:val="32"/>
    </w:rPr>
  </w:style>
  <w:style w:type="character" w:customStyle="1" w:styleId="502">
    <w:name w:val="Heading 4 Char1"/>
    <w:qFormat/>
    <w:locked/>
    <w:uiPriority w:val="0"/>
    <w:rPr>
      <w:rFonts w:ascii="Arial" w:hAnsi="Arial" w:eastAsia="黑体"/>
      <w:sz w:val="28"/>
    </w:rPr>
  </w:style>
  <w:style w:type="character" w:customStyle="1" w:styleId="503">
    <w:name w:val="Heading 5 Char1"/>
    <w:qFormat/>
    <w:locked/>
    <w:uiPriority w:val="0"/>
    <w:rPr>
      <w:rFonts w:eastAsia="宋体"/>
      <w:b/>
      <w:kern w:val="2"/>
      <w:sz w:val="24"/>
      <w:lang w:val="en-US" w:eastAsia="zh-CN"/>
    </w:rPr>
  </w:style>
  <w:style w:type="character" w:customStyle="1" w:styleId="504">
    <w:name w:val="Heading 6 Char1"/>
    <w:qFormat/>
    <w:locked/>
    <w:uiPriority w:val="0"/>
    <w:rPr>
      <w:rFonts w:ascii="Arial" w:hAnsi="Arial" w:eastAsia="黑体"/>
      <w:b/>
      <w:kern w:val="2"/>
      <w:sz w:val="24"/>
      <w:lang w:val="en-US" w:eastAsia="zh-CN"/>
    </w:rPr>
  </w:style>
  <w:style w:type="character" w:customStyle="1" w:styleId="505">
    <w:name w:val="Heading 7 Char1"/>
    <w:qFormat/>
    <w:locked/>
    <w:uiPriority w:val="0"/>
    <w:rPr>
      <w:rFonts w:eastAsia="宋体"/>
      <w:b/>
      <w:kern w:val="2"/>
      <w:sz w:val="24"/>
      <w:lang w:val="en-US" w:eastAsia="zh-CN"/>
    </w:rPr>
  </w:style>
  <w:style w:type="character" w:customStyle="1" w:styleId="506">
    <w:name w:val="Heading 8 Char1"/>
    <w:qFormat/>
    <w:locked/>
    <w:uiPriority w:val="0"/>
    <w:rPr>
      <w:rFonts w:ascii="Arial" w:hAnsi="Arial" w:eastAsia="黑体"/>
      <w:kern w:val="2"/>
      <w:sz w:val="24"/>
      <w:lang w:val="en-US" w:eastAsia="zh-CN"/>
    </w:rPr>
  </w:style>
  <w:style w:type="character" w:customStyle="1" w:styleId="507">
    <w:name w:val="Heading 9 Char1"/>
    <w:qFormat/>
    <w:locked/>
    <w:uiPriority w:val="0"/>
    <w:rPr>
      <w:rFonts w:ascii="Arial" w:hAnsi="Arial" w:eastAsia="黑体"/>
      <w:kern w:val="2"/>
      <w:sz w:val="24"/>
      <w:lang w:val="en-US" w:eastAsia="zh-CN"/>
    </w:rPr>
  </w:style>
  <w:style w:type="character" w:customStyle="1" w:styleId="508">
    <w:name w:val="Document Map Char1"/>
    <w:qFormat/>
    <w:locked/>
    <w:uiPriority w:val="0"/>
    <w:rPr>
      <w:rFonts w:eastAsia="宋体"/>
      <w:kern w:val="2"/>
      <w:sz w:val="24"/>
      <w:lang w:val="en-US" w:eastAsia="zh-CN"/>
    </w:rPr>
  </w:style>
  <w:style w:type="character" w:customStyle="1" w:styleId="509">
    <w:name w:val="Comment Text Char"/>
    <w:qFormat/>
    <w:locked/>
    <w:uiPriority w:val="0"/>
    <w:rPr>
      <w:rFonts w:eastAsia="宋体"/>
      <w:sz w:val="24"/>
    </w:rPr>
  </w:style>
  <w:style w:type="character" w:customStyle="1" w:styleId="510">
    <w:name w:val="Salutation Char"/>
    <w:qFormat/>
    <w:locked/>
    <w:uiPriority w:val="0"/>
    <w:rPr>
      <w:kern w:val="2"/>
      <w:sz w:val="24"/>
    </w:rPr>
  </w:style>
  <w:style w:type="character" w:customStyle="1" w:styleId="511">
    <w:name w:val="Body Text 3 Char"/>
    <w:qFormat/>
    <w:locked/>
    <w:uiPriority w:val="0"/>
    <w:rPr>
      <w:rFonts w:eastAsia="宋体"/>
      <w:b/>
      <w:kern w:val="2"/>
      <w:sz w:val="24"/>
      <w:lang w:val="en-US" w:eastAsia="zh-CN"/>
    </w:rPr>
  </w:style>
  <w:style w:type="character" w:customStyle="1" w:styleId="512">
    <w:name w:val="Body Text Indent Char"/>
    <w:qFormat/>
    <w:locked/>
    <w:uiPriority w:val="0"/>
    <w:rPr>
      <w:rFonts w:ascii="仿宋_GB2312" w:eastAsia="仿宋_GB2312"/>
      <w:kern w:val="2"/>
      <w:sz w:val="32"/>
      <w:lang w:val="en-US" w:eastAsia="zh-CN"/>
    </w:rPr>
  </w:style>
  <w:style w:type="character" w:customStyle="1" w:styleId="513">
    <w:name w:val="Plain Text Char1"/>
    <w:qFormat/>
    <w:locked/>
    <w:uiPriority w:val="0"/>
    <w:rPr>
      <w:rFonts w:ascii="宋体" w:hAnsi="Courier New" w:eastAsia="宋体"/>
      <w:kern w:val="2"/>
      <w:sz w:val="21"/>
      <w:lang w:val="en-US" w:eastAsia="zh-CN"/>
    </w:rPr>
  </w:style>
  <w:style w:type="character" w:customStyle="1" w:styleId="514">
    <w:name w:val="Date Char1"/>
    <w:qFormat/>
    <w:locked/>
    <w:uiPriority w:val="0"/>
    <w:rPr>
      <w:rFonts w:ascii="宋体" w:hAnsi="Courier New" w:eastAsia="宋体"/>
      <w:kern w:val="2"/>
      <w:sz w:val="21"/>
      <w:lang w:val="en-US" w:eastAsia="zh-CN"/>
    </w:rPr>
  </w:style>
  <w:style w:type="character" w:customStyle="1" w:styleId="515">
    <w:name w:val="Body Text Indent 2 Char"/>
    <w:qFormat/>
    <w:locked/>
    <w:uiPriority w:val="0"/>
    <w:rPr>
      <w:rFonts w:eastAsia="宋体"/>
      <w:kern w:val="2"/>
      <w:sz w:val="32"/>
      <w:lang w:val="en-US" w:eastAsia="zh-CN"/>
    </w:rPr>
  </w:style>
  <w:style w:type="character" w:customStyle="1" w:styleId="516">
    <w:name w:val="Endnote Text Char"/>
    <w:qFormat/>
    <w:locked/>
    <w:uiPriority w:val="0"/>
    <w:rPr>
      <w:rFonts w:ascii="Calibri" w:hAnsi="Calibri"/>
      <w:kern w:val="2"/>
      <w:sz w:val="22"/>
    </w:rPr>
  </w:style>
  <w:style w:type="character" w:customStyle="1" w:styleId="517">
    <w:name w:val="Balloon Text Char1"/>
    <w:semiHidden/>
    <w:qFormat/>
    <w:locked/>
    <w:uiPriority w:val="0"/>
    <w:rPr>
      <w:rFonts w:eastAsia="宋体"/>
      <w:kern w:val="2"/>
      <w:sz w:val="18"/>
      <w:lang w:val="en-US" w:eastAsia="zh-CN"/>
    </w:rPr>
  </w:style>
  <w:style w:type="character" w:customStyle="1" w:styleId="518">
    <w:name w:val="Footer Char1"/>
    <w:qFormat/>
    <w:locked/>
    <w:uiPriority w:val="0"/>
    <w:rPr>
      <w:rFonts w:eastAsia="宋体"/>
      <w:kern w:val="2"/>
      <w:sz w:val="18"/>
      <w:lang w:val="en-US" w:eastAsia="zh-CN"/>
    </w:rPr>
  </w:style>
  <w:style w:type="character" w:customStyle="1" w:styleId="519">
    <w:name w:val="Header Char1"/>
    <w:qFormat/>
    <w:locked/>
    <w:uiPriority w:val="0"/>
    <w:rPr>
      <w:rFonts w:eastAsia="宋体"/>
      <w:kern w:val="2"/>
      <w:sz w:val="18"/>
      <w:lang w:val="en-US" w:eastAsia="zh-CN"/>
    </w:rPr>
  </w:style>
  <w:style w:type="character" w:customStyle="1" w:styleId="520">
    <w:name w:val="Body Text Indent 3 Char"/>
    <w:qFormat/>
    <w:locked/>
    <w:uiPriority w:val="0"/>
    <w:rPr>
      <w:rFonts w:eastAsia="宋体"/>
      <w:kern w:val="2"/>
      <w:sz w:val="16"/>
      <w:lang w:val="en-US" w:eastAsia="zh-CN"/>
    </w:rPr>
  </w:style>
  <w:style w:type="character" w:customStyle="1" w:styleId="521">
    <w:name w:val="Body Text 2 Char"/>
    <w:qFormat/>
    <w:locked/>
    <w:uiPriority w:val="0"/>
    <w:rPr>
      <w:rFonts w:eastAsia="宋体"/>
      <w:kern w:val="2"/>
      <w:sz w:val="24"/>
      <w:lang w:val="en-US" w:eastAsia="zh-CN"/>
    </w:rPr>
  </w:style>
  <w:style w:type="character" w:customStyle="1" w:styleId="522">
    <w:name w:val="HTML Preformatted Char1"/>
    <w:qFormat/>
    <w:locked/>
    <w:uiPriority w:val="0"/>
    <w:rPr>
      <w:rFonts w:ascii="黑体" w:hAnsi="Courier New" w:eastAsia="黑体"/>
      <w:lang w:val="en-US" w:eastAsia="zh-CN"/>
    </w:rPr>
  </w:style>
  <w:style w:type="character" w:customStyle="1" w:styleId="523">
    <w:name w:val="Title Char1"/>
    <w:qFormat/>
    <w:locked/>
    <w:uiPriority w:val="0"/>
    <w:rPr>
      <w:rFonts w:ascii="Arial" w:hAnsi="Arial" w:eastAsia="宋体"/>
      <w:b/>
      <w:kern w:val="2"/>
      <w:sz w:val="32"/>
    </w:rPr>
  </w:style>
  <w:style w:type="character" w:customStyle="1" w:styleId="524">
    <w:name w:val="Comment Subject Char"/>
    <w:semiHidden/>
    <w:qFormat/>
    <w:locked/>
    <w:uiPriority w:val="0"/>
    <w:rPr>
      <w:b/>
      <w:kern w:val="2"/>
      <w:sz w:val="24"/>
    </w:rPr>
  </w:style>
  <w:style w:type="character" w:customStyle="1" w:styleId="525">
    <w:name w:val="Char Char101"/>
    <w:semiHidden/>
    <w:qFormat/>
    <w:uiPriority w:val="0"/>
    <w:rPr>
      <w:rFonts w:eastAsia="宋体"/>
      <w:kern w:val="2"/>
      <w:sz w:val="24"/>
      <w:lang w:val="en-US" w:eastAsia="zh-CN"/>
    </w:rPr>
  </w:style>
  <w:style w:type="character" w:customStyle="1" w:styleId="526">
    <w:name w:val="Char Char141"/>
    <w:qFormat/>
    <w:uiPriority w:val="0"/>
    <w:rPr>
      <w:sz w:val="18"/>
    </w:rPr>
  </w:style>
  <w:style w:type="character" w:customStyle="1" w:styleId="527">
    <w:name w:val="Char Char Char Char Char1"/>
    <w:qFormat/>
    <w:uiPriority w:val="0"/>
    <w:rPr>
      <w:rFonts w:eastAsia="宋体"/>
      <w:b/>
      <w:kern w:val="44"/>
      <w:sz w:val="44"/>
      <w:lang w:val="en-US" w:eastAsia="zh-CN"/>
    </w:rPr>
  </w:style>
  <w:style w:type="character" w:customStyle="1" w:styleId="528">
    <w:name w:val="Char Char231"/>
    <w:qFormat/>
    <w:uiPriority w:val="0"/>
    <w:rPr>
      <w:rFonts w:ascii="Times New Roman" w:hAnsi="Times New Roman" w:eastAsia="宋体"/>
      <w:b/>
      <w:kern w:val="44"/>
      <w:sz w:val="44"/>
    </w:rPr>
  </w:style>
  <w:style w:type="character" w:customStyle="1" w:styleId="529">
    <w:name w:val="Char Char151"/>
    <w:qFormat/>
    <w:uiPriority w:val="0"/>
    <w:rPr>
      <w:sz w:val="18"/>
    </w:rPr>
  </w:style>
  <w:style w:type="paragraph" w:customStyle="1" w:styleId="530">
    <w:name w:val="Char Char112"/>
    <w:basedOn w:val="1"/>
    <w:qFormat/>
    <w:uiPriority w:val="0"/>
    <w:pPr>
      <w:widowControl/>
      <w:spacing w:line="240" w:lineRule="exact"/>
      <w:jc w:val="left"/>
    </w:pPr>
    <w:rPr>
      <w:rFonts w:ascii="Verdana" w:hAnsi="Verdana" w:eastAsia="楷体_GB2312" w:cs="宋体"/>
      <w:b/>
      <w:i/>
      <w:iCs/>
      <w:color w:val="000000"/>
      <w:kern w:val="0"/>
      <w:sz w:val="20"/>
      <w:lang w:eastAsia="en-US"/>
    </w:rPr>
  </w:style>
  <w:style w:type="paragraph" w:customStyle="1" w:styleId="531">
    <w:name w:val="纯文本11"/>
    <w:basedOn w:val="1"/>
    <w:qFormat/>
    <w:uiPriority w:val="0"/>
    <w:rPr>
      <w:rFonts w:ascii="宋体"/>
      <w:szCs w:val="21"/>
    </w:rPr>
  </w:style>
  <w:style w:type="paragraph" w:customStyle="1" w:styleId="532">
    <w:name w:val="TOC 标题1"/>
    <w:basedOn w:val="3"/>
    <w:next w:val="1"/>
    <w:qFormat/>
    <w:uiPriority w:val="0"/>
    <w:pPr>
      <w:widowControl/>
      <w:spacing w:before="480" w:after="0" w:line="276" w:lineRule="auto"/>
      <w:jc w:val="left"/>
      <w:outlineLvl w:val="9"/>
    </w:pPr>
    <w:rPr>
      <w:rFonts w:ascii="Cambria" w:hAnsi="Cambria"/>
      <w:color w:val="365F91"/>
      <w:kern w:val="0"/>
      <w:sz w:val="28"/>
      <w:szCs w:val="28"/>
    </w:rPr>
  </w:style>
  <w:style w:type="paragraph" w:customStyle="1" w:styleId="533">
    <w:name w:val="修订1"/>
    <w:semiHidden/>
    <w:qFormat/>
    <w:uiPriority w:val="0"/>
    <w:pPr>
      <w:spacing w:after="160" w:line="278" w:lineRule="auto"/>
    </w:pPr>
    <w:rPr>
      <w:rFonts w:ascii="Times New Roman" w:hAnsi="Times New Roman" w:eastAsia="宋体" w:cs="Times New Roman"/>
      <w:kern w:val="2"/>
      <w:sz w:val="21"/>
      <w:szCs w:val="24"/>
      <w:lang w:val="en-US" w:eastAsia="zh-CN" w:bidi="ar-SA"/>
    </w:rPr>
  </w:style>
  <w:style w:type="paragraph" w:customStyle="1" w:styleId="534">
    <w:name w:val="Char Char19 Char Char Char Char1"/>
    <w:basedOn w:val="16"/>
    <w:qFormat/>
    <w:uiPriority w:val="0"/>
    <w:pPr>
      <w:widowControl/>
      <w:ind w:firstLine="454"/>
      <w:jc w:val="left"/>
    </w:pPr>
  </w:style>
  <w:style w:type="paragraph" w:customStyle="1" w:styleId="535">
    <w:name w:val="No Spacing1"/>
    <w:qFormat/>
    <w:uiPriority w:val="0"/>
    <w:pPr>
      <w:widowControl w:val="0"/>
      <w:spacing w:after="160" w:line="278" w:lineRule="auto"/>
      <w:jc w:val="both"/>
    </w:pPr>
    <w:rPr>
      <w:rFonts w:ascii="Times New Roman" w:hAnsi="Times New Roman" w:eastAsia="宋体" w:cs="Times New Roman"/>
      <w:kern w:val="2"/>
      <w:sz w:val="21"/>
      <w:szCs w:val="22"/>
      <w:lang w:val="en-US" w:eastAsia="zh-CN" w:bidi="ar-SA"/>
    </w:rPr>
  </w:style>
  <w:style w:type="paragraph" w:customStyle="1" w:styleId="536">
    <w:name w:val="Char Char Char Char Char Char Char Char Char Char Char Char Char Char Char Char2"/>
    <w:basedOn w:val="1"/>
    <w:qFormat/>
    <w:uiPriority w:val="0"/>
    <w:pPr>
      <w:tabs>
        <w:tab w:val="left" w:pos="360"/>
      </w:tabs>
      <w:spacing w:line="360" w:lineRule="auto"/>
      <w:ind w:left="482" w:firstLine="200" w:firstLineChars="200"/>
    </w:pPr>
    <w:rPr>
      <w:rFonts w:ascii="宋体"/>
      <w:sz w:val="24"/>
    </w:rPr>
  </w:style>
  <w:style w:type="paragraph" w:customStyle="1" w:styleId="537">
    <w:name w:val="Char3"/>
    <w:basedOn w:val="16"/>
    <w:qFormat/>
    <w:uiPriority w:val="0"/>
    <w:pPr>
      <w:widowControl/>
      <w:ind w:firstLine="454"/>
      <w:jc w:val="left"/>
    </w:pPr>
    <w:rPr>
      <w:rFonts w:ascii="Tahoma" w:hAnsi="Tahoma" w:cs="宋体"/>
      <w:kern w:val="0"/>
      <w:sz w:val="24"/>
      <w:szCs w:val="20"/>
    </w:rPr>
  </w:style>
  <w:style w:type="paragraph" w:customStyle="1" w:styleId="538">
    <w:name w:val="Char Char1 Char Char Char Char2"/>
    <w:basedOn w:val="16"/>
    <w:qFormat/>
    <w:uiPriority w:val="0"/>
    <w:rPr>
      <w:rFonts w:ascii="Tahoma" w:hAnsi="Tahoma"/>
      <w:sz w:val="24"/>
    </w:rPr>
  </w:style>
  <w:style w:type="paragraph" w:customStyle="1" w:styleId="539">
    <w:name w:val="Char Char Char Char Char Char1 Char2"/>
    <w:basedOn w:val="1"/>
    <w:qFormat/>
    <w:uiPriority w:val="0"/>
    <w:pPr>
      <w:widowControl/>
      <w:spacing w:line="240" w:lineRule="exact"/>
      <w:jc w:val="left"/>
    </w:pPr>
    <w:rPr>
      <w:rFonts w:ascii="Verdana" w:hAnsi="Verdana" w:eastAsia="仿宋_GB2312"/>
      <w:kern w:val="0"/>
      <w:sz w:val="30"/>
      <w:szCs w:val="30"/>
      <w:lang w:eastAsia="en-US"/>
    </w:rPr>
  </w:style>
  <w:style w:type="paragraph" w:customStyle="1" w:styleId="540">
    <w:name w:val="Char22"/>
    <w:basedOn w:val="1"/>
    <w:qFormat/>
    <w:uiPriority w:val="0"/>
    <w:pPr>
      <w:widowControl/>
      <w:spacing w:line="240" w:lineRule="exact"/>
      <w:jc w:val="left"/>
    </w:pPr>
    <w:rPr>
      <w:rFonts w:ascii="Verdana" w:hAnsi="Verdana"/>
      <w:kern w:val="0"/>
      <w:szCs w:val="20"/>
      <w:lang w:eastAsia="en-US"/>
    </w:rPr>
  </w:style>
  <w:style w:type="paragraph" w:customStyle="1" w:styleId="541">
    <w:name w:val="Char Char Char2"/>
    <w:basedOn w:val="1"/>
    <w:qFormat/>
    <w:uiPriority w:val="0"/>
    <w:pPr>
      <w:widowControl/>
      <w:spacing w:line="240" w:lineRule="exact"/>
      <w:jc w:val="left"/>
    </w:pPr>
    <w:rPr>
      <w:rFonts w:ascii="Verdana" w:hAnsi="Verdana"/>
      <w:kern w:val="0"/>
      <w:sz w:val="20"/>
      <w:szCs w:val="20"/>
      <w:lang w:eastAsia="en-US"/>
    </w:rPr>
  </w:style>
  <w:style w:type="paragraph" w:customStyle="1" w:styleId="542">
    <w:name w:val="Char13"/>
    <w:basedOn w:val="1"/>
    <w:qFormat/>
    <w:uiPriority w:val="0"/>
    <w:rPr>
      <w:szCs w:val="21"/>
    </w:rPr>
  </w:style>
  <w:style w:type="paragraph" w:customStyle="1" w:styleId="543">
    <w:name w:val="列出段落4"/>
    <w:basedOn w:val="1"/>
    <w:qFormat/>
    <w:uiPriority w:val="0"/>
    <w:pPr>
      <w:ind w:firstLine="420" w:firstLineChars="200"/>
    </w:pPr>
    <w:rPr>
      <w:rFonts w:ascii="Calibri" w:hAnsi="Calibri"/>
      <w:szCs w:val="22"/>
    </w:rPr>
  </w:style>
  <w:style w:type="paragraph" w:customStyle="1" w:styleId="544">
    <w:name w:val="Char Char Char Char Char Char Char Char Char Char Char Char1"/>
    <w:basedOn w:val="1"/>
    <w:qFormat/>
    <w:uiPriority w:val="0"/>
    <w:pPr>
      <w:widowControl/>
      <w:spacing w:line="240" w:lineRule="exact"/>
      <w:jc w:val="left"/>
    </w:pPr>
    <w:rPr>
      <w:rFonts w:ascii="Verdana" w:hAnsi="Verdana"/>
      <w:kern w:val="0"/>
      <w:sz w:val="20"/>
      <w:szCs w:val="20"/>
      <w:lang w:eastAsia="en-US"/>
    </w:rPr>
  </w:style>
  <w:style w:type="paragraph" w:customStyle="1" w:styleId="545">
    <w:name w:val="Char Char9 Char Char Char Char2"/>
    <w:basedOn w:val="1"/>
    <w:qFormat/>
    <w:uiPriority w:val="0"/>
    <w:pPr>
      <w:widowControl/>
      <w:spacing w:line="240" w:lineRule="exact"/>
      <w:jc w:val="left"/>
    </w:pPr>
  </w:style>
  <w:style w:type="character" w:customStyle="1" w:styleId="546">
    <w:name w:val="Char Char331"/>
    <w:qFormat/>
    <w:uiPriority w:val="0"/>
    <w:rPr>
      <w:rFonts w:eastAsia="宋体"/>
      <w:b/>
      <w:kern w:val="44"/>
      <w:sz w:val="44"/>
      <w:lang w:val="en-US" w:eastAsia="zh-CN"/>
    </w:rPr>
  </w:style>
  <w:style w:type="character" w:customStyle="1" w:styleId="547">
    <w:name w:val="Char Char321"/>
    <w:qFormat/>
    <w:uiPriority w:val="0"/>
    <w:rPr>
      <w:rFonts w:ascii="Arial" w:hAnsi="Arial" w:eastAsia="黑体"/>
      <w:b/>
      <w:sz w:val="32"/>
    </w:rPr>
  </w:style>
  <w:style w:type="character" w:customStyle="1" w:styleId="548">
    <w:name w:val="Char Char351"/>
    <w:qFormat/>
    <w:uiPriority w:val="0"/>
    <w:rPr>
      <w:rFonts w:eastAsia="宋体"/>
      <w:b/>
      <w:kern w:val="44"/>
      <w:sz w:val="44"/>
      <w:lang w:val="en-US" w:eastAsia="zh-CN"/>
    </w:rPr>
  </w:style>
  <w:style w:type="character" w:customStyle="1" w:styleId="549">
    <w:name w:val="Char Char341"/>
    <w:qFormat/>
    <w:uiPriority w:val="0"/>
    <w:rPr>
      <w:rFonts w:ascii="Arial" w:hAnsi="Arial" w:eastAsia="黑体"/>
      <w:b/>
      <w:sz w:val="32"/>
    </w:rPr>
  </w:style>
  <w:style w:type="character" w:customStyle="1" w:styleId="550">
    <w:name w:val="Char Char371"/>
    <w:qFormat/>
    <w:uiPriority w:val="0"/>
    <w:rPr>
      <w:rFonts w:eastAsia="宋体"/>
      <w:b/>
      <w:kern w:val="44"/>
      <w:sz w:val="44"/>
      <w:lang w:val="en-US" w:eastAsia="zh-CN"/>
    </w:rPr>
  </w:style>
  <w:style w:type="character" w:customStyle="1" w:styleId="551">
    <w:name w:val="Char Char361"/>
    <w:qFormat/>
    <w:uiPriority w:val="0"/>
    <w:rPr>
      <w:rFonts w:ascii="Arial" w:hAnsi="Arial" w:eastAsia="黑体"/>
      <w:b/>
      <w:sz w:val="32"/>
    </w:rPr>
  </w:style>
  <w:style w:type="character" w:customStyle="1" w:styleId="552">
    <w:name w:val="Char Char391"/>
    <w:qFormat/>
    <w:uiPriority w:val="0"/>
    <w:rPr>
      <w:rFonts w:eastAsia="宋体"/>
      <w:b/>
      <w:kern w:val="44"/>
      <w:sz w:val="44"/>
      <w:lang w:val="en-US" w:eastAsia="zh-CN"/>
    </w:rPr>
  </w:style>
  <w:style w:type="character" w:customStyle="1" w:styleId="553">
    <w:name w:val="Char Char381"/>
    <w:qFormat/>
    <w:uiPriority w:val="0"/>
    <w:rPr>
      <w:rFonts w:ascii="Arial" w:hAnsi="Arial" w:eastAsia="黑体"/>
      <w:b/>
      <w:sz w:val="32"/>
    </w:rPr>
  </w:style>
  <w:style w:type="paragraph" w:customStyle="1" w:styleId="554">
    <w:name w:val="_Style 493"/>
    <w:qFormat/>
    <w:uiPriority w:val="0"/>
    <w:pPr>
      <w:widowControl w:val="0"/>
      <w:spacing w:after="160" w:line="278" w:lineRule="auto"/>
      <w:jc w:val="both"/>
    </w:pPr>
    <w:rPr>
      <w:rFonts w:ascii="Times New Roman" w:hAnsi="Times New Roman" w:eastAsia="宋体" w:cs="Times New Roman"/>
      <w:kern w:val="2"/>
      <w:sz w:val="21"/>
      <w:szCs w:val="24"/>
      <w:lang w:val="en-US" w:eastAsia="zh-CN" w:bidi="ar-SA"/>
    </w:rPr>
  </w:style>
  <w:style w:type="character" w:customStyle="1" w:styleId="555">
    <w:name w:val="Char Char42"/>
    <w:qFormat/>
    <w:uiPriority w:val="0"/>
    <w:rPr>
      <w:rFonts w:eastAsia="宋体"/>
      <w:b/>
      <w:bCs/>
      <w:kern w:val="44"/>
      <w:sz w:val="44"/>
      <w:szCs w:val="44"/>
      <w:lang w:val="en-US" w:eastAsia="zh-CN" w:bidi="ar-SA"/>
    </w:rPr>
  </w:style>
  <w:style w:type="character" w:customStyle="1" w:styleId="556">
    <w:name w:val="Char Char41"/>
    <w:qFormat/>
    <w:uiPriority w:val="0"/>
    <w:rPr>
      <w:rFonts w:ascii="Arial" w:hAnsi="Arial" w:eastAsia="黑体"/>
      <w:b/>
      <w:bCs/>
      <w:sz w:val="32"/>
      <w:szCs w:val="32"/>
      <w:lang w:bidi="ar-SA"/>
    </w:rPr>
  </w:style>
  <w:style w:type="character" w:customStyle="1" w:styleId="557">
    <w:name w:val="Char Char40"/>
    <w:qFormat/>
    <w:uiPriority w:val="0"/>
    <w:rPr>
      <w:rFonts w:eastAsia="宋体"/>
      <w:b/>
      <w:bCs/>
      <w:sz w:val="32"/>
      <w:szCs w:val="32"/>
      <w:lang w:bidi="ar-SA"/>
    </w:rPr>
  </w:style>
  <w:style w:type="character" w:customStyle="1" w:styleId="558">
    <w:name w:val="Char Char45"/>
    <w:qFormat/>
    <w:uiPriority w:val="0"/>
    <w:rPr>
      <w:rFonts w:eastAsia="宋体"/>
      <w:b/>
      <w:bCs/>
      <w:kern w:val="44"/>
      <w:sz w:val="44"/>
      <w:szCs w:val="44"/>
      <w:lang w:val="en-US" w:eastAsia="zh-CN" w:bidi="ar-SA"/>
    </w:rPr>
  </w:style>
  <w:style w:type="character" w:customStyle="1" w:styleId="559">
    <w:name w:val="Char Char44"/>
    <w:qFormat/>
    <w:uiPriority w:val="0"/>
    <w:rPr>
      <w:rFonts w:ascii="Arial" w:hAnsi="Arial" w:eastAsia="黑体"/>
      <w:b/>
      <w:bCs/>
      <w:sz w:val="32"/>
      <w:szCs w:val="32"/>
      <w:lang w:bidi="ar-SA"/>
    </w:rPr>
  </w:style>
  <w:style w:type="character" w:customStyle="1" w:styleId="560">
    <w:name w:val="Char Char43"/>
    <w:qFormat/>
    <w:uiPriority w:val="0"/>
    <w:rPr>
      <w:rFonts w:eastAsia="宋体"/>
      <w:b/>
      <w:bCs/>
      <w:sz w:val="32"/>
      <w:szCs w:val="32"/>
      <w:lang w:bidi="ar-SA"/>
    </w:rPr>
  </w:style>
  <w:style w:type="table" w:customStyle="1" w:styleId="561">
    <w:name w:val="彩色列表 - 强调文字颜色 111"/>
    <w:basedOn w:val="52"/>
    <w:qFormat/>
    <w:uiPriority w:val="0"/>
    <w:rPr>
      <w:rFonts w:ascii="Calibri" w:hAnsi="Calibri"/>
      <w:sz w:val="24"/>
      <w:szCs w:val="24"/>
      <w:lang w:eastAsia="en-US"/>
    </w:rPr>
    <w:tcPr>
      <w:shd w:val="clear" w:color="auto" w:fill="EDF2F8"/>
    </w:tcPr>
    <w:tblStylePr w:type="firstRow">
      <w:rPr>
        <w:b/>
        <w:bCs/>
        <w:color w:val="FFFFFF"/>
      </w:rPr>
      <w:tcPr>
        <w:tcBorders>
          <w:top w:val="nil"/>
          <w:left w:val="single" w:color="FFFFFF" w:sz="12" w:space="0"/>
          <w:bottom w:val="nil"/>
          <w:right w:val="nil"/>
          <w:insideH w:val="nil"/>
          <w:insideV w:val="nil"/>
          <w:tl2br w:val="nil"/>
          <w:tr2bl w:val="nil"/>
        </w:tcBorders>
        <w:shd w:val="clear" w:color="auto" w:fill="9E3A38"/>
      </w:tcPr>
    </w:tblStylePr>
    <w:tblStylePr w:type="lastRow">
      <w:rPr>
        <w:b/>
        <w:bCs/>
        <w:color w:val="9E3A38"/>
      </w:rPr>
      <w:tcPr>
        <w:tcBorders>
          <w:top w:val="single" w:color="000000" w:sz="12" w:space="0"/>
          <w:left w:val="nil"/>
          <w:bottom w:val="nil"/>
          <w:right w:val="nil"/>
          <w:insideH w:val="nil"/>
          <w:insideV w:val="nil"/>
          <w:tl2br w:val="nil"/>
          <w:tr2bl w:val="nil"/>
        </w:tcBorders>
        <w:shd w:val="clear" w:color="auto" w:fill="FFFFFF"/>
      </w:tcPr>
    </w:tblStylePr>
    <w:tblStylePr w:type="firstCol">
      <w:rPr>
        <w:b/>
        <w:bCs/>
      </w:rPr>
    </w:tblStylePr>
    <w:tblStylePr w:type="lastCol">
      <w:rPr>
        <w:b/>
        <w:bCs/>
      </w:rPr>
    </w:tblStylePr>
    <w:tblStylePr w:type="band1Vert">
      <w:tcPr>
        <w:tcBorders>
          <w:top w:val="nil"/>
          <w:left w:val="nil"/>
          <w:bottom w:val="nil"/>
          <w:right w:val="nil"/>
          <w:insideH w:val="nil"/>
          <w:insideV w:val="nil"/>
          <w:tl2br w:val="nil"/>
          <w:tr2bl w:val="nil"/>
        </w:tcBorders>
        <w:shd w:val="clear" w:color="auto" w:fill="D3DFEE"/>
      </w:tcPr>
    </w:tblStylePr>
    <w:tblStylePr w:type="band1Horz">
      <w:tcPr>
        <w:shd w:val="clear" w:color="auto" w:fill="DBE5F1"/>
      </w:tcPr>
    </w:tblStylePr>
  </w:style>
  <w:style w:type="character" w:customStyle="1" w:styleId="562">
    <w:name w:val="Char Char48"/>
    <w:qFormat/>
    <w:uiPriority w:val="0"/>
    <w:rPr>
      <w:rFonts w:eastAsia="宋体"/>
      <w:b/>
      <w:bCs/>
      <w:kern w:val="44"/>
      <w:sz w:val="44"/>
      <w:szCs w:val="44"/>
      <w:lang w:val="en-US" w:eastAsia="zh-CN" w:bidi="ar-SA"/>
    </w:rPr>
  </w:style>
  <w:style w:type="character" w:customStyle="1" w:styleId="563">
    <w:name w:val="Char Char47"/>
    <w:qFormat/>
    <w:uiPriority w:val="0"/>
    <w:rPr>
      <w:rFonts w:ascii="Arial" w:hAnsi="Arial" w:eastAsia="黑体"/>
      <w:b/>
      <w:bCs/>
      <w:sz w:val="32"/>
      <w:szCs w:val="32"/>
      <w:lang w:bidi="ar-SA"/>
    </w:rPr>
  </w:style>
  <w:style w:type="character" w:customStyle="1" w:styleId="564">
    <w:name w:val="Char Char46"/>
    <w:qFormat/>
    <w:uiPriority w:val="0"/>
    <w:rPr>
      <w:rFonts w:eastAsia="宋体"/>
      <w:b/>
      <w:bCs/>
      <w:sz w:val="32"/>
      <w:szCs w:val="32"/>
      <w:lang w:bidi="ar-SA"/>
    </w:rPr>
  </w:style>
  <w:style w:type="character" w:customStyle="1" w:styleId="565">
    <w:name w:val="普通文字 Char Char3"/>
    <w:qFormat/>
    <w:uiPriority w:val="0"/>
    <w:rPr>
      <w:rFonts w:ascii="宋体" w:hAnsi="Courier New" w:eastAsia="宋体" w:cs="Courier New"/>
      <w:kern w:val="2"/>
      <w:sz w:val="21"/>
      <w:szCs w:val="21"/>
      <w:lang w:val="en-US" w:eastAsia="zh-CN" w:bidi="ar-SA"/>
    </w:rPr>
  </w:style>
  <w:style w:type="character" w:customStyle="1" w:styleId="566">
    <w:name w:val="普通文字 Char Char5"/>
    <w:qFormat/>
    <w:uiPriority w:val="0"/>
    <w:rPr>
      <w:rFonts w:ascii="宋体" w:hAnsi="Courier New" w:eastAsia="宋体" w:cs="Courier New"/>
      <w:kern w:val="2"/>
      <w:sz w:val="21"/>
      <w:szCs w:val="21"/>
      <w:lang w:val="en-US" w:eastAsia="zh-CN" w:bidi="ar-SA"/>
    </w:rPr>
  </w:style>
  <w:style w:type="paragraph" w:customStyle="1" w:styleId="567">
    <w:name w:val="首行缩进"/>
    <w:basedOn w:val="1"/>
    <w:qFormat/>
    <w:uiPriority w:val="0"/>
    <w:pPr>
      <w:ind w:firstLine="480" w:firstLineChars="200"/>
    </w:pPr>
    <w:rPr>
      <w:sz w:val="24"/>
    </w:rPr>
  </w:style>
  <w:style w:type="paragraph" w:customStyle="1" w:styleId="568">
    <w:name w:val="_Style 1"/>
    <w:qFormat/>
    <w:uiPriority w:val="0"/>
    <w:pPr>
      <w:widowControl w:val="0"/>
      <w:spacing w:after="160" w:line="278" w:lineRule="auto"/>
      <w:jc w:val="both"/>
    </w:pPr>
    <w:rPr>
      <w:rFonts w:ascii="Times New Roman" w:hAnsi="Times New Roman" w:eastAsia="宋体" w:cs="Times New Roman"/>
      <w:kern w:val="2"/>
      <w:sz w:val="21"/>
      <w:szCs w:val="24"/>
      <w:lang w:val="en-US" w:eastAsia="zh-CN" w:bidi="ar-SA"/>
    </w:rPr>
  </w:style>
  <w:style w:type="character" w:customStyle="1" w:styleId="569">
    <w:name w:val="称呼 字符3"/>
    <w:qFormat/>
    <w:uiPriority w:val="0"/>
    <w:rPr>
      <w:kern w:val="2"/>
      <w:sz w:val="28"/>
      <w:szCs w:val="24"/>
    </w:rPr>
  </w:style>
  <w:style w:type="character" w:customStyle="1" w:styleId="570">
    <w:name w:val="批注文字 字符3"/>
    <w:qFormat/>
    <w:uiPriority w:val="0"/>
    <w:rPr>
      <w:rFonts w:eastAsia="宋体"/>
      <w:sz w:val="24"/>
      <w:lang w:bidi="ar-SA"/>
    </w:rPr>
  </w:style>
  <w:style w:type="character" w:customStyle="1" w:styleId="571">
    <w:name w:val="正文文本缩进 2 字符3"/>
    <w:qFormat/>
    <w:uiPriority w:val="0"/>
    <w:rPr>
      <w:rFonts w:eastAsia="宋体"/>
      <w:kern w:val="2"/>
      <w:sz w:val="32"/>
      <w:lang w:val="en-US" w:eastAsia="zh-CN" w:bidi="ar-SA"/>
    </w:rPr>
  </w:style>
  <w:style w:type="character" w:customStyle="1" w:styleId="572">
    <w:name w:val="标题 5 字符3"/>
    <w:qFormat/>
    <w:uiPriority w:val="0"/>
    <w:rPr>
      <w:rFonts w:eastAsia="宋体"/>
      <w:b/>
      <w:kern w:val="2"/>
      <w:sz w:val="28"/>
      <w:szCs w:val="24"/>
      <w:lang w:val="en-US" w:eastAsia="zh-CN" w:bidi="ar-SA"/>
    </w:rPr>
  </w:style>
  <w:style w:type="character" w:customStyle="1" w:styleId="573">
    <w:name w:val="正文文本 3 字符3"/>
    <w:qFormat/>
    <w:uiPriority w:val="0"/>
    <w:rPr>
      <w:rFonts w:eastAsia="宋体"/>
      <w:b/>
      <w:bCs/>
      <w:kern w:val="2"/>
      <w:sz w:val="24"/>
      <w:szCs w:val="24"/>
      <w:lang w:val="en-US" w:eastAsia="zh-CN" w:bidi="ar-SA"/>
    </w:rPr>
  </w:style>
  <w:style w:type="character" w:customStyle="1" w:styleId="574">
    <w:name w:val="标题 8 字符3"/>
    <w:qFormat/>
    <w:uiPriority w:val="0"/>
    <w:rPr>
      <w:rFonts w:ascii="Arial" w:hAnsi="Arial" w:eastAsia="黑体"/>
      <w:kern w:val="2"/>
      <w:sz w:val="24"/>
      <w:szCs w:val="24"/>
      <w:lang w:val="en-US" w:eastAsia="zh-CN" w:bidi="ar-SA"/>
    </w:rPr>
  </w:style>
  <w:style w:type="character" w:customStyle="1" w:styleId="575">
    <w:name w:val="正文文本 字符3"/>
    <w:qFormat/>
    <w:uiPriority w:val="0"/>
    <w:rPr>
      <w:rFonts w:eastAsia="宋体"/>
      <w:kern w:val="2"/>
      <w:sz w:val="24"/>
      <w:szCs w:val="24"/>
      <w:lang w:val="en-US" w:eastAsia="zh-CN" w:bidi="ar-SA"/>
    </w:rPr>
  </w:style>
  <w:style w:type="character" w:customStyle="1" w:styleId="576">
    <w:name w:val="标题 1 字符3"/>
    <w:qFormat/>
    <w:uiPriority w:val="0"/>
    <w:rPr>
      <w:rFonts w:eastAsia="宋体"/>
      <w:b/>
      <w:bCs/>
      <w:kern w:val="44"/>
      <w:sz w:val="44"/>
      <w:szCs w:val="44"/>
      <w:lang w:val="en-US" w:eastAsia="zh-CN" w:bidi="ar-SA"/>
    </w:rPr>
  </w:style>
  <w:style w:type="character" w:customStyle="1" w:styleId="577">
    <w:name w:val="文档结构图 字符3"/>
    <w:qFormat/>
    <w:uiPriority w:val="0"/>
    <w:rPr>
      <w:rFonts w:eastAsia="宋体"/>
      <w:kern w:val="2"/>
      <w:sz w:val="21"/>
      <w:szCs w:val="24"/>
      <w:lang w:val="en-US" w:eastAsia="zh-CN" w:bidi="ar-SA"/>
    </w:rPr>
  </w:style>
  <w:style w:type="character" w:customStyle="1" w:styleId="578">
    <w:name w:val="标题 7 字符3"/>
    <w:qFormat/>
    <w:uiPriority w:val="0"/>
    <w:rPr>
      <w:rFonts w:eastAsia="宋体"/>
      <w:b/>
      <w:kern w:val="2"/>
      <w:sz w:val="24"/>
      <w:szCs w:val="24"/>
      <w:lang w:val="en-US" w:eastAsia="zh-CN" w:bidi="ar-SA"/>
    </w:rPr>
  </w:style>
  <w:style w:type="character" w:customStyle="1" w:styleId="579">
    <w:name w:val="标题 6 字符3"/>
    <w:qFormat/>
    <w:uiPriority w:val="0"/>
    <w:rPr>
      <w:rFonts w:ascii="Arial" w:hAnsi="Arial" w:eastAsia="黑体"/>
      <w:b/>
      <w:kern w:val="2"/>
      <w:sz w:val="24"/>
      <w:szCs w:val="24"/>
      <w:lang w:val="en-US" w:eastAsia="zh-CN" w:bidi="ar-SA"/>
    </w:rPr>
  </w:style>
  <w:style w:type="character" w:customStyle="1" w:styleId="580">
    <w:name w:val="标题 3 字符3"/>
    <w:qFormat/>
    <w:uiPriority w:val="0"/>
    <w:rPr>
      <w:rFonts w:eastAsia="宋体"/>
      <w:b/>
      <w:bCs/>
      <w:sz w:val="32"/>
      <w:szCs w:val="32"/>
      <w:lang w:bidi="ar-SA"/>
    </w:rPr>
  </w:style>
  <w:style w:type="character" w:customStyle="1" w:styleId="581">
    <w:name w:val="页脚 字符3"/>
    <w:qFormat/>
    <w:uiPriority w:val="0"/>
    <w:rPr>
      <w:rFonts w:eastAsia="宋体"/>
      <w:kern w:val="2"/>
      <w:sz w:val="18"/>
      <w:szCs w:val="18"/>
      <w:lang w:val="en-US" w:eastAsia="zh-CN" w:bidi="ar-SA"/>
    </w:rPr>
  </w:style>
  <w:style w:type="character" w:customStyle="1" w:styleId="582">
    <w:name w:val="尾注文本 字符3"/>
    <w:qFormat/>
    <w:uiPriority w:val="0"/>
    <w:rPr>
      <w:rFonts w:ascii="Calibri" w:hAnsi="Calibri"/>
      <w:kern w:val="2"/>
      <w:sz w:val="21"/>
      <w:szCs w:val="22"/>
    </w:rPr>
  </w:style>
  <w:style w:type="character" w:customStyle="1" w:styleId="583">
    <w:name w:val="日期 字符3"/>
    <w:qFormat/>
    <w:uiPriority w:val="0"/>
    <w:rPr>
      <w:rFonts w:ascii="宋体" w:hAnsi="Courier New" w:eastAsia="宋体" w:cs="Courier New"/>
      <w:kern w:val="2"/>
      <w:sz w:val="21"/>
      <w:szCs w:val="21"/>
      <w:lang w:val="en-US" w:eastAsia="zh-CN" w:bidi="ar-SA"/>
    </w:rPr>
  </w:style>
  <w:style w:type="character" w:customStyle="1" w:styleId="584">
    <w:name w:val="正文文本缩进 字符3"/>
    <w:qFormat/>
    <w:uiPriority w:val="0"/>
    <w:rPr>
      <w:rFonts w:ascii="仿宋_GB2312" w:eastAsia="仿宋_GB2312"/>
      <w:kern w:val="2"/>
      <w:sz w:val="32"/>
      <w:lang w:val="en-US" w:eastAsia="zh-CN" w:bidi="ar-SA"/>
    </w:rPr>
  </w:style>
  <w:style w:type="character" w:customStyle="1" w:styleId="585">
    <w:name w:val="标题 9 字符3"/>
    <w:qFormat/>
    <w:uiPriority w:val="0"/>
    <w:rPr>
      <w:rFonts w:ascii="Arial" w:hAnsi="Arial" w:eastAsia="黑体"/>
      <w:kern w:val="2"/>
      <w:sz w:val="21"/>
      <w:szCs w:val="24"/>
      <w:lang w:val="en-US" w:eastAsia="zh-CN" w:bidi="ar-SA"/>
    </w:rPr>
  </w:style>
  <w:style w:type="character" w:customStyle="1" w:styleId="586">
    <w:name w:val="正文文本缩进 3 字符3"/>
    <w:qFormat/>
    <w:uiPriority w:val="0"/>
    <w:rPr>
      <w:rFonts w:eastAsia="宋体"/>
      <w:kern w:val="2"/>
      <w:sz w:val="16"/>
      <w:szCs w:val="16"/>
      <w:lang w:val="en-US" w:eastAsia="zh-CN" w:bidi="ar-SA"/>
    </w:rPr>
  </w:style>
  <w:style w:type="character" w:customStyle="1" w:styleId="587">
    <w:name w:val="脚注文本 字符3"/>
    <w:qFormat/>
    <w:locked/>
    <w:uiPriority w:val="0"/>
    <w:rPr>
      <w:rFonts w:ascii="宋体" w:eastAsia="宋体"/>
      <w:kern w:val="21"/>
      <w:sz w:val="18"/>
      <w:szCs w:val="18"/>
      <w:lang w:val="en-US" w:eastAsia="zh-CN" w:bidi="ar-SA"/>
    </w:rPr>
  </w:style>
  <w:style w:type="character" w:customStyle="1" w:styleId="588">
    <w:name w:val="纯文本 字符4"/>
    <w:qFormat/>
    <w:uiPriority w:val="0"/>
    <w:rPr>
      <w:rFonts w:ascii="宋体" w:hAnsi="Courier New" w:eastAsia="宋体" w:cs="Courier New"/>
      <w:kern w:val="2"/>
      <w:sz w:val="21"/>
      <w:szCs w:val="21"/>
      <w:lang w:val="en-US" w:eastAsia="zh-CN" w:bidi="ar-SA"/>
    </w:rPr>
  </w:style>
  <w:style w:type="character" w:customStyle="1" w:styleId="589">
    <w:name w:val="HTML 预设格式 字符3"/>
    <w:qFormat/>
    <w:uiPriority w:val="0"/>
    <w:rPr>
      <w:rFonts w:ascii="黑体" w:hAnsi="Courier New" w:eastAsia="黑体" w:cs="Courier New"/>
      <w:lang w:val="en-US" w:eastAsia="zh-CN" w:bidi="ar-SA"/>
    </w:rPr>
  </w:style>
  <w:style w:type="character" w:customStyle="1" w:styleId="590">
    <w:name w:val="标题 2 字符3"/>
    <w:qFormat/>
    <w:uiPriority w:val="0"/>
    <w:rPr>
      <w:rFonts w:ascii="Arial" w:hAnsi="Arial" w:eastAsia="黑体"/>
      <w:b/>
      <w:bCs/>
      <w:sz w:val="32"/>
      <w:szCs w:val="32"/>
      <w:lang w:bidi="ar-SA"/>
    </w:rPr>
  </w:style>
  <w:style w:type="character" w:customStyle="1" w:styleId="591">
    <w:name w:val="HTML 地址 字符3"/>
    <w:qFormat/>
    <w:locked/>
    <w:uiPriority w:val="0"/>
    <w:rPr>
      <w:rFonts w:ascii="宋体" w:eastAsia="宋体"/>
      <w:i/>
      <w:iCs/>
      <w:kern w:val="21"/>
      <w:sz w:val="21"/>
      <w:szCs w:val="21"/>
      <w:lang w:val="en-US" w:eastAsia="zh-CN" w:bidi="ar-SA"/>
    </w:rPr>
  </w:style>
  <w:style w:type="character" w:customStyle="1" w:styleId="592">
    <w:name w:val="页眉 字符3"/>
    <w:qFormat/>
    <w:uiPriority w:val="0"/>
    <w:rPr>
      <w:rFonts w:eastAsia="宋体"/>
      <w:kern w:val="2"/>
      <w:sz w:val="18"/>
      <w:szCs w:val="18"/>
      <w:lang w:val="en-US" w:eastAsia="zh-CN" w:bidi="ar-SA"/>
    </w:rPr>
  </w:style>
  <w:style w:type="character" w:customStyle="1" w:styleId="593">
    <w:name w:val="无间隔 字符4"/>
    <w:qFormat/>
    <w:uiPriority w:val="0"/>
    <w:rPr>
      <w:sz w:val="22"/>
      <w:szCs w:val="22"/>
      <w:lang w:val="en-US" w:eastAsia="zh-CN" w:bidi="ar-SA"/>
    </w:rPr>
  </w:style>
  <w:style w:type="character" w:customStyle="1" w:styleId="594">
    <w:name w:val="正文文本 2 字符3"/>
    <w:qFormat/>
    <w:uiPriority w:val="0"/>
    <w:rPr>
      <w:rFonts w:eastAsia="宋体"/>
      <w:kern w:val="2"/>
      <w:sz w:val="21"/>
      <w:szCs w:val="24"/>
      <w:lang w:val="en-US" w:eastAsia="zh-CN" w:bidi="ar-SA"/>
    </w:rPr>
  </w:style>
  <w:style w:type="character" w:customStyle="1" w:styleId="595">
    <w:name w:val="标题 字符3"/>
    <w:qFormat/>
    <w:uiPriority w:val="0"/>
    <w:rPr>
      <w:rFonts w:ascii="Arial" w:hAnsi="Arial" w:eastAsia="宋体"/>
      <w:b/>
      <w:bCs/>
      <w:kern w:val="2"/>
      <w:sz w:val="32"/>
      <w:szCs w:val="32"/>
      <w:lang w:bidi="ar-SA"/>
    </w:rPr>
  </w:style>
  <w:style w:type="character" w:customStyle="1" w:styleId="596">
    <w:name w:val="标题 4 字符3"/>
    <w:qFormat/>
    <w:uiPriority w:val="0"/>
    <w:rPr>
      <w:rFonts w:ascii="Arial" w:hAnsi="Arial" w:eastAsia="黑体"/>
      <w:sz w:val="28"/>
      <w:lang w:bidi="ar-SA"/>
    </w:rPr>
  </w:style>
  <w:style w:type="character" w:customStyle="1" w:styleId="597">
    <w:name w:val="Char Char50"/>
    <w:qFormat/>
    <w:uiPriority w:val="0"/>
    <w:rPr>
      <w:rFonts w:eastAsia="宋体"/>
      <w:b/>
      <w:bCs/>
      <w:kern w:val="44"/>
      <w:sz w:val="44"/>
      <w:szCs w:val="44"/>
      <w:lang w:val="en-US" w:eastAsia="zh-CN" w:bidi="ar-SA"/>
    </w:rPr>
  </w:style>
  <w:style w:type="character" w:customStyle="1" w:styleId="598">
    <w:name w:val="Char Char49"/>
    <w:qFormat/>
    <w:uiPriority w:val="0"/>
    <w:rPr>
      <w:rFonts w:ascii="Arial" w:hAnsi="Arial" w:eastAsia="黑体"/>
      <w:b/>
      <w:bCs/>
      <w:sz w:val="32"/>
      <w:szCs w:val="32"/>
      <w:lang w:bidi="ar-SA"/>
    </w:rPr>
  </w:style>
  <w:style w:type="character" w:customStyle="1" w:styleId="599">
    <w:name w:val="普通文字 Char Char7"/>
    <w:qFormat/>
    <w:uiPriority w:val="0"/>
    <w:rPr>
      <w:rFonts w:ascii="宋体" w:hAnsi="Courier New" w:eastAsia="宋体" w:cs="Courier New"/>
      <w:kern w:val="2"/>
      <w:sz w:val="21"/>
      <w:szCs w:val="21"/>
      <w:lang w:val="en-US" w:eastAsia="zh-CN" w:bidi="ar-SA"/>
    </w:rPr>
  </w:style>
  <w:style w:type="paragraph" w:customStyle="1" w:styleId="600">
    <w:name w:val="Char Char Char3"/>
    <w:basedOn w:val="1"/>
    <w:qFormat/>
    <w:uiPriority w:val="0"/>
    <w:pPr>
      <w:widowControl/>
      <w:spacing w:line="240" w:lineRule="exact"/>
      <w:jc w:val="left"/>
    </w:pPr>
    <w:rPr>
      <w:rFonts w:ascii="Verdana" w:hAnsi="Verdana"/>
      <w:kern w:val="0"/>
      <w:sz w:val="20"/>
      <w:szCs w:val="20"/>
      <w:lang w:eastAsia="en-US"/>
    </w:rPr>
  </w:style>
  <w:style w:type="character" w:customStyle="1" w:styleId="601">
    <w:name w:val="普通文字 Char Char2 Char"/>
    <w:qFormat/>
    <w:locked/>
    <w:uiPriority w:val="0"/>
    <w:rPr>
      <w:rFonts w:ascii="宋体" w:hAnsi="Courier New" w:eastAsia="宋体"/>
      <w:kern w:val="2"/>
      <w:sz w:val="21"/>
      <w:lang w:val="en-US" w:eastAsia="zh-CN" w:bidi="ar-SA"/>
    </w:rPr>
  </w:style>
  <w:style w:type="character" w:customStyle="1" w:styleId="602">
    <w:name w:val="标题 1 字符4"/>
    <w:qFormat/>
    <w:uiPriority w:val="0"/>
    <w:rPr>
      <w:rFonts w:eastAsia="宋体"/>
      <w:b/>
      <w:bCs/>
      <w:kern w:val="44"/>
      <w:sz w:val="44"/>
      <w:szCs w:val="44"/>
      <w:lang w:val="en-US" w:eastAsia="zh-CN" w:bidi="ar-SA"/>
    </w:rPr>
  </w:style>
  <w:style w:type="character" w:customStyle="1" w:styleId="603">
    <w:name w:val="标题 2 字符4"/>
    <w:qFormat/>
    <w:uiPriority w:val="0"/>
    <w:rPr>
      <w:rFonts w:ascii="Arial" w:hAnsi="Arial" w:eastAsia="黑体"/>
      <w:b/>
      <w:bCs/>
      <w:sz w:val="32"/>
      <w:szCs w:val="32"/>
      <w:lang w:bidi="ar-SA"/>
    </w:rPr>
  </w:style>
  <w:style w:type="character" w:customStyle="1" w:styleId="604">
    <w:name w:val="标题 3 字符4"/>
    <w:qFormat/>
    <w:uiPriority w:val="0"/>
    <w:rPr>
      <w:rFonts w:eastAsia="宋体"/>
      <w:b/>
      <w:bCs/>
      <w:sz w:val="32"/>
      <w:szCs w:val="32"/>
      <w:lang w:bidi="ar-SA"/>
    </w:rPr>
  </w:style>
  <w:style w:type="character" w:customStyle="1" w:styleId="605">
    <w:name w:val="标题 4 字符4"/>
    <w:qFormat/>
    <w:uiPriority w:val="0"/>
    <w:rPr>
      <w:rFonts w:ascii="Arial" w:hAnsi="Arial" w:eastAsia="黑体"/>
      <w:sz w:val="28"/>
      <w:lang w:bidi="ar-SA"/>
    </w:rPr>
  </w:style>
  <w:style w:type="character" w:customStyle="1" w:styleId="606">
    <w:name w:val="标题 5 字符4"/>
    <w:qFormat/>
    <w:uiPriority w:val="0"/>
    <w:rPr>
      <w:rFonts w:eastAsia="宋体"/>
      <w:b/>
      <w:kern w:val="2"/>
      <w:sz w:val="28"/>
      <w:szCs w:val="24"/>
      <w:lang w:val="en-US" w:eastAsia="zh-CN" w:bidi="ar-SA"/>
    </w:rPr>
  </w:style>
  <w:style w:type="character" w:customStyle="1" w:styleId="607">
    <w:name w:val="标题 6 字符4"/>
    <w:qFormat/>
    <w:uiPriority w:val="0"/>
    <w:rPr>
      <w:rFonts w:ascii="Arial" w:hAnsi="Arial" w:eastAsia="黑体"/>
      <w:b/>
      <w:kern w:val="2"/>
      <w:sz w:val="24"/>
      <w:szCs w:val="24"/>
      <w:lang w:val="en-US" w:eastAsia="zh-CN" w:bidi="ar-SA"/>
    </w:rPr>
  </w:style>
  <w:style w:type="character" w:customStyle="1" w:styleId="608">
    <w:name w:val="标题 7 字符4"/>
    <w:qFormat/>
    <w:uiPriority w:val="0"/>
    <w:rPr>
      <w:rFonts w:eastAsia="宋体"/>
      <w:b/>
      <w:kern w:val="2"/>
      <w:sz w:val="24"/>
      <w:szCs w:val="24"/>
      <w:lang w:val="en-US" w:eastAsia="zh-CN" w:bidi="ar-SA"/>
    </w:rPr>
  </w:style>
  <w:style w:type="character" w:customStyle="1" w:styleId="609">
    <w:name w:val="标题 8 字符4"/>
    <w:qFormat/>
    <w:uiPriority w:val="0"/>
    <w:rPr>
      <w:rFonts w:ascii="Arial" w:hAnsi="Arial" w:eastAsia="黑体"/>
      <w:kern w:val="2"/>
      <w:sz w:val="24"/>
      <w:szCs w:val="24"/>
      <w:lang w:val="en-US" w:eastAsia="zh-CN" w:bidi="ar-SA"/>
    </w:rPr>
  </w:style>
  <w:style w:type="character" w:customStyle="1" w:styleId="610">
    <w:name w:val="标题 9 字符4"/>
    <w:qFormat/>
    <w:uiPriority w:val="0"/>
    <w:rPr>
      <w:rFonts w:ascii="Arial" w:hAnsi="Arial" w:eastAsia="黑体"/>
      <w:kern w:val="2"/>
      <w:sz w:val="21"/>
      <w:szCs w:val="24"/>
      <w:lang w:val="en-US" w:eastAsia="zh-CN" w:bidi="ar-SA"/>
    </w:rPr>
  </w:style>
  <w:style w:type="character" w:customStyle="1" w:styleId="611">
    <w:name w:val="文档结构图 字符4"/>
    <w:qFormat/>
    <w:uiPriority w:val="0"/>
    <w:rPr>
      <w:rFonts w:eastAsia="宋体"/>
      <w:kern w:val="2"/>
      <w:sz w:val="21"/>
      <w:szCs w:val="24"/>
      <w:lang w:val="en-US" w:eastAsia="zh-CN" w:bidi="ar-SA"/>
    </w:rPr>
  </w:style>
  <w:style w:type="character" w:customStyle="1" w:styleId="612">
    <w:name w:val="批注文字 字符4"/>
    <w:qFormat/>
    <w:uiPriority w:val="0"/>
    <w:rPr>
      <w:rFonts w:eastAsia="宋体"/>
      <w:sz w:val="24"/>
      <w:lang w:bidi="ar-SA"/>
    </w:rPr>
  </w:style>
  <w:style w:type="character" w:customStyle="1" w:styleId="613">
    <w:name w:val="称呼 字符4"/>
    <w:qFormat/>
    <w:uiPriority w:val="0"/>
    <w:rPr>
      <w:kern w:val="2"/>
      <w:sz w:val="28"/>
      <w:szCs w:val="24"/>
    </w:rPr>
  </w:style>
  <w:style w:type="character" w:customStyle="1" w:styleId="614">
    <w:name w:val="正文文本 3 字符4"/>
    <w:qFormat/>
    <w:uiPriority w:val="0"/>
    <w:rPr>
      <w:rFonts w:eastAsia="宋体"/>
      <w:b/>
      <w:bCs/>
      <w:kern w:val="2"/>
      <w:sz w:val="24"/>
      <w:szCs w:val="24"/>
      <w:lang w:val="en-US" w:eastAsia="zh-CN" w:bidi="ar-SA"/>
    </w:rPr>
  </w:style>
  <w:style w:type="character" w:customStyle="1" w:styleId="615">
    <w:name w:val="正文文本 字符4"/>
    <w:qFormat/>
    <w:uiPriority w:val="0"/>
    <w:rPr>
      <w:rFonts w:eastAsia="宋体"/>
      <w:kern w:val="2"/>
      <w:sz w:val="24"/>
      <w:szCs w:val="24"/>
      <w:lang w:val="en-US" w:eastAsia="zh-CN" w:bidi="ar-SA"/>
    </w:rPr>
  </w:style>
  <w:style w:type="character" w:customStyle="1" w:styleId="616">
    <w:name w:val="正文文本缩进 字符4"/>
    <w:qFormat/>
    <w:uiPriority w:val="0"/>
    <w:rPr>
      <w:rFonts w:ascii="仿宋_GB2312" w:eastAsia="仿宋_GB2312"/>
      <w:kern w:val="2"/>
      <w:sz w:val="32"/>
      <w:lang w:val="en-US" w:eastAsia="zh-CN" w:bidi="ar-SA"/>
    </w:rPr>
  </w:style>
  <w:style w:type="character" w:customStyle="1" w:styleId="617">
    <w:name w:val="HTML 地址 字符4"/>
    <w:qFormat/>
    <w:locked/>
    <w:uiPriority w:val="0"/>
    <w:rPr>
      <w:rFonts w:ascii="宋体" w:eastAsia="宋体"/>
      <w:i/>
      <w:iCs/>
      <w:kern w:val="21"/>
      <w:sz w:val="21"/>
      <w:szCs w:val="21"/>
      <w:lang w:val="en-US" w:eastAsia="zh-CN" w:bidi="ar-SA"/>
    </w:rPr>
  </w:style>
  <w:style w:type="character" w:customStyle="1" w:styleId="618">
    <w:name w:val="TOC 3 字符"/>
    <w:qFormat/>
    <w:locked/>
    <w:uiPriority w:val="0"/>
    <w:rPr>
      <w:rFonts w:eastAsia="宋体"/>
      <w:kern w:val="2"/>
      <w:sz w:val="21"/>
      <w:szCs w:val="24"/>
      <w:lang w:val="en-US" w:eastAsia="zh-CN" w:bidi="ar-SA"/>
    </w:rPr>
  </w:style>
  <w:style w:type="character" w:customStyle="1" w:styleId="619">
    <w:name w:val="纯文本 字符5"/>
    <w:qFormat/>
    <w:uiPriority w:val="0"/>
    <w:rPr>
      <w:rFonts w:ascii="宋体" w:hAnsi="Courier New" w:eastAsia="宋体" w:cs="Courier New"/>
      <w:kern w:val="2"/>
      <w:sz w:val="21"/>
      <w:szCs w:val="21"/>
      <w:lang w:val="en-US" w:eastAsia="zh-CN" w:bidi="ar-SA"/>
    </w:rPr>
  </w:style>
  <w:style w:type="character" w:customStyle="1" w:styleId="620">
    <w:name w:val="日期 字符4"/>
    <w:qFormat/>
    <w:uiPriority w:val="0"/>
    <w:rPr>
      <w:rFonts w:ascii="宋体" w:hAnsi="Courier New" w:eastAsia="宋体" w:cs="Courier New"/>
      <w:kern w:val="2"/>
      <w:sz w:val="21"/>
      <w:szCs w:val="21"/>
      <w:lang w:val="en-US" w:eastAsia="zh-CN" w:bidi="ar-SA"/>
    </w:rPr>
  </w:style>
  <w:style w:type="character" w:customStyle="1" w:styleId="621">
    <w:name w:val="正文文本缩进 2 字符4"/>
    <w:qFormat/>
    <w:uiPriority w:val="0"/>
    <w:rPr>
      <w:rFonts w:eastAsia="宋体"/>
      <w:kern w:val="2"/>
      <w:sz w:val="32"/>
      <w:lang w:val="en-US" w:eastAsia="zh-CN" w:bidi="ar-SA"/>
    </w:rPr>
  </w:style>
  <w:style w:type="character" w:customStyle="1" w:styleId="622">
    <w:name w:val="尾注文本 字符4"/>
    <w:qFormat/>
    <w:uiPriority w:val="0"/>
    <w:rPr>
      <w:rFonts w:ascii="Calibri" w:hAnsi="Calibri"/>
      <w:kern w:val="2"/>
      <w:sz w:val="21"/>
      <w:szCs w:val="22"/>
    </w:rPr>
  </w:style>
  <w:style w:type="character" w:customStyle="1" w:styleId="623">
    <w:name w:val="页脚 字符4"/>
    <w:qFormat/>
    <w:uiPriority w:val="0"/>
    <w:rPr>
      <w:rFonts w:eastAsia="宋体"/>
      <w:kern w:val="2"/>
      <w:sz w:val="18"/>
      <w:szCs w:val="18"/>
      <w:lang w:val="en-US" w:eastAsia="zh-CN" w:bidi="ar-SA"/>
    </w:rPr>
  </w:style>
  <w:style w:type="character" w:customStyle="1" w:styleId="624">
    <w:name w:val="页眉 字符4"/>
    <w:qFormat/>
    <w:uiPriority w:val="0"/>
    <w:rPr>
      <w:rFonts w:eastAsia="宋体"/>
      <w:kern w:val="2"/>
      <w:sz w:val="18"/>
      <w:szCs w:val="18"/>
      <w:lang w:val="en-US" w:eastAsia="zh-CN" w:bidi="ar-SA"/>
    </w:rPr>
  </w:style>
  <w:style w:type="character" w:customStyle="1" w:styleId="625">
    <w:name w:val="脚注文本 字符4"/>
    <w:qFormat/>
    <w:locked/>
    <w:uiPriority w:val="0"/>
    <w:rPr>
      <w:rFonts w:ascii="宋体" w:eastAsia="宋体"/>
      <w:kern w:val="21"/>
      <w:sz w:val="18"/>
      <w:szCs w:val="18"/>
      <w:lang w:val="en-US" w:eastAsia="zh-CN" w:bidi="ar-SA"/>
    </w:rPr>
  </w:style>
  <w:style w:type="character" w:customStyle="1" w:styleId="626">
    <w:name w:val="正文文本缩进 3 字符4"/>
    <w:qFormat/>
    <w:uiPriority w:val="0"/>
    <w:rPr>
      <w:rFonts w:eastAsia="宋体"/>
      <w:kern w:val="2"/>
      <w:sz w:val="16"/>
      <w:szCs w:val="16"/>
      <w:lang w:val="en-US" w:eastAsia="zh-CN" w:bidi="ar-SA"/>
    </w:rPr>
  </w:style>
  <w:style w:type="character" w:customStyle="1" w:styleId="627">
    <w:name w:val="正文文本 2 字符4"/>
    <w:qFormat/>
    <w:uiPriority w:val="0"/>
    <w:rPr>
      <w:rFonts w:eastAsia="宋体"/>
      <w:kern w:val="2"/>
      <w:sz w:val="21"/>
      <w:szCs w:val="24"/>
      <w:lang w:val="en-US" w:eastAsia="zh-CN" w:bidi="ar-SA"/>
    </w:rPr>
  </w:style>
  <w:style w:type="character" w:customStyle="1" w:styleId="628">
    <w:name w:val="HTML 预设格式 字符4"/>
    <w:qFormat/>
    <w:uiPriority w:val="0"/>
    <w:rPr>
      <w:rFonts w:ascii="黑体" w:hAnsi="Courier New" w:eastAsia="黑体" w:cs="Courier New"/>
      <w:lang w:val="en-US" w:eastAsia="zh-CN" w:bidi="ar-SA"/>
    </w:rPr>
  </w:style>
  <w:style w:type="character" w:customStyle="1" w:styleId="629">
    <w:name w:val="标题 字符4"/>
    <w:qFormat/>
    <w:uiPriority w:val="0"/>
    <w:rPr>
      <w:rFonts w:ascii="Arial" w:hAnsi="Arial" w:eastAsia="宋体"/>
      <w:b/>
      <w:bCs/>
      <w:kern w:val="2"/>
      <w:sz w:val="32"/>
      <w:szCs w:val="32"/>
      <w:lang w:bidi="ar-SA"/>
    </w:rPr>
  </w:style>
  <w:style w:type="character" w:customStyle="1" w:styleId="630">
    <w:name w:val="无间隔 字符5"/>
    <w:qFormat/>
    <w:uiPriority w:val="0"/>
    <w:rPr>
      <w:sz w:val="22"/>
      <w:szCs w:val="22"/>
      <w:lang w:val="en-US" w:eastAsia="zh-CN" w:bidi="ar-SA"/>
    </w:rPr>
  </w:style>
  <w:style w:type="character" w:customStyle="1" w:styleId="631">
    <w:name w:val="Char Char53"/>
    <w:qFormat/>
    <w:uiPriority w:val="0"/>
    <w:rPr>
      <w:rFonts w:eastAsia="宋体"/>
      <w:b/>
      <w:bCs/>
      <w:kern w:val="44"/>
      <w:sz w:val="44"/>
      <w:szCs w:val="44"/>
      <w:lang w:val="en-US" w:eastAsia="zh-CN" w:bidi="ar-SA"/>
    </w:rPr>
  </w:style>
  <w:style w:type="character" w:customStyle="1" w:styleId="632">
    <w:name w:val="Char Char52"/>
    <w:qFormat/>
    <w:uiPriority w:val="0"/>
    <w:rPr>
      <w:rFonts w:ascii="Arial" w:hAnsi="Arial" w:eastAsia="黑体"/>
      <w:b/>
      <w:bCs/>
      <w:sz w:val="32"/>
      <w:szCs w:val="32"/>
      <w:lang w:bidi="ar-SA"/>
    </w:rPr>
  </w:style>
  <w:style w:type="character" w:customStyle="1" w:styleId="633">
    <w:name w:val="Char Char51"/>
    <w:qFormat/>
    <w:uiPriority w:val="0"/>
    <w:rPr>
      <w:rFonts w:eastAsia="宋体"/>
      <w:b/>
      <w:bCs/>
      <w:sz w:val="32"/>
      <w:szCs w:val="32"/>
      <w:lang w:bidi="ar-SA"/>
    </w:rPr>
  </w:style>
  <w:style w:type="character" w:customStyle="1" w:styleId="634">
    <w:name w:val="无间隔 字符6"/>
    <w:qFormat/>
    <w:uiPriority w:val="0"/>
    <w:rPr>
      <w:sz w:val="22"/>
      <w:szCs w:val="22"/>
      <w:lang w:val="en-US" w:eastAsia="zh-CN" w:bidi="ar-SA"/>
    </w:rPr>
  </w:style>
  <w:style w:type="character" w:customStyle="1" w:styleId="635">
    <w:name w:val="普通文字 Char Char8"/>
    <w:qFormat/>
    <w:uiPriority w:val="0"/>
    <w:rPr>
      <w:rFonts w:ascii="宋体" w:hAnsi="Courier New" w:eastAsia="宋体" w:cs="Courier New"/>
      <w:kern w:val="2"/>
      <w:sz w:val="21"/>
      <w:szCs w:val="21"/>
      <w:lang w:val="en-US" w:eastAsia="zh-CN" w:bidi="ar-SA"/>
    </w:rPr>
  </w:style>
  <w:style w:type="character" w:customStyle="1" w:styleId="636">
    <w:name w:val="font81"/>
    <w:basedOn w:val="54"/>
    <w:qFormat/>
    <w:uiPriority w:val="0"/>
    <w:rPr>
      <w:rFonts w:ascii="微软雅黑" w:hAnsi="微软雅黑" w:eastAsia="微软雅黑" w:cs="微软雅黑"/>
      <w:color w:val="000000"/>
      <w:sz w:val="18"/>
      <w:szCs w:val="18"/>
      <w:u w:val="none"/>
    </w:rPr>
  </w:style>
  <w:style w:type="character" w:customStyle="1" w:styleId="637">
    <w:name w:val="Char Char57"/>
    <w:qFormat/>
    <w:uiPriority w:val="0"/>
    <w:rPr>
      <w:rFonts w:eastAsia="宋体"/>
      <w:b/>
      <w:bCs/>
      <w:kern w:val="44"/>
      <w:sz w:val="44"/>
      <w:szCs w:val="44"/>
      <w:lang w:val="en-US" w:eastAsia="zh-CN" w:bidi="ar-SA"/>
    </w:rPr>
  </w:style>
  <w:style w:type="character" w:customStyle="1" w:styleId="638">
    <w:name w:val="Char Char56"/>
    <w:qFormat/>
    <w:uiPriority w:val="0"/>
    <w:rPr>
      <w:rFonts w:ascii="Arial" w:hAnsi="Arial" w:eastAsia="黑体"/>
      <w:b/>
      <w:bCs/>
      <w:sz w:val="32"/>
      <w:szCs w:val="32"/>
      <w:lang w:bidi="ar-SA"/>
    </w:rPr>
  </w:style>
  <w:style w:type="character" w:customStyle="1" w:styleId="639">
    <w:name w:val="Char Char55"/>
    <w:qFormat/>
    <w:uiPriority w:val="0"/>
    <w:rPr>
      <w:rFonts w:eastAsia="宋体"/>
      <w:b/>
      <w:bCs/>
      <w:sz w:val="32"/>
      <w:szCs w:val="32"/>
      <w:lang w:bidi="ar-SA"/>
    </w:rPr>
  </w:style>
  <w:style w:type="character" w:customStyle="1" w:styleId="640">
    <w:name w:val="Char Char54"/>
    <w:qFormat/>
    <w:uiPriority w:val="0"/>
    <w:rPr>
      <w:rFonts w:ascii="Arial" w:hAnsi="Arial" w:eastAsia="黑体"/>
      <w:sz w:val="28"/>
      <w:lang w:bidi="ar-SA"/>
    </w:rPr>
  </w:style>
  <w:style w:type="character" w:customStyle="1" w:styleId="641">
    <w:name w:val="无间隔 字符7"/>
    <w:qFormat/>
    <w:uiPriority w:val="0"/>
    <w:rPr>
      <w:sz w:val="22"/>
      <w:szCs w:val="22"/>
      <w:lang w:val="en-US" w:eastAsia="zh-CN" w:bidi="ar-SA"/>
    </w:rPr>
  </w:style>
  <w:style w:type="paragraph" w:customStyle="1" w:styleId="642">
    <w:name w:val="_Style 637"/>
    <w:basedOn w:val="1"/>
    <w:next w:val="1"/>
    <w:qFormat/>
    <w:uiPriority w:val="0"/>
    <w:pPr>
      <w:tabs>
        <w:tab w:val="right" w:leader="dot" w:pos="9185"/>
      </w:tabs>
      <w:adjustRightInd w:val="0"/>
      <w:spacing w:line="312" w:lineRule="atLeast"/>
      <w:ind w:left="3360"/>
      <w:textAlignment w:val="baseline"/>
    </w:pPr>
    <w:rPr>
      <w:kern w:val="0"/>
      <w:szCs w:val="20"/>
    </w:rPr>
  </w:style>
  <w:style w:type="character" w:customStyle="1" w:styleId="643">
    <w:name w:val="Char Char61"/>
    <w:qFormat/>
    <w:uiPriority w:val="0"/>
    <w:rPr>
      <w:rFonts w:eastAsia="宋体"/>
      <w:b/>
      <w:bCs/>
      <w:kern w:val="44"/>
      <w:sz w:val="44"/>
      <w:szCs w:val="44"/>
      <w:lang w:val="en-US" w:eastAsia="zh-CN" w:bidi="ar-SA"/>
    </w:rPr>
  </w:style>
  <w:style w:type="character" w:customStyle="1" w:styleId="644">
    <w:name w:val="Char Char60"/>
    <w:qFormat/>
    <w:uiPriority w:val="0"/>
    <w:rPr>
      <w:rFonts w:ascii="Arial" w:hAnsi="Arial" w:eastAsia="黑体"/>
      <w:b/>
      <w:bCs/>
      <w:sz w:val="32"/>
      <w:szCs w:val="32"/>
      <w:lang w:bidi="ar-SA"/>
    </w:rPr>
  </w:style>
  <w:style w:type="character" w:customStyle="1" w:styleId="645">
    <w:name w:val="Char Char59"/>
    <w:qFormat/>
    <w:uiPriority w:val="0"/>
    <w:rPr>
      <w:rFonts w:eastAsia="宋体"/>
      <w:b/>
      <w:bCs/>
      <w:sz w:val="32"/>
      <w:szCs w:val="32"/>
      <w:lang w:bidi="ar-SA"/>
    </w:rPr>
  </w:style>
  <w:style w:type="character" w:customStyle="1" w:styleId="646">
    <w:name w:val="Char Char58"/>
    <w:qFormat/>
    <w:uiPriority w:val="0"/>
    <w:rPr>
      <w:rFonts w:ascii="Arial" w:hAnsi="Arial" w:eastAsia="黑体"/>
      <w:sz w:val="28"/>
      <w:lang w:bidi="ar-SA"/>
    </w:rPr>
  </w:style>
  <w:style w:type="character" w:customStyle="1" w:styleId="647">
    <w:name w:val="无间隔 字符8"/>
    <w:qFormat/>
    <w:uiPriority w:val="0"/>
    <w:rPr>
      <w:sz w:val="22"/>
      <w:szCs w:val="22"/>
      <w:lang w:val="en-US" w:eastAsia="zh-CN" w:bidi="ar-SA"/>
    </w:rPr>
  </w:style>
  <w:style w:type="character" w:customStyle="1" w:styleId="648">
    <w:name w:val="font121"/>
    <w:basedOn w:val="54"/>
    <w:qFormat/>
    <w:uiPriority w:val="0"/>
    <w:rPr>
      <w:rFonts w:hint="eastAsia" w:ascii="宋体" w:hAnsi="宋体" w:eastAsia="宋体" w:cs="宋体"/>
      <w:b/>
      <w:bCs/>
      <w:color w:val="000000"/>
      <w:sz w:val="12"/>
      <w:szCs w:val="12"/>
      <w:u w:val="none"/>
    </w:rPr>
  </w:style>
  <w:style w:type="paragraph" w:customStyle="1" w:styleId="649">
    <w:name w:val="Table Text"/>
    <w:basedOn w:val="1"/>
    <w:semiHidden/>
    <w:qFormat/>
    <w:uiPriority w:val="0"/>
    <w:rPr>
      <w:rFonts w:ascii="宋体" w:hAnsi="宋体" w:cs="宋体"/>
      <w:sz w:val="20"/>
      <w:szCs w:val="20"/>
    </w:rPr>
  </w:style>
  <w:style w:type="paragraph" w:customStyle="1" w:styleId="650">
    <w:name w:val="null3"/>
    <w:basedOn w:val="1"/>
    <w:unhideWhenUsed/>
    <w:qFormat/>
    <w:uiPriority w:val="99"/>
    <w:pPr>
      <w:widowControl/>
    </w:pPr>
    <w:rPr>
      <w:rFonts w:hint="eastAsia" w:ascii="Calibri" w:hAnsi="Calibri" w:cs="Calibri"/>
      <w:sz w:val="20"/>
      <w:szCs w:val="20"/>
    </w:rPr>
  </w:style>
  <w:style w:type="paragraph" w:customStyle="1" w:styleId="651">
    <w:name w:val="列表段落11"/>
    <w:basedOn w:val="1"/>
    <w:qFormat/>
    <w:uiPriority w:val="34"/>
    <w:pPr>
      <w:ind w:firstLine="420" w:firstLineChars="200"/>
    </w:pPr>
    <w:rPr>
      <w:rFonts w:ascii="Calibri" w:hAnsi="Calibri"/>
      <w:szCs w:val="22"/>
    </w:rPr>
  </w:style>
  <w:style w:type="paragraph" w:customStyle="1" w:styleId="652">
    <w:name w:val="正文格式"/>
    <w:qFormat/>
    <w:uiPriority w:val="0"/>
    <w:pPr>
      <w:adjustRightInd w:val="0"/>
      <w:snapToGrid w:val="0"/>
      <w:spacing w:after="160" w:line="400" w:lineRule="atLeast"/>
      <w:ind w:firstLine="482"/>
      <w:jc w:val="both"/>
      <w:textAlignment w:val="baseline"/>
    </w:pPr>
    <w:rPr>
      <w:rFonts w:ascii="Times New Roman" w:hAnsi="Times New Roman" w:eastAsia="宋体" w:cs="Times New Roman"/>
      <w:sz w:val="24"/>
      <w:szCs w:val="24"/>
      <w:lang w:val="en-US" w:eastAsia="zh-CN" w:bidi="ar-SA"/>
    </w:rPr>
  </w:style>
  <w:style w:type="paragraph" w:customStyle="1" w:styleId="653">
    <w:name w:val="修订2"/>
    <w:hidden/>
    <w:unhideWhenUsed/>
    <w:qFormat/>
    <w:uiPriority w:val="99"/>
    <w:pPr>
      <w:spacing w:after="160" w:line="278" w:lineRule="auto"/>
    </w:pPr>
    <w:rPr>
      <w:rFonts w:ascii="Times New Roman" w:hAnsi="Times New Roman" w:eastAsia="宋体" w:cs="Times New Roman"/>
      <w:kern w:val="2"/>
      <w:sz w:val="21"/>
      <w:szCs w:val="24"/>
      <w:lang w:val="en-US" w:eastAsia="zh-CN" w:bidi="ar-SA"/>
    </w:rPr>
  </w:style>
  <w:style w:type="paragraph" w:customStyle="1" w:styleId="654">
    <w:name w:val="修订3"/>
    <w:hidden/>
    <w:unhideWhenUsed/>
    <w:qFormat/>
    <w:uiPriority w:val="99"/>
    <w:pPr>
      <w:spacing w:after="160" w:line="278" w:lineRule="auto"/>
    </w:pPr>
    <w:rPr>
      <w:rFonts w:ascii="Times New Roman" w:hAnsi="Times New Roman" w:eastAsia="宋体" w:cs="Times New Roman"/>
      <w:kern w:val="2"/>
      <w:sz w:val="21"/>
      <w:szCs w:val="24"/>
      <w:lang w:val="en-US" w:eastAsia="zh-CN" w:bidi="ar-SA"/>
    </w:rPr>
  </w:style>
  <w:style w:type="paragraph" w:customStyle="1" w:styleId="655">
    <w:name w:val="修订4"/>
    <w:hidden/>
    <w:unhideWhenUsed/>
    <w:qFormat/>
    <w:uiPriority w:val="99"/>
    <w:pPr>
      <w:spacing w:after="160" w:line="278" w:lineRule="auto"/>
    </w:pPr>
    <w:rPr>
      <w:rFonts w:ascii="Times New Roman" w:hAnsi="Times New Roman" w:eastAsia="宋体" w:cs="Times New Roman"/>
      <w:kern w:val="2"/>
      <w:sz w:val="21"/>
      <w:szCs w:val="24"/>
      <w:lang w:val="en-US" w:eastAsia="zh-CN" w:bidi="ar-SA"/>
    </w:rPr>
  </w:style>
  <w:style w:type="paragraph" w:customStyle="1" w:styleId="656">
    <w:name w:val="修订5"/>
    <w:hidden/>
    <w:unhideWhenUsed/>
    <w:qFormat/>
    <w:uiPriority w:val="99"/>
    <w:pPr>
      <w:spacing w:after="0" w:line="240" w:lineRule="auto"/>
    </w:pPr>
    <w:rPr>
      <w:rFonts w:ascii="Times New Roman" w:hAnsi="Times New Roman" w:eastAsia="宋体" w:cs="Times New Roman"/>
      <w:kern w:val="2"/>
      <w:sz w:val="21"/>
      <w:szCs w:val="24"/>
      <w:lang w:val="en-US" w:eastAsia="zh-CN" w:bidi="ar-SA"/>
    </w:rPr>
  </w:style>
  <w:style w:type="paragraph" w:customStyle="1" w:styleId="657">
    <w:name w:val="修订6"/>
    <w:hidden/>
    <w:unhideWhenUsed/>
    <w:qFormat/>
    <w:uiPriority w:val="99"/>
    <w:pPr>
      <w:spacing w:after="0" w:line="240" w:lineRule="auto"/>
    </w:pPr>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184</Pages>
  <Words>20561</Words>
  <Characters>117198</Characters>
  <Lines>976</Lines>
  <Paragraphs>274</Paragraphs>
  <TotalTime>5</TotalTime>
  <ScaleCrop>false</ScaleCrop>
  <LinksUpToDate>false</LinksUpToDate>
  <CharactersWithSpaces>137485</CharactersWithSpaces>
  <Application>WPS Office_11.8.2.10624_F1E327BC-269C-435d-A152-05C5408002CA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2026-02-16T08:06:00Z</dcterms:created>
  <dc:creator>聂泉源</dc:creator>
  <cp:lastModifiedBy>gxxc</cp:lastModifiedBy>
  <cp:lastPrinted>2026-03-07T19:07:00Z</cp:lastPrinted>
  <dcterms:modified xsi:type="dcterms:W3CDTF">2026-09-02T16:03:51Z</dcterms:modified>
  <dc:title>3</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2052-11.8.2.10624</vt:lpwstr>
  </property>
  <property fmtid="{D5CDD505-2E9C-101B-9397-08002B2CF9AE}" pid="3" name="KSOTemplateDocerSaveRecord">
    <vt:lpwstr>eyJoZGlkIjoiYTYyYTVhZDYyNGJiODU1MTAyMDg5Y2QwNWYwMzdmNWIiLCJ1c2VySWQiOiIyODk4NDY3NjkifQ==</vt:lpwstr>
  </property>
  <property fmtid="{D5CDD505-2E9C-101B-9397-08002B2CF9AE}" pid="4" name="ICV">
    <vt:lpwstr>C9F8051BEB82426D95CBE81D1AC2783C_13</vt:lpwstr>
  </property>
</Properties>
</file>