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59850">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lang w:val="en-US" w:eastAsia="zh-CN" w:bidi="ar"/>
        </w:rPr>
        <w:t>广西壮族自治区政府采购中心关于广西医科大学武鸣校区教学设施采购项目（GXZC2026-G1-001717-CGZX ）的更正（澄清）公告</w:t>
      </w:r>
    </w:p>
    <w:p w14:paraId="624CE1E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30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来源：广西壮族自治区政府采购中心</w:t>
      </w:r>
    </w:p>
    <w:p w14:paraId="60CBA72C">
      <w:pPr>
        <w:keepNext w:val="0"/>
        <w:keepLines w:val="0"/>
        <w:widowControl/>
        <w:suppressLineNumbers w:val="0"/>
        <w:pBdr>
          <w:top w:val="none" w:color="auto" w:sz="0" w:space="0"/>
          <w:left w:val="none" w:color="auto" w:sz="0" w:space="0"/>
          <w:bottom w:val="dotted" w:color="999999" w:sz="6" w:space="7"/>
          <w:right w:val="none" w:color="auto" w:sz="0" w:space="0"/>
        </w:pBdr>
        <w:spacing w:before="150" w:beforeAutospacing="0" w:after="150" w:afterAutospacing="0"/>
        <w:ind w:left="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  </w:t>
      </w:r>
    </w:p>
    <w:p w14:paraId="484C98C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30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发布时间：2026-07-01</w:t>
      </w:r>
    </w:p>
    <w:p w14:paraId="19066C9A">
      <w:pPr>
        <w:keepNext w:val="0"/>
        <w:keepLines w:val="0"/>
        <w:widowControl/>
        <w:suppressLineNumbers w:val="0"/>
        <w:spacing w:before="150" w:beforeAutospacing="0" w:after="150" w:afterAutospacing="0"/>
        <w:jc w:val="left"/>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 </w:t>
      </w:r>
    </w:p>
    <w:p w14:paraId="2CA8F6F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30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浏览次数：107</w:t>
      </w:r>
    </w:p>
    <w:p w14:paraId="443C8F81">
      <w:pPr>
        <w:pStyle w:val="2"/>
        <w:keepNext w:val="0"/>
        <w:keepLines w:val="0"/>
        <w:widowControl/>
        <w:suppressLineNumbers w:val="0"/>
        <w:wordWrap w:val="0"/>
        <w:spacing w:before="255" w:beforeAutospacing="0" w:after="255" w:afterAutospacing="0" w:line="450" w:lineRule="atLeast"/>
        <w:ind w:left="0" w:right="0"/>
        <w:jc w:val="both"/>
        <w:rPr>
          <w:rFonts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一、项目基本情况</w:t>
      </w:r>
      <w:r>
        <w:rPr>
          <w:rFonts w:hint="eastAsia" w:ascii="微软雅黑" w:hAnsi="微软雅黑" w:eastAsia="微软雅黑" w:cs="微软雅黑"/>
          <w:i w:val="0"/>
          <w:iCs w:val="0"/>
          <w:caps w:val="0"/>
          <w:color w:val="000000"/>
          <w:spacing w:val="0"/>
          <w:sz w:val="27"/>
          <w:szCs w:val="27"/>
        </w:rPr>
        <w:t>                </w:t>
      </w:r>
    </w:p>
    <w:p w14:paraId="53FBF10D">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原公告的采购项目编号：GXZC2026-G1-001717-CGZX                    </w:t>
      </w:r>
    </w:p>
    <w:p w14:paraId="49A0E5FC">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原公告的采购项目名称：广西医科大学武鸣校区教学设施采购                    </w:t>
      </w:r>
    </w:p>
    <w:p w14:paraId="449AED41">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首次公告日期：2026年06月16日                    </w:t>
      </w:r>
    </w:p>
    <w:p w14:paraId="3BAB511E">
      <w:pPr>
        <w:pStyle w:val="2"/>
        <w:keepNext w:val="0"/>
        <w:keepLines w:val="0"/>
        <w:widowControl/>
        <w:suppressLineNumbers w:val="0"/>
        <w:wordWrap w:val="0"/>
        <w:spacing w:before="255" w:beforeAutospacing="0" w:after="255" w:afterAutospacing="0" w:line="450" w:lineRule="atLeast"/>
        <w:ind w:left="0" w:right="0"/>
        <w:jc w:val="both"/>
        <w:rPr>
          <w:rFonts w:hint="eastAsia"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二、更正信息</w:t>
      </w:r>
      <w:r>
        <w:rPr>
          <w:rFonts w:hint="eastAsia" w:ascii="微软雅黑" w:hAnsi="微软雅黑" w:eastAsia="微软雅黑" w:cs="微软雅黑"/>
          <w:i w:val="0"/>
          <w:iCs w:val="0"/>
          <w:caps w:val="0"/>
          <w:color w:val="000000"/>
          <w:spacing w:val="0"/>
          <w:sz w:val="27"/>
          <w:szCs w:val="27"/>
        </w:rPr>
        <w:t>                </w:t>
      </w:r>
    </w:p>
    <w:p w14:paraId="735DB446">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更正事项：更正采购文件                    </w:t>
      </w:r>
    </w:p>
    <w:p w14:paraId="4C44BEB6">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更正内容：                    </w:t>
      </w:r>
    </w:p>
    <w:p w14:paraId="3C4AE1BB">
      <w:pPr>
        <w:pStyle w:val="2"/>
        <w:keepNext w:val="0"/>
        <w:keepLines w:val="0"/>
        <w:widowControl/>
        <w:suppressLineNumbers w:val="0"/>
        <w:wordWrap w:val="0"/>
        <w:spacing w:before="75" w:beforeAutospacing="0" w:after="75" w:afterAutospacing="0" w:line="300" w:lineRule="atLeast"/>
        <w:ind w:left="0" w:right="0" w:firstLine="420"/>
      </w:pPr>
      <w:r>
        <w:rPr>
          <w:rStyle w:val="6"/>
          <w:rFonts w:hint="eastAsia" w:ascii="微软雅黑" w:hAnsi="微软雅黑" w:eastAsia="微软雅黑" w:cs="微软雅黑"/>
          <w:i w:val="0"/>
          <w:iCs w:val="0"/>
          <w:caps w:val="0"/>
          <w:color w:val="000000"/>
          <w:spacing w:val="0"/>
          <w:sz w:val="27"/>
          <w:szCs w:val="27"/>
        </w:rPr>
        <w:t>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151"/>
        <w:gridCol w:w="2151"/>
        <w:gridCol w:w="2152"/>
        <w:gridCol w:w="2152"/>
      </w:tblGrid>
      <w:tr w14:paraId="12A3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C25F373">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序号</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5C0100A">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7AF062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更正前内容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BC3C215">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更正后内容</w:t>
            </w:r>
          </w:p>
        </w:tc>
      </w:tr>
      <w:tr w14:paraId="11756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E3259D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5B2ACE2">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本项目第二章招标项目采购需求分标3项号10“长条桌椅子”中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DAFFF7B">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★1.一体成型塑料胶板，全新PP料，符合环保要求（符合GB 28481-2012&lt;塑料家具中有害物质限量&gt;有证书）。厚度8mm(椅身），胶背净重2.6KG。背宽410mm，对背部支持作用更好，包裹性更强，符合人体工学概念；结构稳定，可承重130KG，胶背34KG12万次循环推背测试，有BIFMA测试证书；（常规6色可选、可接受定制）。</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8EDE40B">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一体成型塑料胶板，全新PP料，符合环保GB18584-2024《家具中有害物质限量》，厚度8mm(椅身)，胶背净重2.6KG。背宽410mm，对背部支持作用更好，包裹性更强，符合人体工学概念;结构稳定，可承重130KG，椅背采用胶背结构，承重≥34KG，经过≥12万次循环推背疲劳往复测试，结构稳固，经久耐用。(常规6色可选、可接受定制)。</w:t>
            </w:r>
          </w:p>
        </w:tc>
      </w:tr>
      <w:tr w14:paraId="26A4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DAD063B">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2</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A0360F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本项目第二章招标项目采购需求分标3项号24“边台1”中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80E793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2.台面：（3）环保检测：甲醛释放量按照GB/T 39600-2021《人造板及其制品甲醛释放量分级》标准检测，满足技术E0级，检验结果为≤0.005mg/m3。</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（9）重金属检测要求：检测参照 GB 18584-2001《室内装饰装修材料木家具中有害物质限量》标准，满足 4 种重金属含量 mg/kg（可溶性铅≤0.3；镉：未检出；铬≤0.7；汞：未检出）</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A5A617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2.台面：（3）环保检测：甲醛释放量按照GB/T 39600-2021《人造板及其制品甲醛释放量分级》标准检测，满足技术E0级，检验结果为≤0.05mg/m3。</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（9）重金属检测要求：检测参照 GB 18584-2024《家具中有害物质限量》标准，满足 4 种重金属含量 mg/kg（可溶性铅≤90 mg/kg；镉≤75 mg/kg；铬≤60 mg/kg；汞≤60 mg/kg）</w:t>
            </w:r>
          </w:p>
        </w:tc>
      </w:tr>
      <w:tr w14:paraId="153A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A9DFA68">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3</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C3D50E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本项目第二章招标项目采购需求分标3项号25“边台2”、项号26“边台3”、项号27“中央台”、项号28“操作台”中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4352DEC">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1.台面：（9）重金属检测要求：检测参照 GB 18584-2001《室内装饰装修材料木家具中有害物质限量》标准，满足 4 种重金属含量 mg/kg（可溶性铅≤0.3；镉：未检出；铬≤0.7；汞：未检出）</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8F7AF03">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1.台面：（9）重金属检测要求：检测参照 GB 18584-2024《家具中有害物质限量室内装饰装修材料木家具中有害物质限量》标准，满足 4 种重金属含量 mg/kg（可溶性铅≤90mg/kg；镉≤75 mg/kg：铬≤60 mg/kg；汞≤60 mg/kg）</w:t>
            </w:r>
          </w:p>
        </w:tc>
      </w:tr>
      <w:tr w14:paraId="4646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D935B97">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4</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A82EF0C">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本项目第二章招标项目采购需求分标3项号29“凳子”中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4712BF4">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★1.凳面直径：29cm， 高：30mm，实际厚度：1.5mm；净重：1.8kg/个。可升至最高680mm；可降至最低480mm。凳面底部增加4片3mm厚不锈钢加强筋使其更加牢固耐用。整只净重：3.7kg/只。</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AEA6CB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★1.凳面直径：约29cm， 高：约30mm，实际厚度：约1.5mm；净重：≥1.8kg/个。可升至最高680mm；可降至最低480mm。凳面底部增加4片3mm厚不锈钢加强筋使其更加牢固耐用。整只净重≥3.7kg/只。凳面材质为不锈钢。</w:t>
            </w:r>
          </w:p>
        </w:tc>
      </w:tr>
      <w:tr w14:paraId="42380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B626ADA">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5</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E5B5932">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本项目第二章招标项目采购需求分标3项号31“水槽、三联水嘴、滴水架1”中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CAD8D3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▲4.水嘴：属《节能产品政府采购清单》中强制采购节能产品范围，必须提供节能产品，并提供清单证明材料。（如：所投产品列入的《节能产品政府采购清单》截图）。</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F246505">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▲4.水嘴：属《节能产品政府采购清单》中强制采购节能产品范围，必须提供节能产品，并提供证明材料。</w:t>
            </w:r>
          </w:p>
        </w:tc>
      </w:tr>
      <w:tr w14:paraId="20150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9764A1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6</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77C95E7">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本项目第二章招标项目采购需求分标3项号32“水槽、三联水嘴、滴水架2”中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7550DD7">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▲4.水嘴：属《节能产品政府采购清单》中强制采购节能产品范围，必须提供节能产品，并提供清单证明材料。（如：所投产品列入的《节能产品政府采购清单》截图）。</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供货时，提供水槽提供以下参数检测报告。▲（3）耐老化测试：通过氙弧灯老化测试（依据GB/T 16422.2-2022和GB/T 250-2008，测试条件：3000小时，黑标温度65℃，辐照度0.51W/m2?nm），色牢度等级达4级，符合相关技术要求。</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C76974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▲4.水嘴：属《节能产品政府采购清单》中强制采购节能产品范围，必须提供节能产品，并提供证明材料。</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供货时，提供水槽提供以下参数检测报告中：（3）耐老化测试要求：通过氙弧灯老化测试（依据GB/T 16422.2-2022和GB/T 250-2008，测试条件：1000小时，黑标温度65℃，辐照度0.51W/m²·nm），色牢度等级达4级，符合相关技术要求。</w:t>
            </w:r>
          </w:p>
        </w:tc>
      </w:tr>
      <w:tr w14:paraId="4D187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409CF1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7</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4F8BED3">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本项目第二章招标项目采购需求分标3项号33“全钢通风柜（含配件）”中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170D9E4">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12.水龙头：铜质，开关活门为精密瓷阀铸造。▲水嘴属《节能产品政府采购清单》中强制采购节能产品范围，必须提供节能产品，并提供清单证明材料。（如：所投产品列入的《节能产品政府采购清单》截图）。</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4707F88">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12.水龙头：铜质，开关活门为精密瓷阀铸造。▲水嘴属《节能产品政府采购清单》中强制采购节能产品范围，必须提供节能产品，并提供证明材料。</w:t>
            </w:r>
          </w:p>
        </w:tc>
      </w:tr>
      <w:tr w14:paraId="01AF6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B168C9C">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8</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09F2F72">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本项目第二章招标项目采购需求分标3项号7“学生桌子”、项号9“长条双人桌”中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2D31CF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1.材质：钢木结合，桌面为厚度25mm三聚氰胺环保板材（颜色可选）基材环保板材含浸渍胶膜纸饰面刨花板、符合GB 18580-2017《室内装饰装修材料 人造板及其制品中甲醛释放限量》……。</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6FCF617">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1.材质：钢木结合，桌面为厚度25mm三聚氰胺环保板材（颜色可选）基材环保板材含浸渍胶膜纸饰面刨花板、符合GB 18580-2025《室内装饰装修材料 人造板及其制品中甲醛释放限量》……。</w:t>
            </w:r>
          </w:p>
        </w:tc>
      </w:tr>
      <w:tr w14:paraId="57A2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B05CD2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9</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21228FA">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本项目第二章招标项目采购需求分标3项号34“高隔断”中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7106AC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1.屏风执行标准：GB/2279.2-2008 《办公家具屏风：安全要求》 GB/2279.3-2008 《办公屏风：试验方法》 GB 18584-2001 《室内装饰装修材料木家具中有害物质限量》的国家标准。</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01AFB5C">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1.屏风执行标准：GB/2279.2-2008 《办公家具屏风：安全要求》 GB/2279.3-2008 《办公屏风：试验方法》、GB 18584-2024《家具中有害物质限量》的国家标准</w:t>
            </w:r>
          </w:p>
        </w:tc>
      </w:tr>
      <w:tr w14:paraId="22B2C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7ADF09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10</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00DB18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本项目第四章评标方法及评分标准分标1、分标2“技术分”中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7C6A81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（1）货物性能分（15分）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投标产品的设备技术参数及性能配置每有一项标“★”的技术参数满足招标文件要求的，得1分，满分15分。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注：①投标人技术参数及功能有正偏离的，须在技术偏离表中列明，且在投标文件中提供采购需求中要求的佐证证明材料（如：提供参数功能截图或提供具有检测资质的第三方检测机构出具的检测报告复印件等）并加盖投标人公章，否则评标委员会不予评定为正偏离。②如技术偏离表中的投标响应与佐证材料不一致的，以佐证材料为准。】</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7E219CA">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（1）货物性能分（15分）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投标产品的设备技术参数及性能配置每有一项标“★”的技术参数满足招标文件要求的，得1分，满分15分。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注：①须在技术偏离表中列明，且在投标文件中提供采购需求中要求的佐证证明材料（如：提供参数功能截图或提供具有检测资质的第三方检测机构出具的检测报告复印件等）并加盖投标人公章，否则评标委员会不予评定。②如技术偏离表中的投标响应与佐证材料不一致的，以佐证材料为准。】</w:t>
            </w:r>
          </w:p>
        </w:tc>
      </w:tr>
      <w:tr w14:paraId="0FF3D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43E5998">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11</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0520FC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本项目第四章评标方法及评分标准分标3“技术分”中</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7C0286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（1）货物性能分（6分）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投标人投标产品的设备技术参数及性能配置每有一项标“★”的技术参数正偏离的，得1分，满分6分。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注：①投标人技术参数及功能有正偏离的，须在技术偏离表中列明，且在投标文件中提供证明材料（提供具有检测资质的第三方检测机构出具的检测报告复印件）并加盖投标人公章，否则评标委员会不予评定为正偏离。②如技术偏离表中的投标响应与佐证材料不一致的，以佐证材料为准。】</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E73F26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（1）货物性能分（6分）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投标人投标产品的设备技术参数及性能配置每有一项标“★”的技术参数完全满足或优于采购需求的，得1分，满分6分。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注：①须在技术偏离表中列明，且在投标文件中提供证明材料并加盖投标人公章（佐证材料可以是由国家认可的第三方检测机构出具的检测报告或厂家官网截图或产品说明书），否则评标委员会不予评定；②如技术偏离表中的投标响应与佐证材料不一致的，以佐证材料为准。】</w:t>
            </w:r>
          </w:p>
        </w:tc>
      </w:tr>
    </w:tbl>
    <w:p w14:paraId="073446E5">
      <w:pPr>
        <w:keepNext w:val="0"/>
        <w:keepLines w:val="0"/>
        <w:widowControl/>
        <w:suppressLineNumbers w:val="0"/>
        <w:spacing w:line="300" w:lineRule="atLeast"/>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w:t>
      </w:r>
    </w:p>
    <w:p w14:paraId="3ACD7ED8">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更正日期：</w:t>
      </w:r>
      <w:r>
        <w:rPr>
          <w:rFonts w:hint="eastAsia" w:ascii="微软雅黑" w:hAnsi="微软雅黑" w:eastAsia="微软雅黑" w:cs="微软雅黑"/>
          <w:i w:val="0"/>
          <w:iCs w:val="0"/>
          <w:caps w:val="0"/>
          <w:color w:val="000000"/>
          <w:spacing w:val="0"/>
          <w:sz w:val="27"/>
          <w:szCs w:val="27"/>
          <w:u w:val="none"/>
        </w:rPr>
        <w:t>2026年07月01日</w:t>
      </w:r>
      <w:r>
        <w:rPr>
          <w:rFonts w:hint="eastAsia" w:ascii="微软雅黑" w:hAnsi="微软雅黑" w:eastAsia="微软雅黑" w:cs="微软雅黑"/>
          <w:i w:val="0"/>
          <w:iCs w:val="0"/>
          <w:caps w:val="0"/>
          <w:color w:val="000000"/>
          <w:spacing w:val="0"/>
          <w:sz w:val="27"/>
          <w:szCs w:val="27"/>
        </w:rPr>
        <w:t>　　　                    </w:t>
      </w:r>
    </w:p>
    <w:p w14:paraId="5A014C80">
      <w:pPr>
        <w:pStyle w:val="2"/>
        <w:keepNext w:val="0"/>
        <w:keepLines w:val="0"/>
        <w:widowControl/>
        <w:suppressLineNumbers w:val="0"/>
        <w:wordWrap w:val="0"/>
        <w:spacing w:before="255" w:beforeAutospacing="0" w:after="255" w:afterAutospacing="0" w:line="450" w:lineRule="atLeast"/>
        <w:ind w:left="0" w:right="0"/>
        <w:jc w:val="both"/>
        <w:rPr>
          <w:rFonts w:hint="eastAsia"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三、其他补充事宜</w:t>
      </w:r>
      <w:r>
        <w:rPr>
          <w:rFonts w:hint="eastAsia" w:ascii="微软雅黑" w:hAnsi="微软雅黑" w:eastAsia="微软雅黑" w:cs="微软雅黑"/>
          <w:i w:val="0"/>
          <w:iCs w:val="0"/>
          <w:caps w:val="0"/>
          <w:color w:val="000000"/>
          <w:spacing w:val="0"/>
          <w:sz w:val="27"/>
          <w:szCs w:val="27"/>
        </w:rPr>
        <w:t>                </w:t>
      </w:r>
    </w:p>
    <w:p w14:paraId="5E13514F">
      <w:pPr>
        <w:pStyle w:val="2"/>
        <w:keepNext w:val="0"/>
        <w:keepLines w:val="0"/>
        <w:widowControl/>
        <w:suppressLineNumbers w:val="0"/>
        <w:wordWrap w:val="0"/>
        <w:spacing w:before="75" w:beforeAutospacing="0" w:after="75" w:afterAutospacing="0"/>
        <w:ind w:left="0" w:right="0" w:firstLine="420"/>
      </w:pPr>
      <w:r>
        <w:rPr>
          <w:rStyle w:val="6"/>
          <w:rFonts w:hint="eastAsia" w:ascii="微软雅黑" w:hAnsi="微软雅黑" w:eastAsia="微软雅黑" w:cs="微软雅黑"/>
          <w:i w:val="0"/>
          <w:iCs w:val="0"/>
          <w:caps w:val="0"/>
          <w:color w:val="000000"/>
          <w:spacing w:val="0"/>
          <w:sz w:val="27"/>
          <w:szCs w:val="27"/>
        </w:rPr>
        <w:t>无</w:t>
      </w:r>
      <w:r>
        <w:rPr>
          <w:rFonts w:hint="eastAsia" w:ascii="微软雅黑" w:hAnsi="微软雅黑" w:eastAsia="微软雅黑" w:cs="微软雅黑"/>
          <w:i w:val="0"/>
          <w:iCs w:val="0"/>
          <w:caps w:val="0"/>
          <w:color w:val="000000"/>
          <w:spacing w:val="0"/>
          <w:sz w:val="27"/>
          <w:szCs w:val="27"/>
        </w:rPr>
        <w:t>                </w:t>
      </w:r>
    </w:p>
    <w:p w14:paraId="7ED97EF7">
      <w:pPr>
        <w:pStyle w:val="2"/>
        <w:keepNext w:val="0"/>
        <w:keepLines w:val="0"/>
        <w:widowControl/>
        <w:suppressLineNumbers w:val="0"/>
        <w:wordWrap w:val="0"/>
        <w:spacing w:before="255" w:beforeAutospacing="0" w:after="255" w:afterAutospacing="0" w:line="480" w:lineRule="atLeast"/>
        <w:ind w:left="0" w:right="0"/>
        <w:jc w:val="both"/>
        <w:rPr>
          <w:rFonts w:hint="eastAsia"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四、对本次公告提出询问，请按以下方式联系。</w:t>
      </w:r>
      <w:r>
        <w:rPr>
          <w:rFonts w:hint="eastAsia" w:ascii="微软雅黑" w:hAnsi="微软雅黑" w:eastAsia="微软雅黑" w:cs="微软雅黑"/>
          <w:i w:val="0"/>
          <w:iCs w:val="0"/>
          <w:caps w:val="0"/>
          <w:color w:val="000000"/>
          <w:spacing w:val="0"/>
          <w:sz w:val="24"/>
          <w:szCs w:val="24"/>
        </w:rPr>
        <w:t>　　　</w:t>
      </w:r>
      <w:r>
        <w:rPr>
          <w:rFonts w:hint="eastAsia" w:ascii="微软雅黑" w:hAnsi="微软雅黑" w:eastAsia="微软雅黑" w:cs="微软雅黑"/>
          <w:i w:val="0"/>
          <w:iCs w:val="0"/>
          <w:caps w:val="0"/>
          <w:color w:val="000000"/>
          <w:spacing w:val="0"/>
          <w:sz w:val="27"/>
          <w:szCs w:val="27"/>
        </w:rPr>
        <w:t>            </w:t>
      </w:r>
    </w:p>
    <w:p w14:paraId="5648B913">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1.采购人信息                        </w:t>
      </w:r>
    </w:p>
    <w:p w14:paraId="766B953C">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名    称：广西医科大学                        </w:t>
      </w:r>
    </w:p>
    <w:p w14:paraId="3399BE52">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地    址：广西南宁市双拥路22号广西医科大学综合楼1320                        </w:t>
      </w:r>
    </w:p>
    <w:p w14:paraId="41E68FD6">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联系方式：0771-5358884                         </w:t>
      </w:r>
    </w:p>
    <w:p w14:paraId="63A9B0DD">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                       </w:t>
      </w:r>
    </w:p>
    <w:p w14:paraId="45384943">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2.采购代理机构信息 </w:t>
      </w:r>
    </w:p>
    <w:p w14:paraId="740C5E62">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名    称：广西壮族自治区政府采购中心                        </w:t>
      </w:r>
    </w:p>
    <w:p w14:paraId="006EEEA7">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地    址：广西南宁市青秀区星湖路22号                        </w:t>
      </w:r>
    </w:p>
    <w:p w14:paraId="3F9E875A">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联系方式：0771-8600343</w:t>
      </w:r>
    </w:p>
    <w:p w14:paraId="5C88DAE9">
      <w:pPr>
        <w:pStyle w:val="2"/>
        <w:keepNext w:val="0"/>
        <w:keepLines w:val="0"/>
        <w:widowControl/>
        <w:suppressLineNumbers w:val="0"/>
        <w:wordWrap w:val="0"/>
        <w:spacing w:before="75" w:beforeAutospacing="0" w:after="75" w:afterAutospacing="0" w:line="300" w:lineRule="atLeast"/>
        <w:ind w:left="0" w:right="0" w:firstLine="420"/>
      </w:pPr>
    </w:p>
    <w:p w14:paraId="7CBEBE9D">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3.项目联系方式                        </w:t>
      </w:r>
    </w:p>
    <w:p w14:paraId="4F807DBC">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项目联系人：</w:t>
      </w:r>
      <w:r>
        <w:rPr>
          <w:rStyle w:val="6"/>
          <w:rFonts w:hint="eastAsia" w:ascii="微软雅黑" w:hAnsi="微软雅黑" w:eastAsia="微软雅黑" w:cs="微软雅黑"/>
          <w:i w:val="0"/>
          <w:iCs w:val="0"/>
          <w:caps w:val="0"/>
          <w:color w:val="000000"/>
          <w:spacing w:val="0"/>
          <w:sz w:val="27"/>
          <w:szCs w:val="27"/>
        </w:rPr>
        <w:t>张国铨</w:t>
      </w:r>
      <w:r>
        <w:rPr>
          <w:rFonts w:hint="eastAsia" w:ascii="微软雅黑" w:hAnsi="微软雅黑" w:eastAsia="微软雅黑" w:cs="微软雅黑"/>
          <w:i w:val="0"/>
          <w:iCs w:val="0"/>
          <w:caps w:val="0"/>
          <w:color w:val="000000"/>
          <w:spacing w:val="0"/>
          <w:sz w:val="27"/>
          <w:szCs w:val="27"/>
        </w:rPr>
        <w:t>  </w:t>
      </w:r>
    </w:p>
    <w:p w14:paraId="2890FF6C">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电      话：</w:t>
      </w:r>
      <w:r>
        <w:rPr>
          <w:rStyle w:val="6"/>
          <w:rFonts w:hint="eastAsia" w:ascii="微软雅黑" w:hAnsi="微软雅黑" w:eastAsia="微软雅黑" w:cs="微软雅黑"/>
          <w:i w:val="0"/>
          <w:iCs w:val="0"/>
          <w:caps w:val="0"/>
          <w:color w:val="000000"/>
          <w:spacing w:val="0"/>
          <w:sz w:val="27"/>
          <w:szCs w:val="27"/>
        </w:rPr>
        <w:t>0771-8600343</w:t>
      </w:r>
    </w:p>
    <w:p w14:paraId="54D2C6A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D63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2026-07-15T06:57:19Z</dcterms:created>
  <dc:creator>XMP</dc:creator>
  <cp:lastModifiedBy>chen '</cp:lastModifiedBy>
  <dcterms:modified xsi:type="dcterms:W3CDTF">2026-07-15T06:57:25Z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eyJoZGlkIjoiMjRmMjc2YjgyODExOWY4NjNkYjAyYzJmNmZlYzU0NGYiLCJ1c2VySWQiOiIyNzcyNTgxOTIifQ==</vt:lpwstr>
  </property>
  <property fmtid="{D5CDD505-2E9C-101B-9397-08002B2CF9AE}" pid="4" name="ICV">
    <vt:lpwstr>B2F8FE919CCD4408A44BB07F92EA24E1_12</vt:lpwstr>
  </property>
</Properties>
</file>