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FB85B">
      <w:pPr>
        <w:spacing w:beforeLines="50" w:line="360" w:lineRule="auto"/>
        <w:jc w:val="center"/>
        <w:rPr>
          <w:rFonts w:ascii="宋体" w:hAnsi="宋体"/>
          <w:color w:val="auto"/>
          <w:sz w:val="52"/>
          <w:szCs w:val="52"/>
        </w:rPr>
      </w:pPr>
      <w:bookmarkStart w:id="256" w:name="_GoBack"/>
      <w:bookmarkEnd w:id="256"/>
    </w:p>
    <w:p w14:paraId="15A9A2A8">
      <w:pPr>
        <w:spacing w:beforeLines="50" w:line="360" w:lineRule="auto"/>
        <w:jc w:val="center"/>
        <w:rPr>
          <w:rFonts w:ascii="仿宋_GB2312" w:hAnsi="宋体" w:eastAsia="仿宋_GB2312"/>
          <w:b/>
          <w:color w:val="auto"/>
          <w:sz w:val="48"/>
          <w:szCs w:val="48"/>
        </w:rPr>
      </w:pPr>
    </w:p>
    <w:p w14:paraId="623E171C">
      <w:pPr>
        <w:spacing w:beforeLines="50" w:line="360" w:lineRule="auto"/>
        <w:jc w:val="center"/>
        <w:rPr>
          <w:rFonts w:ascii="仿宋_GB2312" w:hAnsi="宋体" w:eastAsia="仿宋_GB2312"/>
          <w:b/>
          <w:color w:val="auto"/>
          <w:sz w:val="48"/>
          <w:szCs w:val="48"/>
        </w:rPr>
      </w:pPr>
    </w:p>
    <w:p w14:paraId="3FA9FAF2">
      <w:pPr>
        <w:snapToGrid w:val="0"/>
        <w:spacing w:beforeLines="50" w:line="360" w:lineRule="auto"/>
        <w:jc w:val="center"/>
        <w:rPr>
          <w:rFonts w:ascii="华文新魏" w:hAnsi="宋体" w:eastAsia="华文新魏"/>
          <w:color w:val="auto"/>
          <w:sz w:val="72"/>
          <w:szCs w:val="72"/>
        </w:rPr>
      </w:pPr>
      <w:r>
        <w:rPr>
          <w:rFonts w:hint="eastAsia" w:ascii="华文新魏" w:hAnsi="宋体" w:eastAsia="华文新魏"/>
          <w:color w:val="auto"/>
          <w:sz w:val="72"/>
          <w:szCs w:val="72"/>
        </w:rPr>
        <w:t>招 标 文 件</w:t>
      </w:r>
    </w:p>
    <w:p w14:paraId="2F9F507D">
      <w:pPr>
        <w:snapToGrid w:val="0"/>
        <w:spacing w:beforeLines="50" w:line="360" w:lineRule="auto"/>
        <w:jc w:val="center"/>
        <w:rPr>
          <w:rFonts w:ascii="仿宋_GB2312" w:hAnsi="宋体" w:eastAsia="仿宋_GB2312"/>
          <w:color w:val="auto"/>
          <w:sz w:val="30"/>
          <w:szCs w:val="72"/>
        </w:rPr>
      </w:pPr>
      <w:r>
        <w:rPr>
          <w:rFonts w:hint="eastAsia" w:ascii="仿宋_GB2312" w:hAnsi="宋体" w:eastAsia="仿宋_GB2312"/>
          <w:color w:val="auto"/>
          <w:sz w:val="30"/>
          <w:szCs w:val="72"/>
        </w:rPr>
        <w:t>（全流程电子化评标）</w:t>
      </w:r>
    </w:p>
    <w:p w14:paraId="1B377261">
      <w:pPr>
        <w:snapToGrid w:val="0"/>
        <w:spacing w:beforeLines="50" w:line="360" w:lineRule="auto"/>
        <w:rPr>
          <w:rFonts w:ascii="仿宋_GB2312" w:hAnsi="宋体" w:eastAsia="仿宋_GB2312"/>
          <w:color w:val="auto"/>
          <w:sz w:val="30"/>
          <w:szCs w:val="72"/>
        </w:rPr>
      </w:pPr>
    </w:p>
    <w:p w14:paraId="55520DA8">
      <w:pPr>
        <w:pStyle w:val="14"/>
        <w:snapToGrid w:val="0"/>
        <w:spacing w:line="360" w:lineRule="auto"/>
        <w:ind w:firstLine="1506" w:firstLineChars="500"/>
        <w:rPr>
          <w:rFonts w:ascii="仿宋" w:hAnsi="仿宋" w:eastAsia="仿宋" w:cs="仿宋"/>
          <w:b/>
          <w:bCs/>
          <w:color w:val="auto"/>
          <w:sz w:val="30"/>
          <w:szCs w:val="30"/>
        </w:rPr>
      </w:pPr>
    </w:p>
    <w:p w14:paraId="577EC999">
      <w:pPr>
        <w:pStyle w:val="14"/>
        <w:snapToGrid w:val="0"/>
        <w:spacing w:line="360" w:lineRule="auto"/>
        <w:ind w:firstLine="1506" w:firstLineChars="500"/>
        <w:rPr>
          <w:rFonts w:ascii="仿宋" w:hAnsi="仿宋" w:eastAsia="仿宋" w:cs="仿宋"/>
          <w:b/>
          <w:bCs/>
          <w:color w:val="auto"/>
          <w:sz w:val="30"/>
          <w:szCs w:val="30"/>
        </w:rPr>
      </w:pPr>
    </w:p>
    <w:p w14:paraId="388A6BC5">
      <w:pPr>
        <w:pStyle w:val="14"/>
        <w:snapToGrid w:val="0"/>
        <w:spacing w:line="360" w:lineRule="auto"/>
        <w:ind w:firstLine="1506" w:firstLineChars="500"/>
        <w:rPr>
          <w:rFonts w:ascii="仿宋" w:hAnsi="仿宋" w:eastAsia="仿宋" w:cs="仿宋"/>
          <w:b/>
          <w:bCs/>
          <w:color w:val="auto"/>
          <w:sz w:val="30"/>
          <w:szCs w:val="30"/>
        </w:rPr>
      </w:pPr>
    </w:p>
    <w:p w14:paraId="770F2069">
      <w:pPr>
        <w:pStyle w:val="14"/>
        <w:tabs>
          <w:tab w:val="left" w:pos="8820"/>
        </w:tabs>
        <w:snapToGrid w:val="0"/>
        <w:spacing w:line="360" w:lineRule="auto"/>
        <w:ind w:left="0" w:leftChars="0" w:right="1632" w:rightChars="777" w:firstLine="1506" w:firstLineChars="500"/>
        <w:jc w:val="left"/>
        <w:rPr>
          <w:rFonts w:hint="eastAsia" w:ascii="仿宋" w:hAnsi="仿宋" w:eastAsia="仿宋" w:cs="仿宋"/>
          <w:b/>
          <w:bCs/>
          <w:color w:val="auto"/>
          <w:sz w:val="30"/>
          <w:szCs w:val="30"/>
          <w:lang w:eastAsia="zh-CN"/>
        </w:rPr>
      </w:pPr>
      <w:r>
        <w:rPr>
          <w:rFonts w:hint="eastAsia" w:ascii="仿宋" w:hAnsi="仿宋" w:eastAsia="仿宋" w:cs="仿宋"/>
          <w:b/>
          <w:bCs/>
          <w:color w:val="auto"/>
          <w:sz w:val="30"/>
          <w:szCs w:val="30"/>
        </w:rPr>
        <w:t>项目名称：</w:t>
      </w:r>
      <w:r>
        <w:rPr>
          <w:rFonts w:hint="eastAsia" w:ascii="仿宋" w:hAnsi="仿宋" w:eastAsia="仿宋" w:cs="仿宋"/>
          <w:b/>
          <w:bCs/>
          <w:color w:val="auto"/>
          <w:sz w:val="30"/>
          <w:szCs w:val="30"/>
          <w:lang w:eastAsia="zh-CN"/>
        </w:rPr>
        <w:t>256排CT维保服务</w:t>
      </w:r>
    </w:p>
    <w:p w14:paraId="257F750A">
      <w:pPr>
        <w:pStyle w:val="14"/>
        <w:snapToGrid w:val="0"/>
        <w:spacing w:line="360" w:lineRule="auto"/>
        <w:ind w:firstLine="1506" w:firstLineChars="500"/>
        <w:jc w:val="left"/>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rPr>
        <w:t>项目编号：</w:t>
      </w:r>
      <w:r>
        <w:rPr>
          <w:rFonts w:hint="eastAsia" w:ascii="仿宋" w:hAnsi="仿宋" w:eastAsia="仿宋" w:cs="仿宋"/>
          <w:b/>
          <w:bCs/>
          <w:color w:val="auto"/>
          <w:sz w:val="30"/>
          <w:szCs w:val="30"/>
          <w:highlight w:val="none"/>
          <w:lang w:eastAsia="zh-CN"/>
        </w:rPr>
        <w:t>GXZC2026-G3-003512-JYZX</w:t>
      </w:r>
    </w:p>
    <w:p w14:paraId="456DCA3D">
      <w:pPr>
        <w:pStyle w:val="14"/>
        <w:snapToGrid w:val="0"/>
        <w:spacing w:line="360" w:lineRule="auto"/>
        <w:ind w:firstLine="1506" w:firstLineChars="500"/>
        <w:jc w:val="left"/>
        <w:rPr>
          <w:rFonts w:hint="eastAsia" w:ascii="仿宋" w:hAnsi="仿宋" w:eastAsia="仿宋" w:cs="仿宋"/>
          <w:b/>
          <w:bCs/>
          <w:color w:val="auto"/>
          <w:sz w:val="30"/>
          <w:szCs w:val="30"/>
          <w:lang w:eastAsia="zh-CN"/>
        </w:rPr>
      </w:pPr>
      <w:r>
        <w:rPr>
          <w:rFonts w:hint="eastAsia" w:ascii="仿宋" w:hAnsi="仿宋" w:eastAsia="仿宋" w:cs="仿宋"/>
          <w:b/>
          <w:bCs/>
          <w:color w:val="auto"/>
          <w:sz w:val="30"/>
          <w:szCs w:val="30"/>
        </w:rPr>
        <w:t>采 购 人：桂林医科大学第二附属医院</w:t>
      </w:r>
    </w:p>
    <w:p w14:paraId="56504A4B">
      <w:pPr>
        <w:pStyle w:val="14"/>
        <w:snapToGrid w:val="0"/>
        <w:spacing w:line="360" w:lineRule="auto"/>
        <w:ind w:firstLine="1506" w:firstLineChars="500"/>
        <w:jc w:val="left"/>
        <w:rPr>
          <w:rFonts w:ascii="仿宋" w:hAnsi="仿宋" w:eastAsia="仿宋" w:cs="仿宋"/>
          <w:b/>
          <w:bCs/>
          <w:color w:val="auto"/>
          <w:sz w:val="30"/>
          <w:szCs w:val="30"/>
        </w:rPr>
      </w:pPr>
      <w:r>
        <w:rPr>
          <w:rFonts w:hint="eastAsia" w:ascii="仿宋" w:hAnsi="仿宋" w:eastAsia="仿宋" w:cs="仿宋"/>
          <w:b/>
          <w:bCs/>
          <w:color w:val="auto"/>
          <w:sz w:val="30"/>
          <w:szCs w:val="30"/>
        </w:rPr>
        <w:t>采购代理机构：建银工程咨询有限责任公司</w:t>
      </w:r>
    </w:p>
    <w:p w14:paraId="270CAE2B">
      <w:pPr>
        <w:pStyle w:val="14"/>
        <w:snapToGrid w:val="0"/>
        <w:spacing w:before="50" w:after="120" w:line="360" w:lineRule="auto"/>
        <w:jc w:val="center"/>
        <w:rPr>
          <w:rFonts w:ascii="仿宋" w:hAnsi="仿宋" w:eastAsia="仿宋" w:cs="仿宋"/>
          <w:b/>
          <w:bCs/>
          <w:color w:val="auto"/>
          <w:w w:val="95"/>
          <w:sz w:val="30"/>
          <w:szCs w:val="30"/>
        </w:rPr>
      </w:pPr>
    </w:p>
    <w:p w14:paraId="705D7BA7">
      <w:pPr>
        <w:pStyle w:val="14"/>
        <w:snapToGrid w:val="0"/>
        <w:spacing w:before="50" w:after="120" w:line="360" w:lineRule="auto"/>
        <w:jc w:val="center"/>
        <w:rPr>
          <w:rFonts w:ascii="仿宋" w:hAnsi="仿宋" w:eastAsia="仿宋" w:cs="仿宋"/>
          <w:b/>
          <w:bCs/>
          <w:color w:val="auto"/>
          <w:w w:val="95"/>
          <w:sz w:val="30"/>
          <w:szCs w:val="30"/>
        </w:rPr>
      </w:pPr>
    </w:p>
    <w:p w14:paraId="2FC4AFD5">
      <w:pPr>
        <w:pStyle w:val="14"/>
        <w:spacing w:before="120" w:after="120" w:line="360" w:lineRule="auto"/>
        <w:jc w:val="center"/>
        <w:rPr>
          <w:rFonts w:ascii="仿宋_GB2312" w:hAnsi="宋体" w:eastAsia="仿宋_GB2312"/>
          <w:color w:val="auto"/>
        </w:rPr>
      </w:pPr>
      <w:r>
        <w:rPr>
          <w:rFonts w:hint="eastAsia" w:ascii="仿宋" w:hAnsi="仿宋" w:eastAsia="仿宋" w:cs="仿宋"/>
          <w:b/>
          <w:bCs/>
          <w:color w:val="auto"/>
          <w:w w:val="95"/>
          <w:sz w:val="30"/>
          <w:szCs w:val="30"/>
        </w:rPr>
        <w:t>202</w:t>
      </w:r>
      <w:r>
        <w:rPr>
          <w:rFonts w:hint="eastAsia" w:ascii="仿宋" w:hAnsi="仿宋" w:eastAsia="仿宋" w:cs="仿宋"/>
          <w:b/>
          <w:bCs/>
          <w:color w:val="auto"/>
          <w:w w:val="95"/>
          <w:sz w:val="30"/>
          <w:szCs w:val="30"/>
          <w:lang w:val="en-US" w:eastAsia="zh-CN"/>
        </w:rPr>
        <w:t>6</w:t>
      </w:r>
      <w:r>
        <w:rPr>
          <w:rFonts w:hint="eastAsia" w:ascii="仿宋" w:hAnsi="仿宋" w:eastAsia="仿宋" w:cs="仿宋"/>
          <w:b/>
          <w:bCs/>
          <w:color w:val="auto"/>
          <w:w w:val="95"/>
          <w:sz w:val="30"/>
          <w:szCs w:val="30"/>
        </w:rPr>
        <w:t>年</w:t>
      </w:r>
      <w:r>
        <w:rPr>
          <w:rFonts w:hint="eastAsia" w:ascii="仿宋" w:hAnsi="仿宋" w:eastAsia="仿宋" w:cs="仿宋"/>
          <w:b/>
          <w:bCs/>
          <w:color w:val="auto"/>
          <w:w w:val="95"/>
          <w:sz w:val="30"/>
          <w:szCs w:val="30"/>
          <w:lang w:val="en-US" w:eastAsia="zh-CN"/>
        </w:rPr>
        <w:t>11</w:t>
      </w:r>
      <w:r>
        <w:rPr>
          <w:rFonts w:hint="eastAsia" w:ascii="仿宋" w:hAnsi="仿宋" w:eastAsia="仿宋" w:cs="仿宋"/>
          <w:b/>
          <w:bCs/>
          <w:color w:val="auto"/>
          <w:w w:val="95"/>
          <w:sz w:val="30"/>
          <w:szCs w:val="30"/>
        </w:rPr>
        <w:t>月</w:t>
      </w:r>
    </w:p>
    <w:p w14:paraId="4DE37C30">
      <w:pPr>
        <w:pStyle w:val="12"/>
        <w:kinsoku w:val="0"/>
        <w:overflowPunct w:val="0"/>
        <w:rPr>
          <w:color w:val="auto"/>
          <w:sz w:val="40"/>
        </w:rPr>
      </w:pPr>
    </w:p>
    <w:p w14:paraId="75DA8E95">
      <w:pPr>
        <w:pStyle w:val="14"/>
        <w:spacing w:before="120" w:after="120" w:line="360" w:lineRule="auto"/>
        <w:jc w:val="center"/>
        <w:rPr>
          <w:rFonts w:ascii="仿宋_GB2312" w:hAnsi="宋体" w:eastAsia="仿宋_GB2312"/>
          <w:color w:val="auto"/>
        </w:rPr>
        <w:sectPr>
          <w:headerReference r:id="rId5" w:type="first"/>
          <w:footerReference r:id="rId7" w:type="first"/>
          <w:headerReference r:id="rId3" w:type="default"/>
          <w:headerReference r:id="rId4" w:type="even"/>
          <w:footerReference r:id="rId6" w:type="even"/>
          <w:pgSz w:w="11906" w:h="16838"/>
          <w:pgMar w:top="1134" w:right="1247" w:bottom="1560" w:left="1247" w:header="851" w:footer="992" w:gutter="0"/>
          <w:pgNumType w:start="0"/>
          <w:cols w:space="720" w:num="1"/>
          <w:titlePg/>
          <w:docGrid w:linePitch="312" w:charSpace="0"/>
        </w:sectPr>
      </w:pPr>
    </w:p>
    <w:p w14:paraId="3D5C7D78">
      <w:pPr>
        <w:rPr>
          <w:color w:val="auto"/>
        </w:rPr>
      </w:pPr>
    </w:p>
    <w:p w14:paraId="36285CD3">
      <w:pPr>
        <w:pStyle w:val="14"/>
        <w:spacing w:before="120" w:after="120" w:line="360" w:lineRule="auto"/>
        <w:jc w:val="center"/>
        <w:rPr>
          <w:rFonts w:ascii="仿宋_GB2312" w:hAnsi="宋体" w:eastAsia="仿宋_GB2312"/>
          <w:color w:val="auto"/>
          <w:sz w:val="32"/>
          <w:szCs w:val="32"/>
        </w:rPr>
      </w:pPr>
      <w:r>
        <w:rPr>
          <w:rFonts w:hint="eastAsia" w:ascii="仿宋_GB2312" w:hAnsi="宋体" w:eastAsia="仿宋_GB2312"/>
          <w:color w:val="auto"/>
          <w:sz w:val="32"/>
          <w:szCs w:val="32"/>
        </w:rPr>
        <w:t>目    录</w:t>
      </w:r>
    </w:p>
    <w:p w14:paraId="7C620F3D">
      <w:pPr>
        <w:pStyle w:val="20"/>
        <w:tabs>
          <w:tab w:val="right" w:leader="dot" w:pos="9071"/>
        </w:tabs>
      </w:pPr>
      <w:r>
        <w:rPr>
          <w:rFonts w:ascii="仿宋_GB2312" w:eastAsia="仿宋_GB2312"/>
          <w:b w:val="0"/>
          <w:color w:val="auto"/>
        </w:rPr>
        <w:fldChar w:fldCharType="begin"/>
      </w:r>
      <w:r>
        <w:rPr>
          <w:rFonts w:hint="eastAsia" w:ascii="仿宋_GB2312" w:eastAsia="仿宋_GB2312"/>
          <w:b w:val="0"/>
          <w:color w:val="auto"/>
        </w:rPr>
        <w:instrText xml:space="preserve">TOC \o "1-2" \h \z \u</w:instrText>
      </w:r>
      <w:r>
        <w:rPr>
          <w:rFonts w:ascii="仿宋_GB2312" w:eastAsia="仿宋_GB2312"/>
          <w:b w:val="0"/>
          <w:color w:val="auto"/>
        </w:rPr>
        <w:fldChar w:fldCharType="separate"/>
      </w:r>
      <w:r>
        <w:rPr>
          <w:rFonts w:ascii="仿宋_GB2312" w:hAnsi="宋体" w:eastAsia="仿宋_GB2312"/>
          <w:color w:val="auto"/>
        </w:rPr>
        <w:fldChar w:fldCharType="begin"/>
      </w:r>
      <w:r>
        <w:rPr>
          <w:rFonts w:ascii="仿宋_GB2312" w:hAnsi="宋体" w:eastAsia="仿宋_GB2312"/>
        </w:rPr>
        <w:instrText xml:space="preserve"> HYPERLINK \l _Toc8767 </w:instrText>
      </w:r>
      <w:r>
        <w:rPr>
          <w:rFonts w:ascii="仿宋_GB2312" w:hAnsi="宋体" w:eastAsia="仿宋_GB2312"/>
        </w:rPr>
        <w:fldChar w:fldCharType="separate"/>
      </w:r>
      <w:r>
        <w:rPr>
          <w:rFonts w:hint="eastAsia" w:ascii="Arial" w:hAnsi="Arial" w:eastAsia="黑体"/>
          <w:kern w:val="0"/>
          <w:szCs w:val="32"/>
        </w:rPr>
        <w:t>第一章招标公告</w:t>
      </w:r>
      <w:r>
        <w:tab/>
      </w:r>
      <w:r>
        <w:fldChar w:fldCharType="begin"/>
      </w:r>
      <w:r>
        <w:instrText xml:space="preserve"> PAGEREF _Toc8767 \h </w:instrText>
      </w:r>
      <w:r>
        <w:fldChar w:fldCharType="separate"/>
      </w:r>
      <w:r>
        <w:t>2</w:t>
      </w:r>
      <w:r>
        <w:fldChar w:fldCharType="end"/>
      </w:r>
      <w:r>
        <w:rPr>
          <w:rFonts w:ascii="仿宋_GB2312" w:hAnsi="宋体" w:eastAsia="仿宋_GB2312"/>
          <w:color w:val="auto"/>
        </w:rPr>
        <w:fldChar w:fldCharType="end"/>
      </w:r>
    </w:p>
    <w:p w14:paraId="28542CF7">
      <w:pPr>
        <w:pStyle w:val="20"/>
        <w:tabs>
          <w:tab w:val="right" w:leader="dot" w:pos="9071"/>
        </w:tabs>
      </w:pPr>
      <w:r>
        <w:rPr>
          <w:rFonts w:ascii="仿宋_GB2312" w:hAnsi="宋体" w:eastAsia="仿宋_GB2312"/>
          <w:color w:val="auto"/>
        </w:rPr>
        <w:fldChar w:fldCharType="begin"/>
      </w:r>
      <w:r>
        <w:rPr>
          <w:rFonts w:ascii="仿宋_GB2312" w:hAnsi="宋体" w:eastAsia="仿宋_GB2312"/>
        </w:rPr>
        <w:instrText xml:space="preserve"> HYPERLINK \l _Toc21819 </w:instrText>
      </w:r>
      <w:r>
        <w:rPr>
          <w:rFonts w:ascii="仿宋_GB2312" w:hAnsi="宋体" w:eastAsia="仿宋_GB2312"/>
        </w:rPr>
        <w:fldChar w:fldCharType="separate"/>
      </w:r>
      <w:r>
        <w:rPr>
          <w:rFonts w:hint="eastAsia"/>
        </w:rPr>
        <w:t>第二章采购需求</w:t>
      </w:r>
      <w:r>
        <w:tab/>
      </w:r>
      <w:r>
        <w:fldChar w:fldCharType="begin"/>
      </w:r>
      <w:r>
        <w:instrText xml:space="preserve"> PAGEREF _Toc21819 \h </w:instrText>
      </w:r>
      <w:r>
        <w:fldChar w:fldCharType="separate"/>
      </w:r>
      <w:r>
        <w:t>6</w:t>
      </w:r>
      <w:r>
        <w:fldChar w:fldCharType="end"/>
      </w:r>
      <w:r>
        <w:rPr>
          <w:rFonts w:ascii="仿宋_GB2312" w:hAnsi="宋体" w:eastAsia="仿宋_GB2312"/>
          <w:color w:val="auto"/>
        </w:rPr>
        <w:fldChar w:fldCharType="end"/>
      </w:r>
    </w:p>
    <w:p w14:paraId="13FC8D91">
      <w:pPr>
        <w:pStyle w:val="20"/>
        <w:tabs>
          <w:tab w:val="right" w:leader="dot" w:pos="9071"/>
        </w:tabs>
      </w:pPr>
      <w:r>
        <w:rPr>
          <w:rFonts w:ascii="仿宋_GB2312" w:hAnsi="宋体" w:eastAsia="仿宋_GB2312"/>
          <w:color w:val="auto"/>
        </w:rPr>
        <w:fldChar w:fldCharType="begin"/>
      </w:r>
      <w:r>
        <w:rPr>
          <w:rFonts w:ascii="仿宋_GB2312" w:hAnsi="宋体" w:eastAsia="仿宋_GB2312"/>
        </w:rPr>
        <w:instrText xml:space="preserve"> HYPERLINK \l _Toc23915 </w:instrText>
      </w:r>
      <w:r>
        <w:rPr>
          <w:rFonts w:ascii="仿宋_GB2312" w:hAnsi="宋体" w:eastAsia="仿宋_GB2312"/>
        </w:rPr>
        <w:fldChar w:fldCharType="separate"/>
      </w:r>
      <w:r>
        <w:rPr>
          <w:rFonts w:hint="eastAsia"/>
        </w:rPr>
        <w:t>第三章投标人须知</w:t>
      </w:r>
      <w:r>
        <w:tab/>
      </w:r>
      <w:r>
        <w:fldChar w:fldCharType="begin"/>
      </w:r>
      <w:r>
        <w:instrText xml:space="preserve"> PAGEREF _Toc23915 \h </w:instrText>
      </w:r>
      <w:r>
        <w:fldChar w:fldCharType="separate"/>
      </w:r>
      <w:r>
        <w:t>16</w:t>
      </w:r>
      <w:r>
        <w:fldChar w:fldCharType="end"/>
      </w:r>
      <w:r>
        <w:rPr>
          <w:rFonts w:ascii="仿宋_GB2312" w:hAnsi="宋体" w:eastAsia="仿宋_GB2312"/>
          <w:color w:val="auto"/>
        </w:rPr>
        <w:fldChar w:fldCharType="end"/>
      </w:r>
    </w:p>
    <w:p w14:paraId="13E3FBD2">
      <w:pPr>
        <w:pStyle w:val="20"/>
        <w:tabs>
          <w:tab w:val="right" w:leader="dot" w:pos="9071"/>
        </w:tabs>
      </w:pPr>
      <w:r>
        <w:rPr>
          <w:rFonts w:ascii="仿宋_GB2312" w:hAnsi="宋体" w:eastAsia="仿宋_GB2312"/>
          <w:color w:val="auto"/>
        </w:rPr>
        <w:fldChar w:fldCharType="begin"/>
      </w:r>
      <w:r>
        <w:rPr>
          <w:rFonts w:ascii="仿宋_GB2312" w:hAnsi="宋体" w:eastAsia="仿宋_GB2312"/>
        </w:rPr>
        <w:instrText xml:space="preserve"> HYPERLINK \l _Toc930 </w:instrText>
      </w:r>
      <w:r>
        <w:rPr>
          <w:rFonts w:ascii="仿宋_GB2312" w:hAnsi="宋体" w:eastAsia="仿宋_GB2312"/>
        </w:rPr>
        <w:fldChar w:fldCharType="separate"/>
      </w:r>
      <w:r>
        <w:rPr>
          <w:rFonts w:hint="eastAsia"/>
        </w:rPr>
        <w:t>第四章评标方法及评标标准</w:t>
      </w:r>
      <w:r>
        <w:tab/>
      </w:r>
      <w:r>
        <w:fldChar w:fldCharType="begin"/>
      </w:r>
      <w:r>
        <w:instrText xml:space="preserve"> PAGEREF _Toc930 \h </w:instrText>
      </w:r>
      <w:r>
        <w:fldChar w:fldCharType="separate"/>
      </w:r>
      <w:r>
        <w:t>38</w:t>
      </w:r>
      <w:r>
        <w:fldChar w:fldCharType="end"/>
      </w:r>
      <w:r>
        <w:rPr>
          <w:rFonts w:ascii="仿宋_GB2312" w:hAnsi="宋体" w:eastAsia="仿宋_GB2312"/>
          <w:color w:val="auto"/>
        </w:rPr>
        <w:fldChar w:fldCharType="end"/>
      </w:r>
    </w:p>
    <w:p w14:paraId="0EEDA942">
      <w:pPr>
        <w:pStyle w:val="20"/>
        <w:tabs>
          <w:tab w:val="right" w:leader="dot" w:pos="9071"/>
        </w:tabs>
      </w:pPr>
      <w:r>
        <w:rPr>
          <w:rFonts w:ascii="仿宋_GB2312" w:hAnsi="宋体" w:eastAsia="仿宋_GB2312"/>
          <w:color w:val="auto"/>
        </w:rPr>
        <w:fldChar w:fldCharType="begin"/>
      </w:r>
      <w:r>
        <w:rPr>
          <w:rFonts w:ascii="仿宋_GB2312" w:hAnsi="宋体" w:eastAsia="仿宋_GB2312"/>
        </w:rPr>
        <w:instrText xml:space="preserve"> HYPERLINK \l _Toc11800 </w:instrText>
      </w:r>
      <w:r>
        <w:rPr>
          <w:rFonts w:ascii="仿宋_GB2312" w:hAnsi="宋体" w:eastAsia="仿宋_GB2312"/>
        </w:rPr>
        <w:fldChar w:fldCharType="separate"/>
      </w:r>
      <w:r>
        <w:rPr>
          <w:rFonts w:hint="eastAsia"/>
        </w:rPr>
        <w:t>第五章合同主要条款格式</w:t>
      </w:r>
      <w:r>
        <w:tab/>
      </w:r>
      <w:r>
        <w:fldChar w:fldCharType="begin"/>
      </w:r>
      <w:r>
        <w:instrText xml:space="preserve"> PAGEREF _Toc11800 \h </w:instrText>
      </w:r>
      <w:r>
        <w:fldChar w:fldCharType="separate"/>
      </w:r>
      <w:r>
        <w:t>46</w:t>
      </w:r>
      <w:r>
        <w:fldChar w:fldCharType="end"/>
      </w:r>
      <w:r>
        <w:rPr>
          <w:rFonts w:ascii="仿宋_GB2312" w:hAnsi="宋体" w:eastAsia="仿宋_GB2312"/>
          <w:color w:val="auto"/>
        </w:rPr>
        <w:fldChar w:fldCharType="end"/>
      </w:r>
    </w:p>
    <w:p w14:paraId="6445D7B8">
      <w:pPr>
        <w:pStyle w:val="20"/>
        <w:tabs>
          <w:tab w:val="right" w:leader="dot" w:pos="9071"/>
        </w:tabs>
      </w:pPr>
      <w:r>
        <w:rPr>
          <w:rFonts w:ascii="仿宋_GB2312" w:hAnsi="宋体" w:eastAsia="仿宋_GB2312"/>
          <w:color w:val="auto"/>
        </w:rPr>
        <w:fldChar w:fldCharType="begin"/>
      </w:r>
      <w:r>
        <w:rPr>
          <w:rFonts w:ascii="仿宋_GB2312" w:hAnsi="宋体" w:eastAsia="仿宋_GB2312"/>
        </w:rPr>
        <w:instrText xml:space="preserve"> HYPERLINK \l _Toc2841 </w:instrText>
      </w:r>
      <w:r>
        <w:rPr>
          <w:rFonts w:ascii="仿宋_GB2312" w:hAnsi="宋体" w:eastAsia="仿宋_GB2312"/>
        </w:rPr>
        <w:fldChar w:fldCharType="separate"/>
      </w:r>
      <w:r>
        <w:rPr>
          <w:rFonts w:hint="eastAsia"/>
        </w:rPr>
        <w:t>第六章投标文件格式</w:t>
      </w:r>
      <w:r>
        <w:tab/>
      </w:r>
      <w:r>
        <w:fldChar w:fldCharType="begin"/>
      </w:r>
      <w:r>
        <w:instrText xml:space="preserve"> PAGEREF _Toc2841 \h </w:instrText>
      </w:r>
      <w:r>
        <w:fldChar w:fldCharType="separate"/>
      </w:r>
      <w:r>
        <w:t>54</w:t>
      </w:r>
      <w:r>
        <w:fldChar w:fldCharType="end"/>
      </w:r>
      <w:r>
        <w:rPr>
          <w:rFonts w:ascii="仿宋_GB2312" w:hAnsi="宋体" w:eastAsia="仿宋_GB2312"/>
          <w:color w:val="auto"/>
        </w:rPr>
        <w:fldChar w:fldCharType="end"/>
      </w:r>
    </w:p>
    <w:p w14:paraId="3817A414">
      <w:pPr>
        <w:pStyle w:val="20"/>
        <w:tabs>
          <w:tab w:val="right" w:leader="dot" w:pos="9071"/>
        </w:tabs>
      </w:pPr>
      <w:r>
        <w:rPr>
          <w:rFonts w:ascii="仿宋_GB2312" w:hAnsi="宋体" w:eastAsia="仿宋_GB2312"/>
          <w:color w:val="auto"/>
        </w:rPr>
        <w:fldChar w:fldCharType="begin"/>
      </w:r>
      <w:r>
        <w:rPr>
          <w:rFonts w:ascii="仿宋_GB2312" w:hAnsi="宋体" w:eastAsia="仿宋_GB2312"/>
        </w:rPr>
        <w:instrText xml:space="preserve"> HYPERLINK \l _Toc984 </w:instrText>
      </w:r>
      <w:r>
        <w:rPr>
          <w:rFonts w:ascii="仿宋_GB2312" w:hAnsi="宋体" w:eastAsia="仿宋_GB2312"/>
        </w:rPr>
        <w:fldChar w:fldCharType="separate"/>
      </w:r>
      <w:r>
        <w:rPr>
          <w:rFonts w:hint="eastAsia"/>
        </w:rPr>
        <w:t>第七章其他文书、文件格式</w:t>
      </w:r>
      <w:r>
        <w:tab/>
      </w:r>
      <w:r>
        <w:fldChar w:fldCharType="begin"/>
      </w:r>
      <w:r>
        <w:instrText xml:space="preserve"> PAGEREF _Toc984 \h </w:instrText>
      </w:r>
      <w:r>
        <w:fldChar w:fldCharType="separate"/>
      </w:r>
      <w:r>
        <w:t>77</w:t>
      </w:r>
      <w:r>
        <w:fldChar w:fldCharType="end"/>
      </w:r>
      <w:r>
        <w:rPr>
          <w:rFonts w:ascii="仿宋_GB2312" w:hAnsi="宋体" w:eastAsia="仿宋_GB2312"/>
          <w:color w:val="auto"/>
        </w:rPr>
        <w:fldChar w:fldCharType="end"/>
      </w:r>
    </w:p>
    <w:p w14:paraId="230590F6">
      <w:pPr>
        <w:spacing w:beforeLines="50" w:line="480" w:lineRule="exact"/>
        <w:rPr>
          <w:rFonts w:ascii="仿宋_GB2312" w:hAnsi="宋体" w:eastAsia="仿宋_GB2312"/>
          <w:color w:val="auto"/>
          <w:sz w:val="24"/>
        </w:rPr>
      </w:pPr>
      <w:r>
        <w:rPr>
          <w:rFonts w:ascii="仿宋_GB2312" w:hAnsi="宋体" w:eastAsia="仿宋_GB2312"/>
          <w:color w:val="auto"/>
        </w:rPr>
        <w:fldChar w:fldCharType="end"/>
      </w:r>
    </w:p>
    <w:p w14:paraId="2EA3339C">
      <w:pPr>
        <w:spacing w:beforeLines="50" w:line="480" w:lineRule="exact"/>
        <w:rPr>
          <w:rFonts w:ascii="仿宋_GB2312" w:hAnsi="宋体" w:eastAsia="仿宋_GB2312"/>
          <w:color w:val="auto"/>
          <w:sz w:val="30"/>
        </w:rPr>
      </w:pPr>
    </w:p>
    <w:p w14:paraId="2D1A541B">
      <w:pPr>
        <w:rPr>
          <w:color w:val="auto"/>
        </w:rPr>
      </w:pPr>
    </w:p>
    <w:p w14:paraId="59EE20E6">
      <w:pPr>
        <w:spacing w:beforeLines="50" w:line="480" w:lineRule="exact"/>
        <w:rPr>
          <w:rFonts w:ascii="仿宋_GB2312" w:hAnsi="宋体" w:eastAsia="仿宋_GB2312"/>
          <w:color w:val="auto"/>
          <w:sz w:val="30"/>
        </w:rPr>
      </w:pPr>
    </w:p>
    <w:p w14:paraId="4B7FAB98">
      <w:pPr>
        <w:spacing w:beforeLines="50" w:line="480" w:lineRule="exact"/>
        <w:rPr>
          <w:rFonts w:ascii="仿宋_GB2312" w:hAnsi="宋体" w:eastAsia="仿宋_GB2312"/>
          <w:color w:val="auto"/>
          <w:sz w:val="30"/>
        </w:rPr>
      </w:pPr>
    </w:p>
    <w:p w14:paraId="53E0AEFD">
      <w:pPr>
        <w:pStyle w:val="10"/>
        <w:rPr>
          <w:rFonts w:ascii="宋体" w:hAnsi="宋体" w:cs="宋体"/>
          <w:b/>
          <w:bCs/>
          <w:color w:val="auto"/>
        </w:rPr>
      </w:pPr>
      <w:bookmarkStart w:id="0" w:name="_Toc254970630"/>
      <w:bookmarkStart w:id="1" w:name="_Toc254970489"/>
    </w:p>
    <w:p w14:paraId="0EB27A04">
      <w:pPr>
        <w:pStyle w:val="3"/>
        <w:keepNext w:val="0"/>
        <w:keepLines w:val="0"/>
        <w:autoSpaceDE w:val="0"/>
        <w:autoSpaceDN w:val="0"/>
        <w:adjustRightInd w:val="0"/>
        <w:spacing w:before="0" w:after="0"/>
        <w:rPr>
          <w:rFonts w:ascii="Arial" w:hAnsi="Arial" w:eastAsia="黑体"/>
          <w:color w:val="auto"/>
          <w:kern w:val="0"/>
          <w:sz w:val="32"/>
          <w:szCs w:val="32"/>
        </w:rPr>
      </w:pPr>
      <w:r>
        <w:rPr>
          <w:rFonts w:ascii="宋体" w:hAnsi="宋体" w:cs="宋体"/>
          <w:b w:val="0"/>
          <w:bCs w:val="0"/>
          <w:color w:val="auto"/>
        </w:rPr>
        <w:br w:type="page"/>
      </w:r>
      <w:bookmarkStart w:id="2" w:name="_Toc555"/>
      <w:bookmarkStart w:id="3" w:name="_Toc21360"/>
      <w:bookmarkStart w:id="4" w:name="_Toc19297"/>
      <w:bookmarkStart w:id="5" w:name="_Toc21367"/>
      <w:bookmarkStart w:id="6" w:name="_Toc8424"/>
      <w:bookmarkStart w:id="7" w:name="_Toc20383"/>
      <w:bookmarkStart w:id="8" w:name="_Toc25285"/>
      <w:bookmarkStart w:id="9" w:name="_Toc1580"/>
      <w:bookmarkStart w:id="10" w:name="_Toc8767"/>
      <w:bookmarkStart w:id="11" w:name="_Toc1489"/>
      <w:bookmarkStart w:id="12" w:name="_Toc25168"/>
      <w:bookmarkStart w:id="13" w:name="_Toc11279"/>
      <w:bookmarkStart w:id="14" w:name="_Toc30203"/>
      <w:bookmarkStart w:id="15" w:name="_Toc7599"/>
      <w:bookmarkStart w:id="16" w:name="_Toc31050"/>
      <w:r>
        <w:rPr>
          <w:rFonts w:hint="eastAsia" w:ascii="Arial" w:hAnsi="Arial" w:eastAsia="黑体"/>
          <w:color w:val="auto"/>
          <w:kern w:val="0"/>
          <w:sz w:val="32"/>
          <w:szCs w:val="32"/>
        </w:rPr>
        <w:t>第一章</w:t>
      </w:r>
      <w:bookmarkEnd w:id="0"/>
      <w:bookmarkEnd w:id="1"/>
      <w:bookmarkStart w:id="17" w:name="_Toc35393789"/>
      <w:bookmarkStart w:id="18" w:name="_Toc28359001"/>
      <w:r>
        <w:rPr>
          <w:rFonts w:hint="eastAsia" w:ascii="Arial" w:hAnsi="Arial" w:eastAsia="黑体"/>
          <w:color w:val="auto"/>
          <w:kern w:val="0"/>
          <w:sz w:val="32"/>
          <w:szCs w:val="32"/>
        </w:rPr>
        <w:t>招标公告</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1A0DAAB0">
      <w:pPr>
        <w:spacing w:line="360" w:lineRule="auto"/>
        <w:rPr>
          <w:rFonts w:ascii="宋体" w:hAnsi="宋体"/>
          <w:color w:val="auto"/>
          <w:szCs w:val="21"/>
        </w:rPr>
      </w:pPr>
    </w:p>
    <w:p w14:paraId="5CE020D5">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auto"/>
          <w:szCs w:val="21"/>
        </w:rPr>
      </w:pPr>
      <w:r>
        <w:rPr>
          <w:rFonts w:hint="eastAsia" w:ascii="宋体" w:hAnsi="宋体"/>
          <w:color w:val="auto"/>
          <w:szCs w:val="21"/>
        </w:rPr>
        <w:t>项目概况</w:t>
      </w:r>
    </w:p>
    <w:p w14:paraId="03C44ABE">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auto"/>
          <w:szCs w:val="21"/>
        </w:rPr>
      </w:pPr>
      <w:r>
        <w:rPr>
          <w:rFonts w:hint="eastAsia" w:ascii="宋体" w:hAnsi="宋体"/>
          <w:color w:val="auto"/>
          <w:szCs w:val="21"/>
          <w:u w:val="single"/>
        </w:rPr>
        <w:t xml:space="preserve"> </w:t>
      </w:r>
      <w:r>
        <w:rPr>
          <w:rFonts w:hint="eastAsia" w:ascii="宋体" w:hAnsi="宋体"/>
          <w:color w:val="auto"/>
          <w:szCs w:val="21"/>
          <w:u w:val="single"/>
          <w:lang w:eastAsia="zh-CN"/>
        </w:rPr>
        <w:t>256排CT维保服务</w:t>
      </w:r>
      <w:r>
        <w:rPr>
          <w:rFonts w:hint="eastAsia" w:ascii="宋体" w:hAnsi="宋体"/>
          <w:color w:val="auto"/>
          <w:szCs w:val="21"/>
        </w:rPr>
        <w:t xml:space="preserve"> 招标项目的潜在投标人应在</w:t>
      </w:r>
      <w:r>
        <w:rPr>
          <w:rFonts w:hint="eastAsia" w:ascii="宋体" w:hAnsi="宋体"/>
          <w:color w:val="auto"/>
          <w:szCs w:val="21"/>
          <w:u w:val="single"/>
        </w:rPr>
        <w:t>广西政府采购云平台（https：//www.gcy.zfcg.gxzf.gov.cn/）</w:t>
      </w:r>
      <w:r>
        <w:rPr>
          <w:rFonts w:hint="eastAsia" w:ascii="宋体" w:hAnsi="宋体"/>
          <w:color w:val="auto"/>
          <w:szCs w:val="21"/>
        </w:rPr>
        <w:t>获取招标文件，并于</w:t>
      </w:r>
      <w:r>
        <w:rPr>
          <w:rFonts w:hint="eastAsia" w:ascii="宋体" w:hAnsi="宋体"/>
          <w:color w:val="auto"/>
          <w:szCs w:val="21"/>
          <w:u w:val="single"/>
        </w:rPr>
        <w:t>202</w:t>
      </w:r>
      <w:r>
        <w:rPr>
          <w:rFonts w:hint="eastAsia" w:ascii="宋体" w:hAnsi="宋体"/>
          <w:color w:val="auto"/>
          <w:szCs w:val="21"/>
          <w:u w:val="single"/>
          <w:lang w:val="en-US" w:eastAsia="zh-CN"/>
        </w:rPr>
        <w:t>6</w:t>
      </w:r>
      <w:r>
        <w:rPr>
          <w:rFonts w:hint="eastAsia" w:ascii="宋体" w:hAnsi="宋体"/>
          <w:color w:val="auto"/>
          <w:szCs w:val="21"/>
          <w:u w:val="single"/>
        </w:rPr>
        <w:t>年</w:t>
      </w:r>
      <w:r>
        <w:rPr>
          <w:rFonts w:hint="eastAsia" w:ascii="宋体" w:hAnsi="宋体"/>
          <w:color w:val="auto"/>
          <w:szCs w:val="21"/>
          <w:u w:val="single"/>
          <w:lang w:val="en-US" w:eastAsia="zh-CN"/>
        </w:rPr>
        <w:t>11</w:t>
      </w:r>
      <w:r>
        <w:rPr>
          <w:rFonts w:hint="eastAsia" w:ascii="宋体" w:hAnsi="宋体"/>
          <w:color w:val="auto"/>
          <w:szCs w:val="21"/>
          <w:u w:val="single"/>
        </w:rPr>
        <w:t>月</w:t>
      </w:r>
      <w:r>
        <w:rPr>
          <w:rFonts w:hint="eastAsia" w:ascii="宋体" w:hAnsi="宋体"/>
          <w:color w:val="auto"/>
          <w:szCs w:val="21"/>
          <w:u w:val="single"/>
          <w:lang w:val="en-US" w:eastAsia="zh-CN"/>
        </w:rPr>
        <w:t>23</w:t>
      </w:r>
      <w:r>
        <w:rPr>
          <w:rFonts w:hint="eastAsia" w:ascii="宋体" w:hAnsi="宋体"/>
          <w:color w:val="auto"/>
          <w:szCs w:val="21"/>
          <w:u w:val="single"/>
        </w:rPr>
        <w:t xml:space="preserve">日09:30:00 </w:t>
      </w:r>
      <w:r>
        <w:rPr>
          <w:rFonts w:hint="eastAsia" w:ascii="宋体" w:hAnsi="宋体"/>
          <w:bCs/>
          <w:color w:val="auto"/>
          <w:szCs w:val="21"/>
        </w:rPr>
        <w:t>（北京时间）前递交投标</w:t>
      </w:r>
      <w:r>
        <w:rPr>
          <w:rFonts w:ascii="宋体" w:hAnsi="宋体"/>
          <w:bCs/>
          <w:color w:val="auto"/>
          <w:szCs w:val="21"/>
        </w:rPr>
        <w:t>文件</w:t>
      </w:r>
      <w:r>
        <w:rPr>
          <w:rFonts w:hint="eastAsia" w:ascii="宋体" w:hAnsi="宋体"/>
          <w:color w:val="auto"/>
          <w:szCs w:val="21"/>
        </w:rPr>
        <w:t>。</w:t>
      </w:r>
    </w:p>
    <w:p w14:paraId="56CBBAA6">
      <w:pPr>
        <w:spacing w:line="360" w:lineRule="auto"/>
        <w:rPr>
          <w:rFonts w:ascii="宋体" w:hAnsi="宋体"/>
          <w:color w:val="auto"/>
          <w:szCs w:val="21"/>
        </w:rPr>
      </w:pPr>
    </w:p>
    <w:p w14:paraId="498BECEF">
      <w:pPr>
        <w:spacing w:line="360" w:lineRule="auto"/>
        <w:rPr>
          <w:rFonts w:ascii="黑体" w:hAnsi="黑体" w:eastAsia="黑体"/>
          <w:b/>
          <w:bCs/>
          <w:color w:val="auto"/>
          <w:sz w:val="24"/>
        </w:rPr>
      </w:pPr>
      <w:bookmarkStart w:id="19" w:name="_Toc35393790"/>
      <w:bookmarkStart w:id="20" w:name="_Toc28359079"/>
      <w:bookmarkStart w:id="21" w:name="_Toc28359002"/>
      <w:bookmarkStart w:id="22" w:name="_Toc35393621"/>
      <w:bookmarkStart w:id="23" w:name="_Hlk24379207"/>
      <w:r>
        <w:rPr>
          <w:rFonts w:hint="eastAsia" w:ascii="黑体" w:hAnsi="黑体" w:eastAsia="黑体"/>
          <w:b/>
          <w:bCs/>
          <w:color w:val="auto"/>
          <w:sz w:val="24"/>
        </w:rPr>
        <w:t>一、项目基本情况</w:t>
      </w:r>
      <w:bookmarkEnd w:id="19"/>
      <w:bookmarkEnd w:id="20"/>
      <w:bookmarkEnd w:id="21"/>
      <w:bookmarkEnd w:id="22"/>
    </w:p>
    <w:p w14:paraId="33E17351">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rPr>
        <w:t>项目编号：</w:t>
      </w:r>
      <w:r>
        <w:rPr>
          <w:rFonts w:hint="eastAsia" w:ascii="宋体" w:hAnsi="宋体"/>
          <w:color w:val="auto"/>
          <w:szCs w:val="21"/>
          <w:highlight w:val="none"/>
          <w:lang w:eastAsia="zh-CN"/>
        </w:rPr>
        <w:t>GXZC2026-G3-003512-JYZX</w:t>
      </w:r>
    </w:p>
    <w:p w14:paraId="5A660528">
      <w:pPr>
        <w:spacing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项目名称：</w:t>
      </w:r>
      <w:r>
        <w:rPr>
          <w:rFonts w:hint="eastAsia" w:ascii="宋体" w:hAnsi="宋体"/>
          <w:color w:val="auto"/>
          <w:szCs w:val="21"/>
          <w:lang w:eastAsia="zh-CN"/>
        </w:rPr>
        <w:t>256排CT维保服务</w:t>
      </w:r>
    </w:p>
    <w:bookmarkEnd w:id="23"/>
    <w:p w14:paraId="61791887">
      <w:pPr>
        <w:spacing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预算总金额（元）：4,950,000.00</w:t>
      </w:r>
    </w:p>
    <w:p w14:paraId="54CEE512">
      <w:pPr>
        <w:spacing w:line="360" w:lineRule="auto"/>
        <w:ind w:firstLine="420" w:firstLineChars="200"/>
        <w:rPr>
          <w:rFonts w:hint="default" w:ascii="宋体" w:hAnsi="宋体" w:eastAsia="宋体"/>
          <w:color w:val="auto"/>
          <w:szCs w:val="21"/>
          <w:lang w:val="en-US" w:eastAsia="zh-CN"/>
        </w:rPr>
      </w:pPr>
      <w:r>
        <w:rPr>
          <w:rFonts w:hint="eastAsia" w:ascii="宋体" w:hAnsi="宋体"/>
          <w:color w:val="auto"/>
          <w:szCs w:val="21"/>
          <w:lang w:val="en-US" w:eastAsia="zh-CN"/>
        </w:rPr>
        <w:t>采购需求：</w:t>
      </w:r>
    </w:p>
    <w:p w14:paraId="03B1C90B">
      <w:pPr>
        <w:pStyle w:val="22"/>
        <w:spacing w:before="0" w:beforeAutospacing="0" w:after="0" w:afterAutospacing="0" w:line="360" w:lineRule="auto"/>
        <w:ind w:firstLine="422" w:firstLineChars="200"/>
        <w:rPr>
          <w:rFonts w:hint="eastAsia" w:eastAsia="宋体"/>
          <w:color w:val="auto"/>
          <w:kern w:val="2"/>
          <w:sz w:val="21"/>
          <w:szCs w:val="21"/>
          <w:lang w:eastAsia="zh-CN"/>
        </w:rPr>
      </w:pPr>
      <w:r>
        <w:rPr>
          <w:rFonts w:hint="eastAsia"/>
          <w:b/>
          <w:bCs/>
          <w:color w:val="auto"/>
          <w:kern w:val="2"/>
          <w:sz w:val="21"/>
          <w:szCs w:val="21"/>
        </w:rPr>
        <w:t>标项名称：</w:t>
      </w:r>
      <w:r>
        <w:rPr>
          <w:rFonts w:hint="eastAsia"/>
          <w:b/>
          <w:bCs/>
          <w:color w:val="auto"/>
          <w:kern w:val="2"/>
          <w:sz w:val="21"/>
          <w:szCs w:val="21"/>
          <w:lang w:eastAsia="zh-CN"/>
        </w:rPr>
        <w:t>256排CT维保服务</w:t>
      </w:r>
    </w:p>
    <w:p w14:paraId="66F699BB">
      <w:pPr>
        <w:pStyle w:val="22"/>
        <w:spacing w:before="0" w:beforeAutospacing="0" w:after="0" w:afterAutospacing="0" w:line="360" w:lineRule="auto"/>
        <w:ind w:firstLine="420" w:firstLineChars="200"/>
        <w:rPr>
          <w:rFonts w:hint="eastAsia" w:eastAsia="宋体"/>
          <w:color w:val="auto"/>
          <w:kern w:val="2"/>
          <w:sz w:val="21"/>
          <w:szCs w:val="21"/>
          <w:lang w:eastAsia="zh-CN"/>
        </w:rPr>
      </w:pPr>
      <w:r>
        <w:rPr>
          <w:rFonts w:hint="eastAsia"/>
          <w:color w:val="auto"/>
          <w:kern w:val="2"/>
          <w:sz w:val="21"/>
          <w:szCs w:val="21"/>
        </w:rPr>
        <w:t>数量：</w:t>
      </w:r>
      <w:r>
        <w:rPr>
          <w:rFonts w:hint="eastAsia"/>
          <w:color w:val="auto"/>
          <w:kern w:val="2"/>
          <w:sz w:val="21"/>
          <w:szCs w:val="21"/>
          <w:lang w:val="en-US" w:eastAsia="zh-CN"/>
        </w:rPr>
        <w:t>3</w:t>
      </w:r>
    </w:p>
    <w:p w14:paraId="5611D9BB">
      <w:pPr>
        <w:pStyle w:val="22"/>
        <w:spacing w:before="0" w:beforeAutospacing="0" w:after="0" w:afterAutospacing="0" w:line="360" w:lineRule="auto"/>
        <w:ind w:firstLine="420" w:firstLineChars="200"/>
        <w:rPr>
          <w:rFonts w:hint="eastAsia" w:eastAsia="宋体"/>
          <w:color w:val="auto"/>
          <w:kern w:val="2"/>
          <w:sz w:val="21"/>
          <w:szCs w:val="21"/>
          <w:lang w:eastAsia="zh-CN"/>
        </w:rPr>
      </w:pPr>
      <w:r>
        <w:rPr>
          <w:rFonts w:hint="eastAsia"/>
          <w:color w:val="auto"/>
          <w:kern w:val="2"/>
          <w:sz w:val="21"/>
          <w:szCs w:val="21"/>
        </w:rPr>
        <w:t>预算金额（元）：</w:t>
      </w:r>
      <w:r>
        <w:rPr>
          <w:rFonts w:hint="eastAsia"/>
          <w:color w:val="auto"/>
          <w:kern w:val="2"/>
          <w:sz w:val="21"/>
          <w:szCs w:val="21"/>
          <w:lang w:val="en-US" w:eastAsia="zh-CN"/>
        </w:rPr>
        <w:t>4,950,000.00</w:t>
      </w:r>
    </w:p>
    <w:p w14:paraId="5F74DD32">
      <w:pPr>
        <w:pStyle w:val="22"/>
        <w:spacing w:before="0" w:beforeAutospacing="0" w:after="0" w:afterAutospacing="0" w:line="360" w:lineRule="auto"/>
        <w:ind w:firstLine="420" w:firstLineChars="200"/>
        <w:rPr>
          <w:rFonts w:hint="eastAsia"/>
          <w:color w:val="auto"/>
          <w:kern w:val="2"/>
          <w:sz w:val="21"/>
          <w:szCs w:val="21"/>
          <w:lang w:eastAsia="zh-CN"/>
        </w:rPr>
      </w:pPr>
      <w:r>
        <w:rPr>
          <w:rFonts w:hint="eastAsia"/>
          <w:color w:val="auto"/>
          <w:kern w:val="2"/>
          <w:sz w:val="21"/>
          <w:szCs w:val="21"/>
        </w:rPr>
        <w:t>简要规格描述或项目基本概况介绍、用途：</w:t>
      </w:r>
      <w:r>
        <w:rPr>
          <w:rFonts w:hint="eastAsia"/>
          <w:color w:val="auto"/>
          <w:kern w:val="2"/>
          <w:sz w:val="21"/>
          <w:szCs w:val="21"/>
          <w:lang w:eastAsia="zh-CN"/>
        </w:rPr>
        <w:t>256排CT维保服务</w:t>
      </w:r>
      <w:r>
        <w:rPr>
          <w:rFonts w:hint="eastAsia"/>
          <w:color w:val="auto"/>
          <w:kern w:val="2"/>
          <w:sz w:val="21"/>
          <w:szCs w:val="21"/>
          <w:lang w:val="en-US" w:eastAsia="zh-CN"/>
        </w:rPr>
        <w:t>1项。如需进一步了解详细内容，详见招标文件。</w:t>
      </w:r>
    </w:p>
    <w:p w14:paraId="45830288">
      <w:pPr>
        <w:pStyle w:val="22"/>
        <w:spacing w:before="0" w:beforeAutospacing="0" w:after="0" w:afterAutospacing="0" w:line="360" w:lineRule="auto"/>
        <w:ind w:firstLine="420" w:firstLineChars="200"/>
        <w:rPr>
          <w:rFonts w:hint="eastAsia" w:eastAsia="宋体"/>
          <w:color w:val="auto"/>
          <w:kern w:val="2"/>
          <w:sz w:val="21"/>
          <w:szCs w:val="21"/>
          <w:lang w:eastAsia="zh-CN"/>
        </w:rPr>
      </w:pPr>
      <w:r>
        <w:rPr>
          <w:rFonts w:hint="eastAsia"/>
          <w:color w:val="auto"/>
          <w:kern w:val="2"/>
          <w:sz w:val="21"/>
          <w:szCs w:val="21"/>
        </w:rPr>
        <w:t>最高限价（</w:t>
      </w:r>
      <w:r>
        <w:rPr>
          <w:rFonts w:hint="eastAsia"/>
          <w:color w:val="auto"/>
          <w:kern w:val="2"/>
          <w:sz w:val="21"/>
          <w:szCs w:val="21"/>
          <w:lang w:val="en-US" w:eastAsia="zh-CN"/>
        </w:rPr>
        <w:t>元</w:t>
      </w:r>
      <w:r>
        <w:rPr>
          <w:rFonts w:hint="eastAsia"/>
          <w:color w:val="auto"/>
          <w:kern w:val="2"/>
          <w:sz w:val="21"/>
          <w:szCs w:val="21"/>
        </w:rPr>
        <w:t>）：</w:t>
      </w:r>
      <w:r>
        <w:rPr>
          <w:rFonts w:hint="eastAsia"/>
          <w:color w:val="auto"/>
          <w:kern w:val="2"/>
          <w:sz w:val="21"/>
          <w:szCs w:val="21"/>
          <w:lang w:eastAsia="zh-CN"/>
        </w:rPr>
        <w:t>4,890,000.00</w:t>
      </w:r>
    </w:p>
    <w:p w14:paraId="65840A1C">
      <w:pPr>
        <w:pStyle w:val="22"/>
        <w:spacing w:before="0" w:beforeAutospacing="0" w:after="0" w:afterAutospacing="0" w:line="360" w:lineRule="auto"/>
        <w:ind w:firstLine="420" w:firstLineChars="200"/>
        <w:rPr>
          <w:color w:val="auto"/>
          <w:kern w:val="2"/>
          <w:sz w:val="21"/>
          <w:szCs w:val="21"/>
        </w:rPr>
      </w:pPr>
      <w:r>
        <w:rPr>
          <w:rFonts w:hint="eastAsia"/>
          <w:color w:val="auto"/>
          <w:kern w:val="2"/>
          <w:sz w:val="21"/>
          <w:szCs w:val="21"/>
        </w:rPr>
        <w:t>合同履约期限：自合同签订之日起3年。</w:t>
      </w:r>
    </w:p>
    <w:p w14:paraId="785BD308">
      <w:pPr>
        <w:pStyle w:val="22"/>
        <w:spacing w:before="0" w:beforeAutospacing="0" w:after="0" w:afterAutospacing="0" w:line="360" w:lineRule="auto"/>
        <w:ind w:firstLine="420" w:firstLineChars="200"/>
        <w:rPr>
          <w:color w:val="auto"/>
          <w:kern w:val="2"/>
          <w:sz w:val="21"/>
          <w:szCs w:val="21"/>
        </w:rPr>
      </w:pPr>
      <w:r>
        <w:rPr>
          <w:rFonts w:hint="eastAsia"/>
          <w:color w:val="auto"/>
          <w:kern w:val="2"/>
          <w:sz w:val="21"/>
          <w:szCs w:val="21"/>
        </w:rPr>
        <w:t>本标项（否）接受联合体投标</w:t>
      </w:r>
    </w:p>
    <w:p w14:paraId="2CC43825">
      <w:pPr>
        <w:spacing w:line="360" w:lineRule="auto"/>
        <w:ind w:firstLine="420" w:firstLineChars="200"/>
        <w:rPr>
          <w:rFonts w:hint="eastAsia" w:ascii="宋体" w:hAnsi="宋体"/>
          <w:color w:val="auto"/>
          <w:szCs w:val="21"/>
          <w:lang w:val="en-US" w:eastAsia="zh-CN"/>
        </w:rPr>
      </w:pPr>
      <w:r>
        <w:rPr>
          <w:rFonts w:hint="eastAsia" w:ascii="宋体" w:hAnsi="宋体"/>
          <w:color w:val="auto"/>
          <w:szCs w:val="21"/>
          <w:lang w:val="en-US" w:eastAsia="zh-CN"/>
        </w:rPr>
        <w:t>备注：/</w:t>
      </w:r>
    </w:p>
    <w:p w14:paraId="103B0FAD">
      <w:pPr>
        <w:spacing w:line="360" w:lineRule="auto"/>
        <w:rPr>
          <w:rFonts w:ascii="黑体" w:hAnsi="黑体" w:eastAsia="黑体"/>
          <w:b/>
          <w:bCs/>
          <w:color w:val="auto"/>
          <w:sz w:val="24"/>
        </w:rPr>
      </w:pPr>
      <w:bookmarkStart w:id="24" w:name="_Toc35393791"/>
      <w:bookmarkStart w:id="25" w:name="_Toc28359003"/>
      <w:bookmarkStart w:id="26" w:name="_Toc28359080"/>
      <w:bookmarkStart w:id="27" w:name="_Toc35393622"/>
      <w:r>
        <w:rPr>
          <w:rFonts w:hint="eastAsia" w:ascii="黑体" w:hAnsi="黑体" w:eastAsia="黑体"/>
          <w:b/>
          <w:bCs/>
          <w:color w:val="auto"/>
          <w:sz w:val="24"/>
        </w:rPr>
        <w:t>二、</w:t>
      </w:r>
      <w:r>
        <w:rPr>
          <w:rFonts w:hint="eastAsia" w:ascii="黑体" w:hAnsi="黑体" w:eastAsia="黑体"/>
          <w:b/>
          <w:bCs/>
          <w:color w:val="auto"/>
          <w:sz w:val="24"/>
          <w:lang w:val="en-US" w:eastAsia="zh-CN"/>
        </w:rPr>
        <w:t>申请</w:t>
      </w:r>
      <w:r>
        <w:rPr>
          <w:rFonts w:hint="eastAsia" w:ascii="黑体" w:hAnsi="黑体" w:eastAsia="黑体"/>
          <w:b/>
          <w:bCs/>
          <w:color w:val="auto"/>
          <w:sz w:val="24"/>
        </w:rPr>
        <w:t>人的资格要求：</w:t>
      </w:r>
      <w:bookmarkEnd w:id="24"/>
      <w:bookmarkEnd w:id="25"/>
      <w:bookmarkEnd w:id="26"/>
      <w:bookmarkEnd w:id="27"/>
    </w:p>
    <w:p w14:paraId="53A6AEFB">
      <w:pPr>
        <w:spacing w:line="360" w:lineRule="auto"/>
        <w:ind w:firstLine="420" w:firstLineChars="200"/>
        <w:rPr>
          <w:rFonts w:ascii="宋体" w:hAnsi="宋体"/>
          <w:color w:val="auto"/>
          <w:szCs w:val="21"/>
        </w:rPr>
      </w:pPr>
      <w:bookmarkStart w:id="28" w:name="_Hlk51746371"/>
      <w:r>
        <w:rPr>
          <w:rFonts w:hint="eastAsia" w:ascii="宋体" w:hAnsi="宋体"/>
          <w:color w:val="auto"/>
          <w:szCs w:val="21"/>
        </w:rPr>
        <w:t>1.满足《中华人民共和国政府采购法》第二十二条规定；</w:t>
      </w:r>
    </w:p>
    <w:p w14:paraId="1F1600E6">
      <w:pPr>
        <w:spacing w:line="360" w:lineRule="auto"/>
        <w:ind w:firstLine="420" w:firstLineChars="200"/>
        <w:rPr>
          <w:rFonts w:hint="eastAsia" w:ascii="宋体" w:hAnsi="宋体" w:eastAsia="宋体"/>
          <w:color w:val="auto"/>
          <w:szCs w:val="21"/>
          <w:lang w:val="en-US" w:eastAsia="zh-CN"/>
        </w:rPr>
      </w:pPr>
      <w:bookmarkStart w:id="29" w:name="_Toc28359004"/>
      <w:bookmarkStart w:id="30" w:name="_Toc28359081"/>
      <w:r>
        <w:rPr>
          <w:rFonts w:ascii="宋体" w:hAnsi="宋体"/>
          <w:color w:val="auto"/>
          <w:szCs w:val="21"/>
        </w:rPr>
        <w:t>2</w:t>
      </w:r>
      <w:r>
        <w:rPr>
          <w:rFonts w:hint="eastAsia" w:ascii="宋体" w:hAnsi="宋体"/>
          <w:color w:val="auto"/>
          <w:szCs w:val="21"/>
        </w:rPr>
        <w:t>.落实政府采购政策需满足的资格要求：本项目非专门面向中小企业采购；</w:t>
      </w:r>
    </w:p>
    <w:p w14:paraId="6C5F12B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本项目的特定资格要求：①投标人要求具有药品监督管理的部门颁发有效的医疗器械经营许可证或者备案凭证（按《医疗器械监督管理条例》免于经营备案和无需办理医疗器械经营许可或者备案的情形除外）；②具备有效的《辐射安全许可证》，且许可活动种类至少包含“使用”，活动范围应覆盖Ⅲ类射线装置。</w:t>
      </w:r>
    </w:p>
    <w:bookmarkEnd w:id="28"/>
    <w:p w14:paraId="5484E3D2">
      <w:pPr>
        <w:spacing w:line="360" w:lineRule="auto"/>
        <w:rPr>
          <w:rFonts w:ascii="黑体" w:hAnsi="黑体" w:eastAsia="黑体"/>
          <w:b/>
          <w:bCs/>
          <w:color w:val="auto"/>
          <w:sz w:val="24"/>
        </w:rPr>
      </w:pPr>
      <w:bookmarkStart w:id="31" w:name="_Toc35393623"/>
      <w:bookmarkStart w:id="32" w:name="_Toc35393792"/>
      <w:r>
        <w:rPr>
          <w:rFonts w:hint="eastAsia" w:ascii="黑体" w:hAnsi="黑体" w:eastAsia="黑体"/>
          <w:b/>
          <w:bCs/>
          <w:color w:val="auto"/>
          <w:sz w:val="24"/>
        </w:rPr>
        <w:t>三、获取招标文件</w:t>
      </w:r>
      <w:bookmarkEnd w:id="29"/>
      <w:bookmarkEnd w:id="30"/>
      <w:bookmarkEnd w:id="31"/>
      <w:bookmarkEnd w:id="32"/>
    </w:p>
    <w:p w14:paraId="218438BB">
      <w:pPr>
        <w:spacing w:line="360" w:lineRule="auto"/>
        <w:ind w:firstLine="540"/>
        <w:rPr>
          <w:rFonts w:ascii="宋体" w:hAnsi="宋体" w:cs="宋体"/>
          <w:bCs/>
          <w:color w:val="auto"/>
          <w:kern w:val="0"/>
          <w:szCs w:val="21"/>
        </w:rPr>
      </w:pPr>
      <w:r>
        <w:rPr>
          <w:rFonts w:hint="eastAsia" w:ascii="宋体" w:hAnsi="宋体" w:cs="宋体"/>
          <w:bCs/>
          <w:color w:val="auto"/>
          <w:kern w:val="0"/>
          <w:szCs w:val="21"/>
        </w:rPr>
        <w:t>时间：202</w:t>
      </w:r>
      <w:r>
        <w:rPr>
          <w:rFonts w:hint="eastAsia" w:ascii="宋体" w:hAnsi="宋体" w:cs="宋体"/>
          <w:bCs/>
          <w:color w:val="auto"/>
          <w:kern w:val="0"/>
          <w:szCs w:val="21"/>
          <w:lang w:val="en-US" w:eastAsia="zh-CN"/>
        </w:rPr>
        <w:t>6</w:t>
      </w:r>
      <w:r>
        <w:rPr>
          <w:rFonts w:hint="eastAsia" w:ascii="宋体" w:hAnsi="宋体" w:cs="宋体"/>
          <w:bCs/>
          <w:color w:val="auto"/>
          <w:kern w:val="0"/>
          <w:szCs w:val="21"/>
        </w:rPr>
        <w:t>年</w:t>
      </w:r>
      <w:r>
        <w:rPr>
          <w:rFonts w:hint="eastAsia" w:ascii="宋体" w:hAnsi="宋体"/>
          <w:color w:val="auto"/>
          <w:szCs w:val="21"/>
          <w:u w:val="none"/>
          <w:lang w:val="en-US" w:eastAsia="zh-CN"/>
        </w:rPr>
        <w:t>11</w:t>
      </w:r>
      <w:r>
        <w:rPr>
          <w:rFonts w:hint="eastAsia" w:ascii="宋体" w:hAnsi="宋体" w:cs="宋体"/>
          <w:bCs/>
          <w:color w:val="auto"/>
          <w:kern w:val="0"/>
          <w:szCs w:val="21"/>
        </w:rPr>
        <w:t>月</w:t>
      </w:r>
      <w:r>
        <w:rPr>
          <w:rFonts w:hint="eastAsia" w:ascii="宋体" w:hAnsi="宋体"/>
          <w:color w:val="auto"/>
          <w:szCs w:val="21"/>
          <w:u w:val="none"/>
          <w:lang w:val="en-US" w:eastAsia="zh-CN"/>
        </w:rPr>
        <w:t>2</w:t>
      </w:r>
      <w:r>
        <w:rPr>
          <w:rFonts w:hint="eastAsia" w:ascii="宋体" w:hAnsi="宋体" w:cs="宋体"/>
          <w:bCs/>
          <w:color w:val="auto"/>
          <w:kern w:val="0"/>
          <w:szCs w:val="21"/>
        </w:rPr>
        <w:t>日至202</w:t>
      </w:r>
      <w:r>
        <w:rPr>
          <w:rFonts w:hint="eastAsia" w:ascii="宋体" w:hAnsi="宋体" w:cs="宋体"/>
          <w:bCs/>
          <w:color w:val="auto"/>
          <w:kern w:val="0"/>
          <w:szCs w:val="21"/>
          <w:lang w:val="en-US" w:eastAsia="zh-CN"/>
        </w:rPr>
        <w:t>6</w:t>
      </w:r>
      <w:r>
        <w:rPr>
          <w:rFonts w:hint="eastAsia" w:ascii="宋体" w:hAnsi="宋体" w:cs="宋体"/>
          <w:bCs/>
          <w:color w:val="auto"/>
          <w:kern w:val="0"/>
          <w:szCs w:val="21"/>
        </w:rPr>
        <w:t>年</w:t>
      </w:r>
      <w:r>
        <w:rPr>
          <w:rFonts w:hint="eastAsia" w:ascii="宋体" w:hAnsi="宋体"/>
          <w:color w:val="auto"/>
          <w:szCs w:val="21"/>
          <w:u w:val="none"/>
          <w:lang w:val="en-US" w:eastAsia="zh-CN"/>
        </w:rPr>
        <w:t>11</w:t>
      </w:r>
      <w:r>
        <w:rPr>
          <w:rFonts w:hint="eastAsia" w:ascii="宋体" w:hAnsi="宋体" w:cs="宋体"/>
          <w:bCs/>
          <w:color w:val="auto"/>
          <w:kern w:val="0"/>
          <w:szCs w:val="21"/>
        </w:rPr>
        <w:t>月</w:t>
      </w:r>
      <w:r>
        <w:rPr>
          <w:rFonts w:hint="eastAsia" w:ascii="宋体" w:hAnsi="宋体"/>
          <w:color w:val="auto"/>
          <w:szCs w:val="21"/>
          <w:u w:val="none"/>
          <w:lang w:val="en-US" w:eastAsia="zh-CN"/>
        </w:rPr>
        <w:t>23</w:t>
      </w:r>
      <w:r>
        <w:rPr>
          <w:rFonts w:hint="eastAsia" w:ascii="宋体" w:hAnsi="宋体" w:cs="宋体"/>
          <w:bCs/>
          <w:color w:val="auto"/>
          <w:kern w:val="0"/>
          <w:szCs w:val="21"/>
        </w:rPr>
        <w:t>日，每天上午00:00至12:00 ，下午12:00至23:59（北京时间，法定节假日除外）</w:t>
      </w:r>
    </w:p>
    <w:p w14:paraId="463EA8AE">
      <w:pPr>
        <w:spacing w:line="360" w:lineRule="auto"/>
        <w:ind w:firstLine="540"/>
        <w:rPr>
          <w:rFonts w:ascii="宋体" w:hAnsi="宋体" w:cs="宋体"/>
          <w:bCs/>
          <w:color w:val="auto"/>
          <w:kern w:val="0"/>
          <w:szCs w:val="21"/>
        </w:rPr>
      </w:pPr>
      <w:r>
        <w:rPr>
          <w:rFonts w:hint="eastAsia" w:ascii="宋体" w:hAnsi="宋体" w:cs="宋体"/>
          <w:bCs/>
          <w:color w:val="auto"/>
          <w:kern w:val="0"/>
          <w:szCs w:val="21"/>
        </w:rPr>
        <w:t>地点（网址）：广西政府采购云平台（https：//www.gcy.zfcg.gxzf.gov.cn/）</w:t>
      </w:r>
    </w:p>
    <w:p w14:paraId="5816CA24">
      <w:pPr>
        <w:spacing w:line="360" w:lineRule="auto"/>
        <w:ind w:firstLine="540"/>
        <w:rPr>
          <w:rFonts w:ascii="宋体" w:hAnsi="宋体" w:cs="宋体"/>
          <w:bCs/>
          <w:color w:val="auto"/>
          <w:kern w:val="0"/>
          <w:szCs w:val="21"/>
        </w:rPr>
      </w:pPr>
      <w:r>
        <w:rPr>
          <w:rFonts w:hint="eastAsia" w:ascii="宋体" w:hAnsi="宋体" w:cs="宋体"/>
          <w:bCs/>
          <w:color w:val="auto"/>
          <w:kern w:val="0"/>
          <w:szCs w:val="21"/>
        </w:rPr>
        <w:t>方式：网上下载。本项目不发放纸质文件，投标人自行登录广西政府采购云平台（https：//www.gcy.zfcg.gxzf.gov.cn/）在线申请获取采购文件(操作路径：登录广西政府采购云平台-项目采购-获取采购文件-找到本项目-点击“申请获取采购文件”) ，电子投标文件制作需要基于广西政府采购云平台获取的招标文件编制。</w:t>
      </w:r>
    </w:p>
    <w:p w14:paraId="5AE8759F">
      <w:pPr>
        <w:spacing w:line="360" w:lineRule="auto"/>
        <w:ind w:firstLine="540"/>
        <w:rPr>
          <w:rFonts w:ascii="宋体" w:hAnsi="宋体" w:cs="宋体"/>
          <w:color w:val="auto"/>
          <w:szCs w:val="21"/>
        </w:rPr>
      </w:pPr>
      <w:r>
        <w:rPr>
          <w:rFonts w:hint="eastAsia" w:ascii="宋体" w:hAnsi="宋体" w:cs="宋体"/>
          <w:bCs/>
          <w:color w:val="auto"/>
          <w:kern w:val="0"/>
          <w:szCs w:val="21"/>
        </w:rPr>
        <w:t>售价：</w:t>
      </w:r>
      <w:r>
        <w:rPr>
          <w:rFonts w:hint="eastAsia" w:ascii="宋体" w:hAnsi="宋体"/>
          <w:color w:val="auto"/>
          <w:szCs w:val="21"/>
        </w:rPr>
        <w:t>0元</w:t>
      </w:r>
    </w:p>
    <w:p w14:paraId="5C65733A">
      <w:pPr>
        <w:spacing w:line="360" w:lineRule="auto"/>
        <w:rPr>
          <w:rFonts w:ascii="黑体" w:hAnsi="黑体" w:eastAsia="黑体"/>
          <w:b/>
          <w:bCs/>
          <w:color w:val="auto"/>
          <w:sz w:val="24"/>
        </w:rPr>
      </w:pPr>
      <w:bookmarkStart w:id="33" w:name="_Toc28359005"/>
      <w:bookmarkStart w:id="34" w:name="_Toc28359082"/>
      <w:bookmarkStart w:id="35" w:name="_Toc35393624"/>
      <w:bookmarkStart w:id="36" w:name="_Toc35393793"/>
      <w:r>
        <w:rPr>
          <w:rFonts w:hint="eastAsia" w:ascii="黑体" w:hAnsi="黑体" w:eastAsia="黑体"/>
          <w:b/>
          <w:bCs/>
          <w:color w:val="auto"/>
          <w:sz w:val="24"/>
        </w:rPr>
        <w:t>四、提交投标文件</w:t>
      </w:r>
      <w:bookmarkEnd w:id="33"/>
      <w:bookmarkEnd w:id="34"/>
      <w:r>
        <w:rPr>
          <w:rFonts w:hint="eastAsia" w:ascii="黑体" w:hAnsi="黑体" w:eastAsia="黑体"/>
          <w:b/>
          <w:bCs/>
          <w:color w:val="auto"/>
          <w:sz w:val="24"/>
        </w:rPr>
        <w:t>截止时间、开标时间和地点</w:t>
      </w:r>
      <w:bookmarkEnd w:id="35"/>
      <w:bookmarkEnd w:id="36"/>
    </w:p>
    <w:p w14:paraId="6FEEAA85">
      <w:pPr>
        <w:snapToGrid w:val="0"/>
        <w:spacing w:line="360" w:lineRule="auto"/>
        <w:ind w:firstLine="420" w:firstLineChars="200"/>
        <w:rPr>
          <w:rFonts w:ascii="宋体" w:hAnsi="宋体"/>
          <w:bCs/>
          <w:color w:val="auto"/>
          <w:szCs w:val="21"/>
        </w:rPr>
      </w:pPr>
      <w:r>
        <w:rPr>
          <w:rFonts w:hint="eastAsia" w:ascii="宋体" w:hAnsi="宋体"/>
          <w:bCs/>
          <w:color w:val="auto"/>
          <w:szCs w:val="21"/>
        </w:rPr>
        <w:t>提交投标文件截止时间：</w:t>
      </w:r>
      <w:r>
        <w:rPr>
          <w:rFonts w:hint="eastAsia" w:ascii="宋体" w:hAnsi="宋体" w:cs="宋体"/>
          <w:color w:val="auto"/>
          <w:szCs w:val="21"/>
        </w:rPr>
        <w:t>202</w:t>
      </w:r>
      <w:r>
        <w:rPr>
          <w:rFonts w:hint="eastAsia" w:ascii="宋体" w:hAnsi="宋体" w:cs="宋体"/>
          <w:color w:val="auto"/>
          <w:szCs w:val="21"/>
          <w:lang w:val="en-US" w:eastAsia="zh-CN"/>
        </w:rPr>
        <w:t>6</w:t>
      </w:r>
      <w:r>
        <w:rPr>
          <w:rFonts w:hint="eastAsia" w:ascii="宋体" w:hAnsi="宋体" w:cs="宋体"/>
          <w:color w:val="auto"/>
          <w:szCs w:val="21"/>
        </w:rPr>
        <w:t>年</w:t>
      </w:r>
      <w:r>
        <w:rPr>
          <w:rFonts w:hint="eastAsia" w:ascii="宋体" w:hAnsi="宋体"/>
          <w:color w:val="auto"/>
          <w:szCs w:val="21"/>
          <w:u w:val="none"/>
          <w:lang w:val="en-US" w:eastAsia="zh-CN"/>
        </w:rPr>
        <w:t>11</w:t>
      </w:r>
      <w:r>
        <w:rPr>
          <w:rFonts w:hint="eastAsia" w:ascii="宋体" w:hAnsi="宋体" w:cs="宋体"/>
          <w:color w:val="auto"/>
          <w:szCs w:val="21"/>
        </w:rPr>
        <w:t>月</w:t>
      </w:r>
      <w:r>
        <w:rPr>
          <w:rFonts w:hint="eastAsia" w:ascii="宋体" w:hAnsi="宋体"/>
          <w:color w:val="auto"/>
          <w:szCs w:val="21"/>
          <w:u w:val="none"/>
          <w:lang w:val="en-US" w:eastAsia="zh-CN"/>
        </w:rPr>
        <w:t>23</w:t>
      </w:r>
      <w:r>
        <w:rPr>
          <w:rFonts w:hint="eastAsia" w:ascii="宋体" w:hAnsi="宋体" w:cs="宋体"/>
          <w:color w:val="auto"/>
          <w:szCs w:val="21"/>
        </w:rPr>
        <w:t>日</w:t>
      </w:r>
      <w:r>
        <w:rPr>
          <w:rFonts w:hint="eastAsia" w:ascii="宋体" w:hAnsi="宋体" w:cs="宋体"/>
          <w:bCs/>
          <w:color w:val="auto"/>
          <w:szCs w:val="21"/>
        </w:rPr>
        <w:t>09：30</w:t>
      </w:r>
      <w:r>
        <w:rPr>
          <w:rFonts w:hint="eastAsia" w:ascii="宋体" w:hAnsi="宋体" w:cs="宋体"/>
          <w:color w:val="auto"/>
          <w:szCs w:val="21"/>
        </w:rPr>
        <w:t>(北京时间)。</w:t>
      </w:r>
    </w:p>
    <w:p w14:paraId="6EB9B081">
      <w:pPr>
        <w:snapToGrid w:val="0"/>
        <w:spacing w:line="360" w:lineRule="auto"/>
        <w:ind w:firstLine="420" w:firstLineChars="200"/>
        <w:rPr>
          <w:rFonts w:ascii="宋体" w:hAnsi="宋体"/>
          <w:bCs/>
          <w:color w:val="auto"/>
          <w:szCs w:val="21"/>
        </w:rPr>
      </w:pPr>
      <w:r>
        <w:rPr>
          <w:rFonts w:hint="eastAsia" w:ascii="宋体" w:hAnsi="宋体"/>
          <w:bCs/>
          <w:color w:val="auto"/>
          <w:szCs w:val="21"/>
        </w:rPr>
        <w:t xml:space="preserve">投标地点（网址）： </w:t>
      </w:r>
      <w:r>
        <w:rPr>
          <w:rFonts w:hint="eastAsia" w:ascii="宋体" w:hAnsi="宋体" w:cs="宋体"/>
          <w:color w:val="auto"/>
          <w:szCs w:val="21"/>
        </w:rPr>
        <w:t>通过</w:t>
      </w:r>
      <w:r>
        <w:rPr>
          <w:rFonts w:hint="eastAsia" w:ascii="宋体" w:hAnsi="宋体" w:cs="宋体"/>
          <w:bCs/>
          <w:color w:val="auto"/>
          <w:kern w:val="0"/>
          <w:szCs w:val="21"/>
        </w:rPr>
        <w:t>广西政府采购云平台（https</w:t>
      </w:r>
      <w:r>
        <w:rPr>
          <w:rFonts w:ascii="宋体" w:hAnsi="宋体" w:cs="宋体"/>
          <w:bCs/>
          <w:color w:val="auto"/>
          <w:kern w:val="0"/>
          <w:szCs w:val="21"/>
        </w:rPr>
        <w:t>：</w:t>
      </w:r>
      <w:r>
        <w:rPr>
          <w:rFonts w:hint="eastAsia" w:ascii="宋体" w:hAnsi="宋体" w:cs="宋体"/>
          <w:bCs/>
          <w:color w:val="auto"/>
          <w:kern w:val="0"/>
          <w:szCs w:val="21"/>
        </w:rPr>
        <w:t>//www.gcy.zfcg.gxzf.gov.cn/）</w:t>
      </w:r>
      <w:r>
        <w:rPr>
          <w:rFonts w:hint="eastAsia" w:ascii="宋体" w:hAnsi="宋体" w:cs="宋体"/>
          <w:color w:val="auto"/>
          <w:szCs w:val="21"/>
        </w:rPr>
        <w:t>在线提交。</w:t>
      </w:r>
    </w:p>
    <w:p w14:paraId="0F1F36CE">
      <w:pPr>
        <w:snapToGrid w:val="0"/>
        <w:spacing w:line="360" w:lineRule="auto"/>
        <w:ind w:firstLine="420" w:firstLineChars="200"/>
        <w:rPr>
          <w:rFonts w:ascii="宋体" w:hAnsi="宋体"/>
          <w:bCs/>
          <w:color w:val="auto"/>
          <w:szCs w:val="21"/>
        </w:rPr>
      </w:pPr>
      <w:r>
        <w:rPr>
          <w:rFonts w:hint="eastAsia" w:ascii="宋体" w:hAnsi="宋体"/>
          <w:bCs/>
          <w:color w:val="auto"/>
          <w:szCs w:val="21"/>
        </w:rPr>
        <w:t>开标时间：</w:t>
      </w:r>
      <w:r>
        <w:rPr>
          <w:rFonts w:hint="eastAsia" w:ascii="宋体" w:hAnsi="宋体" w:cs="宋体"/>
          <w:color w:val="auto"/>
          <w:szCs w:val="21"/>
        </w:rPr>
        <w:t>202</w:t>
      </w:r>
      <w:r>
        <w:rPr>
          <w:rFonts w:hint="eastAsia" w:ascii="宋体" w:hAnsi="宋体" w:cs="宋体"/>
          <w:color w:val="auto"/>
          <w:szCs w:val="21"/>
          <w:lang w:val="en-US" w:eastAsia="zh-CN"/>
        </w:rPr>
        <w:t>6</w:t>
      </w:r>
      <w:r>
        <w:rPr>
          <w:rFonts w:hint="eastAsia" w:ascii="宋体" w:hAnsi="宋体" w:cs="宋体"/>
          <w:color w:val="auto"/>
          <w:szCs w:val="21"/>
        </w:rPr>
        <w:t>年</w:t>
      </w:r>
      <w:r>
        <w:rPr>
          <w:rFonts w:hint="eastAsia" w:ascii="宋体" w:hAnsi="宋体"/>
          <w:color w:val="auto"/>
          <w:szCs w:val="21"/>
          <w:u w:val="none"/>
          <w:lang w:val="en-US" w:eastAsia="zh-CN"/>
        </w:rPr>
        <w:t>11</w:t>
      </w:r>
      <w:r>
        <w:rPr>
          <w:rFonts w:hint="eastAsia" w:ascii="宋体" w:hAnsi="宋体" w:cs="宋体"/>
          <w:color w:val="auto"/>
          <w:szCs w:val="21"/>
        </w:rPr>
        <w:t>月</w:t>
      </w:r>
      <w:r>
        <w:rPr>
          <w:rFonts w:hint="eastAsia" w:ascii="宋体" w:hAnsi="宋体"/>
          <w:color w:val="auto"/>
          <w:szCs w:val="21"/>
          <w:u w:val="none"/>
          <w:lang w:val="en-US" w:eastAsia="zh-CN"/>
        </w:rPr>
        <w:t>23</w:t>
      </w:r>
      <w:r>
        <w:rPr>
          <w:rFonts w:hint="eastAsia" w:ascii="宋体" w:hAnsi="宋体" w:cs="宋体"/>
          <w:color w:val="auto"/>
          <w:szCs w:val="21"/>
        </w:rPr>
        <w:t>日</w:t>
      </w:r>
      <w:r>
        <w:rPr>
          <w:rFonts w:hint="eastAsia" w:ascii="宋体" w:hAnsi="宋体" w:cs="宋体"/>
          <w:bCs/>
          <w:color w:val="auto"/>
          <w:szCs w:val="21"/>
        </w:rPr>
        <w:t>09：30</w:t>
      </w:r>
      <w:r>
        <w:rPr>
          <w:rFonts w:hint="eastAsia" w:ascii="宋体" w:hAnsi="宋体" w:cs="宋体"/>
          <w:color w:val="auto"/>
          <w:szCs w:val="21"/>
        </w:rPr>
        <w:t>(北京时间)</w:t>
      </w:r>
    </w:p>
    <w:p w14:paraId="22DCDDC5">
      <w:pPr>
        <w:spacing w:line="360" w:lineRule="auto"/>
        <w:ind w:firstLine="420" w:firstLineChars="200"/>
        <w:rPr>
          <w:rFonts w:ascii="宋体" w:hAnsi="宋体"/>
          <w:bCs/>
          <w:color w:val="auto"/>
          <w:szCs w:val="21"/>
          <w:u w:val="single"/>
        </w:rPr>
      </w:pPr>
      <w:r>
        <w:rPr>
          <w:rFonts w:hint="eastAsia" w:ascii="宋体" w:hAnsi="宋体"/>
          <w:bCs/>
          <w:color w:val="auto"/>
          <w:szCs w:val="21"/>
        </w:rPr>
        <w:t>开标地点：</w:t>
      </w:r>
      <w:r>
        <w:rPr>
          <w:rFonts w:hint="eastAsia" w:ascii="宋体" w:hAnsi="宋体" w:cs="宋体"/>
          <w:color w:val="auto"/>
          <w:szCs w:val="21"/>
        </w:rPr>
        <w:t>本项目将在</w:t>
      </w:r>
      <w:r>
        <w:rPr>
          <w:rFonts w:hint="eastAsia" w:ascii="宋体" w:hAnsi="宋体" w:cs="宋体"/>
          <w:bCs/>
          <w:color w:val="auto"/>
          <w:kern w:val="0"/>
          <w:szCs w:val="21"/>
        </w:rPr>
        <w:t>广西政府采购云平台（https</w:t>
      </w:r>
      <w:r>
        <w:rPr>
          <w:rFonts w:ascii="宋体" w:hAnsi="宋体" w:cs="宋体"/>
          <w:bCs/>
          <w:color w:val="auto"/>
          <w:kern w:val="0"/>
          <w:szCs w:val="21"/>
        </w:rPr>
        <w:t>：</w:t>
      </w:r>
      <w:r>
        <w:rPr>
          <w:rFonts w:hint="eastAsia" w:ascii="宋体" w:hAnsi="宋体" w:cs="宋体"/>
          <w:bCs/>
          <w:color w:val="auto"/>
          <w:kern w:val="0"/>
          <w:szCs w:val="21"/>
        </w:rPr>
        <w:t>//www.gcy.zfcg.gxzf.gov.cn/）</w:t>
      </w:r>
      <w:r>
        <w:rPr>
          <w:rFonts w:hint="eastAsia" w:ascii="宋体" w:hAnsi="宋体" w:cs="宋体"/>
          <w:color w:val="auto"/>
          <w:szCs w:val="21"/>
        </w:rPr>
        <w:t>电子开标大厅解密、开启。</w:t>
      </w:r>
    </w:p>
    <w:p w14:paraId="6F5C0A7F">
      <w:pPr>
        <w:spacing w:line="360" w:lineRule="auto"/>
        <w:rPr>
          <w:rFonts w:ascii="黑体" w:hAnsi="黑体" w:eastAsia="黑体"/>
          <w:b/>
          <w:bCs/>
          <w:color w:val="auto"/>
          <w:sz w:val="24"/>
        </w:rPr>
      </w:pPr>
      <w:bookmarkStart w:id="37" w:name="_Toc35393625"/>
      <w:bookmarkStart w:id="38" w:name="_Toc35393794"/>
      <w:bookmarkStart w:id="39" w:name="_Toc28359007"/>
      <w:bookmarkStart w:id="40" w:name="_Toc28359084"/>
      <w:r>
        <w:rPr>
          <w:rFonts w:hint="eastAsia" w:ascii="黑体" w:hAnsi="黑体" w:eastAsia="黑体"/>
          <w:b/>
          <w:bCs/>
          <w:color w:val="auto"/>
          <w:sz w:val="24"/>
        </w:rPr>
        <w:t>五、公告期限</w:t>
      </w:r>
      <w:bookmarkEnd w:id="37"/>
      <w:bookmarkEnd w:id="38"/>
      <w:bookmarkEnd w:id="39"/>
      <w:bookmarkEnd w:id="40"/>
    </w:p>
    <w:p w14:paraId="14C5AA2B">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自本公告发布之日起5个工作日。</w:t>
      </w:r>
    </w:p>
    <w:p w14:paraId="312E8D9C">
      <w:pPr>
        <w:spacing w:line="360" w:lineRule="auto"/>
        <w:rPr>
          <w:rFonts w:ascii="黑体" w:hAnsi="黑体" w:eastAsia="黑体"/>
          <w:b/>
          <w:bCs/>
          <w:color w:val="auto"/>
          <w:sz w:val="24"/>
        </w:rPr>
      </w:pPr>
      <w:bookmarkStart w:id="41" w:name="_Toc35393795"/>
      <w:bookmarkStart w:id="42" w:name="_Toc35393626"/>
      <w:r>
        <w:rPr>
          <w:rFonts w:hint="eastAsia" w:ascii="黑体" w:hAnsi="黑体" w:eastAsia="黑体"/>
          <w:b/>
          <w:bCs/>
          <w:color w:val="auto"/>
          <w:sz w:val="24"/>
        </w:rPr>
        <w:t>六、其他补充事宜</w:t>
      </w:r>
      <w:bookmarkEnd w:id="41"/>
      <w:bookmarkEnd w:id="42"/>
    </w:p>
    <w:p w14:paraId="4889FAF8">
      <w:pPr>
        <w:spacing w:line="360" w:lineRule="auto"/>
        <w:ind w:firstLine="315" w:firstLineChars="150"/>
        <w:rPr>
          <w:rFonts w:ascii="宋体" w:hAnsi="宋体" w:cs="宋体"/>
          <w:color w:val="auto"/>
          <w:kern w:val="0"/>
          <w:szCs w:val="21"/>
        </w:rPr>
      </w:pPr>
      <w:r>
        <w:rPr>
          <w:rFonts w:hint="eastAsia" w:ascii="宋体" w:hAnsi="宋体" w:cs="宋体"/>
          <w:color w:val="auto"/>
          <w:kern w:val="0"/>
          <w:szCs w:val="21"/>
        </w:rPr>
        <w:t>1</w:t>
      </w:r>
      <w:r>
        <w:rPr>
          <w:rFonts w:ascii="宋体" w:hAnsi="宋体" w:cs="宋体"/>
          <w:color w:val="auto"/>
          <w:kern w:val="0"/>
          <w:szCs w:val="21"/>
        </w:rPr>
        <w:t>.</w:t>
      </w:r>
      <w:r>
        <w:rPr>
          <w:rFonts w:hint="eastAsia" w:ascii="宋体" w:hAnsi="宋体" w:cs="宋体"/>
          <w:color w:val="auto"/>
          <w:kern w:val="0"/>
          <w:szCs w:val="21"/>
        </w:rPr>
        <w:t>投标保证金：本项目不收取投标保证金。</w:t>
      </w:r>
      <w:bookmarkStart w:id="43" w:name="_Hlk37429585"/>
    </w:p>
    <w:p w14:paraId="152B9845">
      <w:pPr>
        <w:spacing w:line="360" w:lineRule="auto"/>
        <w:ind w:firstLine="315" w:firstLineChars="150"/>
        <w:rPr>
          <w:rFonts w:ascii="宋体" w:hAnsi="宋体" w:cs="宋体"/>
          <w:color w:val="auto"/>
          <w:kern w:val="0"/>
          <w:szCs w:val="21"/>
        </w:rPr>
      </w:pPr>
      <w:r>
        <w:rPr>
          <w:rFonts w:hint="eastAsia" w:ascii="宋体" w:hAnsi="宋体" w:cs="宋体"/>
          <w:color w:val="auto"/>
          <w:kern w:val="0"/>
          <w:szCs w:val="21"/>
        </w:rPr>
        <w:t>2</w:t>
      </w:r>
      <w:bookmarkStart w:id="44" w:name="_Hlk37429595"/>
      <w:r>
        <w:rPr>
          <w:rFonts w:hint="eastAsia" w:ascii="宋体" w:hAnsi="宋体" w:cs="宋体"/>
          <w:color w:val="auto"/>
          <w:kern w:val="0"/>
          <w:szCs w:val="21"/>
        </w:rPr>
        <w:t>.信息发布媒体：中国政府采购网（http://www.ccgp.gov.cn）、广西壮族自治区政府采购网（http://zfcg.gxzf.gov.cn）</w:t>
      </w:r>
      <w:bookmarkEnd w:id="43"/>
    </w:p>
    <w:bookmarkEnd w:id="44"/>
    <w:p w14:paraId="5E6645AB">
      <w:pPr>
        <w:spacing w:line="360" w:lineRule="auto"/>
        <w:ind w:firstLine="315" w:firstLineChars="150"/>
        <w:rPr>
          <w:rFonts w:ascii="宋体" w:hAnsi="宋体" w:cs="宋体"/>
          <w:color w:val="auto"/>
          <w:kern w:val="0"/>
          <w:szCs w:val="21"/>
        </w:rPr>
      </w:pPr>
      <w:bookmarkStart w:id="45" w:name="_Hlk37429674"/>
      <w:r>
        <w:rPr>
          <w:rFonts w:hint="eastAsia" w:ascii="宋体" w:hAnsi="宋体"/>
          <w:color w:val="auto"/>
          <w:szCs w:val="21"/>
        </w:rPr>
        <w:t>3</w:t>
      </w:r>
      <w:r>
        <w:rPr>
          <w:rFonts w:ascii="宋体" w:hAnsi="宋体"/>
          <w:color w:val="auto"/>
          <w:szCs w:val="21"/>
        </w:rPr>
        <w:t>.</w:t>
      </w:r>
      <w:r>
        <w:rPr>
          <w:rFonts w:hint="eastAsia" w:ascii="宋体" w:hAnsi="宋体" w:cs="宋体"/>
          <w:color w:val="auto"/>
          <w:kern w:val="0"/>
          <w:szCs w:val="21"/>
        </w:rPr>
        <w:t>本项目需要落实的政府采购政策</w:t>
      </w:r>
    </w:p>
    <w:p w14:paraId="55EFF7B3">
      <w:pPr>
        <w:spacing w:line="360" w:lineRule="auto"/>
        <w:ind w:firstLine="315" w:firstLineChars="150"/>
        <w:rPr>
          <w:rFonts w:ascii="宋体" w:hAnsi="宋体" w:cs="宋体"/>
          <w:color w:val="auto"/>
          <w:kern w:val="0"/>
          <w:szCs w:val="21"/>
        </w:rPr>
      </w:pPr>
      <w:r>
        <w:rPr>
          <w:rFonts w:hint="eastAsia" w:ascii="宋体" w:hAnsi="宋体" w:cs="宋体"/>
          <w:color w:val="auto"/>
          <w:kern w:val="0"/>
          <w:szCs w:val="21"/>
        </w:rPr>
        <w:t>（1）政府采购促进中小企业发展。</w:t>
      </w:r>
    </w:p>
    <w:p w14:paraId="0CC89A34">
      <w:pPr>
        <w:spacing w:line="360" w:lineRule="auto"/>
        <w:ind w:firstLine="315" w:firstLineChars="150"/>
        <w:rPr>
          <w:rFonts w:ascii="宋体" w:hAnsi="宋体" w:cs="宋体"/>
          <w:color w:val="auto"/>
          <w:kern w:val="0"/>
          <w:szCs w:val="21"/>
        </w:rPr>
      </w:pPr>
      <w:r>
        <w:rPr>
          <w:rFonts w:hint="eastAsia" w:ascii="宋体" w:hAnsi="宋体" w:cs="宋体"/>
          <w:color w:val="auto"/>
          <w:kern w:val="0"/>
          <w:szCs w:val="21"/>
        </w:rPr>
        <w:t>（2）政府采购支持采用本国产品的政策。</w:t>
      </w:r>
    </w:p>
    <w:p w14:paraId="77B527C6">
      <w:pPr>
        <w:spacing w:line="360" w:lineRule="auto"/>
        <w:ind w:firstLine="315" w:firstLineChars="150"/>
        <w:rPr>
          <w:rFonts w:ascii="宋体" w:hAnsi="宋体" w:cs="宋体"/>
          <w:color w:val="auto"/>
          <w:kern w:val="0"/>
          <w:szCs w:val="21"/>
        </w:rPr>
      </w:pPr>
      <w:r>
        <w:rPr>
          <w:rFonts w:hint="eastAsia" w:ascii="宋体" w:hAnsi="宋体" w:cs="宋体"/>
          <w:color w:val="auto"/>
          <w:kern w:val="0"/>
          <w:szCs w:val="21"/>
        </w:rPr>
        <w:t>（3）强制采购节能产品；优先采购节能产品、环境标志产品。</w:t>
      </w:r>
    </w:p>
    <w:p w14:paraId="448557A6">
      <w:pPr>
        <w:spacing w:line="360" w:lineRule="auto"/>
        <w:ind w:firstLine="315" w:firstLineChars="150"/>
        <w:rPr>
          <w:rFonts w:ascii="宋体" w:hAnsi="宋体" w:cs="宋体"/>
          <w:color w:val="auto"/>
          <w:kern w:val="0"/>
          <w:szCs w:val="21"/>
        </w:rPr>
      </w:pPr>
      <w:r>
        <w:rPr>
          <w:rFonts w:hint="eastAsia" w:ascii="宋体" w:hAnsi="宋体" w:cs="宋体"/>
          <w:color w:val="auto"/>
          <w:kern w:val="0"/>
          <w:szCs w:val="21"/>
        </w:rPr>
        <w:t>（4）政府采购促进残疾人就业政策。</w:t>
      </w:r>
    </w:p>
    <w:p w14:paraId="370D3FBE">
      <w:pPr>
        <w:spacing w:line="360" w:lineRule="auto"/>
        <w:ind w:firstLine="315" w:firstLineChars="150"/>
        <w:rPr>
          <w:rFonts w:ascii="宋体" w:hAnsi="宋体" w:cs="宋体"/>
          <w:color w:val="auto"/>
          <w:kern w:val="0"/>
          <w:szCs w:val="21"/>
        </w:rPr>
      </w:pPr>
      <w:r>
        <w:rPr>
          <w:rFonts w:hint="eastAsia" w:ascii="宋体" w:hAnsi="宋体" w:cs="宋体"/>
          <w:color w:val="auto"/>
          <w:kern w:val="0"/>
          <w:szCs w:val="21"/>
        </w:rPr>
        <w:t>（5）政府采购支持监狱企业发展。</w:t>
      </w:r>
      <w:bookmarkEnd w:id="45"/>
    </w:p>
    <w:p w14:paraId="480794B6">
      <w:pPr>
        <w:spacing w:line="360" w:lineRule="auto"/>
        <w:ind w:firstLine="315" w:firstLineChars="150"/>
        <w:rPr>
          <w:rFonts w:ascii="宋体" w:hAnsi="宋体" w:cs="宋体"/>
          <w:color w:val="auto"/>
          <w:kern w:val="0"/>
          <w:szCs w:val="21"/>
        </w:rPr>
      </w:pPr>
      <w:r>
        <w:rPr>
          <w:rFonts w:hint="eastAsia" w:ascii="宋体" w:hAnsi="宋体" w:cs="宋体"/>
          <w:color w:val="auto"/>
          <w:kern w:val="0"/>
          <w:szCs w:val="21"/>
        </w:rPr>
        <w:t>4.资格条件特别说明：</w:t>
      </w:r>
    </w:p>
    <w:p w14:paraId="0989A8D5">
      <w:pPr>
        <w:spacing w:line="360" w:lineRule="auto"/>
        <w:ind w:firstLine="315" w:firstLineChars="150"/>
        <w:rPr>
          <w:rFonts w:ascii="宋体" w:hAnsi="宋体" w:cs="宋体"/>
          <w:color w:val="auto"/>
          <w:kern w:val="0"/>
          <w:szCs w:val="21"/>
        </w:rPr>
      </w:pPr>
      <w:r>
        <w:rPr>
          <w:rFonts w:hint="eastAsia" w:ascii="宋体" w:hAnsi="宋体" w:cs="宋体"/>
          <w:color w:val="auto"/>
          <w:kern w:val="0"/>
          <w:szCs w:val="21"/>
        </w:rPr>
        <w:t>（1）单位负责人为同一人或者存在直接控股、管理关系的不同供应商，不得参加同一合同项下的政府采购活动。除单一来源采购项目外，为本项目提供过整体设计、规范编制或者项目管理、监理、检测等服务的供应商，不得再参加本项目上述服务以外的其他采购活动。</w:t>
      </w:r>
    </w:p>
    <w:p w14:paraId="242C7E26">
      <w:pPr>
        <w:spacing w:line="360" w:lineRule="auto"/>
        <w:ind w:firstLine="315" w:firstLineChars="150"/>
        <w:rPr>
          <w:rFonts w:ascii="宋体" w:hAnsi="宋体" w:cs="宋体"/>
          <w:color w:val="auto"/>
          <w:kern w:val="0"/>
          <w:szCs w:val="21"/>
        </w:rPr>
      </w:pPr>
      <w:r>
        <w:rPr>
          <w:rFonts w:hint="eastAsia" w:ascii="宋体" w:hAnsi="宋体" w:cs="宋体"/>
          <w:color w:val="auto"/>
          <w:kern w:val="0"/>
          <w:szCs w:val="21"/>
        </w:rPr>
        <w:t>（2）对在“信用中国”网站(www.creditchina.gov.cn)、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5351A1B7">
      <w:pPr>
        <w:spacing w:line="360" w:lineRule="auto"/>
        <w:ind w:firstLine="315" w:firstLineChars="150"/>
        <w:rPr>
          <w:rFonts w:ascii="宋体" w:hAnsi="宋体" w:cs="宋体"/>
          <w:color w:val="auto"/>
          <w:kern w:val="0"/>
          <w:szCs w:val="21"/>
        </w:rPr>
      </w:pPr>
      <w:r>
        <w:rPr>
          <w:rFonts w:hint="eastAsia" w:ascii="宋体" w:hAnsi="宋体" w:cs="宋体"/>
          <w:color w:val="auto"/>
          <w:kern w:val="0"/>
          <w:szCs w:val="21"/>
        </w:rPr>
        <w:t>（3）已获取招标文件的供应商不等于符合本项目的供应商资格条件。</w:t>
      </w:r>
    </w:p>
    <w:p w14:paraId="347F35C6">
      <w:pPr>
        <w:spacing w:line="360" w:lineRule="auto"/>
        <w:ind w:firstLine="315" w:firstLineChars="150"/>
        <w:rPr>
          <w:rFonts w:ascii="宋体" w:hAnsi="宋体" w:cs="宋体"/>
          <w:color w:val="auto"/>
          <w:kern w:val="0"/>
          <w:szCs w:val="21"/>
        </w:rPr>
      </w:pPr>
      <w:r>
        <w:rPr>
          <w:rFonts w:hint="eastAsia" w:ascii="宋体" w:hAnsi="宋体" w:cs="宋体"/>
          <w:color w:val="auto"/>
          <w:kern w:val="0"/>
          <w:szCs w:val="21"/>
        </w:rPr>
        <w:t>5.投标人投标注意事项</w:t>
      </w:r>
    </w:p>
    <w:p w14:paraId="5AE205D0">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1）本项目为全流程电子化政府采购项目，通过广西政府采购云平台（https：//www.gcy.zfcg.gxzf.gov.cn/）实行在线电子投标，投标人应先安装广西政府采购云平台新版客户端（新版客户端下载路径：广西政府采购网（访问地址http：//zfcg.gxzf.gov.cn/）—办事服务—下载专区），并按照本项目招标文件和广西政府采购云平台的要求编制、加密后在投标截止时间前通过网络上传至广西政府采购云平台（加密的电子投标文件是指后缀名为“jmbs”的文件），投标人在广西政府采购云平台提交电子投标文件时，请填写参加远程开标活动经办人联系方式。投标人可登录广西政府采购云平台，依次进入“服务中心-项目采购-操作流程-电子招投标-政府采购项目电子交易管理操作指南-供应商”查看电子投标具体操作流程。</w:t>
      </w:r>
    </w:p>
    <w:p w14:paraId="417E770E">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广西政府采购云平台，依次进入“服务中心-入驻与配置”中查看CA数字证书办理操作流程。</w:t>
      </w:r>
    </w:p>
    <w:p w14:paraId="5F0B0453">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（3）CA证书在线解密：投标人投标时，需凭制作投标文件时用来加密的有效数字证书（CA认证）登录广西政府采购云平台电子开标大厅现场按规定时间对加密的投标文件进行解密，否则后果自负。</w:t>
      </w:r>
    </w:p>
    <w:p w14:paraId="751BCD6B">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注：1）为确保网上操作合法、有效和安全，请投标人确保在电子投标过程中能够对相关数据电文进行加密和使用电子签章，妥善保管CA数字证书并使用有效的CA数字证书参与整个招标活动。</w:t>
      </w:r>
    </w:p>
    <w:p w14:paraId="1107F355">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2）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p>
    <w:p w14:paraId="3C65E72B">
      <w:pPr>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若对项目采购电子交易系统操作有疑问，可登录广西政府采购云平台（https：//www.gcy.zfcg.gxzf.gov.cn/），点击右侧咨询小采，获取采小蜜智能服务管家帮助，或拨打服务热线95763或者0771-3381253获取帮助。</w:t>
      </w:r>
    </w:p>
    <w:p w14:paraId="13AF948D">
      <w:pPr>
        <w:spacing w:line="360" w:lineRule="auto"/>
        <w:ind w:firstLine="420" w:firstLineChars="200"/>
        <w:rPr>
          <w:rFonts w:hint="eastAsia" w:ascii="宋体" w:hAnsi="宋体" w:eastAsia="宋体" w:cs="宋体"/>
          <w:color w:val="auto"/>
          <w:kern w:val="0"/>
          <w:szCs w:val="21"/>
          <w:lang w:eastAsia="zh-CN"/>
        </w:rPr>
      </w:pPr>
      <w:r>
        <w:rPr>
          <w:rFonts w:hint="eastAsia" w:ascii="宋体" w:hAnsi="宋体" w:cs="宋体"/>
          <w:color w:val="auto"/>
          <w:kern w:val="0"/>
          <w:szCs w:val="21"/>
        </w:rPr>
        <w:t>6.监督部门监督管理机构：广西壮族自治区财政厅政府采购监督管理处电话：0771-5331544</w:t>
      </w:r>
      <w:r>
        <w:rPr>
          <w:rFonts w:hint="eastAsia" w:ascii="宋体" w:hAnsi="宋体" w:cs="宋体"/>
          <w:color w:val="auto"/>
          <w:kern w:val="0"/>
          <w:szCs w:val="21"/>
          <w:lang w:eastAsia="zh-CN"/>
        </w:rPr>
        <w:t>。</w:t>
      </w:r>
    </w:p>
    <w:p w14:paraId="62F8DF35">
      <w:pPr>
        <w:spacing w:line="360" w:lineRule="auto"/>
        <w:rPr>
          <w:rFonts w:ascii="黑体" w:hAnsi="黑体" w:eastAsia="黑体"/>
          <w:b/>
          <w:bCs/>
          <w:color w:val="auto"/>
          <w:sz w:val="24"/>
        </w:rPr>
      </w:pPr>
      <w:bookmarkStart w:id="46" w:name="_Toc28359085"/>
      <w:bookmarkStart w:id="47" w:name="_Toc28359008"/>
      <w:bookmarkStart w:id="48" w:name="_Toc35393627"/>
      <w:bookmarkStart w:id="49" w:name="_Toc35393796"/>
      <w:r>
        <w:rPr>
          <w:rFonts w:hint="eastAsia" w:ascii="黑体" w:hAnsi="黑体" w:eastAsia="黑体"/>
          <w:b/>
          <w:bCs/>
          <w:color w:val="auto"/>
          <w:sz w:val="24"/>
        </w:rPr>
        <w:t>七、对本次</w:t>
      </w:r>
      <w:r>
        <w:rPr>
          <w:rFonts w:hint="eastAsia" w:ascii="黑体" w:hAnsi="黑体" w:eastAsia="黑体"/>
          <w:b/>
          <w:bCs/>
          <w:color w:val="auto"/>
          <w:sz w:val="24"/>
          <w:lang w:val="en-US" w:eastAsia="zh-CN"/>
        </w:rPr>
        <w:t>采购</w:t>
      </w:r>
      <w:r>
        <w:rPr>
          <w:rFonts w:hint="eastAsia" w:ascii="黑体" w:hAnsi="黑体" w:eastAsia="黑体"/>
          <w:b/>
          <w:bCs/>
          <w:color w:val="auto"/>
          <w:sz w:val="24"/>
        </w:rPr>
        <w:t>提出询问，请按</w:t>
      </w:r>
      <w:r>
        <w:rPr>
          <w:rFonts w:ascii="黑体" w:hAnsi="黑体" w:eastAsia="黑体"/>
          <w:b/>
          <w:bCs/>
          <w:color w:val="auto"/>
          <w:sz w:val="24"/>
        </w:rPr>
        <w:t>以下方式</w:t>
      </w:r>
      <w:r>
        <w:rPr>
          <w:rFonts w:hint="eastAsia" w:ascii="黑体" w:hAnsi="黑体" w:eastAsia="黑体"/>
          <w:b/>
          <w:bCs/>
          <w:color w:val="auto"/>
          <w:sz w:val="24"/>
        </w:rPr>
        <w:t>联系。</w:t>
      </w:r>
      <w:bookmarkEnd w:id="46"/>
      <w:bookmarkEnd w:id="47"/>
      <w:bookmarkEnd w:id="48"/>
      <w:bookmarkEnd w:id="49"/>
    </w:p>
    <w:p w14:paraId="7A62B20C">
      <w:pPr>
        <w:spacing w:line="360" w:lineRule="auto"/>
        <w:ind w:firstLine="420" w:firstLineChars="200"/>
        <w:jc w:val="left"/>
        <w:rPr>
          <w:rFonts w:ascii="宋体" w:hAnsi="宋体"/>
          <w:color w:val="auto"/>
          <w:szCs w:val="21"/>
        </w:rPr>
      </w:pPr>
      <w:r>
        <w:rPr>
          <w:rFonts w:hint="eastAsia" w:ascii="宋体" w:hAnsi="宋体" w:cs="宋体"/>
          <w:color w:val="auto"/>
          <w:szCs w:val="21"/>
        </w:rPr>
        <w:t>1.采购人信息</w:t>
      </w:r>
    </w:p>
    <w:p w14:paraId="4A156047">
      <w:pPr>
        <w:spacing w:line="360" w:lineRule="auto"/>
        <w:ind w:firstLine="420" w:firstLineChars="200"/>
        <w:jc w:val="left"/>
        <w:rPr>
          <w:rFonts w:hint="eastAsia" w:ascii="宋体" w:hAnsi="宋体" w:eastAsia="宋体" w:cs="宋体"/>
          <w:color w:val="auto"/>
          <w:szCs w:val="21"/>
          <w:lang w:eastAsia="zh-CN"/>
        </w:rPr>
      </w:pPr>
      <w:r>
        <w:rPr>
          <w:rFonts w:hint="eastAsia" w:ascii="宋体" w:hAnsi="宋体" w:cs="宋体"/>
          <w:color w:val="auto"/>
          <w:szCs w:val="21"/>
        </w:rPr>
        <w:t>名称：</w:t>
      </w:r>
      <w:r>
        <w:rPr>
          <w:rFonts w:hint="eastAsia" w:ascii="宋体" w:hAnsi="宋体" w:cs="宋体"/>
          <w:color w:val="auto"/>
          <w:szCs w:val="21"/>
          <w:lang w:eastAsia="zh-CN"/>
        </w:rPr>
        <w:t>桂林医科大学第二附属医院</w:t>
      </w:r>
    </w:p>
    <w:p w14:paraId="508B717A">
      <w:pPr>
        <w:spacing w:line="360" w:lineRule="auto"/>
        <w:ind w:firstLine="420" w:firstLineChars="200"/>
        <w:jc w:val="left"/>
        <w:rPr>
          <w:rFonts w:hint="eastAsia" w:ascii="宋体" w:hAnsi="宋体" w:eastAsia="宋体" w:cs="宋体"/>
          <w:color w:val="auto"/>
          <w:szCs w:val="21"/>
          <w:lang w:eastAsia="zh-CN"/>
        </w:rPr>
      </w:pPr>
      <w:r>
        <w:rPr>
          <w:rFonts w:hint="eastAsia" w:ascii="宋体" w:hAnsi="宋体" w:cs="宋体"/>
          <w:color w:val="auto"/>
          <w:szCs w:val="21"/>
        </w:rPr>
        <w:t>地址：</w:t>
      </w:r>
      <w:r>
        <w:rPr>
          <w:rFonts w:hint="eastAsia" w:ascii="宋体" w:hAnsi="宋体" w:cs="宋体"/>
          <w:color w:val="auto"/>
          <w:szCs w:val="21"/>
          <w:lang w:eastAsia="zh-CN"/>
        </w:rPr>
        <w:t>广西桂林市临桂区人民路212号</w:t>
      </w:r>
    </w:p>
    <w:p w14:paraId="7D82ACC3">
      <w:pPr>
        <w:spacing w:line="360" w:lineRule="auto"/>
        <w:ind w:firstLine="420" w:firstLineChars="200"/>
        <w:jc w:val="left"/>
        <w:rPr>
          <w:rFonts w:ascii="宋体" w:hAnsi="宋体" w:cs="宋体"/>
          <w:color w:val="auto"/>
          <w:szCs w:val="21"/>
        </w:rPr>
      </w:pPr>
      <w:r>
        <w:rPr>
          <w:rFonts w:hint="eastAsia" w:ascii="宋体" w:hAnsi="宋体" w:cs="宋体"/>
          <w:color w:val="auto"/>
          <w:szCs w:val="21"/>
        </w:rPr>
        <w:t>项目联系人：曾老师</w:t>
      </w:r>
    </w:p>
    <w:p w14:paraId="1000D956">
      <w:pPr>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项目联系方式：0773-5590063</w:t>
      </w:r>
    </w:p>
    <w:p w14:paraId="6812CF78">
      <w:pPr>
        <w:spacing w:line="360" w:lineRule="auto"/>
        <w:ind w:firstLine="420" w:firstLineChars="200"/>
        <w:jc w:val="left"/>
        <w:rPr>
          <w:rFonts w:ascii="宋体" w:hAnsi="宋体" w:cs="宋体"/>
          <w:color w:val="auto"/>
          <w:szCs w:val="21"/>
        </w:rPr>
      </w:pPr>
      <w:r>
        <w:rPr>
          <w:rFonts w:hint="eastAsia" w:ascii="宋体" w:hAnsi="宋体" w:cs="宋体"/>
          <w:color w:val="auto"/>
          <w:szCs w:val="21"/>
          <w:lang w:eastAsia="zh-CN"/>
        </w:rPr>
        <w:t>2</w:t>
      </w:r>
      <w:r>
        <w:rPr>
          <w:rFonts w:hint="eastAsia" w:ascii="宋体" w:hAnsi="宋体" w:cs="宋体"/>
          <w:color w:val="auto"/>
          <w:szCs w:val="21"/>
          <w:lang w:val="en-US" w:eastAsia="zh-CN"/>
        </w:rPr>
        <w:t>.</w:t>
      </w:r>
      <w:r>
        <w:rPr>
          <w:rFonts w:hint="eastAsia" w:ascii="宋体" w:hAnsi="宋体" w:cs="宋体"/>
          <w:color w:val="auto"/>
          <w:szCs w:val="21"/>
        </w:rPr>
        <w:t>采购代理机构信息</w:t>
      </w:r>
    </w:p>
    <w:p w14:paraId="6E03C814">
      <w:pPr>
        <w:spacing w:line="360" w:lineRule="auto"/>
        <w:ind w:firstLine="420" w:firstLineChars="200"/>
        <w:jc w:val="left"/>
        <w:rPr>
          <w:rFonts w:ascii="宋体" w:hAnsi="宋体" w:cs="宋体"/>
          <w:color w:val="auto"/>
          <w:szCs w:val="21"/>
        </w:rPr>
      </w:pPr>
      <w:r>
        <w:rPr>
          <w:rFonts w:hint="eastAsia" w:ascii="宋体" w:hAnsi="宋体" w:cs="宋体"/>
          <w:color w:val="auto"/>
          <w:szCs w:val="21"/>
        </w:rPr>
        <w:t>名称：建银工程咨询有限责任公司</w:t>
      </w:r>
    </w:p>
    <w:p w14:paraId="6F1F8979">
      <w:pPr>
        <w:spacing w:line="360" w:lineRule="auto"/>
        <w:ind w:firstLine="420" w:firstLineChars="200"/>
        <w:jc w:val="left"/>
        <w:rPr>
          <w:rFonts w:ascii="宋体" w:hAnsi="宋体" w:cs="宋体"/>
          <w:color w:val="auto"/>
          <w:szCs w:val="21"/>
        </w:rPr>
      </w:pPr>
      <w:r>
        <w:rPr>
          <w:rFonts w:hint="eastAsia" w:ascii="宋体" w:hAnsi="宋体" w:cs="宋体"/>
          <w:color w:val="auto"/>
          <w:szCs w:val="21"/>
        </w:rPr>
        <w:t>地址：桂林市解放西路3-5号五楼</w:t>
      </w:r>
    </w:p>
    <w:p w14:paraId="52829EA1">
      <w:pPr>
        <w:spacing w:line="360" w:lineRule="auto"/>
        <w:ind w:firstLine="420" w:firstLineChars="200"/>
        <w:jc w:val="left"/>
        <w:rPr>
          <w:rFonts w:hint="default" w:ascii="宋体" w:hAnsi="宋体" w:eastAsia="宋体" w:cs="宋体"/>
          <w:color w:val="auto"/>
          <w:szCs w:val="21"/>
          <w:lang w:val="en-US" w:eastAsia="zh-CN"/>
        </w:rPr>
      </w:pPr>
      <w:r>
        <w:rPr>
          <w:rFonts w:hint="eastAsia" w:ascii="宋体" w:hAnsi="宋体" w:cs="宋体"/>
          <w:color w:val="auto"/>
          <w:szCs w:val="21"/>
        </w:rPr>
        <w:t>项目联系人：黎明勇、</w:t>
      </w:r>
      <w:r>
        <w:rPr>
          <w:rFonts w:hint="eastAsia" w:ascii="宋体" w:hAnsi="宋体" w:cs="宋体"/>
          <w:color w:val="auto"/>
          <w:szCs w:val="21"/>
          <w:lang w:val="en-US" w:eastAsia="zh-CN"/>
        </w:rPr>
        <w:t>蒙蔷驿、</w:t>
      </w:r>
      <w:r>
        <w:rPr>
          <w:rFonts w:hint="eastAsia" w:ascii="宋体" w:hAnsi="宋体" w:cs="宋体"/>
          <w:color w:val="auto"/>
          <w:szCs w:val="21"/>
        </w:rPr>
        <w:t>罗燕、艾迪</w:t>
      </w:r>
      <w:r>
        <w:rPr>
          <w:rFonts w:hint="eastAsia" w:ascii="宋体" w:hAnsi="宋体" w:cs="宋体"/>
          <w:color w:val="auto"/>
          <w:szCs w:val="21"/>
          <w:lang w:eastAsia="zh-CN"/>
        </w:rPr>
        <w:t>、</w:t>
      </w:r>
      <w:r>
        <w:rPr>
          <w:rFonts w:hint="eastAsia" w:ascii="宋体" w:hAnsi="宋体" w:cs="宋体"/>
          <w:color w:val="auto"/>
          <w:szCs w:val="21"/>
          <w:lang w:val="en-US" w:eastAsia="zh-CN"/>
        </w:rPr>
        <w:t>覃玉梅</w:t>
      </w:r>
    </w:p>
    <w:p w14:paraId="2C47713B">
      <w:pPr>
        <w:spacing w:line="360" w:lineRule="auto"/>
        <w:ind w:firstLine="420" w:firstLineChars="200"/>
        <w:jc w:val="left"/>
        <w:rPr>
          <w:rFonts w:ascii="宋体" w:hAnsi="宋体" w:cs="宋体"/>
          <w:color w:val="auto"/>
          <w:szCs w:val="21"/>
        </w:rPr>
      </w:pPr>
      <w:r>
        <w:rPr>
          <w:rFonts w:hint="eastAsia" w:ascii="宋体" w:hAnsi="宋体" w:cs="宋体"/>
          <w:color w:val="auto"/>
          <w:szCs w:val="21"/>
        </w:rPr>
        <w:t>项目联系方式：0773-2834827</w:t>
      </w:r>
    </w:p>
    <w:p w14:paraId="76AFFC56">
      <w:pPr>
        <w:spacing w:line="360" w:lineRule="auto"/>
        <w:jc w:val="right"/>
        <w:rPr>
          <w:rFonts w:ascii="宋体" w:hAnsi="宋体" w:cs="宋体"/>
          <w:color w:val="auto"/>
          <w:u w:val="single"/>
        </w:rPr>
      </w:pPr>
      <w:r>
        <w:rPr>
          <w:rFonts w:hint="eastAsia" w:ascii="宋体" w:hAnsi="宋体" w:cs="宋体"/>
          <w:color w:val="auto"/>
          <w:szCs w:val="21"/>
        </w:rPr>
        <w:t>建银工程咨询有限责任公司</w:t>
      </w:r>
    </w:p>
    <w:p w14:paraId="524D6EBE">
      <w:pPr>
        <w:spacing w:line="360" w:lineRule="auto"/>
        <w:jc w:val="right"/>
        <w:rPr>
          <w:rFonts w:ascii="仿宋_GB2312" w:hAnsi="宋体" w:eastAsia="仿宋_GB2312"/>
          <w:color w:val="auto"/>
          <w:sz w:val="24"/>
          <w:szCs w:val="20"/>
        </w:rPr>
      </w:pPr>
      <w:r>
        <w:rPr>
          <w:rFonts w:hint="eastAsia" w:ascii="宋体" w:hAnsi="宋体" w:cs="宋体"/>
          <w:color w:val="auto"/>
        </w:rPr>
        <w:t>202</w:t>
      </w:r>
      <w:r>
        <w:rPr>
          <w:rFonts w:hint="eastAsia" w:ascii="宋体" w:hAnsi="宋体" w:cs="宋体"/>
          <w:color w:val="auto"/>
          <w:lang w:val="en-US" w:eastAsia="zh-CN"/>
        </w:rPr>
        <w:t>6</w:t>
      </w:r>
      <w:r>
        <w:rPr>
          <w:rFonts w:hint="eastAsia" w:ascii="宋体" w:hAnsi="宋体" w:cs="宋体"/>
          <w:color w:val="auto"/>
        </w:rPr>
        <w:t>年</w:t>
      </w:r>
      <w:r>
        <w:rPr>
          <w:rFonts w:hint="eastAsia" w:ascii="宋体" w:hAnsi="宋体"/>
          <w:color w:val="auto"/>
          <w:szCs w:val="21"/>
          <w:u w:val="none"/>
          <w:lang w:val="en-US" w:eastAsia="zh-CN"/>
        </w:rPr>
        <w:t>11</w:t>
      </w:r>
      <w:r>
        <w:rPr>
          <w:rFonts w:hint="eastAsia" w:ascii="宋体" w:hAnsi="宋体" w:cs="宋体"/>
          <w:color w:val="auto"/>
        </w:rPr>
        <w:t>月</w:t>
      </w:r>
      <w:r>
        <w:rPr>
          <w:rFonts w:hint="eastAsia" w:ascii="宋体" w:hAnsi="宋体"/>
          <w:color w:val="auto"/>
          <w:szCs w:val="21"/>
          <w:u w:val="none"/>
          <w:lang w:val="en-US" w:eastAsia="zh-CN"/>
        </w:rPr>
        <w:t>2</w:t>
      </w:r>
      <w:r>
        <w:rPr>
          <w:rFonts w:hint="eastAsia" w:ascii="宋体" w:hAnsi="宋体" w:cs="宋体"/>
          <w:color w:val="auto"/>
        </w:rPr>
        <w:t>日</w:t>
      </w:r>
      <w:r>
        <w:rPr>
          <w:rFonts w:ascii="仿宋_GB2312" w:hAnsi="宋体" w:eastAsia="仿宋_GB2312"/>
          <w:color w:val="auto"/>
          <w:sz w:val="24"/>
          <w:szCs w:val="20"/>
        </w:rPr>
        <w:br w:type="page"/>
      </w:r>
    </w:p>
    <w:p w14:paraId="41CA74ED">
      <w:pPr>
        <w:pStyle w:val="3"/>
        <w:keepNext w:val="0"/>
        <w:keepLines w:val="0"/>
        <w:jc w:val="center"/>
        <w:rPr>
          <w:color w:val="auto"/>
          <w:sz w:val="30"/>
          <w:szCs w:val="30"/>
        </w:rPr>
      </w:pPr>
      <w:bookmarkStart w:id="50" w:name="_Toc20037"/>
      <w:bookmarkStart w:id="51" w:name="_Toc2732"/>
      <w:bookmarkStart w:id="52" w:name="_Toc11295"/>
      <w:bookmarkStart w:id="53" w:name="_Toc24431"/>
      <w:bookmarkStart w:id="54" w:name="_Toc18819"/>
      <w:bookmarkStart w:id="55" w:name="_Toc9785"/>
      <w:bookmarkStart w:id="56" w:name="_Toc20648"/>
      <w:bookmarkStart w:id="57" w:name="_Toc11100"/>
      <w:bookmarkStart w:id="58" w:name="_Toc24175"/>
      <w:bookmarkStart w:id="59" w:name="_Toc4018"/>
      <w:bookmarkStart w:id="60" w:name="_Toc828"/>
      <w:bookmarkStart w:id="61" w:name="_Toc21819"/>
      <w:bookmarkStart w:id="62" w:name="_Toc11758"/>
      <w:bookmarkStart w:id="63" w:name="_Toc16967"/>
      <w:bookmarkStart w:id="64" w:name="_Toc1264"/>
      <w:r>
        <w:rPr>
          <w:rFonts w:hint="eastAsia"/>
          <w:color w:val="auto"/>
        </w:rPr>
        <w:t>第二章采购需求</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14AD77BA">
      <w:pPr>
        <w:spacing w:line="360" w:lineRule="auto"/>
        <w:jc w:val="left"/>
        <w:rPr>
          <w:rFonts w:ascii="宋体" w:hAnsi="宋体" w:cs="宋体"/>
          <w:color w:val="auto"/>
          <w:szCs w:val="21"/>
        </w:rPr>
      </w:pPr>
      <w:bookmarkStart w:id="65" w:name="_Toc254970631"/>
      <w:bookmarkStart w:id="66" w:name="_Toc254970490"/>
      <w:r>
        <w:rPr>
          <w:rFonts w:hint="eastAsia" w:ascii="宋体" w:hAnsi="宋体" w:cs="宋体"/>
          <w:color w:val="auto"/>
          <w:szCs w:val="21"/>
        </w:rPr>
        <w:t>说明：</w:t>
      </w:r>
    </w:p>
    <w:p w14:paraId="41137D95">
      <w:pPr>
        <w:spacing w:line="360" w:lineRule="auto"/>
        <w:ind w:firstLine="420" w:firstLineChars="200"/>
        <w:rPr>
          <w:rFonts w:hint="eastAsia"/>
          <w:color w:val="auto"/>
          <w:highlight w:val="none"/>
        </w:rPr>
      </w:pPr>
      <w:r>
        <w:rPr>
          <w:rFonts w:hint="eastAsia"/>
          <w:color w:val="auto"/>
          <w:highlight w:val="none"/>
        </w:rPr>
        <w:t>1.为落实政府采购政策需满足的要求</w:t>
      </w:r>
    </w:p>
    <w:p w14:paraId="1F536912">
      <w:pPr>
        <w:spacing w:line="360" w:lineRule="auto"/>
        <w:ind w:firstLine="420" w:firstLineChars="200"/>
        <w:rPr>
          <w:rFonts w:hint="eastAsia"/>
          <w:color w:val="auto"/>
          <w:highlight w:val="none"/>
        </w:rPr>
      </w:pPr>
      <w:r>
        <w:rPr>
          <w:rFonts w:hint="eastAsia"/>
          <w:color w:val="auto"/>
          <w:highlight w:val="none"/>
        </w:rPr>
        <w:t>本招标文件所称中小企业必须符合《政府采购促进中小企业发展管理办法》（财库〔2020〕46号）</w:t>
      </w:r>
      <w:r>
        <w:rPr>
          <w:rFonts w:hint="eastAsia" w:ascii="宋体" w:hAnsi="宋体" w:cs="宋体"/>
          <w:color w:val="auto"/>
          <w:szCs w:val="21"/>
          <w:highlight w:val="none"/>
        </w:rPr>
        <w:t>、《广西壮族自治区财政厅关于贯彻落实政府采购支持中小企业发展政策的通知》（桂财采〔2022〕31号）</w:t>
      </w:r>
      <w:r>
        <w:rPr>
          <w:rFonts w:hint="eastAsia" w:ascii="宋体" w:hAnsi="宋体" w:cs="宋体"/>
          <w:color w:val="auto"/>
          <w:szCs w:val="21"/>
          <w:highlight w:val="none"/>
          <w:lang w:val="en-US" w:eastAsia="zh-CN"/>
        </w:rPr>
        <w:t>及《广西壮族自治区财政厅关于持续优化政府采购营商环境推动高质量发展的通知》（桂财采〔2024〕55号）</w:t>
      </w:r>
      <w:r>
        <w:rPr>
          <w:rFonts w:hint="eastAsia"/>
          <w:color w:val="auto"/>
          <w:highlight w:val="none"/>
        </w:rPr>
        <w:t>的规定。</w:t>
      </w:r>
    </w:p>
    <w:p w14:paraId="59A66759">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2.标注“★”的条款或要求系指实质性条款或实质性要求，必须满足，如存在负偏离将导致投标被否决。▲为非实质性主要技术参数或条款，作为重点评审因素。</w:t>
      </w:r>
    </w:p>
    <w:p w14:paraId="3758B02F">
      <w:pPr>
        <w:spacing w:line="360" w:lineRule="auto"/>
        <w:ind w:firstLine="426" w:firstLineChars="202"/>
        <w:jc w:val="left"/>
        <w:rPr>
          <w:rFonts w:hint="eastAsia" w:ascii="宋体" w:hAnsi="宋体" w:cs="宋体"/>
          <w:b/>
          <w:bCs/>
          <w:color w:val="auto"/>
          <w:highlight w:val="none"/>
        </w:rPr>
      </w:pPr>
      <w:r>
        <w:rPr>
          <w:rFonts w:hint="eastAsia" w:ascii="宋体" w:hAnsi="宋体" w:cs="宋体"/>
          <w:b/>
          <w:bCs/>
          <w:color w:val="auto"/>
          <w:szCs w:val="21"/>
          <w:highlight w:val="none"/>
          <w:lang w:val="en-US" w:eastAsia="zh-CN"/>
        </w:rPr>
        <w:t>3</w:t>
      </w:r>
      <w:r>
        <w:rPr>
          <w:rFonts w:hint="eastAsia" w:ascii="宋体" w:hAnsi="宋体" w:cs="宋体"/>
          <w:b/>
          <w:bCs/>
          <w:color w:val="auto"/>
          <w:szCs w:val="21"/>
          <w:highlight w:val="none"/>
        </w:rPr>
        <w:t>.供应商应根据自身实际情况如实响应招标文件，不得仅将招标文件内容简单复制粘贴作为投标响应，还应当提供相关证明材料，否则将作无效响应处理（定制采购项目不适用本条款）。</w:t>
      </w:r>
    </w:p>
    <w:p w14:paraId="49886D09">
      <w:pPr>
        <w:spacing w:line="360" w:lineRule="auto"/>
        <w:ind w:firstLine="424" w:firstLineChars="202"/>
        <w:jc w:val="left"/>
        <w:rPr>
          <w:rFonts w:hint="eastAsia" w:ascii="宋体" w:hAnsi="宋体" w:cs="宋体"/>
          <w:color w:val="auto"/>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w:t>
      </w:r>
      <w:r>
        <w:rPr>
          <w:rFonts w:hint="eastAsia" w:ascii="宋体" w:hAnsi="宋体" w:cs="宋体"/>
          <w:color w:val="auto"/>
          <w:highlight w:val="none"/>
        </w:rPr>
        <w:t>供应商必须自行为其投标产品侵犯他人的知识产权或者专利成果的行为承担相应法律责任。</w:t>
      </w:r>
    </w:p>
    <w:p w14:paraId="5ECDC13B">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b w:val="0"/>
          <w:bCs w:val="0"/>
          <w:color w:val="auto"/>
          <w:szCs w:val="21"/>
          <w:highlight w:val="none"/>
          <w:lang w:val="en-US" w:eastAsia="zh-CN"/>
        </w:rPr>
        <w:t>5</w:t>
      </w:r>
      <w:r>
        <w:rPr>
          <w:rFonts w:hint="eastAsia" w:ascii="宋体" w:hAnsi="宋体" w:cs="宋体"/>
          <w:color w:val="000000" w:themeColor="text1"/>
          <w:szCs w:val="21"/>
          <w14:textFill>
            <w14:solidFill>
              <w14:schemeClr w14:val="tx1"/>
            </w14:solidFill>
          </w14:textFill>
        </w:rPr>
        <w:t>.需实现的功能、目标及应用场景：满足招标文件要求，验收达到合格标准。</w:t>
      </w:r>
    </w:p>
    <w:p w14:paraId="6D720BF4">
      <w:pPr>
        <w:spacing w:line="360" w:lineRule="auto"/>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t>.需执行的国家相关标准、行业标准、地方标准或者其他标准、规范：符合现行国家相关标准、行业标准、地方标准或者其他标准、规范。</w:t>
      </w:r>
    </w:p>
    <w:p w14:paraId="557D163B">
      <w:pPr>
        <w:spacing w:line="360" w:lineRule="auto"/>
        <w:ind w:firstLine="420" w:firstLineChars="200"/>
        <w:rPr>
          <w:rFonts w:hint="eastAsia"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7</w:t>
      </w:r>
      <w:r>
        <w:rPr>
          <w:rFonts w:hint="eastAsia" w:ascii="宋体" w:hAnsi="宋体" w:cs="宋体"/>
          <w:color w:val="000000" w:themeColor="text1"/>
          <w:szCs w:val="21"/>
          <w14:textFill>
            <w14:solidFill>
              <w14:schemeClr w14:val="tx1"/>
            </w14:solidFill>
          </w14:textFill>
        </w:rPr>
        <w:t>.</w:t>
      </w:r>
      <w:r>
        <w:rPr>
          <w:rFonts w:ascii="宋体" w:hAnsi="宋体" w:cs="宋体"/>
          <w:color w:val="000000" w:themeColor="text1"/>
          <w:szCs w:val="21"/>
          <w14:textFill>
            <w14:solidFill>
              <w14:schemeClr w14:val="tx1"/>
            </w14:solidFill>
          </w14:textFill>
        </w:rPr>
        <w:t>标的所属行业：</w:t>
      </w:r>
      <w:r>
        <w:rPr>
          <w:rFonts w:hint="eastAsia"/>
          <w:color w:val="000000"/>
          <w:highlight w:val="none"/>
        </w:rPr>
        <w:t>其他未列明行业</w:t>
      </w:r>
    </w:p>
    <w:p w14:paraId="72A55A8F">
      <w:pPr>
        <w:spacing w:line="360" w:lineRule="auto"/>
        <w:ind w:firstLine="420" w:firstLineChars="200"/>
        <w:rPr>
          <w:color w:val="000000" w:themeColor="text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8</w:t>
      </w:r>
      <w:r>
        <w:rPr>
          <w:rFonts w:hint="eastAsia" w:ascii="宋体" w:hAnsi="宋体" w:cs="宋体"/>
          <w:color w:val="000000" w:themeColor="text1"/>
          <w:szCs w:val="21"/>
          <w14:textFill>
            <w14:solidFill>
              <w14:schemeClr w14:val="tx1"/>
            </w14:solidFill>
          </w14:textFill>
        </w:rPr>
        <w:t>.核心产品：本项目为服务项目，不适用核心产品规定。</w:t>
      </w:r>
    </w:p>
    <w:p w14:paraId="44E896E9">
      <w:pPr>
        <w:spacing w:after="0" w:line="360" w:lineRule="auto"/>
        <w:ind w:firstLine="424" w:firstLineChars="202"/>
        <w:jc w:val="left"/>
        <w:rPr>
          <w:rFonts w:hint="eastAsia" w:ascii="宋体" w:hAnsi="宋体" w:eastAsia="宋体" w:cs="宋体"/>
          <w:b w:val="0"/>
          <w:bCs w:val="0"/>
          <w:color w:val="auto"/>
          <w:szCs w:val="24"/>
          <w:highlight w:val="none"/>
        </w:rPr>
      </w:pPr>
    </w:p>
    <w:p w14:paraId="74BB4285">
      <w:pPr>
        <w:pStyle w:val="45"/>
        <w:rPr>
          <w:rFonts w:hint="eastAsia" w:ascii="宋体" w:hAnsi="宋体" w:eastAsia="宋体" w:cs="宋体"/>
          <w:b w:val="0"/>
          <w:bCs w:val="0"/>
          <w:color w:val="auto"/>
          <w:szCs w:val="24"/>
          <w:highlight w:val="none"/>
        </w:rPr>
      </w:pPr>
    </w:p>
    <w:p w14:paraId="791FA792">
      <w:pPr>
        <w:rPr>
          <w:rFonts w:hint="eastAsia" w:ascii="宋体" w:hAnsi="宋体" w:eastAsia="宋体" w:cs="宋体"/>
          <w:b w:val="0"/>
          <w:bCs w:val="0"/>
          <w:color w:val="auto"/>
          <w:szCs w:val="24"/>
          <w:highlight w:val="none"/>
        </w:rPr>
      </w:pPr>
      <w:r>
        <w:rPr>
          <w:rFonts w:hint="eastAsia" w:ascii="宋体" w:hAnsi="宋体" w:eastAsia="宋体" w:cs="宋体"/>
          <w:b w:val="0"/>
          <w:bCs w:val="0"/>
          <w:color w:val="auto"/>
          <w:szCs w:val="24"/>
          <w:highlight w:val="none"/>
        </w:rPr>
        <w:br w:type="page"/>
      </w:r>
    </w:p>
    <w:tbl>
      <w:tblPr>
        <w:tblStyle w:val="25"/>
        <w:tblW w:w="893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76"/>
        <w:gridCol w:w="991"/>
        <w:gridCol w:w="6664"/>
      </w:tblGrid>
      <w:tr w14:paraId="1B802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931" w:type="dxa"/>
            <w:gridSpan w:val="3"/>
            <w:noWrap w:val="0"/>
            <w:vAlign w:val="top"/>
          </w:tcPr>
          <w:p w14:paraId="4302416D">
            <w:pPr>
              <w:shd w:val="clear" w:color="auto" w:fill="FFFFFF"/>
              <w:tabs>
                <w:tab w:val="left" w:pos="180"/>
                <w:tab w:val="left" w:pos="1620"/>
              </w:tabs>
              <w:spacing w:line="400" w:lineRule="exact"/>
              <w:jc w:val="left"/>
              <w:rPr>
                <w:rFonts w:hint="eastAsia" w:ascii="宋体" w:hAnsi="宋体" w:cs="宋体"/>
                <w:b/>
                <w:szCs w:val="21"/>
              </w:rPr>
            </w:pPr>
            <w:r>
              <w:rPr>
                <w:rFonts w:hint="eastAsia" w:ascii="宋体" w:hAnsi="宋体" w:cs="宋体"/>
                <w:b/>
                <w:szCs w:val="21"/>
              </w:rPr>
              <w:t>一、服务内容及要求</w:t>
            </w:r>
          </w:p>
        </w:tc>
      </w:tr>
      <w:tr w14:paraId="31D62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276" w:type="dxa"/>
            <w:noWrap w:val="0"/>
            <w:vAlign w:val="center"/>
          </w:tcPr>
          <w:p w14:paraId="2ED593FF">
            <w:pPr>
              <w:shd w:val="clear" w:color="auto" w:fill="FFFFFF"/>
              <w:tabs>
                <w:tab w:val="left" w:pos="180"/>
                <w:tab w:val="left" w:pos="1620"/>
              </w:tabs>
              <w:spacing w:line="400" w:lineRule="exact"/>
              <w:jc w:val="center"/>
              <w:rPr>
                <w:rFonts w:hint="eastAsia" w:ascii="宋体" w:hAnsi="宋体" w:cs="宋体"/>
                <w:szCs w:val="21"/>
              </w:rPr>
            </w:pPr>
            <w:r>
              <w:rPr>
                <w:rFonts w:hint="eastAsia" w:ascii="宋体" w:hAnsi="宋体" w:cs="宋体"/>
                <w:szCs w:val="21"/>
              </w:rPr>
              <w:t>标的名称</w:t>
            </w:r>
          </w:p>
        </w:tc>
        <w:tc>
          <w:tcPr>
            <w:tcW w:w="991" w:type="dxa"/>
            <w:noWrap w:val="0"/>
            <w:vAlign w:val="center"/>
          </w:tcPr>
          <w:p w14:paraId="53DFBC78">
            <w:pPr>
              <w:shd w:val="clear" w:color="auto" w:fill="FFFFFF"/>
              <w:tabs>
                <w:tab w:val="left" w:pos="180"/>
                <w:tab w:val="left" w:pos="1620"/>
              </w:tabs>
              <w:spacing w:line="400" w:lineRule="exact"/>
              <w:jc w:val="center"/>
              <w:rPr>
                <w:rFonts w:hint="eastAsia" w:ascii="宋体" w:hAnsi="宋体" w:cs="宋体"/>
                <w:szCs w:val="21"/>
              </w:rPr>
            </w:pPr>
            <w:r>
              <w:rPr>
                <w:rFonts w:hint="eastAsia" w:ascii="宋体" w:hAnsi="宋体" w:cs="宋体"/>
                <w:szCs w:val="21"/>
              </w:rPr>
              <w:t>数量及单位</w:t>
            </w:r>
          </w:p>
        </w:tc>
        <w:tc>
          <w:tcPr>
            <w:tcW w:w="6664" w:type="dxa"/>
            <w:noWrap w:val="0"/>
            <w:vAlign w:val="center"/>
          </w:tcPr>
          <w:p w14:paraId="679EE70C">
            <w:pPr>
              <w:shd w:val="clear" w:color="auto" w:fill="FFFFFF"/>
              <w:tabs>
                <w:tab w:val="left" w:pos="180"/>
                <w:tab w:val="left" w:pos="1620"/>
              </w:tabs>
              <w:spacing w:line="400" w:lineRule="exact"/>
              <w:jc w:val="center"/>
              <w:rPr>
                <w:rFonts w:hint="eastAsia" w:ascii="宋体" w:hAnsi="宋体" w:cs="宋体"/>
                <w:b/>
                <w:szCs w:val="21"/>
              </w:rPr>
            </w:pPr>
            <w:r>
              <w:rPr>
                <w:rFonts w:hint="eastAsia" w:ascii="宋体" w:hAnsi="宋体" w:cs="宋体"/>
                <w:b/>
                <w:szCs w:val="21"/>
              </w:rPr>
              <w:t>服务内容及要求</w:t>
            </w:r>
          </w:p>
        </w:tc>
      </w:tr>
      <w:tr w14:paraId="336C2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276" w:type="dxa"/>
            <w:noWrap w:val="0"/>
            <w:vAlign w:val="center"/>
          </w:tcPr>
          <w:p w14:paraId="5EF8368B">
            <w:pPr>
              <w:shd w:val="clear" w:color="auto" w:fill="FFFFFF"/>
              <w:tabs>
                <w:tab w:val="left" w:pos="180"/>
                <w:tab w:val="left" w:pos="1620"/>
              </w:tabs>
              <w:spacing w:line="400" w:lineRule="exact"/>
              <w:jc w:val="center"/>
              <w:rPr>
                <w:rFonts w:hint="eastAsia" w:ascii="宋体" w:hAnsi="宋体" w:cs="宋体"/>
                <w:szCs w:val="21"/>
              </w:rPr>
            </w:pPr>
            <w:r>
              <w:rPr>
                <w:rFonts w:hint="eastAsia" w:ascii="宋体" w:hAnsi="宋体" w:cs="宋体"/>
                <w:szCs w:val="21"/>
              </w:rPr>
              <w:t>256排CT维保服务</w:t>
            </w:r>
          </w:p>
        </w:tc>
        <w:tc>
          <w:tcPr>
            <w:tcW w:w="991" w:type="dxa"/>
            <w:noWrap w:val="0"/>
            <w:vAlign w:val="center"/>
          </w:tcPr>
          <w:p w14:paraId="042F382E">
            <w:pPr>
              <w:shd w:val="clear" w:color="auto" w:fill="FFFFFF"/>
              <w:tabs>
                <w:tab w:val="left" w:pos="180"/>
                <w:tab w:val="left" w:pos="1620"/>
              </w:tabs>
              <w:spacing w:line="400" w:lineRule="exact"/>
              <w:jc w:val="center"/>
              <w:rPr>
                <w:rFonts w:hint="eastAsia" w:ascii="宋体" w:hAnsi="宋体" w:cs="宋体"/>
                <w:szCs w:val="21"/>
              </w:rPr>
            </w:pPr>
            <w:r>
              <w:rPr>
                <w:rFonts w:hint="eastAsia" w:ascii="宋体" w:hAnsi="宋体" w:cs="宋体"/>
                <w:szCs w:val="21"/>
              </w:rPr>
              <w:t>1项</w:t>
            </w:r>
          </w:p>
        </w:tc>
        <w:tc>
          <w:tcPr>
            <w:tcW w:w="6664" w:type="dxa"/>
            <w:noWrap w:val="0"/>
            <w:vAlign w:val="center"/>
          </w:tcPr>
          <w:p w14:paraId="78CD2779">
            <w:pPr>
              <w:snapToGrid/>
              <w:spacing w:line="360" w:lineRule="auto"/>
              <w:ind w:firstLine="0" w:firstLineChars="0"/>
              <w:jc w:val="left"/>
              <w:rPr>
                <w:rFonts w:hint="eastAsia" w:ascii="宋体" w:hAnsi="宋体" w:eastAsia="宋体" w:cs="Arial"/>
                <w:b/>
                <w:bCs w:val="0"/>
                <w:color w:val="auto"/>
                <w:szCs w:val="21"/>
                <w:highlight w:val="none"/>
              </w:rPr>
            </w:pPr>
            <w:r>
              <w:rPr>
                <w:rFonts w:hint="eastAsia" w:ascii="宋体" w:hAnsi="宋体" w:eastAsia="宋体" w:cs="Arial"/>
                <w:b/>
                <w:bCs w:val="0"/>
                <w:color w:val="auto"/>
                <w:szCs w:val="21"/>
                <w:highlight w:val="none"/>
              </w:rPr>
              <w:t>一、项目概述</w:t>
            </w:r>
          </w:p>
          <w:p w14:paraId="656B6BAF">
            <w:pPr>
              <w:snapToGrid/>
              <w:spacing w:line="360" w:lineRule="auto"/>
              <w:ind w:firstLine="0" w:firstLineChars="0"/>
              <w:jc w:val="left"/>
              <w:rPr>
                <w:rFonts w:hint="eastAsia" w:ascii="宋体" w:hAnsi="宋体" w:eastAsia="宋体" w:cs="Arial"/>
                <w:bCs/>
                <w:color w:val="auto"/>
                <w:szCs w:val="21"/>
                <w:highlight w:val="none"/>
                <w:lang w:val="en-US" w:eastAsia="zh-CN"/>
              </w:rPr>
            </w:pPr>
            <w:r>
              <w:rPr>
                <w:rFonts w:hint="eastAsia" w:ascii="宋体" w:hAnsi="宋体" w:eastAsia="宋体" w:cs="Arial"/>
                <w:bCs/>
                <w:color w:val="auto"/>
                <w:szCs w:val="21"/>
                <w:highlight w:val="none"/>
                <w:lang w:val="en-US" w:eastAsia="zh-CN"/>
              </w:rPr>
              <w:t>1、项目名称：256排CT维保服务</w:t>
            </w:r>
          </w:p>
          <w:p w14:paraId="7DFBDA38">
            <w:pPr>
              <w:snapToGrid/>
              <w:spacing w:line="360" w:lineRule="auto"/>
              <w:ind w:firstLine="0" w:firstLineChars="0"/>
              <w:jc w:val="left"/>
              <w:rPr>
                <w:rFonts w:hint="eastAsia" w:ascii="宋体" w:hAnsi="宋体" w:eastAsia="宋体" w:cs="Arial"/>
                <w:bCs/>
                <w:color w:val="auto"/>
                <w:szCs w:val="21"/>
                <w:highlight w:val="none"/>
                <w:lang w:val="en-US" w:eastAsia="zh-CN"/>
              </w:rPr>
            </w:pPr>
            <w:r>
              <w:rPr>
                <w:rFonts w:hint="eastAsia" w:ascii="宋体" w:hAnsi="宋体" w:eastAsia="宋体" w:cs="Arial"/>
                <w:bCs/>
                <w:color w:val="auto"/>
                <w:szCs w:val="21"/>
                <w:highlight w:val="none"/>
                <w:lang w:val="en-US" w:eastAsia="zh-CN"/>
              </w:rPr>
              <w:t>2、维保服务的设备型号：GE Revolution CT</w:t>
            </w:r>
          </w:p>
          <w:p w14:paraId="2A3D05CD">
            <w:pPr>
              <w:snapToGrid/>
              <w:spacing w:line="360" w:lineRule="auto"/>
              <w:ind w:firstLine="0" w:firstLineChars="0"/>
              <w:jc w:val="left"/>
              <w:rPr>
                <w:rFonts w:hint="eastAsia" w:ascii="宋体" w:hAnsi="宋体" w:eastAsia="宋体" w:cs="Arial"/>
                <w:bCs/>
                <w:color w:val="auto"/>
                <w:szCs w:val="21"/>
                <w:highlight w:val="none"/>
                <w:lang w:val="en-US" w:eastAsia="zh-CN"/>
              </w:rPr>
            </w:pPr>
            <w:r>
              <w:rPr>
                <w:rFonts w:hint="eastAsia" w:ascii="宋体" w:hAnsi="宋体" w:eastAsia="宋体" w:cs="Arial"/>
                <w:bCs/>
                <w:color w:val="auto"/>
                <w:szCs w:val="21"/>
                <w:highlight w:val="none"/>
                <w:lang w:val="en-US" w:eastAsia="zh-CN"/>
              </w:rPr>
              <w:t>3、服务期限：三年</w:t>
            </w:r>
          </w:p>
          <w:p w14:paraId="3D6E9BF1">
            <w:pPr>
              <w:snapToGrid/>
              <w:spacing w:line="360" w:lineRule="auto"/>
              <w:ind w:firstLine="0" w:firstLineChars="0"/>
              <w:jc w:val="left"/>
              <w:rPr>
                <w:rFonts w:hint="eastAsia" w:ascii="宋体" w:hAnsi="宋体" w:eastAsia="宋体" w:cs="Arial"/>
                <w:bCs/>
                <w:color w:val="auto"/>
                <w:szCs w:val="21"/>
                <w:highlight w:val="none"/>
                <w:lang w:val="en-US" w:eastAsia="zh-CN"/>
              </w:rPr>
            </w:pPr>
            <w:r>
              <w:rPr>
                <w:rFonts w:hint="eastAsia" w:ascii="宋体" w:hAnsi="宋体" w:eastAsia="宋体" w:cs="Arial"/>
                <w:bCs/>
                <w:color w:val="auto"/>
                <w:szCs w:val="21"/>
                <w:highlight w:val="none"/>
                <w:lang w:val="en-US" w:eastAsia="zh-CN"/>
              </w:rPr>
              <w:t>4、服务实施地点：桂林医科大学第二附属医院</w:t>
            </w:r>
          </w:p>
          <w:p w14:paraId="54E66F19">
            <w:pPr>
              <w:wordWrap/>
              <w:snapToGrid/>
              <w:spacing w:line="360" w:lineRule="auto"/>
              <w:ind w:firstLine="0" w:firstLineChars="0"/>
              <w:jc w:val="left"/>
              <w:rPr>
                <w:rFonts w:hint="eastAsia" w:ascii="宋体" w:hAnsi="宋体" w:eastAsia="宋体" w:cs="Arial"/>
                <w:b/>
                <w:bCs w:val="0"/>
                <w:color w:val="auto"/>
                <w:szCs w:val="21"/>
                <w:highlight w:val="none"/>
                <w:u w:val="none"/>
              </w:rPr>
            </w:pPr>
            <w:r>
              <w:rPr>
                <w:rFonts w:hint="eastAsia" w:ascii="宋体" w:hAnsi="宋体" w:eastAsia="宋体" w:cs="Arial"/>
                <w:b/>
                <w:bCs w:val="0"/>
                <w:color w:val="auto"/>
                <w:szCs w:val="21"/>
                <w:highlight w:val="none"/>
                <w:u w:val="none"/>
              </w:rPr>
              <w:t>二、保修类型和服务要求（完全包括以下内容但不限于以下内容）</w:t>
            </w:r>
          </w:p>
          <w:p w14:paraId="74B65596">
            <w:pPr>
              <w:spacing w:line="360" w:lineRule="auto"/>
              <w:jc w:val="left"/>
              <w:rPr>
                <w:rFonts w:hint="eastAsia" w:ascii="宋体" w:hAnsi="宋体" w:cs="Arial"/>
                <w:bCs/>
                <w:color w:val="auto"/>
                <w:szCs w:val="21"/>
                <w:highlight w:val="none"/>
              </w:rPr>
            </w:pPr>
            <w:r>
              <w:rPr>
                <w:rFonts w:hint="eastAsia" w:ascii="宋体" w:hAnsi="宋体" w:cs="Arial"/>
                <w:bCs/>
                <w:color w:val="auto"/>
                <w:szCs w:val="21"/>
                <w:highlight w:val="none"/>
              </w:rPr>
              <w:t>1、服务内容：紧急维修、备件更换、定期保养、开机率保障、所有人工服务费、保养服务费，以及维保服务范围内的所有备件。</w:t>
            </w:r>
          </w:p>
          <w:p w14:paraId="5745133C">
            <w:pPr>
              <w:wordWrap/>
              <w:snapToGrid/>
              <w:spacing w:line="360" w:lineRule="auto"/>
              <w:ind w:firstLine="0" w:firstLineChars="0"/>
              <w:jc w:val="left"/>
              <w:rPr>
                <w:rFonts w:hint="eastAsia" w:ascii="宋体" w:hAnsi="宋体" w:eastAsia="宋体" w:cs="Arial"/>
                <w:b w:val="0"/>
                <w:bCs/>
                <w:color w:val="auto"/>
                <w:szCs w:val="21"/>
                <w:highlight w:val="none"/>
                <w:u w:val="none"/>
              </w:rPr>
            </w:pPr>
            <w:r>
              <w:rPr>
                <w:rFonts w:hint="eastAsia" w:ascii="宋体" w:hAnsi="宋体" w:cs="Arial"/>
                <w:bCs/>
                <w:color w:val="auto"/>
                <w:szCs w:val="21"/>
                <w:highlight w:val="none"/>
              </w:rPr>
              <w:t>2、维保服务范围：包含球管、高压发生器、探测器、机架系统、病床、主机系统等整机及高压注射器（型号：StellantD-CE 序列号：311838）的紧急维修及零备件更换。</w:t>
            </w:r>
          </w:p>
          <w:p w14:paraId="27BDB395">
            <w:pPr>
              <w:wordWrap/>
              <w:snapToGrid/>
              <w:spacing w:line="360" w:lineRule="auto"/>
              <w:ind w:firstLine="0" w:firstLineChars="0"/>
              <w:jc w:val="left"/>
              <w:rPr>
                <w:rFonts w:hint="eastAsia" w:ascii="宋体" w:hAnsi="宋体" w:eastAsia="宋体" w:cs="Arial"/>
                <w:b/>
                <w:bCs w:val="0"/>
                <w:color w:val="auto"/>
                <w:szCs w:val="21"/>
                <w:highlight w:val="none"/>
                <w:u w:val="none"/>
              </w:rPr>
            </w:pPr>
            <w:r>
              <w:rPr>
                <w:rFonts w:hint="eastAsia" w:ascii="宋体" w:hAnsi="宋体" w:eastAsia="宋体" w:cs="Arial"/>
                <w:b/>
                <w:bCs w:val="0"/>
                <w:color w:val="auto"/>
                <w:szCs w:val="21"/>
                <w:highlight w:val="none"/>
                <w:u w:val="none"/>
                <w:lang w:val="en-US" w:eastAsia="zh-CN"/>
              </w:rPr>
              <w:t>三、</w:t>
            </w:r>
            <w:r>
              <w:rPr>
                <w:rFonts w:hint="eastAsia" w:ascii="宋体" w:hAnsi="宋体" w:eastAsia="宋体" w:cs="Arial"/>
                <w:b/>
                <w:bCs w:val="0"/>
                <w:color w:val="auto"/>
                <w:szCs w:val="21"/>
                <w:highlight w:val="none"/>
                <w:u w:val="none"/>
              </w:rPr>
              <w:t>维保服务的具体要求（★为实质性参数，必须满足）</w:t>
            </w:r>
          </w:p>
          <w:p w14:paraId="374E4C33">
            <w:pPr>
              <w:shd w:val="clear" w:color="auto" w:fill="auto"/>
              <w:spacing w:line="360" w:lineRule="auto"/>
              <w:jc w:val="left"/>
              <w:rPr>
                <w:rFonts w:hint="eastAsia" w:ascii="宋体" w:hAnsi="宋体" w:cs="Arial"/>
                <w:bCs/>
                <w:color w:val="auto"/>
                <w:szCs w:val="21"/>
                <w:highlight w:val="none"/>
              </w:rPr>
            </w:pPr>
            <w:r>
              <w:rPr>
                <w:rFonts w:hint="eastAsia" w:ascii="宋体" w:hAnsi="宋体" w:eastAsia="宋体" w:cs="Arial"/>
                <w:b/>
                <w:bCs w:val="0"/>
                <w:color w:val="auto"/>
                <w:szCs w:val="21"/>
                <w:highlight w:val="none"/>
                <w:u w:val="none"/>
              </w:rPr>
              <w:t>★</w:t>
            </w:r>
            <w:r>
              <w:rPr>
                <w:rFonts w:hint="eastAsia" w:ascii="宋体" w:hAnsi="宋体" w:cs="Arial"/>
                <w:bCs/>
                <w:color w:val="auto"/>
                <w:szCs w:val="21"/>
                <w:highlight w:val="none"/>
              </w:rPr>
              <w:t>1、报修方式：具备400或800客户服务专线电话，24小时*365天有专人接听。</w:t>
            </w:r>
          </w:p>
          <w:p w14:paraId="308704BE">
            <w:pPr>
              <w:shd w:val="clear" w:color="auto" w:fill="auto"/>
              <w:spacing w:line="360" w:lineRule="auto"/>
              <w:jc w:val="left"/>
              <w:rPr>
                <w:rFonts w:hint="eastAsia" w:ascii="宋体" w:hAnsi="宋体" w:cs="Arial"/>
                <w:bCs/>
                <w:color w:val="auto"/>
                <w:szCs w:val="21"/>
                <w:highlight w:val="none"/>
              </w:rPr>
            </w:pPr>
            <w:r>
              <w:rPr>
                <w:rFonts w:hint="eastAsia" w:ascii="宋体" w:hAnsi="宋体" w:cs="Arial"/>
                <w:bCs/>
                <w:color w:val="auto"/>
                <w:szCs w:val="21"/>
                <w:highlight w:val="none"/>
              </w:rPr>
              <w:t>2、服务响应时间：接到医院报修电话后，资深工程师1小时内电话响应，紧急故障若电话交流无法解决，则在接获报修电话后工程师12小时内到达现场。</w:t>
            </w:r>
          </w:p>
          <w:p w14:paraId="4DC54703">
            <w:pPr>
              <w:shd w:val="clear" w:color="auto" w:fill="auto"/>
              <w:spacing w:line="360" w:lineRule="auto"/>
              <w:jc w:val="left"/>
              <w:rPr>
                <w:rFonts w:hint="eastAsia" w:ascii="宋体" w:hAnsi="宋体" w:cs="Arial"/>
                <w:bCs/>
                <w:color w:val="auto"/>
                <w:szCs w:val="21"/>
                <w:highlight w:val="none"/>
              </w:rPr>
            </w:pPr>
            <w:r>
              <w:rPr>
                <w:rFonts w:hint="eastAsia" w:ascii="宋体" w:hAnsi="宋体" w:cs="Arial"/>
                <w:bCs/>
                <w:color w:val="auto"/>
                <w:szCs w:val="21"/>
                <w:highlight w:val="none"/>
              </w:rPr>
              <w:t>3、备件响应时间：需要更换零备件时，确保备件48小时内到达现场，特殊情况双方协商解决（仓库全年365天响应）。</w:t>
            </w:r>
          </w:p>
          <w:p w14:paraId="431C78F8">
            <w:pPr>
              <w:shd w:val="clear" w:color="auto" w:fill="auto"/>
              <w:spacing w:line="360" w:lineRule="auto"/>
              <w:jc w:val="left"/>
              <w:rPr>
                <w:rFonts w:hint="eastAsia" w:ascii="宋体" w:hAnsi="宋体" w:cs="Arial"/>
                <w:bCs/>
                <w:color w:val="auto"/>
                <w:szCs w:val="21"/>
                <w:highlight w:val="none"/>
              </w:rPr>
            </w:pPr>
            <w:r>
              <w:rPr>
                <w:rFonts w:hint="eastAsia" w:ascii="宋体" w:hAnsi="宋体" w:eastAsia="宋体" w:cs="Arial"/>
                <w:b/>
                <w:bCs w:val="0"/>
                <w:color w:val="auto"/>
                <w:szCs w:val="21"/>
                <w:highlight w:val="none"/>
                <w:u w:val="none"/>
              </w:rPr>
              <w:t>★</w:t>
            </w:r>
            <w:r>
              <w:rPr>
                <w:rFonts w:hint="eastAsia" w:ascii="宋体" w:hAnsi="宋体" w:cs="Arial"/>
                <w:bCs/>
                <w:color w:val="auto"/>
                <w:szCs w:val="21"/>
                <w:highlight w:val="none"/>
              </w:rPr>
              <w:t>4、开机率保障：维保范围内确保全年开机率达到97%（按全年365天计算）。</w:t>
            </w:r>
          </w:p>
          <w:p w14:paraId="178611C9">
            <w:pPr>
              <w:shd w:val="clear" w:color="auto" w:fill="auto"/>
              <w:spacing w:line="360" w:lineRule="auto"/>
              <w:jc w:val="left"/>
              <w:rPr>
                <w:rFonts w:hint="eastAsia" w:ascii="宋体" w:hAnsi="宋体" w:cs="Arial"/>
                <w:bCs/>
                <w:color w:val="auto"/>
                <w:szCs w:val="21"/>
                <w:highlight w:val="none"/>
              </w:rPr>
            </w:pPr>
            <w:r>
              <w:rPr>
                <w:rFonts w:hint="eastAsia" w:ascii="宋体" w:hAnsi="宋体" w:cs="Arial"/>
                <w:bCs/>
                <w:color w:val="auto"/>
                <w:szCs w:val="21"/>
                <w:highlight w:val="none"/>
              </w:rPr>
              <w:t>5、开机率低于97%，停机时间每超过一天，维保服务合同期限自动延长五天，并扣除维保费5000元/天。</w:t>
            </w:r>
          </w:p>
          <w:p w14:paraId="71769713">
            <w:pPr>
              <w:shd w:val="clear" w:color="auto" w:fill="auto"/>
              <w:spacing w:line="360" w:lineRule="auto"/>
              <w:jc w:val="left"/>
              <w:rPr>
                <w:rFonts w:hint="eastAsia" w:ascii="宋体" w:hAnsi="宋体" w:cs="Arial"/>
                <w:bCs/>
                <w:color w:val="auto"/>
                <w:szCs w:val="21"/>
                <w:highlight w:val="none"/>
              </w:rPr>
            </w:pPr>
            <w:r>
              <w:rPr>
                <w:rFonts w:hint="eastAsia" w:ascii="宋体" w:hAnsi="宋体" w:eastAsia="宋体" w:cs="Arial"/>
                <w:b/>
                <w:bCs w:val="0"/>
                <w:color w:val="auto"/>
                <w:szCs w:val="21"/>
                <w:highlight w:val="none"/>
                <w:u w:val="none"/>
              </w:rPr>
              <w:t>★</w:t>
            </w:r>
            <w:r>
              <w:rPr>
                <w:rFonts w:hint="eastAsia" w:ascii="宋体" w:hAnsi="宋体" w:cs="Arial"/>
                <w:bCs/>
                <w:color w:val="auto"/>
                <w:szCs w:val="21"/>
                <w:highlight w:val="none"/>
              </w:rPr>
              <w:t>6、定期保养：每年提供4次高级保养，并提供保养报告单；定期的维护保养服务包括：设备的安全检查、影像质量检查、设备清洁保养、性能测试及校准、运行状态检查等。保养中需更换的损耗品由中标人免费提供。</w:t>
            </w:r>
          </w:p>
          <w:p w14:paraId="59038EEC">
            <w:pPr>
              <w:shd w:val="clear" w:color="auto" w:fill="auto"/>
              <w:spacing w:line="360" w:lineRule="auto"/>
              <w:jc w:val="left"/>
              <w:rPr>
                <w:rFonts w:hint="eastAsia" w:ascii="宋体" w:hAnsi="宋体" w:cs="Arial"/>
                <w:bCs/>
                <w:color w:val="auto"/>
                <w:szCs w:val="21"/>
                <w:highlight w:val="none"/>
              </w:rPr>
            </w:pPr>
            <w:r>
              <w:rPr>
                <w:rFonts w:hint="eastAsia" w:ascii="宋体" w:hAnsi="宋体" w:cs="Arial"/>
                <w:bCs/>
                <w:color w:val="auto"/>
                <w:szCs w:val="21"/>
                <w:highlight w:val="none"/>
              </w:rPr>
              <w:t>★7、备件保障：所更换的备件必须是原厂认证合格的零配件，满足设备运行要求，不会给设备带来危害且备件来源合法。</w:t>
            </w:r>
          </w:p>
          <w:p w14:paraId="312EE2F7">
            <w:pPr>
              <w:shd w:val="clear" w:color="auto" w:fill="auto"/>
              <w:spacing w:line="360" w:lineRule="auto"/>
              <w:jc w:val="left"/>
              <w:rPr>
                <w:rFonts w:hint="eastAsia" w:ascii="宋体" w:hAnsi="宋体" w:cs="Arial"/>
                <w:bCs/>
                <w:color w:val="auto"/>
                <w:szCs w:val="21"/>
                <w:highlight w:val="none"/>
              </w:rPr>
            </w:pPr>
            <w:r>
              <w:rPr>
                <w:rFonts w:hint="eastAsia" w:ascii="宋体" w:hAnsi="宋体" w:cs="Arial"/>
                <w:bCs/>
                <w:color w:val="auto"/>
                <w:szCs w:val="21"/>
                <w:highlight w:val="none"/>
              </w:rPr>
              <w:t>8、付款方式：每半年付款一次，半年为一个付款周期。</w:t>
            </w:r>
          </w:p>
          <w:p w14:paraId="765A9B8B">
            <w:pPr>
              <w:shd w:val="clear" w:color="auto" w:fill="auto"/>
              <w:spacing w:line="360" w:lineRule="auto"/>
              <w:jc w:val="left"/>
              <w:rPr>
                <w:rFonts w:hint="eastAsia" w:ascii="宋体" w:hAnsi="宋体" w:eastAsia="宋体" w:cs="Arial"/>
                <w:bCs/>
                <w:color w:val="auto"/>
                <w:szCs w:val="21"/>
                <w:highlight w:val="none"/>
              </w:rPr>
            </w:pPr>
            <w:r>
              <w:rPr>
                <w:rFonts w:hint="eastAsia" w:ascii="宋体" w:hAnsi="宋体" w:cs="Arial"/>
                <w:bCs/>
                <w:color w:val="auto"/>
                <w:szCs w:val="21"/>
                <w:highlight w:val="none"/>
              </w:rPr>
              <w:t>★9、新安装、维修或更换重要部件后的设备，乙方供应商应安排省级以上卫生行政部门资质认证的检测机构对其进行检测，出具检测报告合格后方可启用。</w:t>
            </w:r>
          </w:p>
          <w:p w14:paraId="047EF2E7">
            <w:pPr>
              <w:shd w:val="clear" w:color="auto" w:fill="auto"/>
              <w:spacing w:line="360" w:lineRule="auto"/>
              <w:jc w:val="left"/>
              <w:rPr>
                <w:rFonts w:hint="eastAsia" w:ascii="宋体" w:hAnsi="宋体" w:eastAsia="宋体" w:cs="Arial"/>
                <w:bCs/>
                <w:color w:val="auto"/>
                <w:szCs w:val="21"/>
                <w:highlight w:val="yellow"/>
                <w:lang w:val="en-US" w:eastAsia="zh-CN"/>
              </w:rPr>
            </w:pPr>
            <w:r>
              <w:rPr>
                <w:rFonts w:hint="eastAsia" w:ascii="宋体" w:hAnsi="宋体" w:eastAsia="宋体" w:cs="Arial"/>
                <w:b/>
                <w:bCs w:val="0"/>
                <w:color w:val="auto"/>
                <w:szCs w:val="21"/>
                <w:highlight w:val="none"/>
                <w:lang w:val="en-US" w:eastAsia="zh-CN"/>
              </w:rPr>
              <w:t>四、商务技术要求（▲为重要响应条款，不满足会被严重扣分）</w:t>
            </w:r>
          </w:p>
          <w:p w14:paraId="170E11C0">
            <w:pPr>
              <w:shd w:val="clear" w:color="auto" w:fill="auto"/>
              <w:spacing w:line="360" w:lineRule="auto"/>
              <w:jc w:val="left"/>
              <w:rPr>
                <w:rFonts w:hint="eastAsia" w:ascii="宋体" w:hAnsi="宋体" w:eastAsia="宋体" w:cs="Arial"/>
                <w:bCs/>
                <w:color w:val="auto"/>
                <w:szCs w:val="21"/>
                <w:highlight w:val="none"/>
                <w:lang w:val="en-US" w:eastAsia="zh-CN"/>
              </w:rPr>
            </w:pPr>
            <w:r>
              <w:rPr>
                <w:rFonts w:hint="eastAsia" w:ascii="宋体" w:hAnsi="宋体" w:eastAsia="宋体" w:cs="Arial"/>
                <w:bCs/>
                <w:color w:val="auto"/>
                <w:szCs w:val="21"/>
                <w:highlight w:val="none"/>
                <w:lang w:val="en-US" w:eastAsia="zh-CN"/>
              </w:rPr>
              <w:t>1、投标人配备相对应产品类别的服务工程师≥2名，不少于2名服务工程师均获得设备主机生产商技术培训认证的有效期内技术资质证明，（投标文件中须提供工程师的姓名、可在线验证资质证书）。</w:t>
            </w:r>
          </w:p>
          <w:p w14:paraId="420AC4C1">
            <w:pPr>
              <w:shd w:val="clear" w:color="auto" w:fill="auto"/>
              <w:spacing w:line="360" w:lineRule="auto"/>
              <w:jc w:val="left"/>
              <w:rPr>
                <w:rFonts w:hint="eastAsia" w:ascii="宋体" w:hAnsi="宋体" w:eastAsia="宋体" w:cs="Arial"/>
                <w:bCs/>
                <w:color w:val="auto"/>
                <w:szCs w:val="21"/>
                <w:highlight w:val="none"/>
                <w:lang w:val="en-US" w:eastAsia="zh-CN"/>
              </w:rPr>
            </w:pPr>
            <w:r>
              <w:rPr>
                <w:rFonts w:hint="eastAsia" w:ascii="宋体" w:hAnsi="宋体" w:eastAsia="宋体" w:cs="Arial"/>
                <w:bCs/>
                <w:color w:val="auto"/>
                <w:szCs w:val="21"/>
                <w:highlight w:val="none"/>
                <w:lang w:val="en-US" w:eastAsia="zh-CN"/>
              </w:rPr>
              <w:t>2、投标人提供设备维修保养需使用的特殊精密专业工具，并提供有效校准证书或检测报告。</w:t>
            </w:r>
          </w:p>
          <w:p w14:paraId="32EDBD2B">
            <w:pPr>
              <w:shd w:val="clear" w:color="auto" w:fill="auto"/>
              <w:spacing w:line="360" w:lineRule="auto"/>
              <w:jc w:val="left"/>
              <w:rPr>
                <w:rFonts w:hint="eastAsia" w:ascii="宋体" w:hAnsi="宋体" w:eastAsia="宋体" w:cs="Arial"/>
                <w:bCs/>
                <w:color w:val="auto"/>
                <w:szCs w:val="21"/>
                <w:highlight w:val="none"/>
                <w:lang w:val="en-US" w:eastAsia="zh-CN"/>
              </w:rPr>
            </w:pPr>
            <w:r>
              <w:rPr>
                <w:rFonts w:hint="eastAsia" w:ascii="宋体" w:hAnsi="宋体" w:eastAsia="宋体" w:cs="Arial"/>
                <w:bCs/>
                <w:color w:val="auto"/>
                <w:szCs w:val="21"/>
                <w:highlight w:val="none"/>
                <w:lang w:val="en-US" w:eastAsia="zh-CN"/>
              </w:rPr>
              <w:t>▲3、须能合法获得使用在有效期内的原厂高级故障诊断维修钥匙（service key），并保证不违反国家有关知识产权的法律规定。</w:t>
            </w:r>
          </w:p>
          <w:p w14:paraId="185D3600">
            <w:pPr>
              <w:shd w:val="clear" w:color="auto" w:fill="auto"/>
              <w:spacing w:line="360" w:lineRule="auto"/>
              <w:jc w:val="left"/>
              <w:rPr>
                <w:rFonts w:hint="eastAsia" w:ascii="宋体" w:hAnsi="宋体" w:eastAsia="宋体" w:cs="Arial"/>
                <w:bCs/>
                <w:color w:val="auto"/>
                <w:szCs w:val="21"/>
                <w:highlight w:val="none"/>
                <w:lang w:val="en-US" w:eastAsia="zh-CN"/>
              </w:rPr>
            </w:pPr>
            <w:r>
              <w:rPr>
                <w:rFonts w:hint="eastAsia" w:ascii="宋体" w:hAnsi="宋体" w:eastAsia="宋体" w:cs="Arial"/>
                <w:bCs/>
                <w:color w:val="auto"/>
                <w:szCs w:val="21"/>
                <w:highlight w:val="none"/>
                <w:lang w:val="en-US" w:eastAsia="zh-CN"/>
              </w:rPr>
              <w:t>▲4、投标人提供能及时获取并实施原厂系统安全性软硬件改版通知(FMI)能力的证明，保修期内免费提供设备（含独立工作站）的系统软件升级补丁和技术支持，保证所有系统软件为最新版本。（投标人提供承诺函）</w:t>
            </w:r>
          </w:p>
          <w:p w14:paraId="3AB46810">
            <w:pPr>
              <w:shd w:val="clear" w:color="auto" w:fill="auto"/>
              <w:spacing w:line="360" w:lineRule="auto"/>
              <w:jc w:val="left"/>
              <w:rPr>
                <w:rFonts w:hint="eastAsia" w:ascii="宋体" w:hAnsi="宋体" w:eastAsia="宋体" w:cs="Arial"/>
                <w:bCs/>
                <w:color w:val="auto"/>
                <w:szCs w:val="21"/>
                <w:highlight w:val="none"/>
                <w:lang w:val="en-US" w:eastAsia="zh-CN"/>
              </w:rPr>
            </w:pPr>
            <w:r>
              <w:rPr>
                <w:rFonts w:hint="eastAsia" w:ascii="宋体" w:hAnsi="宋体" w:eastAsia="宋体" w:cs="Arial"/>
                <w:bCs/>
                <w:color w:val="auto"/>
                <w:szCs w:val="21"/>
                <w:highlight w:val="none"/>
                <w:lang w:val="en-US" w:eastAsia="zh-CN"/>
              </w:rPr>
              <w:t>▲5、投标人能提供数字化远程诊断与维修服务，基于专用路由器，宽带接入式的远端服务器实时自动监测，前瞻性预警服务，在线支持工程师每天会人工登录在保设备协助发现设备潜在故障。投标人提供基于宽带接入的数字化远程故障筛排系统，提前预知球管打火/预热失败/阳极旋转失效/灯丝断路；数据采集系统短路/断路，工作温度超标，编码器失效；图像重建，重建速度变慢，重建失败；硬盘磁盘阵列损坏；帮医院提早做计划，无计划外停机。（投标人提供承诺函）</w:t>
            </w:r>
          </w:p>
          <w:p w14:paraId="00CBC375">
            <w:pPr>
              <w:shd w:val="clear" w:color="auto" w:fill="auto"/>
              <w:spacing w:line="360" w:lineRule="auto"/>
              <w:jc w:val="left"/>
              <w:rPr>
                <w:rFonts w:hint="eastAsia" w:ascii="宋体" w:hAnsi="宋体" w:eastAsia="宋体" w:cs="Arial"/>
                <w:bCs/>
                <w:color w:val="auto"/>
                <w:szCs w:val="21"/>
                <w:highlight w:val="none"/>
                <w:lang w:val="en-US" w:eastAsia="zh-CN"/>
              </w:rPr>
            </w:pPr>
            <w:r>
              <w:rPr>
                <w:rFonts w:hint="eastAsia" w:ascii="宋体" w:hAnsi="宋体" w:eastAsia="宋体" w:cs="Arial"/>
                <w:bCs/>
                <w:color w:val="auto"/>
                <w:szCs w:val="21"/>
                <w:highlight w:val="none"/>
                <w:lang w:val="en-US" w:eastAsia="zh-CN"/>
              </w:rPr>
              <w:t>6、投标人能提供基于专用路由器，宽带接入式的远端服务器实时自动监测标的设备温湿度实时曲线的软件及硬件，具备对标的设备的电气环境进行24小时实时监测能力。</w:t>
            </w:r>
          </w:p>
          <w:p w14:paraId="47C84BFF">
            <w:pPr>
              <w:shd w:val="clear" w:color="auto" w:fill="auto"/>
              <w:spacing w:line="360" w:lineRule="auto"/>
              <w:jc w:val="left"/>
              <w:rPr>
                <w:rFonts w:hint="eastAsia" w:ascii="宋体" w:hAnsi="宋体" w:eastAsia="宋体" w:cs="Arial"/>
                <w:bCs/>
                <w:color w:val="auto"/>
                <w:szCs w:val="21"/>
                <w:highlight w:val="none"/>
                <w:lang w:val="en-US" w:eastAsia="zh-CN"/>
              </w:rPr>
            </w:pPr>
            <w:r>
              <w:rPr>
                <w:rFonts w:hint="eastAsia" w:ascii="宋体" w:hAnsi="宋体" w:eastAsia="宋体" w:cs="Arial"/>
                <w:bCs/>
                <w:color w:val="auto"/>
                <w:szCs w:val="21"/>
                <w:highlight w:val="none"/>
                <w:lang w:val="en-US" w:eastAsia="zh-CN"/>
              </w:rPr>
              <w:t>设备运行环境监控，如温度，湿度。</w:t>
            </w:r>
          </w:p>
          <w:p w14:paraId="25177EB9">
            <w:pPr>
              <w:shd w:val="clear" w:color="auto" w:fill="auto"/>
              <w:spacing w:line="360" w:lineRule="auto"/>
              <w:jc w:val="left"/>
              <w:rPr>
                <w:rFonts w:hint="eastAsia" w:ascii="宋体" w:hAnsi="宋体" w:eastAsia="宋体" w:cs="Arial"/>
                <w:bCs/>
                <w:color w:val="auto"/>
                <w:szCs w:val="21"/>
                <w:highlight w:val="none"/>
                <w:lang w:val="en-US" w:eastAsia="zh-CN"/>
              </w:rPr>
            </w:pPr>
            <w:r>
              <w:rPr>
                <w:rFonts w:hint="eastAsia" w:ascii="宋体" w:hAnsi="宋体" w:eastAsia="宋体" w:cs="Arial"/>
                <w:bCs/>
                <w:color w:val="auto"/>
                <w:szCs w:val="21"/>
                <w:highlight w:val="none"/>
                <w:lang w:val="en-US" w:eastAsia="zh-CN"/>
              </w:rPr>
              <w:t>▲7、对设备关键部件的监控，电子计算机断层扫描设备(CT)，关注磁盘空间，重建系统，球管曝光量等参数。</w:t>
            </w:r>
          </w:p>
          <w:p w14:paraId="6CC77C95">
            <w:pPr>
              <w:shd w:val="clear" w:color="auto" w:fill="auto"/>
              <w:spacing w:line="360" w:lineRule="auto"/>
              <w:jc w:val="left"/>
              <w:rPr>
                <w:rFonts w:hint="eastAsia" w:ascii="宋体" w:hAnsi="宋体" w:eastAsia="宋体" w:cs="Arial"/>
                <w:bCs/>
                <w:color w:val="auto"/>
                <w:szCs w:val="21"/>
                <w:highlight w:val="none"/>
                <w:lang w:val="en-US" w:eastAsia="zh-CN"/>
              </w:rPr>
            </w:pPr>
            <w:r>
              <w:rPr>
                <w:rFonts w:hint="eastAsia" w:ascii="宋体" w:hAnsi="宋体" w:eastAsia="宋体" w:cs="Arial"/>
                <w:bCs/>
                <w:color w:val="auto"/>
                <w:szCs w:val="21"/>
                <w:highlight w:val="none"/>
                <w:lang w:val="en-US" w:eastAsia="zh-CN"/>
              </w:rPr>
              <w:t>▲</w:t>
            </w:r>
            <w:r>
              <w:rPr>
                <w:rFonts w:hint="eastAsia" w:ascii="宋体" w:hAnsi="宋体" w:cs="Arial"/>
                <w:bCs/>
                <w:color w:val="auto"/>
                <w:szCs w:val="21"/>
                <w:highlight w:val="none"/>
                <w:lang w:val="en-US" w:eastAsia="zh-CN"/>
              </w:rPr>
              <w:t>8</w:t>
            </w:r>
            <w:r>
              <w:rPr>
                <w:rFonts w:hint="eastAsia" w:ascii="宋体" w:hAnsi="宋体" w:eastAsia="宋体" w:cs="Arial"/>
                <w:bCs/>
                <w:color w:val="auto"/>
                <w:szCs w:val="21"/>
                <w:highlight w:val="none"/>
                <w:lang w:val="en-US" w:eastAsia="zh-CN"/>
              </w:rPr>
              <w:t>、在服务期内所提供保修更换的球管需符合国家药品监督管理局原机整机，《医疗器械注册证》要求，必须是CT设备主机生产厂家同规格同型号的全新球管，现有库存中有上述球管，并且库存球管出厂日期不大于6个月，提供海关清关证明复印件，并提供与设备整机原厂注册证相匹配的证明文件。</w:t>
            </w:r>
          </w:p>
          <w:p w14:paraId="1897DDB9">
            <w:pPr>
              <w:shd w:val="clear" w:color="auto" w:fill="auto"/>
              <w:spacing w:line="360" w:lineRule="auto"/>
              <w:jc w:val="left"/>
              <w:rPr>
                <w:rFonts w:hint="eastAsia" w:ascii="宋体" w:hAnsi="宋体" w:eastAsia="宋体" w:cs="Arial"/>
                <w:bCs/>
                <w:color w:val="auto"/>
                <w:szCs w:val="21"/>
                <w:highlight w:val="none"/>
                <w:lang w:val="en-US" w:eastAsia="zh-CN"/>
              </w:rPr>
            </w:pPr>
            <w:r>
              <w:rPr>
                <w:rFonts w:hint="eastAsia" w:ascii="宋体" w:hAnsi="宋体" w:cs="Arial"/>
                <w:bCs/>
                <w:color w:val="auto"/>
                <w:szCs w:val="21"/>
                <w:highlight w:val="none"/>
                <w:lang w:val="en-US" w:eastAsia="zh-CN"/>
              </w:rPr>
              <w:t>9</w:t>
            </w:r>
            <w:r>
              <w:rPr>
                <w:rFonts w:hint="eastAsia" w:ascii="宋体" w:hAnsi="宋体" w:eastAsia="宋体" w:cs="Arial"/>
                <w:bCs/>
                <w:color w:val="auto"/>
                <w:szCs w:val="21"/>
                <w:highlight w:val="none"/>
                <w:lang w:val="en-US" w:eastAsia="zh-CN"/>
              </w:rPr>
              <w:t>、有全职的原厂认证合格的GE CT临床应用培训人员≥2名，获得设备主机生产商技术培训认证的有效期内技术资质证明，（投标文件中须提供工程师的姓名、可在线验证资质证书）。</w:t>
            </w:r>
          </w:p>
        </w:tc>
      </w:tr>
      <w:tr w14:paraId="113A19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8931" w:type="dxa"/>
            <w:gridSpan w:val="3"/>
            <w:tcBorders>
              <w:top w:val="single" w:color="auto" w:sz="4" w:space="0"/>
              <w:left w:val="single" w:color="auto" w:sz="4" w:space="0"/>
              <w:bottom w:val="single" w:color="auto" w:sz="4" w:space="0"/>
              <w:right w:val="single" w:color="auto" w:sz="4" w:space="0"/>
            </w:tcBorders>
            <w:noWrap w:val="0"/>
            <w:vAlign w:val="top"/>
          </w:tcPr>
          <w:p w14:paraId="52963EDC">
            <w:pPr>
              <w:shd w:val="clear" w:color="auto" w:fill="FFFFFF"/>
              <w:spacing w:line="400" w:lineRule="exact"/>
              <w:rPr>
                <w:rFonts w:ascii="宋体" w:hAnsi="宋体"/>
                <w:b/>
                <w:szCs w:val="21"/>
              </w:rPr>
            </w:pPr>
            <w:r>
              <w:rPr>
                <w:rFonts w:hint="eastAsia" w:ascii="宋体" w:hAnsi="宋体" w:eastAsia="宋体" w:cs="Arial"/>
                <w:b/>
                <w:bCs/>
                <w:color w:val="auto"/>
                <w:szCs w:val="21"/>
                <w:highlight w:val="none"/>
                <w:u w:val="none"/>
              </w:rPr>
              <w:t>★</w:t>
            </w:r>
            <w:r>
              <w:rPr>
                <w:rFonts w:hint="eastAsia" w:ascii="宋体" w:hAnsi="宋体"/>
                <w:b/>
                <w:szCs w:val="21"/>
              </w:rPr>
              <w:t>二、商务要求</w:t>
            </w:r>
          </w:p>
        </w:tc>
      </w:tr>
      <w:tr w14:paraId="22D7FB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267" w:type="dxa"/>
            <w:gridSpan w:val="2"/>
            <w:tcBorders>
              <w:top w:val="single" w:color="auto" w:sz="4" w:space="0"/>
              <w:left w:val="single" w:color="auto" w:sz="4" w:space="0"/>
              <w:bottom w:val="single" w:color="auto" w:sz="4" w:space="0"/>
              <w:right w:val="single" w:color="auto" w:sz="4" w:space="0"/>
            </w:tcBorders>
            <w:noWrap w:val="0"/>
            <w:vAlign w:val="center"/>
          </w:tcPr>
          <w:p w14:paraId="1BB0BC11">
            <w:pPr>
              <w:spacing w:line="360" w:lineRule="exact"/>
              <w:jc w:val="center"/>
              <w:rPr>
                <w:rFonts w:ascii="宋体" w:hAnsi="宋体" w:cs="Calibri"/>
                <w:b/>
                <w:szCs w:val="21"/>
              </w:rPr>
            </w:pPr>
            <w:r>
              <w:rPr>
                <w:rFonts w:hint="eastAsia" w:ascii="宋体" w:hAnsi="宋体" w:cs="宋体"/>
                <w:color w:val="auto"/>
                <w:szCs w:val="21"/>
                <w:highlight w:val="none"/>
              </w:rPr>
              <w:t>服务期限</w:t>
            </w:r>
          </w:p>
        </w:tc>
        <w:tc>
          <w:tcPr>
            <w:tcW w:w="6664" w:type="dxa"/>
            <w:tcBorders>
              <w:top w:val="single" w:color="auto" w:sz="4" w:space="0"/>
              <w:left w:val="single" w:color="auto" w:sz="4" w:space="0"/>
              <w:bottom w:val="single" w:color="auto" w:sz="4" w:space="0"/>
              <w:right w:val="single" w:color="auto" w:sz="4" w:space="0"/>
            </w:tcBorders>
            <w:noWrap w:val="0"/>
            <w:vAlign w:val="center"/>
          </w:tcPr>
          <w:p w14:paraId="74A26F43">
            <w:pPr>
              <w:widowControl/>
              <w:shd w:val="clear" w:color="auto" w:fill="auto"/>
              <w:spacing w:line="360" w:lineRule="exact"/>
              <w:jc w:val="left"/>
              <w:rPr>
                <w:rFonts w:hint="eastAsia" w:ascii="宋体" w:hAnsi="宋体" w:cs="宋体"/>
                <w:bCs w:val="0"/>
                <w:color w:val="auto"/>
                <w:szCs w:val="21"/>
                <w:highlight w:val="none"/>
              </w:rPr>
            </w:pPr>
            <w:r>
              <w:rPr>
                <w:rFonts w:hint="eastAsia" w:ascii="宋体" w:hAnsi="宋体" w:eastAsia="宋体" w:cs="宋体"/>
                <w:color w:val="auto"/>
                <w:szCs w:val="21"/>
                <w:highlight w:val="none"/>
              </w:rPr>
              <w:t>自合同签订之日起</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年</w:t>
            </w:r>
            <w:r>
              <w:rPr>
                <w:rFonts w:hint="eastAsia" w:ascii="宋体" w:hAnsi="宋体" w:eastAsia="宋体" w:cs="宋体"/>
                <w:color w:val="auto"/>
                <w:sz w:val="21"/>
                <w:szCs w:val="21"/>
                <w:highlight w:val="none"/>
                <w:shd w:val="clear" w:color="auto" w:fill="auto"/>
              </w:rPr>
              <w:t>。</w:t>
            </w:r>
          </w:p>
        </w:tc>
      </w:tr>
      <w:tr w14:paraId="3922F3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267" w:type="dxa"/>
            <w:gridSpan w:val="2"/>
            <w:tcBorders>
              <w:top w:val="single" w:color="auto" w:sz="4" w:space="0"/>
              <w:left w:val="single" w:color="auto" w:sz="4" w:space="0"/>
              <w:bottom w:val="single" w:color="auto" w:sz="4" w:space="0"/>
              <w:right w:val="single" w:color="auto" w:sz="4" w:space="0"/>
            </w:tcBorders>
            <w:noWrap w:val="0"/>
            <w:vAlign w:val="center"/>
          </w:tcPr>
          <w:p w14:paraId="05011528">
            <w:pPr>
              <w:spacing w:line="360" w:lineRule="exact"/>
              <w:jc w:val="center"/>
              <w:rPr>
                <w:rFonts w:ascii="宋体" w:hAnsi="宋体"/>
                <w:b/>
                <w:szCs w:val="21"/>
              </w:rPr>
            </w:pPr>
            <w:r>
              <w:rPr>
                <w:rFonts w:hint="eastAsia" w:ascii="宋体" w:hAnsi="宋体" w:cs="宋体"/>
                <w:color w:val="auto"/>
                <w:szCs w:val="21"/>
                <w:highlight w:val="none"/>
              </w:rPr>
              <w:t>服务地点</w:t>
            </w:r>
          </w:p>
        </w:tc>
        <w:tc>
          <w:tcPr>
            <w:tcW w:w="6664" w:type="dxa"/>
            <w:tcBorders>
              <w:top w:val="single" w:color="auto" w:sz="4" w:space="0"/>
              <w:left w:val="single" w:color="auto" w:sz="4" w:space="0"/>
              <w:bottom w:val="single" w:color="auto" w:sz="4" w:space="0"/>
              <w:right w:val="single" w:color="auto" w:sz="4" w:space="0"/>
            </w:tcBorders>
            <w:noWrap w:val="0"/>
            <w:vAlign w:val="center"/>
          </w:tcPr>
          <w:p w14:paraId="6C402B6D">
            <w:pPr>
              <w:widowControl/>
              <w:shd w:val="clear" w:color="auto" w:fill="auto"/>
              <w:spacing w:line="360" w:lineRule="exact"/>
              <w:jc w:val="left"/>
              <w:rPr>
                <w:rFonts w:hint="eastAsia" w:ascii="宋体" w:hAnsi="宋体" w:cs="宋体"/>
                <w:b w:val="0"/>
                <w:color w:val="auto"/>
                <w:szCs w:val="21"/>
                <w:highlight w:val="none"/>
              </w:rPr>
            </w:pPr>
            <w:r>
              <w:rPr>
                <w:rFonts w:hint="eastAsia" w:ascii="宋体" w:hAnsi="宋体" w:cs="宋体"/>
                <w:b w:val="0"/>
                <w:color w:val="auto"/>
                <w:szCs w:val="21"/>
                <w:highlight w:val="none"/>
              </w:rPr>
              <w:t>桂林医科大学第二附属医院</w:t>
            </w:r>
            <w:r>
              <w:rPr>
                <w:rFonts w:hint="eastAsia" w:ascii="宋体" w:hAnsi="宋体" w:eastAsia="宋体" w:cs="宋体"/>
                <w:b w:val="0"/>
                <w:color w:val="auto"/>
                <w:szCs w:val="21"/>
                <w:highlight w:val="none"/>
                <w:lang w:eastAsia="zh-CN"/>
              </w:rPr>
              <w:t>。</w:t>
            </w:r>
          </w:p>
        </w:tc>
      </w:tr>
      <w:tr w14:paraId="42EE32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267" w:type="dxa"/>
            <w:gridSpan w:val="2"/>
            <w:tcBorders>
              <w:top w:val="single" w:color="auto" w:sz="4" w:space="0"/>
              <w:left w:val="single" w:color="auto" w:sz="4" w:space="0"/>
              <w:bottom w:val="single" w:color="auto" w:sz="4" w:space="0"/>
              <w:right w:val="single" w:color="auto" w:sz="4" w:space="0"/>
            </w:tcBorders>
            <w:noWrap w:val="0"/>
            <w:vAlign w:val="center"/>
          </w:tcPr>
          <w:p w14:paraId="2CFDC554">
            <w:pPr>
              <w:spacing w:line="360" w:lineRule="exact"/>
              <w:jc w:val="center"/>
              <w:rPr>
                <w:rFonts w:hint="eastAsia" w:ascii="宋体" w:hAnsi="宋体" w:cs="Calibri"/>
                <w:szCs w:val="21"/>
              </w:rPr>
            </w:pPr>
            <w:r>
              <w:rPr>
                <w:rFonts w:hint="eastAsia" w:ascii="宋体" w:hAnsi="宋体" w:cs="宋体"/>
                <w:color w:val="auto"/>
                <w:szCs w:val="21"/>
                <w:highlight w:val="none"/>
              </w:rPr>
              <w:t>合同签订时间</w:t>
            </w:r>
          </w:p>
        </w:tc>
        <w:tc>
          <w:tcPr>
            <w:tcW w:w="6664" w:type="dxa"/>
            <w:tcBorders>
              <w:top w:val="single" w:color="auto" w:sz="4" w:space="0"/>
              <w:left w:val="single" w:color="auto" w:sz="4" w:space="0"/>
              <w:bottom w:val="single" w:color="auto" w:sz="4" w:space="0"/>
              <w:right w:val="single" w:color="auto" w:sz="4" w:space="0"/>
            </w:tcBorders>
            <w:noWrap w:val="0"/>
            <w:vAlign w:val="center"/>
          </w:tcPr>
          <w:p w14:paraId="546D86C8">
            <w:pPr>
              <w:spacing w:line="360" w:lineRule="exact"/>
              <w:rPr>
                <w:rFonts w:hint="eastAsia" w:ascii="宋体" w:hAnsi="宋体" w:cs="宋体"/>
                <w:szCs w:val="21"/>
              </w:rPr>
            </w:pPr>
            <w:r>
              <w:rPr>
                <w:rFonts w:hint="eastAsia" w:ascii="宋体" w:hAnsi="宋体" w:cs="宋体"/>
                <w:color w:val="auto"/>
                <w:szCs w:val="21"/>
                <w:highlight w:val="none"/>
              </w:rPr>
              <w:t>自</w:t>
            </w:r>
            <w:r>
              <w:rPr>
                <w:rFonts w:hint="eastAsia" w:ascii="宋体" w:hAnsi="宋体" w:cs="宋体"/>
                <w:color w:val="auto"/>
                <w:szCs w:val="21"/>
                <w:highlight w:val="none"/>
                <w:lang w:val="en-US" w:eastAsia="zh-CN"/>
              </w:rPr>
              <w:t>中标</w:t>
            </w:r>
            <w:r>
              <w:rPr>
                <w:rFonts w:hint="eastAsia" w:ascii="宋体" w:hAnsi="宋体" w:cs="宋体"/>
                <w:color w:val="auto"/>
                <w:szCs w:val="21"/>
                <w:highlight w:val="none"/>
              </w:rPr>
              <w:t>通知书发出之日</w:t>
            </w:r>
            <w:r>
              <w:rPr>
                <w:rFonts w:hint="eastAsia" w:ascii="宋体" w:hAnsi="宋体" w:cs="宋体"/>
                <w:color w:val="auto"/>
                <w:szCs w:val="21"/>
                <w:highlight w:val="none"/>
                <w:lang w:val="en-US" w:eastAsia="zh-CN"/>
              </w:rPr>
              <w:t>起</w:t>
            </w:r>
            <w:r>
              <w:rPr>
                <w:rFonts w:hint="eastAsia" w:ascii="宋体" w:hAnsi="宋体" w:cs="宋体"/>
                <w:color w:val="auto"/>
                <w:szCs w:val="21"/>
                <w:highlight w:val="none"/>
              </w:rPr>
              <w:t>25日内签订合同。</w:t>
            </w:r>
          </w:p>
        </w:tc>
      </w:tr>
      <w:tr w14:paraId="4F7E12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267" w:type="dxa"/>
            <w:gridSpan w:val="2"/>
            <w:tcBorders>
              <w:top w:val="single" w:color="auto" w:sz="4" w:space="0"/>
              <w:left w:val="single" w:color="auto" w:sz="4" w:space="0"/>
              <w:bottom w:val="single" w:color="auto" w:sz="4" w:space="0"/>
              <w:right w:val="single" w:color="auto" w:sz="4" w:space="0"/>
            </w:tcBorders>
            <w:noWrap w:val="0"/>
            <w:vAlign w:val="center"/>
          </w:tcPr>
          <w:p w14:paraId="345BF805">
            <w:pPr>
              <w:spacing w:line="360" w:lineRule="exact"/>
              <w:jc w:val="center"/>
              <w:rPr>
                <w:rFonts w:hint="eastAsia" w:ascii="宋体" w:hAnsi="宋体"/>
                <w:b/>
                <w:szCs w:val="21"/>
              </w:rPr>
            </w:pPr>
            <w:r>
              <w:rPr>
                <w:rFonts w:hint="eastAsia" w:ascii="宋体" w:hAnsi="宋体" w:cs="宋体"/>
                <w:color w:val="auto"/>
                <w:szCs w:val="21"/>
                <w:highlight w:val="none"/>
              </w:rPr>
              <w:t>报价要求</w:t>
            </w:r>
          </w:p>
        </w:tc>
        <w:tc>
          <w:tcPr>
            <w:tcW w:w="6664" w:type="dxa"/>
            <w:tcBorders>
              <w:top w:val="single" w:color="auto" w:sz="4" w:space="0"/>
              <w:left w:val="single" w:color="auto" w:sz="4" w:space="0"/>
              <w:bottom w:val="single" w:color="auto" w:sz="4" w:space="0"/>
              <w:right w:val="single" w:color="auto" w:sz="4" w:space="0"/>
            </w:tcBorders>
            <w:noWrap w:val="0"/>
            <w:vAlign w:val="center"/>
          </w:tcPr>
          <w:p w14:paraId="6A2E7F72">
            <w:pPr>
              <w:spacing w:line="360" w:lineRule="exact"/>
              <w:ind w:firstLine="0" w:firstLineChars="0"/>
              <w:rPr>
                <w:rFonts w:hint="eastAsia" w:ascii="宋体" w:hAnsi="宋体"/>
                <w:szCs w:val="21"/>
              </w:rPr>
            </w:pPr>
            <w:r>
              <w:rPr>
                <w:rFonts w:hint="eastAsia" w:ascii="宋体" w:hAnsi="宋体"/>
                <w:szCs w:val="21"/>
              </w:rPr>
              <w:t>1.本次报价须为人民币报价，投标总报价应包含所列设备维保服务费、伴随的货物、工具、更新升级、维修和保养服务的人工费（含工时费、差旅费、加班费等）、报关、运输费、安装调试费、技术支持、验收、培训、检测检验、必要的保险费、税费以及其他所有可能发生的费用。即除本项目报价外，中标人不得以任何理由要求采购人支付其他任何费用。</w:t>
            </w:r>
          </w:p>
          <w:p w14:paraId="479C41F6">
            <w:pPr>
              <w:spacing w:line="360" w:lineRule="exact"/>
              <w:ind w:firstLine="0" w:firstLineChars="0"/>
              <w:rPr>
                <w:rFonts w:ascii="宋体" w:hAnsi="宋体"/>
                <w:szCs w:val="21"/>
              </w:rPr>
            </w:pPr>
            <w:r>
              <w:rPr>
                <w:rFonts w:hint="eastAsia" w:ascii="宋体" w:hAnsi="宋体"/>
                <w:szCs w:val="21"/>
              </w:rPr>
              <w:t>2.报价特别说明：本项目总报价不能超过本项目的最高限价，投标单价也不能超过对应最高限价（单价），否则投标无效。</w:t>
            </w:r>
          </w:p>
        </w:tc>
      </w:tr>
      <w:tr w14:paraId="259B8D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267" w:type="dxa"/>
            <w:gridSpan w:val="2"/>
            <w:tcBorders>
              <w:top w:val="single" w:color="auto" w:sz="4" w:space="0"/>
              <w:left w:val="single" w:color="auto" w:sz="4" w:space="0"/>
              <w:bottom w:val="single" w:color="auto" w:sz="4" w:space="0"/>
              <w:right w:val="single" w:color="auto" w:sz="4" w:space="0"/>
            </w:tcBorders>
            <w:noWrap w:val="0"/>
            <w:vAlign w:val="center"/>
          </w:tcPr>
          <w:p w14:paraId="46050538">
            <w:pPr>
              <w:spacing w:line="360" w:lineRule="exact"/>
              <w:jc w:val="center"/>
              <w:rPr>
                <w:rFonts w:hint="eastAsia" w:ascii="宋体" w:hAnsi="宋体"/>
                <w:b/>
                <w:szCs w:val="21"/>
              </w:rPr>
            </w:pPr>
            <w:r>
              <w:rPr>
                <w:rFonts w:hint="eastAsia" w:ascii="宋体" w:hAnsi="宋体" w:cs="宋体"/>
                <w:color w:val="auto"/>
                <w:szCs w:val="21"/>
                <w:highlight w:val="none"/>
              </w:rPr>
              <w:t>支付方式</w:t>
            </w:r>
          </w:p>
        </w:tc>
        <w:tc>
          <w:tcPr>
            <w:tcW w:w="6664" w:type="dxa"/>
            <w:tcBorders>
              <w:top w:val="single" w:color="auto" w:sz="4" w:space="0"/>
              <w:left w:val="single" w:color="auto" w:sz="4" w:space="0"/>
              <w:bottom w:val="single" w:color="auto" w:sz="4" w:space="0"/>
              <w:right w:val="single" w:color="auto" w:sz="4" w:space="0"/>
            </w:tcBorders>
            <w:noWrap w:val="0"/>
            <w:vAlign w:val="center"/>
          </w:tcPr>
          <w:p w14:paraId="4DAAED50">
            <w:pPr>
              <w:spacing w:line="360" w:lineRule="exact"/>
              <w:ind w:firstLine="0" w:firstLineChars="0"/>
              <w:rPr>
                <w:rFonts w:hint="eastAsia" w:ascii="宋体" w:hAnsi="宋体" w:cs="宋体"/>
                <w:szCs w:val="21"/>
              </w:rPr>
            </w:pPr>
            <w:r>
              <w:rPr>
                <w:rFonts w:hint="eastAsia" w:ascii="宋体" w:hAnsi="宋体" w:cs="宋体"/>
                <w:szCs w:val="21"/>
                <w:highlight w:val="none"/>
              </w:rPr>
              <w:t>签订合同后，中标人履行提供达到采购合同要求的服务，合同总款由采购人分六次支付，每半年为一个结算周期。每个结算周期届满后15个工作日内，中标人应向采购人提交该周期的《设备维保服务报告》（含维修记录、定期保养记录）及该期发票。采购人在收到上述报告后5个工作日内进行确认并进行考核。采购人按照考核结果，在收到中标人发票后15个工作日内支付该期应付款项，即：合同总款的六分之一减去被扣款金额。</w:t>
            </w:r>
          </w:p>
        </w:tc>
      </w:tr>
      <w:tr w14:paraId="2F7D36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267" w:type="dxa"/>
            <w:gridSpan w:val="2"/>
            <w:tcBorders>
              <w:top w:val="single" w:color="auto" w:sz="4" w:space="0"/>
              <w:left w:val="single" w:color="auto" w:sz="4" w:space="0"/>
              <w:bottom w:val="single" w:color="auto" w:sz="4" w:space="0"/>
              <w:right w:val="single" w:color="auto" w:sz="4" w:space="0"/>
            </w:tcBorders>
            <w:noWrap w:val="0"/>
            <w:vAlign w:val="center"/>
          </w:tcPr>
          <w:p w14:paraId="2FB60CCB">
            <w:pPr>
              <w:spacing w:line="360" w:lineRule="exact"/>
              <w:jc w:val="center"/>
              <w:rPr>
                <w:rFonts w:hint="eastAsia" w:ascii="宋体" w:hAnsi="宋体" w:cs="宋体"/>
                <w:szCs w:val="21"/>
              </w:rPr>
            </w:pPr>
            <w:r>
              <w:rPr>
                <w:rFonts w:hint="eastAsia" w:ascii="宋体" w:hAnsi="宋体" w:cs="宋体"/>
                <w:color w:val="auto"/>
                <w:szCs w:val="21"/>
                <w:highlight w:val="none"/>
              </w:rPr>
              <w:t>验收标准</w:t>
            </w:r>
          </w:p>
        </w:tc>
        <w:tc>
          <w:tcPr>
            <w:tcW w:w="6664" w:type="dxa"/>
            <w:tcBorders>
              <w:top w:val="single" w:color="auto" w:sz="4" w:space="0"/>
              <w:left w:val="single" w:color="auto" w:sz="4" w:space="0"/>
              <w:bottom w:val="single" w:color="auto" w:sz="4" w:space="0"/>
              <w:right w:val="single" w:color="auto" w:sz="4" w:space="0"/>
            </w:tcBorders>
            <w:noWrap w:val="0"/>
            <w:vAlign w:val="center"/>
          </w:tcPr>
          <w:p w14:paraId="79EA320D">
            <w:pPr>
              <w:spacing w:line="360" w:lineRule="exact"/>
              <w:ind w:firstLine="0" w:firstLineChars="0"/>
              <w:rPr>
                <w:rFonts w:hint="eastAsia" w:ascii="宋体" w:hAnsi="宋体" w:cs="宋体"/>
                <w:szCs w:val="21"/>
              </w:rPr>
            </w:pPr>
            <w:r>
              <w:rPr>
                <w:rFonts w:hint="eastAsia" w:ascii="宋体" w:hAnsi="宋体" w:cs="宋体"/>
                <w:szCs w:val="21"/>
              </w:rPr>
              <w:t>1.中标人应按投标文件的承诺向采购人提供相应的服务，并提供所服务内容的相关资料。</w:t>
            </w:r>
          </w:p>
          <w:p w14:paraId="62A5CFF7">
            <w:pPr>
              <w:spacing w:line="360" w:lineRule="exact"/>
              <w:ind w:firstLine="0" w:firstLineChars="0"/>
              <w:rPr>
                <w:rFonts w:hint="eastAsia" w:ascii="宋体" w:hAnsi="宋体" w:cs="宋体"/>
                <w:szCs w:val="21"/>
              </w:rPr>
            </w:pPr>
            <w:r>
              <w:rPr>
                <w:rFonts w:hint="eastAsia" w:ascii="宋体" w:hAnsi="宋体" w:cs="宋体"/>
                <w:szCs w:val="21"/>
              </w:rPr>
              <w:t>2.中标人提供不符合投标文件和本合同规定的服务成果，采购人有权拒绝接受。</w:t>
            </w:r>
          </w:p>
          <w:p w14:paraId="662C69F9">
            <w:pPr>
              <w:spacing w:line="360" w:lineRule="exact"/>
              <w:ind w:firstLine="0" w:firstLineChars="0"/>
              <w:rPr>
                <w:rFonts w:hint="eastAsia" w:ascii="宋体" w:hAnsi="宋体" w:cs="宋体"/>
                <w:szCs w:val="21"/>
              </w:rPr>
            </w:pPr>
            <w:r>
              <w:rPr>
                <w:rFonts w:hint="eastAsia" w:ascii="宋体" w:hAnsi="宋体" w:cs="宋体"/>
                <w:szCs w:val="21"/>
              </w:rPr>
              <w:t>3.中标人每年完成服务后应及时书面通知采购人进行验收，采购人应在收到通知后</w:t>
            </w:r>
            <w:r>
              <w:rPr>
                <w:rFonts w:hint="eastAsia" w:ascii="宋体" w:hAnsi="宋体" w:cs="宋体"/>
                <w:szCs w:val="21"/>
                <w:lang w:val="en-US" w:eastAsia="zh-CN"/>
              </w:rPr>
              <w:t>7</w:t>
            </w:r>
            <w:r>
              <w:rPr>
                <w:rFonts w:hint="eastAsia" w:ascii="宋体" w:hAnsi="宋体" w:cs="宋体"/>
                <w:szCs w:val="21"/>
              </w:rPr>
              <w:t>个工作日内进行验收，逾期不开始验收的，中标人可视同验收合格。验收合格后由双方签署验收单并加盖采购人公章，双方各执一份。</w:t>
            </w:r>
          </w:p>
          <w:p w14:paraId="5A26AC76">
            <w:pPr>
              <w:spacing w:line="360" w:lineRule="exact"/>
              <w:ind w:firstLine="0" w:firstLineChars="0"/>
              <w:rPr>
                <w:rFonts w:hint="eastAsia" w:ascii="宋体" w:hAnsi="宋体" w:cs="宋体"/>
                <w:szCs w:val="21"/>
              </w:rPr>
            </w:pPr>
            <w:r>
              <w:rPr>
                <w:rFonts w:hint="eastAsia" w:ascii="宋体" w:hAnsi="宋体" w:cs="宋体"/>
                <w:szCs w:val="21"/>
              </w:rPr>
              <w:t>4.双方应按照《广西壮族自治区政府采购项目履约验收管理办法》、双方合同、投标文件验收。</w:t>
            </w:r>
          </w:p>
          <w:p w14:paraId="0E434600">
            <w:pPr>
              <w:spacing w:line="360" w:lineRule="exact"/>
              <w:ind w:firstLine="0" w:firstLineChars="0"/>
              <w:rPr>
                <w:rFonts w:hint="eastAsia" w:ascii="宋体" w:hAnsi="宋体" w:cs="宋体"/>
                <w:szCs w:val="21"/>
              </w:rPr>
            </w:pPr>
            <w:r>
              <w:rPr>
                <w:rFonts w:hint="eastAsia" w:ascii="宋体" w:hAnsi="宋体" w:cs="宋体"/>
                <w:szCs w:val="21"/>
              </w:rPr>
              <w:t>5.采购人在每季度的满意度调查或第一年验收过程中如发现中标人提供的服务成果不满足投标文件及本合同规定的，可暂缓向中标人付款，直到中标人及时完善并提交相应的服务成果且经采购人验收合格后，方可办理付款。</w:t>
            </w:r>
          </w:p>
          <w:p w14:paraId="2FDBCD2A">
            <w:pPr>
              <w:spacing w:line="360" w:lineRule="exact"/>
              <w:ind w:firstLine="0" w:firstLineChars="0"/>
              <w:rPr>
                <w:rFonts w:hint="eastAsia" w:ascii="宋体" w:hAnsi="宋体" w:cs="宋体"/>
                <w:szCs w:val="21"/>
              </w:rPr>
            </w:pPr>
            <w:r>
              <w:rPr>
                <w:rFonts w:hint="eastAsia" w:ascii="宋体" w:hAnsi="宋体" w:cs="宋体"/>
                <w:szCs w:val="21"/>
              </w:rPr>
              <w:t>6.采购人验收时以书面形式提出异议的，中标人应自收到采购人书面异议后5个工作日内及时予以解决，否则采购人有权不出具服务验收合格单。</w:t>
            </w:r>
          </w:p>
        </w:tc>
      </w:tr>
      <w:tr w14:paraId="7AF507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267" w:type="dxa"/>
            <w:gridSpan w:val="2"/>
            <w:tcBorders>
              <w:top w:val="single" w:color="auto" w:sz="4" w:space="0"/>
              <w:left w:val="single" w:color="auto" w:sz="4" w:space="0"/>
              <w:bottom w:val="single" w:color="auto" w:sz="4" w:space="0"/>
              <w:right w:val="single" w:color="auto" w:sz="4" w:space="0"/>
            </w:tcBorders>
            <w:noWrap w:val="0"/>
            <w:vAlign w:val="center"/>
          </w:tcPr>
          <w:p w14:paraId="6A37C2AE">
            <w:pPr>
              <w:spacing w:line="360" w:lineRule="exact"/>
              <w:jc w:val="center"/>
              <w:rPr>
                <w:rFonts w:hint="eastAsia" w:ascii="宋体" w:hAnsi="宋体" w:cs="宋体"/>
                <w:szCs w:val="21"/>
              </w:rPr>
            </w:pPr>
            <w:r>
              <w:rPr>
                <w:rFonts w:hint="eastAsia" w:ascii="宋体" w:hAnsi="宋体" w:cs="宋体"/>
                <w:color w:val="auto"/>
                <w:szCs w:val="21"/>
                <w:highlight w:val="none"/>
              </w:rPr>
              <w:t>安全责任要求</w:t>
            </w:r>
          </w:p>
        </w:tc>
        <w:tc>
          <w:tcPr>
            <w:tcW w:w="6664" w:type="dxa"/>
            <w:tcBorders>
              <w:top w:val="single" w:color="auto" w:sz="4" w:space="0"/>
              <w:left w:val="single" w:color="auto" w:sz="4" w:space="0"/>
              <w:bottom w:val="single" w:color="auto" w:sz="4" w:space="0"/>
              <w:right w:val="single" w:color="auto" w:sz="4" w:space="0"/>
            </w:tcBorders>
            <w:noWrap w:val="0"/>
            <w:vAlign w:val="center"/>
          </w:tcPr>
          <w:p w14:paraId="25A8EAED">
            <w:pPr>
              <w:spacing w:line="360" w:lineRule="exact"/>
              <w:ind w:firstLine="0" w:firstLineChars="0"/>
              <w:rPr>
                <w:rFonts w:hint="eastAsia" w:ascii="宋体" w:hAnsi="宋体" w:cs="宋体"/>
                <w:color w:val="auto"/>
                <w:szCs w:val="21"/>
                <w:highlight w:val="none"/>
              </w:rPr>
            </w:pPr>
            <w:r>
              <w:rPr>
                <w:rFonts w:hint="eastAsia" w:ascii="宋体" w:hAnsi="宋体" w:cs="宋体"/>
                <w:color w:val="auto"/>
                <w:szCs w:val="21"/>
                <w:highlight w:val="none"/>
              </w:rPr>
              <w:t>1、供应商委派的工程师必须严格遵守采购人的各项规章制度，接受采购人的监督与检查，确保作业合规有序。工程师如从事高空、电焊、电工等高险作业人员需持相应从业证件上岗；所有工程师需由供应商自行购买人身保险。</w:t>
            </w:r>
          </w:p>
          <w:p w14:paraId="61A7E1B6">
            <w:pPr>
              <w:spacing w:line="360" w:lineRule="exact"/>
              <w:ind w:firstLine="0" w:firstLineChars="0"/>
              <w:rPr>
                <w:rFonts w:hint="eastAsia" w:ascii="宋体" w:hAnsi="宋体" w:cs="宋体"/>
                <w:color w:val="auto"/>
                <w:szCs w:val="21"/>
                <w:highlight w:val="none"/>
              </w:rPr>
            </w:pPr>
            <w:r>
              <w:rPr>
                <w:rFonts w:hint="eastAsia" w:ascii="宋体" w:hAnsi="宋体" w:cs="宋体"/>
                <w:color w:val="auto"/>
                <w:szCs w:val="21"/>
                <w:highlight w:val="none"/>
              </w:rPr>
              <w:t>2、若供应商委派的工程师在作业过程中违反安全规定，采购人有权暂停其工作。由此产生的经济损失由供应商承担。</w:t>
            </w:r>
          </w:p>
          <w:p w14:paraId="6BD7BBF4">
            <w:pPr>
              <w:spacing w:line="360" w:lineRule="exact"/>
              <w:ind w:firstLine="0" w:firstLineChars="0"/>
              <w:rPr>
                <w:rFonts w:hint="eastAsia" w:ascii="宋体" w:hAnsi="宋体" w:cs="宋体"/>
                <w:color w:val="auto"/>
                <w:szCs w:val="21"/>
                <w:highlight w:val="none"/>
              </w:rPr>
            </w:pPr>
            <w:r>
              <w:rPr>
                <w:rFonts w:hint="eastAsia" w:ascii="宋体" w:hAnsi="宋体" w:cs="宋体"/>
                <w:color w:val="auto"/>
                <w:szCs w:val="21"/>
                <w:highlight w:val="none"/>
              </w:rPr>
              <w:t>3、供应商应为委派的工程师配备必要的劳动保护装备，确保其作业安全。在服务期间，若发生员工安全事故，全部责任由供应商承担。</w:t>
            </w:r>
          </w:p>
          <w:p w14:paraId="7382F98A">
            <w:pPr>
              <w:spacing w:line="360" w:lineRule="exact"/>
              <w:ind w:firstLine="0" w:firstLineChars="0"/>
              <w:rPr>
                <w:rFonts w:hint="eastAsia" w:ascii="宋体" w:hAnsi="宋体" w:cs="宋体"/>
                <w:szCs w:val="21"/>
              </w:rPr>
            </w:pPr>
            <w:r>
              <w:rPr>
                <w:rFonts w:hint="eastAsia" w:ascii="宋体" w:hAnsi="宋体" w:cs="宋体"/>
                <w:color w:val="auto"/>
                <w:szCs w:val="21"/>
                <w:highlight w:val="none"/>
              </w:rPr>
              <w:t>4、如因供应商未能按照合同约定进行工程师安全防范教育和保障措施，或者因违反用电和明火的安全要求而导致安全事故发生，由供应商承担全部责任和后果，并承担相应的赔偿责任。</w:t>
            </w:r>
          </w:p>
        </w:tc>
      </w:tr>
      <w:tr w14:paraId="6F594B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267" w:type="dxa"/>
            <w:gridSpan w:val="2"/>
            <w:tcBorders>
              <w:top w:val="single" w:color="auto" w:sz="4" w:space="0"/>
              <w:left w:val="single" w:color="auto" w:sz="4" w:space="0"/>
              <w:bottom w:val="single" w:color="auto" w:sz="4" w:space="0"/>
              <w:right w:val="single" w:color="auto" w:sz="4" w:space="0"/>
            </w:tcBorders>
            <w:noWrap w:val="0"/>
            <w:vAlign w:val="center"/>
          </w:tcPr>
          <w:p w14:paraId="3AC436C4">
            <w:pPr>
              <w:spacing w:line="360" w:lineRule="exact"/>
              <w:jc w:val="center"/>
              <w:rPr>
                <w:rFonts w:hint="eastAsia" w:ascii="宋体" w:hAnsi="宋体" w:cs="宋体"/>
                <w:szCs w:val="21"/>
              </w:rPr>
            </w:pPr>
            <w:r>
              <w:rPr>
                <w:rFonts w:hint="eastAsia" w:ascii="宋体" w:hAnsi="宋体" w:cs="宋体"/>
                <w:color w:val="auto"/>
                <w:szCs w:val="21"/>
                <w:highlight w:val="none"/>
              </w:rPr>
              <w:t>违约责任</w:t>
            </w:r>
          </w:p>
        </w:tc>
        <w:tc>
          <w:tcPr>
            <w:tcW w:w="6664" w:type="dxa"/>
            <w:tcBorders>
              <w:top w:val="single" w:color="auto" w:sz="4" w:space="0"/>
              <w:left w:val="single" w:color="auto" w:sz="4" w:space="0"/>
              <w:bottom w:val="single" w:color="auto" w:sz="4" w:space="0"/>
              <w:right w:val="single" w:color="auto" w:sz="4" w:space="0"/>
            </w:tcBorders>
            <w:noWrap w:val="0"/>
            <w:vAlign w:val="center"/>
          </w:tcPr>
          <w:p w14:paraId="5C8492F8">
            <w:pPr>
              <w:spacing w:line="360" w:lineRule="exact"/>
              <w:ind w:firstLine="0" w:firstLineChars="0"/>
              <w:rPr>
                <w:rFonts w:hint="eastAsia" w:ascii="宋体" w:hAnsi="宋体" w:cs="宋体"/>
                <w:color w:val="auto"/>
                <w:szCs w:val="21"/>
                <w:highlight w:val="none"/>
              </w:rPr>
            </w:pPr>
            <w:r>
              <w:rPr>
                <w:rFonts w:hint="eastAsia" w:ascii="宋体" w:hAnsi="宋体" w:cs="宋体"/>
                <w:color w:val="auto"/>
                <w:szCs w:val="21"/>
                <w:highlight w:val="none"/>
              </w:rPr>
              <w:t>1、供应商有下列行为之一的，视为违约：</w:t>
            </w:r>
          </w:p>
          <w:p w14:paraId="48D527D3">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①无正当理由拒绝承接采购人业务 2 次以上（含 2 次）的；</w:t>
            </w:r>
          </w:p>
          <w:p w14:paraId="7D5C6FE1">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②擅自提高服务的价格的；</w:t>
            </w:r>
          </w:p>
          <w:p w14:paraId="7F2B6419">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③达不到合同规定的质量标准，以次充好，提供假冒伪劣产品的；</w:t>
            </w:r>
          </w:p>
          <w:p w14:paraId="67A8A5C1">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④出现重大责任事故的；</w:t>
            </w:r>
          </w:p>
          <w:p w14:paraId="691204DA">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⑤拒绝接受监督、检查的；</w:t>
            </w:r>
          </w:p>
          <w:p w14:paraId="035F6AAF">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⑥不如实反映情况，提供虚假材料的；</w:t>
            </w:r>
          </w:p>
          <w:p w14:paraId="4B54DC26">
            <w:pPr>
              <w:spacing w:line="360" w:lineRule="exact"/>
              <w:rPr>
                <w:rFonts w:hint="eastAsia" w:ascii="宋体" w:hAnsi="宋体" w:cs="宋体"/>
                <w:color w:val="auto"/>
                <w:szCs w:val="21"/>
                <w:highlight w:val="none"/>
              </w:rPr>
            </w:pPr>
            <w:r>
              <w:rPr>
                <w:rFonts w:hint="eastAsia" w:ascii="宋体" w:hAnsi="宋体" w:cs="宋体"/>
                <w:color w:val="auto"/>
                <w:szCs w:val="21"/>
                <w:highlight w:val="none"/>
              </w:rPr>
              <w:t>⑦维保期内，被行业行政主管部门取消行业经营资格的；</w:t>
            </w:r>
          </w:p>
          <w:p w14:paraId="674302A4">
            <w:pPr>
              <w:spacing w:line="360" w:lineRule="exact"/>
              <w:rPr>
                <w:rFonts w:hint="eastAsia" w:ascii="宋体" w:hAnsi="宋体" w:cs="宋体"/>
                <w:szCs w:val="21"/>
              </w:rPr>
            </w:pPr>
            <w:r>
              <w:rPr>
                <w:rFonts w:hint="eastAsia" w:ascii="宋体" w:hAnsi="宋体" w:cs="宋体"/>
                <w:color w:val="auto"/>
                <w:szCs w:val="21"/>
                <w:highlight w:val="none"/>
              </w:rPr>
              <w:t>⑧其他违反法律法规和采购合同的行为。</w:t>
            </w:r>
          </w:p>
        </w:tc>
      </w:tr>
      <w:tr w14:paraId="38F740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267" w:type="dxa"/>
            <w:gridSpan w:val="2"/>
            <w:tcBorders>
              <w:top w:val="single" w:color="auto" w:sz="4" w:space="0"/>
              <w:left w:val="single" w:color="auto" w:sz="4" w:space="0"/>
              <w:bottom w:val="single" w:color="auto" w:sz="4" w:space="0"/>
              <w:right w:val="single" w:color="auto" w:sz="4" w:space="0"/>
            </w:tcBorders>
            <w:noWrap w:val="0"/>
            <w:vAlign w:val="center"/>
          </w:tcPr>
          <w:p w14:paraId="471A1BE8">
            <w:pPr>
              <w:spacing w:line="360" w:lineRule="exact"/>
              <w:jc w:val="center"/>
              <w:rPr>
                <w:rFonts w:hint="eastAsia" w:ascii="宋体" w:hAnsi="宋体"/>
                <w:szCs w:val="21"/>
              </w:rPr>
            </w:pPr>
            <w:r>
              <w:rPr>
                <w:rFonts w:hint="eastAsia" w:ascii="宋体" w:hAnsi="宋体" w:cs="宋体"/>
                <w:color w:val="auto"/>
                <w:szCs w:val="21"/>
                <w:highlight w:val="none"/>
              </w:rPr>
              <w:t>其他</w:t>
            </w:r>
          </w:p>
        </w:tc>
        <w:tc>
          <w:tcPr>
            <w:tcW w:w="6664" w:type="dxa"/>
            <w:tcBorders>
              <w:top w:val="single" w:color="auto" w:sz="4" w:space="0"/>
              <w:left w:val="single" w:color="auto" w:sz="4" w:space="0"/>
              <w:bottom w:val="single" w:color="auto" w:sz="4" w:space="0"/>
              <w:right w:val="single" w:color="auto" w:sz="4" w:space="0"/>
            </w:tcBorders>
            <w:noWrap w:val="0"/>
            <w:vAlign w:val="center"/>
          </w:tcPr>
          <w:p w14:paraId="1D131A55">
            <w:pPr>
              <w:spacing w:line="360" w:lineRule="exact"/>
              <w:ind w:firstLine="0" w:firstLineChars="0"/>
              <w:rPr>
                <w:rFonts w:hint="eastAsia" w:ascii="宋体" w:hAnsi="宋体" w:cs="宋体"/>
                <w:color w:val="auto"/>
                <w:szCs w:val="21"/>
                <w:highlight w:val="none"/>
              </w:rPr>
            </w:pPr>
            <w:r>
              <w:rPr>
                <w:rFonts w:hint="eastAsia" w:ascii="宋体" w:hAnsi="宋体" w:cs="宋体"/>
                <w:color w:val="auto"/>
                <w:szCs w:val="21"/>
                <w:highlight w:val="none"/>
              </w:rPr>
              <w:t xml:space="preserve">1、供应商不得以任何方式转包或分包本项目。 </w:t>
            </w:r>
          </w:p>
          <w:p w14:paraId="07ED6132">
            <w:pPr>
              <w:spacing w:line="360" w:lineRule="exact"/>
              <w:ind w:firstLine="0" w:firstLineChars="0"/>
              <w:rPr>
                <w:rFonts w:hint="eastAsia" w:ascii="宋体" w:hAnsi="宋体" w:cs="宋体"/>
                <w:color w:val="auto"/>
                <w:szCs w:val="21"/>
                <w:highlight w:val="none"/>
              </w:rPr>
            </w:pPr>
            <w:r>
              <w:rPr>
                <w:rFonts w:hint="eastAsia" w:ascii="宋体" w:hAnsi="宋体" w:cs="宋体"/>
                <w:color w:val="auto"/>
                <w:szCs w:val="21"/>
                <w:highlight w:val="none"/>
              </w:rPr>
              <w:t xml:space="preserve">2、供应商提供的方案中的所有内容，不得包含任何侵犯第三者知识产权的材料。如发生侵权行为，供应商必须自行为其提供产品或服务侵犯其他专利人的专利成果承担相应法律责任，如因侵犯他人专利权造成采购人损失的，还应赔偿采购人损失。 </w:t>
            </w:r>
            <w:r>
              <w:rPr>
                <w:rFonts w:hint="eastAsia" w:ascii="宋体" w:hAnsi="宋体" w:cs="宋体"/>
                <w:color w:val="auto"/>
                <w:szCs w:val="21"/>
                <w:highlight w:val="none"/>
              </w:rPr>
              <w:br w:type="textWrapping"/>
            </w:r>
            <w:r>
              <w:rPr>
                <w:rFonts w:hint="eastAsia" w:ascii="宋体" w:hAnsi="宋体" w:cs="宋体"/>
                <w:color w:val="auto"/>
                <w:szCs w:val="21"/>
                <w:highlight w:val="none"/>
              </w:rPr>
              <w:t>3、合同执行期间遇到下列情形之一时，可终止并无条件解除合同：1）遇到不可抗拒力因素导致合同无法继续执行的；2）采购人因更新淘汰维保设备不再使用的。</w:t>
            </w:r>
            <w:r>
              <w:rPr>
                <w:rFonts w:hint="eastAsia" w:ascii="宋体" w:hAnsi="宋体" w:cs="宋体"/>
                <w:color w:val="auto"/>
                <w:szCs w:val="21"/>
                <w:highlight w:val="none"/>
              </w:rPr>
              <w:br w:type="textWrapping"/>
            </w:r>
            <w:r>
              <w:rPr>
                <w:rFonts w:hint="eastAsia" w:ascii="宋体" w:hAnsi="宋体" w:cs="宋体"/>
                <w:color w:val="auto"/>
                <w:szCs w:val="21"/>
                <w:highlight w:val="none"/>
              </w:rPr>
              <w:t>4、对解除合同的情形，采购人按供应商已提供服务的天数支付服务费（费用计算为：合同全款÷合同维保天数× 实际履行天数），不再支付其他费用。</w:t>
            </w:r>
          </w:p>
          <w:p w14:paraId="7B1D4DB0">
            <w:pPr>
              <w:spacing w:line="360" w:lineRule="exact"/>
              <w:ind w:firstLine="0" w:firstLineChars="0"/>
              <w:rPr>
                <w:rFonts w:hint="eastAsia" w:ascii="宋体" w:hAnsi="宋体" w:cs="宋体"/>
                <w:color w:val="auto"/>
                <w:szCs w:val="21"/>
                <w:highlight w:val="none"/>
              </w:rPr>
            </w:pPr>
            <w:r>
              <w:rPr>
                <w:rFonts w:hint="eastAsia" w:ascii="宋体" w:hAnsi="宋体" w:cs="宋体"/>
                <w:color w:val="auto"/>
                <w:szCs w:val="21"/>
                <w:highlight w:val="none"/>
              </w:rPr>
              <w:t>5、在签订合同后，采购人可要求</w:t>
            </w:r>
            <w:r>
              <w:rPr>
                <w:rFonts w:hint="eastAsia" w:ascii="宋体" w:hAnsi="宋体" w:cs="宋体"/>
                <w:color w:val="auto"/>
                <w:szCs w:val="21"/>
                <w:highlight w:val="none"/>
                <w:lang w:eastAsia="zh-CN"/>
              </w:rPr>
              <w:t>中标人</w:t>
            </w:r>
            <w:r>
              <w:rPr>
                <w:rFonts w:hint="eastAsia" w:ascii="宋体" w:hAnsi="宋体" w:cs="宋体"/>
                <w:color w:val="auto"/>
                <w:szCs w:val="21"/>
                <w:highlight w:val="none"/>
              </w:rPr>
              <w:t>提供</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rPr>
              <w:t>文件中相关材料的原件（如</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rPr>
              <w:t>文件中供应商提供的相关证明材料、证书及其他采购人认为需要查询的材料）进行真假核实，</w:t>
            </w:r>
            <w:r>
              <w:rPr>
                <w:rFonts w:hint="eastAsia" w:ascii="宋体" w:hAnsi="宋体" w:cs="宋体"/>
                <w:color w:val="auto"/>
                <w:szCs w:val="21"/>
                <w:highlight w:val="none"/>
                <w:lang w:eastAsia="zh-CN"/>
              </w:rPr>
              <w:t>中标人</w:t>
            </w:r>
            <w:r>
              <w:rPr>
                <w:rFonts w:hint="eastAsia" w:ascii="宋体" w:hAnsi="宋体" w:cs="宋体"/>
                <w:color w:val="auto"/>
                <w:szCs w:val="21"/>
                <w:highlight w:val="none"/>
              </w:rPr>
              <w:t>必须按照采购人的要求在7个工作日内提供，否则采购人有权按照合同条款追究</w:t>
            </w:r>
            <w:r>
              <w:rPr>
                <w:rFonts w:hint="eastAsia" w:ascii="宋体" w:hAnsi="宋体" w:cs="宋体"/>
                <w:color w:val="auto"/>
                <w:szCs w:val="21"/>
                <w:highlight w:val="none"/>
                <w:lang w:eastAsia="zh-CN"/>
              </w:rPr>
              <w:t>中标人</w:t>
            </w:r>
            <w:r>
              <w:rPr>
                <w:rFonts w:hint="eastAsia" w:ascii="宋体" w:hAnsi="宋体" w:cs="宋体"/>
                <w:color w:val="auto"/>
                <w:szCs w:val="21"/>
                <w:highlight w:val="none"/>
              </w:rPr>
              <w:t>的违约责任，并上报财政部门进行处理。</w:t>
            </w:r>
          </w:p>
          <w:p w14:paraId="10174178">
            <w:pPr>
              <w:spacing w:line="360" w:lineRule="exact"/>
              <w:ind w:firstLine="0" w:firstLineChars="0"/>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6</w:t>
            </w:r>
            <w:r>
              <w:rPr>
                <w:rFonts w:hint="eastAsia" w:ascii="宋体" w:hAnsi="宋体" w:cs="宋体"/>
                <w:b/>
                <w:bCs/>
                <w:color w:val="auto"/>
                <w:sz w:val="21"/>
                <w:szCs w:val="21"/>
                <w:highlight w:val="none"/>
                <w:lang w:val="en-US" w:eastAsia="zh-CN"/>
              </w:rPr>
              <w:t>、</w:t>
            </w:r>
            <w:r>
              <w:rPr>
                <w:rFonts w:hint="eastAsia" w:ascii="宋体" w:hAnsi="宋体" w:cs="宋体"/>
                <w:b/>
                <w:bCs/>
                <w:color w:val="auto"/>
                <w:szCs w:val="21"/>
                <w:highlight w:val="none"/>
                <w:lang w:val="en-US" w:eastAsia="zh-CN"/>
              </w:rPr>
              <w:t>供应商于投标文件中对所有采购需求要求做出真实、有效的响应和承诺，否则按虚假或不实应标处理，其投标无效。</w:t>
            </w:r>
          </w:p>
          <w:p w14:paraId="26DECCDD">
            <w:pPr>
              <w:spacing w:line="360" w:lineRule="exact"/>
              <w:ind w:firstLine="0" w:firstLineChars="0"/>
              <w:rPr>
                <w:rFonts w:hint="eastAsia" w:ascii="宋体" w:hAnsi="宋体"/>
                <w:szCs w:val="21"/>
              </w:rPr>
            </w:pPr>
            <w:r>
              <w:rPr>
                <w:rFonts w:hint="eastAsia" w:ascii="宋体" w:hAnsi="宋体" w:cs="宋体"/>
                <w:b/>
                <w:bCs/>
                <w:color w:val="auto"/>
                <w:szCs w:val="21"/>
                <w:highlight w:val="none"/>
                <w:lang w:val="en-US" w:eastAsia="zh-CN"/>
              </w:rPr>
              <w:t>7、其他未尽事宜由采购人和中标供应商在采购合同中详细约定。</w:t>
            </w:r>
          </w:p>
        </w:tc>
      </w:tr>
    </w:tbl>
    <w:p w14:paraId="1F4B70A5">
      <w:pPr>
        <w:spacing w:line="428" w:lineRule="exact"/>
        <w:ind w:left="0"/>
        <w:rPr>
          <w:rFonts w:ascii="Arial Unicode MS" w:hAnsi="Arial Unicode MS" w:eastAsia="Arial Unicode MS" w:cs="Arial Unicode MS"/>
          <w:color w:val="auto"/>
          <w:sz w:val="32"/>
          <w:szCs w:val="32"/>
        </w:rPr>
      </w:pPr>
      <w:r>
        <w:rPr>
          <w:rFonts w:hint="eastAsia" w:ascii="Times New Roman" w:hAnsi="Times New Roman" w:eastAsia="宋体" w:cs="Times New Roman"/>
          <w:b/>
          <w:bCs/>
          <w:color w:val="auto"/>
          <w:kern w:val="2"/>
          <w:sz w:val="28"/>
          <w:szCs w:val="28"/>
          <w:lang w:val="en-US" w:eastAsia="zh-CN" w:bidi="ar-SA"/>
        </w:rPr>
        <w:br w:type="page"/>
      </w:r>
      <w:r>
        <w:rPr>
          <w:rFonts w:hint="eastAsia" w:ascii="黑体" w:hAnsi="黑体" w:eastAsia="黑体" w:cs="黑体"/>
          <w:color w:val="auto"/>
          <w:sz w:val="32"/>
          <w:szCs w:val="32"/>
        </w:rPr>
        <w:t>附件1：</w:t>
      </w:r>
    </w:p>
    <w:p w14:paraId="4CC49779">
      <w:pPr>
        <w:wordWrap w:val="0"/>
        <w:spacing w:line="360" w:lineRule="auto"/>
        <w:ind w:left="1871"/>
        <w:rPr>
          <w:rFonts w:ascii="宋体" w:hAnsi="宋体" w:cs="宋体"/>
          <w:color w:val="auto"/>
          <w:sz w:val="40"/>
          <w:szCs w:val="40"/>
        </w:rPr>
      </w:pPr>
      <w:r>
        <w:rPr>
          <w:rFonts w:hint="eastAsia" w:ascii="宋体" w:hAnsi="宋体" w:cs="宋体"/>
          <w:color w:val="auto"/>
          <w:sz w:val="40"/>
          <w:szCs w:val="40"/>
        </w:rPr>
        <w:t>节能产品政府采购品目清单</w:t>
      </w:r>
    </w:p>
    <w:tbl>
      <w:tblPr>
        <w:tblStyle w:val="25"/>
        <w:tblW w:w="9432" w:type="dxa"/>
        <w:tblInd w:w="93" w:type="dxa"/>
        <w:tblLayout w:type="fixed"/>
        <w:tblCellMar>
          <w:top w:w="0" w:type="dxa"/>
          <w:left w:w="108" w:type="dxa"/>
          <w:bottom w:w="0" w:type="dxa"/>
          <w:right w:w="108" w:type="dxa"/>
        </w:tblCellMar>
      </w:tblPr>
      <w:tblGrid>
        <w:gridCol w:w="659"/>
        <w:gridCol w:w="1079"/>
        <w:gridCol w:w="1319"/>
        <w:gridCol w:w="1622"/>
        <w:gridCol w:w="4753"/>
      </w:tblGrid>
      <w:tr w14:paraId="228ADDC0">
        <w:tblPrEx>
          <w:tblCellMar>
            <w:top w:w="0" w:type="dxa"/>
            <w:left w:w="108" w:type="dxa"/>
            <w:bottom w:w="0" w:type="dxa"/>
            <w:right w:w="108" w:type="dxa"/>
          </w:tblCellMar>
        </w:tblPrEx>
        <w:trPr>
          <w:trHeight w:val="653" w:hRule="atLeast"/>
        </w:trPr>
        <w:tc>
          <w:tcPr>
            <w:tcW w:w="659" w:type="dxa"/>
            <w:tcBorders>
              <w:top w:val="single" w:color="000000" w:sz="8" w:space="0"/>
              <w:left w:val="single" w:color="000000" w:sz="8" w:space="0"/>
              <w:bottom w:val="single" w:color="000000" w:sz="8" w:space="0"/>
              <w:right w:val="single" w:color="000000" w:sz="8" w:space="0"/>
            </w:tcBorders>
          </w:tcPr>
          <w:p w14:paraId="562F75A1">
            <w:pPr>
              <w:widowControl/>
              <w:wordWrap w:val="0"/>
              <w:jc w:val="center"/>
              <w:rPr>
                <w:rFonts w:ascii="宋体" w:hAnsi="宋体" w:cs="宋体"/>
                <w:b/>
                <w:bCs/>
                <w:color w:val="auto"/>
                <w:kern w:val="0"/>
                <w:sz w:val="22"/>
                <w:szCs w:val="22"/>
              </w:rPr>
            </w:pPr>
            <w:r>
              <w:rPr>
                <w:rFonts w:hint="eastAsia" w:ascii="宋体" w:hAnsi="宋体" w:cs="宋体"/>
                <w:b/>
                <w:bCs/>
                <w:color w:val="auto"/>
                <w:kern w:val="0"/>
                <w:sz w:val="22"/>
                <w:szCs w:val="22"/>
              </w:rPr>
              <w:t>品目序号</w:t>
            </w:r>
          </w:p>
        </w:tc>
        <w:tc>
          <w:tcPr>
            <w:tcW w:w="4020" w:type="dxa"/>
            <w:gridSpan w:val="3"/>
            <w:tcBorders>
              <w:top w:val="single" w:color="000000" w:sz="8" w:space="0"/>
              <w:left w:val="nil"/>
              <w:bottom w:val="single" w:color="000000" w:sz="8" w:space="0"/>
              <w:right w:val="single" w:color="000000" w:sz="8" w:space="0"/>
            </w:tcBorders>
            <w:vAlign w:val="center"/>
          </w:tcPr>
          <w:p w14:paraId="4C07CBDF">
            <w:pPr>
              <w:widowControl/>
              <w:wordWrap w:val="0"/>
              <w:jc w:val="center"/>
              <w:rPr>
                <w:rFonts w:ascii="宋体" w:hAnsi="宋体" w:cs="宋体"/>
                <w:b/>
                <w:bCs/>
                <w:color w:val="auto"/>
                <w:kern w:val="0"/>
                <w:sz w:val="22"/>
                <w:szCs w:val="22"/>
              </w:rPr>
            </w:pPr>
            <w:r>
              <w:rPr>
                <w:rFonts w:hint="eastAsia" w:ascii="宋体" w:hAnsi="宋体" w:cs="宋体"/>
                <w:b/>
                <w:bCs/>
                <w:color w:val="auto"/>
                <w:kern w:val="0"/>
                <w:sz w:val="22"/>
                <w:szCs w:val="22"/>
              </w:rPr>
              <w:t>名称</w:t>
            </w:r>
          </w:p>
        </w:tc>
        <w:tc>
          <w:tcPr>
            <w:tcW w:w="4753" w:type="dxa"/>
            <w:tcBorders>
              <w:top w:val="single" w:color="000000" w:sz="8" w:space="0"/>
              <w:left w:val="nil"/>
              <w:bottom w:val="single" w:color="000000" w:sz="8" w:space="0"/>
              <w:right w:val="single" w:color="000000" w:sz="8" w:space="0"/>
            </w:tcBorders>
            <w:vAlign w:val="center"/>
          </w:tcPr>
          <w:p w14:paraId="40CA6F4F">
            <w:pPr>
              <w:widowControl/>
              <w:wordWrap w:val="0"/>
              <w:jc w:val="center"/>
              <w:rPr>
                <w:rFonts w:ascii="宋体" w:hAnsi="宋体" w:cs="宋体"/>
                <w:b/>
                <w:bCs/>
                <w:color w:val="auto"/>
                <w:kern w:val="0"/>
                <w:sz w:val="22"/>
                <w:szCs w:val="22"/>
              </w:rPr>
            </w:pPr>
            <w:r>
              <w:rPr>
                <w:rFonts w:hint="eastAsia" w:ascii="宋体" w:hAnsi="宋体" w:cs="宋体"/>
                <w:b/>
                <w:bCs/>
                <w:color w:val="auto"/>
                <w:kern w:val="0"/>
                <w:sz w:val="22"/>
                <w:szCs w:val="22"/>
              </w:rPr>
              <w:t>依据的标准</w:t>
            </w:r>
          </w:p>
        </w:tc>
      </w:tr>
      <w:tr w14:paraId="40B8F315">
        <w:tblPrEx>
          <w:tblCellMar>
            <w:top w:w="0" w:type="dxa"/>
            <w:left w:w="108" w:type="dxa"/>
            <w:bottom w:w="0" w:type="dxa"/>
            <w:right w:w="108" w:type="dxa"/>
          </w:tblCellMar>
        </w:tblPrEx>
        <w:trPr>
          <w:trHeight w:val="653" w:hRule="atLeast"/>
        </w:trPr>
        <w:tc>
          <w:tcPr>
            <w:tcW w:w="659" w:type="dxa"/>
            <w:vMerge w:val="restart"/>
            <w:tcBorders>
              <w:top w:val="nil"/>
              <w:left w:val="single" w:color="000000" w:sz="8" w:space="0"/>
              <w:bottom w:val="single" w:color="000000" w:sz="8" w:space="0"/>
              <w:right w:val="single" w:color="000000" w:sz="8" w:space="0"/>
            </w:tcBorders>
            <w:vAlign w:val="center"/>
          </w:tcPr>
          <w:p w14:paraId="1AAAD891">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1</w:t>
            </w:r>
          </w:p>
        </w:tc>
        <w:tc>
          <w:tcPr>
            <w:tcW w:w="1079" w:type="dxa"/>
            <w:vMerge w:val="restart"/>
            <w:tcBorders>
              <w:top w:val="nil"/>
              <w:left w:val="single" w:color="000000" w:sz="8" w:space="0"/>
              <w:bottom w:val="single" w:color="000000" w:sz="8" w:space="0"/>
              <w:right w:val="single" w:color="000000" w:sz="8" w:space="0"/>
            </w:tcBorders>
            <w:vAlign w:val="center"/>
          </w:tcPr>
          <w:p w14:paraId="68C84794">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A020101计算机设备</w:t>
            </w:r>
          </w:p>
        </w:tc>
        <w:tc>
          <w:tcPr>
            <w:tcW w:w="1319" w:type="dxa"/>
            <w:tcBorders>
              <w:top w:val="nil"/>
              <w:left w:val="nil"/>
              <w:bottom w:val="single" w:color="000000" w:sz="8" w:space="0"/>
              <w:right w:val="single" w:color="000000" w:sz="8" w:space="0"/>
            </w:tcBorders>
            <w:vAlign w:val="center"/>
          </w:tcPr>
          <w:p w14:paraId="01A8ABAD">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★A02010104台式计算机</w:t>
            </w:r>
          </w:p>
        </w:tc>
        <w:tc>
          <w:tcPr>
            <w:tcW w:w="1622" w:type="dxa"/>
            <w:tcBorders>
              <w:top w:val="nil"/>
              <w:left w:val="nil"/>
              <w:bottom w:val="single" w:color="000000" w:sz="8" w:space="0"/>
              <w:right w:val="single" w:color="000000" w:sz="8" w:space="0"/>
            </w:tcBorders>
            <w:vAlign w:val="center"/>
          </w:tcPr>
          <w:p w14:paraId="687545D3">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740D8C49">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《微型计算机能效限定值及能效等级》（GB28380）</w:t>
            </w:r>
          </w:p>
        </w:tc>
      </w:tr>
      <w:tr w14:paraId="54D4D34E">
        <w:tblPrEx>
          <w:tblCellMar>
            <w:top w:w="0" w:type="dxa"/>
            <w:left w:w="108" w:type="dxa"/>
            <w:bottom w:w="0" w:type="dxa"/>
            <w:right w:w="108" w:type="dxa"/>
          </w:tblCellMar>
        </w:tblPrEx>
        <w:trPr>
          <w:trHeight w:val="970" w:hRule="atLeast"/>
        </w:trPr>
        <w:tc>
          <w:tcPr>
            <w:tcW w:w="659" w:type="dxa"/>
            <w:vMerge w:val="continue"/>
            <w:tcBorders>
              <w:top w:val="nil"/>
              <w:left w:val="single" w:color="000000" w:sz="8" w:space="0"/>
              <w:bottom w:val="single" w:color="000000" w:sz="8" w:space="0"/>
              <w:right w:val="single" w:color="000000" w:sz="8" w:space="0"/>
            </w:tcBorders>
            <w:vAlign w:val="center"/>
          </w:tcPr>
          <w:p w14:paraId="61AECF90">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1EBA58BD">
            <w:pPr>
              <w:widowControl/>
              <w:wordWrap w:val="0"/>
              <w:jc w:val="left"/>
              <w:rPr>
                <w:rFonts w:ascii="宋体" w:hAnsi="宋体" w:cs="宋体"/>
                <w:color w:val="auto"/>
                <w:kern w:val="0"/>
                <w:sz w:val="20"/>
                <w:szCs w:val="20"/>
              </w:rPr>
            </w:pPr>
          </w:p>
        </w:tc>
        <w:tc>
          <w:tcPr>
            <w:tcW w:w="1319" w:type="dxa"/>
            <w:tcBorders>
              <w:top w:val="nil"/>
              <w:left w:val="nil"/>
              <w:bottom w:val="single" w:color="000000" w:sz="8" w:space="0"/>
              <w:right w:val="single" w:color="000000" w:sz="8" w:space="0"/>
            </w:tcBorders>
            <w:vAlign w:val="center"/>
          </w:tcPr>
          <w:p w14:paraId="37FEFC63">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★A02010105便携式计算机</w:t>
            </w:r>
          </w:p>
        </w:tc>
        <w:tc>
          <w:tcPr>
            <w:tcW w:w="1622" w:type="dxa"/>
            <w:tcBorders>
              <w:top w:val="nil"/>
              <w:left w:val="nil"/>
              <w:bottom w:val="single" w:color="000000" w:sz="8" w:space="0"/>
              <w:right w:val="single" w:color="000000" w:sz="8" w:space="0"/>
            </w:tcBorders>
            <w:vAlign w:val="center"/>
          </w:tcPr>
          <w:p w14:paraId="09BF003E">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77570D2D">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《微型计算机能效限定值及能效等级》（GB28380）</w:t>
            </w:r>
          </w:p>
        </w:tc>
      </w:tr>
      <w:tr w14:paraId="176B6AF2">
        <w:tblPrEx>
          <w:tblCellMar>
            <w:top w:w="0" w:type="dxa"/>
            <w:left w:w="108" w:type="dxa"/>
            <w:bottom w:w="0" w:type="dxa"/>
            <w:right w:w="108" w:type="dxa"/>
          </w:tblCellMar>
        </w:tblPrEx>
        <w:trPr>
          <w:trHeight w:val="970" w:hRule="atLeast"/>
        </w:trPr>
        <w:tc>
          <w:tcPr>
            <w:tcW w:w="659" w:type="dxa"/>
            <w:vMerge w:val="continue"/>
            <w:tcBorders>
              <w:top w:val="nil"/>
              <w:left w:val="single" w:color="000000" w:sz="8" w:space="0"/>
              <w:bottom w:val="single" w:color="000000" w:sz="8" w:space="0"/>
              <w:right w:val="single" w:color="000000" w:sz="8" w:space="0"/>
            </w:tcBorders>
            <w:vAlign w:val="center"/>
          </w:tcPr>
          <w:p w14:paraId="76E3CE61">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433B8196">
            <w:pPr>
              <w:widowControl/>
              <w:wordWrap w:val="0"/>
              <w:jc w:val="left"/>
              <w:rPr>
                <w:rFonts w:ascii="宋体" w:hAnsi="宋体" w:cs="宋体"/>
                <w:color w:val="auto"/>
                <w:kern w:val="0"/>
                <w:sz w:val="20"/>
                <w:szCs w:val="20"/>
              </w:rPr>
            </w:pPr>
          </w:p>
        </w:tc>
        <w:tc>
          <w:tcPr>
            <w:tcW w:w="1319" w:type="dxa"/>
            <w:tcBorders>
              <w:top w:val="nil"/>
              <w:left w:val="nil"/>
              <w:bottom w:val="single" w:color="000000" w:sz="8" w:space="0"/>
              <w:right w:val="single" w:color="000000" w:sz="8" w:space="0"/>
            </w:tcBorders>
            <w:vAlign w:val="center"/>
          </w:tcPr>
          <w:p w14:paraId="0AD66770">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★A02010107平板式微型计算机</w:t>
            </w:r>
          </w:p>
        </w:tc>
        <w:tc>
          <w:tcPr>
            <w:tcW w:w="1622" w:type="dxa"/>
            <w:tcBorders>
              <w:top w:val="nil"/>
              <w:left w:val="nil"/>
              <w:bottom w:val="single" w:color="000000" w:sz="8" w:space="0"/>
              <w:right w:val="single" w:color="000000" w:sz="8" w:space="0"/>
            </w:tcBorders>
            <w:vAlign w:val="center"/>
          </w:tcPr>
          <w:p w14:paraId="4A433260">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42E5A1BE">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《微型计算机能效限定值及能效等级》（GB28380）</w:t>
            </w:r>
          </w:p>
        </w:tc>
      </w:tr>
      <w:tr w14:paraId="10091317">
        <w:tblPrEx>
          <w:tblCellMar>
            <w:top w:w="0" w:type="dxa"/>
            <w:left w:w="108" w:type="dxa"/>
            <w:bottom w:w="0" w:type="dxa"/>
            <w:right w:w="108" w:type="dxa"/>
          </w:tblCellMar>
        </w:tblPrEx>
        <w:trPr>
          <w:trHeight w:val="653" w:hRule="atLeast"/>
        </w:trPr>
        <w:tc>
          <w:tcPr>
            <w:tcW w:w="659" w:type="dxa"/>
            <w:vMerge w:val="restart"/>
            <w:tcBorders>
              <w:top w:val="nil"/>
              <w:left w:val="single" w:color="000000" w:sz="8" w:space="0"/>
              <w:bottom w:val="single" w:color="000000" w:sz="8" w:space="0"/>
              <w:right w:val="single" w:color="000000" w:sz="8" w:space="0"/>
            </w:tcBorders>
            <w:vAlign w:val="center"/>
          </w:tcPr>
          <w:p w14:paraId="4CDF5610">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2</w:t>
            </w:r>
          </w:p>
        </w:tc>
        <w:tc>
          <w:tcPr>
            <w:tcW w:w="1079" w:type="dxa"/>
            <w:vMerge w:val="restart"/>
            <w:tcBorders>
              <w:top w:val="nil"/>
              <w:left w:val="single" w:color="000000" w:sz="8" w:space="0"/>
              <w:bottom w:val="single" w:color="000000" w:sz="8" w:space="0"/>
              <w:right w:val="single" w:color="000000" w:sz="8" w:space="0"/>
            </w:tcBorders>
            <w:vAlign w:val="center"/>
          </w:tcPr>
          <w:p w14:paraId="708CDCD9">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A020106输入输出设备</w:t>
            </w:r>
          </w:p>
        </w:tc>
        <w:tc>
          <w:tcPr>
            <w:tcW w:w="1319" w:type="dxa"/>
            <w:vMerge w:val="restart"/>
            <w:tcBorders>
              <w:top w:val="nil"/>
              <w:left w:val="single" w:color="000000" w:sz="8" w:space="0"/>
              <w:bottom w:val="single" w:color="000000" w:sz="8" w:space="0"/>
              <w:right w:val="single" w:color="000000" w:sz="8" w:space="0"/>
            </w:tcBorders>
            <w:vAlign w:val="center"/>
          </w:tcPr>
          <w:p w14:paraId="6EC3BE00">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A02010601打印设备</w:t>
            </w:r>
          </w:p>
        </w:tc>
        <w:tc>
          <w:tcPr>
            <w:tcW w:w="1622" w:type="dxa"/>
            <w:tcBorders>
              <w:top w:val="nil"/>
              <w:left w:val="nil"/>
              <w:bottom w:val="single" w:color="000000" w:sz="8" w:space="0"/>
              <w:right w:val="single" w:color="000000" w:sz="8" w:space="0"/>
            </w:tcBorders>
            <w:vAlign w:val="center"/>
          </w:tcPr>
          <w:p w14:paraId="199823A1">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A0201060101喷墨打印机</w:t>
            </w:r>
          </w:p>
        </w:tc>
        <w:tc>
          <w:tcPr>
            <w:tcW w:w="4753" w:type="dxa"/>
            <w:tcBorders>
              <w:top w:val="nil"/>
              <w:left w:val="nil"/>
              <w:bottom w:val="single" w:color="000000" w:sz="8" w:space="0"/>
              <w:right w:val="single" w:color="000000" w:sz="8" w:space="0"/>
            </w:tcBorders>
            <w:vAlign w:val="center"/>
          </w:tcPr>
          <w:p w14:paraId="18E35E90">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《复印机、打印机和传真机能效限定值及能效等级》（GB21521）</w:t>
            </w:r>
          </w:p>
        </w:tc>
      </w:tr>
      <w:tr w14:paraId="6E2D6CE1">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40312AF8">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4941681A">
            <w:pPr>
              <w:widowControl/>
              <w:wordWrap w:val="0"/>
              <w:jc w:val="left"/>
              <w:rPr>
                <w:rFonts w:ascii="宋体" w:hAnsi="宋体" w:cs="宋体"/>
                <w:color w:val="auto"/>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0ECDE189">
            <w:pPr>
              <w:widowControl/>
              <w:wordWrap w:val="0"/>
              <w:jc w:val="left"/>
              <w:rPr>
                <w:rFonts w:ascii="宋体" w:hAnsi="宋体" w:cs="宋体"/>
                <w:color w:val="auto"/>
                <w:kern w:val="0"/>
                <w:sz w:val="20"/>
                <w:szCs w:val="20"/>
              </w:rPr>
            </w:pPr>
          </w:p>
        </w:tc>
        <w:tc>
          <w:tcPr>
            <w:tcW w:w="1622" w:type="dxa"/>
            <w:tcBorders>
              <w:top w:val="nil"/>
              <w:left w:val="nil"/>
              <w:bottom w:val="single" w:color="000000" w:sz="8" w:space="0"/>
              <w:right w:val="single" w:color="000000" w:sz="8" w:space="0"/>
            </w:tcBorders>
            <w:vAlign w:val="center"/>
          </w:tcPr>
          <w:p w14:paraId="24FC058F">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★A0201060102激光打印机</w:t>
            </w:r>
          </w:p>
        </w:tc>
        <w:tc>
          <w:tcPr>
            <w:tcW w:w="4753" w:type="dxa"/>
            <w:tcBorders>
              <w:top w:val="nil"/>
              <w:left w:val="nil"/>
              <w:bottom w:val="single" w:color="000000" w:sz="8" w:space="0"/>
              <w:right w:val="single" w:color="000000" w:sz="8" w:space="0"/>
            </w:tcBorders>
            <w:vAlign w:val="center"/>
          </w:tcPr>
          <w:p w14:paraId="42CE1EB1">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《复印机、打印机和传真机能效限定值及能效等级》（GB21521）</w:t>
            </w:r>
          </w:p>
        </w:tc>
      </w:tr>
      <w:tr w14:paraId="5265D7EC">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2B4F1C94">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37F872BE">
            <w:pPr>
              <w:widowControl/>
              <w:wordWrap w:val="0"/>
              <w:jc w:val="left"/>
              <w:rPr>
                <w:rFonts w:ascii="宋体" w:hAnsi="宋体" w:cs="宋体"/>
                <w:color w:val="auto"/>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16458CB6">
            <w:pPr>
              <w:widowControl/>
              <w:wordWrap w:val="0"/>
              <w:jc w:val="left"/>
              <w:rPr>
                <w:rFonts w:ascii="宋体" w:hAnsi="宋体" w:cs="宋体"/>
                <w:color w:val="auto"/>
                <w:kern w:val="0"/>
                <w:sz w:val="20"/>
                <w:szCs w:val="20"/>
              </w:rPr>
            </w:pPr>
          </w:p>
        </w:tc>
        <w:tc>
          <w:tcPr>
            <w:tcW w:w="1622" w:type="dxa"/>
            <w:tcBorders>
              <w:top w:val="nil"/>
              <w:left w:val="nil"/>
              <w:bottom w:val="single" w:color="000000" w:sz="8" w:space="0"/>
              <w:right w:val="single" w:color="000000" w:sz="8" w:space="0"/>
            </w:tcBorders>
            <w:vAlign w:val="center"/>
          </w:tcPr>
          <w:p w14:paraId="3E26A04B">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★A0201060104针式打印机</w:t>
            </w:r>
          </w:p>
        </w:tc>
        <w:tc>
          <w:tcPr>
            <w:tcW w:w="4753" w:type="dxa"/>
            <w:tcBorders>
              <w:top w:val="nil"/>
              <w:left w:val="nil"/>
              <w:bottom w:val="single" w:color="000000" w:sz="8" w:space="0"/>
              <w:right w:val="single" w:color="000000" w:sz="8" w:space="0"/>
            </w:tcBorders>
            <w:vAlign w:val="center"/>
          </w:tcPr>
          <w:p w14:paraId="66B78A83">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《复印机、打印机和传真机能效限定值及能效等级》（GB21521）</w:t>
            </w:r>
          </w:p>
        </w:tc>
      </w:tr>
      <w:tr w14:paraId="220A6D32">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244C3E48">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31C6B460">
            <w:pPr>
              <w:widowControl/>
              <w:wordWrap w:val="0"/>
              <w:jc w:val="left"/>
              <w:rPr>
                <w:rFonts w:ascii="宋体" w:hAnsi="宋体" w:cs="宋体"/>
                <w:color w:val="auto"/>
                <w:kern w:val="0"/>
                <w:sz w:val="20"/>
                <w:szCs w:val="20"/>
              </w:rPr>
            </w:pPr>
          </w:p>
        </w:tc>
        <w:tc>
          <w:tcPr>
            <w:tcW w:w="1319" w:type="dxa"/>
            <w:tcBorders>
              <w:top w:val="nil"/>
              <w:left w:val="nil"/>
              <w:bottom w:val="single" w:color="000000" w:sz="8" w:space="0"/>
              <w:right w:val="single" w:color="000000" w:sz="8" w:space="0"/>
            </w:tcBorders>
            <w:vAlign w:val="center"/>
          </w:tcPr>
          <w:p w14:paraId="53F07123">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A02010604显示设备</w:t>
            </w:r>
          </w:p>
        </w:tc>
        <w:tc>
          <w:tcPr>
            <w:tcW w:w="1622" w:type="dxa"/>
            <w:tcBorders>
              <w:top w:val="nil"/>
              <w:left w:val="nil"/>
              <w:bottom w:val="single" w:color="000000" w:sz="8" w:space="0"/>
              <w:right w:val="single" w:color="000000" w:sz="8" w:space="0"/>
            </w:tcBorders>
            <w:vAlign w:val="center"/>
          </w:tcPr>
          <w:p w14:paraId="2A3A2D2B">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★A0201060401液晶显示器</w:t>
            </w:r>
          </w:p>
        </w:tc>
        <w:tc>
          <w:tcPr>
            <w:tcW w:w="4753" w:type="dxa"/>
            <w:tcBorders>
              <w:top w:val="nil"/>
              <w:left w:val="nil"/>
              <w:bottom w:val="single" w:color="000000" w:sz="8" w:space="0"/>
              <w:right w:val="single" w:color="000000" w:sz="8" w:space="0"/>
            </w:tcBorders>
            <w:vAlign w:val="center"/>
          </w:tcPr>
          <w:p w14:paraId="20A96B32">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《计算机显示器能效限定值及能效等级》（GB21520）</w:t>
            </w:r>
          </w:p>
        </w:tc>
      </w:tr>
      <w:tr w14:paraId="268E009B">
        <w:tblPrEx>
          <w:tblCellMar>
            <w:top w:w="0" w:type="dxa"/>
            <w:left w:w="108" w:type="dxa"/>
            <w:bottom w:w="0" w:type="dxa"/>
            <w:right w:w="108" w:type="dxa"/>
          </w:tblCellMar>
        </w:tblPrEx>
        <w:trPr>
          <w:trHeight w:val="1287" w:hRule="atLeast"/>
        </w:trPr>
        <w:tc>
          <w:tcPr>
            <w:tcW w:w="659" w:type="dxa"/>
            <w:vMerge w:val="continue"/>
            <w:tcBorders>
              <w:top w:val="nil"/>
              <w:left w:val="single" w:color="000000" w:sz="8" w:space="0"/>
              <w:bottom w:val="single" w:color="000000" w:sz="8" w:space="0"/>
              <w:right w:val="single" w:color="000000" w:sz="8" w:space="0"/>
            </w:tcBorders>
            <w:vAlign w:val="center"/>
          </w:tcPr>
          <w:p w14:paraId="46AB503E">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4B18D179">
            <w:pPr>
              <w:widowControl/>
              <w:wordWrap w:val="0"/>
              <w:jc w:val="left"/>
              <w:rPr>
                <w:rFonts w:ascii="宋体" w:hAnsi="宋体" w:cs="宋体"/>
                <w:color w:val="auto"/>
                <w:kern w:val="0"/>
                <w:sz w:val="20"/>
                <w:szCs w:val="20"/>
              </w:rPr>
            </w:pPr>
          </w:p>
        </w:tc>
        <w:tc>
          <w:tcPr>
            <w:tcW w:w="1319" w:type="dxa"/>
            <w:tcBorders>
              <w:top w:val="nil"/>
              <w:left w:val="nil"/>
              <w:bottom w:val="single" w:color="000000" w:sz="8" w:space="0"/>
              <w:right w:val="single" w:color="000000" w:sz="8" w:space="0"/>
            </w:tcBorders>
            <w:vAlign w:val="center"/>
          </w:tcPr>
          <w:p w14:paraId="7D2A6C1D">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A02010609图形图像输入设备</w:t>
            </w:r>
          </w:p>
        </w:tc>
        <w:tc>
          <w:tcPr>
            <w:tcW w:w="1622" w:type="dxa"/>
            <w:tcBorders>
              <w:top w:val="nil"/>
              <w:left w:val="nil"/>
              <w:bottom w:val="single" w:color="000000" w:sz="8" w:space="0"/>
              <w:right w:val="single" w:color="000000" w:sz="8" w:space="0"/>
            </w:tcBorders>
            <w:vAlign w:val="center"/>
          </w:tcPr>
          <w:p w14:paraId="2DB36116">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A0201060901扫描仪</w:t>
            </w:r>
          </w:p>
        </w:tc>
        <w:tc>
          <w:tcPr>
            <w:tcW w:w="4753" w:type="dxa"/>
            <w:tcBorders>
              <w:top w:val="nil"/>
              <w:left w:val="nil"/>
              <w:bottom w:val="single" w:color="000000" w:sz="8" w:space="0"/>
              <w:right w:val="single" w:color="000000" w:sz="8" w:space="0"/>
            </w:tcBorders>
            <w:vAlign w:val="center"/>
          </w:tcPr>
          <w:p w14:paraId="75E6BA86">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参照《复印机、打印机和传真机能效限定值及能效等级》（GB21521中打印速度为15页/分的针式打印机相关要求中打印速度为15页/分的针式打印机相关要求</w:t>
            </w:r>
          </w:p>
        </w:tc>
      </w:tr>
      <w:tr w14:paraId="063B6AF8">
        <w:tblPrEx>
          <w:tblCellMar>
            <w:top w:w="0" w:type="dxa"/>
            <w:left w:w="108" w:type="dxa"/>
            <w:bottom w:w="0" w:type="dxa"/>
            <w:right w:w="108" w:type="dxa"/>
          </w:tblCellMar>
        </w:tblPrEx>
        <w:trPr>
          <w:trHeight w:val="653" w:hRule="atLeast"/>
        </w:trPr>
        <w:tc>
          <w:tcPr>
            <w:tcW w:w="659" w:type="dxa"/>
            <w:tcBorders>
              <w:top w:val="nil"/>
              <w:left w:val="single" w:color="000000" w:sz="8" w:space="0"/>
              <w:bottom w:val="single" w:color="000000" w:sz="8" w:space="0"/>
              <w:right w:val="single" w:color="000000" w:sz="8" w:space="0"/>
            </w:tcBorders>
            <w:vAlign w:val="center"/>
          </w:tcPr>
          <w:p w14:paraId="754FE8FD">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3</w:t>
            </w:r>
          </w:p>
        </w:tc>
        <w:tc>
          <w:tcPr>
            <w:tcW w:w="1079" w:type="dxa"/>
            <w:tcBorders>
              <w:top w:val="nil"/>
              <w:left w:val="nil"/>
              <w:bottom w:val="single" w:color="000000" w:sz="8" w:space="0"/>
              <w:right w:val="single" w:color="000000" w:sz="8" w:space="0"/>
            </w:tcBorders>
            <w:vAlign w:val="center"/>
          </w:tcPr>
          <w:p w14:paraId="087B7461">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A020202投影仪</w:t>
            </w:r>
          </w:p>
        </w:tc>
        <w:tc>
          <w:tcPr>
            <w:tcW w:w="1319" w:type="dxa"/>
            <w:tcBorders>
              <w:top w:val="nil"/>
              <w:left w:val="nil"/>
              <w:bottom w:val="single" w:color="000000" w:sz="8" w:space="0"/>
              <w:right w:val="single" w:color="000000" w:sz="8" w:space="0"/>
            </w:tcBorders>
            <w:vAlign w:val="center"/>
          </w:tcPr>
          <w:p w14:paraId="2CE0652E">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2" w:type="dxa"/>
            <w:tcBorders>
              <w:top w:val="nil"/>
              <w:left w:val="nil"/>
              <w:bottom w:val="single" w:color="000000" w:sz="8" w:space="0"/>
              <w:right w:val="single" w:color="000000" w:sz="8" w:space="0"/>
            </w:tcBorders>
            <w:vAlign w:val="center"/>
          </w:tcPr>
          <w:p w14:paraId="00239723">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1F5CA321">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《投影机能效限定值及能效等级》（GB32028）</w:t>
            </w:r>
          </w:p>
        </w:tc>
      </w:tr>
      <w:tr w14:paraId="675754EF">
        <w:tblPrEx>
          <w:tblCellMar>
            <w:top w:w="0" w:type="dxa"/>
            <w:left w:w="108" w:type="dxa"/>
            <w:bottom w:w="0" w:type="dxa"/>
            <w:right w:w="108" w:type="dxa"/>
          </w:tblCellMar>
        </w:tblPrEx>
        <w:trPr>
          <w:trHeight w:val="970" w:hRule="atLeast"/>
        </w:trPr>
        <w:tc>
          <w:tcPr>
            <w:tcW w:w="659" w:type="dxa"/>
            <w:tcBorders>
              <w:top w:val="nil"/>
              <w:left w:val="single" w:color="000000" w:sz="8" w:space="0"/>
              <w:bottom w:val="single" w:color="000000" w:sz="8" w:space="0"/>
              <w:right w:val="single" w:color="000000" w:sz="8" w:space="0"/>
            </w:tcBorders>
            <w:vAlign w:val="center"/>
          </w:tcPr>
          <w:p w14:paraId="64B4C87E">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4</w:t>
            </w:r>
          </w:p>
        </w:tc>
        <w:tc>
          <w:tcPr>
            <w:tcW w:w="1079" w:type="dxa"/>
            <w:tcBorders>
              <w:top w:val="nil"/>
              <w:left w:val="nil"/>
              <w:bottom w:val="single" w:color="000000" w:sz="8" w:space="0"/>
              <w:right w:val="single" w:color="000000" w:sz="8" w:space="0"/>
            </w:tcBorders>
            <w:vAlign w:val="center"/>
          </w:tcPr>
          <w:p w14:paraId="5B284295">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A020204多功能一体机</w:t>
            </w:r>
          </w:p>
        </w:tc>
        <w:tc>
          <w:tcPr>
            <w:tcW w:w="1319" w:type="dxa"/>
            <w:tcBorders>
              <w:top w:val="nil"/>
              <w:left w:val="nil"/>
              <w:bottom w:val="single" w:color="000000" w:sz="8" w:space="0"/>
              <w:right w:val="single" w:color="000000" w:sz="8" w:space="0"/>
            </w:tcBorders>
            <w:vAlign w:val="center"/>
          </w:tcPr>
          <w:p w14:paraId="427EE49B">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2" w:type="dxa"/>
            <w:tcBorders>
              <w:top w:val="nil"/>
              <w:left w:val="nil"/>
              <w:bottom w:val="single" w:color="000000" w:sz="8" w:space="0"/>
              <w:right w:val="single" w:color="000000" w:sz="8" w:space="0"/>
            </w:tcBorders>
            <w:vAlign w:val="center"/>
          </w:tcPr>
          <w:p w14:paraId="347F9D45">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62613799">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《复印机、打印机和传真机能效限定值及能效等级》（GB21521）</w:t>
            </w:r>
          </w:p>
        </w:tc>
      </w:tr>
      <w:tr w14:paraId="1DEC05EE">
        <w:tblPrEx>
          <w:tblCellMar>
            <w:top w:w="0" w:type="dxa"/>
            <w:left w:w="108" w:type="dxa"/>
            <w:bottom w:w="0" w:type="dxa"/>
            <w:right w:w="108" w:type="dxa"/>
          </w:tblCellMar>
        </w:tblPrEx>
        <w:trPr>
          <w:trHeight w:val="653" w:hRule="atLeast"/>
        </w:trPr>
        <w:tc>
          <w:tcPr>
            <w:tcW w:w="659" w:type="dxa"/>
            <w:tcBorders>
              <w:top w:val="nil"/>
              <w:left w:val="single" w:color="000000" w:sz="8" w:space="0"/>
              <w:bottom w:val="single" w:color="000000" w:sz="8" w:space="0"/>
              <w:right w:val="single" w:color="000000" w:sz="8" w:space="0"/>
            </w:tcBorders>
            <w:vAlign w:val="center"/>
          </w:tcPr>
          <w:p w14:paraId="14577CBB">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5</w:t>
            </w:r>
          </w:p>
        </w:tc>
        <w:tc>
          <w:tcPr>
            <w:tcW w:w="1079" w:type="dxa"/>
            <w:tcBorders>
              <w:top w:val="nil"/>
              <w:left w:val="nil"/>
              <w:bottom w:val="single" w:color="000000" w:sz="8" w:space="0"/>
              <w:right w:val="single" w:color="000000" w:sz="8" w:space="0"/>
            </w:tcBorders>
            <w:vAlign w:val="center"/>
          </w:tcPr>
          <w:p w14:paraId="4CB22038">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A020519泵</w:t>
            </w:r>
          </w:p>
        </w:tc>
        <w:tc>
          <w:tcPr>
            <w:tcW w:w="1319" w:type="dxa"/>
            <w:tcBorders>
              <w:top w:val="nil"/>
              <w:left w:val="nil"/>
              <w:bottom w:val="single" w:color="000000" w:sz="8" w:space="0"/>
              <w:right w:val="single" w:color="000000" w:sz="8" w:space="0"/>
            </w:tcBorders>
            <w:vAlign w:val="center"/>
          </w:tcPr>
          <w:p w14:paraId="617E9E33">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A02051901离心泵</w:t>
            </w:r>
          </w:p>
        </w:tc>
        <w:tc>
          <w:tcPr>
            <w:tcW w:w="1622" w:type="dxa"/>
            <w:tcBorders>
              <w:top w:val="nil"/>
              <w:left w:val="nil"/>
              <w:bottom w:val="single" w:color="000000" w:sz="8" w:space="0"/>
              <w:right w:val="single" w:color="000000" w:sz="8" w:space="0"/>
            </w:tcBorders>
            <w:vAlign w:val="center"/>
          </w:tcPr>
          <w:p w14:paraId="1FCBD745">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04591115">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《清水离心泵能效限定值及节能评价值》（GB19762）</w:t>
            </w:r>
          </w:p>
        </w:tc>
      </w:tr>
      <w:tr w14:paraId="428BBD2B">
        <w:tblPrEx>
          <w:tblCellMar>
            <w:top w:w="0" w:type="dxa"/>
            <w:left w:w="108" w:type="dxa"/>
            <w:bottom w:w="0" w:type="dxa"/>
            <w:right w:w="108" w:type="dxa"/>
          </w:tblCellMar>
        </w:tblPrEx>
        <w:trPr>
          <w:trHeight w:val="970" w:hRule="atLeast"/>
        </w:trPr>
        <w:tc>
          <w:tcPr>
            <w:tcW w:w="659" w:type="dxa"/>
            <w:vMerge w:val="restart"/>
            <w:tcBorders>
              <w:top w:val="nil"/>
              <w:left w:val="single" w:color="000000" w:sz="8" w:space="0"/>
              <w:bottom w:val="single" w:color="000000" w:sz="8" w:space="0"/>
              <w:right w:val="single" w:color="000000" w:sz="8" w:space="0"/>
            </w:tcBorders>
            <w:vAlign w:val="center"/>
          </w:tcPr>
          <w:p w14:paraId="55CCB536">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6</w:t>
            </w:r>
          </w:p>
        </w:tc>
        <w:tc>
          <w:tcPr>
            <w:tcW w:w="1079" w:type="dxa"/>
            <w:vMerge w:val="restart"/>
            <w:tcBorders>
              <w:top w:val="nil"/>
              <w:left w:val="single" w:color="000000" w:sz="8" w:space="0"/>
              <w:bottom w:val="single" w:color="000000" w:sz="8" w:space="0"/>
              <w:right w:val="single" w:color="000000" w:sz="8" w:space="0"/>
            </w:tcBorders>
            <w:vAlign w:val="center"/>
          </w:tcPr>
          <w:p w14:paraId="7EB22AB0">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A020523制冷空调设备</w:t>
            </w:r>
          </w:p>
        </w:tc>
        <w:tc>
          <w:tcPr>
            <w:tcW w:w="1319" w:type="dxa"/>
            <w:vMerge w:val="restart"/>
            <w:tcBorders>
              <w:top w:val="nil"/>
              <w:left w:val="single" w:color="000000" w:sz="8" w:space="0"/>
              <w:bottom w:val="single" w:color="000000" w:sz="8" w:space="0"/>
              <w:right w:val="single" w:color="000000" w:sz="8" w:space="0"/>
            </w:tcBorders>
            <w:vAlign w:val="center"/>
          </w:tcPr>
          <w:p w14:paraId="6701B423">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★A02052301制冷压缩机</w:t>
            </w:r>
          </w:p>
        </w:tc>
        <w:tc>
          <w:tcPr>
            <w:tcW w:w="1622" w:type="dxa"/>
            <w:tcBorders>
              <w:top w:val="nil"/>
              <w:left w:val="nil"/>
              <w:bottom w:val="single" w:color="000000" w:sz="8" w:space="0"/>
              <w:right w:val="single" w:color="000000" w:sz="8" w:space="0"/>
            </w:tcBorders>
            <w:vAlign w:val="center"/>
          </w:tcPr>
          <w:p w14:paraId="22F1D4FC">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冷水机组</w:t>
            </w:r>
          </w:p>
        </w:tc>
        <w:tc>
          <w:tcPr>
            <w:tcW w:w="4753" w:type="dxa"/>
            <w:tcBorders>
              <w:top w:val="nil"/>
              <w:left w:val="nil"/>
              <w:bottom w:val="single" w:color="000000" w:sz="8" w:space="0"/>
              <w:right w:val="single" w:color="000000" w:sz="8" w:space="0"/>
            </w:tcBorders>
            <w:vAlign w:val="center"/>
          </w:tcPr>
          <w:p w14:paraId="0768FEC2">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《冷水机组能效限定值及能效等级》（GB19577），《低环境温度空气源热泵（冷水）机组能效限定值及能效等级》（GB37480）</w:t>
            </w:r>
          </w:p>
        </w:tc>
      </w:tr>
      <w:tr w14:paraId="22042C30">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59D92791">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3B63D144">
            <w:pPr>
              <w:widowControl/>
              <w:wordWrap w:val="0"/>
              <w:jc w:val="left"/>
              <w:rPr>
                <w:rFonts w:ascii="宋体" w:hAnsi="宋体" w:cs="宋体"/>
                <w:color w:val="auto"/>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79737D65">
            <w:pPr>
              <w:widowControl/>
              <w:wordWrap w:val="0"/>
              <w:jc w:val="left"/>
              <w:rPr>
                <w:rFonts w:ascii="宋体" w:hAnsi="宋体" w:cs="宋体"/>
                <w:color w:val="auto"/>
                <w:kern w:val="0"/>
                <w:sz w:val="20"/>
                <w:szCs w:val="20"/>
              </w:rPr>
            </w:pPr>
          </w:p>
        </w:tc>
        <w:tc>
          <w:tcPr>
            <w:tcW w:w="1622" w:type="dxa"/>
            <w:tcBorders>
              <w:top w:val="nil"/>
              <w:left w:val="nil"/>
              <w:bottom w:val="single" w:color="000000" w:sz="8" w:space="0"/>
              <w:right w:val="single" w:color="000000" w:sz="8" w:space="0"/>
            </w:tcBorders>
            <w:vAlign w:val="center"/>
          </w:tcPr>
          <w:p w14:paraId="6E8DD3BF">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水源热泵机组</w:t>
            </w:r>
          </w:p>
        </w:tc>
        <w:tc>
          <w:tcPr>
            <w:tcW w:w="4753" w:type="dxa"/>
            <w:tcBorders>
              <w:top w:val="nil"/>
              <w:left w:val="nil"/>
              <w:bottom w:val="single" w:color="000000" w:sz="8" w:space="0"/>
              <w:right w:val="single" w:color="000000" w:sz="8" w:space="0"/>
            </w:tcBorders>
            <w:vAlign w:val="center"/>
          </w:tcPr>
          <w:p w14:paraId="14904C90">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《水（地）源热泵机组能效限定值及能效等级》（GB30721）</w:t>
            </w:r>
          </w:p>
        </w:tc>
      </w:tr>
      <w:tr w14:paraId="5BBBB85D">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10A85955">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598754F4">
            <w:pPr>
              <w:widowControl/>
              <w:wordWrap w:val="0"/>
              <w:jc w:val="left"/>
              <w:rPr>
                <w:rFonts w:ascii="宋体" w:hAnsi="宋体" w:cs="宋体"/>
                <w:color w:val="auto"/>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74185765">
            <w:pPr>
              <w:widowControl/>
              <w:wordWrap w:val="0"/>
              <w:jc w:val="left"/>
              <w:rPr>
                <w:rFonts w:ascii="宋体" w:hAnsi="宋体" w:cs="宋体"/>
                <w:color w:val="auto"/>
                <w:kern w:val="0"/>
                <w:sz w:val="20"/>
                <w:szCs w:val="20"/>
              </w:rPr>
            </w:pPr>
          </w:p>
        </w:tc>
        <w:tc>
          <w:tcPr>
            <w:tcW w:w="1622" w:type="dxa"/>
            <w:tcBorders>
              <w:top w:val="nil"/>
              <w:left w:val="nil"/>
              <w:bottom w:val="single" w:color="000000" w:sz="8" w:space="0"/>
              <w:right w:val="single" w:color="000000" w:sz="8" w:space="0"/>
            </w:tcBorders>
            <w:vAlign w:val="center"/>
          </w:tcPr>
          <w:p w14:paraId="03360BE7">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溴化锂吸收式冷水机组</w:t>
            </w:r>
          </w:p>
        </w:tc>
        <w:tc>
          <w:tcPr>
            <w:tcW w:w="4753" w:type="dxa"/>
            <w:tcBorders>
              <w:top w:val="nil"/>
              <w:left w:val="nil"/>
              <w:bottom w:val="single" w:color="000000" w:sz="8" w:space="0"/>
              <w:right w:val="single" w:color="000000" w:sz="8" w:space="0"/>
            </w:tcBorders>
            <w:vAlign w:val="center"/>
          </w:tcPr>
          <w:p w14:paraId="0727B0D8">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《溴化锂吸收式冷水机组能效限定值及能效等级》（GB29540）</w:t>
            </w:r>
          </w:p>
        </w:tc>
      </w:tr>
      <w:tr w14:paraId="6737F8D9">
        <w:tblPrEx>
          <w:tblCellMar>
            <w:top w:w="0" w:type="dxa"/>
            <w:left w:w="108" w:type="dxa"/>
            <w:bottom w:w="0" w:type="dxa"/>
            <w:right w:w="108" w:type="dxa"/>
          </w:tblCellMar>
        </w:tblPrEx>
        <w:trPr>
          <w:trHeight w:val="970" w:hRule="atLeast"/>
        </w:trPr>
        <w:tc>
          <w:tcPr>
            <w:tcW w:w="659" w:type="dxa"/>
            <w:vMerge w:val="continue"/>
            <w:tcBorders>
              <w:top w:val="nil"/>
              <w:left w:val="single" w:color="000000" w:sz="8" w:space="0"/>
              <w:bottom w:val="single" w:color="000000" w:sz="8" w:space="0"/>
              <w:right w:val="single" w:color="000000" w:sz="8" w:space="0"/>
            </w:tcBorders>
            <w:vAlign w:val="center"/>
          </w:tcPr>
          <w:p w14:paraId="0BB4B31B">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6C11F4B9">
            <w:pPr>
              <w:widowControl/>
              <w:wordWrap w:val="0"/>
              <w:jc w:val="left"/>
              <w:rPr>
                <w:rFonts w:ascii="宋体" w:hAnsi="宋体" w:cs="宋体"/>
                <w:color w:val="auto"/>
                <w:kern w:val="0"/>
                <w:sz w:val="20"/>
                <w:szCs w:val="20"/>
              </w:rPr>
            </w:pPr>
          </w:p>
        </w:tc>
        <w:tc>
          <w:tcPr>
            <w:tcW w:w="1319" w:type="dxa"/>
            <w:vMerge w:val="restart"/>
            <w:tcBorders>
              <w:top w:val="nil"/>
              <w:left w:val="single" w:color="000000" w:sz="8" w:space="0"/>
              <w:bottom w:val="single" w:color="000000" w:sz="8" w:space="0"/>
              <w:right w:val="single" w:color="000000" w:sz="8" w:space="0"/>
            </w:tcBorders>
            <w:vAlign w:val="center"/>
          </w:tcPr>
          <w:p w14:paraId="7371D225">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★A02052305空调机组</w:t>
            </w:r>
          </w:p>
        </w:tc>
        <w:tc>
          <w:tcPr>
            <w:tcW w:w="1622" w:type="dxa"/>
            <w:tcBorders>
              <w:top w:val="nil"/>
              <w:left w:val="nil"/>
              <w:bottom w:val="single" w:color="000000" w:sz="8" w:space="0"/>
              <w:right w:val="single" w:color="000000" w:sz="8" w:space="0"/>
            </w:tcBorders>
            <w:vAlign w:val="center"/>
          </w:tcPr>
          <w:p w14:paraId="29B98182">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多联式空调（热泵）机组(制冷量&gt;14000W)</w:t>
            </w:r>
          </w:p>
        </w:tc>
        <w:tc>
          <w:tcPr>
            <w:tcW w:w="4753" w:type="dxa"/>
            <w:tcBorders>
              <w:top w:val="nil"/>
              <w:left w:val="nil"/>
              <w:bottom w:val="single" w:color="000000" w:sz="8" w:space="0"/>
              <w:right w:val="single" w:color="000000" w:sz="8" w:space="0"/>
            </w:tcBorders>
            <w:vAlign w:val="center"/>
          </w:tcPr>
          <w:p w14:paraId="2CEFB1DD">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《多联式空调（热泵）机组能效限定值及能源效率等级》（GB21454）</w:t>
            </w:r>
          </w:p>
        </w:tc>
      </w:tr>
      <w:tr w14:paraId="4508B6EB">
        <w:tblPrEx>
          <w:tblCellMar>
            <w:top w:w="0" w:type="dxa"/>
            <w:left w:w="108" w:type="dxa"/>
            <w:bottom w:w="0" w:type="dxa"/>
            <w:right w:w="108" w:type="dxa"/>
          </w:tblCellMar>
        </w:tblPrEx>
        <w:trPr>
          <w:trHeight w:val="970" w:hRule="atLeast"/>
        </w:trPr>
        <w:tc>
          <w:tcPr>
            <w:tcW w:w="659" w:type="dxa"/>
            <w:vMerge w:val="continue"/>
            <w:tcBorders>
              <w:top w:val="nil"/>
              <w:left w:val="single" w:color="000000" w:sz="8" w:space="0"/>
              <w:bottom w:val="single" w:color="000000" w:sz="8" w:space="0"/>
              <w:right w:val="single" w:color="000000" w:sz="8" w:space="0"/>
            </w:tcBorders>
            <w:vAlign w:val="center"/>
          </w:tcPr>
          <w:p w14:paraId="67D6BBD4">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245C6E5C">
            <w:pPr>
              <w:widowControl/>
              <w:wordWrap w:val="0"/>
              <w:jc w:val="left"/>
              <w:rPr>
                <w:rFonts w:ascii="宋体" w:hAnsi="宋体" w:cs="宋体"/>
                <w:color w:val="auto"/>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5809C6DA">
            <w:pPr>
              <w:widowControl/>
              <w:wordWrap w:val="0"/>
              <w:jc w:val="left"/>
              <w:rPr>
                <w:rFonts w:ascii="宋体" w:hAnsi="宋体" w:cs="宋体"/>
                <w:color w:val="auto"/>
                <w:kern w:val="0"/>
                <w:sz w:val="20"/>
                <w:szCs w:val="20"/>
              </w:rPr>
            </w:pPr>
          </w:p>
        </w:tc>
        <w:tc>
          <w:tcPr>
            <w:tcW w:w="1622" w:type="dxa"/>
            <w:tcBorders>
              <w:top w:val="nil"/>
              <w:left w:val="nil"/>
              <w:bottom w:val="single" w:color="000000" w:sz="8" w:space="0"/>
              <w:right w:val="single" w:color="000000" w:sz="8" w:space="0"/>
            </w:tcBorders>
            <w:vAlign w:val="center"/>
          </w:tcPr>
          <w:p w14:paraId="5A0FBCFA">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单元式空气调节机(制冷量&gt;14000W</w:t>
            </w:r>
          </w:p>
        </w:tc>
        <w:tc>
          <w:tcPr>
            <w:tcW w:w="4753" w:type="dxa"/>
            <w:tcBorders>
              <w:top w:val="nil"/>
              <w:left w:val="nil"/>
              <w:bottom w:val="single" w:color="000000" w:sz="8" w:space="0"/>
              <w:right w:val="single" w:color="000000" w:sz="8" w:space="0"/>
            </w:tcBorders>
            <w:vAlign w:val="center"/>
          </w:tcPr>
          <w:p w14:paraId="0ABF09CB">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《单元式空气调节机能效限定值及能效等级》（GB19576）《风管送风式空调机组能效限定值及能效等级》（GB37479）</w:t>
            </w:r>
          </w:p>
        </w:tc>
      </w:tr>
      <w:tr w14:paraId="5C72A5E8">
        <w:tblPrEx>
          <w:tblCellMar>
            <w:top w:w="0" w:type="dxa"/>
            <w:left w:w="108" w:type="dxa"/>
            <w:bottom w:w="0" w:type="dxa"/>
            <w:right w:w="108" w:type="dxa"/>
          </w:tblCellMar>
        </w:tblPrEx>
        <w:trPr>
          <w:trHeight w:val="970" w:hRule="atLeast"/>
        </w:trPr>
        <w:tc>
          <w:tcPr>
            <w:tcW w:w="659" w:type="dxa"/>
            <w:vMerge w:val="continue"/>
            <w:tcBorders>
              <w:top w:val="nil"/>
              <w:left w:val="single" w:color="000000" w:sz="8" w:space="0"/>
              <w:bottom w:val="single" w:color="000000" w:sz="8" w:space="0"/>
              <w:right w:val="single" w:color="000000" w:sz="8" w:space="0"/>
            </w:tcBorders>
            <w:vAlign w:val="center"/>
          </w:tcPr>
          <w:p w14:paraId="7EFEB40B">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241D1C9F">
            <w:pPr>
              <w:widowControl/>
              <w:wordWrap w:val="0"/>
              <w:jc w:val="left"/>
              <w:rPr>
                <w:rFonts w:ascii="宋体" w:hAnsi="宋体" w:cs="宋体"/>
                <w:color w:val="auto"/>
                <w:kern w:val="0"/>
                <w:sz w:val="20"/>
                <w:szCs w:val="20"/>
              </w:rPr>
            </w:pPr>
          </w:p>
        </w:tc>
        <w:tc>
          <w:tcPr>
            <w:tcW w:w="1319" w:type="dxa"/>
            <w:tcBorders>
              <w:top w:val="nil"/>
              <w:left w:val="nil"/>
              <w:bottom w:val="single" w:color="000000" w:sz="8" w:space="0"/>
              <w:right w:val="single" w:color="000000" w:sz="8" w:space="0"/>
            </w:tcBorders>
            <w:vAlign w:val="center"/>
          </w:tcPr>
          <w:p w14:paraId="6939BB9B">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★A02052309专用制冷、空调设备</w:t>
            </w:r>
          </w:p>
        </w:tc>
        <w:tc>
          <w:tcPr>
            <w:tcW w:w="1622" w:type="dxa"/>
            <w:tcBorders>
              <w:top w:val="nil"/>
              <w:left w:val="nil"/>
              <w:bottom w:val="single" w:color="000000" w:sz="8" w:space="0"/>
              <w:right w:val="single" w:color="000000" w:sz="8" w:space="0"/>
            </w:tcBorders>
            <w:vAlign w:val="center"/>
          </w:tcPr>
          <w:p w14:paraId="020214D4">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机房空调</w:t>
            </w:r>
          </w:p>
        </w:tc>
        <w:tc>
          <w:tcPr>
            <w:tcW w:w="4753" w:type="dxa"/>
            <w:tcBorders>
              <w:top w:val="nil"/>
              <w:left w:val="nil"/>
              <w:bottom w:val="single" w:color="000000" w:sz="8" w:space="0"/>
              <w:right w:val="single" w:color="000000" w:sz="8" w:space="0"/>
            </w:tcBorders>
            <w:vAlign w:val="center"/>
          </w:tcPr>
          <w:p w14:paraId="67E59BDE">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《单元式空气调节机能效限定值及能效等级》（GB19576）</w:t>
            </w:r>
          </w:p>
        </w:tc>
      </w:tr>
      <w:tr w14:paraId="62F1644E">
        <w:tblPrEx>
          <w:tblCellMar>
            <w:top w:w="0" w:type="dxa"/>
            <w:left w:w="108" w:type="dxa"/>
            <w:bottom w:w="0" w:type="dxa"/>
            <w:right w:w="108" w:type="dxa"/>
          </w:tblCellMar>
        </w:tblPrEx>
        <w:trPr>
          <w:trHeight w:val="970" w:hRule="atLeast"/>
        </w:trPr>
        <w:tc>
          <w:tcPr>
            <w:tcW w:w="659" w:type="dxa"/>
            <w:vMerge w:val="continue"/>
            <w:tcBorders>
              <w:top w:val="nil"/>
              <w:left w:val="single" w:color="000000" w:sz="8" w:space="0"/>
              <w:bottom w:val="single" w:color="000000" w:sz="8" w:space="0"/>
              <w:right w:val="single" w:color="000000" w:sz="8" w:space="0"/>
            </w:tcBorders>
            <w:vAlign w:val="center"/>
          </w:tcPr>
          <w:p w14:paraId="03364735">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01027DD5">
            <w:pPr>
              <w:widowControl/>
              <w:wordWrap w:val="0"/>
              <w:jc w:val="left"/>
              <w:rPr>
                <w:rFonts w:ascii="宋体" w:hAnsi="宋体" w:cs="宋体"/>
                <w:color w:val="auto"/>
                <w:kern w:val="0"/>
                <w:sz w:val="20"/>
                <w:szCs w:val="20"/>
              </w:rPr>
            </w:pPr>
          </w:p>
        </w:tc>
        <w:tc>
          <w:tcPr>
            <w:tcW w:w="1319" w:type="dxa"/>
            <w:tcBorders>
              <w:top w:val="nil"/>
              <w:left w:val="nil"/>
              <w:bottom w:val="single" w:color="000000" w:sz="8" w:space="0"/>
              <w:right w:val="single" w:color="000000" w:sz="8" w:space="0"/>
            </w:tcBorders>
            <w:vAlign w:val="center"/>
          </w:tcPr>
          <w:p w14:paraId="3FC150CA">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A02052399其他制冷空调设备</w:t>
            </w:r>
          </w:p>
        </w:tc>
        <w:tc>
          <w:tcPr>
            <w:tcW w:w="1622" w:type="dxa"/>
            <w:tcBorders>
              <w:top w:val="nil"/>
              <w:left w:val="nil"/>
              <w:bottom w:val="single" w:color="000000" w:sz="8" w:space="0"/>
              <w:right w:val="single" w:color="000000" w:sz="8" w:space="0"/>
            </w:tcBorders>
            <w:vAlign w:val="center"/>
          </w:tcPr>
          <w:p w14:paraId="120CA182">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冷却塔</w:t>
            </w:r>
          </w:p>
        </w:tc>
        <w:tc>
          <w:tcPr>
            <w:tcW w:w="4753" w:type="dxa"/>
            <w:tcBorders>
              <w:top w:val="nil"/>
              <w:left w:val="nil"/>
              <w:bottom w:val="single" w:color="000000" w:sz="8" w:space="0"/>
              <w:right w:val="single" w:color="000000" w:sz="8" w:space="0"/>
            </w:tcBorders>
            <w:vAlign w:val="center"/>
          </w:tcPr>
          <w:p w14:paraId="7C3A081F">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《机械通风冷却塔第1部分：中小型开式冷却塔》（GB/T7190.1）；《机械通风冷却塔第2部分：大型开式冷却塔》（GB/T7190.2）</w:t>
            </w:r>
          </w:p>
        </w:tc>
      </w:tr>
      <w:tr w14:paraId="651E4712">
        <w:tblPrEx>
          <w:tblCellMar>
            <w:top w:w="0" w:type="dxa"/>
            <w:left w:w="108" w:type="dxa"/>
            <w:bottom w:w="0" w:type="dxa"/>
            <w:right w:w="108" w:type="dxa"/>
          </w:tblCellMar>
        </w:tblPrEx>
        <w:trPr>
          <w:trHeight w:val="653" w:hRule="atLeast"/>
        </w:trPr>
        <w:tc>
          <w:tcPr>
            <w:tcW w:w="659" w:type="dxa"/>
            <w:tcBorders>
              <w:top w:val="nil"/>
              <w:left w:val="single" w:color="000000" w:sz="8" w:space="0"/>
              <w:bottom w:val="single" w:color="000000" w:sz="8" w:space="0"/>
              <w:right w:val="single" w:color="000000" w:sz="8" w:space="0"/>
            </w:tcBorders>
            <w:vAlign w:val="center"/>
          </w:tcPr>
          <w:p w14:paraId="1D358EDF">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7</w:t>
            </w:r>
          </w:p>
        </w:tc>
        <w:tc>
          <w:tcPr>
            <w:tcW w:w="1079" w:type="dxa"/>
            <w:tcBorders>
              <w:top w:val="nil"/>
              <w:left w:val="nil"/>
              <w:bottom w:val="single" w:color="000000" w:sz="8" w:space="0"/>
              <w:right w:val="single" w:color="000000" w:sz="8" w:space="0"/>
            </w:tcBorders>
            <w:vAlign w:val="center"/>
          </w:tcPr>
          <w:p w14:paraId="52E6E883">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A020601电机</w:t>
            </w:r>
          </w:p>
        </w:tc>
        <w:tc>
          <w:tcPr>
            <w:tcW w:w="1319" w:type="dxa"/>
            <w:tcBorders>
              <w:top w:val="nil"/>
              <w:left w:val="nil"/>
              <w:bottom w:val="single" w:color="000000" w:sz="8" w:space="0"/>
              <w:right w:val="single" w:color="000000" w:sz="8" w:space="0"/>
            </w:tcBorders>
            <w:vAlign w:val="center"/>
          </w:tcPr>
          <w:p w14:paraId="73DD18CC">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2" w:type="dxa"/>
            <w:tcBorders>
              <w:top w:val="nil"/>
              <w:left w:val="nil"/>
              <w:bottom w:val="single" w:color="000000" w:sz="8" w:space="0"/>
              <w:right w:val="single" w:color="000000" w:sz="8" w:space="0"/>
            </w:tcBorders>
            <w:vAlign w:val="center"/>
          </w:tcPr>
          <w:p w14:paraId="0D7A17E7">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170E1CFC">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《中小型三相异步电动机能效限定值及能效等级》（GB18613）</w:t>
            </w:r>
          </w:p>
        </w:tc>
      </w:tr>
      <w:tr w14:paraId="712159F6">
        <w:tblPrEx>
          <w:tblCellMar>
            <w:top w:w="0" w:type="dxa"/>
            <w:left w:w="108" w:type="dxa"/>
            <w:bottom w:w="0" w:type="dxa"/>
            <w:right w:w="108" w:type="dxa"/>
          </w:tblCellMar>
        </w:tblPrEx>
        <w:trPr>
          <w:trHeight w:val="653" w:hRule="atLeast"/>
        </w:trPr>
        <w:tc>
          <w:tcPr>
            <w:tcW w:w="659" w:type="dxa"/>
            <w:tcBorders>
              <w:top w:val="nil"/>
              <w:left w:val="single" w:color="000000" w:sz="8" w:space="0"/>
              <w:bottom w:val="single" w:color="000000" w:sz="8" w:space="0"/>
              <w:right w:val="single" w:color="000000" w:sz="8" w:space="0"/>
            </w:tcBorders>
            <w:vAlign w:val="center"/>
          </w:tcPr>
          <w:p w14:paraId="17DE47DA">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8</w:t>
            </w:r>
          </w:p>
        </w:tc>
        <w:tc>
          <w:tcPr>
            <w:tcW w:w="1079" w:type="dxa"/>
            <w:tcBorders>
              <w:top w:val="nil"/>
              <w:left w:val="nil"/>
              <w:bottom w:val="single" w:color="000000" w:sz="8" w:space="0"/>
              <w:right w:val="single" w:color="000000" w:sz="8" w:space="0"/>
            </w:tcBorders>
            <w:vAlign w:val="center"/>
          </w:tcPr>
          <w:p w14:paraId="61447A73">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A020602变压器</w:t>
            </w:r>
          </w:p>
        </w:tc>
        <w:tc>
          <w:tcPr>
            <w:tcW w:w="1319" w:type="dxa"/>
            <w:tcBorders>
              <w:top w:val="nil"/>
              <w:left w:val="nil"/>
              <w:bottom w:val="single" w:color="000000" w:sz="8" w:space="0"/>
              <w:right w:val="single" w:color="000000" w:sz="8" w:space="0"/>
            </w:tcBorders>
            <w:vAlign w:val="center"/>
          </w:tcPr>
          <w:p w14:paraId="52294124">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配电变压器</w:t>
            </w:r>
          </w:p>
        </w:tc>
        <w:tc>
          <w:tcPr>
            <w:tcW w:w="1622" w:type="dxa"/>
            <w:tcBorders>
              <w:top w:val="nil"/>
              <w:left w:val="nil"/>
              <w:bottom w:val="single" w:color="000000" w:sz="8" w:space="0"/>
              <w:right w:val="single" w:color="000000" w:sz="8" w:space="0"/>
            </w:tcBorders>
            <w:vAlign w:val="center"/>
          </w:tcPr>
          <w:p w14:paraId="0A2DF66C">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2109B3EA">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《三相配电变压器能效限定值及能效等级》（GB20052）</w:t>
            </w:r>
          </w:p>
        </w:tc>
      </w:tr>
      <w:tr w14:paraId="280B9C30">
        <w:tblPrEx>
          <w:tblCellMar>
            <w:top w:w="0" w:type="dxa"/>
            <w:left w:w="108" w:type="dxa"/>
            <w:bottom w:w="0" w:type="dxa"/>
            <w:right w:w="108" w:type="dxa"/>
          </w:tblCellMar>
        </w:tblPrEx>
        <w:trPr>
          <w:trHeight w:val="653" w:hRule="atLeast"/>
        </w:trPr>
        <w:tc>
          <w:tcPr>
            <w:tcW w:w="659" w:type="dxa"/>
            <w:tcBorders>
              <w:top w:val="nil"/>
              <w:left w:val="single" w:color="000000" w:sz="8" w:space="0"/>
              <w:bottom w:val="single" w:color="000000" w:sz="8" w:space="0"/>
              <w:right w:val="single" w:color="000000" w:sz="8" w:space="0"/>
            </w:tcBorders>
            <w:vAlign w:val="center"/>
          </w:tcPr>
          <w:p w14:paraId="7FF4D0D2">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9</w:t>
            </w:r>
          </w:p>
        </w:tc>
        <w:tc>
          <w:tcPr>
            <w:tcW w:w="1079" w:type="dxa"/>
            <w:tcBorders>
              <w:top w:val="nil"/>
              <w:left w:val="nil"/>
              <w:bottom w:val="single" w:color="000000" w:sz="8" w:space="0"/>
              <w:right w:val="single" w:color="000000" w:sz="8" w:space="0"/>
            </w:tcBorders>
            <w:vAlign w:val="center"/>
          </w:tcPr>
          <w:p w14:paraId="2D2786D2">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★A020609镇流器</w:t>
            </w:r>
          </w:p>
        </w:tc>
        <w:tc>
          <w:tcPr>
            <w:tcW w:w="1319" w:type="dxa"/>
            <w:tcBorders>
              <w:top w:val="nil"/>
              <w:left w:val="nil"/>
              <w:bottom w:val="single" w:color="000000" w:sz="8" w:space="0"/>
              <w:right w:val="single" w:color="000000" w:sz="8" w:space="0"/>
            </w:tcBorders>
            <w:vAlign w:val="center"/>
          </w:tcPr>
          <w:p w14:paraId="5A1C1298">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管型荧光灯镇流器</w:t>
            </w:r>
          </w:p>
        </w:tc>
        <w:tc>
          <w:tcPr>
            <w:tcW w:w="1622" w:type="dxa"/>
            <w:tcBorders>
              <w:top w:val="nil"/>
              <w:left w:val="nil"/>
              <w:bottom w:val="single" w:color="000000" w:sz="8" w:space="0"/>
              <w:right w:val="single" w:color="000000" w:sz="8" w:space="0"/>
            </w:tcBorders>
            <w:vAlign w:val="center"/>
          </w:tcPr>
          <w:p w14:paraId="10AF4819">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49313B24">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《管形荧光灯镇流器能效限定值及能效等级》（GB17896）</w:t>
            </w:r>
          </w:p>
        </w:tc>
      </w:tr>
      <w:tr w14:paraId="3A54DD4A">
        <w:tblPrEx>
          <w:tblCellMar>
            <w:top w:w="0" w:type="dxa"/>
            <w:left w:w="108" w:type="dxa"/>
            <w:bottom w:w="0" w:type="dxa"/>
            <w:right w:w="108" w:type="dxa"/>
          </w:tblCellMar>
        </w:tblPrEx>
        <w:trPr>
          <w:trHeight w:val="653" w:hRule="atLeast"/>
        </w:trPr>
        <w:tc>
          <w:tcPr>
            <w:tcW w:w="659" w:type="dxa"/>
            <w:vMerge w:val="restart"/>
            <w:tcBorders>
              <w:top w:val="nil"/>
              <w:left w:val="single" w:color="000000" w:sz="8" w:space="0"/>
              <w:bottom w:val="single" w:color="000000" w:sz="8" w:space="0"/>
              <w:right w:val="single" w:color="000000" w:sz="8" w:space="0"/>
            </w:tcBorders>
            <w:vAlign w:val="center"/>
          </w:tcPr>
          <w:p w14:paraId="63A6A004">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10</w:t>
            </w:r>
          </w:p>
        </w:tc>
        <w:tc>
          <w:tcPr>
            <w:tcW w:w="1079" w:type="dxa"/>
            <w:vMerge w:val="restart"/>
            <w:tcBorders>
              <w:top w:val="nil"/>
              <w:left w:val="single" w:color="000000" w:sz="8" w:space="0"/>
              <w:bottom w:val="single" w:color="000000" w:sz="8" w:space="0"/>
              <w:right w:val="single" w:color="000000" w:sz="8" w:space="0"/>
            </w:tcBorders>
            <w:vAlign w:val="center"/>
          </w:tcPr>
          <w:p w14:paraId="71FF8708">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A020618生活用电器</w:t>
            </w:r>
          </w:p>
        </w:tc>
        <w:tc>
          <w:tcPr>
            <w:tcW w:w="1319" w:type="dxa"/>
            <w:tcBorders>
              <w:top w:val="nil"/>
              <w:left w:val="nil"/>
              <w:bottom w:val="single" w:color="000000" w:sz="8" w:space="0"/>
              <w:right w:val="single" w:color="000000" w:sz="8" w:space="0"/>
            </w:tcBorders>
            <w:vAlign w:val="center"/>
          </w:tcPr>
          <w:p w14:paraId="6AB14574">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A0206180101电冰箱</w:t>
            </w:r>
          </w:p>
        </w:tc>
        <w:tc>
          <w:tcPr>
            <w:tcW w:w="1622" w:type="dxa"/>
            <w:tcBorders>
              <w:top w:val="nil"/>
              <w:left w:val="nil"/>
              <w:bottom w:val="single" w:color="000000" w:sz="8" w:space="0"/>
              <w:right w:val="single" w:color="000000" w:sz="8" w:space="0"/>
            </w:tcBorders>
            <w:vAlign w:val="center"/>
          </w:tcPr>
          <w:p w14:paraId="12C37E0A">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6F58EFD4">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《家用电冰箱耗电量限定值及能效等级》（GB12021.2）</w:t>
            </w:r>
          </w:p>
        </w:tc>
      </w:tr>
      <w:tr w14:paraId="21E2B66C">
        <w:tblPrEx>
          <w:tblCellMar>
            <w:top w:w="0" w:type="dxa"/>
            <w:left w:w="108" w:type="dxa"/>
            <w:bottom w:w="0" w:type="dxa"/>
            <w:right w:w="108" w:type="dxa"/>
          </w:tblCellMar>
        </w:tblPrEx>
        <w:trPr>
          <w:trHeight w:val="1287" w:hRule="atLeast"/>
        </w:trPr>
        <w:tc>
          <w:tcPr>
            <w:tcW w:w="659" w:type="dxa"/>
            <w:vMerge w:val="continue"/>
            <w:tcBorders>
              <w:top w:val="nil"/>
              <w:left w:val="single" w:color="000000" w:sz="8" w:space="0"/>
              <w:bottom w:val="single" w:color="000000" w:sz="8" w:space="0"/>
              <w:right w:val="single" w:color="000000" w:sz="8" w:space="0"/>
            </w:tcBorders>
            <w:vAlign w:val="center"/>
          </w:tcPr>
          <w:p w14:paraId="74D7B67B">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45CE5234">
            <w:pPr>
              <w:widowControl/>
              <w:wordWrap w:val="0"/>
              <w:jc w:val="left"/>
              <w:rPr>
                <w:rFonts w:ascii="宋体" w:hAnsi="宋体" w:cs="宋体"/>
                <w:color w:val="auto"/>
                <w:kern w:val="0"/>
                <w:sz w:val="20"/>
                <w:szCs w:val="20"/>
              </w:rPr>
            </w:pPr>
          </w:p>
        </w:tc>
        <w:tc>
          <w:tcPr>
            <w:tcW w:w="1319" w:type="dxa"/>
            <w:vMerge w:val="restart"/>
            <w:tcBorders>
              <w:top w:val="nil"/>
              <w:left w:val="single" w:color="000000" w:sz="8" w:space="0"/>
              <w:bottom w:val="single" w:color="000000" w:sz="8" w:space="0"/>
              <w:right w:val="single" w:color="000000" w:sz="8" w:space="0"/>
            </w:tcBorders>
            <w:vAlign w:val="center"/>
          </w:tcPr>
          <w:p w14:paraId="6DD10BE9">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★A0206180203空调机</w:t>
            </w:r>
          </w:p>
        </w:tc>
        <w:tc>
          <w:tcPr>
            <w:tcW w:w="1622" w:type="dxa"/>
            <w:tcBorders>
              <w:top w:val="nil"/>
              <w:left w:val="nil"/>
              <w:bottom w:val="single" w:color="000000" w:sz="8" w:space="0"/>
              <w:right w:val="single" w:color="000000" w:sz="8" w:space="0"/>
            </w:tcBorders>
            <w:vAlign w:val="center"/>
          </w:tcPr>
          <w:p w14:paraId="0581F537">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房间空气调节器</w:t>
            </w:r>
          </w:p>
        </w:tc>
        <w:tc>
          <w:tcPr>
            <w:tcW w:w="4753" w:type="dxa"/>
            <w:tcBorders>
              <w:top w:val="nil"/>
              <w:left w:val="nil"/>
              <w:bottom w:val="single" w:color="000000" w:sz="8" w:space="0"/>
              <w:right w:val="single" w:color="000000" w:sz="8" w:space="0"/>
            </w:tcBorders>
            <w:vAlign w:val="center"/>
          </w:tcPr>
          <w:p w14:paraId="0679EA34">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《转速可控型房间空气调节器能效限定值及能效等级》（GB21455-2013），待2019年修订发布后，按《房间空气调节器能效限定值及能效等级》（GB21455-2019实施。</w:t>
            </w:r>
          </w:p>
        </w:tc>
      </w:tr>
      <w:tr w14:paraId="5F76EB7C">
        <w:tblPrEx>
          <w:tblCellMar>
            <w:top w:w="0" w:type="dxa"/>
            <w:left w:w="108" w:type="dxa"/>
            <w:bottom w:w="0" w:type="dxa"/>
            <w:right w:w="108" w:type="dxa"/>
          </w:tblCellMar>
        </w:tblPrEx>
        <w:trPr>
          <w:trHeight w:val="970" w:hRule="atLeast"/>
        </w:trPr>
        <w:tc>
          <w:tcPr>
            <w:tcW w:w="659" w:type="dxa"/>
            <w:vMerge w:val="continue"/>
            <w:tcBorders>
              <w:top w:val="nil"/>
              <w:left w:val="single" w:color="000000" w:sz="8" w:space="0"/>
              <w:bottom w:val="single" w:color="000000" w:sz="8" w:space="0"/>
              <w:right w:val="single" w:color="000000" w:sz="8" w:space="0"/>
            </w:tcBorders>
            <w:vAlign w:val="center"/>
          </w:tcPr>
          <w:p w14:paraId="010D56F2">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55E12D71">
            <w:pPr>
              <w:widowControl/>
              <w:wordWrap w:val="0"/>
              <w:jc w:val="left"/>
              <w:rPr>
                <w:rFonts w:ascii="宋体" w:hAnsi="宋体" w:cs="宋体"/>
                <w:color w:val="auto"/>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17F90D17">
            <w:pPr>
              <w:widowControl/>
              <w:wordWrap w:val="0"/>
              <w:jc w:val="left"/>
              <w:rPr>
                <w:rFonts w:ascii="宋体" w:hAnsi="宋体" w:cs="宋体"/>
                <w:color w:val="auto"/>
                <w:kern w:val="0"/>
                <w:sz w:val="20"/>
                <w:szCs w:val="20"/>
              </w:rPr>
            </w:pPr>
          </w:p>
        </w:tc>
        <w:tc>
          <w:tcPr>
            <w:tcW w:w="1622" w:type="dxa"/>
            <w:tcBorders>
              <w:top w:val="nil"/>
              <w:left w:val="nil"/>
              <w:bottom w:val="single" w:color="000000" w:sz="8" w:space="0"/>
              <w:right w:val="single" w:color="000000" w:sz="8" w:space="0"/>
            </w:tcBorders>
            <w:vAlign w:val="center"/>
          </w:tcPr>
          <w:p w14:paraId="7405067B">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多联式空调（热泵）机组（制冷量≤14000W）</w:t>
            </w:r>
          </w:p>
        </w:tc>
        <w:tc>
          <w:tcPr>
            <w:tcW w:w="4753" w:type="dxa"/>
            <w:tcBorders>
              <w:top w:val="nil"/>
              <w:left w:val="nil"/>
              <w:bottom w:val="single" w:color="000000" w:sz="8" w:space="0"/>
              <w:right w:val="single" w:color="000000" w:sz="8" w:space="0"/>
            </w:tcBorders>
            <w:vAlign w:val="center"/>
          </w:tcPr>
          <w:p w14:paraId="5C99A2CD">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《多联式空调（热泵）机组能效限定值及能源效率等级》（GB21454）</w:t>
            </w:r>
          </w:p>
        </w:tc>
      </w:tr>
      <w:tr w14:paraId="61E720BB">
        <w:tblPrEx>
          <w:tblCellMar>
            <w:top w:w="0" w:type="dxa"/>
            <w:left w:w="108" w:type="dxa"/>
            <w:bottom w:w="0" w:type="dxa"/>
            <w:right w:w="108" w:type="dxa"/>
          </w:tblCellMar>
        </w:tblPrEx>
        <w:trPr>
          <w:trHeight w:val="970" w:hRule="atLeast"/>
        </w:trPr>
        <w:tc>
          <w:tcPr>
            <w:tcW w:w="659" w:type="dxa"/>
            <w:vMerge w:val="continue"/>
            <w:tcBorders>
              <w:top w:val="nil"/>
              <w:left w:val="single" w:color="000000" w:sz="8" w:space="0"/>
              <w:bottom w:val="single" w:color="000000" w:sz="8" w:space="0"/>
              <w:right w:val="single" w:color="000000" w:sz="8" w:space="0"/>
            </w:tcBorders>
            <w:vAlign w:val="center"/>
          </w:tcPr>
          <w:p w14:paraId="27671C18">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19209A0F">
            <w:pPr>
              <w:widowControl/>
              <w:wordWrap w:val="0"/>
              <w:jc w:val="left"/>
              <w:rPr>
                <w:rFonts w:ascii="宋体" w:hAnsi="宋体" w:cs="宋体"/>
                <w:color w:val="auto"/>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0AC81D1F">
            <w:pPr>
              <w:widowControl/>
              <w:wordWrap w:val="0"/>
              <w:jc w:val="left"/>
              <w:rPr>
                <w:rFonts w:ascii="宋体" w:hAnsi="宋体" w:cs="宋体"/>
                <w:color w:val="auto"/>
                <w:kern w:val="0"/>
                <w:sz w:val="20"/>
                <w:szCs w:val="20"/>
              </w:rPr>
            </w:pPr>
          </w:p>
        </w:tc>
        <w:tc>
          <w:tcPr>
            <w:tcW w:w="1622" w:type="dxa"/>
            <w:tcBorders>
              <w:top w:val="nil"/>
              <w:left w:val="nil"/>
              <w:bottom w:val="single" w:color="000000" w:sz="8" w:space="0"/>
              <w:right w:val="single" w:color="000000" w:sz="8" w:space="0"/>
            </w:tcBorders>
            <w:vAlign w:val="center"/>
          </w:tcPr>
          <w:p w14:paraId="4F7266CF">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单元式空气调节机(制冷量≤14000W)</w:t>
            </w:r>
          </w:p>
        </w:tc>
        <w:tc>
          <w:tcPr>
            <w:tcW w:w="4753" w:type="dxa"/>
            <w:tcBorders>
              <w:top w:val="nil"/>
              <w:left w:val="nil"/>
              <w:bottom w:val="single" w:color="000000" w:sz="8" w:space="0"/>
              <w:right w:val="single" w:color="000000" w:sz="8" w:space="0"/>
            </w:tcBorders>
            <w:vAlign w:val="center"/>
          </w:tcPr>
          <w:p w14:paraId="2CF2A1DF">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《单元式空气调节机能效限定值及能源效率等级》（GB19576）《风管送风式空调机组能效限定值及能效等级》（GB37479）</w:t>
            </w:r>
          </w:p>
        </w:tc>
      </w:tr>
      <w:tr w14:paraId="011049A9">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177D01FD">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7E369DBE">
            <w:pPr>
              <w:widowControl/>
              <w:wordWrap w:val="0"/>
              <w:jc w:val="left"/>
              <w:rPr>
                <w:rFonts w:ascii="宋体" w:hAnsi="宋体" w:cs="宋体"/>
                <w:color w:val="auto"/>
                <w:kern w:val="0"/>
                <w:sz w:val="20"/>
                <w:szCs w:val="20"/>
              </w:rPr>
            </w:pPr>
          </w:p>
        </w:tc>
        <w:tc>
          <w:tcPr>
            <w:tcW w:w="1319" w:type="dxa"/>
            <w:tcBorders>
              <w:top w:val="nil"/>
              <w:left w:val="nil"/>
              <w:bottom w:val="single" w:color="000000" w:sz="8" w:space="0"/>
              <w:right w:val="single" w:color="000000" w:sz="8" w:space="0"/>
            </w:tcBorders>
            <w:vAlign w:val="center"/>
          </w:tcPr>
          <w:p w14:paraId="5B68D228">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A0206180301洗衣机</w:t>
            </w:r>
          </w:p>
        </w:tc>
        <w:tc>
          <w:tcPr>
            <w:tcW w:w="1622" w:type="dxa"/>
            <w:tcBorders>
              <w:top w:val="nil"/>
              <w:left w:val="nil"/>
              <w:bottom w:val="single" w:color="000000" w:sz="8" w:space="0"/>
              <w:right w:val="single" w:color="000000" w:sz="8" w:space="0"/>
            </w:tcBorders>
            <w:vAlign w:val="center"/>
          </w:tcPr>
          <w:p w14:paraId="23890CE6">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3A806EE1">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《电动洗衣机能效水效限定值及等级》（GB12021.4）</w:t>
            </w:r>
          </w:p>
        </w:tc>
      </w:tr>
      <w:tr w14:paraId="3E258135">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1A8D606B">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306E7BFE">
            <w:pPr>
              <w:widowControl/>
              <w:wordWrap w:val="0"/>
              <w:jc w:val="left"/>
              <w:rPr>
                <w:rFonts w:ascii="宋体" w:hAnsi="宋体" w:cs="宋体"/>
                <w:color w:val="auto"/>
                <w:kern w:val="0"/>
                <w:sz w:val="20"/>
                <w:szCs w:val="20"/>
              </w:rPr>
            </w:pPr>
          </w:p>
        </w:tc>
        <w:tc>
          <w:tcPr>
            <w:tcW w:w="1319" w:type="dxa"/>
            <w:vMerge w:val="restart"/>
            <w:tcBorders>
              <w:top w:val="nil"/>
              <w:left w:val="single" w:color="000000" w:sz="8" w:space="0"/>
              <w:bottom w:val="single" w:color="000000" w:sz="8" w:space="0"/>
              <w:right w:val="single" w:color="000000" w:sz="8" w:space="0"/>
            </w:tcBorders>
            <w:vAlign w:val="center"/>
          </w:tcPr>
          <w:p w14:paraId="27374F56">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A02061808热水器</w:t>
            </w:r>
          </w:p>
        </w:tc>
        <w:tc>
          <w:tcPr>
            <w:tcW w:w="1622" w:type="dxa"/>
            <w:tcBorders>
              <w:top w:val="nil"/>
              <w:left w:val="nil"/>
              <w:bottom w:val="single" w:color="000000" w:sz="8" w:space="0"/>
              <w:right w:val="single" w:color="000000" w:sz="8" w:space="0"/>
            </w:tcBorders>
            <w:vAlign w:val="center"/>
          </w:tcPr>
          <w:p w14:paraId="46F296B3">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★电热水器</w:t>
            </w:r>
          </w:p>
        </w:tc>
        <w:tc>
          <w:tcPr>
            <w:tcW w:w="4753" w:type="dxa"/>
            <w:tcBorders>
              <w:top w:val="nil"/>
              <w:left w:val="nil"/>
              <w:bottom w:val="single" w:color="000000" w:sz="8" w:space="0"/>
              <w:right w:val="single" w:color="000000" w:sz="8" w:space="0"/>
            </w:tcBorders>
            <w:vAlign w:val="center"/>
          </w:tcPr>
          <w:p w14:paraId="0729691C">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《储水式电热水器能效限定值及能效等级》（GB21519）</w:t>
            </w:r>
          </w:p>
        </w:tc>
      </w:tr>
      <w:tr w14:paraId="3733C2BC">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1F067E0C">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7E20E3B1">
            <w:pPr>
              <w:widowControl/>
              <w:wordWrap w:val="0"/>
              <w:jc w:val="left"/>
              <w:rPr>
                <w:rFonts w:ascii="宋体" w:hAnsi="宋体" w:cs="宋体"/>
                <w:color w:val="auto"/>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449E3D5F">
            <w:pPr>
              <w:widowControl/>
              <w:wordWrap w:val="0"/>
              <w:jc w:val="left"/>
              <w:rPr>
                <w:rFonts w:ascii="宋体" w:hAnsi="宋体" w:cs="宋体"/>
                <w:color w:val="auto"/>
                <w:kern w:val="0"/>
                <w:sz w:val="20"/>
                <w:szCs w:val="20"/>
              </w:rPr>
            </w:pPr>
          </w:p>
        </w:tc>
        <w:tc>
          <w:tcPr>
            <w:tcW w:w="1622" w:type="dxa"/>
            <w:tcBorders>
              <w:top w:val="nil"/>
              <w:left w:val="nil"/>
              <w:bottom w:val="single" w:color="000000" w:sz="8" w:space="0"/>
              <w:right w:val="single" w:color="000000" w:sz="8" w:space="0"/>
            </w:tcBorders>
            <w:vAlign w:val="center"/>
          </w:tcPr>
          <w:p w14:paraId="17E00043">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燃气热水器</w:t>
            </w:r>
          </w:p>
        </w:tc>
        <w:tc>
          <w:tcPr>
            <w:tcW w:w="4753" w:type="dxa"/>
            <w:tcBorders>
              <w:top w:val="nil"/>
              <w:left w:val="nil"/>
              <w:bottom w:val="single" w:color="000000" w:sz="8" w:space="0"/>
              <w:right w:val="single" w:color="000000" w:sz="8" w:space="0"/>
            </w:tcBorders>
            <w:vAlign w:val="center"/>
          </w:tcPr>
          <w:p w14:paraId="42465392">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《家用燃气快速热水器和燃气采暖热水炉能效限定值及能效等级》（GB20665）</w:t>
            </w:r>
          </w:p>
        </w:tc>
      </w:tr>
      <w:tr w14:paraId="30E79635">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3E800238">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425BBBA1">
            <w:pPr>
              <w:widowControl/>
              <w:wordWrap w:val="0"/>
              <w:jc w:val="left"/>
              <w:rPr>
                <w:rFonts w:ascii="宋体" w:hAnsi="宋体" w:cs="宋体"/>
                <w:color w:val="auto"/>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5D188DA3">
            <w:pPr>
              <w:widowControl/>
              <w:wordWrap w:val="0"/>
              <w:jc w:val="left"/>
              <w:rPr>
                <w:rFonts w:ascii="宋体" w:hAnsi="宋体" w:cs="宋体"/>
                <w:color w:val="auto"/>
                <w:kern w:val="0"/>
                <w:sz w:val="20"/>
                <w:szCs w:val="20"/>
              </w:rPr>
            </w:pPr>
          </w:p>
        </w:tc>
        <w:tc>
          <w:tcPr>
            <w:tcW w:w="1622" w:type="dxa"/>
            <w:tcBorders>
              <w:top w:val="nil"/>
              <w:left w:val="nil"/>
              <w:bottom w:val="single" w:color="000000" w:sz="8" w:space="0"/>
              <w:right w:val="single" w:color="000000" w:sz="8" w:space="0"/>
            </w:tcBorders>
            <w:vAlign w:val="center"/>
          </w:tcPr>
          <w:p w14:paraId="57AB6EF1">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热泵热水器</w:t>
            </w:r>
          </w:p>
        </w:tc>
        <w:tc>
          <w:tcPr>
            <w:tcW w:w="4753" w:type="dxa"/>
            <w:tcBorders>
              <w:top w:val="nil"/>
              <w:left w:val="nil"/>
              <w:bottom w:val="single" w:color="000000" w:sz="8" w:space="0"/>
              <w:right w:val="single" w:color="000000" w:sz="8" w:space="0"/>
            </w:tcBorders>
            <w:vAlign w:val="center"/>
          </w:tcPr>
          <w:p w14:paraId="120A156A">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《热泵热水机（器）能效限定值及能效等级》（GB29541）</w:t>
            </w:r>
          </w:p>
        </w:tc>
      </w:tr>
      <w:tr w14:paraId="66C243F0">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397C9B2C">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51188778">
            <w:pPr>
              <w:widowControl/>
              <w:wordWrap w:val="0"/>
              <w:jc w:val="left"/>
              <w:rPr>
                <w:rFonts w:ascii="宋体" w:hAnsi="宋体" w:cs="宋体"/>
                <w:color w:val="auto"/>
                <w:kern w:val="0"/>
                <w:sz w:val="20"/>
                <w:szCs w:val="20"/>
              </w:rPr>
            </w:pPr>
          </w:p>
        </w:tc>
        <w:tc>
          <w:tcPr>
            <w:tcW w:w="1319" w:type="dxa"/>
            <w:vMerge w:val="continue"/>
            <w:tcBorders>
              <w:top w:val="nil"/>
              <w:left w:val="single" w:color="000000" w:sz="8" w:space="0"/>
              <w:bottom w:val="single" w:color="000000" w:sz="8" w:space="0"/>
              <w:right w:val="single" w:color="000000" w:sz="8" w:space="0"/>
            </w:tcBorders>
            <w:vAlign w:val="center"/>
          </w:tcPr>
          <w:p w14:paraId="11BA6B12">
            <w:pPr>
              <w:widowControl/>
              <w:wordWrap w:val="0"/>
              <w:jc w:val="left"/>
              <w:rPr>
                <w:rFonts w:ascii="宋体" w:hAnsi="宋体" w:cs="宋体"/>
                <w:color w:val="auto"/>
                <w:kern w:val="0"/>
                <w:sz w:val="20"/>
                <w:szCs w:val="20"/>
              </w:rPr>
            </w:pPr>
          </w:p>
        </w:tc>
        <w:tc>
          <w:tcPr>
            <w:tcW w:w="1622" w:type="dxa"/>
            <w:tcBorders>
              <w:top w:val="nil"/>
              <w:left w:val="nil"/>
              <w:bottom w:val="single" w:color="000000" w:sz="8" w:space="0"/>
              <w:right w:val="single" w:color="000000" w:sz="8" w:space="0"/>
            </w:tcBorders>
            <w:vAlign w:val="center"/>
          </w:tcPr>
          <w:p w14:paraId="365D0C51">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太阳能热水系统</w:t>
            </w:r>
          </w:p>
        </w:tc>
        <w:tc>
          <w:tcPr>
            <w:tcW w:w="4753" w:type="dxa"/>
            <w:tcBorders>
              <w:top w:val="nil"/>
              <w:left w:val="nil"/>
              <w:bottom w:val="single" w:color="000000" w:sz="8" w:space="0"/>
              <w:right w:val="single" w:color="000000" w:sz="8" w:space="0"/>
            </w:tcBorders>
            <w:vAlign w:val="center"/>
          </w:tcPr>
          <w:p w14:paraId="1633C1A5">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《家用太阳能热水系统能效限定值及能效等级》（GB26969）</w:t>
            </w:r>
          </w:p>
        </w:tc>
      </w:tr>
      <w:tr w14:paraId="0A50DE37">
        <w:tblPrEx>
          <w:tblCellMar>
            <w:top w:w="0" w:type="dxa"/>
            <w:left w:w="108" w:type="dxa"/>
            <w:bottom w:w="0" w:type="dxa"/>
            <w:right w:w="108" w:type="dxa"/>
          </w:tblCellMar>
        </w:tblPrEx>
        <w:trPr>
          <w:trHeight w:val="970" w:hRule="atLeast"/>
        </w:trPr>
        <w:tc>
          <w:tcPr>
            <w:tcW w:w="659" w:type="dxa"/>
            <w:vMerge w:val="restart"/>
            <w:tcBorders>
              <w:top w:val="nil"/>
              <w:left w:val="single" w:color="000000" w:sz="8" w:space="0"/>
              <w:bottom w:val="single" w:color="000000" w:sz="8" w:space="0"/>
              <w:right w:val="single" w:color="000000" w:sz="8" w:space="0"/>
            </w:tcBorders>
            <w:vAlign w:val="center"/>
          </w:tcPr>
          <w:p w14:paraId="462998FF">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11</w:t>
            </w:r>
          </w:p>
        </w:tc>
        <w:tc>
          <w:tcPr>
            <w:tcW w:w="1079" w:type="dxa"/>
            <w:vMerge w:val="restart"/>
            <w:tcBorders>
              <w:top w:val="nil"/>
              <w:left w:val="single" w:color="000000" w:sz="8" w:space="0"/>
              <w:bottom w:val="single" w:color="000000" w:sz="8" w:space="0"/>
              <w:right w:val="single" w:color="000000" w:sz="8" w:space="0"/>
            </w:tcBorders>
            <w:vAlign w:val="center"/>
          </w:tcPr>
          <w:p w14:paraId="60667329">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A020619照明设备</w:t>
            </w:r>
          </w:p>
        </w:tc>
        <w:tc>
          <w:tcPr>
            <w:tcW w:w="1319" w:type="dxa"/>
            <w:tcBorders>
              <w:top w:val="nil"/>
              <w:left w:val="nil"/>
              <w:bottom w:val="single" w:color="000000" w:sz="8" w:space="0"/>
              <w:right w:val="single" w:color="000000" w:sz="8" w:space="0"/>
            </w:tcBorders>
            <w:vAlign w:val="center"/>
          </w:tcPr>
          <w:p w14:paraId="1A25D19E">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★普通照明用双端荧光灯</w:t>
            </w:r>
          </w:p>
        </w:tc>
        <w:tc>
          <w:tcPr>
            <w:tcW w:w="1622" w:type="dxa"/>
            <w:tcBorders>
              <w:top w:val="nil"/>
              <w:left w:val="nil"/>
              <w:bottom w:val="single" w:color="000000" w:sz="8" w:space="0"/>
              <w:right w:val="single" w:color="000000" w:sz="8" w:space="0"/>
            </w:tcBorders>
            <w:vAlign w:val="center"/>
          </w:tcPr>
          <w:p w14:paraId="462746A3">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2FAFC59B">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《普通照明用双端荧光灯能效限定值及能效等级》（GB19043）</w:t>
            </w:r>
          </w:p>
        </w:tc>
      </w:tr>
      <w:tr w14:paraId="67894693">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1FA0411A">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5B0FAC09">
            <w:pPr>
              <w:widowControl/>
              <w:wordWrap w:val="0"/>
              <w:jc w:val="left"/>
              <w:rPr>
                <w:rFonts w:ascii="宋体" w:hAnsi="宋体" w:cs="宋体"/>
                <w:color w:val="auto"/>
                <w:kern w:val="0"/>
                <w:sz w:val="20"/>
                <w:szCs w:val="20"/>
              </w:rPr>
            </w:pPr>
          </w:p>
        </w:tc>
        <w:tc>
          <w:tcPr>
            <w:tcW w:w="1319" w:type="dxa"/>
            <w:tcBorders>
              <w:top w:val="nil"/>
              <w:left w:val="nil"/>
              <w:bottom w:val="single" w:color="000000" w:sz="8" w:space="0"/>
              <w:right w:val="single" w:color="000000" w:sz="8" w:space="0"/>
            </w:tcBorders>
            <w:vAlign w:val="center"/>
          </w:tcPr>
          <w:p w14:paraId="4ECB86BF">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LED道路/隧道照明产品</w:t>
            </w:r>
          </w:p>
        </w:tc>
        <w:tc>
          <w:tcPr>
            <w:tcW w:w="1622" w:type="dxa"/>
            <w:tcBorders>
              <w:top w:val="nil"/>
              <w:left w:val="nil"/>
              <w:bottom w:val="single" w:color="000000" w:sz="8" w:space="0"/>
              <w:right w:val="single" w:color="000000" w:sz="8" w:space="0"/>
            </w:tcBorders>
            <w:vAlign w:val="center"/>
          </w:tcPr>
          <w:p w14:paraId="5FF3E914">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26DA743C">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《道路和隧道照明用LED灯具能效限定值及能效等级》（GB37478）</w:t>
            </w:r>
          </w:p>
        </w:tc>
      </w:tr>
      <w:tr w14:paraId="3944680A">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2177D1BF">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02D4E667">
            <w:pPr>
              <w:widowControl/>
              <w:wordWrap w:val="0"/>
              <w:jc w:val="left"/>
              <w:rPr>
                <w:rFonts w:ascii="宋体" w:hAnsi="宋体" w:cs="宋体"/>
                <w:color w:val="auto"/>
                <w:kern w:val="0"/>
                <w:sz w:val="20"/>
                <w:szCs w:val="20"/>
              </w:rPr>
            </w:pPr>
          </w:p>
        </w:tc>
        <w:tc>
          <w:tcPr>
            <w:tcW w:w="1319" w:type="dxa"/>
            <w:tcBorders>
              <w:top w:val="nil"/>
              <w:left w:val="nil"/>
              <w:bottom w:val="single" w:color="000000" w:sz="8" w:space="0"/>
              <w:right w:val="single" w:color="000000" w:sz="8" w:space="0"/>
            </w:tcBorders>
            <w:vAlign w:val="center"/>
          </w:tcPr>
          <w:p w14:paraId="4D2364DB">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LED筒灯</w:t>
            </w:r>
          </w:p>
        </w:tc>
        <w:tc>
          <w:tcPr>
            <w:tcW w:w="1622" w:type="dxa"/>
            <w:tcBorders>
              <w:top w:val="nil"/>
              <w:left w:val="nil"/>
              <w:bottom w:val="single" w:color="000000" w:sz="8" w:space="0"/>
              <w:right w:val="single" w:color="000000" w:sz="8" w:space="0"/>
            </w:tcBorders>
            <w:vAlign w:val="center"/>
          </w:tcPr>
          <w:p w14:paraId="316C1856">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4626C9D7">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《室内照明用LED产品能效限定值及能效等级》（GB30255）</w:t>
            </w:r>
          </w:p>
        </w:tc>
      </w:tr>
      <w:tr w14:paraId="4BD12062">
        <w:tblPrEx>
          <w:tblCellMar>
            <w:top w:w="0" w:type="dxa"/>
            <w:left w:w="108" w:type="dxa"/>
            <w:bottom w:w="0" w:type="dxa"/>
            <w:right w:w="108" w:type="dxa"/>
          </w:tblCellMar>
        </w:tblPrEx>
        <w:trPr>
          <w:trHeight w:val="970" w:hRule="atLeast"/>
        </w:trPr>
        <w:tc>
          <w:tcPr>
            <w:tcW w:w="659" w:type="dxa"/>
            <w:vMerge w:val="continue"/>
            <w:tcBorders>
              <w:top w:val="nil"/>
              <w:left w:val="single" w:color="000000" w:sz="8" w:space="0"/>
              <w:bottom w:val="single" w:color="000000" w:sz="8" w:space="0"/>
              <w:right w:val="single" w:color="000000" w:sz="8" w:space="0"/>
            </w:tcBorders>
            <w:vAlign w:val="center"/>
          </w:tcPr>
          <w:p w14:paraId="371A884F">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71794E16">
            <w:pPr>
              <w:widowControl/>
              <w:wordWrap w:val="0"/>
              <w:jc w:val="left"/>
              <w:rPr>
                <w:rFonts w:ascii="宋体" w:hAnsi="宋体" w:cs="宋体"/>
                <w:color w:val="auto"/>
                <w:kern w:val="0"/>
                <w:sz w:val="20"/>
                <w:szCs w:val="20"/>
              </w:rPr>
            </w:pPr>
          </w:p>
        </w:tc>
        <w:tc>
          <w:tcPr>
            <w:tcW w:w="1319" w:type="dxa"/>
            <w:tcBorders>
              <w:top w:val="nil"/>
              <w:left w:val="nil"/>
              <w:bottom w:val="single" w:color="000000" w:sz="8" w:space="0"/>
              <w:right w:val="single" w:color="000000" w:sz="8" w:space="0"/>
            </w:tcBorders>
            <w:vAlign w:val="center"/>
          </w:tcPr>
          <w:p w14:paraId="36834E0C">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普通照明用非定向自镇流LED灯</w:t>
            </w:r>
          </w:p>
        </w:tc>
        <w:tc>
          <w:tcPr>
            <w:tcW w:w="1622" w:type="dxa"/>
            <w:tcBorders>
              <w:top w:val="nil"/>
              <w:left w:val="nil"/>
              <w:bottom w:val="single" w:color="000000" w:sz="8" w:space="0"/>
              <w:right w:val="single" w:color="000000" w:sz="8" w:space="0"/>
            </w:tcBorders>
            <w:vAlign w:val="center"/>
          </w:tcPr>
          <w:p w14:paraId="292E2439">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2B2A1F43">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《室内照明用LED产品能效限定值及能效等级》（GB30255）</w:t>
            </w:r>
          </w:p>
        </w:tc>
      </w:tr>
      <w:tr w14:paraId="2EDFB1B7">
        <w:tblPrEx>
          <w:tblCellMar>
            <w:top w:w="0" w:type="dxa"/>
            <w:left w:w="108" w:type="dxa"/>
            <w:bottom w:w="0" w:type="dxa"/>
            <w:right w:w="108" w:type="dxa"/>
          </w:tblCellMar>
        </w:tblPrEx>
        <w:trPr>
          <w:trHeight w:val="970" w:hRule="atLeast"/>
        </w:trPr>
        <w:tc>
          <w:tcPr>
            <w:tcW w:w="659" w:type="dxa"/>
            <w:tcBorders>
              <w:top w:val="nil"/>
              <w:left w:val="single" w:color="000000" w:sz="8" w:space="0"/>
              <w:bottom w:val="single" w:color="000000" w:sz="8" w:space="0"/>
              <w:right w:val="single" w:color="000000" w:sz="8" w:space="0"/>
            </w:tcBorders>
            <w:vAlign w:val="center"/>
          </w:tcPr>
          <w:p w14:paraId="48A4E4EF">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12</w:t>
            </w:r>
          </w:p>
        </w:tc>
        <w:tc>
          <w:tcPr>
            <w:tcW w:w="1079" w:type="dxa"/>
            <w:tcBorders>
              <w:top w:val="nil"/>
              <w:left w:val="nil"/>
              <w:bottom w:val="single" w:color="000000" w:sz="8" w:space="0"/>
              <w:right w:val="single" w:color="000000" w:sz="8" w:space="0"/>
            </w:tcBorders>
            <w:vAlign w:val="center"/>
          </w:tcPr>
          <w:p w14:paraId="7C2AD911">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★A020910电视设备</w:t>
            </w:r>
          </w:p>
        </w:tc>
        <w:tc>
          <w:tcPr>
            <w:tcW w:w="1319" w:type="dxa"/>
            <w:tcBorders>
              <w:top w:val="nil"/>
              <w:left w:val="nil"/>
              <w:bottom w:val="single" w:color="000000" w:sz="8" w:space="0"/>
              <w:right w:val="single" w:color="000000" w:sz="8" w:space="0"/>
            </w:tcBorders>
            <w:vAlign w:val="center"/>
          </w:tcPr>
          <w:p w14:paraId="6666ED01">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A02091001普通电视设备（电视机）</w:t>
            </w:r>
          </w:p>
        </w:tc>
        <w:tc>
          <w:tcPr>
            <w:tcW w:w="1622" w:type="dxa"/>
            <w:tcBorders>
              <w:top w:val="nil"/>
              <w:left w:val="nil"/>
              <w:bottom w:val="single" w:color="000000" w:sz="8" w:space="0"/>
              <w:right w:val="single" w:color="000000" w:sz="8" w:space="0"/>
            </w:tcBorders>
            <w:vAlign w:val="center"/>
          </w:tcPr>
          <w:p w14:paraId="734FFB9D">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7CF8F476">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《平板电视能效限定值及能效等级》（GB24850）</w:t>
            </w:r>
          </w:p>
        </w:tc>
      </w:tr>
      <w:tr w14:paraId="7411C47A">
        <w:tblPrEx>
          <w:tblCellMar>
            <w:top w:w="0" w:type="dxa"/>
            <w:left w:w="108" w:type="dxa"/>
            <w:bottom w:w="0" w:type="dxa"/>
            <w:right w:w="108" w:type="dxa"/>
          </w:tblCellMar>
        </w:tblPrEx>
        <w:trPr>
          <w:trHeight w:val="1287" w:hRule="atLeast"/>
        </w:trPr>
        <w:tc>
          <w:tcPr>
            <w:tcW w:w="659" w:type="dxa"/>
            <w:tcBorders>
              <w:top w:val="nil"/>
              <w:left w:val="single" w:color="000000" w:sz="8" w:space="0"/>
              <w:bottom w:val="single" w:color="000000" w:sz="8" w:space="0"/>
              <w:right w:val="single" w:color="000000" w:sz="8" w:space="0"/>
            </w:tcBorders>
            <w:vAlign w:val="center"/>
          </w:tcPr>
          <w:p w14:paraId="6F5FBD51">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13</w:t>
            </w:r>
          </w:p>
        </w:tc>
        <w:tc>
          <w:tcPr>
            <w:tcW w:w="1079" w:type="dxa"/>
            <w:tcBorders>
              <w:top w:val="nil"/>
              <w:left w:val="nil"/>
              <w:bottom w:val="single" w:color="000000" w:sz="8" w:space="0"/>
              <w:right w:val="single" w:color="000000" w:sz="8" w:space="0"/>
            </w:tcBorders>
            <w:vAlign w:val="center"/>
          </w:tcPr>
          <w:p w14:paraId="089C4227">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★A020911视频设备</w:t>
            </w:r>
          </w:p>
        </w:tc>
        <w:tc>
          <w:tcPr>
            <w:tcW w:w="1319" w:type="dxa"/>
            <w:tcBorders>
              <w:top w:val="nil"/>
              <w:left w:val="nil"/>
              <w:bottom w:val="single" w:color="000000" w:sz="8" w:space="0"/>
              <w:right w:val="single" w:color="000000" w:sz="8" w:space="0"/>
            </w:tcBorders>
            <w:vAlign w:val="center"/>
          </w:tcPr>
          <w:p w14:paraId="64966821">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A02091107视频监控设备</w:t>
            </w:r>
          </w:p>
        </w:tc>
        <w:tc>
          <w:tcPr>
            <w:tcW w:w="1622" w:type="dxa"/>
            <w:tcBorders>
              <w:top w:val="nil"/>
              <w:left w:val="nil"/>
              <w:bottom w:val="single" w:color="000000" w:sz="8" w:space="0"/>
              <w:right w:val="single" w:color="000000" w:sz="8" w:space="0"/>
            </w:tcBorders>
            <w:vAlign w:val="center"/>
          </w:tcPr>
          <w:p w14:paraId="4E981BB1">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监视器</w:t>
            </w:r>
          </w:p>
        </w:tc>
        <w:tc>
          <w:tcPr>
            <w:tcW w:w="4753" w:type="dxa"/>
            <w:tcBorders>
              <w:top w:val="nil"/>
              <w:left w:val="nil"/>
              <w:bottom w:val="single" w:color="000000" w:sz="8" w:space="0"/>
              <w:right w:val="single" w:color="000000" w:sz="8" w:space="0"/>
            </w:tcBorders>
            <w:vAlign w:val="center"/>
          </w:tcPr>
          <w:p w14:paraId="6355A0CD">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以射频信号为主要信号输入的监视器应符合《平板电视能效限定值及能效等级》（GB24850），以数字信号为主要信号输入的监视器应符合《计算机显示器能效限定值及能效等级》（GB21520）</w:t>
            </w:r>
          </w:p>
        </w:tc>
      </w:tr>
      <w:tr w14:paraId="16775F4C">
        <w:tblPrEx>
          <w:tblCellMar>
            <w:top w:w="0" w:type="dxa"/>
            <w:left w:w="108" w:type="dxa"/>
            <w:bottom w:w="0" w:type="dxa"/>
            <w:right w:w="108" w:type="dxa"/>
          </w:tblCellMar>
        </w:tblPrEx>
        <w:trPr>
          <w:trHeight w:val="970" w:hRule="atLeast"/>
        </w:trPr>
        <w:tc>
          <w:tcPr>
            <w:tcW w:w="659" w:type="dxa"/>
            <w:tcBorders>
              <w:top w:val="nil"/>
              <w:left w:val="single" w:color="000000" w:sz="8" w:space="0"/>
              <w:bottom w:val="single" w:color="000000" w:sz="8" w:space="0"/>
              <w:right w:val="single" w:color="000000" w:sz="8" w:space="0"/>
            </w:tcBorders>
            <w:vAlign w:val="center"/>
          </w:tcPr>
          <w:p w14:paraId="4EB450A6">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14</w:t>
            </w:r>
          </w:p>
        </w:tc>
        <w:tc>
          <w:tcPr>
            <w:tcW w:w="1079" w:type="dxa"/>
            <w:tcBorders>
              <w:top w:val="nil"/>
              <w:left w:val="nil"/>
              <w:bottom w:val="single" w:color="000000" w:sz="8" w:space="0"/>
              <w:right w:val="single" w:color="000000" w:sz="8" w:space="0"/>
            </w:tcBorders>
            <w:vAlign w:val="center"/>
          </w:tcPr>
          <w:p w14:paraId="066BE453">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A031210饮食炊事机械</w:t>
            </w:r>
          </w:p>
        </w:tc>
        <w:tc>
          <w:tcPr>
            <w:tcW w:w="1319" w:type="dxa"/>
            <w:tcBorders>
              <w:top w:val="nil"/>
              <w:left w:val="nil"/>
              <w:bottom w:val="single" w:color="000000" w:sz="8" w:space="0"/>
              <w:right w:val="single" w:color="000000" w:sz="8" w:space="0"/>
            </w:tcBorders>
            <w:vAlign w:val="center"/>
          </w:tcPr>
          <w:p w14:paraId="76341CCB">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商用燃气灶具</w:t>
            </w:r>
          </w:p>
        </w:tc>
        <w:tc>
          <w:tcPr>
            <w:tcW w:w="1622" w:type="dxa"/>
            <w:tcBorders>
              <w:top w:val="nil"/>
              <w:left w:val="nil"/>
              <w:bottom w:val="single" w:color="000000" w:sz="8" w:space="0"/>
              <w:right w:val="single" w:color="000000" w:sz="8" w:space="0"/>
            </w:tcBorders>
            <w:vAlign w:val="center"/>
          </w:tcPr>
          <w:p w14:paraId="0202396D">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04AEF41D">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《商用燃气灶具能效限定值及能效等级》（GB30531）</w:t>
            </w:r>
          </w:p>
        </w:tc>
      </w:tr>
      <w:tr w14:paraId="1FF61E4B">
        <w:tblPrEx>
          <w:tblCellMar>
            <w:top w:w="0" w:type="dxa"/>
            <w:left w:w="108" w:type="dxa"/>
            <w:bottom w:w="0" w:type="dxa"/>
            <w:right w:w="108" w:type="dxa"/>
          </w:tblCellMar>
        </w:tblPrEx>
        <w:trPr>
          <w:trHeight w:val="346" w:hRule="atLeast"/>
        </w:trPr>
        <w:tc>
          <w:tcPr>
            <w:tcW w:w="659" w:type="dxa"/>
            <w:vMerge w:val="restart"/>
            <w:tcBorders>
              <w:top w:val="nil"/>
              <w:left w:val="single" w:color="000000" w:sz="8" w:space="0"/>
              <w:bottom w:val="single" w:color="000000" w:sz="8" w:space="0"/>
              <w:right w:val="single" w:color="000000" w:sz="8" w:space="0"/>
            </w:tcBorders>
            <w:vAlign w:val="center"/>
          </w:tcPr>
          <w:p w14:paraId="27877070">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15</w:t>
            </w:r>
          </w:p>
        </w:tc>
        <w:tc>
          <w:tcPr>
            <w:tcW w:w="1079" w:type="dxa"/>
            <w:vMerge w:val="restart"/>
            <w:tcBorders>
              <w:top w:val="nil"/>
              <w:left w:val="single" w:color="000000" w:sz="8" w:space="0"/>
              <w:bottom w:val="single" w:color="000000" w:sz="8" w:space="0"/>
              <w:right w:val="single" w:color="000000" w:sz="8" w:space="0"/>
            </w:tcBorders>
            <w:vAlign w:val="center"/>
          </w:tcPr>
          <w:p w14:paraId="21909C07">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★A060805便器</w:t>
            </w:r>
          </w:p>
        </w:tc>
        <w:tc>
          <w:tcPr>
            <w:tcW w:w="1319" w:type="dxa"/>
            <w:tcBorders>
              <w:top w:val="nil"/>
              <w:left w:val="nil"/>
              <w:bottom w:val="single" w:color="000000" w:sz="8" w:space="0"/>
              <w:right w:val="single" w:color="000000" w:sz="8" w:space="0"/>
            </w:tcBorders>
            <w:vAlign w:val="center"/>
          </w:tcPr>
          <w:p w14:paraId="0B7FBCAF">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坐便器</w:t>
            </w:r>
          </w:p>
        </w:tc>
        <w:tc>
          <w:tcPr>
            <w:tcW w:w="1622" w:type="dxa"/>
            <w:tcBorders>
              <w:top w:val="nil"/>
              <w:left w:val="nil"/>
              <w:bottom w:val="single" w:color="000000" w:sz="8" w:space="0"/>
              <w:right w:val="single" w:color="000000" w:sz="8" w:space="0"/>
            </w:tcBorders>
            <w:vAlign w:val="center"/>
          </w:tcPr>
          <w:p w14:paraId="1D791321">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7B0E36EB">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《坐便器水效限定值及水效等级》（GB25502）</w:t>
            </w:r>
          </w:p>
        </w:tc>
      </w:tr>
      <w:tr w14:paraId="4B3987BE">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0CBB16E0">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1ED09122">
            <w:pPr>
              <w:widowControl/>
              <w:wordWrap w:val="0"/>
              <w:jc w:val="left"/>
              <w:rPr>
                <w:rFonts w:ascii="宋体" w:hAnsi="宋体" w:cs="宋体"/>
                <w:color w:val="auto"/>
                <w:kern w:val="0"/>
                <w:sz w:val="20"/>
                <w:szCs w:val="20"/>
              </w:rPr>
            </w:pPr>
          </w:p>
        </w:tc>
        <w:tc>
          <w:tcPr>
            <w:tcW w:w="1319" w:type="dxa"/>
            <w:tcBorders>
              <w:top w:val="nil"/>
              <w:left w:val="nil"/>
              <w:bottom w:val="single" w:color="000000" w:sz="8" w:space="0"/>
              <w:right w:val="single" w:color="000000" w:sz="8" w:space="0"/>
            </w:tcBorders>
            <w:vAlign w:val="center"/>
          </w:tcPr>
          <w:p w14:paraId="0FD80C11">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蹲便器</w:t>
            </w:r>
          </w:p>
        </w:tc>
        <w:tc>
          <w:tcPr>
            <w:tcW w:w="1622" w:type="dxa"/>
            <w:tcBorders>
              <w:top w:val="nil"/>
              <w:left w:val="nil"/>
              <w:bottom w:val="single" w:color="000000" w:sz="8" w:space="0"/>
              <w:right w:val="single" w:color="000000" w:sz="8" w:space="0"/>
            </w:tcBorders>
            <w:vAlign w:val="center"/>
          </w:tcPr>
          <w:p w14:paraId="3B9EE6EF">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06ECAEF3">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《蹲便器用水效率限定值及用水效率等级》（GB30717）</w:t>
            </w:r>
          </w:p>
        </w:tc>
      </w:tr>
      <w:tr w14:paraId="05412C2E">
        <w:tblPrEx>
          <w:tblCellMar>
            <w:top w:w="0" w:type="dxa"/>
            <w:left w:w="108" w:type="dxa"/>
            <w:bottom w:w="0" w:type="dxa"/>
            <w:right w:w="108" w:type="dxa"/>
          </w:tblCellMar>
        </w:tblPrEx>
        <w:trPr>
          <w:trHeight w:val="653" w:hRule="atLeast"/>
        </w:trPr>
        <w:tc>
          <w:tcPr>
            <w:tcW w:w="659" w:type="dxa"/>
            <w:vMerge w:val="continue"/>
            <w:tcBorders>
              <w:top w:val="nil"/>
              <w:left w:val="single" w:color="000000" w:sz="8" w:space="0"/>
              <w:bottom w:val="single" w:color="000000" w:sz="8" w:space="0"/>
              <w:right w:val="single" w:color="000000" w:sz="8" w:space="0"/>
            </w:tcBorders>
            <w:vAlign w:val="center"/>
          </w:tcPr>
          <w:p w14:paraId="7147CB90">
            <w:pPr>
              <w:widowControl/>
              <w:wordWrap w:val="0"/>
              <w:jc w:val="left"/>
              <w:rPr>
                <w:rFonts w:ascii="宋体" w:hAnsi="宋体" w:cs="宋体"/>
                <w:color w:val="auto"/>
                <w:kern w:val="0"/>
                <w:sz w:val="20"/>
                <w:szCs w:val="20"/>
              </w:rPr>
            </w:pPr>
          </w:p>
        </w:tc>
        <w:tc>
          <w:tcPr>
            <w:tcW w:w="1079" w:type="dxa"/>
            <w:vMerge w:val="continue"/>
            <w:tcBorders>
              <w:top w:val="nil"/>
              <w:left w:val="single" w:color="000000" w:sz="8" w:space="0"/>
              <w:bottom w:val="single" w:color="000000" w:sz="8" w:space="0"/>
              <w:right w:val="single" w:color="000000" w:sz="8" w:space="0"/>
            </w:tcBorders>
            <w:vAlign w:val="center"/>
          </w:tcPr>
          <w:p w14:paraId="3AB42299">
            <w:pPr>
              <w:widowControl/>
              <w:wordWrap w:val="0"/>
              <w:jc w:val="left"/>
              <w:rPr>
                <w:rFonts w:ascii="宋体" w:hAnsi="宋体" w:cs="宋体"/>
                <w:color w:val="auto"/>
                <w:kern w:val="0"/>
                <w:sz w:val="20"/>
                <w:szCs w:val="20"/>
              </w:rPr>
            </w:pPr>
          </w:p>
        </w:tc>
        <w:tc>
          <w:tcPr>
            <w:tcW w:w="1319" w:type="dxa"/>
            <w:tcBorders>
              <w:top w:val="nil"/>
              <w:left w:val="nil"/>
              <w:bottom w:val="single" w:color="000000" w:sz="8" w:space="0"/>
              <w:right w:val="single" w:color="000000" w:sz="8" w:space="0"/>
            </w:tcBorders>
            <w:vAlign w:val="center"/>
          </w:tcPr>
          <w:p w14:paraId="4B373CBE">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小便器</w:t>
            </w:r>
          </w:p>
        </w:tc>
        <w:tc>
          <w:tcPr>
            <w:tcW w:w="1622" w:type="dxa"/>
            <w:tcBorders>
              <w:top w:val="nil"/>
              <w:left w:val="nil"/>
              <w:bottom w:val="single" w:color="000000" w:sz="8" w:space="0"/>
              <w:right w:val="single" w:color="000000" w:sz="8" w:space="0"/>
            </w:tcBorders>
            <w:vAlign w:val="center"/>
          </w:tcPr>
          <w:p w14:paraId="762427F3">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66D0B29E">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《小便器用水效率限定值及用水效率等级》（GB28377）</w:t>
            </w:r>
          </w:p>
        </w:tc>
      </w:tr>
      <w:tr w14:paraId="4D34252C">
        <w:tblPrEx>
          <w:tblCellMar>
            <w:top w:w="0" w:type="dxa"/>
            <w:left w:w="108" w:type="dxa"/>
            <w:bottom w:w="0" w:type="dxa"/>
            <w:right w:w="108" w:type="dxa"/>
          </w:tblCellMar>
        </w:tblPrEx>
        <w:trPr>
          <w:trHeight w:val="653" w:hRule="atLeast"/>
        </w:trPr>
        <w:tc>
          <w:tcPr>
            <w:tcW w:w="659" w:type="dxa"/>
            <w:tcBorders>
              <w:top w:val="nil"/>
              <w:left w:val="single" w:color="000000" w:sz="8" w:space="0"/>
              <w:bottom w:val="single" w:color="000000" w:sz="8" w:space="0"/>
              <w:right w:val="single" w:color="000000" w:sz="8" w:space="0"/>
            </w:tcBorders>
            <w:vAlign w:val="center"/>
          </w:tcPr>
          <w:p w14:paraId="043D15BE">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16</w:t>
            </w:r>
          </w:p>
        </w:tc>
        <w:tc>
          <w:tcPr>
            <w:tcW w:w="1079" w:type="dxa"/>
            <w:tcBorders>
              <w:top w:val="nil"/>
              <w:left w:val="nil"/>
              <w:bottom w:val="single" w:color="000000" w:sz="8" w:space="0"/>
              <w:right w:val="single" w:color="000000" w:sz="8" w:space="0"/>
            </w:tcBorders>
            <w:vAlign w:val="center"/>
          </w:tcPr>
          <w:p w14:paraId="7D3C351B">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★A060806水嘴</w:t>
            </w:r>
          </w:p>
        </w:tc>
        <w:tc>
          <w:tcPr>
            <w:tcW w:w="1319" w:type="dxa"/>
            <w:tcBorders>
              <w:top w:val="nil"/>
              <w:left w:val="nil"/>
              <w:bottom w:val="single" w:color="000000" w:sz="8" w:space="0"/>
              <w:right w:val="single" w:color="000000" w:sz="8" w:space="0"/>
            </w:tcBorders>
            <w:vAlign w:val="center"/>
          </w:tcPr>
          <w:p w14:paraId="58820979">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2" w:type="dxa"/>
            <w:tcBorders>
              <w:top w:val="nil"/>
              <w:left w:val="nil"/>
              <w:bottom w:val="single" w:color="000000" w:sz="8" w:space="0"/>
              <w:right w:val="single" w:color="000000" w:sz="8" w:space="0"/>
            </w:tcBorders>
            <w:vAlign w:val="center"/>
          </w:tcPr>
          <w:p w14:paraId="6A3FE37E">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0177C6F7">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《水嘴用水效率限定值及用水效率等级》（GB25501）</w:t>
            </w:r>
          </w:p>
        </w:tc>
      </w:tr>
      <w:tr w14:paraId="4C91AE13">
        <w:tblPrEx>
          <w:tblCellMar>
            <w:top w:w="0" w:type="dxa"/>
            <w:left w:w="108" w:type="dxa"/>
            <w:bottom w:w="0" w:type="dxa"/>
            <w:right w:w="108" w:type="dxa"/>
          </w:tblCellMar>
        </w:tblPrEx>
        <w:trPr>
          <w:trHeight w:val="970" w:hRule="atLeast"/>
        </w:trPr>
        <w:tc>
          <w:tcPr>
            <w:tcW w:w="659" w:type="dxa"/>
            <w:tcBorders>
              <w:top w:val="nil"/>
              <w:left w:val="single" w:color="000000" w:sz="8" w:space="0"/>
              <w:bottom w:val="single" w:color="000000" w:sz="8" w:space="0"/>
              <w:right w:val="single" w:color="000000" w:sz="8" w:space="0"/>
            </w:tcBorders>
            <w:vAlign w:val="center"/>
          </w:tcPr>
          <w:p w14:paraId="4FDC6ED6">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17</w:t>
            </w:r>
          </w:p>
        </w:tc>
        <w:tc>
          <w:tcPr>
            <w:tcW w:w="1079" w:type="dxa"/>
            <w:tcBorders>
              <w:top w:val="nil"/>
              <w:left w:val="nil"/>
              <w:bottom w:val="single" w:color="000000" w:sz="8" w:space="0"/>
              <w:right w:val="single" w:color="000000" w:sz="8" w:space="0"/>
            </w:tcBorders>
            <w:vAlign w:val="center"/>
          </w:tcPr>
          <w:p w14:paraId="44C6003E">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A060807便器冲洗阀</w:t>
            </w:r>
          </w:p>
        </w:tc>
        <w:tc>
          <w:tcPr>
            <w:tcW w:w="1319" w:type="dxa"/>
            <w:tcBorders>
              <w:top w:val="nil"/>
              <w:left w:val="nil"/>
              <w:bottom w:val="single" w:color="000000" w:sz="8" w:space="0"/>
              <w:right w:val="single" w:color="000000" w:sz="8" w:space="0"/>
            </w:tcBorders>
            <w:vAlign w:val="center"/>
          </w:tcPr>
          <w:p w14:paraId="30A2F789">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2" w:type="dxa"/>
            <w:tcBorders>
              <w:top w:val="nil"/>
              <w:left w:val="nil"/>
              <w:bottom w:val="single" w:color="000000" w:sz="8" w:space="0"/>
              <w:right w:val="single" w:color="000000" w:sz="8" w:space="0"/>
            </w:tcBorders>
            <w:vAlign w:val="center"/>
          </w:tcPr>
          <w:p w14:paraId="0B1EF2ED">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5A544D85">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《便器冲洗阀用水效率限定值及用水效率等级》（GB28379）</w:t>
            </w:r>
          </w:p>
        </w:tc>
      </w:tr>
      <w:tr w14:paraId="482C3B5A">
        <w:tblPrEx>
          <w:tblCellMar>
            <w:top w:w="0" w:type="dxa"/>
            <w:left w:w="108" w:type="dxa"/>
            <w:bottom w:w="0" w:type="dxa"/>
            <w:right w:w="108" w:type="dxa"/>
          </w:tblCellMar>
        </w:tblPrEx>
        <w:trPr>
          <w:trHeight w:val="691" w:hRule="atLeast"/>
        </w:trPr>
        <w:tc>
          <w:tcPr>
            <w:tcW w:w="659" w:type="dxa"/>
            <w:tcBorders>
              <w:top w:val="nil"/>
              <w:left w:val="single" w:color="000000" w:sz="8" w:space="0"/>
              <w:bottom w:val="single" w:color="000000" w:sz="8" w:space="0"/>
              <w:right w:val="single" w:color="000000" w:sz="8" w:space="0"/>
            </w:tcBorders>
            <w:vAlign w:val="center"/>
          </w:tcPr>
          <w:p w14:paraId="077E2EB6">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18</w:t>
            </w:r>
          </w:p>
        </w:tc>
        <w:tc>
          <w:tcPr>
            <w:tcW w:w="1079" w:type="dxa"/>
            <w:tcBorders>
              <w:top w:val="nil"/>
              <w:left w:val="nil"/>
              <w:bottom w:val="single" w:color="000000" w:sz="8" w:space="0"/>
              <w:right w:val="single" w:color="000000" w:sz="8" w:space="0"/>
            </w:tcBorders>
            <w:vAlign w:val="center"/>
          </w:tcPr>
          <w:p w14:paraId="1515B3CD">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A060810淋浴器</w:t>
            </w:r>
          </w:p>
        </w:tc>
        <w:tc>
          <w:tcPr>
            <w:tcW w:w="1319" w:type="dxa"/>
            <w:tcBorders>
              <w:top w:val="nil"/>
              <w:left w:val="nil"/>
              <w:bottom w:val="single" w:color="000000" w:sz="8" w:space="0"/>
              <w:right w:val="single" w:color="000000" w:sz="8" w:space="0"/>
            </w:tcBorders>
            <w:vAlign w:val="center"/>
          </w:tcPr>
          <w:p w14:paraId="437D06F5">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2" w:type="dxa"/>
            <w:tcBorders>
              <w:top w:val="nil"/>
              <w:left w:val="nil"/>
              <w:bottom w:val="single" w:color="000000" w:sz="8" w:space="0"/>
              <w:right w:val="single" w:color="000000" w:sz="8" w:space="0"/>
            </w:tcBorders>
            <w:vAlign w:val="center"/>
          </w:tcPr>
          <w:p w14:paraId="445B18B2">
            <w:pPr>
              <w:widowControl/>
              <w:wordWrap w:val="0"/>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4753" w:type="dxa"/>
            <w:tcBorders>
              <w:top w:val="nil"/>
              <w:left w:val="nil"/>
              <w:bottom w:val="single" w:color="000000" w:sz="8" w:space="0"/>
              <w:right w:val="single" w:color="000000" w:sz="8" w:space="0"/>
            </w:tcBorders>
            <w:vAlign w:val="center"/>
          </w:tcPr>
          <w:p w14:paraId="4751C511">
            <w:pPr>
              <w:widowControl/>
              <w:wordWrap w:val="0"/>
              <w:jc w:val="left"/>
              <w:rPr>
                <w:rFonts w:ascii="宋体" w:hAnsi="宋体" w:cs="宋体"/>
                <w:color w:val="auto"/>
                <w:kern w:val="0"/>
                <w:sz w:val="20"/>
                <w:szCs w:val="20"/>
              </w:rPr>
            </w:pPr>
            <w:r>
              <w:rPr>
                <w:rFonts w:hint="eastAsia" w:ascii="宋体" w:hAnsi="宋体" w:cs="宋体"/>
                <w:color w:val="auto"/>
                <w:kern w:val="0"/>
                <w:sz w:val="20"/>
                <w:szCs w:val="20"/>
              </w:rPr>
              <w:t>《淋浴器用水效率限定值及用水效率等级》（GB28378）</w:t>
            </w:r>
          </w:p>
        </w:tc>
      </w:tr>
    </w:tbl>
    <w:p w14:paraId="15ACE40F">
      <w:pPr>
        <w:wordWrap w:val="0"/>
        <w:spacing w:line="360" w:lineRule="auto"/>
        <w:rPr>
          <w:rFonts w:ascii="宋体" w:hAnsi="宋体" w:cs="宋体"/>
          <w:color w:val="auto"/>
          <w:szCs w:val="21"/>
        </w:rPr>
      </w:pPr>
      <w:r>
        <w:rPr>
          <w:rFonts w:hint="eastAsia" w:ascii="宋体" w:hAnsi="宋体" w:cs="宋体"/>
          <w:color w:val="auto"/>
          <w:spacing w:val="-3"/>
          <w:szCs w:val="21"/>
        </w:rPr>
        <w:t>注：1.节能产品认证应依据相关国家标准的最新版本，依据国家标准中二级能效（水效）</w:t>
      </w:r>
      <w:r>
        <w:rPr>
          <w:rFonts w:hint="eastAsia" w:ascii="宋体" w:hAnsi="宋体" w:cs="宋体"/>
          <w:color w:val="auto"/>
          <w:szCs w:val="21"/>
        </w:rPr>
        <w:t>指标。</w:t>
      </w:r>
    </w:p>
    <w:p w14:paraId="075BDFDC">
      <w:pPr>
        <w:wordWrap w:val="0"/>
        <w:spacing w:line="360" w:lineRule="auto"/>
        <w:rPr>
          <w:rFonts w:ascii="宋体" w:hAnsi="宋体" w:cs="宋体"/>
          <w:b/>
          <w:bCs/>
          <w:color w:val="auto"/>
          <w:szCs w:val="21"/>
        </w:rPr>
      </w:pPr>
      <w:r>
        <w:rPr>
          <w:rFonts w:hint="eastAsia" w:ascii="宋体" w:hAnsi="宋体" w:cs="宋体"/>
          <w:color w:val="auto"/>
          <w:szCs w:val="21"/>
        </w:rPr>
        <w:t xml:space="preserve">    2</w:t>
      </w:r>
      <w:r>
        <w:rPr>
          <w:rFonts w:hint="eastAsia" w:ascii="宋体" w:hAnsi="宋体" w:cs="宋体"/>
          <w:b/>
          <w:bCs/>
          <w:color w:val="auto"/>
          <w:szCs w:val="21"/>
        </w:rPr>
        <w:t>.以“★”标注的为政府强制采购产品。</w:t>
      </w:r>
    </w:p>
    <w:p w14:paraId="26E6C837">
      <w:pPr>
        <w:wordWrap w:val="0"/>
        <w:spacing w:line="360" w:lineRule="auto"/>
        <w:jc w:val="left"/>
        <w:rPr>
          <w:rFonts w:hAnsi="宋体" w:cs="宋体"/>
          <w:color w:val="auto"/>
        </w:rPr>
        <w:sectPr>
          <w:footerReference r:id="rId8" w:type="default"/>
          <w:pgSz w:w="11905" w:h="16838"/>
          <w:pgMar w:top="1440" w:right="1417" w:bottom="1440" w:left="1417" w:header="850" w:footer="850" w:gutter="0"/>
          <w:pgNumType w:fmt="decimal"/>
          <w:cols w:space="720" w:num="1"/>
          <w:docGrid w:type="lines" w:linePitch="332" w:charSpace="0"/>
        </w:sectPr>
      </w:pPr>
    </w:p>
    <w:p w14:paraId="2B9886A2">
      <w:pPr>
        <w:wordWrap w:val="0"/>
        <w:spacing w:line="360" w:lineRule="auto"/>
        <w:jc w:val="left"/>
        <w:outlineLvl w:val="9"/>
        <w:rPr>
          <w:rFonts w:ascii="宋体" w:hAnsi="宋体" w:cs="宋体"/>
          <w:color w:val="auto"/>
          <w:sz w:val="32"/>
          <w:szCs w:val="32"/>
        </w:rPr>
      </w:pPr>
      <w:bookmarkStart w:id="67" w:name="_Toc29806"/>
      <w:bookmarkStart w:id="68" w:name="_Toc11096"/>
      <w:bookmarkStart w:id="69" w:name="_Toc24206"/>
      <w:r>
        <w:rPr>
          <w:rFonts w:hint="eastAsia" w:ascii="宋体" w:hAnsi="宋体" w:cs="宋体"/>
          <w:color w:val="auto"/>
          <w:sz w:val="32"/>
          <w:szCs w:val="32"/>
        </w:rPr>
        <w:t>附件2：</w:t>
      </w:r>
      <w:bookmarkEnd w:id="67"/>
      <w:bookmarkEnd w:id="68"/>
      <w:bookmarkEnd w:id="69"/>
    </w:p>
    <w:p w14:paraId="3C20938C">
      <w:pPr>
        <w:wordWrap w:val="0"/>
        <w:spacing w:line="360" w:lineRule="auto"/>
        <w:jc w:val="center"/>
        <w:rPr>
          <w:rFonts w:ascii="宋体" w:hAnsi="宋体" w:cs="宋体"/>
          <w:color w:val="auto"/>
          <w:sz w:val="40"/>
          <w:szCs w:val="40"/>
        </w:rPr>
      </w:pPr>
      <w:r>
        <w:rPr>
          <w:rFonts w:hint="eastAsia" w:ascii="宋体" w:hAnsi="宋体" w:cs="宋体"/>
          <w:color w:val="auto"/>
          <w:sz w:val="40"/>
          <w:szCs w:val="40"/>
        </w:rPr>
        <w:t>中小微企业划型标准</w:t>
      </w:r>
    </w:p>
    <w:tbl>
      <w:tblPr>
        <w:tblStyle w:val="25"/>
        <w:tblW w:w="9537" w:type="dxa"/>
        <w:tblInd w:w="0" w:type="dxa"/>
        <w:tblLayout w:type="fixed"/>
        <w:tblCellMar>
          <w:top w:w="0" w:type="dxa"/>
          <w:left w:w="108" w:type="dxa"/>
          <w:bottom w:w="0" w:type="dxa"/>
          <w:right w:w="108" w:type="dxa"/>
        </w:tblCellMar>
      </w:tblPr>
      <w:tblGrid>
        <w:gridCol w:w="2033"/>
        <w:gridCol w:w="1653"/>
        <w:gridCol w:w="1091"/>
        <w:gridCol w:w="1935"/>
        <w:gridCol w:w="1720"/>
        <w:gridCol w:w="1105"/>
      </w:tblGrid>
      <w:tr w14:paraId="240D4497">
        <w:tblPrEx>
          <w:tblCellMar>
            <w:top w:w="0" w:type="dxa"/>
            <w:left w:w="108" w:type="dxa"/>
            <w:bottom w:w="0" w:type="dxa"/>
            <w:right w:w="108" w:type="dxa"/>
          </w:tblCellMar>
        </w:tblPrEx>
        <w:trPr>
          <w:trHeight w:val="285" w:hRule="atLeast"/>
        </w:trPr>
        <w:tc>
          <w:tcPr>
            <w:tcW w:w="2033" w:type="dxa"/>
            <w:tcBorders>
              <w:top w:val="single" w:color="auto" w:sz="4" w:space="0"/>
              <w:left w:val="single" w:color="auto" w:sz="4" w:space="0"/>
              <w:bottom w:val="single" w:color="auto" w:sz="4" w:space="0"/>
              <w:right w:val="single" w:color="auto" w:sz="4" w:space="0"/>
            </w:tcBorders>
            <w:vAlign w:val="center"/>
          </w:tcPr>
          <w:p w14:paraId="2409DBCD">
            <w:pPr>
              <w:widowControl/>
              <w:wordWrap w:val="0"/>
              <w:jc w:val="left"/>
              <w:rPr>
                <w:rFonts w:ascii="宋体" w:hAnsi="宋体" w:cs="宋体"/>
                <w:b/>
                <w:color w:val="auto"/>
                <w:kern w:val="0"/>
                <w:szCs w:val="21"/>
              </w:rPr>
            </w:pPr>
            <w:r>
              <w:rPr>
                <w:rFonts w:hint="eastAsia" w:ascii="宋体" w:hAnsi="宋体" w:cs="宋体"/>
                <w:b/>
                <w:color w:val="auto"/>
                <w:kern w:val="0"/>
                <w:szCs w:val="21"/>
              </w:rPr>
              <w:t>行业名称</w:t>
            </w:r>
          </w:p>
        </w:tc>
        <w:tc>
          <w:tcPr>
            <w:tcW w:w="1653" w:type="dxa"/>
            <w:tcBorders>
              <w:top w:val="single" w:color="auto" w:sz="4" w:space="0"/>
              <w:left w:val="nil"/>
              <w:bottom w:val="single" w:color="auto" w:sz="4" w:space="0"/>
              <w:right w:val="single" w:color="auto" w:sz="4" w:space="0"/>
            </w:tcBorders>
            <w:vAlign w:val="center"/>
          </w:tcPr>
          <w:p w14:paraId="50BFA716">
            <w:pPr>
              <w:widowControl/>
              <w:wordWrap w:val="0"/>
              <w:jc w:val="left"/>
              <w:rPr>
                <w:rFonts w:ascii="宋体" w:hAnsi="宋体" w:cs="宋体"/>
                <w:b/>
                <w:color w:val="auto"/>
                <w:kern w:val="0"/>
                <w:szCs w:val="21"/>
              </w:rPr>
            </w:pPr>
            <w:r>
              <w:rPr>
                <w:rFonts w:hint="eastAsia" w:ascii="宋体" w:hAnsi="宋体" w:cs="宋体"/>
                <w:b/>
                <w:color w:val="auto"/>
                <w:kern w:val="0"/>
                <w:szCs w:val="21"/>
              </w:rPr>
              <w:t>指标名称</w:t>
            </w:r>
          </w:p>
        </w:tc>
        <w:tc>
          <w:tcPr>
            <w:tcW w:w="1091" w:type="dxa"/>
            <w:tcBorders>
              <w:top w:val="single" w:color="auto" w:sz="4" w:space="0"/>
              <w:left w:val="nil"/>
              <w:bottom w:val="single" w:color="auto" w:sz="4" w:space="0"/>
              <w:right w:val="single" w:color="auto" w:sz="4" w:space="0"/>
            </w:tcBorders>
            <w:vAlign w:val="center"/>
          </w:tcPr>
          <w:p w14:paraId="3172C0EA">
            <w:pPr>
              <w:widowControl/>
              <w:wordWrap w:val="0"/>
              <w:jc w:val="left"/>
              <w:rPr>
                <w:rFonts w:ascii="宋体" w:hAnsi="宋体" w:cs="宋体"/>
                <w:b/>
                <w:color w:val="auto"/>
                <w:kern w:val="0"/>
                <w:szCs w:val="21"/>
              </w:rPr>
            </w:pPr>
            <w:r>
              <w:rPr>
                <w:rFonts w:hint="eastAsia" w:ascii="宋体" w:hAnsi="宋体" w:cs="宋体"/>
                <w:b/>
                <w:color w:val="auto"/>
                <w:kern w:val="0"/>
                <w:szCs w:val="21"/>
              </w:rPr>
              <w:t>计量单位</w:t>
            </w:r>
          </w:p>
        </w:tc>
        <w:tc>
          <w:tcPr>
            <w:tcW w:w="1935" w:type="dxa"/>
            <w:tcBorders>
              <w:top w:val="single" w:color="auto" w:sz="4" w:space="0"/>
              <w:left w:val="nil"/>
              <w:bottom w:val="single" w:color="auto" w:sz="4" w:space="0"/>
              <w:right w:val="single" w:color="auto" w:sz="4" w:space="0"/>
            </w:tcBorders>
            <w:vAlign w:val="center"/>
          </w:tcPr>
          <w:p w14:paraId="636229AC">
            <w:pPr>
              <w:widowControl/>
              <w:wordWrap w:val="0"/>
              <w:jc w:val="left"/>
              <w:rPr>
                <w:rFonts w:ascii="宋体" w:hAnsi="宋体" w:cs="宋体"/>
                <w:b/>
                <w:color w:val="auto"/>
                <w:kern w:val="0"/>
                <w:szCs w:val="21"/>
              </w:rPr>
            </w:pPr>
            <w:r>
              <w:rPr>
                <w:rFonts w:hint="eastAsia" w:ascii="宋体" w:hAnsi="宋体" w:cs="宋体"/>
                <w:b/>
                <w:color w:val="auto"/>
                <w:kern w:val="0"/>
                <w:szCs w:val="21"/>
              </w:rPr>
              <w:t>中型</w:t>
            </w:r>
          </w:p>
        </w:tc>
        <w:tc>
          <w:tcPr>
            <w:tcW w:w="1720" w:type="dxa"/>
            <w:tcBorders>
              <w:top w:val="single" w:color="auto" w:sz="4" w:space="0"/>
              <w:left w:val="nil"/>
              <w:bottom w:val="single" w:color="auto" w:sz="4" w:space="0"/>
              <w:right w:val="single" w:color="auto" w:sz="4" w:space="0"/>
            </w:tcBorders>
            <w:vAlign w:val="center"/>
          </w:tcPr>
          <w:p w14:paraId="3532F657">
            <w:pPr>
              <w:widowControl/>
              <w:wordWrap w:val="0"/>
              <w:jc w:val="left"/>
              <w:rPr>
                <w:rFonts w:ascii="宋体" w:hAnsi="宋体" w:cs="宋体"/>
                <w:b/>
                <w:color w:val="auto"/>
                <w:kern w:val="0"/>
                <w:szCs w:val="21"/>
              </w:rPr>
            </w:pPr>
            <w:r>
              <w:rPr>
                <w:rFonts w:hint="eastAsia" w:ascii="宋体" w:hAnsi="宋体" w:cs="宋体"/>
                <w:b/>
                <w:color w:val="auto"/>
                <w:kern w:val="0"/>
                <w:szCs w:val="21"/>
              </w:rPr>
              <w:t>小型</w:t>
            </w:r>
          </w:p>
        </w:tc>
        <w:tc>
          <w:tcPr>
            <w:tcW w:w="1105" w:type="dxa"/>
            <w:tcBorders>
              <w:top w:val="single" w:color="auto" w:sz="4" w:space="0"/>
              <w:left w:val="nil"/>
              <w:bottom w:val="single" w:color="auto" w:sz="4" w:space="0"/>
              <w:right w:val="single" w:color="auto" w:sz="4" w:space="0"/>
            </w:tcBorders>
            <w:vAlign w:val="center"/>
          </w:tcPr>
          <w:p w14:paraId="4DCAB9F9">
            <w:pPr>
              <w:widowControl/>
              <w:wordWrap w:val="0"/>
              <w:jc w:val="left"/>
              <w:rPr>
                <w:rFonts w:ascii="宋体" w:hAnsi="宋体" w:cs="宋体"/>
                <w:b/>
                <w:color w:val="auto"/>
                <w:kern w:val="0"/>
                <w:szCs w:val="21"/>
              </w:rPr>
            </w:pPr>
            <w:r>
              <w:rPr>
                <w:rFonts w:hint="eastAsia" w:ascii="宋体" w:hAnsi="宋体" w:cs="宋体"/>
                <w:b/>
                <w:color w:val="auto"/>
                <w:kern w:val="0"/>
                <w:szCs w:val="21"/>
              </w:rPr>
              <w:t>微型</w:t>
            </w:r>
          </w:p>
        </w:tc>
      </w:tr>
      <w:tr w14:paraId="16AA7419">
        <w:tblPrEx>
          <w:tblCellMar>
            <w:top w:w="0" w:type="dxa"/>
            <w:left w:w="108" w:type="dxa"/>
            <w:bottom w:w="0" w:type="dxa"/>
            <w:right w:w="108" w:type="dxa"/>
          </w:tblCellMar>
        </w:tblPrEx>
        <w:trPr>
          <w:trHeight w:val="225" w:hRule="atLeast"/>
        </w:trPr>
        <w:tc>
          <w:tcPr>
            <w:tcW w:w="2033" w:type="dxa"/>
            <w:tcBorders>
              <w:top w:val="nil"/>
              <w:left w:val="single" w:color="auto" w:sz="4" w:space="0"/>
              <w:bottom w:val="single" w:color="auto" w:sz="4" w:space="0"/>
              <w:right w:val="single" w:color="auto" w:sz="4" w:space="0"/>
            </w:tcBorders>
            <w:vAlign w:val="bottom"/>
          </w:tcPr>
          <w:p w14:paraId="279F4358">
            <w:pPr>
              <w:widowControl/>
              <w:wordWrap w:val="0"/>
              <w:jc w:val="center"/>
              <w:rPr>
                <w:rFonts w:ascii="宋体" w:hAnsi="宋体" w:cs="宋体"/>
                <w:b/>
                <w:bCs/>
                <w:color w:val="auto"/>
                <w:kern w:val="0"/>
                <w:szCs w:val="21"/>
              </w:rPr>
            </w:pPr>
            <w:r>
              <w:rPr>
                <w:rFonts w:hint="eastAsia" w:ascii="宋体" w:hAnsi="宋体" w:cs="宋体"/>
                <w:b/>
                <w:bCs/>
                <w:color w:val="auto"/>
                <w:kern w:val="0"/>
                <w:szCs w:val="21"/>
              </w:rPr>
              <w:t>农、林、牧、渔</w:t>
            </w:r>
          </w:p>
        </w:tc>
        <w:tc>
          <w:tcPr>
            <w:tcW w:w="1653" w:type="dxa"/>
            <w:tcBorders>
              <w:top w:val="nil"/>
              <w:left w:val="nil"/>
              <w:bottom w:val="single" w:color="auto" w:sz="4" w:space="0"/>
              <w:right w:val="single" w:color="auto" w:sz="4" w:space="0"/>
            </w:tcBorders>
            <w:vAlign w:val="center"/>
          </w:tcPr>
          <w:p w14:paraId="082C13D1">
            <w:pPr>
              <w:widowControl/>
              <w:wordWrap w:val="0"/>
              <w:jc w:val="left"/>
              <w:rPr>
                <w:rFonts w:ascii="宋体" w:hAnsi="宋体" w:cs="宋体"/>
                <w:color w:val="auto"/>
                <w:kern w:val="0"/>
                <w:szCs w:val="21"/>
              </w:rPr>
            </w:pPr>
            <w:r>
              <w:rPr>
                <w:rFonts w:hint="eastAsia" w:ascii="宋体" w:hAnsi="宋体" w:cs="宋体"/>
                <w:color w:val="auto"/>
                <w:kern w:val="0"/>
                <w:szCs w:val="21"/>
              </w:rPr>
              <w:t>营业收入（Y）</w:t>
            </w:r>
          </w:p>
        </w:tc>
        <w:tc>
          <w:tcPr>
            <w:tcW w:w="1091" w:type="dxa"/>
            <w:tcBorders>
              <w:top w:val="nil"/>
              <w:left w:val="nil"/>
              <w:bottom w:val="single" w:color="auto" w:sz="4" w:space="0"/>
              <w:right w:val="single" w:color="auto" w:sz="4" w:space="0"/>
            </w:tcBorders>
            <w:vAlign w:val="center"/>
          </w:tcPr>
          <w:p w14:paraId="4CACC359">
            <w:pPr>
              <w:widowControl/>
              <w:wordWrap w:val="0"/>
              <w:jc w:val="left"/>
              <w:rPr>
                <w:rFonts w:ascii="宋体" w:hAnsi="宋体" w:cs="宋体"/>
                <w:color w:val="auto"/>
                <w:kern w:val="0"/>
                <w:szCs w:val="21"/>
              </w:rPr>
            </w:pPr>
            <w:r>
              <w:rPr>
                <w:rFonts w:hint="eastAsia" w:ascii="宋体" w:hAnsi="宋体" w:cs="宋体"/>
                <w:color w:val="auto"/>
                <w:kern w:val="0"/>
                <w:szCs w:val="21"/>
              </w:rPr>
              <w:t>万元</w:t>
            </w:r>
          </w:p>
        </w:tc>
        <w:tc>
          <w:tcPr>
            <w:tcW w:w="1935" w:type="dxa"/>
            <w:tcBorders>
              <w:top w:val="nil"/>
              <w:left w:val="nil"/>
              <w:bottom w:val="single" w:color="auto" w:sz="4" w:space="0"/>
              <w:right w:val="single" w:color="auto" w:sz="4" w:space="0"/>
            </w:tcBorders>
            <w:vAlign w:val="center"/>
          </w:tcPr>
          <w:p w14:paraId="72F748B9">
            <w:pPr>
              <w:widowControl/>
              <w:wordWrap w:val="0"/>
              <w:jc w:val="left"/>
              <w:rPr>
                <w:rFonts w:ascii="宋体" w:hAnsi="宋体" w:cs="宋体"/>
                <w:color w:val="auto"/>
                <w:kern w:val="0"/>
                <w:szCs w:val="21"/>
              </w:rPr>
            </w:pPr>
            <w:r>
              <w:rPr>
                <w:rFonts w:hint="eastAsia" w:ascii="宋体" w:hAnsi="宋体" w:cs="宋体"/>
                <w:color w:val="auto"/>
                <w:kern w:val="0"/>
                <w:szCs w:val="21"/>
              </w:rPr>
              <w:t>500≤Y＜20000</w:t>
            </w:r>
          </w:p>
        </w:tc>
        <w:tc>
          <w:tcPr>
            <w:tcW w:w="1720" w:type="dxa"/>
            <w:tcBorders>
              <w:top w:val="nil"/>
              <w:left w:val="nil"/>
              <w:bottom w:val="single" w:color="auto" w:sz="4" w:space="0"/>
              <w:right w:val="single" w:color="auto" w:sz="4" w:space="0"/>
            </w:tcBorders>
            <w:vAlign w:val="center"/>
          </w:tcPr>
          <w:p w14:paraId="45A5B5AA">
            <w:pPr>
              <w:widowControl/>
              <w:wordWrap w:val="0"/>
              <w:jc w:val="left"/>
              <w:rPr>
                <w:rFonts w:ascii="宋体" w:hAnsi="宋体" w:cs="宋体"/>
                <w:color w:val="auto"/>
                <w:kern w:val="0"/>
                <w:szCs w:val="21"/>
              </w:rPr>
            </w:pPr>
            <w:r>
              <w:rPr>
                <w:rFonts w:hint="eastAsia" w:ascii="宋体" w:hAnsi="宋体" w:cs="宋体"/>
                <w:color w:val="auto"/>
                <w:kern w:val="0"/>
                <w:szCs w:val="21"/>
              </w:rPr>
              <w:t>50≤Y＜500</w:t>
            </w:r>
          </w:p>
        </w:tc>
        <w:tc>
          <w:tcPr>
            <w:tcW w:w="1105" w:type="dxa"/>
            <w:tcBorders>
              <w:top w:val="nil"/>
              <w:left w:val="nil"/>
              <w:bottom w:val="single" w:color="auto" w:sz="4" w:space="0"/>
              <w:right w:val="single" w:color="auto" w:sz="4" w:space="0"/>
            </w:tcBorders>
            <w:vAlign w:val="center"/>
          </w:tcPr>
          <w:p w14:paraId="4C34EFAB">
            <w:pPr>
              <w:widowControl/>
              <w:wordWrap w:val="0"/>
              <w:jc w:val="left"/>
              <w:rPr>
                <w:rFonts w:ascii="宋体" w:hAnsi="宋体" w:cs="宋体"/>
                <w:color w:val="auto"/>
                <w:kern w:val="0"/>
                <w:szCs w:val="21"/>
              </w:rPr>
            </w:pPr>
            <w:r>
              <w:rPr>
                <w:rFonts w:hint="eastAsia" w:ascii="宋体" w:hAnsi="宋体" w:cs="宋体"/>
                <w:color w:val="auto"/>
                <w:kern w:val="0"/>
                <w:szCs w:val="21"/>
              </w:rPr>
              <w:t>Y＜50</w:t>
            </w:r>
          </w:p>
        </w:tc>
      </w:tr>
      <w:tr w14:paraId="33F957FE">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07CF0579">
            <w:pPr>
              <w:widowControl/>
              <w:wordWrap w:val="0"/>
              <w:jc w:val="center"/>
              <w:rPr>
                <w:rFonts w:ascii="宋体" w:hAnsi="宋体" w:cs="宋体"/>
                <w:b/>
                <w:bCs/>
                <w:color w:val="auto"/>
                <w:kern w:val="0"/>
                <w:szCs w:val="21"/>
              </w:rPr>
            </w:pPr>
            <w:r>
              <w:rPr>
                <w:rFonts w:hint="eastAsia" w:ascii="宋体" w:hAnsi="宋体" w:cs="宋体"/>
                <w:b/>
                <w:bCs/>
                <w:color w:val="auto"/>
                <w:kern w:val="0"/>
                <w:szCs w:val="21"/>
              </w:rPr>
              <w:t>工业</w:t>
            </w:r>
          </w:p>
        </w:tc>
        <w:tc>
          <w:tcPr>
            <w:tcW w:w="1653" w:type="dxa"/>
            <w:tcBorders>
              <w:top w:val="nil"/>
              <w:left w:val="nil"/>
              <w:bottom w:val="single" w:color="auto" w:sz="4" w:space="0"/>
              <w:right w:val="single" w:color="auto" w:sz="4" w:space="0"/>
            </w:tcBorders>
            <w:vAlign w:val="center"/>
          </w:tcPr>
          <w:p w14:paraId="43F5D96E">
            <w:pPr>
              <w:widowControl/>
              <w:wordWrap w:val="0"/>
              <w:jc w:val="left"/>
              <w:rPr>
                <w:rFonts w:ascii="宋体" w:hAnsi="宋体" w:cs="宋体"/>
                <w:color w:val="auto"/>
                <w:kern w:val="0"/>
                <w:szCs w:val="21"/>
              </w:rPr>
            </w:pPr>
            <w:r>
              <w:rPr>
                <w:rFonts w:hint="eastAsia" w:ascii="宋体" w:hAnsi="宋体" w:cs="宋体"/>
                <w:color w:val="auto"/>
                <w:kern w:val="0"/>
                <w:szCs w:val="21"/>
              </w:rPr>
              <w:t>从业人员（X）</w:t>
            </w:r>
          </w:p>
        </w:tc>
        <w:tc>
          <w:tcPr>
            <w:tcW w:w="1091" w:type="dxa"/>
            <w:tcBorders>
              <w:top w:val="nil"/>
              <w:left w:val="nil"/>
              <w:bottom w:val="single" w:color="auto" w:sz="4" w:space="0"/>
              <w:right w:val="single" w:color="auto" w:sz="4" w:space="0"/>
            </w:tcBorders>
            <w:vAlign w:val="center"/>
          </w:tcPr>
          <w:p w14:paraId="0A713C80">
            <w:pPr>
              <w:widowControl/>
              <w:wordWrap w:val="0"/>
              <w:jc w:val="left"/>
              <w:rPr>
                <w:rFonts w:ascii="宋体" w:hAnsi="宋体" w:cs="宋体"/>
                <w:color w:val="auto"/>
                <w:kern w:val="0"/>
                <w:szCs w:val="21"/>
              </w:rPr>
            </w:pPr>
            <w:r>
              <w:rPr>
                <w:rFonts w:hint="eastAsia" w:ascii="宋体" w:hAnsi="宋体" w:cs="宋体"/>
                <w:color w:val="auto"/>
                <w:kern w:val="0"/>
                <w:szCs w:val="21"/>
              </w:rPr>
              <w:t>人</w:t>
            </w:r>
          </w:p>
        </w:tc>
        <w:tc>
          <w:tcPr>
            <w:tcW w:w="1935" w:type="dxa"/>
            <w:tcBorders>
              <w:top w:val="nil"/>
              <w:left w:val="nil"/>
              <w:bottom w:val="single" w:color="auto" w:sz="4" w:space="0"/>
              <w:right w:val="single" w:color="auto" w:sz="4" w:space="0"/>
            </w:tcBorders>
            <w:vAlign w:val="center"/>
          </w:tcPr>
          <w:p w14:paraId="5592DB6A">
            <w:pPr>
              <w:widowControl/>
              <w:wordWrap w:val="0"/>
              <w:jc w:val="left"/>
              <w:rPr>
                <w:rFonts w:ascii="宋体" w:hAnsi="宋体" w:cs="宋体"/>
                <w:color w:val="auto"/>
                <w:kern w:val="0"/>
                <w:szCs w:val="21"/>
              </w:rPr>
            </w:pPr>
            <w:r>
              <w:rPr>
                <w:rFonts w:hint="eastAsia" w:ascii="宋体" w:hAnsi="宋体" w:cs="宋体"/>
                <w:color w:val="auto"/>
                <w:kern w:val="0"/>
                <w:szCs w:val="21"/>
              </w:rPr>
              <w:t>300≤X＜1000</w:t>
            </w:r>
          </w:p>
        </w:tc>
        <w:tc>
          <w:tcPr>
            <w:tcW w:w="1720" w:type="dxa"/>
            <w:tcBorders>
              <w:top w:val="nil"/>
              <w:left w:val="nil"/>
              <w:bottom w:val="single" w:color="auto" w:sz="4" w:space="0"/>
              <w:right w:val="single" w:color="auto" w:sz="4" w:space="0"/>
            </w:tcBorders>
            <w:vAlign w:val="center"/>
          </w:tcPr>
          <w:p w14:paraId="0E7243E5">
            <w:pPr>
              <w:widowControl/>
              <w:wordWrap w:val="0"/>
              <w:jc w:val="left"/>
              <w:rPr>
                <w:rFonts w:ascii="宋体" w:hAnsi="宋体" w:cs="宋体"/>
                <w:color w:val="auto"/>
                <w:kern w:val="0"/>
                <w:szCs w:val="21"/>
              </w:rPr>
            </w:pPr>
            <w:r>
              <w:rPr>
                <w:rFonts w:hint="eastAsia" w:ascii="宋体" w:hAnsi="宋体" w:cs="宋体"/>
                <w:color w:val="auto"/>
                <w:kern w:val="0"/>
                <w:szCs w:val="21"/>
              </w:rPr>
              <w:t>20≤X＜300</w:t>
            </w:r>
          </w:p>
        </w:tc>
        <w:tc>
          <w:tcPr>
            <w:tcW w:w="1105" w:type="dxa"/>
            <w:tcBorders>
              <w:top w:val="nil"/>
              <w:left w:val="nil"/>
              <w:bottom w:val="single" w:color="auto" w:sz="4" w:space="0"/>
              <w:right w:val="single" w:color="auto" w:sz="4" w:space="0"/>
            </w:tcBorders>
            <w:vAlign w:val="center"/>
          </w:tcPr>
          <w:p w14:paraId="0C8D175C">
            <w:pPr>
              <w:widowControl/>
              <w:wordWrap w:val="0"/>
              <w:jc w:val="left"/>
              <w:rPr>
                <w:rFonts w:ascii="宋体" w:hAnsi="宋体" w:cs="宋体"/>
                <w:color w:val="auto"/>
                <w:kern w:val="0"/>
                <w:szCs w:val="21"/>
              </w:rPr>
            </w:pPr>
            <w:r>
              <w:rPr>
                <w:rFonts w:hint="eastAsia" w:ascii="宋体" w:hAnsi="宋体" w:cs="宋体"/>
                <w:color w:val="auto"/>
                <w:kern w:val="0"/>
                <w:szCs w:val="21"/>
              </w:rPr>
              <w:t>X＜20</w:t>
            </w:r>
          </w:p>
        </w:tc>
      </w:tr>
      <w:tr w14:paraId="1FD4D674">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5D8E3554">
            <w:pPr>
              <w:widowControl/>
              <w:wordWrap w:val="0"/>
              <w:jc w:val="left"/>
              <w:rPr>
                <w:rFonts w:ascii="宋体" w:hAnsi="宋体" w:cs="宋体"/>
                <w:b/>
                <w:bCs/>
                <w:color w:val="auto"/>
                <w:kern w:val="0"/>
                <w:szCs w:val="21"/>
              </w:rPr>
            </w:pPr>
          </w:p>
        </w:tc>
        <w:tc>
          <w:tcPr>
            <w:tcW w:w="1653" w:type="dxa"/>
            <w:tcBorders>
              <w:top w:val="nil"/>
              <w:left w:val="nil"/>
              <w:bottom w:val="single" w:color="auto" w:sz="4" w:space="0"/>
              <w:right w:val="single" w:color="auto" w:sz="4" w:space="0"/>
            </w:tcBorders>
            <w:vAlign w:val="center"/>
          </w:tcPr>
          <w:p w14:paraId="4D54C3EF">
            <w:pPr>
              <w:widowControl/>
              <w:wordWrap w:val="0"/>
              <w:jc w:val="left"/>
              <w:rPr>
                <w:rFonts w:ascii="宋体" w:hAnsi="宋体" w:cs="宋体"/>
                <w:color w:val="auto"/>
                <w:kern w:val="0"/>
                <w:szCs w:val="21"/>
              </w:rPr>
            </w:pPr>
            <w:r>
              <w:rPr>
                <w:rFonts w:hint="eastAsia" w:ascii="宋体" w:hAnsi="宋体" w:cs="宋体"/>
                <w:color w:val="auto"/>
                <w:kern w:val="0"/>
                <w:szCs w:val="21"/>
              </w:rPr>
              <w:t>营业收入（Y）</w:t>
            </w:r>
          </w:p>
        </w:tc>
        <w:tc>
          <w:tcPr>
            <w:tcW w:w="1091" w:type="dxa"/>
            <w:tcBorders>
              <w:top w:val="nil"/>
              <w:left w:val="nil"/>
              <w:bottom w:val="single" w:color="auto" w:sz="4" w:space="0"/>
              <w:right w:val="single" w:color="auto" w:sz="4" w:space="0"/>
            </w:tcBorders>
            <w:vAlign w:val="center"/>
          </w:tcPr>
          <w:p w14:paraId="1D841AA6">
            <w:pPr>
              <w:widowControl/>
              <w:wordWrap w:val="0"/>
              <w:jc w:val="left"/>
              <w:rPr>
                <w:rFonts w:ascii="宋体" w:hAnsi="宋体" w:cs="宋体"/>
                <w:color w:val="auto"/>
                <w:kern w:val="0"/>
                <w:szCs w:val="21"/>
              </w:rPr>
            </w:pPr>
            <w:r>
              <w:rPr>
                <w:rFonts w:hint="eastAsia" w:ascii="宋体" w:hAnsi="宋体" w:cs="宋体"/>
                <w:color w:val="auto"/>
                <w:kern w:val="0"/>
                <w:szCs w:val="21"/>
              </w:rPr>
              <w:t>万元</w:t>
            </w:r>
          </w:p>
        </w:tc>
        <w:tc>
          <w:tcPr>
            <w:tcW w:w="1935" w:type="dxa"/>
            <w:tcBorders>
              <w:top w:val="nil"/>
              <w:left w:val="nil"/>
              <w:bottom w:val="single" w:color="auto" w:sz="4" w:space="0"/>
              <w:right w:val="single" w:color="auto" w:sz="4" w:space="0"/>
            </w:tcBorders>
            <w:vAlign w:val="center"/>
          </w:tcPr>
          <w:p w14:paraId="29EE4845">
            <w:pPr>
              <w:widowControl/>
              <w:wordWrap w:val="0"/>
              <w:jc w:val="left"/>
              <w:rPr>
                <w:rFonts w:ascii="宋体" w:hAnsi="宋体" w:cs="宋体"/>
                <w:color w:val="auto"/>
                <w:kern w:val="0"/>
                <w:szCs w:val="21"/>
              </w:rPr>
            </w:pPr>
            <w:r>
              <w:rPr>
                <w:rFonts w:hint="eastAsia" w:ascii="宋体" w:hAnsi="宋体" w:cs="宋体"/>
                <w:color w:val="auto"/>
                <w:kern w:val="0"/>
                <w:szCs w:val="21"/>
              </w:rPr>
              <w:t>2000≤Y＜40000</w:t>
            </w:r>
          </w:p>
        </w:tc>
        <w:tc>
          <w:tcPr>
            <w:tcW w:w="1720" w:type="dxa"/>
            <w:tcBorders>
              <w:top w:val="nil"/>
              <w:left w:val="nil"/>
              <w:bottom w:val="single" w:color="auto" w:sz="4" w:space="0"/>
              <w:right w:val="single" w:color="auto" w:sz="4" w:space="0"/>
            </w:tcBorders>
            <w:vAlign w:val="center"/>
          </w:tcPr>
          <w:p w14:paraId="0B3D2598">
            <w:pPr>
              <w:widowControl/>
              <w:wordWrap w:val="0"/>
              <w:jc w:val="left"/>
              <w:rPr>
                <w:rFonts w:ascii="宋体" w:hAnsi="宋体" w:cs="宋体"/>
                <w:color w:val="auto"/>
                <w:kern w:val="0"/>
                <w:szCs w:val="21"/>
              </w:rPr>
            </w:pPr>
            <w:r>
              <w:rPr>
                <w:rFonts w:hint="eastAsia" w:ascii="宋体" w:hAnsi="宋体" w:cs="宋体"/>
                <w:color w:val="auto"/>
                <w:kern w:val="0"/>
                <w:szCs w:val="21"/>
              </w:rPr>
              <w:t>300≤Y＜2000</w:t>
            </w:r>
          </w:p>
        </w:tc>
        <w:tc>
          <w:tcPr>
            <w:tcW w:w="1105" w:type="dxa"/>
            <w:tcBorders>
              <w:top w:val="nil"/>
              <w:left w:val="nil"/>
              <w:bottom w:val="single" w:color="auto" w:sz="4" w:space="0"/>
              <w:right w:val="single" w:color="auto" w:sz="4" w:space="0"/>
            </w:tcBorders>
            <w:vAlign w:val="center"/>
          </w:tcPr>
          <w:p w14:paraId="25C9C833">
            <w:pPr>
              <w:widowControl/>
              <w:wordWrap w:val="0"/>
              <w:jc w:val="left"/>
              <w:rPr>
                <w:rFonts w:ascii="宋体" w:hAnsi="宋体" w:cs="宋体"/>
                <w:color w:val="auto"/>
                <w:kern w:val="0"/>
                <w:szCs w:val="21"/>
              </w:rPr>
            </w:pPr>
            <w:r>
              <w:rPr>
                <w:rFonts w:hint="eastAsia" w:ascii="宋体" w:hAnsi="宋体" w:cs="宋体"/>
                <w:color w:val="auto"/>
                <w:kern w:val="0"/>
                <w:szCs w:val="21"/>
              </w:rPr>
              <w:t>Y＜300</w:t>
            </w:r>
          </w:p>
        </w:tc>
      </w:tr>
      <w:tr w14:paraId="7EC30825">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71EA9C9B">
            <w:pPr>
              <w:widowControl/>
              <w:wordWrap w:val="0"/>
              <w:jc w:val="center"/>
              <w:rPr>
                <w:rFonts w:ascii="宋体" w:hAnsi="宋体" w:cs="宋体"/>
                <w:b/>
                <w:bCs/>
                <w:color w:val="auto"/>
                <w:kern w:val="0"/>
                <w:szCs w:val="21"/>
              </w:rPr>
            </w:pPr>
            <w:r>
              <w:rPr>
                <w:rFonts w:hint="eastAsia" w:ascii="宋体" w:hAnsi="宋体" w:cs="宋体"/>
                <w:b/>
                <w:bCs/>
                <w:color w:val="auto"/>
                <w:kern w:val="0"/>
                <w:szCs w:val="21"/>
              </w:rPr>
              <w:t>建筑业</w:t>
            </w:r>
          </w:p>
        </w:tc>
        <w:tc>
          <w:tcPr>
            <w:tcW w:w="1653" w:type="dxa"/>
            <w:tcBorders>
              <w:top w:val="nil"/>
              <w:left w:val="nil"/>
              <w:bottom w:val="single" w:color="auto" w:sz="4" w:space="0"/>
              <w:right w:val="single" w:color="auto" w:sz="4" w:space="0"/>
            </w:tcBorders>
            <w:vAlign w:val="center"/>
          </w:tcPr>
          <w:p w14:paraId="49A5BE47">
            <w:pPr>
              <w:widowControl/>
              <w:wordWrap w:val="0"/>
              <w:jc w:val="left"/>
              <w:rPr>
                <w:rFonts w:ascii="宋体" w:hAnsi="宋体" w:cs="宋体"/>
                <w:color w:val="auto"/>
                <w:kern w:val="0"/>
                <w:szCs w:val="21"/>
              </w:rPr>
            </w:pPr>
            <w:r>
              <w:rPr>
                <w:rFonts w:hint="eastAsia" w:ascii="宋体" w:hAnsi="宋体" w:cs="宋体"/>
                <w:color w:val="auto"/>
                <w:kern w:val="0"/>
                <w:szCs w:val="21"/>
              </w:rPr>
              <w:t>营业收入（Y）</w:t>
            </w:r>
          </w:p>
        </w:tc>
        <w:tc>
          <w:tcPr>
            <w:tcW w:w="1091" w:type="dxa"/>
            <w:tcBorders>
              <w:top w:val="nil"/>
              <w:left w:val="nil"/>
              <w:bottom w:val="single" w:color="auto" w:sz="4" w:space="0"/>
              <w:right w:val="single" w:color="auto" w:sz="4" w:space="0"/>
            </w:tcBorders>
            <w:vAlign w:val="center"/>
          </w:tcPr>
          <w:p w14:paraId="413682F9">
            <w:pPr>
              <w:widowControl/>
              <w:wordWrap w:val="0"/>
              <w:jc w:val="left"/>
              <w:rPr>
                <w:rFonts w:ascii="宋体" w:hAnsi="宋体" w:cs="宋体"/>
                <w:color w:val="auto"/>
                <w:kern w:val="0"/>
                <w:szCs w:val="21"/>
              </w:rPr>
            </w:pPr>
            <w:r>
              <w:rPr>
                <w:rFonts w:hint="eastAsia" w:ascii="宋体" w:hAnsi="宋体" w:cs="宋体"/>
                <w:color w:val="auto"/>
                <w:kern w:val="0"/>
                <w:szCs w:val="21"/>
              </w:rPr>
              <w:t>万元</w:t>
            </w:r>
          </w:p>
        </w:tc>
        <w:tc>
          <w:tcPr>
            <w:tcW w:w="1935" w:type="dxa"/>
            <w:tcBorders>
              <w:top w:val="nil"/>
              <w:left w:val="nil"/>
              <w:bottom w:val="single" w:color="auto" w:sz="4" w:space="0"/>
              <w:right w:val="single" w:color="auto" w:sz="4" w:space="0"/>
            </w:tcBorders>
            <w:vAlign w:val="center"/>
          </w:tcPr>
          <w:p w14:paraId="13FFF20E">
            <w:pPr>
              <w:widowControl/>
              <w:wordWrap w:val="0"/>
              <w:jc w:val="left"/>
              <w:rPr>
                <w:rFonts w:ascii="宋体" w:hAnsi="宋体" w:cs="宋体"/>
                <w:color w:val="auto"/>
                <w:kern w:val="0"/>
                <w:szCs w:val="21"/>
              </w:rPr>
            </w:pPr>
            <w:r>
              <w:rPr>
                <w:rFonts w:hint="eastAsia" w:ascii="宋体" w:hAnsi="宋体" w:cs="宋体"/>
                <w:color w:val="auto"/>
                <w:kern w:val="0"/>
                <w:szCs w:val="21"/>
              </w:rPr>
              <w:t>6000≤Y＜80000</w:t>
            </w:r>
          </w:p>
        </w:tc>
        <w:tc>
          <w:tcPr>
            <w:tcW w:w="1720" w:type="dxa"/>
            <w:tcBorders>
              <w:top w:val="nil"/>
              <w:left w:val="nil"/>
              <w:bottom w:val="single" w:color="auto" w:sz="4" w:space="0"/>
              <w:right w:val="single" w:color="auto" w:sz="4" w:space="0"/>
            </w:tcBorders>
            <w:vAlign w:val="center"/>
          </w:tcPr>
          <w:p w14:paraId="6727D973">
            <w:pPr>
              <w:widowControl/>
              <w:wordWrap w:val="0"/>
              <w:jc w:val="left"/>
              <w:rPr>
                <w:rFonts w:ascii="宋体" w:hAnsi="宋体" w:cs="宋体"/>
                <w:color w:val="auto"/>
                <w:kern w:val="0"/>
                <w:szCs w:val="21"/>
              </w:rPr>
            </w:pPr>
            <w:r>
              <w:rPr>
                <w:rFonts w:hint="eastAsia" w:ascii="宋体" w:hAnsi="宋体" w:cs="宋体"/>
                <w:color w:val="auto"/>
                <w:kern w:val="0"/>
                <w:szCs w:val="21"/>
              </w:rPr>
              <w:t>300≤Y＜6000</w:t>
            </w:r>
          </w:p>
        </w:tc>
        <w:tc>
          <w:tcPr>
            <w:tcW w:w="1105" w:type="dxa"/>
            <w:tcBorders>
              <w:top w:val="nil"/>
              <w:left w:val="nil"/>
              <w:bottom w:val="single" w:color="auto" w:sz="4" w:space="0"/>
              <w:right w:val="single" w:color="auto" w:sz="4" w:space="0"/>
            </w:tcBorders>
            <w:vAlign w:val="center"/>
          </w:tcPr>
          <w:p w14:paraId="409D0C20">
            <w:pPr>
              <w:widowControl/>
              <w:wordWrap w:val="0"/>
              <w:jc w:val="left"/>
              <w:rPr>
                <w:rFonts w:ascii="宋体" w:hAnsi="宋体" w:cs="宋体"/>
                <w:color w:val="auto"/>
                <w:kern w:val="0"/>
                <w:szCs w:val="21"/>
              </w:rPr>
            </w:pPr>
            <w:r>
              <w:rPr>
                <w:rFonts w:hint="eastAsia" w:ascii="宋体" w:hAnsi="宋体" w:cs="宋体"/>
                <w:color w:val="auto"/>
                <w:kern w:val="0"/>
                <w:szCs w:val="21"/>
              </w:rPr>
              <w:t>Y＜300</w:t>
            </w:r>
          </w:p>
        </w:tc>
      </w:tr>
      <w:tr w14:paraId="709DA47C">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1053B53D">
            <w:pPr>
              <w:widowControl/>
              <w:wordWrap w:val="0"/>
              <w:jc w:val="left"/>
              <w:rPr>
                <w:rFonts w:ascii="宋体" w:hAnsi="宋体" w:cs="宋体"/>
                <w:b/>
                <w:bCs/>
                <w:color w:val="auto"/>
                <w:kern w:val="0"/>
                <w:szCs w:val="21"/>
              </w:rPr>
            </w:pPr>
          </w:p>
        </w:tc>
        <w:tc>
          <w:tcPr>
            <w:tcW w:w="1653" w:type="dxa"/>
            <w:tcBorders>
              <w:top w:val="nil"/>
              <w:left w:val="nil"/>
              <w:bottom w:val="single" w:color="auto" w:sz="4" w:space="0"/>
              <w:right w:val="single" w:color="auto" w:sz="4" w:space="0"/>
            </w:tcBorders>
            <w:vAlign w:val="center"/>
          </w:tcPr>
          <w:p w14:paraId="6B551D21">
            <w:pPr>
              <w:widowControl/>
              <w:wordWrap w:val="0"/>
              <w:jc w:val="left"/>
              <w:rPr>
                <w:rFonts w:ascii="宋体" w:hAnsi="宋体" w:cs="宋体"/>
                <w:color w:val="auto"/>
                <w:kern w:val="0"/>
                <w:szCs w:val="21"/>
              </w:rPr>
            </w:pPr>
            <w:r>
              <w:rPr>
                <w:rFonts w:hint="eastAsia" w:ascii="宋体" w:hAnsi="宋体" w:cs="宋体"/>
                <w:color w:val="auto"/>
                <w:kern w:val="0"/>
                <w:szCs w:val="21"/>
              </w:rPr>
              <w:t>资产总额（Z）</w:t>
            </w:r>
          </w:p>
        </w:tc>
        <w:tc>
          <w:tcPr>
            <w:tcW w:w="1091" w:type="dxa"/>
            <w:tcBorders>
              <w:top w:val="nil"/>
              <w:left w:val="nil"/>
              <w:bottom w:val="single" w:color="auto" w:sz="4" w:space="0"/>
              <w:right w:val="single" w:color="auto" w:sz="4" w:space="0"/>
            </w:tcBorders>
            <w:vAlign w:val="center"/>
          </w:tcPr>
          <w:p w14:paraId="6492E0E9">
            <w:pPr>
              <w:widowControl/>
              <w:wordWrap w:val="0"/>
              <w:jc w:val="left"/>
              <w:rPr>
                <w:rFonts w:ascii="宋体" w:hAnsi="宋体" w:cs="宋体"/>
                <w:color w:val="auto"/>
                <w:kern w:val="0"/>
                <w:szCs w:val="21"/>
              </w:rPr>
            </w:pPr>
            <w:r>
              <w:rPr>
                <w:rFonts w:hint="eastAsia" w:ascii="宋体" w:hAnsi="宋体" w:cs="宋体"/>
                <w:color w:val="auto"/>
                <w:kern w:val="0"/>
                <w:szCs w:val="21"/>
              </w:rPr>
              <w:t>万元</w:t>
            </w:r>
          </w:p>
        </w:tc>
        <w:tc>
          <w:tcPr>
            <w:tcW w:w="1935" w:type="dxa"/>
            <w:tcBorders>
              <w:top w:val="nil"/>
              <w:left w:val="nil"/>
              <w:bottom w:val="single" w:color="auto" w:sz="4" w:space="0"/>
              <w:right w:val="single" w:color="auto" w:sz="4" w:space="0"/>
            </w:tcBorders>
            <w:vAlign w:val="center"/>
          </w:tcPr>
          <w:p w14:paraId="3FC11FB2">
            <w:pPr>
              <w:widowControl/>
              <w:wordWrap w:val="0"/>
              <w:jc w:val="left"/>
              <w:rPr>
                <w:rFonts w:ascii="宋体" w:hAnsi="宋体" w:cs="宋体"/>
                <w:color w:val="auto"/>
                <w:kern w:val="0"/>
                <w:szCs w:val="21"/>
              </w:rPr>
            </w:pPr>
            <w:r>
              <w:rPr>
                <w:rFonts w:hint="eastAsia" w:ascii="宋体" w:hAnsi="宋体" w:cs="宋体"/>
                <w:color w:val="auto"/>
                <w:kern w:val="0"/>
                <w:szCs w:val="21"/>
              </w:rPr>
              <w:t>5000≤Z＜80000</w:t>
            </w:r>
          </w:p>
        </w:tc>
        <w:tc>
          <w:tcPr>
            <w:tcW w:w="1720" w:type="dxa"/>
            <w:tcBorders>
              <w:top w:val="nil"/>
              <w:left w:val="nil"/>
              <w:bottom w:val="single" w:color="auto" w:sz="4" w:space="0"/>
              <w:right w:val="single" w:color="auto" w:sz="4" w:space="0"/>
            </w:tcBorders>
            <w:vAlign w:val="center"/>
          </w:tcPr>
          <w:p w14:paraId="46C09CF4">
            <w:pPr>
              <w:widowControl/>
              <w:wordWrap w:val="0"/>
              <w:jc w:val="left"/>
              <w:rPr>
                <w:rFonts w:ascii="宋体" w:hAnsi="宋体" w:cs="宋体"/>
                <w:color w:val="auto"/>
                <w:kern w:val="0"/>
                <w:szCs w:val="21"/>
              </w:rPr>
            </w:pPr>
            <w:r>
              <w:rPr>
                <w:rFonts w:hint="eastAsia" w:ascii="宋体" w:hAnsi="宋体" w:cs="宋体"/>
                <w:color w:val="auto"/>
                <w:kern w:val="0"/>
                <w:szCs w:val="21"/>
              </w:rPr>
              <w:t>300≤Z＜5000</w:t>
            </w:r>
          </w:p>
        </w:tc>
        <w:tc>
          <w:tcPr>
            <w:tcW w:w="1105" w:type="dxa"/>
            <w:tcBorders>
              <w:top w:val="nil"/>
              <w:left w:val="nil"/>
              <w:bottom w:val="single" w:color="auto" w:sz="4" w:space="0"/>
              <w:right w:val="single" w:color="auto" w:sz="4" w:space="0"/>
            </w:tcBorders>
            <w:vAlign w:val="center"/>
          </w:tcPr>
          <w:p w14:paraId="1C2D5A41">
            <w:pPr>
              <w:widowControl/>
              <w:wordWrap w:val="0"/>
              <w:jc w:val="left"/>
              <w:rPr>
                <w:rFonts w:ascii="宋体" w:hAnsi="宋体" w:cs="宋体"/>
                <w:color w:val="auto"/>
                <w:kern w:val="0"/>
                <w:szCs w:val="21"/>
              </w:rPr>
            </w:pPr>
            <w:r>
              <w:rPr>
                <w:rFonts w:hint="eastAsia" w:ascii="宋体" w:hAnsi="宋体" w:cs="宋体"/>
                <w:color w:val="auto"/>
                <w:kern w:val="0"/>
                <w:szCs w:val="21"/>
              </w:rPr>
              <w:t>Z＜300</w:t>
            </w:r>
          </w:p>
        </w:tc>
      </w:tr>
      <w:tr w14:paraId="0080A7C9">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57D99D67">
            <w:pPr>
              <w:widowControl/>
              <w:wordWrap w:val="0"/>
              <w:jc w:val="center"/>
              <w:rPr>
                <w:rFonts w:ascii="宋体" w:hAnsi="宋体" w:cs="宋体"/>
                <w:b/>
                <w:bCs/>
                <w:color w:val="auto"/>
                <w:kern w:val="0"/>
                <w:szCs w:val="21"/>
              </w:rPr>
            </w:pPr>
            <w:r>
              <w:rPr>
                <w:rFonts w:hint="eastAsia" w:ascii="宋体" w:hAnsi="宋体" w:cs="宋体"/>
                <w:b/>
                <w:bCs/>
                <w:color w:val="auto"/>
                <w:kern w:val="0"/>
                <w:szCs w:val="21"/>
              </w:rPr>
              <w:t>批发业</w:t>
            </w:r>
          </w:p>
        </w:tc>
        <w:tc>
          <w:tcPr>
            <w:tcW w:w="1653" w:type="dxa"/>
            <w:tcBorders>
              <w:top w:val="nil"/>
              <w:left w:val="nil"/>
              <w:bottom w:val="single" w:color="auto" w:sz="4" w:space="0"/>
              <w:right w:val="single" w:color="auto" w:sz="4" w:space="0"/>
            </w:tcBorders>
            <w:vAlign w:val="center"/>
          </w:tcPr>
          <w:p w14:paraId="4E3A9728">
            <w:pPr>
              <w:widowControl/>
              <w:wordWrap w:val="0"/>
              <w:jc w:val="left"/>
              <w:rPr>
                <w:rFonts w:ascii="宋体" w:hAnsi="宋体" w:cs="宋体"/>
                <w:color w:val="auto"/>
                <w:kern w:val="0"/>
                <w:szCs w:val="21"/>
              </w:rPr>
            </w:pPr>
            <w:r>
              <w:rPr>
                <w:rFonts w:hint="eastAsia" w:ascii="宋体" w:hAnsi="宋体" w:cs="宋体"/>
                <w:color w:val="auto"/>
                <w:kern w:val="0"/>
                <w:szCs w:val="21"/>
              </w:rPr>
              <w:t>从业人员（X）</w:t>
            </w:r>
          </w:p>
        </w:tc>
        <w:tc>
          <w:tcPr>
            <w:tcW w:w="1091" w:type="dxa"/>
            <w:tcBorders>
              <w:top w:val="nil"/>
              <w:left w:val="nil"/>
              <w:bottom w:val="single" w:color="auto" w:sz="4" w:space="0"/>
              <w:right w:val="single" w:color="auto" w:sz="4" w:space="0"/>
            </w:tcBorders>
            <w:vAlign w:val="center"/>
          </w:tcPr>
          <w:p w14:paraId="6A5601EC">
            <w:pPr>
              <w:widowControl/>
              <w:wordWrap w:val="0"/>
              <w:jc w:val="left"/>
              <w:rPr>
                <w:rFonts w:ascii="宋体" w:hAnsi="宋体" w:cs="宋体"/>
                <w:color w:val="auto"/>
                <w:kern w:val="0"/>
                <w:szCs w:val="21"/>
              </w:rPr>
            </w:pPr>
            <w:r>
              <w:rPr>
                <w:rFonts w:hint="eastAsia" w:ascii="宋体" w:hAnsi="宋体" w:cs="宋体"/>
                <w:color w:val="auto"/>
                <w:kern w:val="0"/>
                <w:szCs w:val="21"/>
              </w:rPr>
              <w:t>人</w:t>
            </w:r>
          </w:p>
        </w:tc>
        <w:tc>
          <w:tcPr>
            <w:tcW w:w="1935" w:type="dxa"/>
            <w:tcBorders>
              <w:top w:val="nil"/>
              <w:left w:val="nil"/>
              <w:bottom w:val="single" w:color="auto" w:sz="4" w:space="0"/>
              <w:right w:val="single" w:color="auto" w:sz="4" w:space="0"/>
            </w:tcBorders>
            <w:vAlign w:val="center"/>
          </w:tcPr>
          <w:p w14:paraId="27727718">
            <w:pPr>
              <w:widowControl/>
              <w:wordWrap w:val="0"/>
              <w:jc w:val="left"/>
              <w:rPr>
                <w:rFonts w:ascii="宋体" w:hAnsi="宋体" w:cs="宋体"/>
                <w:color w:val="auto"/>
                <w:kern w:val="0"/>
                <w:szCs w:val="21"/>
              </w:rPr>
            </w:pPr>
            <w:r>
              <w:rPr>
                <w:rFonts w:hint="eastAsia" w:ascii="宋体" w:hAnsi="宋体" w:cs="宋体"/>
                <w:color w:val="auto"/>
                <w:kern w:val="0"/>
                <w:szCs w:val="21"/>
              </w:rPr>
              <w:t>20≤X＜200</w:t>
            </w:r>
          </w:p>
        </w:tc>
        <w:tc>
          <w:tcPr>
            <w:tcW w:w="1720" w:type="dxa"/>
            <w:tcBorders>
              <w:top w:val="nil"/>
              <w:left w:val="nil"/>
              <w:bottom w:val="single" w:color="auto" w:sz="4" w:space="0"/>
              <w:right w:val="single" w:color="auto" w:sz="4" w:space="0"/>
            </w:tcBorders>
            <w:vAlign w:val="center"/>
          </w:tcPr>
          <w:p w14:paraId="7CC83B8B">
            <w:pPr>
              <w:widowControl/>
              <w:wordWrap w:val="0"/>
              <w:jc w:val="left"/>
              <w:rPr>
                <w:rFonts w:ascii="宋体" w:hAnsi="宋体" w:cs="宋体"/>
                <w:color w:val="auto"/>
                <w:kern w:val="0"/>
                <w:szCs w:val="21"/>
              </w:rPr>
            </w:pPr>
            <w:r>
              <w:rPr>
                <w:rFonts w:hint="eastAsia" w:ascii="宋体" w:hAnsi="宋体" w:cs="宋体"/>
                <w:color w:val="auto"/>
                <w:kern w:val="0"/>
                <w:szCs w:val="21"/>
              </w:rPr>
              <w:t>5≤X＜20</w:t>
            </w:r>
          </w:p>
        </w:tc>
        <w:tc>
          <w:tcPr>
            <w:tcW w:w="1105" w:type="dxa"/>
            <w:tcBorders>
              <w:top w:val="nil"/>
              <w:left w:val="nil"/>
              <w:bottom w:val="single" w:color="auto" w:sz="4" w:space="0"/>
              <w:right w:val="single" w:color="auto" w:sz="4" w:space="0"/>
            </w:tcBorders>
            <w:vAlign w:val="center"/>
          </w:tcPr>
          <w:p w14:paraId="775A9EF6">
            <w:pPr>
              <w:widowControl/>
              <w:wordWrap w:val="0"/>
              <w:jc w:val="left"/>
              <w:rPr>
                <w:rFonts w:ascii="宋体" w:hAnsi="宋体" w:cs="宋体"/>
                <w:color w:val="auto"/>
                <w:kern w:val="0"/>
                <w:szCs w:val="21"/>
              </w:rPr>
            </w:pPr>
            <w:r>
              <w:rPr>
                <w:rFonts w:hint="eastAsia" w:ascii="宋体" w:hAnsi="宋体" w:cs="宋体"/>
                <w:color w:val="auto"/>
                <w:kern w:val="0"/>
                <w:szCs w:val="21"/>
              </w:rPr>
              <w:t>X＜5</w:t>
            </w:r>
          </w:p>
        </w:tc>
      </w:tr>
      <w:tr w14:paraId="0BFFC56A">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0072F99A">
            <w:pPr>
              <w:widowControl/>
              <w:wordWrap w:val="0"/>
              <w:jc w:val="left"/>
              <w:rPr>
                <w:rFonts w:ascii="宋体" w:hAnsi="宋体" w:cs="宋体"/>
                <w:b/>
                <w:bCs/>
                <w:color w:val="auto"/>
                <w:kern w:val="0"/>
                <w:szCs w:val="21"/>
              </w:rPr>
            </w:pPr>
          </w:p>
        </w:tc>
        <w:tc>
          <w:tcPr>
            <w:tcW w:w="1653" w:type="dxa"/>
            <w:tcBorders>
              <w:top w:val="nil"/>
              <w:left w:val="nil"/>
              <w:bottom w:val="single" w:color="auto" w:sz="4" w:space="0"/>
              <w:right w:val="single" w:color="auto" w:sz="4" w:space="0"/>
            </w:tcBorders>
            <w:vAlign w:val="center"/>
          </w:tcPr>
          <w:p w14:paraId="6CCF5901">
            <w:pPr>
              <w:widowControl/>
              <w:wordWrap w:val="0"/>
              <w:jc w:val="left"/>
              <w:rPr>
                <w:rFonts w:ascii="宋体" w:hAnsi="宋体" w:cs="宋体"/>
                <w:color w:val="auto"/>
                <w:kern w:val="0"/>
                <w:szCs w:val="21"/>
              </w:rPr>
            </w:pPr>
            <w:r>
              <w:rPr>
                <w:rFonts w:hint="eastAsia" w:ascii="宋体" w:hAnsi="宋体" w:cs="宋体"/>
                <w:color w:val="auto"/>
                <w:kern w:val="0"/>
                <w:szCs w:val="21"/>
              </w:rPr>
              <w:t>营业收入（Y）</w:t>
            </w:r>
          </w:p>
        </w:tc>
        <w:tc>
          <w:tcPr>
            <w:tcW w:w="1091" w:type="dxa"/>
            <w:tcBorders>
              <w:top w:val="nil"/>
              <w:left w:val="nil"/>
              <w:bottom w:val="single" w:color="auto" w:sz="4" w:space="0"/>
              <w:right w:val="single" w:color="auto" w:sz="4" w:space="0"/>
            </w:tcBorders>
            <w:vAlign w:val="center"/>
          </w:tcPr>
          <w:p w14:paraId="6A083DFF">
            <w:pPr>
              <w:widowControl/>
              <w:wordWrap w:val="0"/>
              <w:jc w:val="left"/>
              <w:rPr>
                <w:rFonts w:ascii="宋体" w:hAnsi="宋体" w:cs="宋体"/>
                <w:color w:val="auto"/>
                <w:kern w:val="0"/>
                <w:szCs w:val="21"/>
              </w:rPr>
            </w:pPr>
            <w:r>
              <w:rPr>
                <w:rFonts w:hint="eastAsia" w:ascii="宋体" w:hAnsi="宋体" w:cs="宋体"/>
                <w:color w:val="auto"/>
                <w:kern w:val="0"/>
                <w:szCs w:val="21"/>
              </w:rPr>
              <w:t>万元</w:t>
            </w:r>
          </w:p>
        </w:tc>
        <w:tc>
          <w:tcPr>
            <w:tcW w:w="1935" w:type="dxa"/>
            <w:tcBorders>
              <w:top w:val="nil"/>
              <w:left w:val="nil"/>
              <w:bottom w:val="single" w:color="auto" w:sz="4" w:space="0"/>
              <w:right w:val="single" w:color="auto" w:sz="4" w:space="0"/>
            </w:tcBorders>
            <w:vAlign w:val="center"/>
          </w:tcPr>
          <w:p w14:paraId="74B5DC2E">
            <w:pPr>
              <w:widowControl/>
              <w:wordWrap w:val="0"/>
              <w:jc w:val="left"/>
              <w:rPr>
                <w:rFonts w:ascii="宋体" w:hAnsi="宋体" w:cs="宋体"/>
                <w:color w:val="auto"/>
                <w:kern w:val="0"/>
                <w:szCs w:val="21"/>
              </w:rPr>
            </w:pPr>
            <w:r>
              <w:rPr>
                <w:rFonts w:hint="eastAsia" w:ascii="宋体" w:hAnsi="宋体" w:cs="宋体"/>
                <w:color w:val="auto"/>
                <w:kern w:val="0"/>
                <w:szCs w:val="21"/>
              </w:rPr>
              <w:t>5000≤Y＜40000</w:t>
            </w:r>
          </w:p>
        </w:tc>
        <w:tc>
          <w:tcPr>
            <w:tcW w:w="1720" w:type="dxa"/>
            <w:tcBorders>
              <w:top w:val="nil"/>
              <w:left w:val="nil"/>
              <w:bottom w:val="single" w:color="auto" w:sz="4" w:space="0"/>
              <w:right w:val="single" w:color="auto" w:sz="4" w:space="0"/>
            </w:tcBorders>
            <w:vAlign w:val="center"/>
          </w:tcPr>
          <w:p w14:paraId="29ED5763">
            <w:pPr>
              <w:widowControl/>
              <w:wordWrap w:val="0"/>
              <w:jc w:val="left"/>
              <w:rPr>
                <w:rFonts w:ascii="宋体" w:hAnsi="宋体" w:cs="宋体"/>
                <w:color w:val="auto"/>
                <w:kern w:val="0"/>
                <w:szCs w:val="21"/>
              </w:rPr>
            </w:pPr>
            <w:r>
              <w:rPr>
                <w:rFonts w:hint="eastAsia" w:ascii="宋体" w:hAnsi="宋体" w:cs="宋体"/>
                <w:color w:val="auto"/>
                <w:kern w:val="0"/>
                <w:szCs w:val="21"/>
              </w:rPr>
              <w:t>1000≤Y＜5000</w:t>
            </w:r>
          </w:p>
        </w:tc>
        <w:tc>
          <w:tcPr>
            <w:tcW w:w="1105" w:type="dxa"/>
            <w:tcBorders>
              <w:top w:val="nil"/>
              <w:left w:val="nil"/>
              <w:bottom w:val="single" w:color="auto" w:sz="4" w:space="0"/>
              <w:right w:val="single" w:color="auto" w:sz="4" w:space="0"/>
            </w:tcBorders>
            <w:vAlign w:val="center"/>
          </w:tcPr>
          <w:p w14:paraId="4CC1434D">
            <w:pPr>
              <w:widowControl/>
              <w:wordWrap w:val="0"/>
              <w:jc w:val="left"/>
              <w:rPr>
                <w:rFonts w:ascii="宋体" w:hAnsi="宋体" w:cs="宋体"/>
                <w:color w:val="auto"/>
                <w:kern w:val="0"/>
                <w:szCs w:val="21"/>
              </w:rPr>
            </w:pPr>
            <w:r>
              <w:rPr>
                <w:rFonts w:hint="eastAsia" w:ascii="宋体" w:hAnsi="宋体" w:cs="宋体"/>
                <w:color w:val="auto"/>
                <w:kern w:val="0"/>
                <w:szCs w:val="21"/>
              </w:rPr>
              <w:t>Y＜1000</w:t>
            </w:r>
          </w:p>
        </w:tc>
      </w:tr>
      <w:tr w14:paraId="02399669">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2A79967D">
            <w:pPr>
              <w:widowControl/>
              <w:wordWrap w:val="0"/>
              <w:jc w:val="center"/>
              <w:rPr>
                <w:rFonts w:ascii="宋体" w:hAnsi="宋体" w:cs="宋体"/>
                <w:b/>
                <w:bCs/>
                <w:color w:val="auto"/>
                <w:kern w:val="0"/>
                <w:szCs w:val="21"/>
              </w:rPr>
            </w:pPr>
            <w:r>
              <w:rPr>
                <w:rFonts w:hint="eastAsia" w:ascii="宋体" w:hAnsi="宋体" w:cs="宋体"/>
                <w:b/>
                <w:bCs/>
                <w:color w:val="auto"/>
                <w:kern w:val="0"/>
                <w:szCs w:val="21"/>
              </w:rPr>
              <w:t>零售业</w:t>
            </w:r>
          </w:p>
        </w:tc>
        <w:tc>
          <w:tcPr>
            <w:tcW w:w="1653" w:type="dxa"/>
            <w:tcBorders>
              <w:top w:val="nil"/>
              <w:left w:val="nil"/>
              <w:bottom w:val="single" w:color="auto" w:sz="4" w:space="0"/>
              <w:right w:val="single" w:color="auto" w:sz="4" w:space="0"/>
            </w:tcBorders>
            <w:vAlign w:val="center"/>
          </w:tcPr>
          <w:p w14:paraId="2047F17A">
            <w:pPr>
              <w:widowControl/>
              <w:wordWrap w:val="0"/>
              <w:jc w:val="left"/>
              <w:rPr>
                <w:rFonts w:ascii="宋体" w:hAnsi="宋体" w:cs="宋体"/>
                <w:color w:val="auto"/>
                <w:kern w:val="0"/>
                <w:szCs w:val="21"/>
              </w:rPr>
            </w:pPr>
            <w:r>
              <w:rPr>
                <w:rFonts w:hint="eastAsia" w:ascii="宋体" w:hAnsi="宋体" w:cs="宋体"/>
                <w:color w:val="auto"/>
                <w:kern w:val="0"/>
                <w:szCs w:val="21"/>
              </w:rPr>
              <w:t>从业人员（X）</w:t>
            </w:r>
          </w:p>
        </w:tc>
        <w:tc>
          <w:tcPr>
            <w:tcW w:w="1091" w:type="dxa"/>
            <w:tcBorders>
              <w:top w:val="nil"/>
              <w:left w:val="nil"/>
              <w:bottom w:val="single" w:color="auto" w:sz="4" w:space="0"/>
              <w:right w:val="single" w:color="auto" w:sz="4" w:space="0"/>
            </w:tcBorders>
            <w:vAlign w:val="center"/>
          </w:tcPr>
          <w:p w14:paraId="613C2430">
            <w:pPr>
              <w:widowControl/>
              <w:wordWrap w:val="0"/>
              <w:jc w:val="left"/>
              <w:rPr>
                <w:rFonts w:ascii="宋体" w:hAnsi="宋体" w:cs="宋体"/>
                <w:color w:val="auto"/>
                <w:kern w:val="0"/>
                <w:szCs w:val="21"/>
              </w:rPr>
            </w:pPr>
            <w:r>
              <w:rPr>
                <w:rFonts w:hint="eastAsia" w:ascii="宋体" w:hAnsi="宋体" w:cs="宋体"/>
                <w:color w:val="auto"/>
                <w:kern w:val="0"/>
                <w:szCs w:val="21"/>
              </w:rPr>
              <w:t>人</w:t>
            </w:r>
          </w:p>
        </w:tc>
        <w:tc>
          <w:tcPr>
            <w:tcW w:w="1935" w:type="dxa"/>
            <w:tcBorders>
              <w:top w:val="nil"/>
              <w:left w:val="nil"/>
              <w:bottom w:val="single" w:color="auto" w:sz="4" w:space="0"/>
              <w:right w:val="single" w:color="auto" w:sz="4" w:space="0"/>
            </w:tcBorders>
            <w:vAlign w:val="center"/>
          </w:tcPr>
          <w:p w14:paraId="4B4FCFE3">
            <w:pPr>
              <w:widowControl/>
              <w:wordWrap w:val="0"/>
              <w:jc w:val="left"/>
              <w:rPr>
                <w:rFonts w:ascii="宋体" w:hAnsi="宋体" w:cs="宋体"/>
                <w:color w:val="auto"/>
                <w:kern w:val="0"/>
                <w:szCs w:val="21"/>
              </w:rPr>
            </w:pPr>
            <w:r>
              <w:rPr>
                <w:rFonts w:hint="eastAsia" w:ascii="宋体" w:hAnsi="宋体" w:cs="宋体"/>
                <w:color w:val="auto"/>
                <w:kern w:val="0"/>
                <w:szCs w:val="21"/>
              </w:rPr>
              <w:t>50≤X＜300</w:t>
            </w:r>
          </w:p>
        </w:tc>
        <w:tc>
          <w:tcPr>
            <w:tcW w:w="1720" w:type="dxa"/>
            <w:tcBorders>
              <w:top w:val="nil"/>
              <w:left w:val="nil"/>
              <w:bottom w:val="single" w:color="auto" w:sz="4" w:space="0"/>
              <w:right w:val="single" w:color="auto" w:sz="4" w:space="0"/>
            </w:tcBorders>
            <w:vAlign w:val="center"/>
          </w:tcPr>
          <w:p w14:paraId="7F9CFAC3">
            <w:pPr>
              <w:widowControl/>
              <w:wordWrap w:val="0"/>
              <w:jc w:val="left"/>
              <w:rPr>
                <w:rFonts w:ascii="宋体" w:hAnsi="宋体" w:cs="宋体"/>
                <w:color w:val="auto"/>
                <w:kern w:val="0"/>
                <w:szCs w:val="21"/>
              </w:rPr>
            </w:pPr>
            <w:r>
              <w:rPr>
                <w:rFonts w:hint="eastAsia" w:ascii="宋体" w:hAnsi="宋体" w:cs="宋体"/>
                <w:color w:val="auto"/>
                <w:kern w:val="0"/>
                <w:szCs w:val="21"/>
              </w:rPr>
              <w:t>10≤X＜50</w:t>
            </w:r>
          </w:p>
        </w:tc>
        <w:tc>
          <w:tcPr>
            <w:tcW w:w="1105" w:type="dxa"/>
            <w:tcBorders>
              <w:top w:val="nil"/>
              <w:left w:val="nil"/>
              <w:bottom w:val="single" w:color="auto" w:sz="4" w:space="0"/>
              <w:right w:val="single" w:color="auto" w:sz="4" w:space="0"/>
            </w:tcBorders>
            <w:vAlign w:val="center"/>
          </w:tcPr>
          <w:p w14:paraId="08DD649E">
            <w:pPr>
              <w:widowControl/>
              <w:wordWrap w:val="0"/>
              <w:jc w:val="left"/>
              <w:rPr>
                <w:rFonts w:ascii="宋体" w:hAnsi="宋体" w:cs="宋体"/>
                <w:color w:val="auto"/>
                <w:kern w:val="0"/>
                <w:szCs w:val="21"/>
              </w:rPr>
            </w:pPr>
            <w:r>
              <w:rPr>
                <w:rFonts w:hint="eastAsia" w:ascii="宋体" w:hAnsi="宋体" w:cs="宋体"/>
                <w:color w:val="auto"/>
                <w:kern w:val="0"/>
                <w:szCs w:val="21"/>
              </w:rPr>
              <w:t>X＜10</w:t>
            </w:r>
          </w:p>
        </w:tc>
      </w:tr>
      <w:tr w14:paraId="733FC842">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136718F3">
            <w:pPr>
              <w:widowControl/>
              <w:wordWrap w:val="0"/>
              <w:jc w:val="left"/>
              <w:rPr>
                <w:rFonts w:ascii="宋体" w:hAnsi="宋体" w:cs="宋体"/>
                <w:b/>
                <w:bCs/>
                <w:color w:val="auto"/>
                <w:kern w:val="0"/>
                <w:szCs w:val="21"/>
              </w:rPr>
            </w:pPr>
          </w:p>
        </w:tc>
        <w:tc>
          <w:tcPr>
            <w:tcW w:w="1653" w:type="dxa"/>
            <w:tcBorders>
              <w:top w:val="nil"/>
              <w:left w:val="nil"/>
              <w:bottom w:val="single" w:color="auto" w:sz="4" w:space="0"/>
              <w:right w:val="single" w:color="auto" w:sz="4" w:space="0"/>
            </w:tcBorders>
            <w:vAlign w:val="center"/>
          </w:tcPr>
          <w:p w14:paraId="6DC57E6C">
            <w:pPr>
              <w:widowControl/>
              <w:wordWrap w:val="0"/>
              <w:jc w:val="left"/>
              <w:rPr>
                <w:rFonts w:ascii="宋体" w:hAnsi="宋体" w:cs="宋体"/>
                <w:color w:val="auto"/>
                <w:kern w:val="0"/>
                <w:szCs w:val="21"/>
              </w:rPr>
            </w:pPr>
            <w:r>
              <w:rPr>
                <w:rFonts w:hint="eastAsia" w:ascii="宋体" w:hAnsi="宋体" w:cs="宋体"/>
                <w:color w:val="auto"/>
                <w:kern w:val="0"/>
                <w:szCs w:val="21"/>
              </w:rPr>
              <w:t>营业收入（Y）</w:t>
            </w:r>
          </w:p>
        </w:tc>
        <w:tc>
          <w:tcPr>
            <w:tcW w:w="1091" w:type="dxa"/>
            <w:tcBorders>
              <w:top w:val="nil"/>
              <w:left w:val="nil"/>
              <w:bottom w:val="single" w:color="auto" w:sz="4" w:space="0"/>
              <w:right w:val="single" w:color="auto" w:sz="4" w:space="0"/>
            </w:tcBorders>
            <w:vAlign w:val="center"/>
          </w:tcPr>
          <w:p w14:paraId="0BA1B20A">
            <w:pPr>
              <w:widowControl/>
              <w:wordWrap w:val="0"/>
              <w:jc w:val="left"/>
              <w:rPr>
                <w:rFonts w:ascii="宋体" w:hAnsi="宋体" w:cs="宋体"/>
                <w:color w:val="auto"/>
                <w:kern w:val="0"/>
                <w:szCs w:val="21"/>
              </w:rPr>
            </w:pPr>
            <w:r>
              <w:rPr>
                <w:rFonts w:hint="eastAsia" w:ascii="宋体" w:hAnsi="宋体" w:cs="宋体"/>
                <w:color w:val="auto"/>
                <w:kern w:val="0"/>
                <w:szCs w:val="21"/>
              </w:rPr>
              <w:t>万元</w:t>
            </w:r>
          </w:p>
        </w:tc>
        <w:tc>
          <w:tcPr>
            <w:tcW w:w="1935" w:type="dxa"/>
            <w:tcBorders>
              <w:top w:val="nil"/>
              <w:left w:val="nil"/>
              <w:bottom w:val="single" w:color="auto" w:sz="4" w:space="0"/>
              <w:right w:val="single" w:color="auto" w:sz="4" w:space="0"/>
            </w:tcBorders>
            <w:vAlign w:val="center"/>
          </w:tcPr>
          <w:p w14:paraId="362B6B4F">
            <w:pPr>
              <w:widowControl/>
              <w:wordWrap w:val="0"/>
              <w:jc w:val="left"/>
              <w:rPr>
                <w:rFonts w:ascii="宋体" w:hAnsi="宋体" w:cs="宋体"/>
                <w:color w:val="auto"/>
                <w:kern w:val="0"/>
                <w:szCs w:val="21"/>
              </w:rPr>
            </w:pPr>
            <w:r>
              <w:rPr>
                <w:rFonts w:hint="eastAsia" w:ascii="宋体" w:hAnsi="宋体" w:cs="宋体"/>
                <w:color w:val="auto"/>
                <w:kern w:val="0"/>
                <w:szCs w:val="21"/>
              </w:rPr>
              <w:t>500≤Y＜20000</w:t>
            </w:r>
          </w:p>
        </w:tc>
        <w:tc>
          <w:tcPr>
            <w:tcW w:w="1720" w:type="dxa"/>
            <w:tcBorders>
              <w:top w:val="nil"/>
              <w:left w:val="nil"/>
              <w:bottom w:val="single" w:color="auto" w:sz="4" w:space="0"/>
              <w:right w:val="single" w:color="auto" w:sz="4" w:space="0"/>
            </w:tcBorders>
            <w:vAlign w:val="center"/>
          </w:tcPr>
          <w:p w14:paraId="3A08A094">
            <w:pPr>
              <w:widowControl/>
              <w:wordWrap w:val="0"/>
              <w:jc w:val="left"/>
              <w:rPr>
                <w:rFonts w:ascii="宋体" w:hAnsi="宋体" w:cs="宋体"/>
                <w:color w:val="auto"/>
                <w:kern w:val="0"/>
                <w:szCs w:val="21"/>
              </w:rPr>
            </w:pPr>
            <w:r>
              <w:rPr>
                <w:rFonts w:hint="eastAsia" w:ascii="宋体" w:hAnsi="宋体" w:cs="宋体"/>
                <w:color w:val="auto"/>
                <w:kern w:val="0"/>
                <w:szCs w:val="21"/>
              </w:rPr>
              <w:t>100≤Y＜500</w:t>
            </w:r>
          </w:p>
        </w:tc>
        <w:tc>
          <w:tcPr>
            <w:tcW w:w="1105" w:type="dxa"/>
            <w:tcBorders>
              <w:top w:val="nil"/>
              <w:left w:val="nil"/>
              <w:bottom w:val="single" w:color="auto" w:sz="4" w:space="0"/>
              <w:right w:val="single" w:color="auto" w:sz="4" w:space="0"/>
            </w:tcBorders>
            <w:vAlign w:val="center"/>
          </w:tcPr>
          <w:p w14:paraId="0D9B9D4A">
            <w:pPr>
              <w:widowControl/>
              <w:wordWrap w:val="0"/>
              <w:jc w:val="left"/>
              <w:rPr>
                <w:rFonts w:ascii="宋体" w:hAnsi="宋体" w:cs="宋体"/>
                <w:color w:val="auto"/>
                <w:kern w:val="0"/>
                <w:szCs w:val="21"/>
              </w:rPr>
            </w:pPr>
            <w:r>
              <w:rPr>
                <w:rFonts w:hint="eastAsia" w:ascii="宋体" w:hAnsi="宋体" w:cs="宋体"/>
                <w:color w:val="auto"/>
                <w:kern w:val="0"/>
                <w:szCs w:val="21"/>
              </w:rPr>
              <w:t>Y＜100</w:t>
            </w:r>
          </w:p>
        </w:tc>
      </w:tr>
      <w:tr w14:paraId="42EC1ADB">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5CC06570">
            <w:pPr>
              <w:widowControl/>
              <w:wordWrap w:val="0"/>
              <w:jc w:val="center"/>
              <w:rPr>
                <w:rFonts w:ascii="宋体" w:hAnsi="宋体" w:cs="宋体"/>
                <w:b/>
                <w:bCs/>
                <w:color w:val="auto"/>
                <w:kern w:val="0"/>
                <w:szCs w:val="21"/>
              </w:rPr>
            </w:pPr>
            <w:r>
              <w:rPr>
                <w:rFonts w:hint="eastAsia" w:ascii="宋体" w:hAnsi="宋体" w:cs="宋体"/>
                <w:b/>
                <w:bCs/>
                <w:color w:val="auto"/>
                <w:kern w:val="0"/>
                <w:szCs w:val="21"/>
              </w:rPr>
              <w:t>交通运输业</w:t>
            </w:r>
          </w:p>
        </w:tc>
        <w:tc>
          <w:tcPr>
            <w:tcW w:w="1653" w:type="dxa"/>
            <w:tcBorders>
              <w:top w:val="nil"/>
              <w:left w:val="nil"/>
              <w:bottom w:val="single" w:color="auto" w:sz="4" w:space="0"/>
              <w:right w:val="single" w:color="auto" w:sz="4" w:space="0"/>
            </w:tcBorders>
            <w:vAlign w:val="center"/>
          </w:tcPr>
          <w:p w14:paraId="1C68880B">
            <w:pPr>
              <w:widowControl/>
              <w:wordWrap w:val="0"/>
              <w:jc w:val="left"/>
              <w:rPr>
                <w:rFonts w:ascii="宋体" w:hAnsi="宋体" w:cs="宋体"/>
                <w:color w:val="auto"/>
                <w:kern w:val="0"/>
                <w:szCs w:val="21"/>
              </w:rPr>
            </w:pPr>
            <w:r>
              <w:rPr>
                <w:rFonts w:hint="eastAsia" w:ascii="宋体" w:hAnsi="宋体" w:cs="宋体"/>
                <w:color w:val="auto"/>
                <w:kern w:val="0"/>
                <w:szCs w:val="21"/>
              </w:rPr>
              <w:t>从业人员（X）</w:t>
            </w:r>
          </w:p>
        </w:tc>
        <w:tc>
          <w:tcPr>
            <w:tcW w:w="1091" w:type="dxa"/>
            <w:tcBorders>
              <w:top w:val="nil"/>
              <w:left w:val="nil"/>
              <w:bottom w:val="single" w:color="auto" w:sz="4" w:space="0"/>
              <w:right w:val="single" w:color="auto" w:sz="4" w:space="0"/>
            </w:tcBorders>
            <w:vAlign w:val="center"/>
          </w:tcPr>
          <w:p w14:paraId="1CA33E68">
            <w:pPr>
              <w:widowControl/>
              <w:wordWrap w:val="0"/>
              <w:jc w:val="left"/>
              <w:rPr>
                <w:rFonts w:ascii="宋体" w:hAnsi="宋体" w:cs="宋体"/>
                <w:color w:val="auto"/>
                <w:kern w:val="0"/>
                <w:szCs w:val="21"/>
              </w:rPr>
            </w:pPr>
            <w:r>
              <w:rPr>
                <w:rFonts w:hint="eastAsia" w:ascii="宋体" w:hAnsi="宋体" w:cs="宋体"/>
                <w:color w:val="auto"/>
                <w:kern w:val="0"/>
                <w:szCs w:val="21"/>
              </w:rPr>
              <w:t>人</w:t>
            </w:r>
          </w:p>
        </w:tc>
        <w:tc>
          <w:tcPr>
            <w:tcW w:w="1935" w:type="dxa"/>
            <w:tcBorders>
              <w:top w:val="nil"/>
              <w:left w:val="nil"/>
              <w:bottom w:val="single" w:color="auto" w:sz="4" w:space="0"/>
              <w:right w:val="single" w:color="auto" w:sz="4" w:space="0"/>
            </w:tcBorders>
            <w:vAlign w:val="center"/>
          </w:tcPr>
          <w:p w14:paraId="77210232">
            <w:pPr>
              <w:widowControl/>
              <w:wordWrap w:val="0"/>
              <w:jc w:val="left"/>
              <w:rPr>
                <w:rFonts w:ascii="宋体" w:hAnsi="宋体" w:cs="宋体"/>
                <w:color w:val="auto"/>
                <w:kern w:val="0"/>
                <w:szCs w:val="21"/>
              </w:rPr>
            </w:pPr>
            <w:r>
              <w:rPr>
                <w:rFonts w:hint="eastAsia" w:ascii="宋体" w:hAnsi="宋体" w:cs="宋体"/>
                <w:color w:val="auto"/>
                <w:kern w:val="0"/>
                <w:szCs w:val="21"/>
              </w:rPr>
              <w:t>300≤X＜1000</w:t>
            </w:r>
          </w:p>
        </w:tc>
        <w:tc>
          <w:tcPr>
            <w:tcW w:w="1720" w:type="dxa"/>
            <w:tcBorders>
              <w:top w:val="nil"/>
              <w:left w:val="nil"/>
              <w:bottom w:val="single" w:color="auto" w:sz="4" w:space="0"/>
              <w:right w:val="single" w:color="auto" w:sz="4" w:space="0"/>
            </w:tcBorders>
            <w:vAlign w:val="center"/>
          </w:tcPr>
          <w:p w14:paraId="6A36559A">
            <w:pPr>
              <w:widowControl/>
              <w:wordWrap w:val="0"/>
              <w:jc w:val="left"/>
              <w:rPr>
                <w:rFonts w:ascii="宋体" w:hAnsi="宋体" w:cs="宋体"/>
                <w:color w:val="auto"/>
                <w:kern w:val="0"/>
                <w:szCs w:val="21"/>
              </w:rPr>
            </w:pPr>
            <w:r>
              <w:rPr>
                <w:rFonts w:hint="eastAsia" w:ascii="宋体" w:hAnsi="宋体" w:cs="宋体"/>
                <w:color w:val="auto"/>
                <w:kern w:val="0"/>
                <w:szCs w:val="21"/>
              </w:rPr>
              <w:t>20≤X＜300</w:t>
            </w:r>
          </w:p>
        </w:tc>
        <w:tc>
          <w:tcPr>
            <w:tcW w:w="1105" w:type="dxa"/>
            <w:tcBorders>
              <w:top w:val="nil"/>
              <w:left w:val="nil"/>
              <w:bottom w:val="single" w:color="auto" w:sz="4" w:space="0"/>
              <w:right w:val="single" w:color="auto" w:sz="4" w:space="0"/>
            </w:tcBorders>
            <w:vAlign w:val="center"/>
          </w:tcPr>
          <w:p w14:paraId="56A6E04E">
            <w:pPr>
              <w:widowControl/>
              <w:wordWrap w:val="0"/>
              <w:jc w:val="left"/>
              <w:rPr>
                <w:rFonts w:ascii="宋体" w:hAnsi="宋体" w:cs="宋体"/>
                <w:color w:val="auto"/>
                <w:kern w:val="0"/>
                <w:szCs w:val="21"/>
              </w:rPr>
            </w:pPr>
            <w:r>
              <w:rPr>
                <w:rFonts w:hint="eastAsia" w:ascii="宋体" w:hAnsi="宋体" w:cs="宋体"/>
                <w:color w:val="auto"/>
                <w:kern w:val="0"/>
                <w:szCs w:val="21"/>
              </w:rPr>
              <w:t>X＜20</w:t>
            </w:r>
          </w:p>
        </w:tc>
      </w:tr>
      <w:tr w14:paraId="0BF4CB2B">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53A31B40">
            <w:pPr>
              <w:widowControl/>
              <w:wordWrap w:val="0"/>
              <w:jc w:val="left"/>
              <w:rPr>
                <w:rFonts w:ascii="宋体" w:hAnsi="宋体" w:cs="宋体"/>
                <w:b/>
                <w:bCs/>
                <w:color w:val="auto"/>
                <w:kern w:val="0"/>
                <w:szCs w:val="21"/>
              </w:rPr>
            </w:pPr>
          </w:p>
        </w:tc>
        <w:tc>
          <w:tcPr>
            <w:tcW w:w="1653" w:type="dxa"/>
            <w:tcBorders>
              <w:top w:val="nil"/>
              <w:left w:val="nil"/>
              <w:bottom w:val="single" w:color="auto" w:sz="4" w:space="0"/>
              <w:right w:val="single" w:color="auto" w:sz="4" w:space="0"/>
            </w:tcBorders>
            <w:vAlign w:val="center"/>
          </w:tcPr>
          <w:p w14:paraId="291A3B89">
            <w:pPr>
              <w:widowControl/>
              <w:wordWrap w:val="0"/>
              <w:jc w:val="left"/>
              <w:rPr>
                <w:rFonts w:ascii="宋体" w:hAnsi="宋体" w:cs="宋体"/>
                <w:color w:val="auto"/>
                <w:kern w:val="0"/>
                <w:szCs w:val="21"/>
              </w:rPr>
            </w:pPr>
            <w:r>
              <w:rPr>
                <w:rFonts w:hint="eastAsia" w:ascii="宋体" w:hAnsi="宋体" w:cs="宋体"/>
                <w:color w:val="auto"/>
                <w:kern w:val="0"/>
                <w:szCs w:val="21"/>
              </w:rPr>
              <w:t>营业收入（Y）</w:t>
            </w:r>
          </w:p>
        </w:tc>
        <w:tc>
          <w:tcPr>
            <w:tcW w:w="1091" w:type="dxa"/>
            <w:tcBorders>
              <w:top w:val="nil"/>
              <w:left w:val="nil"/>
              <w:bottom w:val="single" w:color="auto" w:sz="4" w:space="0"/>
              <w:right w:val="single" w:color="auto" w:sz="4" w:space="0"/>
            </w:tcBorders>
            <w:vAlign w:val="center"/>
          </w:tcPr>
          <w:p w14:paraId="2FFBA154">
            <w:pPr>
              <w:widowControl/>
              <w:wordWrap w:val="0"/>
              <w:jc w:val="left"/>
              <w:rPr>
                <w:rFonts w:ascii="宋体" w:hAnsi="宋体" w:cs="宋体"/>
                <w:color w:val="auto"/>
                <w:kern w:val="0"/>
                <w:szCs w:val="21"/>
              </w:rPr>
            </w:pPr>
            <w:r>
              <w:rPr>
                <w:rFonts w:hint="eastAsia" w:ascii="宋体" w:hAnsi="宋体" w:cs="宋体"/>
                <w:color w:val="auto"/>
                <w:kern w:val="0"/>
                <w:szCs w:val="21"/>
              </w:rPr>
              <w:t>万元</w:t>
            </w:r>
          </w:p>
        </w:tc>
        <w:tc>
          <w:tcPr>
            <w:tcW w:w="1935" w:type="dxa"/>
            <w:tcBorders>
              <w:top w:val="nil"/>
              <w:left w:val="nil"/>
              <w:bottom w:val="single" w:color="auto" w:sz="4" w:space="0"/>
              <w:right w:val="single" w:color="auto" w:sz="4" w:space="0"/>
            </w:tcBorders>
            <w:vAlign w:val="center"/>
          </w:tcPr>
          <w:p w14:paraId="7DF4E2BE">
            <w:pPr>
              <w:widowControl/>
              <w:wordWrap w:val="0"/>
              <w:jc w:val="left"/>
              <w:rPr>
                <w:rFonts w:ascii="宋体" w:hAnsi="宋体" w:cs="宋体"/>
                <w:color w:val="auto"/>
                <w:kern w:val="0"/>
                <w:szCs w:val="21"/>
              </w:rPr>
            </w:pPr>
            <w:r>
              <w:rPr>
                <w:rFonts w:hint="eastAsia" w:ascii="宋体" w:hAnsi="宋体" w:cs="宋体"/>
                <w:color w:val="auto"/>
                <w:kern w:val="0"/>
                <w:szCs w:val="21"/>
              </w:rPr>
              <w:t>3000≤Y＜30000</w:t>
            </w:r>
          </w:p>
        </w:tc>
        <w:tc>
          <w:tcPr>
            <w:tcW w:w="1720" w:type="dxa"/>
            <w:tcBorders>
              <w:top w:val="nil"/>
              <w:left w:val="nil"/>
              <w:bottom w:val="single" w:color="auto" w:sz="4" w:space="0"/>
              <w:right w:val="single" w:color="auto" w:sz="4" w:space="0"/>
            </w:tcBorders>
            <w:vAlign w:val="center"/>
          </w:tcPr>
          <w:p w14:paraId="7482D370">
            <w:pPr>
              <w:widowControl/>
              <w:wordWrap w:val="0"/>
              <w:jc w:val="left"/>
              <w:rPr>
                <w:rFonts w:ascii="宋体" w:hAnsi="宋体" w:cs="宋体"/>
                <w:color w:val="auto"/>
                <w:kern w:val="0"/>
                <w:szCs w:val="21"/>
              </w:rPr>
            </w:pPr>
            <w:r>
              <w:rPr>
                <w:rFonts w:hint="eastAsia" w:ascii="宋体" w:hAnsi="宋体" w:cs="宋体"/>
                <w:color w:val="auto"/>
                <w:kern w:val="0"/>
                <w:szCs w:val="21"/>
              </w:rPr>
              <w:t>200≤Y＜3000</w:t>
            </w:r>
          </w:p>
        </w:tc>
        <w:tc>
          <w:tcPr>
            <w:tcW w:w="1105" w:type="dxa"/>
            <w:tcBorders>
              <w:top w:val="nil"/>
              <w:left w:val="nil"/>
              <w:bottom w:val="single" w:color="auto" w:sz="4" w:space="0"/>
              <w:right w:val="single" w:color="auto" w:sz="4" w:space="0"/>
            </w:tcBorders>
            <w:vAlign w:val="center"/>
          </w:tcPr>
          <w:p w14:paraId="460BD937">
            <w:pPr>
              <w:widowControl/>
              <w:wordWrap w:val="0"/>
              <w:jc w:val="left"/>
              <w:rPr>
                <w:rFonts w:ascii="宋体" w:hAnsi="宋体" w:cs="宋体"/>
                <w:color w:val="auto"/>
                <w:kern w:val="0"/>
                <w:szCs w:val="21"/>
              </w:rPr>
            </w:pPr>
            <w:r>
              <w:rPr>
                <w:rFonts w:hint="eastAsia" w:ascii="宋体" w:hAnsi="宋体" w:cs="宋体"/>
                <w:color w:val="auto"/>
                <w:kern w:val="0"/>
                <w:szCs w:val="21"/>
              </w:rPr>
              <w:t>Y＜200</w:t>
            </w:r>
          </w:p>
        </w:tc>
      </w:tr>
      <w:tr w14:paraId="72A6C8A3">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2F914B77">
            <w:pPr>
              <w:widowControl/>
              <w:wordWrap w:val="0"/>
              <w:jc w:val="center"/>
              <w:rPr>
                <w:rFonts w:ascii="宋体" w:hAnsi="宋体" w:cs="宋体"/>
                <w:b/>
                <w:bCs/>
                <w:color w:val="auto"/>
                <w:kern w:val="0"/>
                <w:szCs w:val="21"/>
              </w:rPr>
            </w:pPr>
            <w:r>
              <w:rPr>
                <w:rFonts w:hint="eastAsia" w:ascii="宋体" w:hAnsi="宋体" w:cs="宋体"/>
                <w:b/>
                <w:bCs/>
                <w:color w:val="auto"/>
                <w:kern w:val="0"/>
                <w:szCs w:val="21"/>
              </w:rPr>
              <w:t>仓储业</w:t>
            </w:r>
          </w:p>
        </w:tc>
        <w:tc>
          <w:tcPr>
            <w:tcW w:w="1653" w:type="dxa"/>
            <w:tcBorders>
              <w:top w:val="nil"/>
              <w:left w:val="nil"/>
              <w:bottom w:val="single" w:color="auto" w:sz="4" w:space="0"/>
              <w:right w:val="single" w:color="auto" w:sz="4" w:space="0"/>
            </w:tcBorders>
            <w:vAlign w:val="center"/>
          </w:tcPr>
          <w:p w14:paraId="3ABBD008">
            <w:pPr>
              <w:widowControl/>
              <w:wordWrap w:val="0"/>
              <w:jc w:val="left"/>
              <w:rPr>
                <w:rFonts w:ascii="宋体" w:hAnsi="宋体" w:cs="宋体"/>
                <w:color w:val="auto"/>
                <w:kern w:val="0"/>
                <w:szCs w:val="21"/>
              </w:rPr>
            </w:pPr>
            <w:r>
              <w:rPr>
                <w:rFonts w:hint="eastAsia" w:ascii="宋体" w:hAnsi="宋体" w:cs="宋体"/>
                <w:color w:val="auto"/>
                <w:kern w:val="0"/>
                <w:szCs w:val="21"/>
              </w:rPr>
              <w:t>从业人员（X）</w:t>
            </w:r>
          </w:p>
        </w:tc>
        <w:tc>
          <w:tcPr>
            <w:tcW w:w="1091" w:type="dxa"/>
            <w:tcBorders>
              <w:top w:val="nil"/>
              <w:left w:val="nil"/>
              <w:bottom w:val="single" w:color="auto" w:sz="4" w:space="0"/>
              <w:right w:val="single" w:color="auto" w:sz="4" w:space="0"/>
            </w:tcBorders>
            <w:vAlign w:val="center"/>
          </w:tcPr>
          <w:p w14:paraId="1636FCB2">
            <w:pPr>
              <w:widowControl/>
              <w:wordWrap w:val="0"/>
              <w:jc w:val="left"/>
              <w:rPr>
                <w:rFonts w:ascii="宋体" w:hAnsi="宋体" w:cs="宋体"/>
                <w:color w:val="auto"/>
                <w:kern w:val="0"/>
                <w:szCs w:val="21"/>
              </w:rPr>
            </w:pPr>
            <w:r>
              <w:rPr>
                <w:rFonts w:hint="eastAsia" w:ascii="宋体" w:hAnsi="宋体" w:cs="宋体"/>
                <w:color w:val="auto"/>
                <w:kern w:val="0"/>
                <w:szCs w:val="21"/>
              </w:rPr>
              <w:t>人</w:t>
            </w:r>
          </w:p>
        </w:tc>
        <w:tc>
          <w:tcPr>
            <w:tcW w:w="1935" w:type="dxa"/>
            <w:tcBorders>
              <w:top w:val="nil"/>
              <w:left w:val="nil"/>
              <w:bottom w:val="single" w:color="auto" w:sz="4" w:space="0"/>
              <w:right w:val="single" w:color="auto" w:sz="4" w:space="0"/>
            </w:tcBorders>
            <w:vAlign w:val="center"/>
          </w:tcPr>
          <w:p w14:paraId="2A190AFE">
            <w:pPr>
              <w:widowControl/>
              <w:wordWrap w:val="0"/>
              <w:jc w:val="left"/>
              <w:rPr>
                <w:rFonts w:ascii="宋体" w:hAnsi="宋体" w:cs="宋体"/>
                <w:color w:val="auto"/>
                <w:kern w:val="0"/>
                <w:szCs w:val="21"/>
              </w:rPr>
            </w:pPr>
            <w:r>
              <w:rPr>
                <w:rFonts w:hint="eastAsia" w:ascii="宋体" w:hAnsi="宋体" w:cs="宋体"/>
                <w:color w:val="auto"/>
                <w:kern w:val="0"/>
                <w:szCs w:val="21"/>
              </w:rPr>
              <w:t>100≤X＜200</w:t>
            </w:r>
          </w:p>
        </w:tc>
        <w:tc>
          <w:tcPr>
            <w:tcW w:w="1720" w:type="dxa"/>
            <w:tcBorders>
              <w:top w:val="nil"/>
              <w:left w:val="nil"/>
              <w:bottom w:val="single" w:color="auto" w:sz="4" w:space="0"/>
              <w:right w:val="single" w:color="auto" w:sz="4" w:space="0"/>
            </w:tcBorders>
            <w:vAlign w:val="center"/>
          </w:tcPr>
          <w:p w14:paraId="23C2F103">
            <w:pPr>
              <w:widowControl/>
              <w:wordWrap w:val="0"/>
              <w:jc w:val="left"/>
              <w:rPr>
                <w:rFonts w:ascii="宋体" w:hAnsi="宋体" w:cs="宋体"/>
                <w:color w:val="auto"/>
                <w:kern w:val="0"/>
                <w:szCs w:val="21"/>
              </w:rPr>
            </w:pPr>
            <w:r>
              <w:rPr>
                <w:rFonts w:hint="eastAsia" w:ascii="宋体" w:hAnsi="宋体" w:cs="宋体"/>
                <w:color w:val="auto"/>
                <w:kern w:val="0"/>
                <w:szCs w:val="21"/>
              </w:rPr>
              <w:t>20≤X＜100</w:t>
            </w:r>
          </w:p>
        </w:tc>
        <w:tc>
          <w:tcPr>
            <w:tcW w:w="1105" w:type="dxa"/>
            <w:tcBorders>
              <w:top w:val="nil"/>
              <w:left w:val="nil"/>
              <w:bottom w:val="single" w:color="auto" w:sz="4" w:space="0"/>
              <w:right w:val="single" w:color="auto" w:sz="4" w:space="0"/>
            </w:tcBorders>
            <w:vAlign w:val="center"/>
          </w:tcPr>
          <w:p w14:paraId="45D56807">
            <w:pPr>
              <w:widowControl/>
              <w:wordWrap w:val="0"/>
              <w:jc w:val="left"/>
              <w:rPr>
                <w:rFonts w:ascii="宋体" w:hAnsi="宋体" w:cs="宋体"/>
                <w:color w:val="auto"/>
                <w:kern w:val="0"/>
                <w:szCs w:val="21"/>
              </w:rPr>
            </w:pPr>
            <w:r>
              <w:rPr>
                <w:rFonts w:hint="eastAsia" w:ascii="宋体" w:hAnsi="宋体" w:cs="宋体"/>
                <w:color w:val="auto"/>
                <w:kern w:val="0"/>
                <w:szCs w:val="21"/>
              </w:rPr>
              <w:t>X＜20</w:t>
            </w:r>
          </w:p>
        </w:tc>
      </w:tr>
      <w:tr w14:paraId="63A10550">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569F7E18">
            <w:pPr>
              <w:widowControl/>
              <w:wordWrap w:val="0"/>
              <w:jc w:val="left"/>
              <w:rPr>
                <w:rFonts w:ascii="宋体" w:hAnsi="宋体" w:cs="宋体"/>
                <w:b/>
                <w:bCs/>
                <w:color w:val="auto"/>
                <w:kern w:val="0"/>
                <w:szCs w:val="21"/>
              </w:rPr>
            </w:pPr>
          </w:p>
        </w:tc>
        <w:tc>
          <w:tcPr>
            <w:tcW w:w="1653" w:type="dxa"/>
            <w:tcBorders>
              <w:top w:val="nil"/>
              <w:left w:val="nil"/>
              <w:bottom w:val="single" w:color="auto" w:sz="4" w:space="0"/>
              <w:right w:val="single" w:color="auto" w:sz="4" w:space="0"/>
            </w:tcBorders>
            <w:vAlign w:val="center"/>
          </w:tcPr>
          <w:p w14:paraId="6DC015D0">
            <w:pPr>
              <w:widowControl/>
              <w:wordWrap w:val="0"/>
              <w:jc w:val="left"/>
              <w:rPr>
                <w:rFonts w:ascii="宋体" w:hAnsi="宋体" w:cs="宋体"/>
                <w:color w:val="auto"/>
                <w:kern w:val="0"/>
                <w:szCs w:val="21"/>
              </w:rPr>
            </w:pPr>
            <w:r>
              <w:rPr>
                <w:rFonts w:hint="eastAsia" w:ascii="宋体" w:hAnsi="宋体" w:cs="宋体"/>
                <w:color w:val="auto"/>
                <w:kern w:val="0"/>
                <w:szCs w:val="21"/>
              </w:rPr>
              <w:t>营业收入（Y）</w:t>
            </w:r>
          </w:p>
        </w:tc>
        <w:tc>
          <w:tcPr>
            <w:tcW w:w="1091" w:type="dxa"/>
            <w:tcBorders>
              <w:top w:val="nil"/>
              <w:left w:val="nil"/>
              <w:bottom w:val="single" w:color="auto" w:sz="4" w:space="0"/>
              <w:right w:val="single" w:color="auto" w:sz="4" w:space="0"/>
            </w:tcBorders>
            <w:vAlign w:val="center"/>
          </w:tcPr>
          <w:p w14:paraId="2E5BC5A5">
            <w:pPr>
              <w:widowControl/>
              <w:wordWrap w:val="0"/>
              <w:jc w:val="left"/>
              <w:rPr>
                <w:rFonts w:ascii="宋体" w:hAnsi="宋体" w:cs="宋体"/>
                <w:color w:val="auto"/>
                <w:kern w:val="0"/>
                <w:szCs w:val="21"/>
              </w:rPr>
            </w:pPr>
            <w:r>
              <w:rPr>
                <w:rFonts w:hint="eastAsia" w:ascii="宋体" w:hAnsi="宋体" w:cs="宋体"/>
                <w:color w:val="auto"/>
                <w:kern w:val="0"/>
                <w:szCs w:val="21"/>
              </w:rPr>
              <w:t>万元</w:t>
            </w:r>
          </w:p>
        </w:tc>
        <w:tc>
          <w:tcPr>
            <w:tcW w:w="1935" w:type="dxa"/>
            <w:tcBorders>
              <w:top w:val="nil"/>
              <w:left w:val="nil"/>
              <w:bottom w:val="single" w:color="auto" w:sz="4" w:space="0"/>
              <w:right w:val="single" w:color="auto" w:sz="4" w:space="0"/>
            </w:tcBorders>
            <w:vAlign w:val="center"/>
          </w:tcPr>
          <w:p w14:paraId="03FADF68">
            <w:pPr>
              <w:widowControl/>
              <w:wordWrap w:val="0"/>
              <w:jc w:val="left"/>
              <w:rPr>
                <w:rFonts w:ascii="宋体" w:hAnsi="宋体" w:cs="宋体"/>
                <w:color w:val="auto"/>
                <w:kern w:val="0"/>
                <w:szCs w:val="21"/>
              </w:rPr>
            </w:pPr>
            <w:r>
              <w:rPr>
                <w:rFonts w:hint="eastAsia" w:ascii="宋体" w:hAnsi="宋体" w:cs="宋体"/>
                <w:color w:val="auto"/>
                <w:kern w:val="0"/>
                <w:szCs w:val="21"/>
              </w:rPr>
              <w:t>1000≤Y＜30000</w:t>
            </w:r>
          </w:p>
        </w:tc>
        <w:tc>
          <w:tcPr>
            <w:tcW w:w="1720" w:type="dxa"/>
            <w:tcBorders>
              <w:top w:val="nil"/>
              <w:left w:val="nil"/>
              <w:bottom w:val="single" w:color="auto" w:sz="4" w:space="0"/>
              <w:right w:val="single" w:color="auto" w:sz="4" w:space="0"/>
            </w:tcBorders>
            <w:vAlign w:val="center"/>
          </w:tcPr>
          <w:p w14:paraId="1B7B4A27">
            <w:pPr>
              <w:widowControl/>
              <w:wordWrap w:val="0"/>
              <w:jc w:val="left"/>
              <w:rPr>
                <w:rFonts w:ascii="宋体" w:hAnsi="宋体" w:cs="宋体"/>
                <w:color w:val="auto"/>
                <w:kern w:val="0"/>
                <w:szCs w:val="21"/>
              </w:rPr>
            </w:pPr>
            <w:r>
              <w:rPr>
                <w:rFonts w:hint="eastAsia" w:ascii="宋体" w:hAnsi="宋体" w:cs="宋体"/>
                <w:color w:val="auto"/>
                <w:kern w:val="0"/>
                <w:szCs w:val="21"/>
              </w:rPr>
              <w:t>100≤Y＜1000</w:t>
            </w:r>
          </w:p>
        </w:tc>
        <w:tc>
          <w:tcPr>
            <w:tcW w:w="1105" w:type="dxa"/>
            <w:tcBorders>
              <w:top w:val="nil"/>
              <w:left w:val="nil"/>
              <w:bottom w:val="single" w:color="auto" w:sz="4" w:space="0"/>
              <w:right w:val="single" w:color="auto" w:sz="4" w:space="0"/>
            </w:tcBorders>
            <w:vAlign w:val="center"/>
          </w:tcPr>
          <w:p w14:paraId="02AFCD64">
            <w:pPr>
              <w:widowControl/>
              <w:wordWrap w:val="0"/>
              <w:jc w:val="left"/>
              <w:rPr>
                <w:rFonts w:ascii="宋体" w:hAnsi="宋体" w:cs="宋体"/>
                <w:color w:val="auto"/>
                <w:kern w:val="0"/>
                <w:szCs w:val="21"/>
              </w:rPr>
            </w:pPr>
            <w:r>
              <w:rPr>
                <w:rFonts w:hint="eastAsia" w:ascii="宋体" w:hAnsi="宋体" w:cs="宋体"/>
                <w:color w:val="auto"/>
                <w:kern w:val="0"/>
                <w:szCs w:val="21"/>
              </w:rPr>
              <w:t>Y＜100</w:t>
            </w:r>
          </w:p>
        </w:tc>
      </w:tr>
      <w:tr w14:paraId="3557CD80">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3A0E9C29">
            <w:pPr>
              <w:widowControl/>
              <w:wordWrap w:val="0"/>
              <w:jc w:val="center"/>
              <w:rPr>
                <w:rFonts w:ascii="宋体" w:hAnsi="宋体" w:cs="宋体"/>
                <w:b/>
                <w:bCs/>
                <w:color w:val="auto"/>
                <w:kern w:val="0"/>
                <w:szCs w:val="21"/>
              </w:rPr>
            </w:pPr>
            <w:r>
              <w:rPr>
                <w:rFonts w:hint="eastAsia" w:ascii="宋体" w:hAnsi="宋体" w:cs="宋体"/>
                <w:b/>
                <w:bCs/>
                <w:color w:val="auto"/>
                <w:kern w:val="0"/>
                <w:szCs w:val="21"/>
              </w:rPr>
              <w:t>邮政业</w:t>
            </w:r>
          </w:p>
        </w:tc>
        <w:tc>
          <w:tcPr>
            <w:tcW w:w="1653" w:type="dxa"/>
            <w:tcBorders>
              <w:top w:val="nil"/>
              <w:left w:val="nil"/>
              <w:bottom w:val="single" w:color="auto" w:sz="4" w:space="0"/>
              <w:right w:val="single" w:color="auto" w:sz="4" w:space="0"/>
            </w:tcBorders>
            <w:vAlign w:val="center"/>
          </w:tcPr>
          <w:p w14:paraId="014E933A">
            <w:pPr>
              <w:widowControl/>
              <w:wordWrap w:val="0"/>
              <w:jc w:val="left"/>
              <w:rPr>
                <w:rFonts w:ascii="宋体" w:hAnsi="宋体" w:cs="宋体"/>
                <w:color w:val="auto"/>
                <w:kern w:val="0"/>
                <w:szCs w:val="21"/>
              </w:rPr>
            </w:pPr>
            <w:r>
              <w:rPr>
                <w:rFonts w:hint="eastAsia" w:ascii="宋体" w:hAnsi="宋体" w:cs="宋体"/>
                <w:color w:val="auto"/>
                <w:kern w:val="0"/>
                <w:szCs w:val="21"/>
              </w:rPr>
              <w:t>从业人员（X）</w:t>
            </w:r>
          </w:p>
        </w:tc>
        <w:tc>
          <w:tcPr>
            <w:tcW w:w="1091" w:type="dxa"/>
            <w:tcBorders>
              <w:top w:val="nil"/>
              <w:left w:val="nil"/>
              <w:bottom w:val="single" w:color="auto" w:sz="4" w:space="0"/>
              <w:right w:val="single" w:color="auto" w:sz="4" w:space="0"/>
            </w:tcBorders>
            <w:vAlign w:val="center"/>
          </w:tcPr>
          <w:p w14:paraId="4493C2A8">
            <w:pPr>
              <w:widowControl/>
              <w:wordWrap w:val="0"/>
              <w:jc w:val="left"/>
              <w:rPr>
                <w:rFonts w:ascii="宋体" w:hAnsi="宋体" w:cs="宋体"/>
                <w:color w:val="auto"/>
                <w:kern w:val="0"/>
                <w:szCs w:val="21"/>
              </w:rPr>
            </w:pPr>
            <w:r>
              <w:rPr>
                <w:rFonts w:hint="eastAsia" w:ascii="宋体" w:hAnsi="宋体" w:cs="宋体"/>
                <w:color w:val="auto"/>
                <w:kern w:val="0"/>
                <w:szCs w:val="21"/>
              </w:rPr>
              <w:t>人</w:t>
            </w:r>
          </w:p>
        </w:tc>
        <w:tc>
          <w:tcPr>
            <w:tcW w:w="1935" w:type="dxa"/>
            <w:tcBorders>
              <w:top w:val="nil"/>
              <w:left w:val="nil"/>
              <w:bottom w:val="single" w:color="auto" w:sz="4" w:space="0"/>
              <w:right w:val="single" w:color="auto" w:sz="4" w:space="0"/>
            </w:tcBorders>
            <w:vAlign w:val="center"/>
          </w:tcPr>
          <w:p w14:paraId="73B1A3C3">
            <w:pPr>
              <w:widowControl/>
              <w:wordWrap w:val="0"/>
              <w:jc w:val="left"/>
              <w:rPr>
                <w:rFonts w:ascii="宋体" w:hAnsi="宋体" w:cs="宋体"/>
                <w:color w:val="auto"/>
                <w:kern w:val="0"/>
                <w:szCs w:val="21"/>
              </w:rPr>
            </w:pPr>
            <w:r>
              <w:rPr>
                <w:rFonts w:hint="eastAsia" w:ascii="宋体" w:hAnsi="宋体" w:cs="宋体"/>
                <w:color w:val="auto"/>
                <w:kern w:val="0"/>
                <w:szCs w:val="21"/>
              </w:rPr>
              <w:t>300≤X＜1000</w:t>
            </w:r>
          </w:p>
        </w:tc>
        <w:tc>
          <w:tcPr>
            <w:tcW w:w="1720" w:type="dxa"/>
            <w:tcBorders>
              <w:top w:val="nil"/>
              <w:left w:val="nil"/>
              <w:bottom w:val="single" w:color="auto" w:sz="4" w:space="0"/>
              <w:right w:val="single" w:color="auto" w:sz="4" w:space="0"/>
            </w:tcBorders>
            <w:vAlign w:val="center"/>
          </w:tcPr>
          <w:p w14:paraId="225AEEC4">
            <w:pPr>
              <w:widowControl/>
              <w:wordWrap w:val="0"/>
              <w:jc w:val="left"/>
              <w:rPr>
                <w:rFonts w:ascii="宋体" w:hAnsi="宋体" w:cs="宋体"/>
                <w:color w:val="auto"/>
                <w:kern w:val="0"/>
                <w:szCs w:val="21"/>
              </w:rPr>
            </w:pPr>
            <w:r>
              <w:rPr>
                <w:rFonts w:hint="eastAsia" w:ascii="宋体" w:hAnsi="宋体" w:cs="宋体"/>
                <w:color w:val="auto"/>
                <w:kern w:val="0"/>
                <w:szCs w:val="21"/>
              </w:rPr>
              <w:t>20≤X＜300</w:t>
            </w:r>
          </w:p>
        </w:tc>
        <w:tc>
          <w:tcPr>
            <w:tcW w:w="1105" w:type="dxa"/>
            <w:tcBorders>
              <w:top w:val="nil"/>
              <w:left w:val="nil"/>
              <w:bottom w:val="single" w:color="auto" w:sz="4" w:space="0"/>
              <w:right w:val="single" w:color="auto" w:sz="4" w:space="0"/>
            </w:tcBorders>
            <w:vAlign w:val="center"/>
          </w:tcPr>
          <w:p w14:paraId="121ED47F">
            <w:pPr>
              <w:widowControl/>
              <w:wordWrap w:val="0"/>
              <w:jc w:val="left"/>
              <w:rPr>
                <w:rFonts w:ascii="宋体" w:hAnsi="宋体" w:cs="宋体"/>
                <w:color w:val="auto"/>
                <w:kern w:val="0"/>
                <w:szCs w:val="21"/>
              </w:rPr>
            </w:pPr>
            <w:r>
              <w:rPr>
                <w:rFonts w:hint="eastAsia" w:ascii="宋体" w:hAnsi="宋体" w:cs="宋体"/>
                <w:color w:val="auto"/>
                <w:kern w:val="0"/>
                <w:szCs w:val="21"/>
              </w:rPr>
              <w:t>X＜20</w:t>
            </w:r>
          </w:p>
        </w:tc>
      </w:tr>
      <w:tr w14:paraId="06D222D9">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1E8F6E04">
            <w:pPr>
              <w:widowControl/>
              <w:wordWrap w:val="0"/>
              <w:jc w:val="left"/>
              <w:rPr>
                <w:rFonts w:ascii="宋体" w:hAnsi="宋体" w:cs="宋体"/>
                <w:b/>
                <w:bCs/>
                <w:color w:val="auto"/>
                <w:kern w:val="0"/>
                <w:szCs w:val="21"/>
              </w:rPr>
            </w:pPr>
          </w:p>
        </w:tc>
        <w:tc>
          <w:tcPr>
            <w:tcW w:w="1653" w:type="dxa"/>
            <w:tcBorders>
              <w:top w:val="nil"/>
              <w:left w:val="nil"/>
              <w:bottom w:val="single" w:color="auto" w:sz="4" w:space="0"/>
              <w:right w:val="single" w:color="auto" w:sz="4" w:space="0"/>
            </w:tcBorders>
            <w:vAlign w:val="center"/>
          </w:tcPr>
          <w:p w14:paraId="44B597D4">
            <w:pPr>
              <w:widowControl/>
              <w:wordWrap w:val="0"/>
              <w:jc w:val="left"/>
              <w:rPr>
                <w:rFonts w:ascii="宋体" w:hAnsi="宋体" w:cs="宋体"/>
                <w:color w:val="auto"/>
                <w:kern w:val="0"/>
                <w:szCs w:val="21"/>
              </w:rPr>
            </w:pPr>
            <w:r>
              <w:rPr>
                <w:rFonts w:hint="eastAsia" w:ascii="宋体" w:hAnsi="宋体" w:cs="宋体"/>
                <w:color w:val="auto"/>
                <w:kern w:val="0"/>
                <w:szCs w:val="21"/>
              </w:rPr>
              <w:t>营业收入（Y）</w:t>
            </w:r>
          </w:p>
        </w:tc>
        <w:tc>
          <w:tcPr>
            <w:tcW w:w="1091" w:type="dxa"/>
            <w:tcBorders>
              <w:top w:val="nil"/>
              <w:left w:val="nil"/>
              <w:bottom w:val="single" w:color="auto" w:sz="4" w:space="0"/>
              <w:right w:val="single" w:color="auto" w:sz="4" w:space="0"/>
            </w:tcBorders>
            <w:vAlign w:val="center"/>
          </w:tcPr>
          <w:p w14:paraId="4F564B93">
            <w:pPr>
              <w:widowControl/>
              <w:wordWrap w:val="0"/>
              <w:jc w:val="left"/>
              <w:rPr>
                <w:rFonts w:ascii="宋体" w:hAnsi="宋体" w:cs="宋体"/>
                <w:color w:val="auto"/>
                <w:kern w:val="0"/>
                <w:szCs w:val="21"/>
              </w:rPr>
            </w:pPr>
            <w:r>
              <w:rPr>
                <w:rFonts w:hint="eastAsia" w:ascii="宋体" w:hAnsi="宋体" w:cs="宋体"/>
                <w:color w:val="auto"/>
                <w:kern w:val="0"/>
                <w:szCs w:val="21"/>
              </w:rPr>
              <w:t>万元</w:t>
            </w:r>
          </w:p>
        </w:tc>
        <w:tc>
          <w:tcPr>
            <w:tcW w:w="1935" w:type="dxa"/>
            <w:tcBorders>
              <w:top w:val="nil"/>
              <w:left w:val="nil"/>
              <w:bottom w:val="single" w:color="auto" w:sz="4" w:space="0"/>
              <w:right w:val="single" w:color="auto" w:sz="4" w:space="0"/>
            </w:tcBorders>
            <w:vAlign w:val="center"/>
          </w:tcPr>
          <w:p w14:paraId="2A32D641">
            <w:pPr>
              <w:widowControl/>
              <w:wordWrap w:val="0"/>
              <w:jc w:val="left"/>
              <w:rPr>
                <w:rFonts w:ascii="宋体" w:hAnsi="宋体" w:cs="宋体"/>
                <w:color w:val="auto"/>
                <w:kern w:val="0"/>
                <w:szCs w:val="21"/>
              </w:rPr>
            </w:pPr>
            <w:r>
              <w:rPr>
                <w:rFonts w:hint="eastAsia" w:ascii="宋体" w:hAnsi="宋体" w:cs="宋体"/>
                <w:color w:val="auto"/>
                <w:kern w:val="0"/>
                <w:szCs w:val="21"/>
              </w:rPr>
              <w:t>2000≤Y＜30000</w:t>
            </w:r>
          </w:p>
        </w:tc>
        <w:tc>
          <w:tcPr>
            <w:tcW w:w="1720" w:type="dxa"/>
            <w:tcBorders>
              <w:top w:val="nil"/>
              <w:left w:val="nil"/>
              <w:bottom w:val="single" w:color="auto" w:sz="4" w:space="0"/>
              <w:right w:val="single" w:color="auto" w:sz="4" w:space="0"/>
            </w:tcBorders>
            <w:vAlign w:val="center"/>
          </w:tcPr>
          <w:p w14:paraId="49825D28">
            <w:pPr>
              <w:widowControl/>
              <w:wordWrap w:val="0"/>
              <w:jc w:val="left"/>
              <w:rPr>
                <w:rFonts w:ascii="宋体" w:hAnsi="宋体" w:cs="宋体"/>
                <w:color w:val="auto"/>
                <w:kern w:val="0"/>
                <w:szCs w:val="21"/>
              </w:rPr>
            </w:pPr>
            <w:r>
              <w:rPr>
                <w:rFonts w:hint="eastAsia" w:ascii="宋体" w:hAnsi="宋体" w:cs="宋体"/>
                <w:color w:val="auto"/>
                <w:kern w:val="0"/>
                <w:szCs w:val="21"/>
              </w:rPr>
              <w:t>100≤Y＜2000</w:t>
            </w:r>
          </w:p>
        </w:tc>
        <w:tc>
          <w:tcPr>
            <w:tcW w:w="1105" w:type="dxa"/>
            <w:tcBorders>
              <w:top w:val="nil"/>
              <w:left w:val="nil"/>
              <w:bottom w:val="single" w:color="auto" w:sz="4" w:space="0"/>
              <w:right w:val="single" w:color="auto" w:sz="4" w:space="0"/>
            </w:tcBorders>
            <w:vAlign w:val="center"/>
          </w:tcPr>
          <w:p w14:paraId="20AB753F">
            <w:pPr>
              <w:widowControl/>
              <w:wordWrap w:val="0"/>
              <w:jc w:val="left"/>
              <w:rPr>
                <w:rFonts w:ascii="宋体" w:hAnsi="宋体" w:cs="宋体"/>
                <w:color w:val="auto"/>
                <w:kern w:val="0"/>
                <w:szCs w:val="21"/>
              </w:rPr>
            </w:pPr>
            <w:r>
              <w:rPr>
                <w:rFonts w:hint="eastAsia" w:ascii="宋体" w:hAnsi="宋体" w:cs="宋体"/>
                <w:color w:val="auto"/>
                <w:kern w:val="0"/>
                <w:szCs w:val="21"/>
              </w:rPr>
              <w:t>Y＜100</w:t>
            </w:r>
          </w:p>
        </w:tc>
      </w:tr>
      <w:tr w14:paraId="6923A213">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12B98782">
            <w:pPr>
              <w:widowControl/>
              <w:wordWrap w:val="0"/>
              <w:jc w:val="center"/>
              <w:rPr>
                <w:rFonts w:ascii="宋体" w:hAnsi="宋体" w:cs="宋体"/>
                <w:b/>
                <w:bCs/>
                <w:color w:val="auto"/>
                <w:kern w:val="0"/>
                <w:szCs w:val="21"/>
              </w:rPr>
            </w:pPr>
            <w:r>
              <w:rPr>
                <w:rFonts w:hint="eastAsia" w:ascii="宋体" w:hAnsi="宋体" w:cs="宋体"/>
                <w:b/>
                <w:bCs/>
                <w:color w:val="auto"/>
                <w:kern w:val="0"/>
                <w:szCs w:val="21"/>
              </w:rPr>
              <w:t>住宿业</w:t>
            </w:r>
          </w:p>
        </w:tc>
        <w:tc>
          <w:tcPr>
            <w:tcW w:w="1653" w:type="dxa"/>
            <w:tcBorders>
              <w:top w:val="nil"/>
              <w:left w:val="nil"/>
              <w:bottom w:val="single" w:color="auto" w:sz="4" w:space="0"/>
              <w:right w:val="single" w:color="auto" w:sz="4" w:space="0"/>
            </w:tcBorders>
            <w:vAlign w:val="center"/>
          </w:tcPr>
          <w:p w14:paraId="1B586DF1">
            <w:pPr>
              <w:widowControl/>
              <w:wordWrap w:val="0"/>
              <w:jc w:val="left"/>
              <w:rPr>
                <w:rFonts w:ascii="宋体" w:hAnsi="宋体" w:cs="宋体"/>
                <w:color w:val="auto"/>
                <w:kern w:val="0"/>
                <w:szCs w:val="21"/>
              </w:rPr>
            </w:pPr>
            <w:r>
              <w:rPr>
                <w:rFonts w:hint="eastAsia" w:ascii="宋体" w:hAnsi="宋体" w:cs="宋体"/>
                <w:color w:val="auto"/>
                <w:kern w:val="0"/>
                <w:szCs w:val="21"/>
              </w:rPr>
              <w:t>从业人员（X）</w:t>
            </w:r>
          </w:p>
        </w:tc>
        <w:tc>
          <w:tcPr>
            <w:tcW w:w="1091" w:type="dxa"/>
            <w:tcBorders>
              <w:top w:val="nil"/>
              <w:left w:val="nil"/>
              <w:bottom w:val="single" w:color="auto" w:sz="4" w:space="0"/>
              <w:right w:val="single" w:color="auto" w:sz="4" w:space="0"/>
            </w:tcBorders>
            <w:vAlign w:val="center"/>
          </w:tcPr>
          <w:p w14:paraId="6AE819F8">
            <w:pPr>
              <w:widowControl/>
              <w:wordWrap w:val="0"/>
              <w:jc w:val="left"/>
              <w:rPr>
                <w:rFonts w:ascii="宋体" w:hAnsi="宋体" w:cs="宋体"/>
                <w:color w:val="auto"/>
                <w:kern w:val="0"/>
                <w:szCs w:val="21"/>
              </w:rPr>
            </w:pPr>
            <w:r>
              <w:rPr>
                <w:rFonts w:hint="eastAsia" w:ascii="宋体" w:hAnsi="宋体" w:cs="宋体"/>
                <w:color w:val="auto"/>
                <w:kern w:val="0"/>
                <w:szCs w:val="21"/>
              </w:rPr>
              <w:t>人</w:t>
            </w:r>
          </w:p>
        </w:tc>
        <w:tc>
          <w:tcPr>
            <w:tcW w:w="1935" w:type="dxa"/>
            <w:tcBorders>
              <w:top w:val="nil"/>
              <w:left w:val="nil"/>
              <w:bottom w:val="single" w:color="auto" w:sz="4" w:space="0"/>
              <w:right w:val="single" w:color="auto" w:sz="4" w:space="0"/>
            </w:tcBorders>
            <w:vAlign w:val="center"/>
          </w:tcPr>
          <w:p w14:paraId="664AE6E5">
            <w:pPr>
              <w:widowControl/>
              <w:wordWrap w:val="0"/>
              <w:jc w:val="left"/>
              <w:rPr>
                <w:rFonts w:ascii="宋体" w:hAnsi="宋体" w:cs="宋体"/>
                <w:color w:val="auto"/>
                <w:kern w:val="0"/>
                <w:szCs w:val="21"/>
              </w:rPr>
            </w:pPr>
            <w:r>
              <w:rPr>
                <w:rFonts w:hint="eastAsia" w:ascii="宋体" w:hAnsi="宋体" w:cs="宋体"/>
                <w:color w:val="auto"/>
                <w:kern w:val="0"/>
                <w:szCs w:val="21"/>
              </w:rPr>
              <w:t>100≤X＜300</w:t>
            </w:r>
          </w:p>
        </w:tc>
        <w:tc>
          <w:tcPr>
            <w:tcW w:w="1720" w:type="dxa"/>
            <w:tcBorders>
              <w:top w:val="nil"/>
              <w:left w:val="nil"/>
              <w:bottom w:val="single" w:color="auto" w:sz="4" w:space="0"/>
              <w:right w:val="single" w:color="auto" w:sz="4" w:space="0"/>
            </w:tcBorders>
            <w:vAlign w:val="center"/>
          </w:tcPr>
          <w:p w14:paraId="3235BDF9">
            <w:pPr>
              <w:widowControl/>
              <w:wordWrap w:val="0"/>
              <w:jc w:val="left"/>
              <w:rPr>
                <w:rFonts w:ascii="宋体" w:hAnsi="宋体" w:cs="宋体"/>
                <w:color w:val="auto"/>
                <w:kern w:val="0"/>
                <w:szCs w:val="21"/>
              </w:rPr>
            </w:pPr>
            <w:r>
              <w:rPr>
                <w:rFonts w:hint="eastAsia" w:ascii="宋体" w:hAnsi="宋体" w:cs="宋体"/>
                <w:color w:val="auto"/>
                <w:kern w:val="0"/>
                <w:szCs w:val="21"/>
              </w:rPr>
              <w:t>10≤X＜100</w:t>
            </w:r>
          </w:p>
        </w:tc>
        <w:tc>
          <w:tcPr>
            <w:tcW w:w="1105" w:type="dxa"/>
            <w:tcBorders>
              <w:top w:val="nil"/>
              <w:left w:val="nil"/>
              <w:bottom w:val="single" w:color="auto" w:sz="4" w:space="0"/>
              <w:right w:val="single" w:color="auto" w:sz="4" w:space="0"/>
            </w:tcBorders>
            <w:vAlign w:val="center"/>
          </w:tcPr>
          <w:p w14:paraId="2592A945">
            <w:pPr>
              <w:widowControl/>
              <w:wordWrap w:val="0"/>
              <w:jc w:val="left"/>
              <w:rPr>
                <w:rFonts w:ascii="宋体" w:hAnsi="宋体" w:cs="宋体"/>
                <w:color w:val="auto"/>
                <w:kern w:val="0"/>
                <w:szCs w:val="21"/>
              </w:rPr>
            </w:pPr>
            <w:r>
              <w:rPr>
                <w:rFonts w:hint="eastAsia" w:ascii="宋体" w:hAnsi="宋体" w:cs="宋体"/>
                <w:color w:val="auto"/>
                <w:kern w:val="0"/>
                <w:szCs w:val="21"/>
              </w:rPr>
              <w:t>X＜10</w:t>
            </w:r>
          </w:p>
        </w:tc>
      </w:tr>
      <w:tr w14:paraId="6F9BDF54">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4F97D642">
            <w:pPr>
              <w:widowControl/>
              <w:wordWrap w:val="0"/>
              <w:jc w:val="left"/>
              <w:rPr>
                <w:rFonts w:ascii="宋体" w:hAnsi="宋体" w:cs="宋体"/>
                <w:b/>
                <w:bCs/>
                <w:color w:val="auto"/>
                <w:kern w:val="0"/>
                <w:szCs w:val="21"/>
              </w:rPr>
            </w:pPr>
          </w:p>
        </w:tc>
        <w:tc>
          <w:tcPr>
            <w:tcW w:w="1653" w:type="dxa"/>
            <w:tcBorders>
              <w:top w:val="nil"/>
              <w:left w:val="nil"/>
              <w:bottom w:val="single" w:color="auto" w:sz="4" w:space="0"/>
              <w:right w:val="single" w:color="auto" w:sz="4" w:space="0"/>
            </w:tcBorders>
            <w:vAlign w:val="center"/>
          </w:tcPr>
          <w:p w14:paraId="614581D0">
            <w:pPr>
              <w:widowControl/>
              <w:wordWrap w:val="0"/>
              <w:jc w:val="left"/>
              <w:rPr>
                <w:rFonts w:ascii="宋体" w:hAnsi="宋体" w:cs="宋体"/>
                <w:color w:val="auto"/>
                <w:kern w:val="0"/>
                <w:szCs w:val="21"/>
              </w:rPr>
            </w:pPr>
            <w:r>
              <w:rPr>
                <w:rFonts w:hint="eastAsia" w:ascii="宋体" w:hAnsi="宋体" w:cs="宋体"/>
                <w:color w:val="auto"/>
                <w:kern w:val="0"/>
                <w:szCs w:val="21"/>
              </w:rPr>
              <w:t>营业收入（Y）</w:t>
            </w:r>
          </w:p>
        </w:tc>
        <w:tc>
          <w:tcPr>
            <w:tcW w:w="1091" w:type="dxa"/>
            <w:tcBorders>
              <w:top w:val="nil"/>
              <w:left w:val="nil"/>
              <w:bottom w:val="single" w:color="auto" w:sz="4" w:space="0"/>
              <w:right w:val="single" w:color="auto" w:sz="4" w:space="0"/>
            </w:tcBorders>
            <w:vAlign w:val="center"/>
          </w:tcPr>
          <w:p w14:paraId="00BCFB11">
            <w:pPr>
              <w:widowControl/>
              <w:wordWrap w:val="0"/>
              <w:jc w:val="left"/>
              <w:rPr>
                <w:rFonts w:ascii="宋体" w:hAnsi="宋体" w:cs="宋体"/>
                <w:color w:val="auto"/>
                <w:kern w:val="0"/>
                <w:szCs w:val="21"/>
              </w:rPr>
            </w:pPr>
            <w:r>
              <w:rPr>
                <w:rFonts w:hint="eastAsia" w:ascii="宋体" w:hAnsi="宋体" w:cs="宋体"/>
                <w:color w:val="auto"/>
                <w:kern w:val="0"/>
                <w:szCs w:val="21"/>
              </w:rPr>
              <w:t>万元</w:t>
            </w:r>
          </w:p>
        </w:tc>
        <w:tc>
          <w:tcPr>
            <w:tcW w:w="1935" w:type="dxa"/>
            <w:tcBorders>
              <w:top w:val="nil"/>
              <w:left w:val="nil"/>
              <w:bottom w:val="single" w:color="auto" w:sz="4" w:space="0"/>
              <w:right w:val="single" w:color="auto" w:sz="4" w:space="0"/>
            </w:tcBorders>
            <w:vAlign w:val="center"/>
          </w:tcPr>
          <w:p w14:paraId="070CBFCD">
            <w:pPr>
              <w:widowControl/>
              <w:wordWrap w:val="0"/>
              <w:jc w:val="left"/>
              <w:rPr>
                <w:rFonts w:ascii="宋体" w:hAnsi="宋体" w:cs="宋体"/>
                <w:color w:val="auto"/>
                <w:kern w:val="0"/>
                <w:szCs w:val="21"/>
              </w:rPr>
            </w:pPr>
            <w:r>
              <w:rPr>
                <w:rFonts w:hint="eastAsia" w:ascii="宋体" w:hAnsi="宋体" w:cs="宋体"/>
                <w:color w:val="auto"/>
                <w:kern w:val="0"/>
                <w:szCs w:val="21"/>
              </w:rPr>
              <w:t>2000≤Y＜10000</w:t>
            </w:r>
          </w:p>
        </w:tc>
        <w:tc>
          <w:tcPr>
            <w:tcW w:w="1720" w:type="dxa"/>
            <w:tcBorders>
              <w:top w:val="nil"/>
              <w:left w:val="nil"/>
              <w:bottom w:val="single" w:color="auto" w:sz="4" w:space="0"/>
              <w:right w:val="single" w:color="auto" w:sz="4" w:space="0"/>
            </w:tcBorders>
            <w:vAlign w:val="center"/>
          </w:tcPr>
          <w:p w14:paraId="18A97332">
            <w:pPr>
              <w:widowControl/>
              <w:wordWrap w:val="0"/>
              <w:jc w:val="left"/>
              <w:rPr>
                <w:rFonts w:ascii="宋体" w:hAnsi="宋体" w:cs="宋体"/>
                <w:color w:val="auto"/>
                <w:kern w:val="0"/>
                <w:szCs w:val="21"/>
              </w:rPr>
            </w:pPr>
            <w:r>
              <w:rPr>
                <w:rFonts w:hint="eastAsia" w:ascii="宋体" w:hAnsi="宋体" w:cs="宋体"/>
                <w:color w:val="auto"/>
                <w:kern w:val="0"/>
                <w:szCs w:val="21"/>
              </w:rPr>
              <w:t>100≤Y＜2000</w:t>
            </w:r>
          </w:p>
        </w:tc>
        <w:tc>
          <w:tcPr>
            <w:tcW w:w="1105" w:type="dxa"/>
            <w:tcBorders>
              <w:top w:val="nil"/>
              <w:left w:val="nil"/>
              <w:bottom w:val="single" w:color="auto" w:sz="4" w:space="0"/>
              <w:right w:val="single" w:color="auto" w:sz="4" w:space="0"/>
            </w:tcBorders>
            <w:vAlign w:val="center"/>
          </w:tcPr>
          <w:p w14:paraId="73CC52AD">
            <w:pPr>
              <w:widowControl/>
              <w:wordWrap w:val="0"/>
              <w:jc w:val="left"/>
              <w:rPr>
                <w:rFonts w:ascii="宋体" w:hAnsi="宋体" w:cs="宋体"/>
                <w:color w:val="auto"/>
                <w:kern w:val="0"/>
                <w:szCs w:val="21"/>
              </w:rPr>
            </w:pPr>
            <w:r>
              <w:rPr>
                <w:rFonts w:hint="eastAsia" w:ascii="宋体" w:hAnsi="宋体" w:cs="宋体"/>
                <w:color w:val="auto"/>
                <w:kern w:val="0"/>
                <w:szCs w:val="21"/>
              </w:rPr>
              <w:t>Y＜100</w:t>
            </w:r>
          </w:p>
        </w:tc>
      </w:tr>
      <w:tr w14:paraId="58CD86E0">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624FF024">
            <w:pPr>
              <w:widowControl/>
              <w:wordWrap w:val="0"/>
              <w:jc w:val="center"/>
              <w:rPr>
                <w:rFonts w:ascii="宋体" w:hAnsi="宋体" w:cs="宋体"/>
                <w:b/>
                <w:bCs/>
                <w:color w:val="auto"/>
                <w:kern w:val="0"/>
                <w:szCs w:val="21"/>
              </w:rPr>
            </w:pPr>
            <w:r>
              <w:rPr>
                <w:rFonts w:hint="eastAsia" w:ascii="宋体" w:hAnsi="宋体" w:cs="宋体"/>
                <w:b/>
                <w:bCs/>
                <w:color w:val="auto"/>
                <w:kern w:val="0"/>
                <w:szCs w:val="21"/>
              </w:rPr>
              <w:t>餐饮业</w:t>
            </w:r>
          </w:p>
        </w:tc>
        <w:tc>
          <w:tcPr>
            <w:tcW w:w="1653" w:type="dxa"/>
            <w:tcBorders>
              <w:top w:val="nil"/>
              <w:left w:val="nil"/>
              <w:bottom w:val="single" w:color="auto" w:sz="4" w:space="0"/>
              <w:right w:val="single" w:color="auto" w:sz="4" w:space="0"/>
            </w:tcBorders>
            <w:vAlign w:val="center"/>
          </w:tcPr>
          <w:p w14:paraId="5249AD0E">
            <w:pPr>
              <w:widowControl/>
              <w:wordWrap w:val="0"/>
              <w:jc w:val="left"/>
              <w:rPr>
                <w:rFonts w:ascii="宋体" w:hAnsi="宋体" w:cs="宋体"/>
                <w:color w:val="auto"/>
                <w:kern w:val="0"/>
                <w:szCs w:val="21"/>
              </w:rPr>
            </w:pPr>
            <w:r>
              <w:rPr>
                <w:rFonts w:hint="eastAsia" w:ascii="宋体" w:hAnsi="宋体" w:cs="宋体"/>
                <w:color w:val="auto"/>
                <w:kern w:val="0"/>
                <w:szCs w:val="21"/>
              </w:rPr>
              <w:t>从业人员（X）</w:t>
            </w:r>
          </w:p>
        </w:tc>
        <w:tc>
          <w:tcPr>
            <w:tcW w:w="1091" w:type="dxa"/>
            <w:tcBorders>
              <w:top w:val="nil"/>
              <w:left w:val="nil"/>
              <w:bottom w:val="single" w:color="auto" w:sz="4" w:space="0"/>
              <w:right w:val="single" w:color="auto" w:sz="4" w:space="0"/>
            </w:tcBorders>
            <w:vAlign w:val="center"/>
          </w:tcPr>
          <w:p w14:paraId="5742E09E">
            <w:pPr>
              <w:widowControl/>
              <w:wordWrap w:val="0"/>
              <w:jc w:val="left"/>
              <w:rPr>
                <w:rFonts w:ascii="宋体" w:hAnsi="宋体" w:cs="宋体"/>
                <w:color w:val="auto"/>
                <w:kern w:val="0"/>
                <w:szCs w:val="21"/>
              </w:rPr>
            </w:pPr>
            <w:r>
              <w:rPr>
                <w:rFonts w:hint="eastAsia" w:ascii="宋体" w:hAnsi="宋体" w:cs="宋体"/>
                <w:color w:val="auto"/>
                <w:kern w:val="0"/>
                <w:szCs w:val="21"/>
              </w:rPr>
              <w:t>人</w:t>
            </w:r>
          </w:p>
        </w:tc>
        <w:tc>
          <w:tcPr>
            <w:tcW w:w="1935" w:type="dxa"/>
            <w:tcBorders>
              <w:top w:val="nil"/>
              <w:left w:val="nil"/>
              <w:bottom w:val="single" w:color="auto" w:sz="4" w:space="0"/>
              <w:right w:val="single" w:color="auto" w:sz="4" w:space="0"/>
            </w:tcBorders>
            <w:vAlign w:val="center"/>
          </w:tcPr>
          <w:p w14:paraId="5D689379">
            <w:pPr>
              <w:widowControl/>
              <w:wordWrap w:val="0"/>
              <w:jc w:val="left"/>
              <w:rPr>
                <w:rFonts w:ascii="宋体" w:hAnsi="宋体" w:cs="宋体"/>
                <w:color w:val="auto"/>
                <w:kern w:val="0"/>
                <w:szCs w:val="21"/>
              </w:rPr>
            </w:pPr>
            <w:r>
              <w:rPr>
                <w:rFonts w:hint="eastAsia" w:ascii="宋体" w:hAnsi="宋体" w:cs="宋体"/>
                <w:color w:val="auto"/>
                <w:kern w:val="0"/>
                <w:szCs w:val="21"/>
              </w:rPr>
              <w:t>100≤X＜300</w:t>
            </w:r>
          </w:p>
        </w:tc>
        <w:tc>
          <w:tcPr>
            <w:tcW w:w="1720" w:type="dxa"/>
            <w:tcBorders>
              <w:top w:val="nil"/>
              <w:left w:val="nil"/>
              <w:bottom w:val="single" w:color="auto" w:sz="4" w:space="0"/>
              <w:right w:val="single" w:color="auto" w:sz="4" w:space="0"/>
            </w:tcBorders>
            <w:vAlign w:val="center"/>
          </w:tcPr>
          <w:p w14:paraId="209D7A93">
            <w:pPr>
              <w:widowControl/>
              <w:wordWrap w:val="0"/>
              <w:jc w:val="left"/>
              <w:rPr>
                <w:rFonts w:ascii="宋体" w:hAnsi="宋体" w:cs="宋体"/>
                <w:color w:val="auto"/>
                <w:kern w:val="0"/>
                <w:szCs w:val="21"/>
              </w:rPr>
            </w:pPr>
            <w:r>
              <w:rPr>
                <w:rFonts w:hint="eastAsia" w:ascii="宋体" w:hAnsi="宋体" w:cs="宋体"/>
                <w:color w:val="auto"/>
                <w:kern w:val="0"/>
                <w:szCs w:val="21"/>
              </w:rPr>
              <w:t>10≤X＜100</w:t>
            </w:r>
          </w:p>
        </w:tc>
        <w:tc>
          <w:tcPr>
            <w:tcW w:w="1105" w:type="dxa"/>
            <w:tcBorders>
              <w:top w:val="nil"/>
              <w:left w:val="nil"/>
              <w:bottom w:val="single" w:color="auto" w:sz="4" w:space="0"/>
              <w:right w:val="single" w:color="auto" w:sz="4" w:space="0"/>
            </w:tcBorders>
            <w:vAlign w:val="center"/>
          </w:tcPr>
          <w:p w14:paraId="210796BC">
            <w:pPr>
              <w:widowControl/>
              <w:wordWrap w:val="0"/>
              <w:jc w:val="left"/>
              <w:rPr>
                <w:rFonts w:ascii="宋体" w:hAnsi="宋体" w:cs="宋体"/>
                <w:color w:val="auto"/>
                <w:kern w:val="0"/>
                <w:szCs w:val="21"/>
              </w:rPr>
            </w:pPr>
            <w:r>
              <w:rPr>
                <w:rFonts w:hint="eastAsia" w:ascii="宋体" w:hAnsi="宋体" w:cs="宋体"/>
                <w:color w:val="auto"/>
                <w:kern w:val="0"/>
                <w:szCs w:val="21"/>
              </w:rPr>
              <w:t>X＜10</w:t>
            </w:r>
          </w:p>
        </w:tc>
      </w:tr>
      <w:tr w14:paraId="3718D9BE">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032366A3">
            <w:pPr>
              <w:widowControl/>
              <w:wordWrap w:val="0"/>
              <w:jc w:val="left"/>
              <w:rPr>
                <w:rFonts w:ascii="宋体" w:hAnsi="宋体" w:cs="宋体"/>
                <w:b/>
                <w:bCs/>
                <w:color w:val="auto"/>
                <w:kern w:val="0"/>
                <w:szCs w:val="21"/>
              </w:rPr>
            </w:pPr>
          </w:p>
        </w:tc>
        <w:tc>
          <w:tcPr>
            <w:tcW w:w="1653" w:type="dxa"/>
            <w:tcBorders>
              <w:top w:val="nil"/>
              <w:left w:val="nil"/>
              <w:bottom w:val="single" w:color="auto" w:sz="4" w:space="0"/>
              <w:right w:val="single" w:color="auto" w:sz="4" w:space="0"/>
            </w:tcBorders>
            <w:vAlign w:val="center"/>
          </w:tcPr>
          <w:p w14:paraId="2A76E8AA">
            <w:pPr>
              <w:widowControl/>
              <w:wordWrap w:val="0"/>
              <w:jc w:val="left"/>
              <w:rPr>
                <w:rFonts w:ascii="宋体" w:hAnsi="宋体" w:cs="宋体"/>
                <w:color w:val="auto"/>
                <w:kern w:val="0"/>
                <w:szCs w:val="21"/>
              </w:rPr>
            </w:pPr>
            <w:r>
              <w:rPr>
                <w:rFonts w:hint="eastAsia" w:ascii="宋体" w:hAnsi="宋体" w:cs="宋体"/>
                <w:color w:val="auto"/>
                <w:kern w:val="0"/>
                <w:szCs w:val="21"/>
              </w:rPr>
              <w:t>营业收入（Y）</w:t>
            </w:r>
          </w:p>
        </w:tc>
        <w:tc>
          <w:tcPr>
            <w:tcW w:w="1091" w:type="dxa"/>
            <w:tcBorders>
              <w:top w:val="nil"/>
              <w:left w:val="nil"/>
              <w:bottom w:val="single" w:color="auto" w:sz="4" w:space="0"/>
              <w:right w:val="single" w:color="auto" w:sz="4" w:space="0"/>
            </w:tcBorders>
            <w:vAlign w:val="center"/>
          </w:tcPr>
          <w:p w14:paraId="78490DCB">
            <w:pPr>
              <w:widowControl/>
              <w:wordWrap w:val="0"/>
              <w:jc w:val="left"/>
              <w:rPr>
                <w:rFonts w:ascii="宋体" w:hAnsi="宋体" w:cs="宋体"/>
                <w:color w:val="auto"/>
                <w:kern w:val="0"/>
                <w:szCs w:val="21"/>
              </w:rPr>
            </w:pPr>
            <w:r>
              <w:rPr>
                <w:rFonts w:hint="eastAsia" w:ascii="宋体" w:hAnsi="宋体" w:cs="宋体"/>
                <w:color w:val="auto"/>
                <w:kern w:val="0"/>
                <w:szCs w:val="21"/>
              </w:rPr>
              <w:t>万元</w:t>
            </w:r>
          </w:p>
        </w:tc>
        <w:tc>
          <w:tcPr>
            <w:tcW w:w="1935" w:type="dxa"/>
            <w:tcBorders>
              <w:top w:val="nil"/>
              <w:left w:val="nil"/>
              <w:bottom w:val="single" w:color="auto" w:sz="4" w:space="0"/>
              <w:right w:val="single" w:color="auto" w:sz="4" w:space="0"/>
            </w:tcBorders>
            <w:vAlign w:val="center"/>
          </w:tcPr>
          <w:p w14:paraId="6B5D2DCB">
            <w:pPr>
              <w:widowControl/>
              <w:wordWrap w:val="0"/>
              <w:jc w:val="left"/>
              <w:rPr>
                <w:rFonts w:ascii="宋体" w:hAnsi="宋体" w:cs="宋体"/>
                <w:color w:val="auto"/>
                <w:kern w:val="0"/>
                <w:szCs w:val="21"/>
              </w:rPr>
            </w:pPr>
            <w:r>
              <w:rPr>
                <w:rFonts w:hint="eastAsia" w:ascii="宋体" w:hAnsi="宋体" w:cs="宋体"/>
                <w:color w:val="auto"/>
                <w:kern w:val="0"/>
                <w:szCs w:val="21"/>
              </w:rPr>
              <w:t>2000≤Y＜10000</w:t>
            </w:r>
          </w:p>
        </w:tc>
        <w:tc>
          <w:tcPr>
            <w:tcW w:w="1720" w:type="dxa"/>
            <w:tcBorders>
              <w:top w:val="nil"/>
              <w:left w:val="nil"/>
              <w:bottom w:val="single" w:color="auto" w:sz="4" w:space="0"/>
              <w:right w:val="single" w:color="auto" w:sz="4" w:space="0"/>
            </w:tcBorders>
            <w:vAlign w:val="center"/>
          </w:tcPr>
          <w:p w14:paraId="0EBEA7FA">
            <w:pPr>
              <w:widowControl/>
              <w:wordWrap w:val="0"/>
              <w:jc w:val="left"/>
              <w:rPr>
                <w:rFonts w:ascii="宋体" w:hAnsi="宋体" w:cs="宋体"/>
                <w:color w:val="auto"/>
                <w:kern w:val="0"/>
                <w:szCs w:val="21"/>
              </w:rPr>
            </w:pPr>
            <w:r>
              <w:rPr>
                <w:rFonts w:hint="eastAsia" w:ascii="宋体" w:hAnsi="宋体" w:cs="宋体"/>
                <w:color w:val="auto"/>
                <w:kern w:val="0"/>
                <w:szCs w:val="21"/>
              </w:rPr>
              <w:t>100≤Y＜2000</w:t>
            </w:r>
          </w:p>
        </w:tc>
        <w:tc>
          <w:tcPr>
            <w:tcW w:w="1105" w:type="dxa"/>
            <w:tcBorders>
              <w:top w:val="nil"/>
              <w:left w:val="nil"/>
              <w:bottom w:val="single" w:color="auto" w:sz="4" w:space="0"/>
              <w:right w:val="single" w:color="auto" w:sz="4" w:space="0"/>
            </w:tcBorders>
            <w:vAlign w:val="center"/>
          </w:tcPr>
          <w:p w14:paraId="6D70E4CF">
            <w:pPr>
              <w:widowControl/>
              <w:wordWrap w:val="0"/>
              <w:jc w:val="left"/>
              <w:rPr>
                <w:rFonts w:ascii="宋体" w:hAnsi="宋体" w:cs="宋体"/>
                <w:color w:val="auto"/>
                <w:kern w:val="0"/>
                <w:szCs w:val="21"/>
              </w:rPr>
            </w:pPr>
            <w:r>
              <w:rPr>
                <w:rFonts w:hint="eastAsia" w:ascii="宋体" w:hAnsi="宋体" w:cs="宋体"/>
                <w:color w:val="auto"/>
                <w:kern w:val="0"/>
                <w:szCs w:val="21"/>
              </w:rPr>
              <w:t>Y＜100</w:t>
            </w:r>
          </w:p>
        </w:tc>
      </w:tr>
      <w:tr w14:paraId="7F43701E">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2191AC5B">
            <w:pPr>
              <w:widowControl/>
              <w:wordWrap w:val="0"/>
              <w:jc w:val="center"/>
              <w:rPr>
                <w:rFonts w:ascii="宋体" w:hAnsi="宋体" w:cs="宋体"/>
                <w:b/>
                <w:bCs/>
                <w:color w:val="auto"/>
                <w:kern w:val="0"/>
                <w:szCs w:val="21"/>
              </w:rPr>
            </w:pPr>
            <w:r>
              <w:rPr>
                <w:rFonts w:hint="eastAsia" w:ascii="宋体" w:hAnsi="宋体" w:cs="宋体"/>
                <w:b/>
                <w:bCs/>
                <w:color w:val="auto"/>
                <w:kern w:val="0"/>
                <w:szCs w:val="21"/>
              </w:rPr>
              <w:t>信息传输业</w:t>
            </w:r>
          </w:p>
        </w:tc>
        <w:tc>
          <w:tcPr>
            <w:tcW w:w="1653" w:type="dxa"/>
            <w:tcBorders>
              <w:top w:val="nil"/>
              <w:left w:val="nil"/>
              <w:bottom w:val="single" w:color="auto" w:sz="4" w:space="0"/>
              <w:right w:val="single" w:color="auto" w:sz="4" w:space="0"/>
            </w:tcBorders>
            <w:vAlign w:val="center"/>
          </w:tcPr>
          <w:p w14:paraId="6DC92F7D">
            <w:pPr>
              <w:widowControl/>
              <w:wordWrap w:val="0"/>
              <w:jc w:val="left"/>
              <w:rPr>
                <w:rFonts w:ascii="宋体" w:hAnsi="宋体" w:cs="宋体"/>
                <w:color w:val="auto"/>
                <w:kern w:val="0"/>
                <w:szCs w:val="21"/>
              </w:rPr>
            </w:pPr>
            <w:r>
              <w:rPr>
                <w:rFonts w:hint="eastAsia" w:ascii="宋体" w:hAnsi="宋体" w:cs="宋体"/>
                <w:color w:val="auto"/>
                <w:kern w:val="0"/>
                <w:szCs w:val="21"/>
              </w:rPr>
              <w:t>从业人员（X）</w:t>
            </w:r>
          </w:p>
        </w:tc>
        <w:tc>
          <w:tcPr>
            <w:tcW w:w="1091" w:type="dxa"/>
            <w:tcBorders>
              <w:top w:val="nil"/>
              <w:left w:val="nil"/>
              <w:bottom w:val="single" w:color="auto" w:sz="4" w:space="0"/>
              <w:right w:val="single" w:color="auto" w:sz="4" w:space="0"/>
            </w:tcBorders>
            <w:vAlign w:val="center"/>
          </w:tcPr>
          <w:p w14:paraId="676006A1">
            <w:pPr>
              <w:widowControl/>
              <w:wordWrap w:val="0"/>
              <w:jc w:val="left"/>
              <w:rPr>
                <w:rFonts w:ascii="宋体" w:hAnsi="宋体" w:cs="宋体"/>
                <w:color w:val="auto"/>
                <w:kern w:val="0"/>
                <w:szCs w:val="21"/>
              </w:rPr>
            </w:pPr>
            <w:r>
              <w:rPr>
                <w:rFonts w:hint="eastAsia" w:ascii="宋体" w:hAnsi="宋体" w:cs="宋体"/>
                <w:color w:val="auto"/>
                <w:kern w:val="0"/>
                <w:szCs w:val="21"/>
              </w:rPr>
              <w:t>人</w:t>
            </w:r>
          </w:p>
        </w:tc>
        <w:tc>
          <w:tcPr>
            <w:tcW w:w="1935" w:type="dxa"/>
            <w:tcBorders>
              <w:top w:val="nil"/>
              <w:left w:val="nil"/>
              <w:bottom w:val="single" w:color="auto" w:sz="4" w:space="0"/>
              <w:right w:val="single" w:color="auto" w:sz="4" w:space="0"/>
            </w:tcBorders>
            <w:vAlign w:val="center"/>
          </w:tcPr>
          <w:p w14:paraId="06F43A50">
            <w:pPr>
              <w:widowControl/>
              <w:wordWrap w:val="0"/>
              <w:jc w:val="left"/>
              <w:rPr>
                <w:rFonts w:ascii="宋体" w:hAnsi="宋体" w:cs="宋体"/>
                <w:color w:val="auto"/>
                <w:kern w:val="0"/>
                <w:szCs w:val="21"/>
              </w:rPr>
            </w:pPr>
            <w:r>
              <w:rPr>
                <w:rFonts w:hint="eastAsia" w:ascii="宋体" w:hAnsi="宋体" w:cs="宋体"/>
                <w:color w:val="auto"/>
                <w:kern w:val="0"/>
                <w:szCs w:val="21"/>
              </w:rPr>
              <w:t>100≤X＜2000</w:t>
            </w:r>
          </w:p>
        </w:tc>
        <w:tc>
          <w:tcPr>
            <w:tcW w:w="1720" w:type="dxa"/>
            <w:tcBorders>
              <w:top w:val="nil"/>
              <w:left w:val="nil"/>
              <w:bottom w:val="single" w:color="auto" w:sz="4" w:space="0"/>
              <w:right w:val="single" w:color="auto" w:sz="4" w:space="0"/>
            </w:tcBorders>
            <w:vAlign w:val="center"/>
          </w:tcPr>
          <w:p w14:paraId="13E9ACCD">
            <w:pPr>
              <w:widowControl/>
              <w:wordWrap w:val="0"/>
              <w:jc w:val="left"/>
              <w:rPr>
                <w:rFonts w:ascii="宋体" w:hAnsi="宋体" w:cs="宋体"/>
                <w:color w:val="auto"/>
                <w:kern w:val="0"/>
                <w:szCs w:val="21"/>
              </w:rPr>
            </w:pPr>
            <w:r>
              <w:rPr>
                <w:rFonts w:hint="eastAsia" w:ascii="宋体" w:hAnsi="宋体" w:cs="宋体"/>
                <w:color w:val="auto"/>
                <w:kern w:val="0"/>
                <w:szCs w:val="21"/>
              </w:rPr>
              <w:t>10≤X＜100</w:t>
            </w:r>
          </w:p>
        </w:tc>
        <w:tc>
          <w:tcPr>
            <w:tcW w:w="1105" w:type="dxa"/>
            <w:tcBorders>
              <w:top w:val="nil"/>
              <w:left w:val="nil"/>
              <w:bottom w:val="single" w:color="auto" w:sz="4" w:space="0"/>
              <w:right w:val="single" w:color="auto" w:sz="4" w:space="0"/>
            </w:tcBorders>
            <w:vAlign w:val="center"/>
          </w:tcPr>
          <w:p w14:paraId="4A353DC7">
            <w:pPr>
              <w:widowControl/>
              <w:wordWrap w:val="0"/>
              <w:jc w:val="left"/>
              <w:rPr>
                <w:rFonts w:ascii="宋体" w:hAnsi="宋体" w:cs="宋体"/>
                <w:color w:val="auto"/>
                <w:kern w:val="0"/>
                <w:szCs w:val="21"/>
              </w:rPr>
            </w:pPr>
            <w:r>
              <w:rPr>
                <w:rFonts w:hint="eastAsia" w:ascii="宋体" w:hAnsi="宋体" w:cs="宋体"/>
                <w:color w:val="auto"/>
                <w:kern w:val="0"/>
                <w:szCs w:val="21"/>
              </w:rPr>
              <w:t>X＜10</w:t>
            </w:r>
          </w:p>
        </w:tc>
      </w:tr>
      <w:tr w14:paraId="1DC8C86F">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0A6709A6">
            <w:pPr>
              <w:widowControl/>
              <w:wordWrap w:val="0"/>
              <w:jc w:val="left"/>
              <w:rPr>
                <w:rFonts w:ascii="宋体" w:hAnsi="宋体" w:cs="宋体"/>
                <w:b/>
                <w:bCs/>
                <w:color w:val="auto"/>
                <w:kern w:val="0"/>
                <w:szCs w:val="21"/>
              </w:rPr>
            </w:pPr>
          </w:p>
        </w:tc>
        <w:tc>
          <w:tcPr>
            <w:tcW w:w="1653" w:type="dxa"/>
            <w:tcBorders>
              <w:top w:val="nil"/>
              <w:left w:val="nil"/>
              <w:bottom w:val="single" w:color="auto" w:sz="4" w:space="0"/>
              <w:right w:val="single" w:color="auto" w:sz="4" w:space="0"/>
            </w:tcBorders>
            <w:vAlign w:val="center"/>
          </w:tcPr>
          <w:p w14:paraId="64B40FEE">
            <w:pPr>
              <w:widowControl/>
              <w:wordWrap w:val="0"/>
              <w:jc w:val="left"/>
              <w:rPr>
                <w:rFonts w:ascii="宋体" w:hAnsi="宋体" w:cs="宋体"/>
                <w:color w:val="auto"/>
                <w:kern w:val="0"/>
                <w:szCs w:val="21"/>
              </w:rPr>
            </w:pPr>
            <w:r>
              <w:rPr>
                <w:rFonts w:hint="eastAsia" w:ascii="宋体" w:hAnsi="宋体" w:cs="宋体"/>
                <w:color w:val="auto"/>
                <w:kern w:val="0"/>
                <w:szCs w:val="21"/>
              </w:rPr>
              <w:t>营业收入（Y）</w:t>
            </w:r>
          </w:p>
        </w:tc>
        <w:tc>
          <w:tcPr>
            <w:tcW w:w="1091" w:type="dxa"/>
            <w:tcBorders>
              <w:top w:val="nil"/>
              <w:left w:val="nil"/>
              <w:bottom w:val="single" w:color="auto" w:sz="4" w:space="0"/>
              <w:right w:val="single" w:color="auto" w:sz="4" w:space="0"/>
            </w:tcBorders>
            <w:vAlign w:val="center"/>
          </w:tcPr>
          <w:p w14:paraId="0698F1CA">
            <w:pPr>
              <w:widowControl/>
              <w:wordWrap w:val="0"/>
              <w:jc w:val="left"/>
              <w:rPr>
                <w:rFonts w:ascii="宋体" w:hAnsi="宋体" w:cs="宋体"/>
                <w:color w:val="auto"/>
                <w:kern w:val="0"/>
                <w:szCs w:val="21"/>
              </w:rPr>
            </w:pPr>
            <w:r>
              <w:rPr>
                <w:rFonts w:hint="eastAsia" w:ascii="宋体" w:hAnsi="宋体" w:cs="宋体"/>
                <w:color w:val="auto"/>
                <w:kern w:val="0"/>
                <w:szCs w:val="21"/>
              </w:rPr>
              <w:t>万元</w:t>
            </w:r>
          </w:p>
        </w:tc>
        <w:tc>
          <w:tcPr>
            <w:tcW w:w="1935" w:type="dxa"/>
            <w:tcBorders>
              <w:top w:val="nil"/>
              <w:left w:val="nil"/>
              <w:bottom w:val="single" w:color="auto" w:sz="4" w:space="0"/>
              <w:right w:val="single" w:color="auto" w:sz="4" w:space="0"/>
            </w:tcBorders>
            <w:vAlign w:val="center"/>
          </w:tcPr>
          <w:p w14:paraId="5D30F79C">
            <w:pPr>
              <w:widowControl/>
              <w:wordWrap w:val="0"/>
              <w:jc w:val="left"/>
              <w:rPr>
                <w:rFonts w:ascii="宋体" w:hAnsi="宋体" w:cs="宋体"/>
                <w:color w:val="auto"/>
                <w:kern w:val="0"/>
                <w:szCs w:val="21"/>
              </w:rPr>
            </w:pPr>
            <w:r>
              <w:rPr>
                <w:rFonts w:hint="eastAsia" w:ascii="宋体" w:hAnsi="宋体" w:cs="宋体"/>
                <w:color w:val="auto"/>
                <w:kern w:val="0"/>
                <w:szCs w:val="21"/>
              </w:rPr>
              <w:t>1000≤Y＜100000</w:t>
            </w:r>
          </w:p>
        </w:tc>
        <w:tc>
          <w:tcPr>
            <w:tcW w:w="1720" w:type="dxa"/>
            <w:tcBorders>
              <w:top w:val="nil"/>
              <w:left w:val="nil"/>
              <w:bottom w:val="single" w:color="auto" w:sz="4" w:space="0"/>
              <w:right w:val="single" w:color="auto" w:sz="4" w:space="0"/>
            </w:tcBorders>
            <w:vAlign w:val="center"/>
          </w:tcPr>
          <w:p w14:paraId="6DDFC37D">
            <w:pPr>
              <w:widowControl/>
              <w:wordWrap w:val="0"/>
              <w:jc w:val="left"/>
              <w:rPr>
                <w:rFonts w:ascii="宋体" w:hAnsi="宋体" w:cs="宋体"/>
                <w:color w:val="auto"/>
                <w:kern w:val="0"/>
                <w:szCs w:val="21"/>
              </w:rPr>
            </w:pPr>
            <w:r>
              <w:rPr>
                <w:rFonts w:hint="eastAsia" w:ascii="宋体" w:hAnsi="宋体" w:cs="宋体"/>
                <w:color w:val="auto"/>
                <w:kern w:val="0"/>
                <w:szCs w:val="21"/>
              </w:rPr>
              <w:t>100≤Y＜1000</w:t>
            </w:r>
          </w:p>
        </w:tc>
        <w:tc>
          <w:tcPr>
            <w:tcW w:w="1105" w:type="dxa"/>
            <w:tcBorders>
              <w:top w:val="nil"/>
              <w:left w:val="nil"/>
              <w:bottom w:val="single" w:color="auto" w:sz="4" w:space="0"/>
              <w:right w:val="single" w:color="auto" w:sz="4" w:space="0"/>
            </w:tcBorders>
            <w:vAlign w:val="center"/>
          </w:tcPr>
          <w:p w14:paraId="1CB76DAB">
            <w:pPr>
              <w:widowControl/>
              <w:wordWrap w:val="0"/>
              <w:jc w:val="left"/>
              <w:rPr>
                <w:rFonts w:ascii="宋体" w:hAnsi="宋体" w:cs="宋体"/>
                <w:color w:val="auto"/>
                <w:kern w:val="0"/>
                <w:szCs w:val="21"/>
              </w:rPr>
            </w:pPr>
            <w:r>
              <w:rPr>
                <w:rFonts w:hint="eastAsia" w:ascii="宋体" w:hAnsi="宋体" w:cs="宋体"/>
                <w:color w:val="auto"/>
                <w:kern w:val="0"/>
                <w:szCs w:val="21"/>
              </w:rPr>
              <w:t>Y＜100</w:t>
            </w:r>
          </w:p>
        </w:tc>
      </w:tr>
      <w:tr w14:paraId="7908CA41">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21919272">
            <w:pPr>
              <w:widowControl/>
              <w:wordWrap w:val="0"/>
              <w:jc w:val="center"/>
              <w:rPr>
                <w:rFonts w:ascii="宋体" w:hAnsi="宋体" w:cs="宋体"/>
                <w:b/>
                <w:bCs/>
                <w:color w:val="auto"/>
                <w:kern w:val="0"/>
                <w:szCs w:val="21"/>
              </w:rPr>
            </w:pPr>
            <w:r>
              <w:rPr>
                <w:rFonts w:hint="eastAsia" w:ascii="宋体" w:hAnsi="宋体" w:cs="宋体"/>
                <w:b/>
                <w:bCs/>
                <w:color w:val="auto"/>
                <w:kern w:val="0"/>
                <w:szCs w:val="21"/>
              </w:rPr>
              <w:t>软件和信息技术服务业</w:t>
            </w:r>
          </w:p>
        </w:tc>
        <w:tc>
          <w:tcPr>
            <w:tcW w:w="1653" w:type="dxa"/>
            <w:tcBorders>
              <w:top w:val="nil"/>
              <w:left w:val="nil"/>
              <w:bottom w:val="single" w:color="auto" w:sz="4" w:space="0"/>
              <w:right w:val="single" w:color="auto" w:sz="4" w:space="0"/>
            </w:tcBorders>
            <w:vAlign w:val="center"/>
          </w:tcPr>
          <w:p w14:paraId="06617FC6">
            <w:pPr>
              <w:widowControl/>
              <w:wordWrap w:val="0"/>
              <w:jc w:val="left"/>
              <w:rPr>
                <w:rFonts w:ascii="宋体" w:hAnsi="宋体" w:cs="宋体"/>
                <w:color w:val="auto"/>
                <w:kern w:val="0"/>
                <w:szCs w:val="21"/>
              </w:rPr>
            </w:pPr>
            <w:r>
              <w:rPr>
                <w:rFonts w:hint="eastAsia" w:ascii="宋体" w:hAnsi="宋体" w:cs="宋体"/>
                <w:color w:val="auto"/>
                <w:kern w:val="0"/>
                <w:szCs w:val="21"/>
              </w:rPr>
              <w:t>从业人员（X）</w:t>
            </w:r>
          </w:p>
        </w:tc>
        <w:tc>
          <w:tcPr>
            <w:tcW w:w="1091" w:type="dxa"/>
            <w:tcBorders>
              <w:top w:val="nil"/>
              <w:left w:val="nil"/>
              <w:bottom w:val="single" w:color="auto" w:sz="4" w:space="0"/>
              <w:right w:val="single" w:color="auto" w:sz="4" w:space="0"/>
            </w:tcBorders>
            <w:vAlign w:val="center"/>
          </w:tcPr>
          <w:p w14:paraId="5F1B7B9F">
            <w:pPr>
              <w:widowControl/>
              <w:wordWrap w:val="0"/>
              <w:jc w:val="left"/>
              <w:rPr>
                <w:rFonts w:ascii="宋体" w:hAnsi="宋体" w:cs="宋体"/>
                <w:color w:val="auto"/>
                <w:kern w:val="0"/>
                <w:szCs w:val="21"/>
              </w:rPr>
            </w:pPr>
            <w:r>
              <w:rPr>
                <w:rFonts w:hint="eastAsia" w:ascii="宋体" w:hAnsi="宋体" w:cs="宋体"/>
                <w:color w:val="auto"/>
                <w:kern w:val="0"/>
                <w:szCs w:val="21"/>
              </w:rPr>
              <w:t>人</w:t>
            </w:r>
          </w:p>
        </w:tc>
        <w:tc>
          <w:tcPr>
            <w:tcW w:w="1935" w:type="dxa"/>
            <w:tcBorders>
              <w:top w:val="nil"/>
              <w:left w:val="nil"/>
              <w:bottom w:val="single" w:color="auto" w:sz="4" w:space="0"/>
              <w:right w:val="single" w:color="auto" w:sz="4" w:space="0"/>
            </w:tcBorders>
            <w:vAlign w:val="center"/>
          </w:tcPr>
          <w:p w14:paraId="2FF45D19">
            <w:pPr>
              <w:widowControl/>
              <w:wordWrap w:val="0"/>
              <w:jc w:val="left"/>
              <w:rPr>
                <w:rFonts w:ascii="宋体" w:hAnsi="宋体" w:cs="宋体"/>
                <w:color w:val="auto"/>
                <w:kern w:val="0"/>
                <w:szCs w:val="21"/>
              </w:rPr>
            </w:pPr>
            <w:r>
              <w:rPr>
                <w:rFonts w:hint="eastAsia" w:ascii="宋体" w:hAnsi="宋体" w:cs="宋体"/>
                <w:color w:val="auto"/>
                <w:kern w:val="0"/>
                <w:szCs w:val="21"/>
              </w:rPr>
              <w:t>100≤X＜300</w:t>
            </w:r>
          </w:p>
        </w:tc>
        <w:tc>
          <w:tcPr>
            <w:tcW w:w="1720" w:type="dxa"/>
            <w:tcBorders>
              <w:top w:val="nil"/>
              <w:left w:val="nil"/>
              <w:bottom w:val="single" w:color="auto" w:sz="4" w:space="0"/>
              <w:right w:val="single" w:color="auto" w:sz="4" w:space="0"/>
            </w:tcBorders>
            <w:vAlign w:val="center"/>
          </w:tcPr>
          <w:p w14:paraId="5F531A28">
            <w:pPr>
              <w:widowControl/>
              <w:wordWrap w:val="0"/>
              <w:jc w:val="left"/>
              <w:rPr>
                <w:rFonts w:ascii="宋体" w:hAnsi="宋体" w:cs="宋体"/>
                <w:color w:val="auto"/>
                <w:kern w:val="0"/>
                <w:szCs w:val="21"/>
              </w:rPr>
            </w:pPr>
            <w:r>
              <w:rPr>
                <w:rFonts w:hint="eastAsia" w:ascii="宋体" w:hAnsi="宋体" w:cs="宋体"/>
                <w:color w:val="auto"/>
                <w:kern w:val="0"/>
                <w:szCs w:val="21"/>
              </w:rPr>
              <w:t>10≤X＜100</w:t>
            </w:r>
          </w:p>
        </w:tc>
        <w:tc>
          <w:tcPr>
            <w:tcW w:w="1105" w:type="dxa"/>
            <w:tcBorders>
              <w:top w:val="nil"/>
              <w:left w:val="nil"/>
              <w:bottom w:val="single" w:color="auto" w:sz="4" w:space="0"/>
              <w:right w:val="single" w:color="auto" w:sz="4" w:space="0"/>
            </w:tcBorders>
            <w:vAlign w:val="center"/>
          </w:tcPr>
          <w:p w14:paraId="7AAC8264">
            <w:pPr>
              <w:widowControl/>
              <w:wordWrap w:val="0"/>
              <w:jc w:val="left"/>
              <w:rPr>
                <w:rFonts w:ascii="宋体" w:hAnsi="宋体" w:cs="宋体"/>
                <w:color w:val="auto"/>
                <w:kern w:val="0"/>
                <w:szCs w:val="21"/>
              </w:rPr>
            </w:pPr>
            <w:r>
              <w:rPr>
                <w:rFonts w:hint="eastAsia" w:ascii="宋体" w:hAnsi="宋体" w:cs="宋体"/>
                <w:color w:val="auto"/>
                <w:kern w:val="0"/>
                <w:szCs w:val="21"/>
              </w:rPr>
              <w:t>X＜10</w:t>
            </w:r>
          </w:p>
        </w:tc>
      </w:tr>
      <w:tr w14:paraId="29F58FF3">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4F3F859C">
            <w:pPr>
              <w:widowControl/>
              <w:wordWrap w:val="0"/>
              <w:jc w:val="left"/>
              <w:rPr>
                <w:rFonts w:ascii="宋体" w:hAnsi="宋体" w:cs="宋体"/>
                <w:b/>
                <w:bCs/>
                <w:color w:val="auto"/>
                <w:kern w:val="0"/>
                <w:szCs w:val="21"/>
              </w:rPr>
            </w:pPr>
          </w:p>
        </w:tc>
        <w:tc>
          <w:tcPr>
            <w:tcW w:w="1653" w:type="dxa"/>
            <w:tcBorders>
              <w:top w:val="nil"/>
              <w:left w:val="nil"/>
              <w:bottom w:val="single" w:color="auto" w:sz="4" w:space="0"/>
              <w:right w:val="single" w:color="auto" w:sz="4" w:space="0"/>
            </w:tcBorders>
            <w:vAlign w:val="center"/>
          </w:tcPr>
          <w:p w14:paraId="4C0005C4">
            <w:pPr>
              <w:widowControl/>
              <w:wordWrap w:val="0"/>
              <w:jc w:val="left"/>
              <w:rPr>
                <w:rFonts w:ascii="宋体" w:hAnsi="宋体" w:cs="宋体"/>
                <w:color w:val="auto"/>
                <w:kern w:val="0"/>
                <w:szCs w:val="21"/>
              </w:rPr>
            </w:pPr>
            <w:r>
              <w:rPr>
                <w:rFonts w:hint="eastAsia" w:ascii="宋体" w:hAnsi="宋体" w:cs="宋体"/>
                <w:color w:val="auto"/>
                <w:kern w:val="0"/>
                <w:szCs w:val="21"/>
              </w:rPr>
              <w:t>营业收入（Y）</w:t>
            </w:r>
          </w:p>
        </w:tc>
        <w:tc>
          <w:tcPr>
            <w:tcW w:w="1091" w:type="dxa"/>
            <w:tcBorders>
              <w:top w:val="nil"/>
              <w:left w:val="nil"/>
              <w:bottom w:val="single" w:color="auto" w:sz="4" w:space="0"/>
              <w:right w:val="single" w:color="auto" w:sz="4" w:space="0"/>
            </w:tcBorders>
            <w:vAlign w:val="center"/>
          </w:tcPr>
          <w:p w14:paraId="5D9D8523">
            <w:pPr>
              <w:widowControl/>
              <w:wordWrap w:val="0"/>
              <w:jc w:val="left"/>
              <w:rPr>
                <w:rFonts w:ascii="宋体" w:hAnsi="宋体" w:cs="宋体"/>
                <w:color w:val="auto"/>
                <w:kern w:val="0"/>
                <w:szCs w:val="21"/>
              </w:rPr>
            </w:pPr>
            <w:r>
              <w:rPr>
                <w:rFonts w:hint="eastAsia" w:ascii="宋体" w:hAnsi="宋体" w:cs="宋体"/>
                <w:color w:val="auto"/>
                <w:kern w:val="0"/>
                <w:szCs w:val="21"/>
              </w:rPr>
              <w:t>万元</w:t>
            </w:r>
          </w:p>
        </w:tc>
        <w:tc>
          <w:tcPr>
            <w:tcW w:w="1935" w:type="dxa"/>
            <w:tcBorders>
              <w:top w:val="nil"/>
              <w:left w:val="nil"/>
              <w:bottom w:val="single" w:color="auto" w:sz="4" w:space="0"/>
              <w:right w:val="single" w:color="auto" w:sz="4" w:space="0"/>
            </w:tcBorders>
            <w:vAlign w:val="center"/>
          </w:tcPr>
          <w:p w14:paraId="4457D85B">
            <w:pPr>
              <w:widowControl/>
              <w:wordWrap w:val="0"/>
              <w:jc w:val="left"/>
              <w:rPr>
                <w:rFonts w:ascii="宋体" w:hAnsi="宋体" w:cs="宋体"/>
                <w:color w:val="auto"/>
                <w:kern w:val="0"/>
                <w:szCs w:val="21"/>
              </w:rPr>
            </w:pPr>
            <w:r>
              <w:rPr>
                <w:rFonts w:hint="eastAsia" w:ascii="宋体" w:hAnsi="宋体" w:cs="宋体"/>
                <w:color w:val="auto"/>
                <w:kern w:val="0"/>
                <w:szCs w:val="21"/>
              </w:rPr>
              <w:t>1000≤Y＜10000</w:t>
            </w:r>
          </w:p>
        </w:tc>
        <w:tc>
          <w:tcPr>
            <w:tcW w:w="1720" w:type="dxa"/>
            <w:tcBorders>
              <w:top w:val="nil"/>
              <w:left w:val="nil"/>
              <w:bottom w:val="single" w:color="auto" w:sz="4" w:space="0"/>
              <w:right w:val="single" w:color="auto" w:sz="4" w:space="0"/>
            </w:tcBorders>
            <w:vAlign w:val="center"/>
          </w:tcPr>
          <w:p w14:paraId="5BF5367F">
            <w:pPr>
              <w:widowControl/>
              <w:wordWrap w:val="0"/>
              <w:jc w:val="left"/>
              <w:rPr>
                <w:rFonts w:ascii="宋体" w:hAnsi="宋体" w:cs="宋体"/>
                <w:color w:val="auto"/>
                <w:kern w:val="0"/>
                <w:szCs w:val="21"/>
              </w:rPr>
            </w:pPr>
            <w:r>
              <w:rPr>
                <w:rFonts w:hint="eastAsia" w:ascii="宋体" w:hAnsi="宋体" w:cs="宋体"/>
                <w:color w:val="auto"/>
                <w:kern w:val="0"/>
                <w:szCs w:val="21"/>
              </w:rPr>
              <w:t>50≤Y＜1000</w:t>
            </w:r>
          </w:p>
        </w:tc>
        <w:tc>
          <w:tcPr>
            <w:tcW w:w="1105" w:type="dxa"/>
            <w:tcBorders>
              <w:top w:val="nil"/>
              <w:left w:val="nil"/>
              <w:bottom w:val="single" w:color="auto" w:sz="4" w:space="0"/>
              <w:right w:val="single" w:color="auto" w:sz="4" w:space="0"/>
            </w:tcBorders>
            <w:vAlign w:val="center"/>
          </w:tcPr>
          <w:p w14:paraId="73C73EA6">
            <w:pPr>
              <w:widowControl/>
              <w:wordWrap w:val="0"/>
              <w:jc w:val="left"/>
              <w:rPr>
                <w:rFonts w:ascii="宋体" w:hAnsi="宋体" w:cs="宋体"/>
                <w:color w:val="auto"/>
                <w:kern w:val="0"/>
                <w:szCs w:val="21"/>
              </w:rPr>
            </w:pPr>
            <w:r>
              <w:rPr>
                <w:rFonts w:hint="eastAsia" w:ascii="宋体" w:hAnsi="宋体" w:cs="宋体"/>
                <w:color w:val="auto"/>
                <w:kern w:val="0"/>
                <w:szCs w:val="21"/>
              </w:rPr>
              <w:t>Y＜50</w:t>
            </w:r>
          </w:p>
        </w:tc>
      </w:tr>
      <w:tr w14:paraId="309F3E20">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1A7371BC">
            <w:pPr>
              <w:widowControl/>
              <w:wordWrap w:val="0"/>
              <w:jc w:val="center"/>
              <w:rPr>
                <w:rFonts w:ascii="宋体" w:hAnsi="宋体" w:cs="宋体"/>
                <w:b/>
                <w:bCs/>
                <w:color w:val="auto"/>
                <w:kern w:val="0"/>
                <w:szCs w:val="21"/>
              </w:rPr>
            </w:pPr>
            <w:r>
              <w:rPr>
                <w:rFonts w:hint="eastAsia" w:ascii="宋体" w:hAnsi="宋体" w:cs="宋体"/>
                <w:b/>
                <w:bCs/>
                <w:color w:val="auto"/>
                <w:kern w:val="0"/>
                <w:szCs w:val="21"/>
              </w:rPr>
              <w:t>房地产开发经营</w:t>
            </w:r>
          </w:p>
        </w:tc>
        <w:tc>
          <w:tcPr>
            <w:tcW w:w="1653" w:type="dxa"/>
            <w:tcBorders>
              <w:top w:val="nil"/>
              <w:left w:val="nil"/>
              <w:bottom w:val="single" w:color="auto" w:sz="4" w:space="0"/>
              <w:right w:val="single" w:color="auto" w:sz="4" w:space="0"/>
            </w:tcBorders>
            <w:vAlign w:val="center"/>
          </w:tcPr>
          <w:p w14:paraId="43C92DAA">
            <w:pPr>
              <w:widowControl/>
              <w:wordWrap w:val="0"/>
              <w:jc w:val="left"/>
              <w:rPr>
                <w:rFonts w:ascii="宋体" w:hAnsi="宋体" w:cs="宋体"/>
                <w:color w:val="auto"/>
                <w:kern w:val="0"/>
                <w:szCs w:val="21"/>
              </w:rPr>
            </w:pPr>
            <w:r>
              <w:rPr>
                <w:rFonts w:hint="eastAsia" w:ascii="宋体" w:hAnsi="宋体" w:cs="宋体"/>
                <w:color w:val="auto"/>
                <w:kern w:val="0"/>
                <w:szCs w:val="21"/>
              </w:rPr>
              <w:t>营业收入（Y）</w:t>
            </w:r>
          </w:p>
        </w:tc>
        <w:tc>
          <w:tcPr>
            <w:tcW w:w="1091" w:type="dxa"/>
            <w:tcBorders>
              <w:top w:val="nil"/>
              <w:left w:val="nil"/>
              <w:bottom w:val="single" w:color="auto" w:sz="4" w:space="0"/>
              <w:right w:val="single" w:color="auto" w:sz="4" w:space="0"/>
            </w:tcBorders>
            <w:vAlign w:val="center"/>
          </w:tcPr>
          <w:p w14:paraId="454156F4">
            <w:pPr>
              <w:widowControl/>
              <w:wordWrap w:val="0"/>
              <w:jc w:val="left"/>
              <w:rPr>
                <w:rFonts w:ascii="宋体" w:hAnsi="宋体" w:cs="宋体"/>
                <w:color w:val="auto"/>
                <w:kern w:val="0"/>
                <w:szCs w:val="21"/>
              </w:rPr>
            </w:pPr>
            <w:r>
              <w:rPr>
                <w:rFonts w:hint="eastAsia" w:ascii="宋体" w:hAnsi="宋体" w:cs="宋体"/>
                <w:color w:val="auto"/>
                <w:kern w:val="0"/>
                <w:szCs w:val="21"/>
              </w:rPr>
              <w:t>万元</w:t>
            </w:r>
          </w:p>
        </w:tc>
        <w:tc>
          <w:tcPr>
            <w:tcW w:w="1935" w:type="dxa"/>
            <w:tcBorders>
              <w:top w:val="nil"/>
              <w:left w:val="nil"/>
              <w:bottom w:val="single" w:color="auto" w:sz="4" w:space="0"/>
              <w:right w:val="single" w:color="auto" w:sz="4" w:space="0"/>
            </w:tcBorders>
            <w:vAlign w:val="center"/>
          </w:tcPr>
          <w:p w14:paraId="53BD051C">
            <w:pPr>
              <w:widowControl/>
              <w:wordWrap w:val="0"/>
              <w:jc w:val="left"/>
              <w:rPr>
                <w:rFonts w:ascii="宋体" w:hAnsi="宋体" w:cs="宋体"/>
                <w:color w:val="auto"/>
                <w:kern w:val="0"/>
                <w:szCs w:val="21"/>
              </w:rPr>
            </w:pPr>
            <w:r>
              <w:rPr>
                <w:rFonts w:hint="eastAsia" w:ascii="宋体" w:hAnsi="宋体" w:cs="宋体"/>
                <w:color w:val="auto"/>
                <w:kern w:val="0"/>
                <w:szCs w:val="21"/>
              </w:rPr>
              <w:t>1000≤Y＜200000</w:t>
            </w:r>
          </w:p>
        </w:tc>
        <w:tc>
          <w:tcPr>
            <w:tcW w:w="1720" w:type="dxa"/>
            <w:tcBorders>
              <w:top w:val="nil"/>
              <w:left w:val="nil"/>
              <w:bottom w:val="single" w:color="auto" w:sz="4" w:space="0"/>
              <w:right w:val="single" w:color="auto" w:sz="4" w:space="0"/>
            </w:tcBorders>
            <w:vAlign w:val="center"/>
          </w:tcPr>
          <w:p w14:paraId="245C6A6C">
            <w:pPr>
              <w:widowControl/>
              <w:wordWrap w:val="0"/>
              <w:jc w:val="left"/>
              <w:rPr>
                <w:rFonts w:ascii="宋体" w:hAnsi="宋体" w:cs="宋体"/>
                <w:color w:val="auto"/>
                <w:kern w:val="0"/>
                <w:szCs w:val="21"/>
              </w:rPr>
            </w:pPr>
            <w:r>
              <w:rPr>
                <w:rFonts w:hint="eastAsia" w:ascii="宋体" w:hAnsi="宋体" w:cs="宋体"/>
                <w:color w:val="auto"/>
                <w:kern w:val="0"/>
                <w:szCs w:val="21"/>
              </w:rPr>
              <w:t>100≤X＜1000</w:t>
            </w:r>
          </w:p>
        </w:tc>
        <w:tc>
          <w:tcPr>
            <w:tcW w:w="1105" w:type="dxa"/>
            <w:tcBorders>
              <w:top w:val="nil"/>
              <w:left w:val="nil"/>
              <w:bottom w:val="single" w:color="auto" w:sz="4" w:space="0"/>
              <w:right w:val="single" w:color="auto" w:sz="4" w:space="0"/>
            </w:tcBorders>
            <w:vAlign w:val="center"/>
          </w:tcPr>
          <w:p w14:paraId="0000F90D">
            <w:pPr>
              <w:widowControl/>
              <w:wordWrap w:val="0"/>
              <w:jc w:val="left"/>
              <w:rPr>
                <w:rFonts w:ascii="宋体" w:hAnsi="宋体" w:cs="宋体"/>
                <w:color w:val="auto"/>
                <w:kern w:val="0"/>
                <w:szCs w:val="21"/>
              </w:rPr>
            </w:pPr>
            <w:r>
              <w:rPr>
                <w:rFonts w:hint="eastAsia" w:ascii="宋体" w:hAnsi="宋体" w:cs="宋体"/>
                <w:color w:val="auto"/>
                <w:kern w:val="0"/>
                <w:szCs w:val="21"/>
              </w:rPr>
              <w:t>X＜100</w:t>
            </w:r>
          </w:p>
        </w:tc>
      </w:tr>
      <w:tr w14:paraId="2F0EFF58">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6D7ADE90">
            <w:pPr>
              <w:widowControl/>
              <w:wordWrap w:val="0"/>
              <w:jc w:val="left"/>
              <w:rPr>
                <w:rFonts w:ascii="宋体" w:hAnsi="宋体" w:cs="宋体"/>
                <w:b/>
                <w:bCs/>
                <w:color w:val="auto"/>
                <w:kern w:val="0"/>
                <w:szCs w:val="21"/>
              </w:rPr>
            </w:pPr>
          </w:p>
        </w:tc>
        <w:tc>
          <w:tcPr>
            <w:tcW w:w="1653" w:type="dxa"/>
            <w:tcBorders>
              <w:top w:val="nil"/>
              <w:left w:val="nil"/>
              <w:bottom w:val="single" w:color="auto" w:sz="4" w:space="0"/>
              <w:right w:val="single" w:color="auto" w:sz="4" w:space="0"/>
            </w:tcBorders>
            <w:vAlign w:val="center"/>
          </w:tcPr>
          <w:p w14:paraId="2FF72635">
            <w:pPr>
              <w:widowControl/>
              <w:wordWrap w:val="0"/>
              <w:jc w:val="left"/>
              <w:rPr>
                <w:rFonts w:ascii="宋体" w:hAnsi="宋体" w:cs="宋体"/>
                <w:color w:val="auto"/>
                <w:kern w:val="0"/>
                <w:szCs w:val="21"/>
              </w:rPr>
            </w:pPr>
            <w:r>
              <w:rPr>
                <w:rFonts w:hint="eastAsia" w:ascii="宋体" w:hAnsi="宋体" w:cs="宋体"/>
                <w:color w:val="auto"/>
                <w:kern w:val="0"/>
                <w:szCs w:val="21"/>
              </w:rPr>
              <w:t>资产总额（Z）</w:t>
            </w:r>
          </w:p>
        </w:tc>
        <w:tc>
          <w:tcPr>
            <w:tcW w:w="1091" w:type="dxa"/>
            <w:tcBorders>
              <w:top w:val="nil"/>
              <w:left w:val="nil"/>
              <w:bottom w:val="single" w:color="auto" w:sz="4" w:space="0"/>
              <w:right w:val="single" w:color="auto" w:sz="4" w:space="0"/>
            </w:tcBorders>
            <w:vAlign w:val="center"/>
          </w:tcPr>
          <w:p w14:paraId="0A357D35">
            <w:pPr>
              <w:widowControl/>
              <w:wordWrap w:val="0"/>
              <w:jc w:val="left"/>
              <w:rPr>
                <w:rFonts w:ascii="宋体" w:hAnsi="宋体" w:cs="宋体"/>
                <w:color w:val="auto"/>
                <w:kern w:val="0"/>
                <w:szCs w:val="21"/>
              </w:rPr>
            </w:pPr>
            <w:r>
              <w:rPr>
                <w:rFonts w:hint="eastAsia" w:ascii="宋体" w:hAnsi="宋体" w:cs="宋体"/>
                <w:color w:val="auto"/>
                <w:kern w:val="0"/>
                <w:szCs w:val="21"/>
              </w:rPr>
              <w:t>万元</w:t>
            </w:r>
          </w:p>
        </w:tc>
        <w:tc>
          <w:tcPr>
            <w:tcW w:w="1935" w:type="dxa"/>
            <w:tcBorders>
              <w:top w:val="nil"/>
              <w:left w:val="nil"/>
              <w:bottom w:val="single" w:color="auto" w:sz="4" w:space="0"/>
              <w:right w:val="single" w:color="auto" w:sz="4" w:space="0"/>
            </w:tcBorders>
            <w:vAlign w:val="center"/>
          </w:tcPr>
          <w:p w14:paraId="51B3CE2F">
            <w:pPr>
              <w:widowControl/>
              <w:wordWrap w:val="0"/>
              <w:jc w:val="left"/>
              <w:rPr>
                <w:rFonts w:ascii="宋体" w:hAnsi="宋体" w:cs="宋体"/>
                <w:color w:val="auto"/>
                <w:kern w:val="0"/>
                <w:szCs w:val="21"/>
              </w:rPr>
            </w:pPr>
            <w:r>
              <w:rPr>
                <w:rFonts w:hint="eastAsia" w:ascii="宋体" w:hAnsi="宋体" w:cs="宋体"/>
                <w:color w:val="auto"/>
                <w:kern w:val="0"/>
                <w:szCs w:val="21"/>
              </w:rPr>
              <w:t>5000≤Z＜10000</w:t>
            </w:r>
          </w:p>
        </w:tc>
        <w:tc>
          <w:tcPr>
            <w:tcW w:w="1720" w:type="dxa"/>
            <w:tcBorders>
              <w:top w:val="nil"/>
              <w:left w:val="nil"/>
              <w:bottom w:val="single" w:color="auto" w:sz="4" w:space="0"/>
              <w:right w:val="single" w:color="auto" w:sz="4" w:space="0"/>
            </w:tcBorders>
            <w:vAlign w:val="center"/>
          </w:tcPr>
          <w:p w14:paraId="6CC6280D">
            <w:pPr>
              <w:widowControl/>
              <w:wordWrap w:val="0"/>
              <w:jc w:val="left"/>
              <w:rPr>
                <w:rFonts w:ascii="宋体" w:hAnsi="宋体" w:cs="宋体"/>
                <w:color w:val="auto"/>
                <w:kern w:val="0"/>
                <w:szCs w:val="21"/>
              </w:rPr>
            </w:pPr>
            <w:r>
              <w:rPr>
                <w:rFonts w:hint="eastAsia" w:ascii="宋体" w:hAnsi="宋体" w:cs="宋体"/>
                <w:color w:val="auto"/>
                <w:kern w:val="0"/>
                <w:szCs w:val="21"/>
              </w:rPr>
              <w:t>2000≤Y＜5000</w:t>
            </w:r>
          </w:p>
        </w:tc>
        <w:tc>
          <w:tcPr>
            <w:tcW w:w="1105" w:type="dxa"/>
            <w:tcBorders>
              <w:top w:val="nil"/>
              <w:left w:val="nil"/>
              <w:bottom w:val="single" w:color="auto" w:sz="4" w:space="0"/>
              <w:right w:val="single" w:color="auto" w:sz="4" w:space="0"/>
            </w:tcBorders>
            <w:vAlign w:val="center"/>
          </w:tcPr>
          <w:p w14:paraId="7EC8D9DE">
            <w:pPr>
              <w:widowControl/>
              <w:wordWrap w:val="0"/>
              <w:jc w:val="left"/>
              <w:rPr>
                <w:rFonts w:ascii="宋体" w:hAnsi="宋体" w:cs="宋体"/>
                <w:color w:val="auto"/>
                <w:kern w:val="0"/>
                <w:szCs w:val="21"/>
              </w:rPr>
            </w:pPr>
            <w:r>
              <w:rPr>
                <w:rFonts w:hint="eastAsia" w:ascii="宋体" w:hAnsi="宋体" w:cs="宋体"/>
                <w:color w:val="auto"/>
                <w:kern w:val="0"/>
                <w:szCs w:val="21"/>
              </w:rPr>
              <w:t>Y＜2000</w:t>
            </w:r>
          </w:p>
        </w:tc>
      </w:tr>
      <w:tr w14:paraId="1F3EF639">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54101D1A">
            <w:pPr>
              <w:widowControl/>
              <w:wordWrap w:val="0"/>
              <w:jc w:val="center"/>
              <w:rPr>
                <w:rFonts w:ascii="宋体" w:hAnsi="宋体" w:cs="宋体"/>
                <w:b/>
                <w:bCs/>
                <w:color w:val="auto"/>
                <w:kern w:val="0"/>
                <w:szCs w:val="21"/>
              </w:rPr>
            </w:pPr>
            <w:r>
              <w:rPr>
                <w:rFonts w:hint="eastAsia" w:ascii="宋体" w:hAnsi="宋体" w:cs="宋体"/>
                <w:b/>
                <w:bCs/>
                <w:color w:val="auto"/>
                <w:kern w:val="0"/>
                <w:szCs w:val="21"/>
              </w:rPr>
              <w:t>物业管理</w:t>
            </w:r>
          </w:p>
        </w:tc>
        <w:tc>
          <w:tcPr>
            <w:tcW w:w="1653" w:type="dxa"/>
            <w:tcBorders>
              <w:top w:val="nil"/>
              <w:left w:val="nil"/>
              <w:bottom w:val="single" w:color="auto" w:sz="4" w:space="0"/>
              <w:right w:val="single" w:color="auto" w:sz="4" w:space="0"/>
            </w:tcBorders>
            <w:vAlign w:val="center"/>
          </w:tcPr>
          <w:p w14:paraId="5D242459">
            <w:pPr>
              <w:widowControl/>
              <w:wordWrap w:val="0"/>
              <w:jc w:val="left"/>
              <w:rPr>
                <w:rFonts w:ascii="宋体" w:hAnsi="宋体" w:cs="宋体"/>
                <w:color w:val="auto"/>
                <w:kern w:val="0"/>
                <w:szCs w:val="21"/>
              </w:rPr>
            </w:pPr>
            <w:r>
              <w:rPr>
                <w:rFonts w:hint="eastAsia" w:ascii="宋体" w:hAnsi="宋体" w:cs="宋体"/>
                <w:color w:val="auto"/>
                <w:kern w:val="0"/>
                <w:szCs w:val="21"/>
              </w:rPr>
              <w:t>从业人员（X）</w:t>
            </w:r>
          </w:p>
        </w:tc>
        <w:tc>
          <w:tcPr>
            <w:tcW w:w="1091" w:type="dxa"/>
            <w:tcBorders>
              <w:top w:val="nil"/>
              <w:left w:val="nil"/>
              <w:bottom w:val="single" w:color="auto" w:sz="4" w:space="0"/>
              <w:right w:val="single" w:color="auto" w:sz="4" w:space="0"/>
            </w:tcBorders>
            <w:vAlign w:val="center"/>
          </w:tcPr>
          <w:p w14:paraId="5057CAEC">
            <w:pPr>
              <w:widowControl/>
              <w:wordWrap w:val="0"/>
              <w:jc w:val="left"/>
              <w:rPr>
                <w:rFonts w:ascii="宋体" w:hAnsi="宋体" w:cs="宋体"/>
                <w:color w:val="auto"/>
                <w:kern w:val="0"/>
                <w:szCs w:val="21"/>
              </w:rPr>
            </w:pPr>
            <w:r>
              <w:rPr>
                <w:rFonts w:hint="eastAsia" w:ascii="宋体" w:hAnsi="宋体" w:cs="宋体"/>
                <w:color w:val="auto"/>
                <w:kern w:val="0"/>
                <w:szCs w:val="21"/>
              </w:rPr>
              <w:t>人</w:t>
            </w:r>
          </w:p>
        </w:tc>
        <w:tc>
          <w:tcPr>
            <w:tcW w:w="1935" w:type="dxa"/>
            <w:tcBorders>
              <w:top w:val="nil"/>
              <w:left w:val="nil"/>
              <w:bottom w:val="single" w:color="auto" w:sz="4" w:space="0"/>
              <w:right w:val="single" w:color="auto" w:sz="4" w:space="0"/>
            </w:tcBorders>
            <w:vAlign w:val="center"/>
          </w:tcPr>
          <w:p w14:paraId="236FFB4D">
            <w:pPr>
              <w:widowControl/>
              <w:wordWrap w:val="0"/>
              <w:jc w:val="left"/>
              <w:rPr>
                <w:rFonts w:ascii="宋体" w:hAnsi="宋体" w:cs="宋体"/>
                <w:color w:val="auto"/>
                <w:kern w:val="0"/>
                <w:szCs w:val="21"/>
              </w:rPr>
            </w:pPr>
            <w:r>
              <w:rPr>
                <w:rFonts w:hint="eastAsia" w:ascii="宋体" w:hAnsi="宋体" w:cs="宋体"/>
                <w:color w:val="auto"/>
                <w:kern w:val="0"/>
                <w:szCs w:val="21"/>
              </w:rPr>
              <w:t>300≤X＜1000</w:t>
            </w:r>
          </w:p>
        </w:tc>
        <w:tc>
          <w:tcPr>
            <w:tcW w:w="1720" w:type="dxa"/>
            <w:tcBorders>
              <w:top w:val="nil"/>
              <w:left w:val="nil"/>
              <w:bottom w:val="single" w:color="auto" w:sz="4" w:space="0"/>
              <w:right w:val="single" w:color="auto" w:sz="4" w:space="0"/>
            </w:tcBorders>
            <w:vAlign w:val="center"/>
          </w:tcPr>
          <w:p w14:paraId="5D908418">
            <w:pPr>
              <w:widowControl/>
              <w:wordWrap w:val="0"/>
              <w:jc w:val="left"/>
              <w:rPr>
                <w:rFonts w:ascii="宋体" w:hAnsi="宋体" w:cs="宋体"/>
                <w:color w:val="auto"/>
                <w:kern w:val="0"/>
                <w:szCs w:val="21"/>
              </w:rPr>
            </w:pPr>
            <w:r>
              <w:rPr>
                <w:rFonts w:hint="eastAsia" w:ascii="宋体" w:hAnsi="宋体" w:cs="宋体"/>
                <w:color w:val="auto"/>
                <w:kern w:val="0"/>
                <w:szCs w:val="21"/>
              </w:rPr>
              <w:t>100≤X＜300</w:t>
            </w:r>
          </w:p>
        </w:tc>
        <w:tc>
          <w:tcPr>
            <w:tcW w:w="1105" w:type="dxa"/>
            <w:tcBorders>
              <w:top w:val="nil"/>
              <w:left w:val="nil"/>
              <w:bottom w:val="single" w:color="auto" w:sz="4" w:space="0"/>
              <w:right w:val="single" w:color="auto" w:sz="4" w:space="0"/>
            </w:tcBorders>
            <w:vAlign w:val="center"/>
          </w:tcPr>
          <w:p w14:paraId="6F66C117">
            <w:pPr>
              <w:widowControl/>
              <w:wordWrap w:val="0"/>
              <w:jc w:val="left"/>
              <w:rPr>
                <w:rFonts w:ascii="宋体" w:hAnsi="宋体" w:cs="宋体"/>
                <w:color w:val="auto"/>
                <w:kern w:val="0"/>
                <w:szCs w:val="21"/>
              </w:rPr>
            </w:pPr>
            <w:r>
              <w:rPr>
                <w:rFonts w:hint="eastAsia" w:ascii="宋体" w:hAnsi="宋体" w:cs="宋体"/>
                <w:color w:val="auto"/>
                <w:kern w:val="0"/>
                <w:szCs w:val="21"/>
              </w:rPr>
              <w:t>X＜100</w:t>
            </w:r>
          </w:p>
        </w:tc>
      </w:tr>
      <w:tr w14:paraId="6C599EC4">
        <w:tblPrEx>
          <w:tblCellMar>
            <w:top w:w="0" w:type="dxa"/>
            <w:left w:w="108" w:type="dxa"/>
            <w:bottom w:w="0" w:type="dxa"/>
            <w:right w:w="108" w:type="dxa"/>
          </w:tblCellMar>
        </w:tblPrEx>
        <w:trPr>
          <w:trHeight w:val="225" w:hRule="atLeast"/>
        </w:trPr>
        <w:tc>
          <w:tcPr>
            <w:tcW w:w="2033" w:type="dxa"/>
            <w:vMerge w:val="continue"/>
            <w:tcBorders>
              <w:top w:val="nil"/>
              <w:left w:val="single" w:color="auto" w:sz="4" w:space="0"/>
              <w:bottom w:val="single" w:color="auto" w:sz="4" w:space="0"/>
              <w:right w:val="single" w:color="auto" w:sz="4" w:space="0"/>
            </w:tcBorders>
            <w:vAlign w:val="center"/>
          </w:tcPr>
          <w:p w14:paraId="2B08A7AD">
            <w:pPr>
              <w:widowControl/>
              <w:wordWrap w:val="0"/>
              <w:jc w:val="left"/>
              <w:rPr>
                <w:rFonts w:ascii="宋体" w:hAnsi="宋体" w:cs="宋体"/>
                <w:b/>
                <w:bCs/>
                <w:color w:val="auto"/>
                <w:kern w:val="0"/>
                <w:szCs w:val="21"/>
              </w:rPr>
            </w:pPr>
          </w:p>
        </w:tc>
        <w:tc>
          <w:tcPr>
            <w:tcW w:w="1653" w:type="dxa"/>
            <w:tcBorders>
              <w:top w:val="nil"/>
              <w:left w:val="nil"/>
              <w:bottom w:val="single" w:color="auto" w:sz="4" w:space="0"/>
              <w:right w:val="single" w:color="auto" w:sz="4" w:space="0"/>
            </w:tcBorders>
            <w:vAlign w:val="center"/>
          </w:tcPr>
          <w:p w14:paraId="2EDC0F5A">
            <w:pPr>
              <w:widowControl/>
              <w:wordWrap w:val="0"/>
              <w:jc w:val="left"/>
              <w:rPr>
                <w:rFonts w:ascii="宋体" w:hAnsi="宋体" w:cs="宋体"/>
                <w:color w:val="auto"/>
                <w:kern w:val="0"/>
                <w:szCs w:val="21"/>
              </w:rPr>
            </w:pPr>
            <w:r>
              <w:rPr>
                <w:rFonts w:hint="eastAsia" w:ascii="宋体" w:hAnsi="宋体" w:cs="宋体"/>
                <w:color w:val="auto"/>
                <w:kern w:val="0"/>
                <w:szCs w:val="21"/>
              </w:rPr>
              <w:t>营业收入（Y）</w:t>
            </w:r>
          </w:p>
        </w:tc>
        <w:tc>
          <w:tcPr>
            <w:tcW w:w="1091" w:type="dxa"/>
            <w:tcBorders>
              <w:top w:val="nil"/>
              <w:left w:val="nil"/>
              <w:bottom w:val="single" w:color="auto" w:sz="4" w:space="0"/>
              <w:right w:val="single" w:color="auto" w:sz="4" w:space="0"/>
            </w:tcBorders>
            <w:vAlign w:val="center"/>
          </w:tcPr>
          <w:p w14:paraId="58902F5A">
            <w:pPr>
              <w:widowControl/>
              <w:wordWrap w:val="0"/>
              <w:jc w:val="left"/>
              <w:rPr>
                <w:rFonts w:ascii="宋体" w:hAnsi="宋体" w:cs="宋体"/>
                <w:color w:val="auto"/>
                <w:kern w:val="0"/>
                <w:szCs w:val="21"/>
              </w:rPr>
            </w:pPr>
            <w:r>
              <w:rPr>
                <w:rFonts w:hint="eastAsia" w:ascii="宋体" w:hAnsi="宋体" w:cs="宋体"/>
                <w:color w:val="auto"/>
                <w:kern w:val="0"/>
                <w:szCs w:val="21"/>
              </w:rPr>
              <w:t>万元</w:t>
            </w:r>
          </w:p>
        </w:tc>
        <w:tc>
          <w:tcPr>
            <w:tcW w:w="1935" w:type="dxa"/>
            <w:tcBorders>
              <w:top w:val="nil"/>
              <w:left w:val="nil"/>
              <w:bottom w:val="single" w:color="auto" w:sz="4" w:space="0"/>
              <w:right w:val="single" w:color="auto" w:sz="4" w:space="0"/>
            </w:tcBorders>
            <w:vAlign w:val="center"/>
          </w:tcPr>
          <w:p w14:paraId="728936CD">
            <w:pPr>
              <w:widowControl/>
              <w:wordWrap w:val="0"/>
              <w:jc w:val="left"/>
              <w:rPr>
                <w:rFonts w:ascii="宋体" w:hAnsi="宋体" w:cs="宋体"/>
                <w:color w:val="auto"/>
                <w:kern w:val="0"/>
                <w:szCs w:val="21"/>
              </w:rPr>
            </w:pPr>
            <w:r>
              <w:rPr>
                <w:rFonts w:hint="eastAsia" w:ascii="宋体" w:hAnsi="宋体" w:cs="宋体"/>
                <w:color w:val="auto"/>
                <w:kern w:val="0"/>
                <w:szCs w:val="21"/>
              </w:rPr>
              <w:t>1000≤Y＜5000</w:t>
            </w:r>
          </w:p>
        </w:tc>
        <w:tc>
          <w:tcPr>
            <w:tcW w:w="1720" w:type="dxa"/>
            <w:tcBorders>
              <w:top w:val="nil"/>
              <w:left w:val="nil"/>
              <w:bottom w:val="single" w:color="auto" w:sz="4" w:space="0"/>
              <w:right w:val="single" w:color="auto" w:sz="4" w:space="0"/>
            </w:tcBorders>
            <w:vAlign w:val="center"/>
          </w:tcPr>
          <w:p w14:paraId="13A40450">
            <w:pPr>
              <w:widowControl/>
              <w:wordWrap w:val="0"/>
              <w:jc w:val="left"/>
              <w:rPr>
                <w:rFonts w:ascii="宋体" w:hAnsi="宋体" w:cs="宋体"/>
                <w:color w:val="auto"/>
                <w:kern w:val="0"/>
                <w:szCs w:val="21"/>
              </w:rPr>
            </w:pPr>
            <w:r>
              <w:rPr>
                <w:rFonts w:hint="eastAsia" w:ascii="宋体" w:hAnsi="宋体" w:cs="宋体"/>
                <w:color w:val="auto"/>
                <w:kern w:val="0"/>
                <w:szCs w:val="21"/>
              </w:rPr>
              <w:t>500≤Y＜1000</w:t>
            </w:r>
          </w:p>
        </w:tc>
        <w:tc>
          <w:tcPr>
            <w:tcW w:w="1105" w:type="dxa"/>
            <w:tcBorders>
              <w:top w:val="nil"/>
              <w:left w:val="nil"/>
              <w:bottom w:val="single" w:color="auto" w:sz="4" w:space="0"/>
              <w:right w:val="single" w:color="auto" w:sz="4" w:space="0"/>
            </w:tcBorders>
            <w:vAlign w:val="center"/>
          </w:tcPr>
          <w:p w14:paraId="6C5A679F">
            <w:pPr>
              <w:widowControl/>
              <w:wordWrap w:val="0"/>
              <w:jc w:val="left"/>
              <w:rPr>
                <w:rFonts w:ascii="宋体" w:hAnsi="宋体" w:cs="宋体"/>
                <w:color w:val="auto"/>
                <w:kern w:val="0"/>
                <w:szCs w:val="21"/>
              </w:rPr>
            </w:pPr>
            <w:r>
              <w:rPr>
                <w:rFonts w:hint="eastAsia" w:ascii="宋体" w:hAnsi="宋体" w:cs="宋体"/>
                <w:color w:val="auto"/>
                <w:kern w:val="0"/>
                <w:szCs w:val="21"/>
              </w:rPr>
              <w:t>Y＜500</w:t>
            </w:r>
          </w:p>
        </w:tc>
      </w:tr>
      <w:tr w14:paraId="50B60ACB">
        <w:tblPrEx>
          <w:tblCellMar>
            <w:top w:w="0" w:type="dxa"/>
            <w:left w:w="108" w:type="dxa"/>
            <w:bottom w:w="0" w:type="dxa"/>
            <w:right w:w="108" w:type="dxa"/>
          </w:tblCellMar>
        </w:tblPrEx>
        <w:trPr>
          <w:trHeight w:val="225" w:hRule="atLeast"/>
        </w:trPr>
        <w:tc>
          <w:tcPr>
            <w:tcW w:w="2033" w:type="dxa"/>
            <w:vMerge w:val="restart"/>
            <w:tcBorders>
              <w:top w:val="nil"/>
              <w:left w:val="single" w:color="auto" w:sz="4" w:space="0"/>
              <w:bottom w:val="single" w:color="auto" w:sz="4" w:space="0"/>
              <w:right w:val="single" w:color="auto" w:sz="4" w:space="0"/>
            </w:tcBorders>
            <w:vAlign w:val="bottom"/>
          </w:tcPr>
          <w:p w14:paraId="17DC0CA7">
            <w:pPr>
              <w:widowControl/>
              <w:wordWrap w:val="0"/>
              <w:jc w:val="center"/>
              <w:rPr>
                <w:rFonts w:ascii="宋体" w:hAnsi="宋体" w:cs="宋体"/>
                <w:b/>
                <w:bCs/>
                <w:color w:val="auto"/>
                <w:kern w:val="0"/>
                <w:szCs w:val="21"/>
              </w:rPr>
            </w:pPr>
            <w:r>
              <w:rPr>
                <w:rFonts w:hint="eastAsia" w:ascii="宋体" w:hAnsi="宋体" w:cs="宋体"/>
                <w:b/>
                <w:bCs/>
                <w:color w:val="auto"/>
                <w:kern w:val="0"/>
                <w:szCs w:val="21"/>
              </w:rPr>
              <w:t>租赁和商务服务业</w:t>
            </w:r>
          </w:p>
        </w:tc>
        <w:tc>
          <w:tcPr>
            <w:tcW w:w="1653" w:type="dxa"/>
            <w:tcBorders>
              <w:top w:val="nil"/>
              <w:left w:val="nil"/>
              <w:bottom w:val="single" w:color="auto" w:sz="4" w:space="0"/>
              <w:right w:val="single" w:color="auto" w:sz="4" w:space="0"/>
            </w:tcBorders>
            <w:vAlign w:val="center"/>
          </w:tcPr>
          <w:p w14:paraId="77FDEA79">
            <w:pPr>
              <w:widowControl/>
              <w:wordWrap w:val="0"/>
              <w:jc w:val="left"/>
              <w:rPr>
                <w:rFonts w:ascii="宋体" w:hAnsi="宋体" w:cs="宋体"/>
                <w:color w:val="auto"/>
                <w:kern w:val="0"/>
                <w:szCs w:val="21"/>
              </w:rPr>
            </w:pPr>
            <w:r>
              <w:rPr>
                <w:rFonts w:hint="eastAsia" w:ascii="宋体" w:hAnsi="宋体" w:cs="宋体"/>
                <w:color w:val="auto"/>
                <w:kern w:val="0"/>
                <w:szCs w:val="21"/>
              </w:rPr>
              <w:t>从业人员（X）</w:t>
            </w:r>
          </w:p>
        </w:tc>
        <w:tc>
          <w:tcPr>
            <w:tcW w:w="1091" w:type="dxa"/>
            <w:tcBorders>
              <w:top w:val="nil"/>
              <w:left w:val="nil"/>
              <w:bottom w:val="single" w:color="auto" w:sz="4" w:space="0"/>
              <w:right w:val="single" w:color="auto" w:sz="4" w:space="0"/>
            </w:tcBorders>
            <w:vAlign w:val="center"/>
          </w:tcPr>
          <w:p w14:paraId="584F40BC">
            <w:pPr>
              <w:widowControl/>
              <w:wordWrap w:val="0"/>
              <w:jc w:val="left"/>
              <w:rPr>
                <w:rFonts w:ascii="宋体" w:hAnsi="宋体" w:cs="宋体"/>
                <w:color w:val="auto"/>
                <w:kern w:val="0"/>
                <w:szCs w:val="21"/>
              </w:rPr>
            </w:pPr>
            <w:r>
              <w:rPr>
                <w:rFonts w:hint="eastAsia" w:ascii="宋体" w:hAnsi="宋体" w:cs="宋体"/>
                <w:color w:val="auto"/>
                <w:kern w:val="0"/>
                <w:szCs w:val="21"/>
              </w:rPr>
              <w:t>人</w:t>
            </w:r>
          </w:p>
        </w:tc>
        <w:tc>
          <w:tcPr>
            <w:tcW w:w="1935" w:type="dxa"/>
            <w:tcBorders>
              <w:top w:val="nil"/>
              <w:left w:val="nil"/>
              <w:bottom w:val="single" w:color="auto" w:sz="4" w:space="0"/>
              <w:right w:val="single" w:color="auto" w:sz="4" w:space="0"/>
            </w:tcBorders>
            <w:vAlign w:val="center"/>
          </w:tcPr>
          <w:p w14:paraId="5354D0E2">
            <w:pPr>
              <w:widowControl/>
              <w:wordWrap w:val="0"/>
              <w:jc w:val="left"/>
              <w:rPr>
                <w:rFonts w:ascii="宋体" w:hAnsi="宋体" w:cs="宋体"/>
                <w:color w:val="auto"/>
                <w:kern w:val="0"/>
                <w:szCs w:val="21"/>
              </w:rPr>
            </w:pPr>
            <w:r>
              <w:rPr>
                <w:rFonts w:hint="eastAsia" w:ascii="宋体" w:hAnsi="宋体" w:cs="宋体"/>
                <w:color w:val="auto"/>
                <w:kern w:val="0"/>
                <w:szCs w:val="21"/>
              </w:rPr>
              <w:t>100≤X＜300</w:t>
            </w:r>
          </w:p>
        </w:tc>
        <w:tc>
          <w:tcPr>
            <w:tcW w:w="1720" w:type="dxa"/>
            <w:tcBorders>
              <w:top w:val="nil"/>
              <w:left w:val="nil"/>
              <w:bottom w:val="single" w:color="auto" w:sz="4" w:space="0"/>
              <w:right w:val="single" w:color="auto" w:sz="4" w:space="0"/>
            </w:tcBorders>
            <w:vAlign w:val="center"/>
          </w:tcPr>
          <w:p w14:paraId="25DD9A69">
            <w:pPr>
              <w:widowControl/>
              <w:wordWrap w:val="0"/>
              <w:jc w:val="left"/>
              <w:rPr>
                <w:rFonts w:ascii="宋体" w:hAnsi="宋体" w:cs="宋体"/>
                <w:color w:val="auto"/>
                <w:kern w:val="0"/>
                <w:szCs w:val="21"/>
              </w:rPr>
            </w:pPr>
            <w:r>
              <w:rPr>
                <w:rFonts w:hint="eastAsia" w:ascii="宋体" w:hAnsi="宋体" w:cs="宋体"/>
                <w:color w:val="auto"/>
                <w:kern w:val="0"/>
                <w:szCs w:val="21"/>
              </w:rPr>
              <w:t>10≤X＜100</w:t>
            </w:r>
          </w:p>
        </w:tc>
        <w:tc>
          <w:tcPr>
            <w:tcW w:w="1105" w:type="dxa"/>
            <w:tcBorders>
              <w:top w:val="nil"/>
              <w:left w:val="nil"/>
              <w:bottom w:val="single" w:color="auto" w:sz="4" w:space="0"/>
              <w:right w:val="single" w:color="auto" w:sz="4" w:space="0"/>
            </w:tcBorders>
            <w:vAlign w:val="center"/>
          </w:tcPr>
          <w:p w14:paraId="25C650CF">
            <w:pPr>
              <w:widowControl/>
              <w:wordWrap w:val="0"/>
              <w:jc w:val="left"/>
              <w:rPr>
                <w:rFonts w:ascii="宋体" w:hAnsi="宋体" w:cs="宋体"/>
                <w:color w:val="auto"/>
                <w:kern w:val="0"/>
                <w:szCs w:val="21"/>
              </w:rPr>
            </w:pPr>
            <w:r>
              <w:rPr>
                <w:rFonts w:hint="eastAsia" w:ascii="宋体" w:hAnsi="宋体" w:cs="宋体"/>
                <w:color w:val="auto"/>
                <w:kern w:val="0"/>
                <w:szCs w:val="21"/>
              </w:rPr>
              <w:t>X＜10</w:t>
            </w:r>
          </w:p>
        </w:tc>
      </w:tr>
      <w:tr w14:paraId="312E0DDA">
        <w:tblPrEx>
          <w:tblCellMar>
            <w:top w:w="0" w:type="dxa"/>
            <w:left w:w="108" w:type="dxa"/>
            <w:bottom w:w="0" w:type="dxa"/>
            <w:right w:w="108" w:type="dxa"/>
          </w:tblCellMar>
        </w:tblPrEx>
        <w:trPr>
          <w:trHeight w:val="90" w:hRule="atLeast"/>
        </w:trPr>
        <w:tc>
          <w:tcPr>
            <w:tcW w:w="2033" w:type="dxa"/>
            <w:vMerge w:val="continue"/>
            <w:tcBorders>
              <w:top w:val="nil"/>
              <w:left w:val="single" w:color="auto" w:sz="4" w:space="0"/>
              <w:bottom w:val="single" w:color="auto" w:sz="4" w:space="0"/>
              <w:right w:val="single" w:color="auto" w:sz="4" w:space="0"/>
            </w:tcBorders>
            <w:vAlign w:val="center"/>
          </w:tcPr>
          <w:p w14:paraId="5E738864">
            <w:pPr>
              <w:widowControl/>
              <w:wordWrap w:val="0"/>
              <w:jc w:val="left"/>
              <w:rPr>
                <w:rFonts w:ascii="宋体" w:hAnsi="宋体" w:cs="宋体"/>
                <w:b/>
                <w:bCs/>
                <w:color w:val="auto"/>
                <w:kern w:val="0"/>
                <w:szCs w:val="21"/>
              </w:rPr>
            </w:pPr>
          </w:p>
        </w:tc>
        <w:tc>
          <w:tcPr>
            <w:tcW w:w="1653" w:type="dxa"/>
            <w:tcBorders>
              <w:top w:val="nil"/>
              <w:left w:val="nil"/>
              <w:bottom w:val="single" w:color="auto" w:sz="4" w:space="0"/>
              <w:right w:val="single" w:color="auto" w:sz="4" w:space="0"/>
            </w:tcBorders>
            <w:vAlign w:val="center"/>
          </w:tcPr>
          <w:p w14:paraId="0D3A24FD">
            <w:pPr>
              <w:widowControl/>
              <w:wordWrap w:val="0"/>
              <w:jc w:val="left"/>
              <w:rPr>
                <w:rFonts w:ascii="宋体" w:hAnsi="宋体" w:cs="宋体"/>
                <w:color w:val="auto"/>
                <w:kern w:val="0"/>
                <w:szCs w:val="21"/>
              </w:rPr>
            </w:pPr>
            <w:r>
              <w:rPr>
                <w:rFonts w:hint="eastAsia" w:ascii="宋体" w:hAnsi="宋体" w:cs="宋体"/>
                <w:color w:val="auto"/>
                <w:kern w:val="0"/>
                <w:szCs w:val="21"/>
              </w:rPr>
              <w:t>资产总额（Z）</w:t>
            </w:r>
          </w:p>
        </w:tc>
        <w:tc>
          <w:tcPr>
            <w:tcW w:w="1091" w:type="dxa"/>
            <w:tcBorders>
              <w:top w:val="nil"/>
              <w:left w:val="nil"/>
              <w:bottom w:val="single" w:color="auto" w:sz="4" w:space="0"/>
              <w:right w:val="single" w:color="auto" w:sz="4" w:space="0"/>
            </w:tcBorders>
            <w:vAlign w:val="center"/>
          </w:tcPr>
          <w:p w14:paraId="3F6C9410">
            <w:pPr>
              <w:widowControl/>
              <w:wordWrap w:val="0"/>
              <w:jc w:val="left"/>
              <w:rPr>
                <w:rFonts w:ascii="宋体" w:hAnsi="宋体" w:cs="宋体"/>
                <w:color w:val="auto"/>
                <w:kern w:val="0"/>
                <w:szCs w:val="21"/>
              </w:rPr>
            </w:pPr>
            <w:r>
              <w:rPr>
                <w:rFonts w:hint="eastAsia" w:ascii="宋体" w:hAnsi="宋体" w:cs="宋体"/>
                <w:color w:val="auto"/>
                <w:kern w:val="0"/>
                <w:szCs w:val="21"/>
              </w:rPr>
              <w:t>万元</w:t>
            </w:r>
          </w:p>
        </w:tc>
        <w:tc>
          <w:tcPr>
            <w:tcW w:w="1935" w:type="dxa"/>
            <w:tcBorders>
              <w:top w:val="nil"/>
              <w:left w:val="nil"/>
              <w:bottom w:val="single" w:color="auto" w:sz="4" w:space="0"/>
              <w:right w:val="single" w:color="auto" w:sz="4" w:space="0"/>
            </w:tcBorders>
            <w:vAlign w:val="center"/>
          </w:tcPr>
          <w:p w14:paraId="63F037E1">
            <w:pPr>
              <w:widowControl/>
              <w:wordWrap w:val="0"/>
              <w:jc w:val="left"/>
              <w:rPr>
                <w:rFonts w:ascii="宋体" w:hAnsi="宋体" w:cs="宋体"/>
                <w:color w:val="auto"/>
                <w:kern w:val="0"/>
                <w:szCs w:val="21"/>
              </w:rPr>
            </w:pPr>
            <w:r>
              <w:rPr>
                <w:rFonts w:hint="eastAsia" w:ascii="宋体" w:hAnsi="宋体" w:cs="宋体"/>
                <w:color w:val="auto"/>
                <w:kern w:val="0"/>
                <w:szCs w:val="21"/>
              </w:rPr>
              <w:t>8000≤Z＜120000</w:t>
            </w:r>
          </w:p>
        </w:tc>
        <w:tc>
          <w:tcPr>
            <w:tcW w:w="1720" w:type="dxa"/>
            <w:tcBorders>
              <w:top w:val="nil"/>
              <w:left w:val="nil"/>
              <w:bottom w:val="single" w:color="auto" w:sz="4" w:space="0"/>
              <w:right w:val="single" w:color="auto" w:sz="4" w:space="0"/>
            </w:tcBorders>
            <w:vAlign w:val="center"/>
          </w:tcPr>
          <w:p w14:paraId="4F1DDF89">
            <w:pPr>
              <w:widowControl/>
              <w:wordWrap w:val="0"/>
              <w:jc w:val="left"/>
              <w:rPr>
                <w:rFonts w:ascii="宋体" w:hAnsi="宋体" w:cs="宋体"/>
                <w:color w:val="auto"/>
                <w:kern w:val="0"/>
                <w:szCs w:val="21"/>
              </w:rPr>
            </w:pPr>
            <w:r>
              <w:rPr>
                <w:rFonts w:hint="eastAsia" w:ascii="宋体" w:hAnsi="宋体" w:cs="宋体"/>
                <w:color w:val="auto"/>
                <w:kern w:val="0"/>
                <w:szCs w:val="21"/>
              </w:rPr>
              <w:t>100≤Z＜8000</w:t>
            </w:r>
          </w:p>
        </w:tc>
        <w:tc>
          <w:tcPr>
            <w:tcW w:w="1105" w:type="dxa"/>
            <w:tcBorders>
              <w:top w:val="nil"/>
              <w:left w:val="nil"/>
              <w:bottom w:val="single" w:color="auto" w:sz="4" w:space="0"/>
              <w:right w:val="single" w:color="auto" w:sz="4" w:space="0"/>
            </w:tcBorders>
            <w:vAlign w:val="center"/>
          </w:tcPr>
          <w:p w14:paraId="7624D737">
            <w:pPr>
              <w:widowControl/>
              <w:wordWrap w:val="0"/>
              <w:jc w:val="left"/>
              <w:rPr>
                <w:rFonts w:ascii="宋体" w:hAnsi="宋体" w:cs="宋体"/>
                <w:color w:val="auto"/>
                <w:kern w:val="0"/>
                <w:szCs w:val="21"/>
              </w:rPr>
            </w:pPr>
            <w:r>
              <w:rPr>
                <w:rFonts w:hint="eastAsia" w:ascii="宋体" w:hAnsi="宋体" w:cs="宋体"/>
                <w:color w:val="auto"/>
                <w:kern w:val="0"/>
                <w:szCs w:val="21"/>
              </w:rPr>
              <w:t>Y＜100</w:t>
            </w:r>
          </w:p>
        </w:tc>
      </w:tr>
      <w:tr w14:paraId="477C7E11">
        <w:tblPrEx>
          <w:tblCellMar>
            <w:top w:w="0" w:type="dxa"/>
            <w:left w:w="108" w:type="dxa"/>
            <w:bottom w:w="0" w:type="dxa"/>
            <w:right w:w="108" w:type="dxa"/>
          </w:tblCellMar>
        </w:tblPrEx>
        <w:trPr>
          <w:trHeight w:val="225" w:hRule="atLeast"/>
        </w:trPr>
        <w:tc>
          <w:tcPr>
            <w:tcW w:w="2033" w:type="dxa"/>
            <w:tcBorders>
              <w:top w:val="nil"/>
              <w:left w:val="single" w:color="auto" w:sz="4" w:space="0"/>
              <w:bottom w:val="single" w:color="auto" w:sz="4" w:space="0"/>
              <w:right w:val="single" w:color="auto" w:sz="4" w:space="0"/>
            </w:tcBorders>
            <w:vAlign w:val="bottom"/>
          </w:tcPr>
          <w:p w14:paraId="7D3D417D">
            <w:pPr>
              <w:widowControl/>
              <w:wordWrap w:val="0"/>
              <w:jc w:val="center"/>
              <w:rPr>
                <w:rFonts w:ascii="宋体" w:hAnsi="宋体" w:cs="宋体"/>
                <w:b/>
                <w:bCs/>
                <w:color w:val="auto"/>
                <w:kern w:val="0"/>
                <w:szCs w:val="21"/>
              </w:rPr>
            </w:pPr>
            <w:r>
              <w:rPr>
                <w:rFonts w:hint="eastAsia" w:ascii="宋体" w:hAnsi="宋体" w:cs="宋体"/>
                <w:b/>
                <w:bCs/>
                <w:color w:val="auto"/>
                <w:kern w:val="0"/>
                <w:szCs w:val="21"/>
              </w:rPr>
              <w:t>其他未列明行业</w:t>
            </w:r>
          </w:p>
        </w:tc>
        <w:tc>
          <w:tcPr>
            <w:tcW w:w="1653" w:type="dxa"/>
            <w:tcBorders>
              <w:top w:val="nil"/>
              <w:left w:val="nil"/>
              <w:bottom w:val="single" w:color="auto" w:sz="4" w:space="0"/>
              <w:right w:val="single" w:color="auto" w:sz="4" w:space="0"/>
            </w:tcBorders>
            <w:vAlign w:val="center"/>
          </w:tcPr>
          <w:p w14:paraId="5AC1F2EF">
            <w:pPr>
              <w:widowControl/>
              <w:wordWrap w:val="0"/>
              <w:jc w:val="left"/>
              <w:rPr>
                <w:rFonts w:ascii="宋体" w:hAnsi="宋体" w:cs="宋体"/>
                <w:color w:val="auto"/>
                <w:kern w:val="0"/>
                <w:szCs w:val="21"/>
              </w:rPr>
            </w:pPr>
            <w:r>
              <w:rPr>
                <w:rFonts w:hint="eastAsia" w:ascii="宋体" w:hAnsi="宋体" w:cs="宋体"/>
                <w:color w:val="auto"/>
                <w:kern w:val="0"/>
                <w:szCs w:val="21"/>
              </w:rPr>
              <w:t>从业人员（X）</w:t>
            </w:r>
          </w:p>
        </w:tc>
        <w:tc>
          <w:tcPr>
            <w:tcW w:w="1091" w:type="dxa"/>
            <w:tcBorders>
              <w:top w:val="nil"/>
              <w:left w:val="nil"/>
              <w:bottom w:val="single" w:color="auto" w:sz="4" w:space="0"/>
              <w:right w:val="single" w:color="auto" w:sz="4" w:space="0"/>
            </w:tcBorders>
            <w:vAlign w:val="center"/>
          </w:tcPr>
          <w:p w14:paraId="7C54BD16">
            <w:pPr>
              <w:widowControl/>
              <w:wordWrap w:val="0"/>
              <w:jc w:val="left"/>
              <w:rPr>
                <w:rFonts w:ascii="宋体" w:hAnsi="宋体" w:cs="宋体"/>
                <w:color w:val="auto"/>
                <w:kern w:val="0"/>
                <w:szCs w:val="21"/>
              </w:rPr>
            </w:pPr>
            <w:r>
              <w:rPr>
                <w:rFonts w:hint="eastAsia" w:ascii="宋体" w:hAnsi="宋体" w:cs="宋体"/>
                <w:color w:val="auto"/>
                <w:kern w:val="0"/>
                <w:szCs w:val="21"/>
              </w:rPr>
              <w:t>人</w:t>
            </w:r>
          </w:p>
        </w:tc>
        <w:tc>
          <w:tcPr>
            <w:tcW w:w="1935" w:type="dxa"/>
            <w:tcBorders>
              <w:top w:val="nil"/>
              <w:left w:val="nil"/>
              <w:bottom w:val="single" w:color="auto" w:sz="4" w:space="0"/>
              <w:right w:val="single" w:color="auto" w:sz="4" w:space="0"/>
            </w:tcBorders>
            <w:vAlign w:val="center"/>
          </w:tcPr>
          <w:p w14:paraId="63C9B05E">
            <w:pPr>
              <w:widowControl/>
              <w:wordWrap w:val="0"/>
              <w:jc w:val="left"/>
              <w:rPr>
                <w:rFonts w:ascii="宋体" w:hAnsi="宋体" w:cs="宋体"/>
                <w:color w:val="auto"/>
                <w:kern w:val="0"/>
                <w:szCs w:val="21"/>
              </w:rPr>
            </w:pPr>
            <w:r>
              <w:rPr>
                <w:rFonts w:hint="eastAsia" w:ascii="宋体" w:hAnsi="宋体" w:cs="宋体"/>
                <w:color w:val="auto"/>
                <w:kern w:val="0"/>
                <w:szCs w:val="21"/>
              </w:rPr>
              <w:t>100≤X＜300</w:t>
            </w:r>
          </w:p>
        </w:tc>
        <w:tc>
          <w:tcPr>
            <w:tcW w:w="1720" w:type="dxa"/>
            <w:tcBorders>
              <w:top w:val="nil"/>
              <w:left w:val="nil"/>
              <w:bottom w:val="single" w:color="auto" w:sz="4" w:space="0"/>
              <w:right w:val="single" w:color="auto" w:sz="4" w:space="0"/>
            </w:tcBorders>
            <w:vAlign w:val="center"/>
          </w:tcPr>
          <w:p w14:paraId="24743469">
            <w:pPr>
              <w:widowControl/>
              <w:wordWrap w:val="0"/>
              <w:jc w:val="left"/>
              <w:rPr>
                <w:rFonts w:ascii="宋体" w:hAnsi="宋体" w:cs="宋体"/>
                <w:color w:val="auto"/>
                <w:kern w:val="0"/>
                <w:szCs w:val="21"/>
              </w:rPr>
            </w:pPr>
            <w:r>
              <w:rPr>
                <w:rFonts w:hint="eastAsia" w:ascii="宋体" w:hAnsi="宋体" w:cs="宋体"/>
                <w:color w:val="auto"/>
                <w:kern w:val="0"/>
                <w:szCs w:val="21"/>
              </w:rPr>
              <w:t>10≤X＜100</w:t>
            </w:r>
          </w:p>
        </w:tc>
        <w:tc>
          <w:tcPr>
            <w:tcW w:w="1105" w:type="dxa"/>
            <w:tcBorders>
              <w:top w:val="nil"/>
              <w:left w:val="nil"/>
              <w:bottom w:val="single" w:color="auto" w:sz="4" w:space="0"/>
              <w:right w:val="single" w:color="auto" w:sz="4" w:space="0"/>
            </w:tcBorders>
            <w:vAlign w:val="center"/>
          </w:tcPr>
          <w:p w14:paraId="0107A9BA">
            <w:pPr>
              <w:widowControl/>
              <w:wordWrap w:val="0"/>
              <w:jc w:val="left"/>
              <w:rPr>
                <w:rFonts w:ascii="宋体" w:hAnsi="宋体" w:cs="宋体"/>
                <w:color w:val="auto"/>
                <w:kern w:val="0"/>
                <w:szCs w:val="21"/>
              </w:rPr>
            </w:pPr>
            <w:r>
              <w:rPr>
                <w:rFonts w:hint="eastAsia" w:ascii="宋体" w:hAnsi="宋体" w:cs="宋体"/>
                <w:color w:val="auto"/>
                <w:kern w:val="0"/>
                <w:szCs w:val="21"/>
              </w:rPr>
              <w:t>X＜10</w:t>
            </w:r>
          </w:p>
        </w:tc>
      </w:tr>
    </w:tbl>
    <w:p w14:paraId="60767591">
      <w:pPr>
        <w:wordWrap w:val="0"/>
        <w:spacing w:line="360" w:lineRule="auto"/>
        <w:ind w:firstLine="525" w:firstLineChars="250"/>
        <w:rPr>
          <w:rFonts w:ascii="宋体" w:hAnsi="宋体" w:cs="宋体"/>
          <w:color w:val="auto"/>
          <w:szCs w:val="21"/>
        </w:rPr>
      </w:pPr>
      <w:r>
        <w:rPr>
          <w:rFonts w:hint="eastAsia" w:ascii="宋体" w:hAnsi="宋体" w:cs="宋体"/>
          <w:color w:val="auto"/>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7A1EB1AA">
      <w:pPr>
        <w:spacing w:line="360" w:lineRule="auto"/>
        <w:ind w:firstLine="525" w:firstLineChars="250"/>
        <w:rPr>
          <w:rFonts w:ascii="仿宋_GB2312" w:hAnsi="仿宋" w:eastAsia="仿宋_GB2312"/>
          <w:color w:val="auto"/>
          <w:szCs w:val="21"/>
        </w:rPr>
      </w:pPr>
    </w:p>
    <w:p w14:paraId="23356289">
      <w:pPr>
        <w:spacing w:line="360" w:lineRule="auto"/>
        <w:jc w:val="center"/>
        <w:outlineLvl w:val="0"/>
        <w:rPr>
          <w:b/>
          <w:color w:val="auto"/>
          <w:sz w:val="36"/>
          <w:szCs w:val="20"/>
        </w:rPr>
        <w:sectPr>
          <w:footerReference r:id="rId9" w:type="default"/>
          <w:pgSz w:w="11906" w:h="16838"/>
          <w:pgMar w:top="1134" w:right="1474" w:bottom="1134" w:left="1474" w:header="851" w:footer="851" w:gutter="0"/>
          <w:pgNumType w:fmt="decimal"/>
          <w:cols w:space="720" w:num="1"/>
          <w:docGrid w:linePitch="312" w:charSpace="0"/>
        </w:sectPr>
      </w:pPr>
    </w:p>
    <w:bookmarkEnd w:id="65"/>
    <w:bookmarkEnd w:id="66"/>
    <w:p w14:paraId="57ECA9E9">
      <w:pPr>
        <w:pStyle w:val="3"/>
        <w:keepNext w:val="0"/>
        <w:keepLines w:val="0"/>
        <w:jc w:val="center"/>
        <w:rPr>
          <w:color w:val="auto"/>
        </w:rPr>
      </w:pPr>
      <w:bookmarkStart w:id="70" w:name="_Toc22749"/>
      <w:bookmarkStart w:id="71" w:name="_Toc28147"/>
      <w:bookmarkStart w:id="72" w:name="_Toc56"/>
      <w:bookmarkStart w:id="73" w:name="_Toc281"/>
      <w:bookmarkStart w:id="74" w:name="_Toc23915"/>
      <w:bookmarkStart w:id="75" w:name="_Toc20169"/>
      <w:bookmarkStart w:id="76" w:name="_Toc220"/>
      <w:bookmarkStart w:id="77" w:name="_Toc16535"/>
      <w:bookmarkStart w:id="78" w:name="_Toc28542"/>
      <w:bookmarkStart w:id="79" w:name="_Toc27079"/>
      <w:bookmarkStart w:id="80" w:name="_Toc20871"/>
      <w:bookmarkStart w:id="81" w:name="_Toc9878"/>
      <w:bookmarkStart w:id="82" w:name="_Toc7271"/>
      <w:bookmarkStart w:id="83" w:name="_Toc1239"/>
      <w:bookmarkStart w:id="84" w:name="_Toc29059"/>
      <w:r>
        <w:rPr>
          <w:rFonts w:hint="eastAsia"/>
          <w:color w:val="auto"/>
        </w:rPr>
        <w:t>第三章投标人须知</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24C6817F">
      <w:pPr>
        <w:jc w:val="center"/>
        <w:rPr>
          <w:color w:val="auto"/>
          <w:sz w:val="36"/>
          <w:szCs w:val="36"/>
        </w:rPr>
      </w:pPr>
      <w:bookmarkStart w:id="85" w:name="_Toc254970667"/>
      <w:bookmarkStart w:id="86" w:name="_Toc254970526"/>
      <w:r>
        <w:rPr>
          <w:rFonts w:hint="eastAsia"/>
          <w:color w:val="auto"/>
          <w:sz w:val="36"/>
          <w:szCs w:val="36"/>
        </w:rPr>
        <w:t>投标人须知前附表</w:t>
      </w:r>
      <w:bookmarkEnd w:id="85"/>
      <w:bookmarkEnd w:id="86"/>
    </w:p>
    <w:tbl>
      <w:tblPr>
        <w:tblStyle w:val="25"/>
        <w:tblW w:w="956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68"/>
        <w:gridCol w:w="8597"/>
      </w:tblGrid>
      <w:tr w14:paraId="46D45B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67EDF4AD">
            <w:pPr>
              <w:snapToGrid w:val="0"/>
              <w:spacing w:line="360" w:lineRule="auto"/>
              <w:jc w:val="center"/>
              <w:rPr>
                <w:rFonts w:ascii="宋体" w:hAnsi="宋体"/>
                <w:color w:val="auto"/>
                <w:szCs w:val="21"/>
              </w:rPr>
            </w:pPr>
            <w:r>
              <w:rPr>
                <w:rFonts w:hint="eastAsia" w:ascii="宋体" w:hAnsi="宋体"/>
                <w:color w:val="auto"/>
                <w:szCs w:val="21"/>
              </w:rPr>
              <w:t>条款号</w:t>
            </w:r>
          </w:p>
        </w:tc>
        <w:tc>
          <w:tcPr>
            <w:tcW w:w="8597" w:type="dxa"/>
            <w:tcBorders>
              <w:top w:val="single" w:color="auto" w:sz="4" w:space="0"/>
              <w:left w:val="single" w:color="auto" w:sz="4" w:space="0"/>
              <w:bottom w:val="single" w:color="auto" w:sz="4" w:space="0"/>
              <w:right w:val="single" w:color="auto" w:sz="4" w:space="0"/>
            </w:tcBorders>
            <w:vAlign w:val="center"/>
          </w:tcPr>
          <w:p w14:paraId="478FF598">
            <w:pPr>
              <w:snapToGrid w:val="0"/>
              <w:spacing w:line="360" w:lineRule="auto"/>
              <w:jc w:val="center"/>
              <w:rPr>
                <w:rFonts w:ascii="宋体" w:hAnsi="宋体"/>
                <w:color w:val="auto"/>
                <w:szCs w:val="21"/>
              </w:rPr>
            </w:pPr>
            <w:r>
              <w:rPr>
                <w:rFonts w:hint="eastAsia" w:ascii="宋体" w:hAnsi="宋体"/>
                <w:color w:val="auto"/>
                <w:szCs w:val="21"/>
              </w:rPr>
              <w:t>编列内容</w:t>
            </w:r>
          </w:p>
        </w:tc>
      </w:tr>
      <w:tr w14:paraId="71C289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3F55DBD8">
            <w:pPr>
              <w:spacing w:line="400" w:lineRule="exact"/>
              <w:jc w:val="center"/>
              <w:rPr>
                <w:rFonts w:ascii="宋体" w:hAnsi="宋体"/>
                <w:color w:val="auto"/>
                <w:szCs w:val="21"/>
              </w:rPr>
            </w:pPr>
            <w:r>
              <w:rPr>
                <w:rFonts w:hint="eastAsia" w:ascii="宋体" w:hAnsi="宋体"/>
                <w:color w:val="auto"/>
                <w:szCs w:val="21"/>
              </w:rPr>
              <w:t>3</w:t>
            </w:r>
          </w:p>
        </w:tc>
        <w:tc>
          <w:tcPr>
            <w:tcW w:w="8597" w:type="dxa"/>
            <w:tcBorders>
              <w:top w:val="single" w:color="auto" w:sz="4" w:space="0"/>
              <w:left w:val="single" w:color="auto" w:sz="4" w:space="0"/>
              <w:bottom w:val="single" w:color="auto" w:sz="4" w:space="0"/>
              <w:right w:val="single" w:color="auto" w:sz="4" w:space="0"/>
            </w:tcBorders>
            <w:vAlign w:val="center"/>
          </w:tcPr>
          <w:p w14:paraId="3CFEB4DD">
            <w:pPr>
              <w:snapToGrid w:val="0"/>
              <w:spacing w:line="360" w:lineRule="auto"/>
              <w:jc w:val="left"/>
              <w:rPr>
                <w:rFonts w:ascii="宋体" w:hAnsi="宋体"/>
                <w:color w:val="auto"/>
                <w:szCs w:val="21"/>
              </w:rPr>
            </w:pPr>
            <w:r>
              <w:rPr>
                <w:rFonts w:hint="eastAsia" w:ascii="宋体" w:hAnsi="宋体"/>
                <w:color w:val="auto"/>
                <w:szCs w:val="21"/>
              </w:rPr>
              <w:t>投标人的资格要求详见招标公告。</w:t>
            </w:r>
          </w:p>
        </w:tc>
      </w:tr>
      <w:tr w14:paraId="77CB33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5FDA3BF8">
            <w:pPr>
              <w:spacing w:line="360" w:lineRule="auto"/>
              <w:jc w:val="center"/>
              <w:rPr>
                <w:rFonts w:ascii="宋体" w:hAnsi="宋体"/>
                <w:color w:val="auto"/>
                <w:szCs w:val="21"/>
              </w:rPr>
            </w:pPr>
            <w:bookmarkStart w:id="87" w:name="_9.2"/>
            <w:bookmarkEnd w:id="87"/>
            <w:bookmarkStart w:id="88" w:name="_8.1"/>
            <w:bookmarkEnd w:id="88"/>
            <w:bookmarkStart w:id="89" w:name="_5"/>
            <w:bookmarkEnd w:id="89"/>
            <w:r>
              <w:rPr>
                <w:rFonts w:hint="eastAsia" w:ascii="宋体" w:hAnsi="宋体"/>
                <w:color w:val="auto"/>
                <w:szCs w:val="21"/>
              </w:rPr>
              <w:t>6.1</w:t>
            </w:r>
          </w:p>
        </w:tc>
        <w:tc>
          <w:tcPr>
            <w:tcW w:w="8597" w:type="dxa"/>
            <w:tcBorders>
              <w:top w:val="single" w:color="auto" w:sz="4" w:space="0"/>
              <w:left w:val="single" w:color="auto" w:sz="4" w:space="0"/>
              <w:bottom w:val="single" w:color="auto" w:sz="4" w:space="0"/>
              <w:right w:val="single" w:color="auto" w:sz="4" w:space="0"/>
            </w:tcBorders>
            <w:vAlign w:val="center"/>
          </w:tcPr>
          <w:p w14:paraId="7ACBAAEE">
            <w:pPr>
              <w:pStyle w:val="10"/>
              <w:spacing w:line="360" w:lineRule="auto"/>
              <w:rPr>
                <w:rFonts w:ascii="宋体" w:hAnsi="宋体"/>
                <w:color w:val="auto"/>
                <w:szCs w:val="21"/>
              </w:rPr>
            </w:pPr>
            <w:r>
              <w:rPr>
                <w:rFonts w:hint="eastAsia" w:ascii="宋体" w:hAnsi="宋体"/>
                <w:color w:val="auto"/>
                <w:szCs w:val="21"/>
              </w:rPr>
              <w:t>本项目是否接受联合体投标：详见“招标公告”。</w:t>
            </w:r>
          </w:p>
        </w:tc>
      </w:tr>
      <w:tr w14:paraId="5A8522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5DB0E191">
            <w:pPr>
              <w:spacing w:line="360" w:lineRule="auto"/>
              <w:jc w:val="center"/>
              <w:rPr>
                <w:rFonts w:ascii="宋体" w:hAnsi="宋体"/>
                <w:color w:val="auto"/>
                <w:szCs w:val="21"/>
              </w:rPr>
            </w:pPr>
            <w:r>
              <w:rPr>
                <w:rFonts w:hint="eastAsia" w:ascii="宋体" w:hAnsi="宋体"/>
                <w:color w:val="auto"/>
                <w:szCs w:val="21"/>
              </w:rPr>
              <w:t>6.2</w:t>
            </w:r>
          </w:p>
        </w:tc>
        <w:tc>
          <w:tcPr>
            <w:tcW w:w="8597" w:type="dxa"/>
            <w:tcBorders>
              <w:top w:val="single" w:color="auto" w:sz="4" w:space="0"/>
              <w:left w:val="single" w:color="auto" w:sz="4" w:space="0"/>
              <w:bottom w:val="single" w:color="auto" w:sz="4" w:space="0"/>
              <w:right w:val="single" w:color="auto" w:sz="4" w:space="0"/>
            </w:tcBorders>
            <w:vAlign w:val="center"/>
          </w:tcPr>
          <w:p w14:paraId="53F2A812">
            <w:pPr>
              <w:pStyle w:val="10"/>
              <w:spacing w:line="360" w:lineRule="auto"/>
              <w:rPr>
                <w:rFonts w:ascii="宋体" w:hAnsi="宋体"/>
                <w:color w:val="auto"/>
                <w:szCs w:val="21"/>
              </w:rPr>
            </w:pPr>
            <w:bookmarkStart w:id="90" w:name="_Hlk54105293"/>
            <w:r>
              <w:rPr>
                <w:rFonts w:hint="eastAsia" w:ascii="宋体" w:hAnsi="宋体" w:cs="宋体"/>
                <w:color w:val="auto"/>
                <w:szCs w:val="21"/>
              </w:rPr>
              <w:t>如接受联合体投标，</w:t>
            </w:r>
            <w:bookmarkEnd w:id="90"/>
            <w:r>
              <w:rPr>
                <w:rFonts w:hint="eastAsia" w:ascii="宋体" w:hAnsi="宋体" w:cs="宋体"/>
                <w:color w:val="auto"/>
                <w:szCs w:val="21"/>
              </w:rPr>
              <w:t>联合体投标要求如下：/</w:t>
            </w:r>
          </w:p>
        </w:tc>
      </w:tr>
      <w:tr w14:paraId="03ABEE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140EA7B6">
            <w:pPr>
              <w:spacing w:line="360" w:lineRule="auto"/>
              <w:jc w:val="center"/>
              <w:rPr>
                <w:rFonts w:ascii="宋体" w:hAnsi="宋体"/>
                <w:color w:val="auto"/>
                <w:szCs w:val="21"/>
              </w:rPr>
            </w:pPr>
            <w:r>
              <w:rPr>
                <w:rFonts w:hint="eastAsia" w:ascii="宋体" w:hAnsi="宋体"/>
                <w:color w:val="auto"/>
                <w:szCs w:val="21"/>
              </w:rPr>
              <w:t>7.1</w:t>
            </w:r>
          </w:p>
        </w:tc>
        <w:tc>
          <w:tcPr>
            <w:tcW w:w="8597" w:type="dxa"/>
            <w:tcBorders>
              <w:top w:val="single" w:color="auto" w:sz="4" w:space="0"/>
              <w:left w:val="single" w:color="auto" w:sz="4" w:space="0"/>
              <w:bottom w:val="single" w:color="auto" w:sz="4" w:space="0"/>
              <w:right w:val="single" w:color="auto" w:sz="4" w:space="0"/>
            </w:tcBorders>
            <w:vAlign w:val="center"/>
          </w:tcPr>
          <w:p w14:paraId="2CA4910A">
            <w:pPr>
              <w:pStyle w:val="10"/>
              <w:spacing w:line="360" w:lineRule="auto"/>
              <w:rPr>
                <w:rFonts w:ascii="宋体" w:hAnsi="宋体"/>
                <w:color w:val="auto"/>
                <w:szCs w:val="21"/>
                <w:u w:val="single"/>
              </w:rPr>
            </w:pPr>
            <w:r>
              <w:rPr>
                <w:rFonts w:hint="eastAsia" w:ascii="宋体" w:hAnsi="宋体"/>
                <w:color w:val="auto"/>
                <w:szCs w:val="21"/>
              </w:rPr>
              <w:t>不允许分包</w:t>
            </w:r>
          </w:p>
        </w:tc>
      </w:tr>
      <w:tr w14:paraId="5495E5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vMerge w:val="restart"/>
            <w:tcBorders>
              <w:top w:val="single" w:color="auto" w:sz="4" w:space="0"/>
              <w:left w:val="single" w:color="auto" w:sz="4" w:space="0"/>
              <w:right w:val="single" w:color="auto" w:sz="4" w:space="0"/>
            </w:tcBorders>
            <w:vAlign w:val="center"/>
          </w:tcPr>
          <w:p w14:paraId="135D6D40">
            <w:pPr>
              <w:spacing w:line="360" w:lineRule="auto"/>
              <w:jc w:val="center"/>
              <w:rPr>
                <w:rFonts w:ascii="宋体" w:hAnsi="宋体"/>
                <w:color w:val="auto"/>
                <w:szCs w:val="21"/>
              </w:rPr>
            </w:pPr>
            <w:r>
              <w:rPr>
                <w:rFonts w:hint="eastAsia" w:ascii="宋体" w:hAnsi="宋体"/>
                <w:color w:val="auto"/>
                <w:szCs w:val="21"/>
              </w:rPr>
              <w:t>11.4</w:t>
            </w:r>
          </w:p>
        </w:tc>
        <w:tc>
          <w:tcPr>
            <w:tcW w:w="8597" w:type="dxa"/>
            <w:tcBorders>
              <w:top w:val="single" w:color="auto" w:sz="4" w:space="0"/>
              <w:left w:val="single" w:color="auto" w:sz="4" w:space="0"/>
              <w:bottom w:val="single" w:color="auto" w:sz="4" w:space="0"/>
              <w:right w:val="single" w:color="auto" w:sz="4" w:space="0"/>
            </w:tcBorders>
            <w:vAlign w:val="center"/>
          </w:tcPr>
          <w:p w14:paraId="07C38E4B">
            <w:pPr>
              <w:snapToGrid w:val="0"/>
              <w:spacing w:line="360" w:lineRule="auto"/>
              <w:rPr>
                <w:rFonts w:ascii="宋体" w:hAnsi="宋体"/>
                <w:color w:val="auto"/>
                <w:szCs w:val="21"/>
              </w:rPr>
            </w:pPr>
            <w:r>
              <w:rPr>
                <w:rFonts w:hint="eastAsia" w:ascii="宋体" w:hAnsi="宋体"/>
                <w:color w:val="auto"/>
                <w:szCs w:val="21"/>
              </w:rPr>
              <w:t>不组织现场考察</w:t>
            </w:r>
          </w:p>
        </w:tc>
      </w:tr>
      <w:tr w14:paraId="7DAAD4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vMerge w:val="continue"/>
            <w:tcBorders>
              <w:left w:val="single" w:color="auto" w:sz="4" w:space="0"/>
              <w:bottom w:val="single" w:color="auto" w:sz="4" w:space="0"/>
              <w:right w:val="single" w:color="auto" w:sz="4" w:space="0"/>
            </w:tcBorders>
            <w:vAlign w:val="center"/>
          </w:tcPr>
          <w:p w14:paraId="0800D241">
            <w:pPr>
              <w:spacing w:line="360" w:lineRule="auto"/>
              <w:jc w:val="center"/>
              <w:rPr>
                <w:rFonts w:ascii="宋体" w:hAnsi="宋体"/>
                <w:color w:val="auto"/>
                <w:szCs w:val="21"/>
              </w:rPr>
            </w:pPr>
          </w:p>
        </w:tc>
        <w:tc>
          <w:tcPr>
            <w:tcW w:w="8597" w:type="dxa"/>
            <w:tcBorders>
              <w:top w:val="single" w:color="auto" w:sz="4" w:space="0"/>
              <w:left w:val="single" w:color="auto" w:sz="4" w:space="0"/>
              <w:bottom w:val="single" w:color="auto" w:sz="4" w:space="0"/>
              <w:right w:val="single" w:color="auto" w:sz="4" w:space="0"/>
            </w:tcBorders>
            <w:vAlign w:val="center"/>
          </w:tcPr>
          <w:p w14:paraId="53A41E2C">
            <w:pPr>
              <w:snapToGrid w:val="0"/>
              <w:spacing w:line="360" w:lineRule="auto"/>
              <w:rPr>
                <w:rFonts w:ascii="宋体" w:hAnsi="宋体"/>
                <w:color w:val="auto"/>
                <w:szCs w:val="21"/>
              </w:rPr>
            </w:pPr>
            <w:r>
              <w:rPr>
                <w:rFonts w:hint="eastAsia" w:ascii="宋体" w:hAnsi="宋体" w:cs="宋体"/>
                <w:color w:val="auto"/>
                <w:szCs w:val="21"/>
              </w:rPr>
              <w:t>不组织召开开标前答疑会</w:t>
            </w:r>
          </w:p>
        </w:tc>
      </w:tr>
      <w:tr w14:paraId="34CD87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vMerge w:val="restart"/>
            <w:tcBorders>
              <w:top w:val="single" w:color="auto" w:sz="4" w:space="0"/>
              <w:left w:val="single" w:color="auto" w:sz="4" w:space="0"/>
              <w:right w:val="single" w:color="auto" w:sz="4" w:space="0"/>
            </w:tcBorders>
            <w:vAlign w:val="center"/>
          </w:tcPr>
          <w:p w14:paraId="0D88255C">
            <w:pPr>
              <w:spacing w:line="360" w:lineRule="auto"/>
              <w:jc w:val="center"/>
              <w:rPr>
                <w:rFonts w:ascii="宋体" w:hAnsi="宋体"/>
                <w:color w:val="auto"/>
                <w:szCs w:val="21"/>
              </w:rPr>
            </w:pPr>
            <w:bookmarkStart w:id="91" w:name="_13.1"/>
            <w:bookmarkEnd w:id="91"/>
            <w:r>
              <w:rPr>
                <w:rFonts w:hint="eastAsia" w:ascii="宋体" w:hAnsi="宋体"/>
                <w:color w:val="auto"/>
                <w:szCs w:val="21"/>
              </w:rPr>
              <w:t>13.</w:t>
            </w:r>
            <w:bookmarkStart w:id="92" w:name="_Hlt19632543"/>
            <w:r>
              <w:rPr>
                <w:rFonts w:hint="eastAsia" w:ascii="宋体" w:hAnsi="宋体"/>
                <w:color w:val="auto"/>
                <w:szCs w:val="21"/>
              </w:rPr>
              <w:t>1</w:t>
            </w:r>
            <w:bookmarkEnd w:id="92"/>
          </w:p>
        </w:tc>
        <w:tc>
          <w:tcPr>
            <w:tcW w:w="8597" w:type="dxa"/>
            <w:tcBorders>
              <w:top w:val="single" w:color="auto" w:sz="4" w:space="0"/>
              <w:left w:val="single" w:color="auto" w:sz="4" w:space="0"/>
              <w:bottom w:val="single" w:color="auto" w:sz="4" w:space="0"/>
              <w:right w:val="single" w:color="auto" w:sz="4" w:space="0"/>
            </w:tcBorders>
            <w:vAlign w:val="center"/>
          </w:tcPr>
          <w:p w14:paraId="6B5AD8DD">
            <w:pPr>
              <w:snapToGrid w:val="0"/>
              <w:spacing w:line="360" w:lineRule="auto"/>
              <w:jc w:val="left"/>
              <w:rPr>
                <w:rFonts w:ascii="宋体" w:hAnsi="宋体" w:cs="Courier New"/>
                <w:b/>
                <w:color w:val="auto"/>
                <w:szCs w:val="21"/>
              </w:rPr>
            </w:pPr>
            <w:r>
              <w:rPr>
                <w:rFonts w:hint="eastAsia" w:ascii="宋体" w:hAnsi="宋体" w:cs="Courier New"/>
                <w:b/>
                <w:color w:val="auto"/>
                <w:szCs w:val="21"/>
              </w:rPr>
              <w:t>报价文件：</w:t>
            </w:r>
          </w:p>
          <w:p w14:paraId="6944714B">
            <w:pPr>
              <w:tabs>
                <w:tab w:val="left" w:pos="0"/>
              </w:tabs>
              <w:snapToGrid w:val="0"/>
              <w:spacing w:line="360" w:lineRule="auto"/>
              <w:ind w:left="425" w:leftChars="104" w:hanging="207" w:hangingChars="99"/>
              <w:jc w:val="left"/>
              <w:rPr>
                <w:rFonts w:ascii="宋体" w:hAnsi="宋体"/>
                <w:color w:val="auto"/>
                <w:szCs w:val="21"/>
              </w:rPr>
            </w:pPr>
            <w:r>
              <w:rPr>
                <w:rFonts w:ascii="宋体" w:hAnsi="宋体"/>
                <w:bCs/>
                <w:color w:val="auto"/>
                <w:szCs w:val="21"/>
              </w:rPr>
              <w:t>1.</w:t>
            </w:r>
            <w:r>
              <w:rPr>
                <w:rFonts w:hint="eastAsia" w:ascii="宋体" w:hAnsi="宋体"/>
                <w:bCs/>
                <w:color w:val="auto"/>
                <w:szCs w:val="21"/>
              </w:rPr>
              <w:t>投标函</w:t>
            </w:r>
            <w:r>
              <w:rPr>
                <w:rFonts w:hint="eastAsia" w:ascii="宋体" w:hAnsi="宋体"/>
                <w:color w:val="auto"/>
                <w:szCs w:val="21"/>
              </w:rPr>
              <w:t>（格式后附）；</w:t>
            </w:r>
            <w:r>
              <w:rPr>
                <w:rFonts w:hint="eastAsia" w:ascii="宋体" w:hAnsi="宋体"/>
                <w:b/>
                <w:color w:val="auto"/>
                <w:szCs w:val="21"/>
              </w:rPr>
              <w:t>（必须提供，否则作无效投标处理）</w:t>
            </w:r>
          </w:p>
          <w:p w14:paraId="7038392F">
            <w:pPr>
              <w:tabs>
                <w:tab w:val="left" w:pos="0"/>
              </w:tabs>
              <w:snapToGrid w:val="0"/>
              <w:spacing w:line="360" w:lineRule="auto"/>
              <w:ind w:left="425" w:leftChars="104" w:hanging="207" w:hangingChars="99"/>
              <w:jc w:val="left"/>
              <w:rPr>
                <w:rFonts w:ascii="宋体" w:hAnsi="宋体"/>
                <w:color w:val="auto"/>
                <w:szCs w:val="21"/>
              </w:rPr>
            </w:pPr>
            <w:r>
              <w:rPr>
                <w:rFonts w:ascii="宋体" w:hAnsi="宋体"/>
                <w:bCs/>
                <w:color w:val="auto"/>
                <w:szCs w:val="21"/>
              </w:rPr>
              <w:t>2.</w:t>
            </w:r>
            <w:r>
              <w:rPr>
                <w:rFonts w:hint="eastAsia" w:ascii="宋体" w:hAnsi="宋体"/>
                <w:bCs/>
                <w:color w:val="auto"/>
                <w:szCs w:val="21"/>
              </w:rPr>
              <w:t>开标一览表</w:t>
            </w:r>
            <w:r>
              <w:rPr>
                <w:rFonts w:hint="eastAsia" w:ascii="宋体" w:hAnsi="宋体"/>
                <w:color w:val="auto"/>
                <w:szCs w:val="21"/>
              </w:rPr>
              <w:t>（格式后附）； （</w:t>
            </w:r>
            <w:r>
              <w:rPr>
                <w:rFonts w:hint="eastAsia" w:ascii="宋体" w:hAnsi="宋体"/>
                <w:b/>
                <w:color w:val="auto"/>
                <w:szCs w:val="21"/>
              </w:rPr>
              <w:t>必须提供，否则作无效投标处理</w:t>
            </w:r>
            <w:r>
              <w:rPr>
                <w:rFonts w:hint="eastAsia" w:ascii="宋体" w:hAnsi="宋体"/>
                <w:color w:val="auto"/>
                <w:szCs w:val="21"/>
              </w:rPr>
              <w:t>）</w:t>
            </w:r>
          </w:p>
          <w:p w14:paraId="66367D91">
            <w:pPr>
              <w:tabs>
                <w:tab w:val="left" w:pos="0"/>
              </w:tabs>
              <w:snapToGrid w:val="0"/>
              <w:spacing w:line="360" w:lineRule="auto"/>
              <w:ind w:left="425" w:leftChars="104" w:hanging="207" w:hangingChars="99"/>
              <w:jc w:val="left"/>
              <w:rPr>
                <w:rFonts w:ascii="宋体" w:hAnsi="宋体"/>
                <w:color w:val="auto"/>
                <w:szCs w:val="21"/>
              </w:rPr>
            </w:pPr>
            <w:r>
              <w:rPr>
                <w:rFonts w:ascii="宋体" w:hAnsi="宋体"/>
                <w:bCs/>
                <w:color w:val="auto"/>
                <w:szCs w:val="21"/>
              </w:rPr>
              <w:t>3.</w:t>
            </w:r>
            <w:r>
              <w:rPr>
                <w:rFonts w:hint="eastAsia" w:ascii="宋体" w:hAnsi="宋体"/>
                <w:bCs/>
                <w:color w:val="auto"/>
                <w:szCs w:val="21"/>
              </w:rPr>
              <w:t>投标人针对报价需要说明的其他文件和说明（格式自拟）</w:t>
            </w:r>
            <w:r>
              <w:rPr>
                <w:rFonts w:hint="eastAsia" w:ascii="宋体" w:hAnsi="宋体"/>
                <w:color w:val="auto"/>
                <w:szCs w:val="21"/>
              </w:rPr>
              <w:t>。</w:t>
            </w:r>
          </w:p>
          <w:p w14:paraId="17C61990">
            <w:pPr>
              <w:snapToGrid w:val="0"/>
              <w:spacing w:line="360" w:lineRule="auto"/>
              <w:ind w:left="427" w:leftChars="104" w:hanging="209" w:hangingChars="99"/>
              <w:jc w:val="left"/>
              <w:rPr>
                <w:rFonts w:ascii="宋体" w:hAnsi="宋体"/>
                <w:color w:val="auto"/>
                <w:szCs w:val="21"/>
              </w:rPr>
            </w:pPr>
            <w:r>
              <w:rPr>
                <w:rFonts w:hint="eastAsia" w:ascii="宋体" w:hAnsi="宋体"/>
                <w:b/>
                <w:bCs/>
                <w:color w:val="auto"/>
                <w:szCs w:val="21"/>
              </w:rPr>
              <w:t>注：投标函、开标一览表必须由法定代表人或者委托代理人在规定签章处逐一签字</w:t>
            </w:r>
            <w:r>
              <w:rPr>
                <w:rFonts w:hint="eastAsia" w:ascii="宋体" w:hAnsi="宋体"/>
                <w:b/>
                <w:bCs/>
                <w:color w:val="auto"/>
                <w:szCs w:val="21"/>
                <w:lang w:eastAsia="zh-CN"/>
              </w:rPr>
              <w:t>（</w:t>
            </w:r>
            <w:r>
              <w:rPr>
                <w:rFonts w:hint="eastAsia" w:ascii="宋体" w:hAnsi="宋体"/>
                <w:b/>
                <w:bCs/>
                <w:color w:val="auto"/>
                <w:szCs w:val="21"/>
                <w:lang w:val="en-US" w:eastAsia="zh-CN"/>
              </w:rPr>
              <w:t>或</w:t>
            </w:r>
            <w:r>
              <w:rPr>
                <w:rFonts w:hint="eastAsia" w:ascii="宋体" w:hAnsi="宋体"/>
                <w:b/>
                <w:bCs/>
                <w:color w:val="auto"/>
                <w:szCs w:val="21"/>
              </w:rPr>
              <w:t>电子签名</w:t>
            </w:r>
            <w:r>
              <w:rPr>
                <w:rFonts w:hint="eastAsia" w:ascii="宋体" w:hAnsi="宋体"/>
                <w:b/>
                <w:bCs/>
                <w:color w:val="auto"/>
                <w:szCs w:val="21"/>
                <w:lang w:eastAsia="zh-CN"/>
              </w:rPr>
              <w:t>）</w:t>
            </w:r>
            <w:r>
              <w:rPr>
                <w:rFonts w:hint="eastAsia" w:ascii="宋体" w:hAnsi="宋体"/>
                <w:b/>
                <w:bCs/>
                <w:color w:val="auto"/>
                <w:szCs w:val="21"/>
              </w:rPr>
              <w:t>并加盖投标人公章</w:t>
            </w:r>
            <w:r>
              <w:rPr>
                <w:rFonts w:hint="eastAsia" w:ascii="宋体" w:hAnsi="宋体"/>
                <w:b/>
                <w:bCs/>
                <w:color w:val="auto"/>
                <w:szCs w:val="21"/>
                <w:lang w:eastAsia="zh-CN"/>
              </w:rPr>
              <w:t>（</w:t>
            </w:r>
            <w:r>
              <w:rPr>
                <w:rFonts w:hint="eastAsia" w:ascii="宋体" w:hAnsi="宋体"/>
                <w:b/>
                <w:bCs/>
                <w:color w:val="auto"/>
                <w:szCs w:val="21"/>
                <w:lang w:val="en-US" w:eastAsia="zh-CN"/>
              </w:rPr>
              <w:t>或</w:t>
            </w:r>
            <w:r>
              <w:rPr>
                <w:rFonts w:hint="eastAsia" w:ascii="宋体" w:hAnsi="宋体"/>
                <w:b/>
                <w:bCs/>
                <w:color w:val="auto"/>
                <w:szCs w:val="21"/>
              </w:rPr>
              <w:t>电子签章</w:t>
            </w:r>
            <w:r>
              <w:rPr>
                <w:rFonts w:hint="eastAsia" w:ascii="宋体" w:hAnsi="宋体"/>
                <w:b/>
                <w:bCs/>
                <w:color w:val="auto"/>
                <w:szCs w:val="21"/>
                <w:lang w:eastAsia="zh-CN"/>
              </w:rPr>
              <w:t>）</w:t>
            </w:r>
            <w:r>
              <w:rPr>
                <w:rFonts w:hint="eastAsia" w:ascii="宋体" w:hAnsi="宋体"/>
                <w:b/>
                <w:bCs/>
                <w:color w:val="auto"/>
                <w:szCs w:val="21"/>
              </w:rPr>
              <w:t>，否则</w:t>
            </w:r>
            <w:r>
              <w:rPr>
                <w:rFonts w:hint="eastAsia" w:ascii="宋体" w:hAnsi="宋体" w:cs="Courier New"/>
                <w:b/>
                <w:color w:val="auto"/>
                <w:szCs w:val="21"/>
              </w:rPr>
              <w:t>作无效投标处理</w:t>
            </w:r>
            <w:r>
              <w:rPr>
                <w:rFonts w:hint="eastAsia" w:ascii="宋体" w:hAnsi="宋体"/>
                <w:b/>
                <w:bCs/>
                <w:color w:val="auto"/>
                <w:szCs w:val="21"/>
              </w:rPr>
              <w:t>。</w:t>
            </w:r>
          </w:p>
        </w:tc>
      </w:tr>
      <w:tr w14:paraId="593682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vMerge w:val="continue"/>
            <w:tcBorders>
              <w:left w:val="single" w:color="auto" w:sz="4" w:space="0"/>
              <w:right w:val="single" w:color="auto" w:sz="4" w:space="0"/>
            </w:tcBorders>
            <w:vAlign w:val="center"/>
          </w:tcPr>
          <w:p w14:paraId="7AFD0D35">
            <w:pPr>
              <w:spacing w:line="360" w:lineRule="auto"/>
              <w:rPr>
                <w:rFonts w:ascii="宋体" w:hAnsi="宋体"/>
                <w:color w:val="auto"/>
                <w:szCs w:val="21"/>
              </w:rPr>
            </w:pPr>
            <w:bookmarkStart w:id="93" w:name="_13.2"/>
            <w:bookmarkEnd w:id="93"/>
          </w:p>
        </w:tc>
        <w:tc>
          <w:tcPr>
            <w:tcW w:w="8597" w:type="dxa"/>
            <w:tcBorders>
              <w:top w:val="single" w:color="auto" w:sz="4" w:space="0"/>
              <w:left w:val="single" w:color="auto" w:sz="4" w:space="0"/>
              <w:bottom w:val="single" w:color="auto" w:sz="4" w:space="0"/>
              <w:right w:val="single" w:color="auto" w:sz="4" w:space="0"/>
            </w:tcBorders>
            <w:vAlign w:val="center"/>
          </w:tcPr>
          <w:p w14:paraId="1EBA9FCD">
            <w:pPr>
              <w:snapToGrid w:val="0"/>
              <w:spacing w:line="360" w:lineRule="auto"/>
              <w:jc w:val="left"/>
              <w:rPr>
                <w:rFonts w:ascii="宋体" w:hAnsi="宋体" w:cs="Courier New"/>
                <w:b/>
                <w:color w:val="auto"/>
                <w:szCs w:val="21"/>
              </w:rPr>
            </w:pPr>
            <w:r>
              <w:rPr>
                <w:rFonts w:hint="eastAsia" w:ascii="宋体" w:hAnsi="宋体" w:cs="Courier New"/>
                <w:b/>
                <w:color w:val="auto"/>
                <w:szCs w:val="21"/>
              </w:rPr>
              <w:t>资格证明文件</w:t>
            </w:r>
          </w:p>
          <w:p w14:paraId="7D71E698">
            <w:pPr>
              <w:snapToGrid w:val="0"/>
              <w:spacing w:line="360" w:lineRule="auto"/>
              <w:ind w:firstLine="420" w:firstLineChars="200"/>
              <w:jc w:val="left"/>
              <w:rPr>
                <w:rFonts w:ascii="宋体" w:hAnsi="宋体"/>
                <w:color w:val="auto"/>
                <w:szCs w:val="21"/>
              </w:rPr>
            </w:pPr>
            <w:r>
              <w:rPr>
                <w:rFonts w:ascii="宋体" w:hAnsi="宋体"/>
                <w:bCs/>
                <w:color w:val="auto"/>
                <w:szCs w:val="21"/>
              </w:rPr>
              <w:t>1.</w:t>
            </w:r>
            <w:r>
              <w:rPr>
                <w:rFonts w:hint="eastAsia" w:ascii="宋体" w:hAnsi="宋体"/>
                <w:bCs/>
                <w:color w:val="auto"/>
                <w:szCs w:val="21"/>
              </w:rPr>
              <w:t>投</w:t>
            </w:r>
            <w:r>
              <w:rPr>
                <w:rFonts w:hint="eastAsia" w:ascii="宋体" w:hAnsi="宋体"/>
                <w:color w:val="auto"/>
                <w:szCs w:val="21"/>
              </w:rPr>
              <w:t>标人为法人或者其他组织的，提供营业执照等证明文件</w:t>
            </w:r>
            <w:r>
              <w:rPr>
                <w:rFonts w:hint="eastAsia" w:ascii="宋体" w:hAnsi="宋体" w:cs="宋体"/>
                <w:color w:val="auto"/>
                <w:szCs w:val="21"/>
              </w:rPr>
              <w:t>（如营业执照或者事业单位法人证书或者</w:t>
            </w:r>
            <w:r>
              <w:rPr>
                <w:rStyle w:val="31"/>
                <w:color w:val="auto"/>
                <w:sz w:val="21"/>
                <w:szCs w:val="21"/>
              </w:rPr>
              <w:t>执业许可证</w:t>
            </w:r>
            <w:r>
              <w:rPr>
                <w:rFonts w:hint="eastAsia" w:ascii="宋体" w:hAnsi="宋体" w:cs="宋体"/>
                <w:color w:val="auto"/>
                <w:szCs w:val="21"/>
              </w:rPr>
              <w:t>等）</w:t>
            </w:r>
            <w:r>
              <w:rPr>
                <w:rFonts w:hint="eastAsia" w:ascii="宋体" w:hAnsi="宋体"/>
                <w:color w:val="auto"/>
                <w:szCs w:val="21"/>
              </w:rPr>
              <w:t>，投标人为自然人的，提供身份证</w:t>
            </w:r>
            <w:r>
              <w:rPr>
                <w:rFonts w:hint="eastAsia" w:ascii="宋体" w:hAnsi="宋体" w:cs="宋体"/>
                <w:color w:val="auto"/>
                <w:szCs w:val="21"/>
              </w:rPr>
              <w:t>复印件</w:t>
            </w:r>
            <w:r>
              <w:rPr>
                <w:rFonts w:hint="eastAsia" w:ascii="宋体" w:hAnsi="宋体"/>
                <w:color w:val="auto"/>
                <w:szCs w:val="21"/>
              </w:rPr>
              <w:t>；（</w:t>
            </w:r>
            <w:r>
              <w:rPr>
                <w:rFonts w:hint="eastAsia" w:ascii="宋体" w:hAnsi="宋体"/>
                <w:b/>
                <w:color w:val="auto"/>
                <w:szCs w:val="21"/>
              </w:rPr>
              <w:t>必须提供，否则作无效投标处理</w:t>
            </w:r>
            <w:r>
              <w:rPr>
                <w:rFonts w:hint="eastAsia" w:ascii="宋体" w:hAnsi="宋体"/>
                <w:color w:val="auto"/>
                <w:szCs w:val="21"/>
              </w:rPr>
              <w:t>）</w:t>
            </w:r>
          </w:p>
          <w:p w14:paraId="3128EADB">
            <w:pPr>
              <w:snapToGrid w:val="0"/>
              <w:spacing w:line="360" w:lineRule="auto"/>
              <w:ind w:firstLine="420" w:firstLineChars="200"/>
              <w:jc w:val="left"/>
              <w:rPr>
                <w:rFonts w:ascii="宋体" w:hAnsi="宋体" w:cs="宋体"/>
                <w:color w:val="auto"/>
                <w:szCs w:val="21"/>
              </w:rPr>
            </w:pPr>
            <w:r>
              <w:rPr>
                <w:rFonts w:ascii="宋体" w:hAnsi="宋体"/>
                <w:bCs/>
                <w:color w:val="auto"/>
                <w:szCs w:val="21"/>
              </w:rPr>
              <w:t>2.</w:t>
            </w:r>
            <w:r>
              <w:rPr>
                <w:rFonts w:hint="eastAsia" w:ascii="宋体" w:hAnsi="宋体" w:cs="宋体"/>
                <w:bCs/>
                <w:color w:val="auto"/>
                <w:szCs w:val="21"/>
              </w:rPr>
              <w:t>投标</w:t>
            </w:r>
            <w:r>
              <w:rPr>
                <w:rFonts w:hint="eastAsia" w:ascii="宋体" w:hAnsi="宋体" w:cs="宋体"/>
                <w:color w:val="auto"/>
                <w:szCs w:val="21"/>
              </w:rPr>
              <w:t>人依法缴纳税收的相关材料</w:t>
            </w:r>
            <w:r>
              <w:rPr>
                <w:rFonts w:hint="eastAsia" w:ascii="宋体" w:hAnsi="宋体"/>
                <w:color w:val="auto"/>
                <w:szCs w:val="21"/>
              </w:rPr>
              <w:t>（</w:t>
            </w:r>
            <w:r>
              <w:rPr>
                <w:rFonts w:hint="eastAsia" w:ascii="宋体" w:hAnsi="宋体"/>
                <w:b/>
                <w:color w:val="auto"/>
                <w:szCs w:val="21"/>
              </w:rPr>
              <w:t>必须提供，否则作无效投标处理</w:t>
            </w:r>
            <w:r>
              <w:rPr>
                <w:rFonts w:hint="eastAsia" w:ascii="宋体" w:hAnsi="宋体"/>
                <w:color w:val="auto"/>
                <w:szCs w:val="21"/>
              </w:rPr>
              <w:t>）</w:t>
            </w:r>
          </w:p>
          <w:p w14:paraId="29145AEA">
            <w:pPr>
              <w:snapToGrid w:val="0"/>
              <w:spacing w:line="360" w:lineRule="auto"/>
              <w:ind w:firstLine="420" w:firstLineChars="200"/>
              <w:jc w:val="left"/>
              <w:rPr>
                <w:rFonts w:ascii="宋体" w:hAnsi="宋体" w:cs="宋体"/>
                <w:color w:val="auto"/>
                <w:szCs w:val="21"/>
              </w:rPr>
            </w:pPr>
            <w:r>
              <w:rPr>
                <w:rFonts w:hint="eastAsia" w:ascii="宋体" w:hAnsi="宋体" w:cs="宋体"/>
                <w:color w:val="auto"/>
                <w:szCs w:val="21"/>
              </w:rPr>
              <w:t>【</w:t>
            </w:r>
            <w:r>
              <w:rPr>
                <w:rFonts w:hint="eastAsia" w:ascii="宋体" w:hAnsi="宋体" w:cs="宋体"/>
                <w:color w:val="auto"/>
                <w:szCs w:val="21"/>
                <w:u w:val="none"/>
              </w:rPr>
              <w:t xml:space="preserve"> 投标截止时间</w:t>
            </w:r>
            <w:r>
              <w:rPr>
                <w:rFonts w:hint="eastAsia" w:ascii="宋体" w:hAnsi="宋体" w:cs="宋体"/>
                <w:color w:val="auto"/>
                <w:szCs w:val="21"/>
                <w:u w:val="single"/>
              </w:rPr>
              <w:t>前6个月内</w:t>
            </w:r>
            <w:r>
              <w:rPr>
                <w:rFonts w:hint="eastAsia" w:ascii="宋体" w:hAnsi="宋体" w:cs="宋体"/>
                <w:color w:val="auto"/>
                <w:szCs w:val="21"/>
                <w:u w:val="none"/>
              </w:rPr>
              <w:t>，</w:t>
            </w:r>
            <w:r>
              <w:rPr>
                <w:rFonts w:hint="eastAsia" w:ascii="宋体" w:hAnsi="宋体" w:cs="宋体"/>
                <w:color w:val="auto"/>
                <w:szCs w:val="21"/>
                <w:u w:val="none"/>
                <w:lang w:val="en-US" w:eastAsia="zh-CN"/>
              </w:rPr>
              <w:t>投标人</w:t>
            </w:r>
            <w:r>
              <w:rPr>
                <w:rFonts w:hint="eastAsia" w:ascii="宋体" w:hAnsi="宋体" w:cs="宋体"/>
                <w:color w:val="auto"/>
                <w:szCs w:val="21"/>
                <w:u w:val="none"/>
              </w:rPr>
              <w:t>任意</w:t>
            </w:r>
            <w:r>
              <w:rPr>
                <w:rFonts w:hint="eastAsia" w:ascii="宋体" w:hAnsi="宋体" w:cs="宋体"/>
                <w:color w:val="auto"/>
                <w:szCs w:val="21"/>
                <w:u w:val="single"/>
              </w:rPr>
              <w:t>1个月</w:t>
            </w:r>
            <w:r>
              <w:rPr>
                <w:rFonts w:hint="eastAsia" w:ascii="宋体" w:hAnsi="宋体" w:cs="宋体"/>
                <w:color w:val="auto"/>
                <w:szCs w:val="21"/>
              </w:rPr>
              <w:t>的依法缴纳税收的凭据复印件；依法免税的供应商，必须提供相应文件证明其依法免税。从取得营业执照时间起到投标文件提交截止时间为止不足要求月数的，只需提供从取得营业执照起的依法缴纳税收相应证明文件】；</w:t>
            </w:r>
          </w:p>
          <w:p w14:paraId="6503B051">
            <w:pPr>
              <w:snapToGrid w:val="0"/>
              <w:spacing w:line="360" w:lineRule="auto"/>
              <w:ind w:firstLine="420" w:firstLineChars="200"/>
              <w:jc w:val="left"/>
              <w:rPr>
                <w:rFonts w:ascii="宋体" w:hAnsi="宋体" w:cs="宋体"/>
                <w:color w:val="auto"/>
                <w:szCs w:val="21"/>
              </w:rPr>
            </w:pPr>
            <w:r>
              <w:rPr>
                <w:rFonts w:ascii="宋体" w:hAnsi="宋体"/>
                <w:bCs/>
                <w:color w:val="auto"/>
                <w:szCs w:val="21"/>
              </w:rPr>
              <w:t>3.</w:t>
            </w:r>
            <w:r>
              <w:rPr>
                <w:rFonts w:hint="eastAsia" w:ascii="宋体" w:hAnsi="宋体" w:cs="宋体"/>
                <w:bCs/>
                <w:color w:val="auto"/>
                <w:szCs w:val="21"/>
              </w:rPr>
              <w:t>投</w:t>
            </w:r>
            <w:r>
              <w:rPr>
                <w:rFonts w:hint="eastAsia" w:ascii="宋体" w:hAnsi="宋体" w:cs="宋体"/>
                <w:color w:val="auto"/>
                <w:szCs w:val="21"/>
              </w:rPr>
              <w:t>标人依法缴纳社会保障资金的相关材料</w:t>
            </w:r>
            <w:r>
              <w:rPr>
                <w:rFonts w:hint="eastAsia" w:ascii="宋体" w:hAnsi="宋体"/>
                <w:color w:val="auto"/>
                <w:szCs w:val="21"/>
              </w:rPr>
              <w:t>（</w:t>
            </w:r>
            <w:r>
              <w:rPr>
                <w:rFonts w:hint="eastAsia" w:ascii="宋体" w:hAnsi="宋体"/>
                <w:b/>
                <w:color w:val="auto"/>
                <w:szCs w:val="21"/>
              </w:rPr>
              <w:t>必须提供，否则作无效投标处理</w:t>
            </w:r>
            <w:r>
              <w:rPr>
                <w:rFonts w:hint="eastAsia" w:ascii="宋体" w:hAnsi="宋体"/>
                <w:color w:val="auto"/>
                <w:szCs w:val="21"/>
              </w:rPr>
              <w:t>）</w:t>
            </w:r>
          </w:p>
          <w:p w14:paraId="3733047D">
            <w:pPr>
              <w:snapToGrid w:val="0"/>
              <w:spacing w:line="360" w:lineRule="auto"/>
              <w:ind w:firstLine="420" w:firstLineChars="200"/>
              <w:jc w:val="left"/>
              <w:rPr>
                <w:rFonts w:ascii="宋体" w:hAnsi="宋体"/>
                <w:color w:val="auto"/>
                <w:szCs w:val="21"/>
              </w:rPr>
            </w:pPr>
            <w:r>
              <w:rPr>
                <w:rFonts w:hint="eastAsia" w:ascii="宋体" w:hAnsi="宋体" w:cs="宋体"/>
                <w:color w:val="auto"/>
                <w:szCs w:val="21"/>
              </w:rPr>
              <w:t>【</w:t>
            </w:r>
            <w:r>
              <w:rPr>
                <w:rFonts w:hint="eastAsia" w:ascii="宋体" w:hAnsi="宋体" w:cs="宋体"/>
                <w:color w:val="auto"/>
                <w:szCs w:val="21"/>
                <w:u w:val="none"/>
              </w:rPr>
              <w:t>投标截止时间</w:t>
            </w:r>
            <w:r>
              <w:rPr>
                <w:rFonts w:hint="eastAsia" w:ascii="宋体" w:hAnsi="宋体" w:cs="宋体"/>
                <w:color w:val="auto"/>
                <w:szCs w:val="21"/>
                <w:u w:val="single"/>
              </w:rPr>
              <w:t>前6个月内</w:t>
            </w:r>
            <w:r>
              <w:rPr>
                <w:rFonts w:hint="eastAsia" w:ascii="宋体" w:hAnsi="宋体" w:cs="宋体"/>
                <w:color w:val="auto"/>
                <w:szCs w:val="21"/>
                <w:u w:val="none"/>
              </w:rPr>
              <w:t>，</w:t>
            </w:r>
            <w:r>
              <w:rPr>
                <w:rFonts w:hint="eastAsia" w:ascii="宋体" w:hAnsi="宋体" w:cs="宋体"/>
                <w:color w:val="auto"/>
                <w:szCs w:val="21"/>
                <w:u w:val="none"/>
                <w:lang w:val="en-US" w:eastAsia="zh-CN"/>
              </w:rPr>
              <w:t>投标人</w:t>
            </w:r>
            <w:r>
              <w:rPr>
                <w:rFonts w:hint="eastAsia" w:ascii="宋体" w:hAnsi="宋体" w:cs="宋体"/>
                <w:color w:val="auto"/>
                <w:szCs w:val="21"/>
                <w:u w:val="none"/>
              </w:rPr>
              <w:t>任意</w:t>
            </w:r>
            <w:r>
              <w:rPr>
                <w:rFonts w:hint="eastAsia" w:ascii="宋体" w:hAnsi="宋体" w:cs="宋体"/>
                <w:color w:val="auto"/>
                <w:szCs w:val="21"/>
                <w:u w:val="single"/>
              </w:rPr>
              <w:t>1个月</w:t>
            </w:r>
            <w:r>
              <w:rPr>
                <w:rFonts w:hint="eastAsia" w:ascii="宋体" w:hAnsi="宋体" w:cs="宋体"/>
                <w:color w:val="auto"/>
                <w:szCs w:val="21"/>
              </w:rPr>
              <w:t>的依法缴纳社会保障资金的缴费凭证（专用收据或者社会保险缴纳清单）复印件；</w:t>
            </w:r>
            <w:r>
              <w:rPr>
                <w:rFonts w:hint="eastAsia" w:ascii="宋体" w:hAnsi="宋体"/>
                <w:color w:val="auto"/>
                <w:szCs w:val="21"/>
              </w:rPr>
              <w:t>依法不需要缴纳社会保障资金的供应商，必须提供相应文件证明不需要缴纳社会保障资金。</w:t>
            </w:r>
            <w:r>
              <w:rPr>
                <w:rFonts w:hint="eastAsia" w:ascii="宋体" w:hAnsi="宋体" w:cs="宋体"/>
                <w:color w:val="auto"/>
                <w:szCs w:val="21"/>
              </w:rPr>
              <w:t>从取得营业执照时间起到投标文件提交截止时间为止不足要求月数的只需提供从取得营业执照起的依法缴纳社会保障资金的</w:t>
            </w:r>
            <w:r>
              <w:rPr>
                <w:rFonts w:hint="eastAsia" w:ascii="宋体" w:hAnsi="宋体"/>
                <w:color w:val="auto"/>
                <w:szCs w:val="21"/>
              </w:rPr>
              <w:t>相应证明文件</w:t>
            </w:r>
            <w:r>
              <w:rPr>
                <w:rFonts w:hint="eastAsia" w:ascii="宋体" w:hAnsi="宋体" w:cs="宋体"/>
                <w:color w:val="auto"/>
                <w:szCs w:val="21"/>
              </w:rPr>
              <w:t>】</w:t>
            </w:r>
            <w:r>
              <w:rPr>
                <w:rFonts w:hint="eastAsia" w:ascii="宋体" w:hAnsi="宋体"/>
                <w:color w:val="auto"/>
                <w:szCs w:val="21"/>
              </w:rPr>
              <w:t>；</w:t>
            </w:r>
          </w:p>
          <w:p w14:paraId="7A2BA521">
            <w:pPr>
              <w:snapToGrid w:val="0"/>
              <w:spacing w:line="360" w:lineRule="auto"/>
              <w:ind w:firstLine="420" w:firstLineChars="200"/>
              <w:jc w:val="left"/>
              <w:rPr>
                <w:rFonts w:ascii="宋体" w:hAnsi="宋体"/>
                <w:color w:val="auto"/>
                <w:szCs w:val="21"/>
              </w:rPr>
            </w:pPr>
            <w:r>
              <w:rPr>
                <w:rFonts w:ascii="宋体" w:hAnsi="宋体"/>
                <w:bCs/>
                <w:color w:val="auto"/>
                <w:szCs w:val="21"/>
              </w:rPr>
              <w:t>4.</w:t>
            </w:r>
            <w:r>
              <w:rPr>
                <w:rFonts w:hint="eastAsia" w:ascii="宋体" w:hAnsi="宋体" w:cs="宋体"/>
                <w:bCs/>
                <w:color w:val="auto"/>
                <w:szCs w:val="21"/>
              </w:rPr>
              <w:t>投标</w:t>
            </w:r>
            <w:r>
              <w:rPr>
                <w:rFonts w:hint="eastAsia" w:ascii="宋体" w:hAnsi="宋体" w:cs="宋体"/>
                <w:color w:val="auto"/>
                <w:szCs w:val="21"/>
              </w:rPr>
              <w:t>人财务状况报告</w:t>
            </w:r>
            <w:r>
              <w:rPr>
                <w:rFonts w:hint="eastAsia" w:ascii="宋体" w:hAnsi="宋体"/>
                <w:color w:val="auto"/>
                <w:szCs w:val="21"/>
              </w:rPr>
              <w:t>（</w:t>
            </w:r>
            <w:r>
              <w:rPr>
                <w:rFonts w:hint="eastAsia" w:ascii="宋体" w:hAnsi="宋体"/>
                <w:b/>
                <w:color w:val="auto"/>
                <w:szCs w:val="21"/>
              </w:rPr>
              <w:t>必须提供，否则作无效投标处理</w:t>
            </w:r>
            <w:r>
              <w:rPr>
                <w:rFonts w:hint="eastAsia" w:ascii="宋体" w:hAnsi="宋体"/>
                <w:color w:val="auto"/>
                <w:szCs w:val="21"/>
              </w:rPr>
              <w:t>）</w:t>
            </w:r>
          </w:p>
          <w:p w14:paraId="1EEEE254">
            <w:pPr>
              <w:snapToGrid w:val="0"/>
              <w:spacing w:line="360" w:lineRule="auto"/>
              <w:ind w:firstLine="420" w:firstLineChars="200"/>
              <w:jc w:val="left"/>
              <w:rPr>
                <w:rFonts w:ascii="宋体" w:hAnsi="宋体" w:cs="宋体"/>
                <w:color w:val="auto"/>
                <w:szCs w:val="21"/>
              </w:rPr>
            </w:pPr>
            <w:r>
              <w:rPr>
                <w:rFonts w:hint="eastAsia" w:ascii="宋体" w:hAnsi="宋体" w:cs="宋体"/>
                <w:color w:val="auto"/>
                <w:szCs w:val="21"/>
              </w:rPr>
              <w:t>【</w:t>
            </w:r>
            <w:r>
              <w:rPr>
                <w:rFonts w:hint="eastAsia" w:ascii="宋体" w:hAnsi="宋体"/>
                <w:bCs/>
                <w:color w:val="auto"/>
                <w:szCs w:val="21"/>
                <w:highlight w:val="none"/>
                <w:u w:val="single"/>
                <w:lang w:val="en-US" w:eastAsia="zh-CN"/>
              </w:rPr>
              <w:t>2025年</w:t>
            </w:r>
            <w:r>
              <w:rPr>
                <w:rFonts w:hint="eastAsia" w:ascii="宋体" w:hAnsi="宋体" w:cs="宋体"/>
                <w:color w:val="auto"/>
                <w:szCs w:val="21"/>
                <w:u w:val="single"/>
              </w:rPr>
              <w:t>度</w:t>
            </w:r>
            <w:r>
              <w:rPr>
                <w:rFonts w:hint="eastAsia" w:ascii="宋体" w:hAnsi="宋体" w:cs="宋体"/>
                <w:color w:val="auto"/>
                <w:szCs w:val="21"/>
                <w:u w:val="none"/>
              </w:rPr>
              <w:t>财务状况报告（表）</w:t>
            </w:r>
            <w:r>
              <w:rPr>
                <w:rFonts w:hint="eastAsia" w:ascii="宋体" w:hAnsi="宋体" w:cs="宋体"/>
                <w:color w:val="auto"/>
                <w:szCs w:val="21"/>
              </w:rPr>
              <w:t>复印件或者银行出具的资信证明复印件，对于从取得营业执照时间起到投标文件递交截止时间为止不足1年的供应商，只需提交投标文件递交截止时间前一个月的财务状况报告（表）复印件】</w:t>
            </w:r>
            <w:r>
              <w:rPr>
                <w:rFonts w:hint="eastAsia" w:ascii="宋体" w:hAnsi="宋体"/>
                <w:color w:val="auto"/>
                <w:szCs w:val="21"/>
              </w:rPr>
              <w:t>；</w:t>
            </w:r>
          </w:p>
          <w:p w14:paraId="1EBCAD3F">
            <w:pPr>
              <w:snapToGrid w:val="0"/>
              <w:spacing w:line="360" w:lineRule="auto"/>
              <w:ind w:firstLine="420" w:firstLineChars="200"/>
              <w:jc w:val="left"/>
              <w:rPr>
                <w:rFonts w:ascii="宋体" w:hAnsi="宋体"/>
                <w:color w:val="auto"/>
                <w:szCs w:val="21"/>
              </w:rPr>
            </w:pPr>
            <w:r>
              <w:rPr>
                <w:rFonts w:ascii="宋体" w:hAnsi="宋体"/>
                <w:bCs/>
                <w:color w:val="auto"/>
                <w:szCs w:val="21"/>
              </w:rPr>
              <w:t>5.</w:t>
            </w:r>
            <w:r>
              <w:rPr>
                <w:rFonts w:hint="eastAsia" w:ascii="宋体" w:hAnsi="宋体"/>
                <w:bCs/>
                <w:color w:val="auto"/>
                <w:szCs w:val="21"/>
              </w:rPr>
              <w:t>投</w:t>
            </w:r>
            <w:r>
              <w:rPr>
                <w:rFonts w:hint="eastAsia" w:ascii="宋体" w:hAnsi="宋体"/>
                <w:color w:val="auto"/>
                <w:szCs w:val="21"/>
              </w:rPr>
              <w:t>标人直接控股、管理关系信息表（格式后附）；（</w:t>
            </w:r>
            <w:r>
              <w:rPr>
                <w:rFonts w:hint="eastAsia" w:ascii="宋体" w:hAnsi="宋体"/>
                <w:b/>
                <w:color w:val="auto"/>
                <w:szCs w:val="21"/>
              </w:rPr>
              <w:t>必须提供，否则作无效投标处理</w:t>
            </w:r>
            <w:r>
              <w:rPr>
                <w:rFonts w:hint="eastAsia" w:ascii="宋体" w:hAnsi="宋体"/>
                <w:color w:val="auto"/>
                <w:szCs w:val="21"/>
              </w:rPr>
              <w:t>）</w:t>
            </w:r>
          </w:p>
          <w:p w14:paraId="09A0D6E7">
            <w:pPr>
              <w:snapToGrid w:val="0"/>
              <w:spacing w:line="360" w:lineRule="auto"/>
              <w:ind w:firstLine="420" w:firstLineChars="200"/>
              <w:jc w:val="left"/>
              <w:rPr>
                <w:rFonts w:ascii="宋体" w:hAnsi="宋体"/>
                <w:bCs/>
                <w:color w:val="auto"/>
                <w:szCs w:val="21"/>
              </w:rPr>
            </w:pPr>
            <w:r>
              <w:rPr>
                <w:rFonts w:ascii="宋体" w:hAnsi="宋体"/>
                <w:bCs/>
                <w:color w:val="auto"/>
                <w:szCs w:val="21"/>
              </w:rPr>
              <w:t>6.</w:t>
            </w:r>
            <w:r>
              <w:rPr>
                <w:rFonts w:hint="eastAsia" w:ascii="宋体" w:hAnsi="宋体"/>
                <w:bCs/>
                <w:color w:val="auto"/>
                <w:szCs w:val="21"/>
                <w:lang w:val="en-US" w:eastAsia="zh-CN"/>
              </w:rPr>
              <w:t>资质要求：</w:t>
            </w:r>
            <w:r>
              <w:rPr>
                <w:rFonts w:hint="eastAsia" w:ascii="宋体" w:hAnsi="宋体"/>
                <w:bCs/>
                <w:color w:val="auto"/>
                <w:szCs w:val="21"/>
                <w:highlight w:val="none"/>
              </w:rPr>
              <w:t>①投标人要求具有药品监督管理的部门颁发有效的医疗器械经营许可证或者备案凭证（按《医疗器械监督管理条例》免于经营备案和无需办理医疗器械经营许可或者备案的情形除外）；②具备有效的《辐射安全许可证》，且许可活动种类至少包含“使用”，活动范围应覆盖Ⅲ类射线装置。</w:t>
            </w:r>
            <w:r>
              <w:rPr>
                <w:rFonts w:hint="eastAsia" w:ascii="宋体" w:hAnsi="宋体"/>
                <w:color w:val="auto"/>
                <w:szCs w:val="21"/>
              </w:rPr>
              <w:t>（</w:t>
            </w:r>
            <w:r>
              <w:rPr>
                <w:rFonts w:hint="eastAsia" w:ascii="宋体" w:hAnsi="宋体"/>
                <w:b/>
                <w:color w:val="auto"/>
                <w:szCs w:val="21"/>
              </w:rPr>
              <w:t>必须提供，否则作无效投标处理</w:t>
            </w:r>
            <w:r>
              <w:rPr>
                <w:rFonts w:hint="eastAsia" w:ascii="宋体" w:hAnsi="宋体"/>
                <w:color w:val="auto"/>
                <w:szCs w:val="21"/>
              </w:rPr>
              <w:t>）</w:t>
            </w:r>
          </w:p>
          <w:p w14:paraId="063953CD">
            <w:pPr>
              <w:snapToGrid w:val="0"/>
              <w:spacing w:line="360" w:lineRule="auto"/>
              <w:ind w:firstLine="420" w:firstLineChars="200"/>
              <w:jc w:val="left"/>
              <w:rPr>
                <w:rFonts w:ascii="宋体" w:hAnsi="宋体"/>
                <w:color w:val="auto"/>
                <w:szCs w:val="21"/>
              </w:rPr>
            </w:pPr>
            <w:r>
              <w:rPr>
                <w:rFonts w:hint="eastAsia" w:ascii="宋体" w:hAnsi="宋体"/>
                <w:bCs/>
                <w:color w:val="auto"/>
                <w:szCs w:val="21"/>
                <w:lang w:val="en-US" w:eastAsia="zh-CN"/>
              </w:rPr>
              <w:t>7.</w:t>
            </w:r>
            <w:r>
              <w:rPr>
                <w:rFonts w:hint="eastAsia" w:ascii="宋体" w:hAnsi="宋体"/>
                <w:bCs/>
                <w:color w:val="auto"/>
                <w:szCs w:val="21"/>
              </w:rPr>
              <w:t>投</w:t>
            </w:r>
            <w:r>
              <w:rPr>
                <w:rFonts w:hint="eastAsia" w:ascii="宋体" w:hAnsi="宋体"/>
                <w:color w:val="auto"/>
                <w:szCs w:val="21"/>
              </w:rPr>
              <w:t>标声明（格式后附）；（</w:t>
            </w:r>
            <w:r>
              <w:rPr>
                <w:rFonts w:hint="eastAsia" w:ascii="宋体" w:hAnsi="宋体"/>
                <w:b/>
                <w:color w:val="auto"/>
                <w:szCs w:val="21"/>
              </w:rPr>
              <w:t>必须提供，否则作无效投标处理</w:t>
            </w:r>
            <w:r>
              <w:rPr>
                <w:rFonts w:hint="eastAsia" w:ascii="宋体" w:hAnsi="宋体"/>
                <w:color w:val="auto"/>
                <w:szCs w:val="21"/>
              </w:rPr>
              <w:t>）</w:t>
            </w:r>
          </w:p>
          <w:p w14:paraId="7A9E7469">
            <w:pPr>
              <w:snapToGrid w:val="0"/>
              <w:spacing w:line="360" w:lineRule="auto"/>
              <w:ind w:firstLine="420" w:firstLineChars="200"/>
              <w:jc w:val="left"/>
              <w:rPr>
                <w:rFonts w:ascii="宋体" w:hAnsi="宋体"/>
                <w:bCs/>
                <w:color w:val="auto"/>
                <w:szCs w:val="21"/>
              </w:rPr>
            </w:pPr>
            <w:r>
              <w:rPr>
                <w:rFonts w:hint="eastAsia" w:ascii="宋体" w:hAnsi="宋体"/>
                <w:bCs/>
                <w:color w:val="auto"/>
                <w:szCs w:val="21"/>
                <w:lang w:val="en-US" w:eastAsia="zh-CN"/>
              </w:rPr>
              <w:t>8</w:t>
            </w:r>
            <w:r>
              <w:rPr>
                <w:rFonts w:ascii="宋体" w:hAnsi="宋体"/>
                <w:bCs/>
                <w:color w:val="auto"/>
                <w:szCs w:val="21"/>
              </w:rPr>
              <w:t>.</w:t>
            </w:r>
            <w:r>
              <w:rPr>
                <w:rFonts w:hint="eastAsia" w:ascii="宋体" w:hAnsi="宋体"/>
                <w:bCs/>
                <w:color w:val="auto"/>
                <w:szCs w:val="21"/>
              </w:rPr>
              <w:t>中小企业声明函；</w:t>
            </w:r>
            <w:r>
              <w:rPr>
                <w:rFonts w:hint="eastAsia" w:ascii="宋体" w:hAnsi="宋体"/>
                <w:b/>
                <w:bCs w:val="0"/>
                <w:color w:val="auto"/>
                <w:szCs w:val="21"/>
              </w:rPr>
              <w:t>（如有，请提供）</w:t>
            </w:r>
          </w:p>
          <w:p w14:paraId="06B241F6">
            <w:pPr>
              <w:snapToGrid w:val="0"/>
              <w:spacing w:line="360" w:lineRule="auto"/>
              <w:ind w:firstLine="420" w:firstLineChars="200"/>
              <w:jc w:val="left"/>
              <w:rPr>
                <w:rFonts w:ascii="宋体" w:hAnsi="宋体"/>
                <w:color w:val="auto"/>
                <w:szCs w:val="21"/>
              </w:rPr>
            </w:pPr>
            <w:r>
              <w:rPr>
                <w:rFonts w:hint="eastAsia" w:ascii="宋体" w:hAnsi="宋体"/>
                <w:bCs/>
                <w:color w:val="auto"/>
                <w:szCs w:val="21"/>
                <w:lang w:val="en-US" w:eastAsia="zh-CN"/>
              </w:rPr>
              <w:t>9.</w:t>
            </w:r>
            <w:r>
              <w:rPr>
                <w:rFonts w:hint="eastAsia" w:ascii="宋体" w:hAnsi="宋体"/>
                <w:bCs/>
                <w:color w:val="auto"/>
                <w:szCs w:val="21"/>
              </w:rPr>
              <w:t>除招</w:t>
            </w:r>
            <w:r>
              <w:rPr>
                <w:rFonts w:hint="eastAsia" w:ascii="宋体" w:hAnsi="宋体"/>
                <w:color w:val="auto"/>
                <w:szCs w:val="21"/>
              </w:rPr>
              <w:t>标文件规定必须提供以外，投标人认为需要提供的其他证明材料。</w:t>
            </w:r>
          </w:p>
          <w:p w14:paraId="6A98A7FC">
            <w:pPr>
              <w:snapToGrid w:val="0"/>
              <w:spacing w:line="360" w:lineRule="auto"/>
              <w:jc w:val="left"/>
              <w:rPr>
                <w:rFonts w:ascii="宋体" w:hAnsi="宋体" w:cs="Courier New"/>
                <w:b/>
                <w:color w:val="auto"/>
                <w:szCs w:val="21"/>
              </w:rPr>
            </w:pPr>
            <w:r>
              <w:rPr>
                <w:rFonts w:hint="eastAsia" w:ascii="宋体" w:hAnsi="宋体"/>
                <w:b/>
                <w:bCs/>
                <w:color w:val="auto"/>
                <w:szCs w:val="21"/>
              </w:rPr>
              <w:t>注：1.</w:t>
            </w:r>
            <w:r>
              <w:rPr>
                <w:rFonts w:hint="eastAsia" w:ascii="宋体" w:hAnsi="宋体"/>
                <w:b/>
                <w:bCs/>
                <w:color w:val="auto"/>
                <w:spacing w:val="-6"/>
                <w:szCs w:val="21"/>
              </w:rPr>
              <w:t>以上标明“必须提供”的材料属于复印件的，必须加盖投标人公章</w:t>
            </w:r>
            <w:r>
              <w:rPr>
                <w:rFonts w:hint="eastAsia" w:ascii="宋体" w:hAnsi="宋体"/>
                <w:b/>
                <w:bCs/>
                <w:color w:val="auto"/>
                <w:spacing w:val="-6"/>
                <w:szCs w:val="21"/>
                <w:lang w:eastAsia="zh-CN"/>
              </w:rPr>
              <w:t>（</w:t>
            </w:r>
            <w:r>
              <w:rPr>
                <w:rFonts w:hint="eastAsia" w:ascii="宋体" w:hAnsi="宋体"/>
                <w:b/>
                <w:bCs/>
                <w:color w:val="auto"/>
                <w:spacing w:val="-6"/>
                <w:szCs w:val="21"/>
              </w:rPr>
              <w:t>或电子公章</w:t>
            </w:r>
            <w:r>
              <w:rPr>
                <w:rFonts w:hint="eastAsia" w:ascii="宋体" w:hAnsi="宋体"/>
                <w:b/>
                <w:bCs/>
                <w:color w:val="auto"/>
                <w:spacing w:val="-6"/>
                <w:szCs w:val="21"/>
                <w:lang w:eastAsia="zh-CN"/>
              </w:rPr>
              <w:t>）</w:t>
            </w:r>
            <w:r>
              <w:rPr>
                <w:rFonts w:hint="eastAsia" w:ascii="宋体" w:hAnsi="宋体"/>
                <w:b/>
                <w:bCs/>
                <w:color w:val="auto"/>
                <w:spacing w:val="-6"/>
                <w:szCs w:val="21"/>
              </w:rPr>
              <w:t>，否则</w:t>
            </w:r>
            <w:r>
              <w:rPr>
                <w:rFonts w:hint="eastAsia" w:ascii="宋体" w:hAnsi="宋体" w:cs="Courier New"/>
                <w:b/>
                <w:color w:val="auto"/>
                <w:spacing w:val="-6"/>
                <w:szCs w:val="21"/>
              </w:rPr>
              <w:t>作无效投标处理。</w:t>
            </w:r>
          </w:p>
          <w:p w14:paraId="023384AC">
            <w:pPr>
              <w:snapToGrid w:val="0"/>
              <w:spacing w:line="360" w:lineRule="auto"/>
              <w:ind w:firstLine="422" w:firstLineChars="200"/>
              <w:jc w:val="left"/>
              <w:rPr>
                <w:rFonts w:ascii="宋体" w:hAnsi="宋体"/>
                <w:b/>
                <w:bCs/>
                <w:color w:val="auto"/>
                <w:szCs w:val="21"/>
              </w:rPr>
            </w:pPr>
            <w:r>
              <w:rPr>
                <w:rFonts w:hint="eastAsia" w:ascii="宋体" w:hAnsi="宋体" w:cs="Courier New"/>
                <w:b/>
                <w:color w:val="auto"/>
                <w:szCs w:val="21"/>
              </w:rPr>
              <w:t>2.</w:t>
            </w:r>
            <w:r>
              <w:rPr>
                <w:rFonts w:hint="eastAsia" w:ascii="宋体" w:hAnsi="宋体"/>
                <w:b/>
                <w:bCs/>
                <w:color w:val="auto"/>
                <w:szCs w:val="21"/>
              </w:rPr>
              <w:t>投标声明必须由法定代表人或者委托代理人在规定签章处签字</w:t>
            </w:r>
            <w:r>
              <w:rPr>
                <w:rFonts w:hint="eastAsia" w:ascii="宋体" w:hAnsi="宋体"/>
                <w:b/>
                <w:bCs/>
                <w:color w:val="auto"/>
                <w:szCs w:val="21"/>
                <w:lang w:eastAsia="zh-CN"/>
              </w:rPr>
              <w:t>（</w:t>
            </w:r>
            <w:r>
              <w:rPr>
                <w:rFonts w:hint="eastAsia" w:ascii="宋体" w:hAnsi="宋体"/>
                <w:b/>
                <w:bCs/>
                <w:color w:val="auto"/>
                <w:szCs w:val="21"/>
                <w:lang w:val="en-US" w:eastAsia="zh-CN"/>
              </w:rPr>
              <w:t>或电子签名</w:t>
            </w:r>
            <w:r>
              <w:rPr>
                <w:rFonts w:hint="eastAsia" w:ascii="宋体" w:hAnsi="宋体"/>
                <w:b/>
                <w:bCs/>
                <w:color w:val="auto"/>
                <w:szCs w:val="21"/>
                <w:lang w:eastAsia="zh-CN"/>
              </w:rPr>
              <w:t>）</w:t>
            </w:r>
            <w:r>
              <w:rPr>
                <w:rFonts w:hint="eastAsia" w:ascii="宋体" w:hAnsi="宋体"/>
                <w:b/>
                <w:bCs/>
                <w:color w:val="auto"/>
                <w:szCs w:val="21"/>
              </w:rPr>
              <w:t>并加盖投标人公章</w:t>
            </w:r>
            <w:r>
              <w:rPr>
                <w:rFonts w:hint="eastAsia" w:ascii="宋体" w:hAnsi="宋体"/>
                <w:b/>
                <w:bCs/>
                <w:color w:val="auto"/>
                <w:szCs w:val="21"/>
                <w:lang w:eastAsia="zh-CN"/>
              </w:rPr>
              <w:t>（</w:t>
            </w:r>
            <w:r>
              <w:rPr>
                <w:rFonts w:hint="eastAsia" w:ascii="宋体" w:hAnsi="宋体"/>
                <w:b/>
                <w:bCs/>
                <w:color w:val="auto"/>
                <w:szCs w:val="21"/>
              </w:rPr>
              <w:t>或电子公章</w:t>
            </w:r>
            <w:r>
              <w:rPr>
                <w:rFonts w:hint="eastAsia" w:ascii="宋体" w:hAnsi="宋体"/>
                <w:b/>
                <w:bCs/>
                <w:color w:val="auto"/>
                <w:szCs w:val="21"/>
                <w:lang w:eastAsia="zh-CN"/>
              </w:rPr>
              <w:t>）</w:t>
            </w:r>
            <w:r>
              <w:rPr>
                <w:rFonts w:hint="eastAsia" w:ascii="宋体" w:hAnsi="宋体"/>
                <w:b/>
                <w:bCs/>
                <w:color w:val="auto"/>
                <w:szCs w:val="21"/>
              </w:rPr>
              <w:t>，否则作无效投标处理。</w:t>
            </w:r>
          </w:p>
          <w:p w14:paraId="2BD99A70">
            <w:pPr>
              <w:snapToGrid w:val="0"/>
              <w:spacing w:line="360" w:lineRule="auto"/>
              <w:ind w:firstLine="422" w:firstLineChars="200"/>
              <w:jc w:val="left"/>
              <w:rPr>
                <w:rFonts w:ascii="宋体" w:hAnsi="宋体"/>
                <w:b/>
                <w:bCs/>
                <w:color w:val="auto"/>
                <w:szCs w:val="21"/>
              </w:rPr>
            </w:pPr>
            <w:r>
              <w:rPr>
                <w:rFonts w:hint="eastAsia" w:ascii="宋体" w:hAnsi="宋体"/>
                <w:b/>
                <w:bCs/>
                <w:color w:val="auto"/>
                <w:szCs w:val="21"/>
              </w:rPr>
              <w:t>3.投标人直接控股、管理关系信息表必须由法定代表人或者委托代理人在规定签章处签字</w:t>
            </w:r>
            <w:r>
              <w:rPr>
                <w:rFonts w:hint="eastAsia" w:ascii="宋体" w:hAnsi="宋体"/>
                <w:b/>
                <w:bCs/>
                <w:color w:val="auto"/>
                <w:szCs w:val="21"/>
                <w:lang w:eastAsia="zh-CN"/>
              </w:rPr>
              <w:t>（</w:t>
            </w:r>
            <w:r>
              <w:rPr>
                <w:rFonts w:hint="eastAsia" w:ascii="宋体" w:hAnsi="宋体"/>
                <w:b/>
                <w:bCs/>
                <w:color w:val="auto"/>
                <w:szCs w:val="21"/>
                <w:lang w:val="en-US" w:eastAsia="zh-CN"/>
              </w:rPr>
              <w:t>或电子签名</w:t>
            </w:r>
            <w:r>
              <w:rPr>
                <w:rFonts w:hint="eastAsia" w:ascii="宋体" w:hAnsi="宋体"/>
                <w:b/>
                <w:bCs/>
                <w:color w:val="auto"/>
                <w:szCs w:val="21"/>
                <w:lang w:eastAsia="zh-CN"/>
              </w:rPr>
              <w:t>）</w:t>
            </w:r>
            <w:r>
              <w:rPr>
                <w:rFonts w:hint="eastAsia" w:ascii="宋体" w:hAnsi="宋体"/>
                <w:b/>
                <w:bCs/>
                <w:color w:val="auto"/>
                <w:szCs w:val="21"/>
              </w:rPr>
              <w:t>并加盖投标人公章</w:t>
            </w:r>
            <w:r>
              <w:rPr>
                <w:rFonts w:hint="eastAsia" w:ascii="宋体" w:hAnsi="宋体"/>
                <w:b/>
                <w:bCs/>
                <w:color w:val="auto"/>
                <w:szCs w:val="21"/>
                <w:lang w:eastAsia="zh-CN"/>
              </w:rPr>
              <w:t>（</w:t>
            </w:r>
            <w:r>
              <w:rPr>
                <w:rFonts w:hint="eastAsia" w:ascii="宋体" w:hAnsi="宋体"/>
                <w:b/>
                <w:bCs/>
                <w:color w:val="auto"/>
                <w:szCs w:val="21"/>
              </w:rPr>
              <w:t>或电子公章</w:t>
            </w:r>
            <w:r>
              <w:rPr>
                <w:rFonts w:hint="eastAsia" w:ascii="宋体" w:hAnsi="宋体"/>
                <w:b/>
                <w:bCs/>
                <w:color w:val="auto"/>
                <w:szCs w:val="21"/>
                <w:lang w:eastAsia="zh-CN"/>
              </w:rPr>
              <w:t>）</w:t>
            </w:r>
            <w:r>
              <w:rPr>
                <w:rFonts w:hint="eastAsia" w:ascii="宋体" w:hAnsi="宋体"/>
                <w:b/>
                <w:bCs/>
                <w:color w:val="auto"/>
                <w:szCs w:val="21"/>
              </w:rPr>
              <w:t>，否则</w:t>
            </w:r>
            <w:r>
              <w:rPr>
                <w:rFonts w:hint="eastAsia" w:ascii="宋体" w:hAnsi="宋体" w:cs="Courier New"/>
                <w:b/>
                <w:color w:val="auto"/>
                <w:szCs w:val="21"/>
              </w:rPr>
              <w:t>作无效投标处理</w:t>
            </w:r>
            <w:r>
              <w:rPr>
                <w:rFonts w:hint="eastAsia" w:ascii="宋体" w:hAnsi="宋体"/>
                <w:b/>
                <w:bCs/>
                <w:color w:val="auto"/>
                <w:szCs w:val="21"/>
              </w:rPr>
              <w:t>。</w:t>
            </w:r>
          </w:p>
        </w:tc>
      </w:tr>
      <w:tr w14:paraId="04716D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968" w:type="dxa"/>
            <w:vMerge w:val="continue"/>
            <w:tcBorders>
              <w:left w:val="single" w:color="auto" w:sz="4" w:space="0"/>
              <w:right w:val="single" w:color="auto" w:sz="4" w:space="0"/>
            </w:tcBorders>
            <w:vAlign w:val="center"/>
          </w:tcPr>
          <w:p w14:paraId="1B62BA83">
            <w:pPr>
              <w:spacing w:line="360" w:lineRule="auto"/>
              <w:rPr>
                <w:rFonts w:ascii="宋体" w:hAnsi="宋体"/>
                <w:color w:val="auto"/>
                <w:szCs w:val="21"/>
              </w:rPr>
            </w:pPr>
            <w:bookmarkStart w:id="94" w:name="_13.3"/>
            <w:bookmarkEnd w:id="94"/>
          </w:p>
        </w:tc>
        <w:tc>
          <w:tcPr>
            <w:tcW w:w="8597" w:type="dxa"/>
            <w:tcBorders>
              <w:top w:val="single" w:color="auto" w:sz="4" w:space="0"/>
              <w:left w:val="single" w:color="auto" w:sz="4" w:space="0"/>
              <w:bottom w:val="single" w:color="auto" w:sz="4" w:space="0"/>
              <w:right w:val="single" w:color="auto" w:sz="4" w:space="0"/>
            </w:tcBorders>
            <w:vAlign w:val="center"/>
          </w:tcPr>
          <w:p w14:paraId="305FF3B6">
            <w:pPr>
              <w:snapToGrid w:val="0"/>
              <w:spacing w:line="360" w:lineRule="auto"/>
              <w:jc w:val="left"/>
              <w:rPr>
                <w:rFonts w:ascii="宋体" w:hAnsi="宋体" w:cs="Courier New"/>
                <w:b/>
                <w:color w:val="auto"/>
                <w:szCs w:val="21"/>
              </w:rPr>
            </w:pPr>
            <w:r>
              <w:rPr>
                <w:rFonts w:hint="eastAsia" w:ascii="宋体" w:hAnsi="宋体" w:cs="Courier New"/>
                <w:b/>
                <w:color w:val="auto"/>
                <w:szCs w:val="21"/>
              </w:rPr>
              <w:t>商务技术文件：</w:t>
            </w:r>
          </w:p>
          <w:p w14:paraId="2527E355">
            <w:pPr>
              <w:snapToGrid w:val="0"/>
              <w:spacing w:line="360" w:lineRule="auto"/>
              <w:ind w:left="413"/>
              <w:jc w:val="left"/>
              <w:rPr>
                <w:rFonts w:ascii="宋体" w:hAnsi="宋体"/>
                <w:color w:val="auto"/>
                <w:szCs w:val="21"/>
              </w:rPr>
            </w:pPr>
            <w:r>
              <w:rPr>
                <w:rFonts w:hint="eastAsia" w:ascii="宋体" w:hAnsi="宋体"/>
                <w:color w:val="auto"/>
                <w:szCs w:val="21"/>
              </w:rPr>
              <w:t>1.无串通投标行为的承诺函（格式后附）；（</w:t>
            </w:r>
            <w:r>
              <w:rPr>
                <w:rFonts w:hint="eastAsia" w:ascii="宋体" w:hAnsi="宋体"/>
                <w:b/>
                <w:color w:val="auto"/>
                <w:szCs w:val="21"/>
              </w:rPr>
              <w:t>必须提供，否则作无效投标处理</w:t>
            </w:r>
            <w:r>
              <w:rPr>
                <w:rFonts w:hint="eastAsia" w:ascii="宋体" w:hAnsi="宋体"/>
                <w:color w:val="auto"/>
                <w:szCs w:val="21"/>
              </w:rPr>
              <w:t>）</w:t>
            </w:r>
          </w:p>
          <w:p w14:paraId="1A2EB74D">
            <w:pPr>
              <w:snapToGrid w:val="0"/>
              <w:spacing w:line="360" w:lineRule="auto"/>
              <w:ind w:left="0" w:firstLine="420" w:firstLineChars="200"/>
              <w:jc w:val="left"/>
              <w:rPr>
                <w:rFonts w:ascii="宋体" w:hAnsi="宋体"/>
                <w:color w:val="auto"/>
                <w:szCs w:val="21"/>
              </w:rPr>
            </w:pPr>
            <w:r>
              <w:rPr>
                <w:rFonts w:hint="eastAsia" w:ascii="宋体" w:hAnsi="宋体"/>
                <w:color w:val="auto"/>
                <w:szCs w:val="21"/>
              </w:rPr>
              <w:t>2.法定代表人</w:t>
            </w:r>
            <w:r>
              <w:rPr>
                <w:rFonts w:hint="eastAsia" w:ascii="宋体" w:hAnsi="宋体"/>
                <w:color w:val="auto"/>
                <w:szCs w:val="21"/>
                <w:u w:val="single"/>
              </w:rPr>
              <w:t>（有效）</w:t>
            </w:r>
            <w:r>
              <w:rPr>
                <w:rFonts w:hint="eastAsia" w:ascii="宋体" w:hAnsi="宋体"/>
                <w:color w:val="auto"/>
                <w:szCs w:val="21"/>
              </w:rPr>
              <w:t>身份证明及法定代表人有效身份证正反面复印件（格式后附）；（</w:t>
            </w:r>
            <w:r>
              <w:rPr>
                <w:rFonts w:hint="eastAsia" w:ascii="宋体" w:hAnsi="宋体" w:cs="宋体"/>
                <w:b/>
                <w:bCs/>
                <w:color w:val="auto"/>
                <w:szCs w:val="21"/>
              </w:rPr>
              <w:t>除自然人投标外</w:t>
            </w:r>
            <w:r>
              <w:rPr>
                <w:rFonts w:hint="eastAsia" w:ascii="宋体" w:hAnsi="宋体"/>
                <w:b/>
                <w:color w:val="auto"/>
                <w:szCs w:val="21"/>
              </w:rPr>
              <w:t>必须提供，否则作无效投标处理</w:t>
            </w:r>
            <w:r>
              <w:rPr>
                <w:rFonts w:hint="eastAsia" w:ascii="宋体" w:hAnsi="宋体"/>
                <w:color w:val="auto"/>
                <w:szCs w:val="21"/>
              </w:rPr>
              <w:t>）</w:t>
            </w:r>
          </w:p>
          <w:p w14:paraId="1517DFD5">
            <w:pPr>
              <w:spacing w:line="360" w:lineRule="auto"/>
              <w:ind w:firstLine="420" w:firstLineChars="200"/>
              <w:jc w:val="left"/>
              <w:rPr>
                <w:rFonts w:ascii="宋体" w:hAnsi="宋体" w:cs="宋体"/>
                <w:color w:val="auto"/>
                <w:szCs w:val="21"/>
              </w:rPr>
            </w:pPr>
            <w:r>
              <w:rPr>
                <w:rFonts w:hint="eastAsia" w:ascii="宋体" w:hAnsi="宋体" w:cs="宋体"/>
                <w:color w:val="auto"/>
                <w:szCs w:val="21"/>
              </w:rPr>
              <w:t>3.授权委托书原件、委托代理人</w:t>
            </w:r>
            <w:r>
              <w:rPr>
                <w:rFonts w:hint="eastAsia" w:ascii="宋体" w:hAnsi="宋体"/>
                <w:color w:val="auto"/>
                <w:szCs w:val="21"/>
                <w:u w:val="single"/>
              </w:rPr>
              <w:t>（有效）</w:t>
            </w:r>
            <w:r>
              <w:rPr>
                <w:rFonts w:hint="eastAsia" w:ascii="宋体" w:hAnsi="宋体" w:cs="宋体"/>
                <w:color w:val="auto"/>
                <w:szCs w:val="21"/>
              </w:rPr>
              <w:t>身份证正反面复印件（格式后附）</w:t>
            </w:r>
            <w:r>
              <w:rPr>
                <w:rFonts w:hint="eastAsia" w:ascii="宋体" w:hAnsi="宋体" w:cs="宋体"/>
                <w:b/>
                <w:bCs/>
                <w:color w:val="auto"/>
                <w:szCs w:val="21"/>
              </w:rPr>
              <w:t>（委托代理时必须提供）</w:t>
            </w:r>
          </w:p>
          <w:p w14:paraId="5606A514">
            <w:pPr>
              <w:snapToGrid w:val="0"/>
              <w:spacing w:line="360" w:lineRule="auto"/>
              <w:ind w:left="413"/>
              <w:jc w:val="left"/>
              <w:rPr>
                <w:rFonts w:ascii="宋体" w:hAnsi="宋体"/>
                <w:color w:val="auto"/>
                <w:szCs w:val="21"/>
                <w:highlight w:val="green"/>
              </w:rPr>
            </w:pPr>
            <w:r>
              <w:rPr>
                <w:rFonts w:hint="eastAsia" w:ascii="宋体" w:hAnsi="宋体"/>
                <w:color w:val="auto"/>
                <w:szCs w:val="21"/>
                <w:highlight w:val="none"/>
              </w:rPr>
              <w:t>4</w:t>
            </w:r>
            <w:r>
              <w:rPr>
                <w:rFonts w:ascii="宋体" w:hAnsi="宋体"/>
                <w:color w:val="auto"/>
                <w:szCs w:val="21"/>
                <w:highlight w:val="none"/>
              </w:rPr>
              <w:t>.</w:t>
            </w:r>
            <w:r>
              <w:rPr>
                <w:rFonts w:hint="eastAsia" w:ascii="宋体" w:hAnsi="宋体"/>
                <w:color w:val="auto"/>
                <w:szCs w:val="21"/>
                <w:highlight w:val="none"/>
              </w:rPr>
              <w:t>商务条款偏离表（格式后附）；（</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5AA8D55D">
            <w:pPr>
              <w:snapToGrid w:val="0"/>
              <w:spacing w:line="360" w:lineRule="auto"/>
              <w:ind w:left="413"/>
              <w:jc w:val="left"/>
              <w:rPr>
                <w:rFonts w:ascii="宋体" w:hAnsi="宋体"/>
                <w:color w:val="auto"/>
                <w:szCs w:val="21"/>
                <w:highlight w:val="none"/>
              </w:rPr>
            </w:pPr>
            <w:r>
              <w:rPr>
                <w:rFonts w:hint="eastAsia" w:ascii="宋体" w:hAnsi="宋体"/>
                <w:color w:val="auto"/>
                <w:szCs w:val="21"/>
                <w:highlight w:val="none"/>
                <w:lang w:val="en-US" w:eastAsia="zh-CN"/>
              </w:rPr>
              <w:t>5</w:t>
            </w:r>
            <w:r>
              <w:rPr>
                <w:rFonts w:hint="eastAsia" w:ascii="宋体" w:hAnsi="宋体"/>
                <w:color w:val="auto"/>
                <w:szCs w:val="21"/>
                <w:highlight w:val="none"/>
              </w:rPr>
              <w:t>.技术偏离表（格式后附）；（</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61B6FB36">
            <w:pPr>
              <w:snapToGrid w:val="0"/>
              <w:spacing w:line="360" w:lineRule="auto"/>
              <w:ind w:left="420"/>
              <w:jc w:val="left"/>
              <w:rPr>
                <w:rFonts w:hint="eastAsia" w:ascii="宋体" w:hAnsi="宋体"/>
                <w:color w:val="auto"/>
                <w:szCs w:val="21"/>
                <w:highlight w:val="none"/>
              </w:rPr>
            </w:pPr>
            <w:r>
              <w:rPr>
                <w:rFonts w:hint="eastAsia" w:ascii="宋体" w:hAnsi="宋体"/>
                <w:color w:val="auto"/>
                <w:szCs w:val="21"/>
                <w:highlight w:val="none"/>
                <w:lang w:val="en-US" w:eastAsia="zh-CN"/>
              </w:rPr>
              <w:t>6</w:t>
            </w:r>
            <w:r>
              <w:rPr>
                <w:rFonts w:hint="eastAsia" w:ascii="宋体" w:hAnsi="宋体"/>
                <w:color w:val="auto"/>
                <w:szCs w:val="21"/>
                <w:highlight w:val="none"/>
              </w:rPr>
              <w:t>.CT 影像数据安全承诺书；（</w:t>
            </w:r>
            <w:r>
              <w:rPr>
                <w:rFonts w:hint="eastAsia" w:ascii="宋体" w:hAnsi="宋体"/>
                <w:b/>
                <w:bCs/>
                <w:color w:val="auto"/>
                <w:szCs w:val="21"/>
                <w:highlight w:val="none"/>
              </w:rPr>
              <w:t>必须提供，否则作无效投标处理</w:t>
            </w:r>
            <w:r>
              <w:rPr>
                <w:rFonts w:hint="eastAsia" w:ascii="宋体" w:hAnsi="宋体"/>
                <w:color w:val="auto"/>
                <w:szCs w:val="21"/>
                <w:highlight w:val="none"/>
              </w:rPr>
              <w:t>）</w:t>
            </w:r>
          </w:p>
          <w:p w14:paraId="4F8BB465">
            <w:pPr>
              <w:snapToGrid w:val="0"/>
              <w:spacing w:line="360" w:lineRule="auto"/>
              <w:ind w:left="420"/>
              <w:jc w:val="left"/>
              <w:rPr>
                <w:rFonts w:hint="eastAsia" w:ascii="宋体" w:hAnsi="宋体"/>
                <w:color w:val="auto"/>
                <w:szCs w:val="21"/>
                <w:highlight w:val="none"/>
              </w:rPr>
            </w:pPr>
            <w:r>
              <w:rPr>
                <w:rFonts w:hint="eastAsia" w:ascii="宋体" w:hAnsi="宋体"/>
                <w:color w:val="auto"/>
                <w:szCs w:val="21"/>
                <w:highlight w:val="none"/>
                <w:lang w:val="en-US" w:eastAsia="zh-CN"/>
              </w:rPr>
              <w:t>7.</w:t>
            </w:r>
            <w:r>
              <w:rPr>
                <w:rFonts w:hint="eastAsia" w:ascii="宋体" w:hAnsi="宋体"/>
                <w:color w:val="auto"/>
                <w:szCs w:val="21"/>
                <w:highlight w:val="none"/>
              </w:rPr>
              <w:t>服务方案（格式自拟）；</w:t>
            </w:r>
            <w:r>
              <w:rPr>
                <w:rFonts w:hint="eastAsia" w:ascii="宋体" w:hAnsi="宋体"/>
                <w:b/>
                <w:color w:val="auto"/>
                <w:szCs w:val="21"/>
                <w:highlight w:val="none"/>
              </w:rPr>
              <w:t>（如有，请提供）</w:t>
            </w:r>
          </w:p>
          <w:p w14:paraId="2773D8EC">
            <w:pPr>
              <w:snapToGrid w:val="0"/>
              <w:spacing w:line="360" w:lineRule="auto"/>
              <w:ind w:left="420"/>
              <w:jc w:val="left"/>
              <w:rPr>
                <w:rFonts w:hint="default" w:ascii="宋体" w:hAnsi="宋体" w:cs="宋体"/>
                <w:bCs/>
                <w:color w:val="000000" w:themeColor="text1"/>
                <w:szCs w:val="21"/>
                <w:lang w:val="en-US" w:eastAsia="zh-CN"/>
                <w14:textFill>
                  <w14:solidFill>
                    <w14:schemeClr w14:val="tx1"/>
                  </w14:solidFill>
                </w14:textFill>
              </w:rPr>
            </w:pPr>
            <w:r>
              <w:rPr>
                <w:rFonts w:hint="eastAsia" w:ascii="宋体" w:hAnsi="宋体"/>
                <w:color w:val="auto"/>
                <w:szCs w:val="21"/>
                <w:highlight w:val="none"/>
                <w:lang w:val="en-US" w:eastAsia="zh-CN"/>
              </w:rPr>
              <w:t>8</w:t>
            </w:r>
            <w:r>
              <w:rPr>
                <w:rFonts w:hint="eastAsia" w:ascii="宋体" w:hAnsi="宋体"/>
                <w:color w:val="auto"/>
                <w:szCs w:val="21"/>
                <w:highlight w:val="none"/>
              </w:rPr>
              <w:t>.</w:t>
            </w:r>
            <w:r>
              <w:rPr>
                <w:rFonts w:hint="eastAsia" w:ascii="宋体" w:hAnsi="宋体"/>
                <w:color w:val="auto"/>
                <w:szCs w:val="21"/>
                <w:highlight w:val="none"/>
                <w:lang w:val="en-US" w:eastAsia="zh-CN"/>
              </w:rPr>
              <w:t>信誉业绩</w:t>
            </w:r>
            <w:r>
              <w:rPr>
                <w:rFonts w:hint="eastAsia" w:ascii="宋体" w:hAnsi="宋体"/>
                <w:color w:val="auto"/>
                <w:szCs w:val="21"/>
                <w:highlight w:val="none"/>
              </w:rPr>
              <w:t>证明文件（格式后附）；</w:t>
            </w:r>
            <w:r>
              <w:rPr>
                <w:rFonts w:hint="eastAsia" w:ascii="宋体" w:hAnsi="宋体"/>
                <w:b/>
                <w:color w:val="auto"/>
                <w:szCs w:val="21"/>
                <w:highlight w:val="none"/>
              </w:rPr>
              <w:t>（如有，请提供）</w:t>
            </w:r>
          </w:p>
          <w:p w14:paraId="134D0954">
            <w:pPr>
              <w:snapToGrid w:val="0"/>
              <w:spacing w:line="360" w:lineRule="auto"/>
              <w:ind w:left="420"/>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9.</w:t>
            </w:r>
            <w:r>
              <w:rPr>
                <w:rFonts w:hint="eastAsia" w:ascii="宋体" w:hAnsi="宋体"/>
                <w:bCs/>
                <w:color w:val="auto"/>
                <w:szCs w:val="21"/>
                <w:highlight w:val="none"/>
              </w:rPr>
              <w:t>项目实施人员一览表（格式自拟）；</w:t>
            </w:r>
            <w:r>
              <w:rPr>
                <w:rFonts w:hint="eastAsia" w:ascii="宋体" w:hAnsi="宋体"/>
                <w:b/>
                <w:color w:val="auto"/>
                <w:szCs w:val="21"/>
                <w:highlight w:val="none"/>
              </w:rPr>
              <w:t>（如有，请提供）</w:t>
            </w:r>
          </w:p>
          <w:p w14:paraId="506CAA89">
            <w:pPr>
              <w:snapToGrid w:val="0"/>
              <w:spacing w:line="360" w:lineRule="auto"/>
              <w:ind w:left="420"/>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w:t>
            </w:r>
            <w:r>
              <w:rPr>
                <w:rFonts w:hint="eastAsia" w:ascii="宋体" w:hAnsi="宋体"/>
                <w:color w:val="auto"/>
                <w:szCs w:val="21"/>
                <w:highlight w:val="none"/>
              </w:rPr>
              <w:t>选配件、专用耗材、售后服务优惠表格式（格式后附）</w:t>
            </w:r>
            <w:r>
              <w:rPr>
                <w:rFonts w:hint="eastAsia" w:ascii="宋体" w:hAnsi="宋体"/>
                <w:b/>
                <w:bCs/>
                <w:color w:val="auto"/>
                <w:szCs w:val="21"/>
                <w:highlight w:val="none"/>
              </w:rPr>
              <w:t>（如有，请提供）</w:t>
            </w:r>
          </w:p>
          <w:p w14:paraId="0F700359">
            <w:pPr>
              <w:snapToGrid w:val="0"/>
              <w:spacing w:line="360" w:lineRule="auto"/>
              <w:ind w:left="420"/>
              <w:jc w:val="left"/>
              <w:rPr>
                <w:rFonts w:ascii="宋体" w:hAnsi="宋体"/>
                <w:color w:val="auto"/>
                <w:szCs w:val="21"/>
                <w:highlight w:val="none"/>
              </w:rPr>
            </w:pPr>
            <w:r>
              <w:rPr>
                <w:rFonts w:hint="eastAsia" w:ascii="宋体" w:hAnsi="宋体" w:cs="宋体"/>
                <w:color w:val="auto"/>
                <w:szCs w:val="21"/>
                <w:highlight w:val="none"/>
                <w:lang w:val="en-US" w:eastAsia="zh-CN"/>
              </w:rPr>
              <w:t>11.</w:t>
            </w:r>
            <w:r>
              <w:rPr>
                <w:rFonts w:hint="eastAsia" w:ascii="宋体" w:hAnsi="宋体" w:cs="宋体"/>
                <w:color w:val="auto"/>
                <w:szCs w:val="21"/>
                <w:highlight w:val="none"/>
              </w:rPr>
              <w:t>符合政府采购政策价格扣除证明材料（格式后附）；</w:t>
            </w:r>
            <w:r>
              <w:rPr>
                <w:rFonts w:hint="eastAsia" w:hAnsi="宋体"/>
                <w:b/>
                <w:color w:val="auto"/>
                <w:kern w:val="0"/>
                <w:highlight w:val="none"/>
              </w:rPr>
              <w:t>（如有，请提供）</w:t>
            </w:r>
          </w:p>
          <w:p w14:paraId="6CBA1F06">
            <w:pPr>
              <w:snapToGrid w:val="0"/>
              <w:spacing w:line="360" w:lineRule="auto"/>
              <w:ind w:left="413"/>
              <w:jc w:val="left"/>
              <w:rPr>
                <w:rFonts w:ascii="宋体" w:hAnsi="宋体"/>
                <w:color w:val="auto"/>
                <w:szCs w:val="21"/>
              </w:rPr>
            </w:pPr>
            <w:r>
              <w:rPr>
                <w:rFonts w:hint="eastAsia" w:ascii="宋体" w:hAnsi="宋体"/>
                <w:color w:val="auto"/>
                <w:szCs w:val="21"/>
                <w:highlight w:val="none"/>
              </w:rPr>
              <w:t>1</w:t>
            </w:r>
            <w:r>
              <w:rPr>
                <w:rFonts w:hint="eastAsia" w:ascii="宋体" w:hAnsi="宋体"/>
                <w:color w:val="auto"/>
                <w:szCs w:val="21"/>
                <w:highlight w:val="none"/>
                <w:lang w:val="en-US" w:eastAsia="zh-CN"/>
              </w:rPr>
              <w:t>2</w:t>
            </w:r>
            <w:r>
              <w:rPr>
                <w:rFonts w:hint="eastAsia" w:ascii="宋体" w:hAnsi="宋体"/>
                <w:color w:val="auto"/>
                <w:szCs w:val="21"/>
                <w:highlight w:val="none"/>
              </w:rPr>
              <w:t>.除招标文件规定必须提供以外，投标人认为需要提供的其他证明材料（格式自</w:t>
            </w:r>
            <w:r>
              <w:rPr>
                <w:rFonts w:hint="eastAsia" w:ascii="宋体" w:hAnsi="宋体"/>
                <w:color w:val="auto"/>
                <w:szCs w:val="21"/>
              </w:rPr>
              <w:t>拟）。（投标人根据“第二章 采购需求”及“第四章 评标方法及评标标准”提供有关证明材料）。</w:t>
            </w:r>
          </w:p>
          <w:p w14:paraId="49B3FB3B">
            <w:pPr>
              <w:snapToGrid w:val="0"/>
              <w:spacing w:line="360" w:lineRule="auto"/>
              <w:jc w:val="left"/>
              <w:rPr>
                <w:rFonts w:ascii="宋体" w:hAnsi="宋体"/>
                <w:b/>
                <w:bCs/>
                <w:color w:val="auto"/>
                <w:szCs w:val="21"/>
              </w:rPr>
            </w:pPr>
            <w:r>
              <w:rPr>
                <w:rFonts w:hint="eastAsia" w:ascii="宋体" w:hAnsi="宋体"/>
                <w:b/>
                <w:bCs/>
                <w:color w:val="auto"/>
                <w:szCs w:val="21"/>
              </w:rPr>
              <w:t>注：1.法定代表人授权委托书必须由法定代表人及委托代理人签字</w:t>
            </w:r>
            <w:r>
              <w:rPr>
                <w:rFonts w:hint="eastAsia" w:ascii="宋体" w:hAnsi="宋体"/>
                <w:b/>
                <w:bCs/>
                <w:color w:val="auto"/>
                <w:szCs w:val="21"/>
                <w:lang w:eastAsia="zh-CN"/>
              </w:rPr>
              <w:t>（</w:t>
            </w:r>
            <w:r>
              <w:rPr>
                <w:rFonts w:hint="eastAsia" w:ascii="宋体" w:hAnsi="宋体"/>
                <w:b/>
                <w:bCs/>
                <w:color w:val="auto"/>
                <w:szCs w:val="21"/>
                <w:lang w:val="en-US" w:eastAsia="zh-CN"/>
              </w:rPr>
              <w:t>或电子签名</w:t>
            </w:r>
            <w:r>
              <w:rPr>
                <w:rFonts w:hint="eastAsia" w:ascii="宋体" w:hAnsi="宋体"/>
                <w:b/>
                <w:bCs/>
                <w:color w:val="auto"/>
                <w:szCs w:val="21"/>
                <w:lang w:eastAsia="zh-CN"/>
              </w:rPr>
              <w:t>）</w:t>
            </w:r>
            <w:r>
              <w:rPr>
                <w:rFonts w:hint="eastAsia" w:ascii="宋体" w:hAnsi="宋体"/>
                <w:b/>
                <w:bCs/>
                <w:color w:val="auto"/>
                <w:szCs w:val="21"/>
              </w:rPr>
              <w:t>，并加盖投标人公章</w:t>
            </w:r>
            <w:r>
              <w:rPr>
                <w:rFonts w:hint="eastAsia" w:ascii="宋体" w:hAnsi="宋体"/>
                <w:b/>
                <w:bCs/>
                <w:color w:val="auto"/>
                <w:szCs w:val="21"/>
                <w:lang w:eastAsia="zh-CN"/>
              </w:rPr>
              <w:t>（</w:t>
            </w:r>
            <w:r>
              <w:rPr>
                <w:rFonts w:hint="eastAsia" w:ascii="宋体" w:hAnsi="宋体"/>
                <w:b/>
                <w:bCs/>
                <w:color w:val="auto"/>
                <w:szCs w:val="21"/>
              </w:rPr>
              <w:t>或电子公章</w:t>
            </w:r>
            <w:r>
              <w:rPr>
                <w:rFonts w:hint="eastAsia" w:ascii="宋体" w:hAnsi="宋体"/>
                <w:b/>
                <w:bCs/>
                <w:color w:val="auto"/>
                <w:szCs w:val="21"/>
                <w:lang w:eastAsia="zh-CN"/>
              </w:rPr>
              <w:t>）</w:t>
            </w:r>
            <w:r>
              <w:rPr>
                <w:rFonts w:hint="eastAsia" w:ascii="宋体" w:hAnsi="宋体"/>
                <w:b/>
                <w:bCs/>
                <w:color w:val="auto"/>
                <w:szCs w:val="21"/>
              </w:rPr>
              <w:t>，否则作无效投标处理。</w:t>
            </w:r>
          </w:p>
          <w:p w14:paraId="62EF4282">
            <w:pPr>
              <w:snapToGrid w:val="0"/>
              <w:spacing w:line="360" w:lineRule="auto"/>
              <w:ind w:firstLine="422" w:firstLineChars="200"/>
              <w:jc w:val="left"/>
              <w:rPr>
                <w:rFonts w:ascii="宋体" w:hAnsi="宋体" w:cs="Courier New"/>
                <w:b/>
                <w:color w:val="auto"/>
                <w:szCs w:val="21"/>
              </w:rPr>
            </w:pPr>
            <w:r>
              <w:rPr>
                <w:rFonts w:hint="eastAsia" w:ascii="宋体" w:hAnsi="宋体"/>
                <w:b/>
                <w:bCs/>
                <w:color w:val="auto"/>
                <w:szCs w:val="21"/>
              </w:rPr>
              <w:t>2.以上标明“必须提供”的材料属于复印件的，必须加盖投标人公章</w:t>
            </w:r>
            <w:r>
              <w:rPr>
                <w:rFonts w:hint="eastAsia" w:ascii="宋体" w:hAnsi="宋体"/>
                <w:b/>
                <w:bCs/>
                <w:color w:val="auto"/>
                <w:szCs w:val="21"/>
                <w:lang w:eastAsia="zh-CN"/>
              </w:rPr>
              <w:t>（</w:t>
            </w:r>
            <w:r>
              <w:rPr>
                <w:rFonts w:hint="eastAsia" w:ascii="宋体" w:hAnsi="宋体"/>
                <w:b/>
                <w:bCs/>
                <w:color w:val="auto"/>
                <w:szCs w:val="21"/>
              </w:rPr>
              <w:t>或电子公章</w:t>
            </w:r>
            <w:r>
              <w:rPr>
                <w:rFonts w:hint="eastAsia" w:ascii="宋体" w:hAnsi="宋体"/>
                <w:b/>
                <w:bCs/>
                <w:color w:val="auto"/>
                <w:szCs w:val="21"/>
                <w:lang w:eastAsia="zh-CN"/>
              </w:rPr>
              <w:t>）</w:t>
            </w:r>
            <w:r>
              <w:rPr>
                <w:rFonts w:hint="eastAsia" w:ascii="宋体" w:hAnsi="宋体"/>
                <w:b/>
                <w:bCs/>
                <w:color w:val="auto"/>
                <w:szCs w:val="21"/>
              </w:rPr>
              <w:t>，否则</w:t>
            </w:r>
            <w:r>
              <w:rPr>
                <w:rFonts w:hint="eastAsia" w:ascii="宋体" w:hAnsi="宋体" w:cs="Courier New"/>
                <w:b/>
                <w:color w:val="auto"/>
                <w:szCs w:val="21"/>
              </w:rPr>
              <w:t>作无效投标处理</w:t>
            </w:r>
            <w:r>
              <w:rPr>
                <w:rFonts w:hint="eastAsia" w:ascii="宋体" w:hAnsi="宋体"/>
                <w:b/>
                <w:bCs/>
                <w:color w:val="auto"/>
                <w:szCs w:val="21"/>
              </w:rPr>
              <w:t>。</w:t>
            </w:r>
          </w:p>
        </w:tc>
      </w:tr>
      <w:tr w14:paraId="79EF72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4228B611">
            <w:pPr>
              <w:spacing w:line="360" w:lineRule="auto"/>
              <w:rPr>
                <w:rFonts w:ascii="宋体" w:hAnsi="宋体"/>
                <w:color w:val="auto"/>
                <w:szCs w:val="21"/>
              </w:rPr>
            </w:pPr>
            <w:bookmarkStart w:id="95" w:name="_13.5"/>
            <w:bookmarkEnd w:id="95"/>
            <w:bookmarkStart w:id="96" w:name="_16.2"/>
            <w:bookmarkEnd w:id="96"/>
            <w:bookmarkStart w:id="97" w:name="_13.4"/>
            <w:bookmarkEnd w:id="97"/>
            <w:r>
              <w:rPr>
                <w:rFonts w:hint="eastAsia" w:ascii="宋体" w:hAnsi="宋体"/>
                <w:color w:val="auto"/>
                <w:szCs w:val="21"/>
              </w:rPr>
              <w:t>16</w:t>
            </w:r>
            <w:bookmarkStart w:id="98" w:name="_Hlt19693758"/>
            <w:bookmarkStart w:id="99" w:name="_Hlt19194066"/>
            <w:bookmarkStart w:id="100" w:name="_Hlt19693759"/>
            <w:bookmarkStart w:id="101" w:name="_Hlt19194067"/>
            <w:r>
              <w:rPr>
                <w:rFonts w:hint="eastAsia" w:ascii="宋体" w:hAnsi="宋体"/>
                <w:color w:val="auto"/>
                <w:szCs w:val="21"/>
              </w:rPr>
              <w:t>.</w:t>
            </w:r>
            <w:bookmarkEnd w:id="98"/>
            <w:bookmarkEnd w:id="99"/>
            <w:bookmarkEnd w:id="100"/>
            <w:bookmarkEnd w:id="101"/>
            <w:r>
              <w:rPr>
                <w:rFonts w:hint="eastAsia" w:ascii="宋体" w:hAnsi="宋体"/>
                <w:color w:val="auto"/>
                <w:szCs w:val="21"/>
              </w:rPr>
              <w:t>2</w:t>
            </w:r>
          </w:p>
        </w:tc>
        <w:tc>
          <w:tcPr>
            <w:tcW w:w="8597" w:type="dxa"/>
            <w:tcBorders>
              <w:top w:val="single" w:color="auto" w:sz="4" w:space="0"/>
              <w:left w:val="single" w:color="auto" w:sz="4" w:space="0"/>
              <w:bottom w:val="single" w:color="auto" w:sz="4" w:space="0"/>
              <w:right w:val="single" w:color="auto" w:sz="4" w:space="0"/>
            </w:tcBorders>
            <w:vAlign w:val="center"/>
          </w:tcPr>
          <w:p w14:paraId="7EE5DD16">
            <w:pPr>
              <w:snapToGrid w:val="0"/>
              <w:spacing w:line="360" w:lineRule="auto"/>
              <w:rPr>
                <w:rFonts w:ascii="宋体" w:hAnsi="宋体"/>
                <w:bCs/>
                <w:color w:val="auto"/>
                <w:szCs w:val="21"/>
                <w:highlight w:val="yellow"/>
              </w:rPr>
            </w:pPr>
            <w:r>
              <w:rPr>
                <w:rFonts w:hint="eastAsia" w:ascii="宋体" w:hAnsi="宋体"/>
                <w:szCs w:val="21"/>
              </w:rPr>
              <w:t>投标总报价应包含所列设备维保服务费、伴随的货物、工具、更新升级、维修和保养服务的人工费（含工时费、差旅费、加班费等）、报关、运输费、安装调试费、技术支持、验收、培训、检测检验、必要的保险费、税费以及其他所有可能发生的费用。即除本项目报价外，中标人不得以任何理由要求采购人支付其他任何费用。</w:t>
            </w:r>
          </w:p>
          <w:p w14:paraId="30FB398F">
            <w:pPr>
              <w:snapToGrid w:val="0"/>
              <w:spacing w:line="360" w:lineRule="auto"/>
              <w:rPr>
                <w:rFonts w:ascii="宋体" w:hAnsi="宋体"/>
                <w:b/>
                <w:color w:val="auto"/>
                <w:szCs w:val="21"/>
              </w:rPr>
            </w:pPr>
            <w:r>
              <w:rPr>
                <w:rFonts w:hint="eastAsia" w:ascii="宋体" w:hAnsi="宋体"/>
                <w:b/>
                <w:color w:val="auto"/>
                <w:szCs w:val="21"/>
              </w:rPr>
              <w:t>☑投标报价包含验收费用</w:t>
            </w:r>
          </w:p>
          <w:p w14:paraId="287A2AE1">
            <w:pPr>
              <w:snapToGrid w:val="0"/>
              <w:spacing w:line="360" w:lineRule="auto"/>
              <w:rPr>
                <w:rFonts w:ascii="宋体" w:hAnsi="宋体"/>
                <w:b/>
                <w:color w:val="auto"/>
                <w:szCs w:val="21"/>
              </w:rPr>
            </w:pPr>
            <w:r>
              <w:rPr>
                <w:rFonts w:hint="eastAsia" w:ascii="宋体" w:hAnsi="宋体"/>
                <w:b/>
                <w:color w:val="auto"/>
                <w:szCs w:val="21"/>
              </w:rPr>
              <w:t>□投标报价不包含验收费用</w:t>
            </w:r>
          </w:p>
        </w:tc>
      </w:tr>
      <w:tr w14:paraId="2FF92B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419EC988">
            <w:pPr>
              <w:spacing w:line="360" w:lineRule="auto"/>
              <w:rPr>
                <w:rFonts w:ascii="宋体" w:hAnsi="宋体"/>
                <w:color w:val="auto"/>
                <w:szCs w:val="21"/>
              </w:rPr>
            </w:pPr>
            <w:bookmarkStart w:id="102" w:name="_17.1"/>
            <w:bookmarkEnd w:id="102"/>
            <w:r>
              <w:rPr>
                <w:rFonts w:hint="eastAsia" w:ascii="宋体" w:hAnsi="宋体"/>
                <w:color w:val="auto"/>
                <w:szCs w:val="21"/>
              </w:rPr>
              <w:t>17.</w:t>
            </w:r>
            <w:r>
              <w:rPr>
                <w:rFonts w:ascii="宋体" w:hAnsi="宋体"/>
                <w:color w:val="auto"/>
                <w:szCs w:val="21"/>
              </w:rPr>
              <w:t>2</w:t>
            </w:r>
          </w:p>
        </w:tc>
        <w:tc>
          <w:tcPr>
            <w:tcW w:w="8597" w:type="dxa"/>
            <w:tcBorders>
              <w:top w:val="single" w:color="auto" w:sz="4" w:space="0"/>
              <w:left w:val="single" w:color="auto" w:sz="4" w:space="0"/>
              <w:bottom w:val="single" w:color="auto" w:sz="4" w:space="0"/>
              <w:right w:val="single" w:color="auto" w:sz="4" w:space="0"/>
            </w:tcBorders>
            <w:vAlign w:val="center"/>
          </w:tcPr>
          <w:p w14:paraId="53ABC3E7">
            <w:pPr>
              <w:snapToGrid w:val="0"/>
              <w:spacing w:line="360" w:lineRule="auto"/>
              <w:rPr>
                <w:rFonts w:ascii="宋体" w:hAnsi="宋体"/>
                <w:color w:val="auto"/>
                <w:szCs w:val="21"/>
              </w:rPr>
            </w:pPr>
            <w:r>
              <w:rPr>
                <w:rFonts w:hint="eastAsia" w:ascii="宋体" w:hAnsi="宋体"/>
                <w:color w:val="auto"/>
                <w:szCs w:val="21"/>
              </w:rPr>
              <w:t>投标有效期：自投标截止之日起</w:t>
            </w:r>
            <w:r>
              <w:rPr>
                <w:rFonts w:hint="eastAsia" w:ascii="宋体" w:hAnsi="宋体"/>
                <w:color w:val="auto"/>
                <w:szCs w:val="21"/>
                <w:u w:val="single"/>
              </w:rPr>
              <w:t>90</w:t>
            </w:r>
            <w:r>
              <w:rPr>
                <w:rFonts w:hint="eastAsia" w:ascii="宋体" w:hAnsi="宋体"/>
                <w:color w:val="auto"/>
                <w:szCs w:val="21"/>
              </w:rPr>
              <w:t>日。</w:t>
            </w:r>
          </w:p>
        </w:tc>
      </w:tr>
      <w:tr w14:paraId="1ABD22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6312083D">
            <w:pPr>
              <w:spacing w:line="360" w:lineRule="auto"/>
              <w:rPr>
                <w:rFonts w:ascii="宋体" w:hAnsi="宋体"/>
                <w:color w:val="auto"/>
                <w:szCs w:val="21"/>
              </w:rPr>
            </w:pPr>
            <w:bookmarkStart w:id="103" w:name="_18"/>
            <w:bookmarkEnd w:id="103"/>
            <w:r>
              <w:rPr>
                <w:rFonts w:hint="eastAsia" w:ascii="宋体" w:hAnsi="宋体"/>
                <w:color w:val="auto"/>
                <w:szCs w:val="21"/>
              </w:rPr>
              <w:t>18</w:t>
            </w:r>
            <w:r>
              <w:rPr>
                <w:rFonts w:ascii="宋体" w:hAnsi="宋体"/>
                <w:color w:val="auto"/>
                <w:szCs w:val="21"/>
              </w:rPr>
              <w:t>.1</w:t>
            </w:r>
          </w:p>
        </w:tc>
        <w:tc>
          <w:tcPr>
            <w:tcW w:w="8597" w:type="dxa"/>
            <w:tcBorders>
              <w:top w:val="single" w:color="auto" w:sz="4" w:space="0"/>
              <w:left w:val="single" w:color="auto" w:sz="4" w:space="0"/>
              <w:bottom w:val="single" w:color="auto" w:sz="4" w:space="0"/>
              <w:right w:val="single" w:color="auto" w:sz="4" w:space="0"/>
            </w:tcBorders>
            <w:vAlign w:val="center"/>
          </w:tcPr>
          <w:p w14:paraId="0797AB2F">
            <w:pPr>
              <w:autoSpaceDE w:val="0"/>
              <w:autoSpaceDN w:val="0"/>
              <w:snapToGrid w:val="0"/>
              <w:spacing w:line="360" w:lineRule="auto"/>
              <w:textAlignment w:val="bottom"/>
              <w:rPr>
                <w:rFonts w:ascii="宋体" w:hAnsi="宋体"/>
                <w:b/>
                <w:color w:val="auto"/>
                <w:szCs w:val="21"/>
              </w:rPr>
            </w:pPr>
            <w:r>
              <w:rPr>
                <w:rFonts w:hint="eastAsia" w:ascii="宋体" w:hAnsi="宋体"/>
                <w:color w:val="auto"/>
                <w:szCs w:val="21"/>
              </w:rPr>
              <w:t>☑本项目不收取投标保证金。</w:t>
            </w:r>
          </w:p>
        </w:tc>
      </w:tr>
      <w:tr w14:paraId="15F355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2FE0C94E">
            <w:pPr>
              <w:spacing w:line="360" w:lineRule="auto"/>
              <w:rPr>
                <w:rFonts w:ascii="宋体" w:hAnsi="宋体"/>
                <w:color w:val="auto"/>
                <w:szCs w:val="21"/>
              </w:rPr>
            </w:pPr>
            <w:bookmarkStart w:id="104" w:name="_19.2"/>
            <w:bookmarkEnd w:id="104"/>
            <w:r>
              <w:rPr>
                <w:rFonts w:hint="eastAsia" w:ascii="宋体" w:hAnsi="宋体"/>
                <w:color w:val="auto"/>
                <w:szCs w:val="21"/>
              </w:rPr>
              <w:t>19.1</w:t>
            </w:r>
          </w:p>
        </w:tc>
        <w:tc>
          <w:tcPr>
            <w:tcW w:w="8597" w:type="dxa"/>
            <w:tcBorders>
              <w:top w:val="single" w:color="auto" w:sz="4" w:space="0"/>
              <w:left w:val="single" w:color="auto" w:sz="4" w:space="0"/>
              <w:bottom w:val="single" w:color="auto" w:sz="4" w:space="0"/>
              <w:right w:val="single" w:color="auto" w:sz="4" w:space="0"/>
            </w:tcBorders>
            <w:vAlign w:val="center"/>
          </w:tcPr>
          <w:p w14:paraId="735B69E2">
            <w:pPr>
              <w:autoSpaceDE w:val="0"/>
              <w:autoSpaceDN w:val="0"/>
              <w:snapToGrid w:val="0"/>
              <w:spacing w:line="360" w:lineRule="auto"/>
              <w:textAlignment w:val="bottom"/>
              <w:rPr>
                <w:rFonts w:ascii="宋体" w:hAnsi="宋体" w:cs="宋体"/>
                <w:b/>
                <w:bCs/>
                <w:color w:val="auto"/>
                <w:szCs w:val="21"/>
              </w:rPr>
            </w:pPr>
            <w:r>
              <w:rPr>
                <w:rFonts w:hint="eastAsia" w:ascii="宋体" w:hAnsi="宋体" w:cs="宋体"/>
                <w:b/>
                <w:bCs/>
                <w:color w:val="auto"/>
                <w:szCs w:val="21"/>
              </w:rPr>
              <w:t>投标文件编制要求：</w:t>
            </w:r>
          </w:p>
          <w:p w14:paraId="21565F25">
            <w:pPr>
              <w:autoSpaceDE w:val="0"/>
              <w:autoSpaceDN w:val="0"/>
              <w:snapToGrid w:val="0"/>
              <w:spacing w:line="360" w:lineRule="auto"/>
              <w:textAlignment w:val="bottom"/>
              <w:rPr>
                <w:rFonts w:ascii="宋体" w:hAnsi="宋体"/>
                <w:color w:val="auto"/>
                <w:szCs w:val="21"/>
              </w:rPr>
            </w:pPr>
            <w:r>
              <w:rPr>
                <w:rFonts w:hint="eastAsia" w:ascii="宋体" w:hAnsi="宋体" w:cs="宋体"/>
                <w:color w:val="auto"/>
                <w:szCs w:val="21"/>
              </w:rPr>
              <w:t>投标文件应按报价文件、资格证明文件、商务技术文件分别编制，分别生成电子文件。</w:t>
            </w:r>
          </w:p>
        </w:tc>
      </w:tr>
      <w:tr w14:paraId="2D2FE1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4" w:hRule="atLeast"/>
        </w:trPr>
        <w:tc>
          <w:tcPr>
            <w:tcW w:w="968" w:type="dxa"/>
            <w:tcBorders>
              <w:top w:val="single" w:color="auto" w:sz="4" w:space="0"/>
              <w:left w:val="single" w:color="auto" w:sz="4" w:space="0"/>
              <w:bottom w:val="single" w:color="auto" w:sz="4" w:space="0"/>
              <w:right w:val="single" w:color="auto" w:sz="4" w:space="0"/>
            </w:tcBorders>
            <w:vAlign w:val="center"/>
          </w:tcPr>
          <w:p w14:paraId="06ADA00B">
            <w:pPr>
              <w:spacing w:line="360" w:lineRule="auto"/>
              <w:rPr>
                <w:rFonts w:ascii="宋体" w:hAnsi="宋体"/>
                <w:color w:val="auto"/>
                <w:szCs w:val="21"/>
              </w:rPr>
            </w:pPr>
            <w:bookmarkStart w:id="105" w:name="_21.1"/>
            <w:bookmarkEnd w:id="105"/>
            <w:r>
              <w:rPr>
                <w:rFonts w:hint="eastAsia" w:ascii="宋体" w:hAnsi="宋体"/>
                <w:color w:val="auto"/>
                <w:szCs w:val="21"/>
              </w:rPr>
              <w:t>21.1</w:t>
            </w:r>
          </w:p>
        </w:tc>
        <w:tc>
          <w:tcPr>
            <w:tcW w:w="8597" w:type="dxa"/>
            <w:tcBorders>
              <w:top w:val="single" w:color="auto" w:sz="4" w:space="0"/>
              <w:left w:val="single" w:color="auto" w:sz="4" w:space="0"/>
              <w:bottom w:val="single" w:color="auto" w:sz="4" w:space="0"/>
              <w:right w:val="single" w:color="auto" w:sz="4" w:space="0"/>
            </w:tcBorders>
            <w:vAlign w:val="center"/>
          </w:tcPr>
          <w:p w14:paraId="3BB678E5">
            <w:pPr>
              <w:snapToGrid w:val="0"/>
              <w:spacing w:line="360" w:lineRule="auto"/>
              <w:rPr>
                <w:rFonts w:ascii="宋体" w:hAnsi="宋体"/>
                <w:color w:val="auto"/>
                <w:szCs w:val="21"/>
                <w:u w:val="single"/>
              </w:rPr>
            </w:pPr>
            <w:r>
              <w:rPr>
                <w:rFonts w:hint="eastAsia" w:ascii="宋体" w:hAnsi="宋体"/>
                <w:color w:val="auto"/>
                <w:szCs w:val="21"/>
              </w:rPr>
              <w:t>1.投标截止时间：详见招标公告</w:t>
            </w:r>
          </w:p>
          <w:p w14:paraId="23717A50">
            <w:pPr>
              <w:snapToGrid w:val="0"/>
              <w:spacing w:line="360" w:lineRule="auto"/>
              <w:rPr>
                <w:rFonts w:ascii="宋体" w:hAnsi="宋体"/>
                <w:color w:val="auto"/>
                <w:szCs w:val="21"/>
              </w:rPr>
            </w:pPr>
            <w:r>
              <w:rPr>
                <w:rFonts w:hint="eastAsia" w:ascii="宋体" w:hAnsi="宋体"/>
                <w:color w:val="auto"/>
                <w:szCs w:val="21"/>
              </w:rPr>
              <w:t>2.投标文件提交起止时间：详见招标公告</w:t>
            </w:r>
          </w:p>
          <w:p w14:paraId="4889D7CD">
            <w:pPr>
              <w:snapToGrid w:val="0"/>
              <w:spacing w:line="360" w:lineRule="auto"/>
              <w:rPr>
                <w:rFonts w:ascii="宋体" w:hAnsi="宋体"/>
                <w:color w:val="auto"/>
                <w:szCs w:val="21"/>
              </w:rPr>
            </w:pPr>
            <w:r>
              <w:rPr>
                <w:rFonts w:hint="eastAsia" w:ascii="宋体" w:hAnsi="宋体"/>
                <w:color w:val="auto"/>
                <w:szCs w:val="21"/>
              </w:rPr>
              <w:t>3.投标地点：详见招标公告</w:t>
            </w:r>
          </w:p>
        </w:tc>
      </w:tr>
      <w:tr w14:paraId="5D16AE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1C553B07">
            <w:pPr>
              <w:spacing w:line="360" w:lineRule="auto"/>
              <w:rPr>
                <w:rFonts w:ascii="宋体" w:hAnsi="宋体"/>
                <w:color w:val="auto"/>
                <w:szCs w:val="21"/>
              </w:rPr>
            </w:pPr>
            <w:bookmarkStart w:id="106" w:name="_23"/>
            <w:bookmarkEnd w:id="106"/>
            <w:r>
              <w:rPr>
                <w:rFonts w:hint="eastAsia" w:ascii="宋体" w:hAnsi="宋体"/>
                <w:color w:val="auto"/>
                <w:szCs w:val="21"/>
              </w:rPr>
              <w:t>23</w:t>
            </w:r>
          </w:p>
        </w:tc>
        <w:tc>
          <w:tcPr>
            <w:tcW w:w="8597" w:type="dxa"/>
            <w:tcBorders>
              <w:top w:val="single" w:color="auto" w:sz="4" w:space="0"/>
              <w:left w:val="single" w:color="auto" w:sz="4" w:space="0"/>
              <w:bottom w:val="single" w:color="auto" w:sz="4" w:space="0"/>
              <w:right w:val="single" w:color="auto" w:sz="4" w:space="0"/>
            </w:tcBorders>
            <w:vAlign w:val="center"/>
          </w:tcPr>
          <w:p w14:paraId="11CBA1FD">
            <w:pPr>
              <w:snapToGrid w:val="0"/>
              <w:spacing w:line="360" w:lineRule="auto"/>
              <w:rPr>
                <w:rFonts w:ascii="宋体" w:hAnsi="宋体"/>
                <w:color w:val="auto"/>
                <w:szCs w:val="21"/>
              </w:rPr>
            </w:pPr>
            <w:r>
              <w:rPr>
                <w:rFonts w:hint="eastAsia" w:ascii="宋体" w:hAnsi="宋体"/>
                <w:color w:val="auto"/>
                <w:szCs w:val="21"/>
              </w:rPr>
              <w:t>1.开标时间：详见招标公告</w:t>
            </w:r>
          </w:p>
          <w:p w14:paraId="5C820AC4">
            <w:pPr>
              <w:snapToGrid w:val="0"/>
              <w:spacing w:line="360" w:lineRule="auto"/>
              <w:rPr>
                <w:rFonts w:ascii="宋体" w:hAnsi="宋体"/>
                <w:color w:val="auto"/>
                <w:szCs w:val="21"/>
              </w:rPr>
            </w:pPr>
            <w:r>
              <w:rPr>
                <w:rFonts w:hint="eastAsia" w:ascii="宋体" w:hAnsi="宋体"/>
                <w:color w:val="auto"/>
                <w:szCs w:val="21"/>
              </w:rPr>
              <w:t>2.开标地点：详见招标公告</w:t>
            </w:r>
          </w:p>
        </w:tc>
      </w:tr>
      <w:tr w14:paraId="129F35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7E33176D">
            <w:pPr>
              <w:spacing w:line="360" w:lineRule="auto"/>
              <w:rPr>
                <w:rFonts w:ascii="宋体" w:hAnsi="宋体"/>
                <w:color w:val="auto"/>
                <w:szCs w:val="21"/>
              </w:rPr>
            </w:pPr>
            <w:bookmarkStart w:id="107" w:name="_25.3"/>
            <w:bookmarkEnd w:id="107"/>
            <w:r>
              <w:rPr>
                <w:rFonts w:hint="eastAsia" w:ascii="宋体" w:hAnsi="宋体"/>
                <w:color w:val="auto"/>
                <w:szCs w:val="21"/>
              </w:rPr>
              <w:t>25.3（2）</w:t>
            </w:r>
          </w:p>
        </w:tc>
        <w:tc>
          <w:tcPr>
            <w:tcW w:w="8597" w:type="dxa"/>
            <w:tcBorders>
              <w:top w:val="single" w:color="auto" w:sz="4" w:space="0"/>
              <w:left w:val="single" w:color="auto" w:sz="4" w:space="0"/>
              <w:bottom w:val="single" w:color="auto" w:sz="4" w:space="0"/>
              <w:right w:val="single" w:color="auto" w:sz="4" w:space="0"/>
            </w:tcBorders>
            <w:vAlign w:val="center"/>
          </w:tcPr>
          <w:p w14:paraId="43D99D54">
            <w:pPr>
              <w:snapToGrid w:val="0"/>
              <w:spacing w:line="360" w:lineRule="auto"/>
              <w:rPr>
                <w:rFonts w:ascii="宋体" w:hAnsi="宋体"/>
                <w:color w:val="auto"/>
                <w:szCs w:val="21"/>
              </w:rPr>
            </w:pPr>
            <w:r>
              <w:rPr>
                <w:rFonts w:hint="eastAsia" w:ascii="宋体" w:hAnsi="宋体"/>
                <w:color w:val="auto"/>
                <w:szCs w:val="21"/>
              </w:rPr>
              <w:t>采购人或者采购代理机构在资格审查结束前，对投标人进行信用查询。</w:t>
            </w:r>
          </w:p>
          <w:p w14:paraId="3702A695">
            <w:pPr>
              <w:snapToGrid w:val="0"/>
              <w:spacing w:line="360" w:lineRule="auto"/>
              <w:rPr>
                <w:rFonts w:ascii="宋体" w:hAnsi="宋体"/>
                <w:color w:val="auto"/>
                <w:szCs w:val="21"/>
              </w:rPr>
            </w:pPr>
            <w:r>
              <w:rPr>
                <w:rFonts w:hint="eastAsia" w:ascii="宋体" w:hAnsi="宋体"/>
                <w:b/>
                <w:bCs/>
                <w:color w:val="auto"/>
                <w:szCs w:val="21"/>
              </w:rPr>
              <w:t>查询渠道：</w:t>
            </w:r>
            <w:r>
              <w:rPr>
                <w:rFonts w:hint="eastAsia" w:ascii="宋体" w:hAnsi="宋体"/>
                <w:color w:val="auto"/>
                <w:szCs w:val="21"/>
              </w:rPr>
              <w:t>“信用中国”网站(www.creditchina.gov.cn) 、中国政府采购网(www.ccgp.gov.cn)》。</w:t>
            </w:r>
          </w:p>
          <w:p w14:paraId="3AB57115">
            <w:pPr>
              <w:snapToGrid w:val="0"/>
              <w:spacing w:line="360" w:lineRule="auto"/>
              <w:rPr>
                <w:rFonts w:ascii="宋体" w:hAnsi="宋体"/>
                <w:color w:val="auto"/>
                <w:szCs w:val="21"/>
              </w:rPr>
            </w:pPr>
            <w:r>
              <w:rPr>
                <w:rFonts w:hint="eastAsia" w:ascii="宋体" w:hAnsi="宋体"/>
                <w:b/>
                <w:bCs/>
                <w:color w:val="auto"/>
                <w:szCs w:val="21"/>
              </w:rPr>
              <w:t>信用查询截止时点：</w:t>
            </w:r>
            <w:r>
              <w:rPr>
                <w:rFonts w:hint="eastAsia" w:ascii="宋体" w:hAnsi="宋体"/>
                <w:color w:val="auto"/>
                <w:szCs w:val="21"/>
              </w:rPr>
              <w:t>资格审查结束前</w:t>
            </w:r>
          </w:p>
          <w:p w14:paraId="4612A948">
            <w:pPr>
              <w:snapToGrid w:val="0"/>
              <w:spacing w:line="360" w:lineRule="auto"/>
              <w:rPr>
                <w:rFonts w:ascii="宋体" w:hAnsi="宋体"/>
                <w:color w:val="auto"/>
                <w:szCs w:val="21"/>
              </w:rPr>
            </w:pPr>
            <w:r>
              <w:rPr>
                <w:rFonts w:hint="eastAsia" w:ascii="宋体" w:hAnsi="宋体"/>
                <w:b/>
                <w:bCs/>
                <w:color w:val="auto"/>
                <w:szCs w:val="21"/>
              </w:rPr>
              <w:t>查询记录和证据留存方式：</w:t>
            </w:r>
            <w:r>
              <w:rPr>
                <w:rFonts w:hint="eastAsia" w:ascii="宋体" w:hAnsi="宋体"/>
                <w:color w:val="auto"/>
                <w:szCs w:val="21"/>
              </w:rPr>
              <w:t>在查询网站中直接打印查询记录，打印材料作为评审资料保存。</w:t>
            </w:r>
          </w:p>
          <w:p w14:paraId="01D67CB3">
            <w:pPr>
              <w:snapToGrid w:val="0"/>
              <w:spacing w:line="360" w:lineRule="auto"/>
              <w:rPr>
                <w:rFonts w:ascii="宋体" w:hAnsi="宋体"/>
                <w:b/>
                <w:color w:val="auto"/>
                <w:szCs w:val="21"/>
              </w:rPr>
            </w:pPr>
            <w:r>
              <w:rPr>
                <w:rFonts w:hint="eastAsia" w:ascii="宋体" w:hAnsi="宋体"/>
                <w:b/>
                <w:bCs/>
                <w:color w:val="auto"/>
                <w:szCs w:val="21"/>
              </w:rPr>
              <w:t>信用信息使用规则：</w:t>
            </w:r>
            <w:r>
              <w:rPr>
                <w:rFonts w:hint="eastAsia" w:ascii="宋体" w:hAnsi="宋体"/>
                <w:color w:val="auto"/>
                <w:szCs w:val="21"/>
              </w:rPr>
              <w:t>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w:t>
            </w:r>
            <w:r>
              <w:rPr>
                <w:rFonts w:hint="eastAsia"/>
                <w:color w:val="auto"/>
                <w:sz w:val="22"/>
                <w:szCs w:val="22"/>
              </w:rPr>
              <w:t>应当拒绝其参与政府采购活动</w:t>
            </w:r>
            <w:r>
              <w:rPr>
                <w:rFonts w:hint="eastAsia" w:ascii="宋体" w:hAnsi="宋体"/>
                <w:color w:val="auto"/>
                <w:szCs w:val="21"/>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080D82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08C2DA9D">
            <w:pPr>
              <w:spacing w:line="360" w:lineRule="auto"/>
              <w:rPr>
                <w:rFonts w:ascii="宋体" w:hAnsi="宋体"/>
                <w:color w:val="auto"/>
                <w:szCs w:val="21"/>
              </w:rPr>
            </w:pPr>
            <w:bookmarkStart w:id="108" w:name="_26"/>
            <w:bookmarkEnd w:id="108"/>
            <w:r>
              <w:rPr>
                <w:rFonts w:hint="eastAsia" w:ascii="宋体" w:hAnsi="宋体"/>
                <w:color w:val="auto"/>
                <w:szCs w:val="21"/>
              </w:rPr>
              <w:t>26</w:t>
            </w:r>
          </w:p>
        </w:tc>
        <w:tc>
          <w:tcPr>
            <w:tcW w:w="8597" w:type="dxa"/>
            <w:tcBorders>
              <w:top w:val="single" w:color="auto" w:sz="4" w:space="0"/>
              <w:left w:val="single" w:color="auto" w:sz="4" w:space="0"/>
              <w:bottom w:val="single" w:color="auto" w:sz="4" w:space="0"/>
              <w:right w:val="single" w:color="auto" w:sz="4" w:space="0"/>
            </w:tcBorders>
            <w:vAlign w:val="center"/>
          </w:tcPr>
          <w:p w14:paraId="61FF8DD3">
            <w:pPr>
              <w:autoSpaceDE w:val="0"/>
              <w:autoSpaceDN w:val="0"/>
              <w:snapToGrid w:val="0"/>
              <w:spacing w:line="360" w:lineRule="auto"/>
              <w:textAlignment w:val="bottom"/>
              <w:rPr>
                <w:rFonts w:ascii="宋体" w:hAnsi="宋体"/>
                <w:color w:val="auto"/>
                <w:szCs w:val="21"/>
              </w:rPr>
            </w:pPr>
            <w:r>
              <w:rPr>
                <w:rFonts w:hint="eastAsia" w:ascii="宋体" w:hAnsi="宋体"/>
                <w:color w:val="auto"/>
                <w:szCs w:val="21"/>
              </w:rPr>
              <w:t>评标委员会的人数：</w:t>
            </w:r>
            <w:r>
              <w:rPr>
                <w:rFonts w:hint="eastAsia" w:ascii="宋体" w:hAnsi="宋体"/>
                <w:color w:val="auto"/>
                <w:szCs w:val="21"/>
                <w:u w:val="single"/>
              </w:rPr>
              <w:t xml:space="preserve">  5 </w:t>
            </w:r>
            <w:r>
              <w:rPr>
                <w:rFonts w:hint="eastAsia" w:ascii="宋体" w:hAnsi="宋体"/>
                <w:color w:val="auto"/>
                <w:szCs w:val="21"/>
              </w:rPr>
              <w:t>人</w:t>
            </w:r>
          </w:p>
        </w:tc>
      </w:tr>
      <w:tr w14:paraId="21C15A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2180C7B2">
            <w:pPr>
              <w:spacing w:line="360" w:lineRule="auto"/>
              <w:rPr>
                <w:rFonts w:ascii="宋体" w:hAnsi="宋体"/>
                <w:color w:val="auto"/>
                <w:szCs w:val="21"/>
              </w:rPr>
            </w:pPr>
            <w:bookmarkStart w:id="109" w:name="_28.3"/>
            <w:bookmarkEnd w:id="109"/>
            <w:r>
              <w:rPr>
                <w:rFonts w:ascii="宋体" w:hAnsi="宋体"/>
                <w:color w:val="auto"/>
                <w:szCs w:val="21"/>
              </w:rPr>
              <w:t>29.1</w:t>
            </w:r>
          </w:p>
        </w:tc>
        <w:tc>
          <w:tcPr>
            <w:tcW w:w="8597" w:type="dxa"/>
            <w:tcBorders>
              <w:top w:val="single" w:color="auto" w:sz="4" w:space="0"/>
              <w:left w:val="single" w:color="auto" w:sz="4" w:space="0"/>
              <w:bottom w:val="single" w:color="auto" w:sz="4" w:space="0"/>
              <w:right w:val="single" w:color="auto" w:sz="4" w:space="0"/>
            </w:tcBorders>
            <w:vAlign w:val="center"/>
          </w:tcPr>
          <w:p w14:paraId="18726713">
            <w:pPr>
              <w:autoSpaceDE w:val="0"/>
              <w:autoSpaceDN w:val="0"/>
              <w:snapToGrid w:val="0"/>
              <w:spacing w:line="360" w:lineRule="auto"/>
              <w:textAlignment w:val="bottom"/>
              <w:rPr>
                <w:rFonts w:ascii="宋体" w:hAnsi="宋体"/>
                <w:color w:val="auto"/>
                <w:szCs w:val="21"/>
              </w:rPr>
            </w:pPr>
            <w:r>
              <w:rPr>
                <w:rFonts w:hint="eastAsia" w:ascii="宋体" w:hAnsi="宋体"/>
                <w:color w:val="auto"/>
                <w:szCs w:val="21"/>
              </w:rPr>
              <w:t>评标方法：</w:t>
            </w:r>
          </w:p>
          <w:p w14:paraId="49058B2C">
            <w:pPr>
              <w:autoSpaceDE w:val="0"/>
              <w:autoSpaceDN w:val="0"/>
              <w:snapToGrid w:val="0"/>
              <w:spacing w:line="360" w:lineRule="auto"/>
              <w:textAlignment w:val="bottom"/>
              <w:rPr>
                <w:rFonts w:ascii="宋体" w:hAnsi="宋体"/>
                <w:color w:val="auto"/>
                <w:szCs w:val="21"/>
              </w:rPr>
            </w:pPr>
            <w:r>
              <w:rPr>
                <w:rFonts w:hint="eastAsia" w:ascii="宋体" w:hAnsi="宋体"/>
                <w:color w:val="auto"/>
                <w:szCs w:val="21"/>
              </w:rPr>
              <w:t>☑综合评分法</w:t>
            </w:r>
          </w:p>
          <w:p w14:paraId="48222DA0">
            <w:pPr>
              <w:autoSpaceDE w:val="0"/>
              <w:autoSpaceDN w:val="0"/>
              <w:snapToGrid w:val="0"/>
              <w:spacing w:line="360" w:lineRule="auto"/>
              <w:textAlignment w:val="bottom"/>
              <w:rPr>
                <w:rFonts w:ascii="宋体" w:hAnsi="宋体"/>
                <w:color w:val="auto"/>
                <w:szCs w:val="21"/>
              </w:rPr>
            </w:pPr>
            <w:r>
              <w:rPr>
                <w:rFonts w:hint="eastAsia" w:ascii="宋体" w:hAnsi="宋体"/>
                <w:color w:val="auto"/>
                <w:szCs w:val="21"/>
              </w:rPr>
              <w:t>□最低评标价法</w:t>
            </w:r>
          </w:p>
        </w:tc>
      </w:tr>
      <w:tr w14:paraId="718A23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46EBCE43">
            <w:pPr>
              <w:spacing w:line="360" w:lineRule="auto"/>
              <w:rPr>
                <w:rFonts w:ascii="宋体" w:hAnsi="宋体"/>
                <w:color w:val="auto"/>
                <w:szCs w:val="21"/>
              </w:rPr>
            </w:pPr>
            <w:r>
              <w:rPr>
                <w:rFonts w:hint="eastAsia" w:ascii="宋体" w:hAnsi="宋体" w:cs="宋体"/>
                <w:color w:val="auto"/>
                <w:szCs w:val="21"/>
                <w:highlight w:val="none"/>
              </w:rPr>
              <w:t>29.2</w:t>
            </w:r>
          </w:p>
        </w:tc>
        <w:tc>
          <w:tcPr>
            <w:tcW w:w="8597" w:type="dxa"/>
            <w:tcBorders>
              <w:top w:val="single" w:color="auto" w:sz="4" w:space="0"/>
              <w:left w:val="single" w:color="auto" w:sz="4" w:space="0"/>
              <w:bottom w:val="single" w:color="auto" w:sz="4" w:space="0"/>
              <w:right w:val="single" w:color="auto" w:sz="4" w:space="0"/>
            </w:tcBorders>
            <w:vAlign w:val="center"/>
          </w:tcPr>
          <w:p w14:paraId="02248111">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商务条款评审中允许负偏离的条款数为</w:t>
            </w:r>
            <w:r>
              <w:rPr>
                <w:rFonts w:hint="eastAsia" w:ascii="宋体" w:hAnsi="宋体" w:cs="宋体"/>
                <w:color w:val="auto"/>
                <w:szCs w:val="21"/>
                <w:highlight w:val="none"/>
                <w:u w:val="single"/>
              </w:rPr>
              <w:t xml:space="preserve">  0  </w:t>
            </w:r>
            <w:r>
              <w:rPr>
                <w:rFonts w:hint="eastAsia" w:ascii="宋体" w:hAnsi="宋体" w:cs="宋体"/>
                <w:color w:val="auto"/>
                <w:szCs w:val="21"/>
                <w:highlight w:val="none"/>
              </w:rPr>
              <w:t>项。</w:t>
            </w:r>
          </w:p>
          <w:p w14:paraId="5DB97F20">
            <w:pPr>
              <w:snapToGrid w:val="0"/>
              <w:spacing w:line="360" w:lineRule="auto"/>
              <w:rPr>
                <w:rFonts w:hint="eastAsia" w:ascii="宋体" w:hAnsi="宋体"/>
                <w:color w:val="auto"/>
                <w:szCs w:val="21"/>
              </w:rPr>
            </w:pPr>
            <w:r>
              <w:rPr>
                <w:rFonts w:hint="eastAsia" w:ascii="宋体" w:hAnsi="宋体" w:cs="宋体"/>
                <w:b/>
                <w:bCs/>
                <w:color w:val="auto"/>
                <w:szCs w:val="21"/>
                <w:highlight w:val="none"/>
              </w:rPr>
              <w:t>技术需求评审中允许负偏离的条款数为</w:t>
            </w:r>
            <w:r>
              <w:rPr>
                <w:rFonts w:hint="eastAsia" w:ascii="宋体" w:hAnsi="宋体" w:cs="宋体"/>
                <w:color w:val="auto"/>
                <w:szCs w:val="21"/>
                <w:highlight w:val="none"/>
              </w:rPr>
              <w:t>“采购需求及评审程序和评定成交的标准”</w:t>
            </w:r>
            <w:r>
              <w:rPr>
                <w:rFonts w:hint="eastAsia" w:ascii="宋体" w:hAnsi="宋体" w:cs="宋体"/>
                <w:b/>
                <w:bCs/>
                <w:color w:val="auto"/>
                <w:szCs w:val="21"/>
                <w:highlight w:val="none"/>
              </w:rPr>
              <w:t>。</w:t>
            </w:r>
          </w:p>
        </w:tc>
      </w:tr>
      <w:tr w14:paraId="46246E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4DB8CD92">
            <w:pPr>
              <w:spacing w:line="360" w:lineRule="auto"/>
              <w:rPr>
                <w:rFonts w:ascii="宋体" w:hAnsi="宋体"/>
                <w:color w:val="auto"/>
                <w:szCs w:val="21"/>
              </w:rPr>
            </w:pPr>
            <w:bookmarkStart w:id="110" w:name="_29.2.2（2）"/>
            <w:bookmarkEnd w:id="110"/>
            <w:r>
              <w:rPr>
                <w:rFonts w:hint="eastAsia" w:ascii="宋体" w:hAnsi="宋体"/>
                <w:color w:val="auto"/>
                <w:szCs w:val="21"/>
              </w:rPr>
              <w:t>30</w:t>
            </w:r>
            <w:r>
              <w:rPr>
                <w:rFonts w:ascii="宋体" w:hAnsi="宋体"/>
                <w:color w:val="auto"/>
                <w:szCs w:val="21"/>
              </w:rPr>
              <w:t>.1</w:t>
            </w:r>
          </w:p>
        </w:tc>
        <w:tc>
          <w:tcPr>
            <w:tcW w:w="8597" w:type="dxa"/>
            <w:tcBorders>
              <w:top w:val="single" w:color="auto" w:sz="4" w:space="0"/>
              <w:left w:val="single" w:color="auto" w:sz="4" w:space="0"/>
              <w:bottom w:val="single" w:color="auto" w:sz="4" w:space="0"/>
              <w:right w:val="single" w:color="auto" w:sz="4" w:space="0"/>
            </w:tcBorders>
            <w:vAlign w:val="center"/>
          </w:tcPr>
          <w:p w14:paraId="15E077C7">
            <w:pPr>
              <w:autoSpaceDE w:val="0"/>
              <w:autoSpaceDN w:val="0"/>
              <w:snapToGrid w:val="0"/>
              <w:spacing w:line="360" w:lineRule="auto"/>
              <w:textAlignment w:val="bottom"/>
              <w:rPr>
                <w:rFonts w:ascii="宋体" w:hAnsi="宋体"/>
                <w:color w:val="auto"/>
                <w:szCs w:val="21"/>
              </w:rPr>
            </w:pPr>
            <w:r>
              <w:rPr>
                <w:rFonts w:hint="eastAsia" w:ascii="宋体" w:hAnsi="宋体"/>
                <w:color w:val="auto"/>
                <w:szCs w:val="21"/>
              </w:rPr>
              <w:t>采购人确定中标人时，出现中标候选人并列的情形，采购人按以下的方式确定中标人：</w:t>
            </w:r>
          </w:p>
          <w:p w14:paraId="416E4C56">
            <w:pPr>
              <w:autoSpaceDE w:val="0"/>
              <w:autoSpaceDN w:val="0"/>
              <w:snapToGrid w:val="0"/>
              <w:spacing w:line="360" w:lineRule="auto"/>
              <w:textAlignment w:val="bottom"/>
              <w:rPr>
                <w:rFonts w:ascii="宋体" w:hAnsi="宋体"/>
                <w:color w:val="auto"/>
                <w:szCs w:val="21"/>
              </w:rPr>
            </w:pPr>
            <w:r>
              <w:rPr>
                <w:rFonts w:hint="eastAsia" w:ascii="宋体" w:hAnsi="宋体"/>
                <w:color w:val="auto"/>
                <w:szCs w:val="21"/>
              </w:rPr>
              <w:t>☑</w:t>
            </w:r>
            <w:r>
              <w:rPr>
                <w:rFonts w:hint="eastAsia" w:ascii="宋体" w:hAnsi="宋体" w:cs="宋体"/>
                <w:b/>
                <w:color w:val="auto"/>
                <w:szCs w:val="21"/>
              </w:rPr>
              <w:t>依次按投标报价低的优先、技术评分高的优先、商务评分高的优先的顺序确定；</w:t>
            </w:r>
          </w:p>
          <w:p w14:paraId="7558CDBA">
            <w:pPr>
              <w:snapToGrid w:val="0"/>
              <w:spacing w:line="360" w:lineRule="auto"/>
              <w:rPr>
                <w:rFonts w:ascii="宋体" w:hAnsi="宋体"/>
                <w:b/>
                <w:color w:val="auto"/>
                <w:szCs w:val="21"/>
              </w:rPr>
            </w:pPr>
            <w:r>
              <w:rPr>
                <w:rFonts w:hint="eastAsia" w:ascii="宋体" w:hAnsi="宋体"/>
                <w:color w:val="auto"/>
                <w:szCs w:val="21"/>
              </w:rPr>
              <w:t>□随机抽取</w:t>
            </w:r>
          </w:p>
        </w:tc>
      </w:tr>
      <w:tr w14:paraId="344BDE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68" w:type="dxa"/>
            <w:tcBorders>
              <w:top w:val="single" w:color="auto" w:sz="4" w:space="0"/>
              <w:left w:val="single" w:color="auto" w:sz="4" w:space="0"/>
              <w:bottom w:val="single" w:color="auto" w:sz="4" w:space="0"/>
              <w:right w:val="single" w:color="auto" w:sz="4" w:space="0"/>
            </w:tcBorders>
            <w:vAlign w:val="center"/>
          </w:tcPr>
          <w:p w14:paraId="602FB0FD">
            <w:pPr>
              <w:spacing w:line="360" w:lineRule="auto"/>
              <w:rPr>
                <w:rFonts w:ascii="宋体" w:hAnsi="宋体"/>
                <w:color w:val="auto"/>
                <w:szCs w:val="21"/>
              </w:rPr>
            </w:pPr>
            <w:bookmarkStart w:id="111" w:name="_39.1"/>
            <w:bookmarkEnd w:id="111"/>
            <w:r>
              <w:rPr>
                <w:rFonts w:hint="eastAsia" w:ascii="宋体" w:hAnsi="宋体"/>
                <w:color w:val="auto"/>
                <w:szCs w:val="21"/>
              </w:rPr>
              <w:t>35</w:t>
            </w:r>
            <w:r>
              <w:rPr>
                <w:rFonts w:ascii="宋体" w:hAnsi="宋体"/>
                <w:color w:val="auto"/>
                <w:szCs w:val="21"/>
              </w:rPr>
              <w:t>.1</w:t>
            </w:r>
          </w:p>
        </w:tc>
        <w:tc>
          <w:tcPr>
            <w:tcW w:w="8597" w:type="dxa"/>
            <w:tcBorders>
              <w:top w:val="single" w:color="auto" w:sz="4" w:space="0"/>
              <w:left w:val="single" w:color="auto" w:sz="4" w:space="0"/>
              <w:bottom w:val="single" w:color="auto" w:sz="4" w:space="0"/>
              <w:right w:val="single" w:color="auto" w:sz="4" w:space="0"/>
            </w:tcBorders>
            <w:vAlign w:val="center"/>
          </w:tcPr>
          <w:p w14:paraId="6F39EBCC">
            <w:pPr>
              <w:autoSpaceDE w:val="0"/>
              <w:autoSpaceDN w:val="0"/>
              <w:snapToGrid w:val="0"/>
              <w:spacing w:line="400" w:lineRule="exact"/>
              <w:textAlignment w:val="bottom"/>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本项目不收取履约保证金。</w:t>
            </w:r>
          </w:p>
          <w:p w14:paraId="71851D99">
            <w:pPr>
              <w:autoSpaceDE w:val="0"/>
              <w:autoSpaceDN w:val="0"/>
              <w:snapToGrid w:val="0"/>
              <w:spacing w:line="400" w:lineRule="exact"/>
              <w:textAlignment w:val="bottom"/>
              <w:rPr>
                <w:rFonts w:ascii="宋体" w:hAnsi="宋体"/>
                <w:color w:val="auto"/>
                <w:szCs w:val="21"/>
              </w:rPr>
            </w:pPr>
            <w:r>
              <w:rPr>
                <w:rFonts w:hint="eastAsia" w:ascii="MS Mincho" w:hAnsi="MS Mincho" w:cs="MS Mincho"/>
                <w:color w:val="auto"/>
                <w:szCs w:val="21"/>
                <w:lang w:eastAsia="zh-CN"/>
              </w:rPr>
              <w:t>□</w:t>
            </w:r>
            <w:r>
              <w:rPr>
                <w:rFonts w:hint="eastAsia" w:ascii="宋体" w:hAnsi="宋体"/>
                <w:color w:val="auto"/>
                <w:szCs w:val="21"/>
              </w:rPr>
              <w:t>本项目收取履约保证金，具体规定如下：</w:t>
            </w:r>
          </w:p>
          <w:p w14:paraId="53CFA0CA">
            <w:pPr>
              <w:pStyle w:val="10"/>
              <w:spacing w:after="120" w:line="400" w:lineRule="exact"/>
              <w:rPr>
                <w:rFonts w:ascii="宋体" w:hAnsi="宋体"/>
                <w:color w:val="auto"/>
                <w:szCs w:val="21"/>
              </w:rPr>
            </w:pPr>
            <w:r>
              <w:rPr>
                <w:rFonts w:hint="eastAsia" w:ascii="宋体" w:hAnsi="宋体"/>
                <w:color w:val="auto"/>
                <w:szCs w:val="21"/>
              </w:rPr>
              <w:t>履约保证金金额：</w:t>
            </w:r>
            <w:r>
              <w:rPr>
                <w:rFonts w:hint="eastAsia" w:ascii="宋体" w:hAnsi="宋体" w:cs="宋体"/>
                <w:color w:val="auto"/>
                <w:szCs w:val="21"/>
              </w:rPr>
              <w:t>中标人在中标通知书发出后25日内且必须在签订合同前向采购人以银行转账、支票、汇票、本票或者银行、保险机构出具的保函等非现金方式一次性缴纳中标金额的5%（中标人为中小微企业时为中标金额的2%）作为履约保证金。</w:t>
            </w:r>
          </w:p>
          <w:p w14:paraId="655A4129">
            <w:pPr>
              <w:autoSpaceDE w:val="0"/>
              <w:autoSpaceDN w:val="0"/>
              <w:snapToGrid w:val="0"/>
              <w:spacing w:line="400" w:lineRule="exact"/>
              <w:textAlignment w:val="bottom"/>
              <w:rPr>
                <w:rFonts w:ascii="宋体" w:hAnsi="宋体"/>
                <w:color w:val="auto"/>
                <w:szCs w:val="21"/>
              </w:rPr>
            </w:pPr>
            <w:r>
              <w:rPr>
                <w:rFonts w:hint="eastAsia" w:ascii="宋体" w:hAnsi="宋体"/>
                <w:color w:val="auto"/>
                <w:szCs w:val="21"/>
              </w:rPr>
              <w:t>履约保证金退付方式：（1）履约保证金待履行完合同约定的权利义务事项后（中标人承诺质保期满）且不存在争议的，采购人在5个工作日内无息返还履约保证金。由招标人凭《广西壮族自治区政府采购项目合同验收书》（详见桂财采〔2015〕22号）向采购人申请办理履约保证金退还手续。</w:t>
            </w:r>
          </w:p>
          <w:p w14:paraId="01EDF2C8">
            <w:pPr>
              <w:autoSpaceDE w:val="0"/>
              <w:autoSpaceDN w:val="0"/>
              <w:snapToGrid w:val="0"/>
              <w:spacing w:line="400" w:lineRule="exact"/>
              <w:textAlignment w:val="bottom"/>
              <w:rPr>
                <w:rFonts w:ascii="宋体" w:hAnsi="宋体"/>
                <w:color w:val="auto"/>
                <w:szCs w:val="21"/>
              </w:rPr>
            </w:pPr>
            <w:r>
              <w:rPr>
                <w:rFonts w:hint="eastAsia" w:ascii="宋体" w:hAnsi="宋体"/>
                <w:color w:val="auto"/>
                <w:szCs w:val="21"/>
              </w:rPr>
              <w:t>（2）在履约保证金退还日期前，若成交供应商的开户名称、开户银行、账号有变动的，请以书面形式通知履约保证金收取单位，否则由此产生的后果由成交供应商自负。</w:t>
            </w:r>
          </w:p>
          <w:p w14:paraId="1F137418">
            <w:pPr>
              <w:autoSpaceDE w:val="0"/>
              <w:autoSpaceDN w:val="0"/>
              <w:snapToGrid w:val="0"/>
              <w:spacing w:line="400" w:lineRule="exact"/>
              <w:textAlignment w:val="bottom"/>
              <w:rPr>
                <w:rFonts w:ascii="宋体" w:hAnsi="宋体"/>
                <w:color w:val="auto"/>
                <w:szCs w:val="21"/>
              </w:rPr>
            </w:pPr>
            <w:r>
              <w:rPr>
                <w:rFonts w:hint="eastAsia" w:ascii="宋体" w:hAnsi="宋体"/>
                <w:color w:val="auto"/>
                <w:szCs w:val="21"/>
              </w:rPr>
              <w:t>（3）成交供应商在签订合同后存在违约情形的，履约保证金不予退还。履约保证金不足以赔偿损失的，按实际损失赔偿。</w:t>
            </w:r>
          </w:p>
          <w:p w14:paraId="1D6E1873">
            <w:pPr>
              <w:autoSpaceDE w:val="0"/>
              <w:autoSpaceDN w:val="0"/>
              <w:snapToGrid w:val="0"/>
              <w:spacing w:line="360" w:lineRule="exact"/>
              <w:textAlignment w:val="bottom"/>
              <w:rPr>
                <w:rFonts w:ascii="宋体"/>
                <w:color w:val="auto"/>
              </w:rPr>
            </w:pPr>
            <w:r>
              <w:rPr>
                <w:rFonts w:hint="eastAsia" w:ascii="宋体" w:hAnsi="宋体" w:cs="宋体"/>
                <w:color w:val="auto"/>
                <w:kern w:val="0"/>
                <w:szCs w:val="21"/>
              </w:rPr>
              <w:t>履约保证金指定</w:t>
            </w:r>
            <w:r>
              <w:rPr>
                <w:rFonts w:hint="eastAsia" w:ascii="宋体" w:hAnsi="宋体" w:cs="宋体"/>
                <w:color w:val="auto"/>
              </w:rPr>
              <w:t>账户：</w:t>
            </w:r>
          </w:p>
          <w:p w14:paraId="4DF070AC">
            <w:pPr>
              <w:spacing w:line="400" w:lineRule="exact"/>
              <w:jc w:val="left"/>
              <w:rPr>
                <w:rFonts w:hint="eastAsia" w:ascii="宋体" w:hAnsi="宋体" w:eastAsia="宋体" w:cs="宋体"/>
                <w:color w:val="auto"/>
                <w:lang w:eastAsia="zh-CN"/>
              </w:rPr>
            </w:pPr>
            <w:r>
              <w:rPr>
                <w:rFonts w:hint="eastAsia" w:ascii="宋体" w:hAnsi="宋体" w:cs="宋体"/>
                <w:color w:val="auto"/>
              </w:rPr>
              <w:t>开户名称：</w:t>
            </w:r>
            <w:r>
              <w:rPr>
                <w:rFonts w:hint="eastAsia" w:ascii="宋体" w:hAnsi="宋体" w:cs="宋体"/>
                <w:color w:val="auto"/>
                <w:lang w:val="en-US" w:eastAsia="zh-CN"/>
              </w:rPr>
              <w:t>/</w:t>
            </w:r>
          </w:p>
          <w:p w14:paraId="096B8D2A">
            <w:pPr>
              <w:spacing w:line="400" w:lineRule="exact"/>
              <w:jc w:val="left"/>
              <w:rPr>
                <w:rFonts w:hint="eastAsia" w:ascii="宋体" w:hAnsi="宋体" w:eastAsia="宋体" w:cs="宋体"/>
                <w:color w:val="auto"/>
                <w:lang w:eastAsia="zh-CN"/>
              </w:rPr>
            </w:pPr>
            <w:r>
              <w:rPr>
                <w:rFonts w:hint="eastAsia" w:ascii="宋体" w:hAnsi="宋体" w:cs="宋体"/>
                <w:color w:val="auto"/>
              </w:rPr>
              <w:t>开户银行：</w:t>
            </w:r>
            <w:r>
              <w:rPr>
                <w:rFonts w:hint="eastAsia" w:ascii="宋体" w:hAnsi="宋体" w:cs="宋体"/>
                <w:color w:val="auto"/>
                <w:lang w:val="en-US" w:eastAsia="zh-CN"/>
              </w:rPr>
              <w:t>/</w:t>
            </w:r>
          </w:p>
          <w:p w14:paraId="4CB0DAED">
            <w:pPr>
              <w:spacing w:line="400" w:lineRule="exact"/>
              <w:jc w:val="left"/>
              <w:rPr>
                <w:rFonts w:hint="eastAsia" w:ascii="宋体" w:hAnsi="宋体" w:eastAsia="宋体" w:cs="宋体"/>
                <w:color w:val="auto"/>
                <w:lang w:eastAsia="zh-CN"/>
              </w:rPr>
            </w:pPr>
            <w:r>
              <w:rPr>
                <w:rFonts w:hint="eastAsia" w:ascii="宋体" w:hAnsi="宋体" w:cs="宋体"/>
                <w:color w:val="auto"/>
              </w:rPr>
              <w:t>银行账号：</w:t>
            </w:r>
            <w:r>
              <w:rPr>
                <w:rFonts w:hint="eastAsia" w:ascii="宋体" w:hAnsi="宋体" w:cs="宋体"/>
                <w:color w:val="auto"/>
                <w:lang w:val="en-US" w:eastAsia="zh-CN"/>
              </w:rPr>
              <w:t>/</w:t>
            </w:r>
          </w:p>
          <w:p w14:paraId="035DE1B4">
            <w:pPr>
              <w:spacing w:line="400" w:lineRule="exact"/>
              <w:jc w:val="left"/>
              <w:rPr>
                <w:rFonts w:ascii="宋体" w:hAnsi="宋体" w:cs="Courier New"/>
                <w:color w:val="auto"/>
                <w:szCs w:val="21"/>
              </w:rPr>
            </w:pPr>
            <w:r>
              <w:rPr>
                <w:rFonts w:ascii="宋体" w:hAnsi="宋体" w:cs="Courier New"/>
                <w:color w:val="auto"/>
                <w:szCs w:val="21"/>
              </w:rPr>
              <w:t>备注：</w:t>
            </w:r>
          </w:p>
          <w:p w14:paraId="490A50C7">
            <w:pPr>
              <w:spacing w:line="400" w:lineRule="exact"/>
              <w:jc w:val="left"/>
              <w:rPr>
                <w:rFonts w:ascii="宋体" w:hAnsi="宋体"/>
                <w:b/>
                <w:color w:val="auto"/>
                <w:szCs w:val="21"/>
              </w:rPr>
            </w:pPr>
            <w:r>
              <w:rPr>
                <w:rFonts w:ascii="宋体" w:hAnsi="宋体"/>
                <w:b/>
                <w:color w:val="auto"/>
                <w:szCs w:val="21"/>
              </w:rPr>
              <w:t>1.</w:t>
            </w:r>
            <w:r>
              <w:rPr>
                <w:rFonts w:hint="eastAsia" w:ascii="宋体" w:hAnsi="宋体"/>
                <w:b/>
                <w:color w:val="auto"/>
                <w:szCs w:val="21"/>
              </w:rPr>
              <w:t>根据《广西壮族自治区财政厅关于进一步发挥政府采购政策功能促进企业发展的通知》（桂财采〔2022〕30号）规定，对中小企业收取的履约保证金数额不得超过政府采购合同金额的2%。采购人可根据供应商的资信等情况减免履约保证金。</w:t>
            </w:r>
          </w:p>
          <w:p w14:paraId="3C81F601">
            <w:pPr>
              <w:spacing w:line="400" w:lineRule="exact"/>
              <w:jc w:val="left"/>
              <w:rPr>
                <w:rFonts w:ascii="宋体" w:hAnsi="宋体"/>
                <w:b/>
                <w:color w:val="auto"/>
                <w:szCs w:val="21"/>
              </w:rPr>
            </w:pPr>
            <w:r>
              <w:rPr>
                <w:rFonts w:ascii="宋体" w:hAnsi="宋体"/>
                <w:b/>
                <w:color w:val="auto"/>
                <w:szCs w:val="21"/>
              </w:rPr>
              <w:t>2.</w:t>
            </w:r>
            <w:r>
              <w:rPr>
                <w:rFonts w:hint="eastAsia" w:ascii="宋体" w:hAnsi="宋体"/>
                <w:b/>
                <w:color w:val="auto"/>
                <w:szCs w:val="21"/>
              </w:rPr>
              <w:t>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253A2E95">
            <w:pPr>
              <w:spacing w:line="400" w:lineRule="exact"/>
              <w:jc w:val="left"/>
              <w:rPr>
                <w:color w:val="auto"/>
              </w:rPr>
            </w:pPr>
            <w:r>
              <w:rPr>
                <w:rFonts w:ascii="宋体" w:hAnsi="宋体"/>
                <w:b/>
                <w:color w:val="auto"/>
                <w:szCs w:val="21"/>
              </w:rPr>
              <w:t>3.采用银行、保险机构出具的保函的，必须为无条件保函，否则不予签订合同。</w:t>
            </w:r>
          </w:p>
        </w:tc>
      </w:tr>
      <w:tr w14:paraId="59287B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4A49219C">
            <w:pPr>
              <w:spacing w:line="360" w:lineRule="auto"/>
              <w:rPr>
                <w:rFonts w:ascii="宋体" w:hAnsi="宋体"/>
                <w:color w:val="auto"/>
                <w:szCs w:val="21"/>
              </w:rPr>
            </w:pPr>
            <w:bookmarkStart w:id="112" w:name="_40.1"/>
            <w:bookmarkEnd w:id="112"/>
            <w:r>
              <w:rPr>
                <w:rFonts w:hint="eastAsia" w:ascii="宋体" w:hAnsi="宋体"/>
                <w:color w:val="auto"/>
                <w:szCs w:val="21"/>
              </w:rPr>
              <w:t>36.1</w:t>
            </w:r>
          </w:p>
        </w:tc>
        <w:tc>
          <w:tcPr>
            <w:tcW w:w="8597" w:type="dxa"/>
            <w:tcBorders>
              <w:top w:val="single" w:color="auto" w:sz="4" w:space="0"/>
              <w:left w:val="single" w:color="auto" w:sz="4" w:space="0"/>
              <w:bottom w:val="single" w:color="auto" w:sz="4" w:space="0"/>
              <w:right w:val="single" w:color="auto" w:sz="4" w:space="0"/>
            </w:tcBorders>
            <w:vAlign w:val="center"/>
          </w:tcPr>
          <w:p w14:paraId="13E09DF6">
            <w:pPr>
              <w:autoSpaceDE w:val="0"/>
              <w:autoSpaceDN w:val="0"/>
              <w:snapToGrid w:val="0"/>
              <w:spacing w:line="360" w:lineRule="auto"/>
              <w:textAlignment w:val="bottom"/>
              <w:rPr>
                <w:rFonts w:ascii="宋体" w:hAnsi="宋体"/>
                <w:color w:val="auto"/>
                <w:szCs w:val="21"/>
              </w:rPr>
            </w:pPr>
            <w:r>
              <w:rPr>
                <w:rFonts w:hint="eastAsia" w:ascii="宋体" w:hAnsi="宋体"/>
                <w:color w:val="auto"/>
                <w:szCs w:val="21"/>
              </w:rPr>
              <w:t xml:space="preserve">签订合同携带的证明材料： </w:t>
            </w:r>
          </w:p>
          <w:p w14:paraId="2A644341">
            <w:pPr>
              <w:autoSpaceDE w:val="0"/>
              <w:autoSpaceDN w:val="0"/>
              <w:snapToGrid w:val="0"/>
              <w:spacing w:line="360" w:lineRule="auto"/>
              <w:textAlignment w:val="bottom"/>
              <w:rPr>
                <w:rFonts w:ascii="宋体" w:hAnsi="宋体"/>
                <w:color w:val="auto"/>
                <w:szCs w:val="21"/>
              </w:rPr>
            </w:pPr>
            <w:r>
              <w:rPr>
                <w:rFonts w:hint="eastAsia" w:ascii="宋体" w:hAnsi="宋体"/>
                <w:color w:val="auto"/>
                <w:szCs w:val="21"/>
              </w:rPr>
              <w:t>委托代理人负责签订合同的，须携带授权委托书及委托代理人身份证原件等其他资格证件。</w:t>
            </w:r>
          </w:p>
          <w:p w14:paraId="2F9D42F8">
            <w:pPr>
              <w:autoSpaceDE w:val="0"/>
              <w:autoSpaceDN w:val="0"/>
              <w:snapToGrid w:val="0"/>
              <w:spacing w:line="360" w:lineRule="auto"/>
              <w:textAlignment w:val="bottom"/>
              <w:rPr>
                <w:rFonts w:ascii="宋体" w:hAnsi="宋体"/>
                <w:color w:val="auto"/>
                <w:szCs w:val="21"/>
              </w:rPr>
            </w:pPr>
            <w:r>
              <w:rPr>
                <w:rFonts w:hint="eastAsia" w:ascii="宋体" w:hAnsi="宋体"/>
                <w:color w:val="auto"/>
                <w:szCs w:val="21"/>
              </w:rPr>
              <w:t>法定代表人负责签订合同的，须携带法定代表人身份证明原件及身份证原件等其他证明材料。</w:t>
            </w:r>
          </w:p>
        </w:tc>
      </w:tr>
      <w:tr w14:paraId="395828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24CF214E">
            <w:pPr>
              <w:spacing w:line="360" w:lineRule="auto"/>
              <w:rPr>
                <w:rFonts w:ascii="宋体" w:hAnsi="宋体"/>
                <w:color w:val="auto"/>
                <w:szCs w:val="21"/>
              </w:rPr>
            </w:pPr>
            <w:r>
              <w:rPr>
                <w:rFonts w:hint="eastAsia" w:ascii="宋体" w:hAnsi="宋体"/>
                <w:color w:val="auto"/>
                <w:szCs w:val="21"/>
              </w:rPr>
              <w:t>3</w:t>
            </w:r>
            <w:r>
              <w:rPr>
                <w:rFonts w:ascii="宋体" w:hAnsi="宋体"/>
                <w:color w:val="auto"/>
                <w:szCs w:val="21"/>
              </w:rPr>
              <w:t>8.2</w:t>
            </w:r>
          </w:p>
        </w:tc>
        <w:tc>
          <w:tcPr>
            <w:tcW w:w="8597" w:type="dxa"/>
            <w:tcBorders>
              <w:top w:val="single" w:color="auto" w:sz="4" w:space="0"/>
              <w:left w:val="single" w:color="auto" w:sz="4" w:space="0"/>
              <w:bottom w:val="single" w:color="auto" w:sz="4" w:space="0"/>
              <w:right w:val="single" w:color="auto" w:sz="4" w:space="0"/>
            </w:tcBorders>
            <w:vAlign w:val="center"/>
          </w:tcPr>
          <w:p w14:paraId="2050303C">
            <w:pPr>
              <w:snapToGrid w:val="0"/>
              <w:spacing w:line="360" w:lineRule="auto"/>
              <w:rPr>
                <w:rFonts w:ascii="宋体" w:hAnsi="宋体"/>
                <w:color w:val="auto"/>
                <w:szCs w:val="21"/>
              </w:rPr>
            </w:pPr>
            <w:r>
              <w:rPr>
                <w:rFonts w:hint="eastAsia" w:ascii="宋体" w:hAnsi="宋体"/>
                <w:color w:val="auto"/>
                <w:szCs w:val="21"/>
              </w:rPr>
              <w:t>接收质疑函方式：以书面形式</w:t>
            </w:r>
          </w:p>
          <w:p w14:paraId="7744AC32">
            <w:pPr>
              <w:snapToGrid w:val="0"/>
              <w:spacing w:line="360" w:lineRule="auto"/>
              <w:rPr>
                <w:rFonts w:ascii="宋体" w:hAnsi="宋体"/>
                <w:color w:val="auto"/>
                <w:szCs w:val="21"/>
              </w:rPr>
            </w:pPr>
            <w:r>
              <w:rPr>
                <w:rFonts w:hint="eastAsia" w:ascii="宋体" w:hAnsi="宋体"/>
                <w:color w:val="auto"/>
                <w:szCs w:val="21"/>
              </w:rPr>
              <w:t>质疑联系部门及联系方式：</w:t>
            </w:r>
            <w:r>
              <w:rPr>
                <w:rFonts w:hint="eastAsia" w:ascii="宋体" w:hAnsi="宋体"/>
                <w:color w:val="auto"/>
                <w:szCs w:val="21"/>
                <w:u w:val="single"/>
              </w:rPr>
              <w:t xml:space="preserve"> 建银工程咨询有限责任公司</w:t>
            </w:r>
            <w:r>
              <w:rPr>
                <w:rFonts w:hint="eastAsia" w:ascii="宋体" w:hAnsi="宋体"/>
                <w:color w:val="auto"/>
                <w:szCs w:val="21"/>
              </w:rPr>
              <w:t>，</w:t>
            </w:r>
          </w:p>
          <w:p w14:paraId="0D6007B9">
            <w:pPr>
              <w:snapToGrid w:val="0"/>
              <w:spacing w:line="360" w:lineRule="auto"/>
              <w:rPr>
                <w:rFonts w:ascii="宋体" w:hAnsi="宋体"/>
                <w:color w:val="auto"/>
                <w:szCs w:val="21"/>
              </w:rPr>
            </w:pPr>
            <w:r>
              <w:rPr>
                <w:rFonts w:ascii="宋体" w:hAnsi="宋体"/>
                <w:color w:val="auto"/>
                <w:szCs w:val="21"/>
              </w:rPr>
              <w:t>联系电话</w:t>
            </w:r>
            <w:r>
              <w:rPr>
                <w:rFonts w:hint="eastAsia" w:ascii="宋体" w:hAnsi="宋体"/>
                <w:color w:val="auto"/>
                <w:szCs w:val="21"/>
              </w:rPr>
              <w:t>：</w:t>
            </w:r>
            <w:r>
              <w:rPr>
                <w:rFonts w:hint="eastAsia" w:ascii="宋体" w:hAnsi="宋体" w:cs="宋体"/>
                <w:color w:val="auto"/>
                <w:szCs w:val="21"/>
                <w:u w:val="single"/>
              </w:rPr>
              <w:t>0773-2834827</w:t>
            </w:r>
            <w:r>
              <w:rPr>
                <w:rFonts w:hint="eastAsia" w:ascii="宋体" w:hAnsi="宋体"/>
                <w:color w:val="auto"/>
                <w:szCs w:val="21"/>
              </w:rPr>
              <w:t>，</w:t>
            </w:r>
          </w:p>
          <w:p w14:paraId="159FBCC5">
            <w:pPr>
              <w:snapToGrid w:val="0"/>
              <w:spacing w:line="360" w:lineRule="auto"/>
              <w:rPr>
                <w:rFonts w:ascii="宋体" w:hAnsi="宋体"/>
                <w:color w:val="auto"/>
                <w:szCs w:val="21"/>
              </w:rPr>
            </w:pPr>
            <w:r>
              <w:rPr>
                <w:rFonts w:ascii="宋体" w:hAnsi="宋体"/>
                <w:color w:val="auto"/>
                <w:szCs w:val="21"/>
              </w:rPr>
              <w:t>通讯地址</w:t>
            </w:r>
            <w:r>
              <w:rPr>
                <w:rFonts w:hint="eastAsia" w:ascii="宋体" w:hAnsi="宋体" w:cs="Helvetica"/>
                <w:color w:val="auto"/>
                <w:szCs w:val="21"/>
              </w:rPr>
              <w:t>：</w:t>
            </w:r>
            <w:r>
              <w:rPr>
                <w:rFonts w:hint="eastAsia" w:ascii="宋体" w:hAnsi="宋体" w:cs="Helvetica"/>
                <w:color w:val="auto"/>
                <w:szCs w:val="21"/>
                <w:u w:val="single"/>
              </w:rPr>
              <w:t>桂林市解放西路3-5号五楼</w:t>
            </w:r>
          </w:p>
          <w:p w14:paraId="02E6A1B1">
            <w:pPr>
              <w:autoSpaceDE w:val="0"/>
              <w:autoSpaceDN w:val="0"/>
              <w:snapToGrid w:val="0"/>
              <w:spacing w:line="360" w:lineRule="auto"/>
              <w:textAlignment w:val="bottom"/>
              <w:rPr>
                <w:rFonts w:ascii="宋体" w:hAnsi="宋体"/>
                <w:color w:val="auto"/>
                <w:szCs w:val="21"/>
              </w:rPr>
            </w:pPr>
            <w:r>
              <w:rPr>
                <w:rFonts w:hint="eastAsia" w:hAnsi="宋体"/>
                <w:color w:val="auto"/>
              </w:rPr>
              <w:t>现场提交质疑办理业务时间：每天9时00分到12时00分，15时00分到17时30分，业务时间以外、双休日和法定节假日不办理业务。</w:t>
            </w:r>
          </w:p>
        </w:tc>
      </w:tr>
      <w:tr w14:paraId="13CBEE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44A23EE4">
            <w:pPr>
              <w:spacing w:line="360" w:lineRule="auto"/>
              <w:rPr>
                <w:rFonts w:ascii="宋体" w:hAnsi="宋体"/>
                <w:color w:val="auto"/>
                <w:szCs w:val="21"/>
              </w:rPr>
            </w:pPr>
            <w:bookmarkStart w:id="113" w:name="_41"/>
            <w:bookmarkEnd w:id="113"/>
            <w:bookmarkStart w:id="114" w:name="_42"/>
            <w:bookmarkEnd w:id="114"/>
            <w:r>
              <w:rPr>
                <w:rFonts w:hint="eastAsia" w:ascii="宋体" w:hAnsi="宋体"/>
                <w:color w:val="auto"/>
                <w:szCs w:val="21"/>
              </w:rPr>
              <w:t>40</w:t>
            </w:r>
            <w:r>
              <w:rPr>
                <w:rFonts w:ascii="宋体" w:hAnsi="宋体"/>
                <w:color w:val="auto"/>
                <w:szCs w:val="21"/>
              </w:rPr>
              <w:t>.1</w:t>
            </w:r>
          </w:p>
        </w:tc>
        <w:tc>
          <w:tcPr>
            <w:tcW w:w="8597" w:type="dxa"/>
            <w:tcBorders>
              <w:top w:val="single" w:color="auto" w:sz="4" w:space="0"/>
              <w:left w:val="single" w:color="auto" w:sz="4" w:space="0"/>
              <w:bottom w:val="single" w:color="auto" w:sz="4" w:space="0"/>
              <w:right w:val="single" w:color="auto" w:sz="4" w:space="0"/>
            </w:tcBorders>
            <w:vAlign w:val="center"/>
          </w:tcPr>
          <w:p w14:paraId="6D6DC0D1">
            <w:pPr>
              <w:pStyle w:val="14"/>
              <w:snapToGrid w:val="0"/>
              <w:spacing w:line="360" w:lineRule="auto"/>
              <w:rPr>
                <w:rFonts w:hAnsi="宋体" w:cs="宋体"/>
                <w:color w:val="auto"/>
                <w:sz w:val="21"/>
              </w:rPr>
            </w:pPr>
            <w:r>
              <w:rPr>
                <w:rFonts w:hint="eastAsia" w:hAnsi="宋体" w:cs="宋体"/>
                <w:color w:val="auto"/>
                <w:sz w:val="21"/>
              </w:rPr>
              <w:t>1.采购代理费支付方式：</w:t>
            </w:r>
          </w:p>
          <w:p w14:paraId="0CF15790">
            <w:pPr>
              <w:pStyle w:val="14"/>
              <w:snapToGrid w:val="0"/>
              <w:spacing w:line="360" w:lineRule="auto"/>
              <w:rPr>
                <w:rFonts w:hAnsi="宋体" w:cs="宋体"/>
                <w:color w:val="auto"/>
                <w:sz w:val="21"/>
              </w:rPr>
            </w:pPr>
            <w:r>
              <w:rPr>
                <w:rFonts w:hint="eastAsia" w:hAnsi="宋体" w:cs="宋体"/>
                <w:color w:val="auto"/>
                <w:sz w:val="21"/>
              </w:rPr>
              <w:t>☑本项目代理服务费由</w:t>
            </w:r>
            <w:r>
              <w:rPr>
                <w:rFonts w:hint="eastAsia" w:hAnsi="宋体" w:cs="宋体"/>
                <w:color w:val="auto"/>
                <w:sz w:val="21"/>
                <w:u w:val="single"/>
              </w:rPr>
              <w:t>中标人</w:t>
            </w:r>
            <w:r>
              <w:rPr>
                <w:rFonts w:hint="eastAsia" w:hAnsi="宋体" w:cs="宋体"/>
                <w:color w:val="auto"/>
                <w:sz w:val="21"/>
              </w:rPr>
              <w:t>在领取中标通知书前，一次性向采购代理机构支付。</w:t>
            </w:r>
          </w:p>
          <w:p w14:paraId="12459F12">
            <w:pPr>
              <w:pStyle w:val="14"/>
              <w:snapToGrid w:val="0"/>
              <w:spacing w:line="360" w:lineRule="auto"/>
              <w:rPr>
                <w:rFonts w:hAnsi="宋体" w:cs="宋体"/>
                <w:color w:val="auto"/>
                <w:sz w:val="21"/>
              </w:rPr>
            </w:pPr>
            <w:r>
              <w:rPr>
                <w:rFonts w:hint="eastAsia" w:hAnsi="宋体" w:cs="宋体"/>
                <w:color w:val="auto"/>
                <w:sz w:val="21"/>
              </w:rPr>
              <w:t>□采购人支付。</w:t>
            </w:r>
          </w:p>
          <w:p w14:paraId="1695A989">
            <w:pPr>
              <w:pStyle w:val="14"/>
              <w:snapToGrid w:val="0"/>
              <w:spacing w:line="360" w:lineRule="auto"/>
              <w:rPr>
                <w:rFonts w:hAnsi="宋体" w:cs="宋体"/>
                <w:color w:val="auto"/>
                <w:sz w:val="21"/>
              </w:rPr>
            </w:pPr>
            <w:r>
              <w:rPr>
                <w:rFonts w:hint="eastAsia" w:hAnsi="宋体" w:cs="宋体"/>
                <w:color w:val="auto"/>
                <w:sz w:val="21"/>
              </w:rPr>
              <w:t>2.采购代理费收取标准：</w:t>
            </w:r>
          </w:p>
          <w:p w14:paraId="74466E7A">
            <w:pPr>
              <w:pStyle w:val="14"/>
              <w:snapToGrid w:val="0"/>
              <w:spacing w:line="360" w:lineRule="auto"/>
              <w:rPr>
                <w:rFonts w:hAnsi="宋体" w:cs="宋体"/>
                <w:color w:val="auto"/>
                <w:sz w:val="21"/>
              </w:rPr>
            </w:pPr>
            <w:r>
              <w:rPr>
                <w:rFonts w:hint="eastAsia" w:hAnsi="宋体" w:cs="宋体"/>
                <w:color w:val="auto"/>
                <w:sz w:val="21"/>
              </w:rPr>
              <w:t>☑以（☑中标金额/□采购预算/</w:t>
            </w:r>
            <w:r>
              <w:rPr>
                <w:rFonts w:hint="eastAsia" w:hAnsi="宋体" w:cs="宋体"/>
                <w:color w:val="auto"/>
                <w:sz w:val="21"/>
                <w:lang w:eastAsia="zh-CN"/>
              </w:rPr>
              <w:t>□</w:t>
            </w:r>
            <w:r>
              <w:rPr>
                <w:rFonts w:hint="eastAsia" w:hAnsi="宋体" w:cs="宋体"/>
                <w:color w:val="auto"/>
                <w:sz w:val="21"/>
              </w:rPr>
              <w:t>暂定中标金额/□其他）为计费额，按本须知正文第40.</w:t>
            </w:r>
            <w:r>
              <w:rPr>
                <w:rFonts w:hAnsi="宋体" w:cs="宋体"/>
                <w:color w:val="auto"/>
                <w:sz w:val="21"/>
              </w:rPr>
              <w:t>2</w:t>
            </w:r>
            <w:r>
              <w:rPr>
                <w:rFonts w:hint="eastAsia" w:hAnsi="宋体" w:cs="宋体"/>
                <w:color w:val="auto"/>
                <w:sz w:val="21"/>
              </w:rPr>
              <w:t>条规定的收费计算标准（</w:t>
            </w:r>
            <w:r>
              <w:rPr>
                <w:rFonts w:hint="eastAsia" w:hAnsi="宋体" w:cs="宋体"/>
                <w:color w:val="auto"/>
                <w:sz w:val="21"/>
                <w:lang w:eastAsia="zh-CN"/>
              </w:rPr>
              <w:t>□</w:t>
            </w:r>
            <w:r>
              <w:rPr>
                <w:rFonts w:hint="eastAsia" w:hAnsi="宋体" w:cs="宋体"/>
                <w:color w:val="auto"/>
                <w:sz w:val="21"/>
              </w:rPr>
              <w:t>货物招标/</w:t>
            </w:r>
            <w:r>
              <w:rPr>
                <w:rFonts w:hint="eastAsia" w:hAnsi="宋体" w:cs="宋体"/>
                <w:color w:val="auto"/>
                <w:sz w:val="21"/>
                <w:lang w:eastAsia="zh-CN"/>
              </w:rPr>
              <w:t>☑</w:t>
            </w:r>
            <w:r>
              <w:rPr>
                <w:rFonts w:hint="eastAsia" w:hAnsi="宋体" w:cs="宋体"/>
                <w:color w:val="auto"/>
                <w:sz w:val="21"/>
              </w:rPr>
              <w:t>服务招标/□工程招标）按照原国家计委关于《招标代理服务收费管理暂行办法》的通知（计价格〔2002〕1980号）、《国家发展改革委办公厅关于招标代理服务收费有关问题的通知》（发改办价格［2003］857号）以及《国家发展改革委关于降低部分建设项目收费标准规范收费行为等有关问题的通知》（发改价格〔2011〕534号）规定的 60 % ，（不足伍仟，按伍仟收取）（□收费基准价格</w:t>
            </w:r>
            <w:r>
              <w:rPr>
                <w:rFonts w:hint="eastAsia" w:hAnsi="宋体" w:cs="宋体"/>
                <w:color w:val="auto"/>
                <w:sz w:val="21"/>
                <w:u w:val="single"/>
              </w:rPr>
              <w:t xml:space="preserve">   %</w:t>
            </w:r>
            <w:r>
              <w:rPr>
                <w:rFonts w:hint="eastAsia" w:hAnsi="宋体" w:cs="宋体"/>
                <w:color w:val="auto"/>
                <w:sz w:val="21"/>
              </w:rPr>
              <w:t>/☑收费基准价格下浮</w:t>
            </w:r>
            <w:r>
              <w:rPr>
                <w:rFonts w:hint="eastAsia" w:hAnsi="宋体" w:cs="宋体"/>
                <w:color w:val="auto"/>
                <w:sz w:val="21"/>
                <w:u w:val="single"/>
              </w:rPr>
              <w:t xml:space="preserve"> 40%</w:t>
            </w:r>
            <w:r>
              <w:rPr>
                <w:rFonts w:hAnsi="宋体" w:cs="宋体"/>
                <w:color w:val="auto"/>
                <w:sz w:val="21"/>
              </w:rPr>
              <w:t>/</w:t>
            </w:r>
            <w:r>
              <w:rPr>
                <w:rFonts w:hint="eastAsia" w:hAnsi="宋体" w:cs="宋体"/>
                <w:color w:val="auto"/>
                <w:sz w:val="21"/>
              </w:rPr>
              <w:t>□收费基准价格上浮</w:t>
            </w:r>
            <w:r>
              <w:rPr>
                <w:rFonts w:hint="eastAsia" w:hAnsi="宋体" w:cs="宋体"/>
                <w:color w:val="auto"/>
                <w:sz w:val="21"/>
                <w:u w:val="single"/>
                <w:lang w:val="en-US" w:eastAsia="zh-CN"/>
              </w:rPr>
              <w:t xml:space="preserve">  </w:t>
            </w:r>
            <w:r>
              <w:rPr>
                <w:rFonts w:hint="eastAsia" w:hAnsi="宋体" w:cs="宋体"/>
                <w:color w:val="auto"/>
                <w:sz w:val="21"/>
                <w:u w:val="single"/>
              </w:rPr>
              <w:t>%</w:t>
            </w:r>
            <w:r>
              <w:rPr>
                <w:rFonts w:hint="eastAsia" w:hAnsi="宋体" w:cs="宋体"/>
                <w:color w:val="auto"/>
                <w:sz w:val="21"/>
              </w:rPr>
              <w:t>）收取。</w:t>
            </w:r>
          </w:p>
          <w:p w14:paraId="74DFE92D">
            <w:pPr>
              <w:pStyle w:val="14"/>
              <w:snapToGrid w:val="0"/>
              <w:spacing w:line="360" w:lineRule="auto"/>
              <w:rPr>
                <w:rFonts w:hAnsi="宋体" w:cs="宋体"/>
                <w:color w:val="auto"/>
                <w:sz w:val="21"/>
                <w:u w:val="single"/>
              </w:rPr>
            </w:pPr>
            <w:r>
              <w:rPr>
                <w:rFonts w:hint="eastAsia" w:hAnsi="宋体" w:cs="宋体"/>
                <w:color w:val="auto"/>
                <w:sz w:val="21"/>
              </w:rPr>
              <w:t>□固定采购代理收费</w:t>
            </w:r>
            <w:r>
              <w:rPr>
                <w:rFonts w:hint="eastAsia" w:hAnsi="宋体" w:cs="宋体"/>
                <w:color w:val="auto"/>
                <w:sz w:val="21"/>
                <w:u w:val="single"/>
              </w:rPr>
              <w:t xml:space="preserve">              。</w:t>
            </w:r>
          </w:p>
          <w:p w14:paraId="1E4D292A">
            <w:pPr>
              <w:pStyle w:val="14"/>
              <w:snapToGrid w:val="0"/>
              <w:spacing w:line="360" w:lineRule="auto"/>
              <w:rPr>
                <w:rFonts w:hAnsi="宋体" w:cs="宋体"/>
                <w:color w:val="auto"/>
                <w:sz w:val="21"/>
              </w:rPr>
            </w:pPr>
            <w:r>
              <w:rPr>
                <w:rFonts w:hint="eastAsia" w:hAnsi="宋体" w:cs="宋体"/>
                <w:color w:val="auto"/>
                <w:sz w:val="21"/>
              </w:rPr>
              <w:t>3</w:t>
            </w:r>
            <w:r>
              <w:rPr>
                <w:rFonts w:hAnsi="宋体" w:cs="宋体"/>
                <w:color w:val="auto"/>
                <w:sz w:val="21"/>
              </w:rPr>
              <w:t>.</w:t>
            </w:r>
            <w:r>
              <w:rPr>
                <w:rFonts w:hint="eastAsia" w:hAnsi="宋体" w:cs="宋体"/>
                <w:color w:val="auto"/>
                <w:sz w:val="21"/>
              </w:rPr>
              <w:t xml:space="preserve">账户名称： </w:t>
            </w:r>
          </w:p>
          <w:p w14:paraId="70FABEFC">
            <w:pPr>
              <w:pStyle w:val="14"/>
              <w:snapToGrid w:val="0"/>
              <w:spacing w:line="360" w:lineRule="auto"/>
              <w:rPr>
                <w:rFonts w:hAnsi="宋体" w:cs="宋体"/>
                <w:color w:val="auto"/>
                <w:sz w:val="21"/>
              </w:rPr>
            </w:pPr>
            <w:r>
              <w:rPr>
                <w:rFonts w:hint="eastAsia" w:hAnsi="宋体" w:cs="宋体"/>
                <w:color w:val="auto"/>
                <w:sz w:val="21"/>
              </w:rPr>
              <w:t>开户名称：建银工程咨询有限责任公司桂林分公司</w:t>
            </w:r>
          </w:p>
          <w:p w14:paraId="2400E5AC">
            <w:pPr>
              <w:pStyle w:val="14"/>
              <w:snapToGrid w:val="0"/>
              <w:spacing w:line="360" w:lineRule="auto"/>
              <w:rPr>
                <w:rFonts w:hAnsi="宋体" w:cs="宋体"/>
                <w:color w:val="auto"/>
                <w:sz w:val="21"/>
              </w:rPr>
            </w:pPr>
            <w:r>
              <w:rPr>
                <w:rFonts w:hint="eastAsia" w:hAnsi="宋体" w:cs="宋体"/>
                <w:color w:val="auto"/>
                <w:sz w:val="21"/>
              </w:rPr>
              <w:t>开户银行：建行桂林分行叠彩支行</w:t>
            </w:r>
          </w:p>
          <w:p w14:paraId="7E34090B">
            <w:pPr>
              <w:pStyle w:val="14"/>
              <w:snapToGrid w:val="0"/>
              <w:spacing w:line="360" w:lineRule="auto"/>
              <w:rPr>
                <w:rFonts w:hAnsi="宋体"/>
                <w:color w:val="auto"/>
                <w:sz w:val="21"/>
              </w:rPr>
            </w:pPr>
            <w:r>
              <w:rPr>
                <w:rFonts w:hint="eastAsia" w:hAnsi="宋体" w:cs="宋体"/>
                <w:color w:val="auto"/>
                <w:sz w:val="21"/>
              </w:rPr>
              <w:t>开户账号：4505 0163 5410 0000 0034</w:t>
            </w:r>
            <w:r>
              <w:rPr>
                <w:rFonts w:hint="eastAsia" w:hAnsi="宋体" w:cs="宋体"/>
                <w:color w:val="auto"/>
                <w:sz w:val="21"/>
              </w:rPr>
              <w:tab/>
            </w:r>
          </w:p>
        </w:tc>
      </w:tr>
      <w:tr w14:paraId="3BC05E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3E26000A">
            <w:pPr>
              <w:snapToGrid w:val="0"/>
              <w:spacing w:line="360" w:lineRule="auto"/>
              <w:jc w:val="center"/>
              <w:rPr>
                <w:rFonts w:ascii="宋体" w:hAnsi="宋体"/>
                <w:color w:val="auto"/>
                <w:szCs w:val="21"/>
              </w:rPr>
            </w:pPr>
            <w:r>
              <w:rPr>
                <w:rFonts w:ascii="宋体" w:hAnsi="宋体"/>
                <w:color w:val="auto"/>
                <w:szCs w:val="21"/>
              </w:rPr>
              <w:t>4</w:t>
            </w:r>
            <w:r>
              <w:rPr>
                <w:rFonts w:hint="eastAsia" w:ascii="宋体" w:hAnsi="宋体"/>
                <w:color w:val="auto"/>
                <w:szCs w:val="21"/>
              </w:rPr>
              <w:t>1</w:t>
            </w:r>
            <w:r>
              <w:rPr>
                <w:rFonts w:ascii="宋体" w:hAnsi="宋体"/>
                <w:color w:val="auto"/>
                <w:szCs w:val="21"/>
              </w:rPr>
              <w:t>.1</w:t>
            </w:r>
          </w:p>
        </w:tc>
        <w:tc>
          <w:tcPr>
            <w:tcW w:w="8597" w:type="dxa"/>
            <w:tcBorders>
              <w:top w:val="single" w:color="auto" w:sz="4" w:space="0"/>
              <w:left w:val="single" w:color="auto" w:sz="4" w:space="0"/>
              <w:bottom w:val="single" w:color="auto" w:sz="4" w:space="0"/>
              <w:right w:val="single" w:color="auto" w:sz="4" w:space="0"/>
            </w:tcBorders>
            <w:vAlign w:val="center"/>
          </w:tcPr>
          <w:p w14:paraId="4B81C117">
            <w:pPr>
              <w:snapToGrid w:val="0"/>
              <w:spacing w:line="460" w:lineRule="exact"/>
              <w:rPr>
                <w:rFonts w:ascii="宋体" w:hAnsi="宋体"/>
                <w:b/>
                <w:color w:val="auto"/>
                <w:szCs w:val="21"/>
              </w:rPr>
            </w:pPr>
            <w:r>
              <w:rPr>
                <w:rFonts w:hint="eastAsia" w:ascii="宋体" w:hAnsi="宋体"/>
                <w:b/>
                <w:color w:val="auto"/>
                <w:szCs w:val="21"/>
              </w:rPr>
              <w:t>解释权：</w:t>
            </w:r>
            <w:r>
              <w:rPr>
                <w:rFonts w:ascii="宋体" w:hAnsi="宋体"/>
                <w:color w:val="auto"/>
                <w:szCs w:val="21"/>
              </w:rPr>
              <w:t>构成本招标文件的各个组成文件应互为解释，互为说明；除招标文件中有特别规定外，仅适用于招标投标阶段的规定，按</w:t>
            </w:r>
            <w:r>
              <w:rPr>
                <w:rFonts w:hint="eastAsia" w:ascii="宋体" w:hAnsi="宋体"/>
                <w:color w:val="auto"/>
                <w:szCs w:val="21"/>
              </w:rPr>
              <w:t>更正公告（澄清公告）</w:t>
            </w:r>
            <w:r>
              <w:rPr>
                <w:rFonts w:ascii="宋体" w:hAnsi="宋体"/>
                <w:color w:val="auto"/>
                <w:szCs w:val="21"/>
              </w:rPr>
              <w:t>、招标公告、</w:t>
            </w:r>
            <w:r>
              <w:rPr>
                <w:rFonts w:hint="eastAsia" w:ascii="宋体" w:hAnsi="宋体"/>
                <w:color w:val="auto"/>
                <w:szCs w:val="21"/>
              </w:rPr>
              <w:t>采购需求、</w:t>
            </w:r>
            <w:r>
              <w:rPr>
                <w:rFonts w:ascii="宋体" w:hAnsi="宋体"/>
                <w:color w:val="auto"/>
                <w:szCs w:val="21"/>
              </w:rPr>
              <w:t>投标人须知、</w:t>
            </w:r>
            <w:r>
              <w:rPr>
                <w:rFonts w:hint="eastAsia" w:ascii="宋体" w:hAnsi="宋体"/>
                <w:color w:val="auto"/>
                <w:szCs w:val="21"/>
              </w:rPr>
              <w:t>评标方法及评标标准</w:t>
            </w:r>
            <w:r>
              <w:rPr>
                <w:rFonts w:ascii="宋体" w:hAnsi="宋体"/>
                <w:color w:val="auto"/>
                <w:szCs w:val="21"/>
              </w:rPr>
              <w:t>、</w:t>
            </w:r>
            <w:r>
              <w:rPr>
                <w:rFonts w:hint="eastAsia" w:ascii="宋体" w:hAnsi="宋体"/>
                <w:color w:val="auto"/>
                <w:szCs w:val="21"/>
              </w:rPr>
              <w:t>拟签订的合同文本、</w:t>
            </w:r>
            <w:r>
              <w:rPr>
                <w:rFonts w:ascii="宋体" w:hAnsi="宋体"/>
                <w:color w:val="auto"/>
                <w:szCs w:val="21"/>
              </w:rPr>
              <w:t>投标文件格式的先后顺序解释；同一组成文件中就同一事项的规定或者约定不一致的，以编排顺序在后者为准；同一组成文件不同版本之间有不一致的，以形成时间在后者为准；</w:t>
            </w:r>
            <w:r>
              <w:rPr>
                <w:rFonts w:hint="eastAsia" w:ascii="宋体" w:hAnsi="宋体"/>
                <w:color w:val="auto"/>
                <w:szCs w:val="21"/>
              </w:rPr>
              <w:t>更正公告（澄清公告）</w:t>
            </w:r>
            <w:r>
              <w:rPr>
                <w:rFonts w:ascii="宋体" w:hAnsi="宋体"/>
                <w:color w:val="auto"/>
                <w:szCs w:val="21"/>
              </w:rPr>
              <w:t>与同步更新的招标文件不一致时以</w:t>
            </w:r>
            <w:r>
              <w:rPr>
                <w:rFonts w:hint="eastAsia" w:ascii="宋体" w:hAnsi="宋体"/>
                <w:color w:val="auto"/>
                <w:szCs w:val="21"/>
              </w:rPr>
              <w:t>更正公告（澄清公告）</w:t>
            </w:r>
            <w:r>
              <w:rPr>
                <w:rFonts w:ascii="宋体" w:hAnsi="宋体"/>
                <w:color w:val="auto"/>
                <w:szCs w:val="21"/>
              </w:rPr>
              <w:t>为准。按本款前述规定仍不能形成结论的</w:t>
            </w:r>
            <w:r>
              <w:rPr>
                <w:rFonts w:ascii="宋体" w:hAnsi="宋体"/>
                <w:b/>
                <w:color w:val="auto"/>
                <w:szCs w:val="21"/>
              </w:rPr>
              <w:t>，由</w:t>
            </w:r>
            <w:r>
              <w:rPr>
                <w:rFonts w:hint="eastAsia" w:ascii="宋体" w:hAnsi="宋体"/>
                <w:b/>
                <w:color w:val="auto"/>
                <w:szCs w:val="21"/>
              </w:rPr>
              <w:t>采购</w:t>
            </w:r>
            <w:r>
              <w:rPr>
                <w:rFonts w:ascii="宋体" w:hAnsi="宋体"/>
                <w:b/>
                <w:color w:val="auto"/>
                <w:szCs w:val="21"/>
              </w:rPr>
              <w:t>人</w:t>
            </w:r>
            <w:r>
              <w:rPr>
                <w:rFonts w:hint="eastAsia" w:ascii="宋体" w:hAnsi="宋体"/>
                <w:b/>
                <w:color w:val="auto"/>
                <w:szCs w:val="21"/>
              </w:rPr>
              <w:t>或者采购代理机构</w:t>
            </w:r>
            <w:r>
              <w:rPr>
                <w:rFonts w:ascii="宋体" w:hAnsi="宋体"/>
                <w:b/>
                <w:color w:val="auto"/>
                <w:szCs w:val="21"/>
              </w:rPr>
              <w:t>负责解释。</w:t>
            </w:r>
          </w:p>
          <w:p w14:paraId="179606F7">
            <w:pPr>
              <w:snapToGrid w:val="0"/>
              <w:spacing w:line="460" w:lineRule="exact"/>
              <w:rPr>
                <w:rFonts w:ascii="宋体" w:hAnsi="宋体"/>
                <w:b/>
                <w:color w:val="auto"/>
                <w:szCs w:val="21"/>
              </w:rPr>
            </w:pPr>
            <w:r>
              <w:rPr>
                <w:rFonts w:hint="eastAsia" w:ascii="宋体" w:hAnsi="宋体"/>
                <w:b/>
                <w:color w:val="auto"/>
                <w:szCs w:val="21"/>
              </w:rPr>
              <w:t>法律责任：</w:t>
            </w:r>
          </w:p>
          <w:p w14:paraId="6F9A2B5A">
            <w:pPr>
              <w:snapToGrid w:val="0"/>
              <w:spacing w:line="460" w:lineRule="exact"/>
              <w:rPr>
                <w:rFonts w:ascii="宋体" w:hAnsi="宋体"/>
                <w:color w:val="auto"/>
                <w:szCs w:val="21"/>
              </w:rPr>
            </w:pPr>
            <w:r>
              <w:rPr>
                <w:rFonts w:hint="eastAsia" w:ascii="宋体" w:hAnsi="宋体"/>
                <w:color w:val="auto"/>
                <w:szCs w:val="21"/>
              </w:rPr>
              <w:t>1.本采购文件根据《中华人民共和国政府采购法》、《中华人民共和国民法典》；《中华人民共和国政府采购法实施条例》、《政府采购非招标采购方式管理办法》等有关法律、法规编制，参与本项目的各政府采购当事人依法享有上述法律法规所赋予的权利与义务。</w:t>
            </w:r>
          </w:p>
        </w:tc>
      </w:tr>
      <w:tr w14:paraId="08B6DD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3EDD3DD8">
            <w:pPr>
              <w:snapToGrid w:val="0"/>
              <w:spacing w:line="360" w:lineRule="auto"/>
              <w:jc w:val="center"/>
              <w:rPr>
                <w:rFonts w:ascii="宋体" w:hAnsi="宋体"/>
                <w:color w:val="auto"/>
                <w:szCs w:val="21"/>
              </w:rPr>
            </w:pPr>
            <w:r>
              <w:rPr>
                <w:rFonts w:ascii="宋体" w:hAnsi="宋体"/>
                <w:color w:val="auto"/>
                <w:szCs w:val="21"/>
              </w:rPr>
              <w:t>4</w:t>
            </w:r>
            <w:r>
              <w:rPr>
                <w:rFonts w:hint="eastAsia" w:ascii="宋体" w:hAnsi="宋体"/>
                <w:color w:val="auto"/>
                <w:szCs w:val="21"/>
              </w:rPr>
              <w:t>1</w:t>
            </w:r>
            <w:r>
              <w:rPr>
                <w:rFonts w:ascii="宋体" w:hAnsi="宋体"/>
                <w:color w:val="auto"/>
                <w:szCs w:val="21"/>
              </w:rPr>
              <w:t>.2</w:t>
            </w:r>
          </w:p>
        </w:tc>
        <w:tc>
          <w:tcPr>
            <w:tcW w:w="8597" w:type="dxa"/>
            <w:tcBorders>
              <w:top w:val="single" w:color="auto" w:sz="4" w:space="0"/>
              <w:left w:val="single" w:color="auto" w:sz="4" w:space="0"/>
              <w:bottom w:val="single" w:color="auto" w:sz="4" w:space="0"/>
              <w:right w:val="single" w:color="auto" w:sz="4" w:space="0"/>
            </w:tcBorders>
            <w:vAlign w:val="center"/>
          </w:tcPr>
          <w:p w14:paraId="7E6C4491">
            <w:pPr>
              <w:pStyle w:val="14"/>
              <w:snapToGrid w:val="0"/>
              <w:spacing w:line="360" w:lineRule="auto"/>
              <w:rPr>
                <w:rFonts w:hAnsi="宋体" w:cs="宋体"/>
                <w:color w:val="auto"/>
                <w:sz w:val="21"/>
              </w:rPr>
            </w:pPr>
            <w:r>
              <w:rPr>
                <w:rFonts w:hint="eastAsia" w:hAnsi="宋体" w:cs="宋体"/>
                <w:color w:val="auto"/>
                <w:sz w:val="21"/>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133418CF">
            <w:pPr>
              <w:pStyle w:val="14"/>
              <w:snapToGrid w:val="0"/>
              <w:spacing w:line="360" w:lineRule="auto"/>
              <w:rPr>
                <w:rFonts w:hAnsi="宋体" w:cs="宋体"/>
                <w:color w:val="auto"/>
                <w:sz w:val="21"/>
              </w:rPr>
            </w:pPr>
            <w:r>
              <w:rPr>
                <w:rFonts w:hint="eastAsia" w:hAnsi="宋体" w:cs="宋体"/>
                <w:color w:val="auto"/>
                <w:sz w:val="21"/>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33E0FBD4">
            <w:pPr>
              <w:pStyle w:val="14"/>
              <w:snapToGrid w:val="0"/>
              <w:spacing w:line="360" w:lineRule="auto"/>
              <w:rPr>
                <w:rFonts w:hAnsi="宋体" w:cs="宋体"/>
                <w:color w:val="auto"/>
                <w:sz w:val="21"/>
              </w:rPr>
            </w:pPr>
            <w:r>
              <w:rPr>
                <w:rFonts w:hint="eastAsia" w:hAnsi="宋体" w:cs="宋体"/>
                <w:color w:val="auto"/>
                <w:sz w:val="21"/>
              </w:rPr>
              <w:t>3.本招标文件中描述投标人的“签字”是指投标人的法定代表人或者委托代理人亲自在文件规定签署处亲笔写上个人的名字的行为，私章、签字章、印鉴、影印等其他形式均不能代替亲笔签字。</w:t>
            </w:r>
          </w:p>
          <w:p w14:paraId="21B7E108">
            <w:pPr>
              <w:pStyle w:val="14"/>
              <w:snapToGrid w:val="0"/>
              <w:spacing w:line="360" w:lineRule="auto"/>
              <w:rPr>
                <w:rFonts w:hAnsi="宋体" w:cs="宋体"/>
                <w:color w:val="auto"/>
                <w:sz w:val="21"/>
              </w:rPr>
            </w:pPr>
            <w:r>
              <w:rPr>
                <w:rFonts w:hint="eastAsia" w:hAnsi="宋体" w:cs="宋体"/>
                <w:color w:val="auto"/>
                <w:sz w:val="21"/>
              </w:rPr>
              <w:t>4.自然人投标的，招标文件规定盖公章处由自然人摁手指指印。</w:t>
            </w:r>
          </w:p>
          <w:p w14:paraId="51D84B35">
            <w:pPr>
              <w:spacing w:line="360" w:lineRule="auto"/>
              <w:jc w:val="left"/>
              <w:rPr>
                <w:rFonts w:ascii="宋体" w:hAnsi="宋体"/>
                <w:color w:val="auto"/>
                <w:szCs w:val="21"/>
              </w:rPr>
            </w:pPr>
            <w:r>
              <w:rPr>
                <w:rFonts w:hint="eastAsia" w:ascii="宋体" w:hAnsi="宋体" w:cs="宋体"/>
                <w:color w:val="auto"/>
                <w:szCs w:val="21"/>
              </w:rPr>
              <w:t>5.本招标文件所称的“以上”“以下”“以内”“届满”，包括本数；所称的“不满”“超过”“以外”，不包括本数。</w:t>
            </w:r>
          </w:p>
        </w:tc>
      </w:tr>
      <w:tr w14:paraId="2CE616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68" w:type="dxa"/>
            <w:tcBorders>
              <w:top w:val="single" w:color="auto" w:sz="4" w:space="0"/>
              <w:left w:val="single" w:color="auto" w:sz="4" w:space="0"/>
              <w:bottom w:val="single" w:color="auto" w:sz="4" w:space="0"/>
              <w:right w:val="single" w:color="auto" w:sz="4" w:space="0"/>
            </w:tcBorders>
            <w:vAlign w:val="center"/>
          </w:tcPr>
          <w:p w14:paraId="155FA5B6">
            <w:pPr>
              <w:snapToGrid w:val="0"/>
              <w:spacing w:line="360" w:lineRule="auto"/>
              <w:jc w:val="center"/>
              <w:rPr>
                <w:rFonts w:hint="default" w:ascii="宋体" w:hAnsi="宋体" w:eastAsia="宋体"/>
                <w:color w:val="auto"/>
                <w:szCs w:val="21"/>
                <w:lang w:val="en-US" w:eastAsia="zh-CN"/>
              </w:rPr>
            </w:pPr>
            <w:r>
              <w:rPr>
                <w:rFonts w:hint="eastAsia" w:ascii="宋体" w:hAnsi="宋体"/>
                <w:color w:val="auto"/>
                <w:szCs w:val="21"/>
                <w:lang w:val="en-US" w:eastAsia="zh-CN"/>
              </w:rPr>
              <w:t>41.4</w:t>
            </w:r>
          </w:p>
        </w:tc>
        <w:tc>
          <w:tcPr>
            <w:tcW w:w="8597" w:type="dxa"/>
            <w:tcBorders>
              <w:top w:val="single" w:color="auto" w:sz="4" w:space="0"/>
              <w:left w:val="single" w:color="auto" w:sz="4" w:space="0"/>
              <w:bottom w:val="single" w:color="auto" w:sz="4" w:space="0"/>
              <w:right w:val="single" w:color="auto" w:sz="4" w:space="0"/>
            </w:tcBorders>
            <w:vAlign w:val="center"/>
          </w:tcPr>
          <w:p w14:paraId="0E2BA752">
            <w:pPr>
              <w:spacing w:line="360" w:lineRule="auto"/>
              <w:jc w:val="left"/>
              <w:rPr>
                <w:rFonts w:hint="eastAsia" w:ascii="宋体" w:hAnsi="宋体" w:cs="宋体"/>
                <w:color w:val="auto"/>
                <w:szCs w:val="21"/>
              </w:rPr>
            </w:pPr>
            <w:r>
              <w:rPr>
                <w:rFonts w:hint="eastAsia" w:ascii="宋体" w:hAnsi="宋体" w:cs="宋体"/>
                <w:color w:val="auto"/>
                <w:kern w:val="0"/>
                <w:szCs w:val="21"/>
              </w:rPr>
              <w:t>监督部门监督管理机构：广西壮族自治区财政厅政府采购监督管理处电话：0771-5331544</w:t>
            </w:r>
            <w:r>
              <w:rPr>
                <w:rFonts w:hint="eastAsia" w:ascii="宋体" w:hAnsi="宋体" w:cs="宋体"/>
                <w:color w:val="auto"/>
                <w:kern w:val="0"/>
                <w:szCs w:val="21"/>
                <w:lang w:eastAsia="zh-CN"/>
              </w:rPr>
              <w:t>。</w:t>
            </w:r>
          </w:p>
        </w:tc>
      </w:tr>
    </w:tbl>
    <w:p w14:paraId="54EEBD96">
      <w:pPr>
        <w:snapToGrid w:val="0"/>
        <w:rPr>
          <w:rFonts w:ascii="宋体" w:hAnsi="宋体"/>
          <w:color w:val="auto"/>
          <w:sz w:val="24"/>
          <w:szCs w:val="20"/>
        </w:rPr>
      </w:pPr>
    </w:p>
    <w:p w14:paraId="67E0D561">
      <w:pPr>
        <w:pStyle w:val="4"/>
        <w:keepNext w:val="0"/>
        <w:keepLines w:val="0"/>
        <w:jc w:val="center"/>
        <w:rPr>
          <w:color w:val="auto"/>
        </w:rPr>
      </w:pPr>
      <w:r>
        <w:rPr>
          <w:rFonts w:hint="eastAsia"/>
          <w:color w:val="auto"/>
        </w:rPr>
        <w:br w:type="page"/>
      </w:r>
      <w:r>
        <w:rPr>
          <w:rFonts w:hint="eastAsia"/>
          <w:color w:val="auto"/>
        </w:rPr>
        <w:t>投标人须知正文</w:t>
      </w:r>
    </w:p>
    <w:p w14:paraId="51BD39C4">
      <w:pPr>
        <w:pStyle w:val="4"/>
        <w:keepNext w:val="0"/>
        <w:keepLines w:val="0"/>
        <w:jc w:val="center"/>
        <w:rPr>
          <w:color w:val="auto"/>
        </w:rPr>
      </w:pPr>
      <w:r>
        <w:rPr>
          <w:rFonts w:hint="eastAsia"/>
          <w:color w:val="auto"/>
        </w:rPr>
        <w:t>一、总则</w:t>
      </w:r>
    </w:p>
    <w:p w14:paraId="1B97A216">
      <w:pPr>
        <w:pStyle w:val="6"/>
        <w:keepNext w:val="0"/>
        <w:keepLines w:val="0"/>
        <w:spacing w:before="0" w:after="0" w:line="360" w:lineRule="auto"/>
        <w:ind w:left="420" w:leftChars="200"/>
        <w:rPr>
          <w:rFonts w:ascii="黑体" w:hAnsi="黑体" w:eastAsia="黑体"/>
          <w:color w:val="auto"/>
          <w:sz w:val="24"/>
        </w:rPr>
      </w:pPr>
      <w:bookmarkStart w:id="115" w:name="_Toc254970527"/>
      <w:bookmarkStart w:id="116" w:name="_Toc254970668"/>
      <w:r>
        <w:rPr>
          <w:rFonts w:hint="eastAsia" w:ascii="黑体" w:hAnsi="黑体" w:eastAsia="黑体"/>
          <w:color w:val="auto"/>
          <w:sz w:val="24"/>
        </w:rPr>
        <w:t>1.适用范围</w:t>
      </w:r>
      <w:bookmarkEnd w:id="115"/>
      <w:bookmarkEnd w:id="116"/>
    </w:p>
    <w:p w14:paraId="2043A524">
      <w:pPr>
        <w:snapToGrid w:val="0"/>
        <w:spacing w:line="360" w:lineRule="auto"/>
        <w:ind w:firstLine="420" w:firstLineChars="200"/>
        <w:jc w:val="left"/>
        <w:rPr>
          <w:rFonts w:ascii="宋体" w:hAnsi="宋体"/>
          <w:color w:val="auto"/>
          <w:szCs w:val="21"/>
        </w:rPr>
      </w:pPr>
      <w:r>
        <w:rPr>
          <w:rFonts w:hint="eastAsia" w:ascii="宋体" w:hAnsi="宋体"/>
          <w:color w:val="auto"/>
          <w:szCs w:val="21"/>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5BDA7D17">
      <w:pPr>
        <w:snapToGrid w:val="0"/>
        <w:spacing w:line="360" w:lineRule="auto"/>
        <w:ind w:firstLine="420" w:firstLineChars="200"/>
        <w:jc w:val="left"/>
        <w:rPr>
          <w:rFonts w:ascii="宋体" w:hAnsi="宋体"/>
          <w:color w:val="auto"/>
          <w:szCs w:val="21"/>
        </w:rPr>
      </w:pPr>
      <w:r>
        <w:rPr>
          <w:rFonts w:hint="eastAsia" w:ascii="宋体" w:hAnsi="宋体"/>
          <w:color w:val="auto"/>
          <w:szCs w:val="21"/>
        </w:rPr>
        <w:t>1.2本招标文件</w:t>
      </w:r>
      <w:r>
        <w:rPr>
          <w:rFonts w:hint="eastAsia" w:ascii="宋体" w:hAnsi="宋体" w:cs="宋体"/>
          <w:color w:val="auto"/>
          <w:spacing w:val="-6"/>
          <w:szCs w:val="21"/>
        </w:rPr>
        <w:t>适用于本项目的所有采购程序和环节（法律、法规另有规定的，从其规定）。</w:t>
      </w:r>
    </w:p>
    <w:p w14:paraId="34F8FAFE">
      <w:pPr>
        <w:pStyle w:val="6"/>
        <w:keepNext w:val="0"/>
        <w:keepLines w:val="0"/>
        <w:spacing w:before="0" w:after="0" w:line="360" w:lineRule="auto"/>
        <w:ind w:left="420" w:leftChars="200"/>
        <w:rPr>
          <w:rFonts w:ascii="黑体" w:hAnsi="黑体" w:eastAsia="黑体"/>
          <w:color w:val="auto"/>
          <w:sz w:val="24"/>
        </w:rPr>
      </w:pPr>
      <w:bookmarkStart w:id="117" w:name="_Toc254970669"/>
      <w:bookmarkStart w:id="118" w:name="_Toc254970528"/>
      <w:r>
        <w:rPr>
          <w:rFonts w:hint="eastAsia" w:ascii="黑体" w:hAnsi="黑体" w:eastAsia="黑体"/>
          <w:color w:val="auto"/>
          <w:sz w:val="24"/>
        </w:rPr>
        <w:t>2.定义</w:t>
      </w:r>
      <w:bookmarkEnd w:id="117"/>
      <w:bookmarkEnd w:id="118"/>
    </w:p>
    <w:p w14:paraId="7A3AB572">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2.1“采购人”是指依法进行政府采购的国家机关、事业单位、团体组织。</w:t>
      </w:r>
    </w:p>
    <w:p w14:paraId="027C5004">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2.2“采购代理机构”是指政府采购代理机构（以下简称采购代理机构）是指集中采购机构以外、受采购人委托从事政府采购代理业务的社会中介机构。</w:t>
      </w:r>
    </w:p>
    <w:p w14:paraId="04FCD35F">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2.3“供应商”是指向采购人提供货物、工程或者服务的法人、其他组织或者自然人。</w:t>
      </w:r>
    </w:p>
    <w:p w14:paraId="7C0CC8CF">
      <w:pPr>
        <w:pStyle w:val="7"/>
        <w:spacing w:line="360" w:lineRule="auto"/>
        <w:rPr>
          <w:rFonts w:ascii="宋体" w:hAnsi="宋体"/>
          <w:color w:val="auto"/>
          <w:szCs w:val="21"/>
        </w:rPr>
      </w:pPr>
      <w:r>
        <w:rPr>
          <w:rFonts w:hint="eastAsia" w:ascii="宋体" w:hAnsi="宋体"/>
          <w:color w:val="auto"/>
          <w:szCs w:val="21"/>
        </w:rPr>
        <w:t>2.4“投标人”是指响应招标、参加投标竞争的法人、非法人组织或者自然人。</w:t>
      </w:r>
    </w:p>
    <w:p w14:paraId="47F05089">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2.5“货物”是指各种形态和种类的物品，包括原材料、燃料、设备、产品等。</w:t>
      </w:r>
    </w:p>
    <w:p w14:paraId="174EE674">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2.6“售后服务” 是指商品出售以后所提供的各种服务，包含但不限于投标人须承担的备品备件、包装、运输、装卸、保险、货到就位以及安装、调试、培训、保修以及其他各种服务。</w:t>
      </w:r>
    </w:p>
    <w:p w14:paraId="6F3567FD">
      <w:pPr>
        <w:pStyle w:val="6"/>
        <w:keepNext w:val="0"/>
        <w:keepLines w:val="0"/>
        <w:spacing w:before="0" w:after="0" w:line="360" w:lineRule="auto"/>
        <w:rPr>
          <w:rFonts w:ascii="宋体" w:hAnsi="宋体"/>
          <w:b w:val="0"/>
          <w:color w:val="auto"/>
          <w:sz w:val="21"/>
          <w:szCs w:val="21"/>
        </w:rPr>
      </w:pPr>
      <w:r>
        <w:rPr>
          <w:rFonts w:hint="eastAsia" w:ascii="宋体" w:hAnsi="宋体"/>
          <w:b w:val="0"/>
          <w:color w:val="auto"/>
          <w:sz w:val="21"/>
          <w:szCs w:val="21"/>
        </w:rPr>
        <w:t xml:space="preserve">    2.7“书面形式”是指合同书、信件和数据电文（包括电报、电传、传真、电子数据交换和电子邮件）等可以有形地表现所载内容的形式。</w:t>
      </w:r>
    </w:p>
    <w:p w14:paraId="26FA9469">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2.8“实质性要求”是指招标文件中已经指明不满足则投标无效的条款，或者不能负偏离的条款，或者采购需求中带“★”的条款。</w:t>
      </w:r>
    </w:p>
    <w:p w14:paraId="59614CDA">
      <w:pPr>
        <w:snapToGrid w:val="0"/>
        <w:spacing w:line="360" w:lineRule="auto"/>
        <w:ind w:firstLine="420" w:firstLineChars="200"/>
        <w:jc w:val="left"/>
        <w:rPr>
          <w:rFonts w:ascii="宋体" w:hAnsi="宋体" w:cs="宋体"/>
          <w:color w:val="auto"/>
          <w:szCs w:val="21"/>
        </w:rPr>
      </w:pPr>
      <w:r>
        <w:rPr>
          <w:rFonts w:hint="eastAsia" w:ascii="宋体" w:hAnsi="宋体"/>
          <w:color w:val="auto"/>
          <w:szCs w:val="21"/>
        </w:rPr>
        <w:t xml:space="preserve">2.9 </w:t>
      </w:r>
      <w:r>
        <w:rPr>
          <w:rFonts w:hint="eastAsia" w:ascii="宋体" w:hAnsi="宋体" w:cs="宋体"/>
          <w:color w:val="auto"/>
          <w:szCs w:val="21"/>
        </w:rPr>
        <w:t>“正偏离”，是指投标文件对招标文件“采购需求”中有关条款作出的响应优于条款要求并有利于采购人的情形。</w:t>
      </w:r>
    </w:p>
    <w:p w14:paraId="5E0AEE82">
      <w:pPr>
        <w:snapToGrid w:val="0"/>
        <w:spacing w:line="360" w:lineRule="auto"/>
        <w:ind w:firstLine="420" w:firstLineChars="200"/>
        <w:jc w:val="left"/>
        <w:rPr>
          <w:rFonts w:ascii="宋体" w:hAnsi="宋体" w:cs="宋体"/>
          <w:color w:val="auto"/>
          <w:szCs w:val="21"/>
        </w:rPr>
      </w:pPr>
      <w:r>
        <w:rPr>
          <w:rFonts w:ascii="宋体" w:hAnsi="宋体" w:cs="宋体"/>
          <w:color w:val="auto"/>
          <w:szCs w:val="21"/>
        </w:rPr>
        <w:t>2.10</w:t>
      </w:r>
      <w:r>
        <w:rPr>
          <w:rFonts w:hint="eastAsia" w:ascii="宋体" w:hAnsi="宋体" w:cs="宋体"/>
          <w:color w:val="auto"/>
          <w:szCs w:val="21"/>
        </w:rPr>
        <w:t>“负偏离”，是指投标文件对招标文件“采购需求”中有关条款作出的响应不满足条款要求，导致采购人要求不能得到满足的情形。</w:t>
      </w:r>
    </w:p>
    <w:p w14:paraId="7B91B3B2">
      <w:pPr>
        <w:snapToGrid w:val="0"/>
        <w:spacing w:line="360" w:lineRule="auto"/>
        <w:ind w:firstLine="420" w:firstLineChars="200"/>
        <w:jc w:val="left"/>
        <w:rPr>
          <w:rFonts w:ascii="宋体" w:hAnsi="宋体" w:cs="宋体"/>
          <w:color w:val="auto"/>
          <w:szCs w:val="21"/>
        </w:rPr>
      </w:pPr>
      <w:r>
        <w:rPr>
          <w:rFonts w:hint="eastAsia" w:ascii="宋体" w:hAnsi="宋体"/>
          <w:color w:val="auto"/>
          <w:szCs w:val="21"/>
        </w:rPr>
        <w:t>2.1</w:t>
      </w:r>
      <w:r>
        <w:rPr>
          <w:rFonts w:ascii="宋体" w:hAnsi="宋体"/>
          <w:color w:val="auto"/>
          <w:szCs w:val="21"/>
        </w:rPr>
        <w:t>1</w:t>
      </w:r>
      <w:r>
        <w:rPr>
          <w:rFonts w:hint="eastAsia" w:ascii="宋体" w:hAnsi="宋体" w:cs="宋体"/>
          <w:color w:val="auto"/>
          <w:szCs w:val="21"/>
        </w:rPr>
        <w:t>“允许负偏离的条款”是指采购需求中的不属于“实质性要求”的条款。</w:t>
      </w:r>
      <w:bookmarkStart w:id="119" w:name="_Toc254970529"/>
      <w:bookmarkStart w:id="120" w:name="_Toc254970670"/>
    </w:p>
    <w:p w14:paraId="7821A3C5">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3.</w:t>
      </w:r>
      <w:bookmarkEnd w:id="119"/>
      <w:bookmarkEnd w:id="120"/>
      <w:r>
        <w:rPr>
          <w:rFonts w:hint="eastAsia" w:ascii="黑体" w:hAnsi="黑体" w:eastAsia="黑体"/>
          <w:color w:val="auto"/>
          <w:sz w:val="24"/>
        </w:rPr>
        <w:t>投标人的资格要求</w:t>
      </w:r>
    </w:p>
    <w:p w14:paraId="5C2752EA">
      <w:pPr>
        <w:snapToGrid w:val="0"/>
        <w:spacing w:line="360" w:lineRule="auto"/>
        <w:ind w:firstLine="420" w:firstLineChars="200"/>
        <w:jc w:val="left"/>
        <w:rPr>
          <w:rFonts w:ascii="宋体" w:hAnsi="宋体"/>
          <w:color w:val="auto"/>
          <w:szCs w:val="21"/>
        </w:rPr>
      </w:pPr>
      <w:r>
        <w:rPr>
          <w:rFonts w:hint="eastAsia" w:ascii="宋体" w:hAnsi="宋体"/>
          <w:color w:val="auto"/>
          <w:szCs w:val="21"/>
        </w:rPr>
        <w:t>投标人的资格要求详见“招标公告”。</w:t>
      </w:r>
    </w:p>
    <w:p w14:paraId="555E1051">
      <w:pPr>
        <w:pStyle w:val="6"/>
        <w:keepNext w:val="0"/>
        <w:keepLines w:val="0"/>
        <w:spacing w:before="0" w:after="0" w:line="360" w:lineRule="auto"/>
        <w:ind w:left="420" w:leftChars="200"/>
        <w:rPr>
          <w:rFonts w:ascii="黑体" w:hAnsi="黑体" w:eastAsia="黑体"/>
          <w:color w:val="auto"/>
          <w:sz w:val="24"/>
        </w:rPr>
      </w:pPr>
      <w:bookmarkStart w:id="121" w:name="_Toc254970530"/>
      <w:bookmarkStart w:id="122" w:name="_Toc254970671"/>
      <w:r>
        <w:rPr>
          <w:rFonts w:hint="eastAsia" w:ascii="黑体" w:hAnsi="黑体" w:eastAsia="黑体"/>
          <w:color w:val="auto"/>
          <w:sz w:val="24"/>
        </w:rPr>
        <w:t>4.投标委托</w:t>
      </w:r>
      <w:bookmarkEnd w:id="121"/>
      <w:bookmarkEnd w:id="122"/>
    </w:p>
    <w:p w14:paraId="5093F2C0">
      <w:pPr>
        <w:snapToGrid w:val="0"/>
        <w:spacing w:line="360" w:lineRule="auto"/>
        <w:ind w:firstLine="420" w:firstLineChars="200"/>
        <w:jc w:val="left"/>
        <w:rPr>
          <w:rFonts w:ascii="宋体" w:hAnsi="宋体"/>
          <w:color w:val="auto"/>
          <w:szCs w:val="21"/>
        </w:rPr>
      </w:pPr>
      <w:r>
        <w:rPr>
          <w:rFonts w:hint="eastAsia" w:ascii="宋体" w:hAnsi="宋体"/>
          <w:color w:val="auto"/>
          <w:szCs w:val="21"/>
        </w:rPr>
        <w:t>投标人代表参加投标活动过程中必须携带个人有效身份证件。如投标人代表不是法定代表人，须持有法定代表人授权委托书（正本用原件，副本用复印件，按第六章要求格式填写）。</w:t>
      </w:r>
    </w:p>
    <w:p w14:paraId="445C8544">
      <w:pPr>
        <w:pStyle w:val="6"/>
        <w:keepNext w:val="0"/>
        <w:keepLines w:val="0"/>
        <w:spacing w:before="0" w:after="0" w:line="360" w:lineRule="auto"/>
        <w:ind w:left="420" w:leftChars="200"/>
        <w:rPr>
          <w:rFonts w:ascii="黑体" w:hAnsi="黑体" w:eastAsia="黑体"/>
          <w:color w:val="auto"/>
          <w:sz w:val="24"/>
        </w:rPr>
      </w:pPr>
      <w:bookmarkStart w:id="123" w:name="_5.投标费用"/>
      <w:bookmarkEnd w:id="123"/>
      <w:bookmarkStart w:id="124" w:name="_Toc254970672"/>
      <w:bookmarkStart w:id="125" w:name="_Toc254970531"/>
      <w:r>
        <w:rPr>
          <w:rFonts w:hint="eastAsia" w:ascii="黑体" w:hAnsi="黑体" w:eastAsia="黑体"/>
          <w:color w:val="auto"/>
          <w:sz w:val="24"/>
        </w:rPr>
        <w:t>5.投标费用</w:t>
      </w:r>
      <w:bookmarkEnd w:id="124"/>
      <w:bookmarkEnd w:id="125"/>
    </w:p>
    <w:p w14:paraId="78D5C450">
      <w:pPr>
        <w:snapToGrid w:val="0"/>
        <w:spacing w:line="360" w:lineRule="auto"/>
        <w:ind w:firstLine="420" w:firstLineChars="200"/>
        <w:jc w:val="left"/>
        <w:rPr>
          <w:rFonts w:ascii="宋体" w:hAnsi="宋体"/>
          <w:color w:val="auto"/>
          <w:szCs w:val="21"/>
        </w:rPr>
      </w:pPr>
      <w:r>
        <w:rPr>
          <w:rFonts w:hint="eastAsia" w:ascii="宋体" w:hAnsi="宋体" w:cs="宋体"/>
          <w:color w:val="auto"/>
          <w:szCs w:val="21"/>
        </w:rPr>
        <w:t>投标费用：投标人应承担参与本次采购活动有关的所有费用，包括但不限于获取招标文件、勘查现场、编制和提交投标文件、参加澄清说明、签订合同等，不论投标结果如何，均应自行承担。</w:t>
      </w:r>
    </w:p>
    <w:p w14:paraId="69DC07FD">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6.联合体投标</w:t>
      </w:r>
    </w:p>
    <w:p w14:paraId="7C3CD849">
      <w:pPr>
        <w:snapToGrid w:val="0"/>
        <w:spacing w:line="360" w:lineRule="auto"/>
        <w:ind w:firstLine="420" w:firstLineChars="200"/>
        <w:jc w:val="left"/>
        <w:rPr>
          <w:rFonts w:ascii="宋体" w:hAnsi="宋体"/>
          <w:color w:val="auto"/>
          <w:szCs w:val="21"/>
        </w:rPr>
      </w:pPr>
      <w:r>
        <w:rPr>
          <w:rFonts w:hint="eastAsia" w:ascii="宋体" w:hAnsi="宋体"/>
          <w:color w:val="auto"/>
          <w:szCs w:val="21"/>
        </w:rPr>
        <w:t>6.1本项目是否接受联合体投标，详见“投标人须知前附表”。</w:t>
      </w:r>
    </w:p>
    <w:p w14:paraId="1CE03B0E">
      <w:pPr>
        <w:snapToGrid w:val="0"/>
        <w:spacing w:line="360" w:lineRule="auto"/>
        <w:ind w:firstLine="420" w:firstLineChars="200"/>
        <w:jc w:val="left"/>
        <w:rPr>
          <w:rFonts w:ascii="宋体" w:hAnsi="宋体"/>
          <w:bCs/>
          <w:color w:val="auto"/>
          <w:szCs w:val="21"/>
        </w:rPr>
      </w:pPr>
      <w:r>
        <w:rPr>
          <w:rFonts w:hint="eastAsia" w:ascii="宋体" w:hAnsi="宋体"/>
          <w:bCs/>
          <w:color w:val="auto"/>
          <w:szCs w:val="21"/>
        </w:rPr>
        <w:t>6.2如接受联合体投标，联合体投标要求详见“投标人须知前附表”。</w:t>
      </w:r>
    </w:p>
    <w:p w14:paraId="2DFEF0F8">
      <w:pPr>
        <w:snapToGrid w:val="0"/>
        <w:spacing w:line="360" w:lineRule="auto"/>
        <w:ind w:firstLine="420" w:firstLineChars="200"/>
        <w:jc w:val="left"/>
        <w:rPr>
          <w:rFonts w:ascii="宋体" w:hAnsi="宋体"/>
          <w:bCs/>
          <w:color w:val="auto"/>
          <w:szCs w:val="21"/>
        </w:rPr>
      </w:pPr>
      <w:r>
        <w:rPr>
          <w:rFonts w:hint="eastAsia" w:ascii="宋体" w:hAnsi="宋体"/>
          <w:bCs/>
          <w:color w:val="auto"/>
          <w:szCs w:val="21"/>
        </w:rPr>
        <w:t>6.3根据《政府采购促进中小企业发展管理办法》（财库[2020]46号）第九条、《广西壮族自治区财政厅关于进一步发挥政府采购政策功能促进企业发展的通知》（桂财采〔2022〕30号）及《广西壮族自治区财政厅 广西壮族自治区工业和信息化厅转发财政部 工业和信息化部政府采购促进中小企业发展管理办法的通知》（桂财采〔2021〕70号）规定，接受大中型企业与小微企业组成联合体的采购项目，对于联合协议约定小微企业的合同份额占到合同总金额 30%以上的，采购人、采购代理机构应当对联合体的报价给予6%（工程项目为 1%—2%）的扣除，用扣除后的价格参加评审。组成联合体的小微企业与联合体内其他企业、分包企业之间存在直接控股、管理关系的，不享受价格扣除优惠政策。</w:t>
      </w:r>
    </w:p>
    <w:p w14:paraId="685EDC60">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 xml:space="preserve">7.转包与分包             </w:t>
      </w:r>
    </w:p>
    <w:p w14:paraId="77EA5713">
      <w:pPr>
        <w:snapToGrid w:val="0"/>
        <w:spacing w:line="360" w:lineRule="auto"/>
        <w:ind w:firstLine="420" w:firstLineChars="200"/>
        <w:jc w:val="left"/>
        <w:rPr>
          <w:rFonts w:ascii="宋体" w:hAnsi="宋体"/>
          <w:color w:val="auto"/>
          <w:szCs w:val="21"/>
        </w:rPr>
      </w:pPr>
      <w:r>
        <w:rPr>
          <w:rFonts w:hint="eastAsia" w:ascii="宋体" w:hAnsi="宋体"/>
          <w:color w:val="auto"/>
          <w:szCs w:val="21"/>
        </w:rPr>
        <w:t>7.1本项目不允许转包。</w:t>
      </w:r>
    </w:p>
    <w:p w14:paraId="79A82AB5">
      <w:pPr>
        <w:snapToGrid w:val="0"/>
        <w:spacing w:line="360" w:lineRule="auto"/>
        <w:ind w:firstLine="420" w:firstLineChars="200"/>
        <w:jc w:val="left"/>
        <w:rPr>
          <w:rFonts w:ascii="宋体" w:hAnsi="宋体"/>
          <w:bCs/>
          <w:color w:val="auto"/>
          <w:szCs w:val="21"/>
        </w:rPr>
      </w:pPr>
      <w:r>
        <w:rPr>
          <w:rFonts w:hint="eastAsia" w:ascii="宋体" w:hAnsi="宋体"/>
          <w:color w:val="auto"/>
          <w:szCs w:val="21"/>
        </w:rPr>
        <w:t>7.2本项目是否允许分包详见</w:t>
      </w:r>
      <w:r>
        <w:rPr>
          <w:rFonts w:hint="eastAsia" w:ascii="宋体" w:hAnsi="宋体"/>
          <w:bCs/>
          <w:color w:val="auto"/>
          <w:szCs w:val="21"/>
        </w:rPr>
        <w:t>“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5781C37D">
      <w:pPr>
        <w:snapToGrid w:val="0"/>
        <w:spacing w:line="360" w:lineRule="auto"/>
        <w:ind w:firstLine="420" w:firstLineChars="200"/>
        <w:jc w:val="left"/>
        <w:rPr>
          <w:rFonts w:ascii="宋体" w:hAnsi="宋体"/>
          <w:bCs/>
          <w:color w:val="auto"/>
          <w:szCs w:val="21"/>
        </w:rPr>
      </w:pPr>
      <w:r>
        <w:rPr>
          <w:rFonts w:hint="eastAsia" w:ascii="宋体" w:hAnsi="宋体"/>
          <w:bCs/>
          <w:color w:val="auto"/>
          <w:szCs w:val="21"/>
        </w:rPr>
        <w:t>7.3</w:t>
      </w:r>
      <w:r>
        <w:rPr>
          <w:rFonts w:hint="eastAsia" w:ascii="宋体" w:hAnsi="宋体" w:cs="宋体"/>
          <w:bCs/>
          <w:color w:val="auto"/>
          <w:szCs w:val="21"/>
        </w:rPr>
        <w:t>按照《政府采购促进中小企业发展管理办法》（财库〔2020〕46号）的规定，依据该办法规定享受扶持政策获得政府采购合同的，小微企业不得将合同分包给大中型企业，中型企业不得将合同分包给大型企业。</w:t>
      </w:r>
    </w:p>
    <w:p w14:paraId="2CC32210">
      <w:pPr>
        <w:pStyle w:val="6"/>
        <w:keepNext w:val="0"/>
        <w:keepLines w:val="0"/>
        <w:spacing w:before="0" w:after="0" w:line="360" w:lineRule="auto"/>
        <w:ind w:left="420" w:leftChars="200"/>
        <w:rPr>
          <w:rFonts w:ascii="黑体" w:hAnsi="黑体" w:eastAsia="黑体"/>
          <w:color w:val="auto"/>
          <w:sz w:val="24"/>
        </w:rPr>
      </w:pPr>
      <w:bookmarkStart w:id="126" w:name="_Toc254970673"/>
      <w:bookmarkStart w:id="127" w:name="_Toc254970532"/>
      <w:r>
        <w:rPr>
          <w:rFonts w:hint="eastAsia" w:ascii="黑体" w:hAnsi="黑体" w:eastAsia="黑体"/>
          <w:color w:val="auto"/>
          <w:sz w:val="24"/>
        </w:rPr>
        <w:t>8.特别说明：</w:t>
      </w:r>
      <w:bookmarkEnd w:id="126"/>
      <w:bookmarkEnd w:id="127"/>
    </w:p>
    <w:p w14:paraId="1E01A538">
      <w:pPr>
        <w:pStyle w:val="6"/>
        <w:keepNext w:val="0"/>
        <w:keepLines w:val="0"/>
        <w:spacing w:before="0" w:after="0" w:line="360" w:lineRule="auto"/>
        <w:ind w:firstLine="422" w:firstLineChars="200"/>
        <w:rPr>
          <w:rFonts w:ascii="宋体" w:hAnsi="宋体"/>
          <w:color w:val="auto"/>
          <w:sz w:val="21"/>
          <w:szCs w:val="21"/>
        </w:rPr>
      </w:pPr>
      <w:bookmarkStart w:id="128" w:name="_8.1提供相同品牌产品且通过资格审查、符合性审查的不同投标人参加同一合"/>
      <w:bookmarkEnd w:id="128"/>
      <w:r>
        <w:rPr>
          <w:rFonts w:ascii="宋体" w:hAnsi="宋体"/>
          <w:color w:val="auto"/>
          <w:sz w:val="21"/>
          <w:szCs w:val="21"/>
        </w:rPr>
        <w:fldChar w:fldCharType="begin"/>
      </w:r>
      <w:r>
        <w:rPr>
          <w:rFonts w:ascii="宋体" w:hAnsi="宋体"/>
          <w:color w:val="auto"/>
          <w:sz w:val="21"/>
          <w:szCs w:val="21"/>
        </w:rPr>
        <w:instrText xml:space="preserve"> HYPERLINK  \l "_8.1" </w:instrText>
      </w:r>
      <w:r>
        <w:rPr>
          <w:rFonts w:ascii="宋体" w:hAnsi="宋体"/>
          <w:color w:val="auto"/>
          <w:sz w:val="21"/>
          <w:szCs w:val="21"/>
        </w:rPr>
        <w:fldChar w:fldCharType="separate"/>
      </w:r>
      <w:r>
        <w:rPr>
          <w:rFonts w:hint="eastAsia" w:ascii="宋体" w:hAnsi="宋体"/>
          <w:color w:val="auto"/>
          <w:sz w:val="21"/>
          <w:szCs w:val="21"/>
        </w:rPr>
        <w:t>8.1</w:t>
      </w:r>
      <w:r>
        <w:rPr>
          <w:rFonts w:ascii="宋体" w:hAnsi="宋体"/>
          <w:color w:val="auto"/>
          <w:sz w:val="21"/>
          <w:szCs w:val="21"/>
        </w:rPr>
        <w:fldChar w:fldCharType="end"/>
      </w:r>
      <w:r>
        <w:rPr>
          <w:rFonts w:hint="eastAsia" w:ascii="宋体" w:hAnsi="宋体"/>
          <w:color w:val="auto"/>
          <w:sz w:val="21"/>
          <w:szCs w:val="21"/>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采取随机抽取的方式确定一个投标人获得中标人推荐资格，其他同品牌投标人不作为中标候选人。</w:t>
      </w:r>
    </w:p>
    <w:p w14:paraId="59883E31">
      <w:pPr>
        <w:pStyle w:val="14"/>
        <w:snapToGrid w:val="0"/>
        <w:spacing w:line="360" w:lineRule="auto"/>
        <w:ind w:left="2" w:leftChars="1" w:firstLine="422" w:firstLineChars="200"/>
        <w:rPr>
          <w:rFonts w:hAnsi="宋体"/>
          <w:b/>
          <w:color w:val="auto"/>
          <w:kern w:val="2"/>
          <w:sz w:val="21"/>
        </w:rPr>
      </w:pPr>
      <w:r>
        <w:rPr>
          <w:rFonts w:hint="eastAsia" w:hAnsi="宋体"/>
          <w:b/>
          <w:color w:val="auto"/>
          <w:kern w:val="2"/>
          <w:sz w:val="21"/>
        </w:rPr>
        <w:t>非单一产品采购项目，多家投标人提供的核心产品品牌相同的，按前款规定处理。</w:t>
      </w:r>
    </w:p>
    <w:p w14:paraId="34BE3EE4">
      <w:pPr>
        <w:pStyle w:val="6"/>
        <w:keepNext w:val="0"/>
        <w:keepLines w:val="0"/>
        <w:spacing w:before="0" w:after="0" w:line="360" w:lineRule="auto"/>
        <w:ind w:firstLine="369" w:firstLineChars="175"/>
        <w:rPr>
          <w:rFonts w:ascii="宋体" w:hAnsi="宋体"/>
          <w:color w:val="auto"/>
          <w:sz w:val="21"/>
          <w:szCs w:val="21"/>
        </w:rPr>
      </w:pPr>
      <w:r>
        <w:rPr>
          <w:rFonts w:hint="eastAsia" w:ascii="宋体" w:hAnsi="宋体"/>
          <w:color w:val="auto"/>
          <w:sz w:val="21"/>
          <w:szCs w:val="21"/>
        </w:rPr>
        <w:t>8.2如果本招标文件要求投标人提供资格、信誉、荣誉、业绩与企业认证等材料的，则投标人所提供的以上材料必须为投标人所拥有。</w:t>
      </w:r>
    </w:p>
    <w:p w14:paraId="02BB9F12">
      <w:pPr>
        <w:pStyle w:val="6"/>
        <w:keepNext w:val="0"/>
        <w:keepLines w:val="0"/>
        <w:spacing w:before="0" w:after="0" w:line="360" w:lineRule="auto"/>
        <w:ind w:firstLine="369" w:firstLineChars="175"/>
        <w:rPr>
          <w:rFonts w:ascii="宋体" w:hAnsi="宋体"/>
          <w:color w:val="auto"/>
          <w:sz w:val="21"/>
          <w:szCs w:val="21"/>
        </w:rPr>
      </w:pPr>
      <w:r>
        <w:rPr>
          <w:rFonts w:hint="eastAsia" w:ascii="宋体" w:hAnsi="宋体"/>
          <w:color w:val="auto"/>
          <w:sz w:val="21"/>
          <w:szCs w:val="21"/>
        </w:rPr>
        <w:t>8.3投标人应仔细阅读招标文件的所有内容，按照招标文件的要求提交投标文件，并对所提供的全部资料的真实性承担法律责任。</w:t>
      </w:r>
    </w:p>
    <w:p w14:paraId="53D420CC">
      <w:pPr>
        <w:pStyle w:val="6"/>
        <w:keepNext w:val="0"/>
        <w:keepLines w:val="0"/>
        <w:spacing w:before="0" w:after="0" w:line="360" w:lineRule="auto"/>
        <w:ind w:firstLine="369" w:firstLineChars="175"/>
        <w:rPr>
          <w:rFonts w:ascii="宋体" w:hAnsi="宋体"/>
          <w:color w:val="auto"/>
          <w:sz w:val="21"/>
          <w:szCs w:val="21"/>
        </w:rPr>
      </w:pPr>
      <w:r>
        <w:rPr>
          <w:rFonts w:hint="eastAsia" w:ascii="宋体" w:hAnsi="宋体"/>
          <w:color w:val="auto"/>
          <w:sz w:val="21"/>
          <w:szCs w:val="21"/>
        </w:rPr>
        <w:t>8.4投标人在投标活动中提供任何虚假材料，将报监管部门查处；中标后发现的，中标人须依照《中华人民共和国消费者权益保护法》规定赔偿采购人，且民事赔偿并不免除违法投标人的行政与刑事责任。</w:t>
      </w:r>
    </w:p>
    <w:p w14:paraId="32E4E090">
      <w:pPr>
        <w:pStyle w:val="6"/>
        <w:keepNext w:val="0"/>
        <w:keepLines w:val="0"/>
        <w:spacing w:before="0" w:after="0" w:line="360" w:lineRule="auto"/>
        <w:ind w:left="420" w:leftChars="200"/>
        <w:rPr>
          <w:rFonts w:ascii="黑体" w:hAnsi="黑体" w:eastAsia="黑体"/>
          <w:color w:val="auto"/>
          <w:sz w:val="24"/>
        </w:rPr>
      </w:pPr>
      <w:r>
        <w:rPr>
          <w:rFonts w:ascii="黑体" w:hAnsi="黑体" w:eastAsia="黑体"/>
          <w:color w:val="auto"/>
          <w:sz w:val="24"/>
        </w:rPr>
        <w:t>9.</w:t>
      </w:r>
      <w:r>
        <w:rPr>
          <w:rFonts w:hint="eastAsia" w:ascii="黑体" w:hAnsi="黑体" w:eastAsia="黑体"/>
          <w:color w:val="auto"/>
          <w:sz w:val="24"/>
        </w:rPr>
        <w:t>回避与串通投标</w:t>
      </w:r>
    </w:p>
    <w:p w14:paraId="320F9672">
      <w:pPr>
        <w:pStyle w:val="6"/>
        <w:keepNext w:val="0"/>
        <w:keepLines w:val="0"/>
        <w:spacing w:before="0" w:after="0" w:line="360" w:lineRule="auto"/>
        <w:ind w:firstLine="369" w:firstLineChars="175"/>
        <w:rPr>
          <w:rFonts w:ascii="宋体" w:hAnsi="宋体"/>
          <w:color w:val="auto"/>
          <w:sz w:val="21"/>
          <w:szCs w:val="21"/>
        </w:rPr>
      </w:pPr>
      <w:r>
        <w:rPr>
          <w:rFonts w:hint="eastAsia" w:ascii="宋体" w:hAnsi="宋体"/>
          <w:color w:val="auto"/>
          <w:sz w:val="21"/>
          <w:szCs w:val="21"/>
        </w:rPr>
        <w:t>9</w:t>
      </w:r>
      <w:r>
        <w:rPr>
          <w:rFonts w:ascii="宋体" w:hAnsi="宋体"/>
          <w:color w:val="auto"/>
          <w:sz w:val="21"/>
          <w:szCs w:val="21"/>
        </w:rPr>
        <w:t>.1在政府采购活动中，采购人员及相关人员与</w:t>
      </w:r>
      <w:r>
        <w:rPr>
          <w:rFonts w:hint="eastAsia" w:ascii="宋体" w:hAnsi="宋体"/>
          <w:color w:val="auto"/>
          <w:sz w:val="21"/>
          <w:szCs w:val="21"/>
        </w:rPr>
        <w:t>供应商</w:t>
      </w:r>
      <w:r>
        <w:rPr>
          <w:rFonts w:ascii="宋体" w:hAnsi="宋体"/>
          <w:color w:val="auto"/>
          <w:sz w:val="21"/>
          <w:szCs w:val="21"/>
        </w:rPr>
        <w:t>有下列利害关系之一的，应当回避：</w:t>
      </w:r>
    </w:p>
    <w:p w14:paraId="6339F89A">
      <w:pPr>
        <w:pStyle w:val="14"/>
        <w:snapToGrid w:val="0"/>
        <w:spacing w:line="360" w:lineRule="auto"/>
        <w:ind w:left="2" w:leftChars="1" w:firstLine="422" w:firstLineChars="200"/>
        <w:rPr>
          <w:rFonts w:hAnsi="宋体"/>
          <w:b/>
          <w:color w:val="auto"/>
          <w:kern w:val="2"/>
          <w:sz w:val="21"/>
        </w:rPr>
      </w:pPr>
      <w:r>
        <w:rPr>
          <w:rFonts w:hAnsi="宋体"/>
          <w:b/>
          <w:color w:val="auto"/>
          <w:kern w:val="2"/>
          <w:sz w:val="21"/>
        </w:rPr>
        <w:t>（</w:t>
      </w:r>
      <w:r>
        <w:rPr>
          <w:rFonts w:hint="eastAsia" w:hAnsi="宋体"/>
          <w:b/>
          <w:color w:val="auto"/>
          <w:kern w:val="2"/>
          <w:sz w:val="21"/>
        </w:rPr>
        <w:t>1</w:t>
      </w:r>
      <w:r>
        <w:rPr>
          <w:rFonts w:hAnsi="宋体"/>
          <w:b/>
          <w:color w:val="auto"/>
          <w:kern w:val="2"/>
          <w:sz w:val="21"/>
        </w:rPr>
        <w:t>）参加采购活动前3年内与</w:t>
      </w:r>
      <w:r>
        <w:rPr>
          <w:rFonts w:hint="eastAsia" w:hAnsi="宋体"/>
          <w:b/>
          <w:color w:val="auto"/>
          <w:kern w:val="2"/>
          <w:sz w:val="21"/>
        </w:rPr>
        <w:t>供应商</w:t>
      </w:r>
      <w:r>
        <w:rPr>
          <w:rFonts w:hAnsi="宋体"/>
          <w:b/>
          <w:color w:val="auto"/>
          <w:kern w:val="2"/>
          <w:sz w:val="21"/>
        </w:rPr>
        <w:t>存在劳动关系；</w:t>
      </w:r>
    </w:p>
    <w:p w14:paraId="4619C663">
      <w:pPr>
        <w:pStyle w:val="14"/>
        <w:snapToGrid w:val="0"/>
        <w:spacing w:line="360" w:lineRule="auto"/>
        <w:ind w:left="2" w:leftChars="1" w:firstLine="422" w:firstLineChars="200"/>
        <w:rPr>
          <w:rFonts w:hAnsi="宋体"/>
          <w:b/>
          <w:color w:val="auto"/>
          <w:kern w:val="2"/>
          <w:sz w:val="21"/>
        </w:rPr>
      </w:pPr>
      <w:r>
        <w:rPr>
          <w:rFonts w:hAnsi="宋体"/>
          <w:b/>
          <w:color w:val="auto"/>
          <w:kern w:val="2"/>
          <w:sz w:val="21"/>
        </w:rPr>
        <w:t>（</w:t>
      </w:r>
      <w:r>
        <w:rPr>
          <w:rFonts w:hint="eastAsia" w:hAnsi="宋体"/>
          <w:b/>
          <w:color w:val="auto"/>
          <w:kern w:val="2"/>
          <w:sz w:val="21"/>
        </w:rPr>
        <w:t>2</w:t>
      </w:r>
      <w:r>
        <w:rPr>
          <w:rFonts w:hAnsi="宋体"/>
          <w:b/>
          <w:color w:val="auto"/>
          <w:kern w:val="2"/>
          <w:sz w:val="21"/>
        </w:rPr>
        <w:t>）参加采购活动前3年内担任</w:t>
      </w:r>
      <w:r>
        <w:rPr>
          <w:rFonts w:hint="eastAsia" w:hAnsi="宋体"/>
          <w:b/>
          <w:color w:val="auto"/>
          <w:kern w:val="2"/>
          <w:sz w:val="21"/>
        </w:rPr>
        <w:t>供应商</w:t>
      </w:r>
      <w:r>
        <w:rPr>
          <w:rFonts w:hAnsi="宋体"/>
          <w:b/>
          <w:color w:val="auto"/>
          <w:kern w:val="2"/>
          <w:sz w:val="21"/>
        </w:rPr>
        <w:t>的董事、监事；</w:t>
      </w:r>
    </w:p>
    <w:p w14:paraId="7DE973E3">
      <w:pPr>
        <w:pStyle w:val="14"/>
        <w:snapToGrid w:val="0"/>
        <w:spacing w:line="360" w:lineRule="auto"/>
        <w:ind w:left="2" w:leftChars="1" w:firstLine="422" w:firstLineChars="200"/>
        <w:rPr>
          <w:rFonts w:hAnsi="宋体"/>
          <w:b/>
          <w:color w:val="auto"/>
          <w:kern w:val="2"/>
          <w:sz w:val="21"/>
        </w:rPr>
      </w:pPr>
      <w:r>
        <w:rPr>
          <w:rFonts w:hAnsi="宋体"/>
          <w:b/>
          <w:color w:val="auto"/>
          <w:kern w:val="2"/>
          <w:sz w:val="21"/>
        </w:rPr>
        <w:t>（</w:t>
      </w:r>
      <w:r>
        <w:rPr>
          <w:rFonts w:hint="eastAsia" w:hAnsi="宋体"/>
          <w:b/>
          <w:color w:val="auto"/>
          <w:kern w:val="2"/>
          <w:sz w:val="21"/>
        </w:rPr>
        <w:t>3</w:t>
      </w:r>
      <w:r>
        <w:rPr>
          <w:rFonts w:hAnsi="宋体"/>
          <w:b/>
          <w:color w:val="auto"/>
          <w:kern w:val="2"/>
          <w:sz w:val="21"/>
        </w:rPr>
        <w:t>）参加采购活动前3年内是</w:t>
      </w:r>
      <w:r>
        <w:rPr>
          <w:rFonts w:hint="eastAsia" w:hAnsi="宋体"/>
          <w:b/>
          <w:color w:val="auto"/>
          <w:kern w:val="2"/>
          <w:sz w:val="21"/>
        </w:rPr>
        <w:t>供应商</w:t>
      </w:r>
      <w:r>
        <w:rPr>
          <w:rFonts w:hAnsi="宋体"/>
          <w:b/>
          <w:color w:val="auto"/>
          <w:kern w:val="2"/>
          <w:sz w:val="21"/>
        </w:rPr>
        <w:t>的控股股东或者实际控制人；</w:t>
      </w:r>
    </w:p>
    <w:p w14:paraId="6385F441">
      <w:pPr>
        <w:pStyle w:val="14"/>
        <w:snapToGrid w:val="0"/>
        <w:spacing w:line="360" w:lineRule="auto"/>
        <w:ind w:left="2" w:leftChars="1" w:firstLine="422" w:firstLineChars="200"/>
        <w:rPr>
          <w:rFonts w:hAnsi="宋体"/>
          <w:b/>
          <w:color w:val="auto"/>
          <w:kern w:val="2"/>
          <w:sz w:val="21"/>
        </w:rPr>
      </w:pPr>
      <w:r>
        <w:rPr>
          <w:rFonts w:hAnsi="宋体"/>
          <w:b/>
          <w:color w:val="auto"/>
          <w:kern w:val="2"/>
          <w:sz w:val="21"/>
        </w:rPr>
        <w:t>（</w:t>
      </w:r>
      <w:r>
        <w:rPr>
          <w:rFonts w:hint="eastAsia" w:hAnsi="宋体"/>
          <w:b/>
          <w:color w:val="auto"/>
          <w:kern w:val="2"/>
          <w:sz w:val="21"/>
        </w:rPr>
        <w:t>4</w:t>
      </w:r>
      <w:r>
        <w:rPr>
          <w:rFonts w:hAnsi="宋体"/>
          <w:b/>
          <w:color w:val="auto"/>
          <w:kern w:val="2"/>
          <w:sz w:val="21"/>
        </w:rPr>
        <w:t>）与</w:t>
      </w:r>
      <w:r>
        <w:rPr>
          <w:rFonts w:hint="eastAsia" w:hAnsi="宋体"/>
          <w:b/>
          <w:color w:val="auto"/>
          <w:kern w:val="2"/>
          <w:sz w:val="21"/>
        </w:rPr>
        <w:t>供应商</w:t>
      </w:r>
      <w:r>
        <w:rPr>
          <w:rFonts w:hAnsi="宋体"/>
          <w:b/>
          <w:color w:val="auto"/>
          <w:kern w:val="2"/>
          <w:sz w:val="21"/>
        </w:rPr>
        <w:t>的法定代表人或者负责人有夫妻、直系血亲、三代以内旁系血亲或者近姻亲关系；</w:t>
      </w:r>
    </w:p>
    <w:p w14:paraId="35396D96">
      <w:pPr>
        <w:pStyle w:val="14"/>
        <w:snapToGrid w:val="0"/>
        <w:spacing w:line="360" w:lineRule="auto"/>
        <w:ind w:left="2" w:leftChars="1" w:firstLine="422" w:firstLineChars="200"/>
        <w:rPr>
          <w:rFonts w:hAnsi="宋体"/>
          <w:b/>
          <w:color w:val="auto"/>
          <w:kern w:val="2"/>
          <w:sz w:val="21"/>
        </w:rPr>
      </w:pPr>
      <w:r>
        <w:rPr>
          <w:rFonts w:hAnsi="宋体"/>
          <w:b/>
          <w:color w:val="auto"/>
          <w:kern w:val="2"/>
          <w:sz w:val="21"/>
        </w:rPr>
        <w:t>（</w:t>
      </w:r>
      <w:r>
        <w:rPr>
          <w:rFonts w:hint="eastAsia" w:hAnsi="宋体"/>
          <w:b/>
          <w:color w:val="auto"/>
          <w:kern w:val="2"/>
          <w:sz w:val="21"/>
        </w:rPr>
        <w:t>5</w:t>
      </w:r>
      <w:r>
        <w:rPr>
          <w:rFonts w:hAnsi="宋体"/>
          <w:b/>
          <w:color w:val="auto"/>
          <w:kern w:val="2"/>
          <w:sz w:val="21"/>
        </w:rPr>
        <w:t>）与</w:t>
      </w:r>
      <w:r>
        <w:rPr>
          <w:rFonts w:hint="eastAsia" w:hAnsi="宋体"/>
          <w:b/>
          <w:color w:val="auto"/>
          <w:kern w:val="2"/>
          <w:sz w:val="21"/>
        </w:rPr>
        <w:t>供应商</w:t>
      </w:r>
      <w:r>
        <w:rPr>
          <w:rFonts w:hAnsi="宋体"/>
          <w:b/>
          <w:color w:val="auto"/>
          <w:kern w:val="2"/>
          <w:sz w:val="21"/>
        </w:rPr>
        <w:t>有其他可能影响政府采购活动公平、公正进行的关系。</w:t>
      </w:r>
    </w:p>
    <w:p w14:paraId="49509EC7">
      <w:pPr>
        <w:pStyle w:val="14"/>
        <w:snapToGrid w:val="0"/>
        <w:spacing w:line="360" w:lineRule="auto"/>
        <w:ind w:left="2" w:leftChars="1" w:firstLine="422" w:firstLineChars="200"/>
        <w:rPr>
          <w:rFonts w:hAnsi="宋体"/>
          <w:b/>
          <w:color w:val="auto"/>
          <w:kern w:val="2"/>
          <w:sz w:val="21"/>
        </w:rPr>
      </w:pPr>
      <w:r>
        <w:rPr>
          <w:rFonts w:hint="eastAsia" w:hAnsi="宋体"/>
          <w:b/>
          <w:color w:val="auto"/>
          <w:kern w:val="2"/>
          <w:sz w:val="21"/>
        </w:rPr>
        <w:t>供应商</w:t>
      </w:r>
      <w:r>
        <w:rPr>
          <w:rFonts w:hAnsi="宋体"/>
          <w:b/>
          <w:color w:val="auto"/>
          <w:kern w:val="2"/>
          <w:sz w:val="21"/>
        </w:rPr>
        <w:t>认为采购人员及相关人员与其他</w:t>
      </w:r>
      <w:r>
        <w:rPr>
          <w:rFonts w:hint="eastAsia" w:hAnsi="宋体"/>
          <w:b/>
          <w:color w:val="auto"/>
          <w:kern w:val="2"/>
          <w:sz w:val="21"/>
        </w:rPr>
        <w:t>供应商</w:t>
      </w:r>
      <w:r>
        <w:rPr>
          <w:rFonts w:hAnsi="宋体"/>
          <w:b/>
          <w:color w:val="auto"/>
          <w:kern w:val="2"/>
          <w:sz w:val="21"/>
        </w:rPr>
        <w:t>有利害关系的，可以向采购人或者采购代理机构书面提出回避申请，并说明理由。采购人或者采购代理机构应当及时询问被申请回避人员，有利害关系的被申请回避人员应当回避。</w:t>
      </w:r>
    </w:p>
    <w:p w14:paraId="50D77D53">
      <w:pPr>
        <w:pStyle w:val="6"/>
        <w:keepNext w:val="0"/>
        <w:keepLines w:val="0"/>
        <w:spacing w:before="0" w:after="0" w:line="360" w:lineRule="auto"/>
        <w:ind w:left="420" w:leftChars="200"/>
        <w:rPr>
          <w:rFonts w:ascii="宋体" w:hAnsi="宋体"/>
          <w:color w:val="auto"/>
          <w:sz w:val="21"/>
          <w:szCs w:val="21"/>
        </w:rPr>
      </w:pPr>
      <w:r>
        <w:rPr>
          <w:rFonts w:ascii="宋体" w:hAnsi="宋体"/>
          <w:color w:val="auto"/>
          <w:sz w:val="21"/>
          <w:szCs w:val="21"/>
        </w:rPr>
        <w:t>9.2</w:t>
      </w:r>
      <w:r>
        <w:rPr>
          <w:rFonts w:hint="eastAsia" w:ascii="宋体" w:hAnsi="宋体"/>
          <w:color w:val="auto"/>
          <w:sz w:val="21"/>
          <w:szCs w:val="21"/>
        </w:rPr>
        <w:t>有下列情形之一的视为投标人相互串通投标，投标文件将被视为无效：</w:t>
      </w:r>
    </w:p>
    <w:p w14:paraId="77E0CCA6">
      <w:pPr>
        <w:pStyle w:val="14"/>
        <w:snapToGrid w:val="0"/>
        <w:spacing w:line="360" w:lineRule="auto"/>
        <w:ind w:left="2" w:leftChars="1" w:firstLine="422" w:firstLineChars="200"/>
        <w:rPr>
          <w:rFonts w:hAnsi="宋体"/>
          <w:b/>
          <w:color w:val="auto"/>
          <w:kern w:val="2"/>
          <w:sz w:val="21"/>
        </w:rPr>
      </w:pPr>
      <w:r>
        <w:rPr>
          <w:rFonts w:hint="eastAsia" w:hAnsi="宋体"/>
          <w:b/>
          <w:color w:val="auto"/>
          <w:kern w:val="2"/>
          <w:sz w:val="21"/>
        </w:rPr>
        <w:t>（1）不同投标人的投标文件由同一单位或者个人编制；或者不同投标人报名的IP地址一致的；</w:t>
      </w:r>
    </w:p>
    <w:p w14:paraId="13A89FFA">
      <w:pPr>
        <w:pStyle w:val="14"/>
        <w:snapToGrid w:val="0"/>
        <w:spacing w:line="360" w:lineRule="auto"/>
        <w:ind w:left="2" w:leftChars="1" w:firstLine="422" w:firstLineChars="200"/>
        <w:rPr>
          <w:rFonts w:hAnsi="宋体"/>
          <w:b/>
          <w:color w:val="auto"/>
          <w:kern w:val="2"/>
          <w:sz w:val="21"/>
        </w:rPr>
      </w:pPr>
      <w:r>
        <w:rPr>
          <w:rFonts w:hint="eastAsia" w:hAnsi="宋体"/>
          <w:b/>
          <w:color w:val="auto"/>
          <w:kern w:val="2"/>
          <w:sz w:val="21"/>
        </w:rPr>
        <w:t>（2）不同投标人委托同一单位或者个人办理投标事宜；</w:t>
      </w:r>
    </w:p>
    <w:p w14:paraId="794F35E8">
      <w:pPr>
        <w:pStyle w:val="14"/>
        <w:snapToGrid w:val="0"/>
        <w:spacing w:line="360" w:lineRule="auto"/>
        <w:ind w:left="2" w:leftChars="1" w:firstLine="422" w:firstLineChars="200"/>
        <w:rPr>
          <w:rFonts w:hAnsi="宋体"/>
          <w:b/>
          <w:color w:val="auto"/>
          <w:kern w:val="2"/>
          <w:sz w:val="21"/>
        </w:rPr>
      </w:pPr>
      <w:r>
        <w:rPr>
          <w:rFonts w:hint="eastAsia" w:hAnsi="宋体"/>
          <w:b/>
          <w:color w:val="auto"/>
          <w:kern w:val="2"/>
          <w:sz w:val="21"/>
        </w:rPr>
        <w:t>（3）不同的投标人的投标文件载明的项目管理员为同一个人；</w:t>
      </w:r>
    </w:p>
    <w:p w14:paraId="3367801A">
      <w:pPr>
        <w:pStyle w:val="14"/>
        <w:snapToGrid w:val="0"/>
        <w:spacing w:line="360" w:lineRule="auto"/>
        <w:ind w:left="2" w:leftChars="1" w:firstLine="422" w:firstLineChars="200"/>
        <w:rPr>
          <w:rFonts w:hAnsi="宋体"/>
          <w:b/>
          <w:color w:val="auto"/>
          <w:kern w:val="2"/>
          <w:sz w:val="21"/>
        </w:rPr>
      </w:pPr>
      <w:r>
        <w:rPr>
          <w:rFonts w:hint="eastAsia" w:hAnsi="宋体"/>
          <w:b/>
          <w:color w:val="auto"/>
          <w:kern w:val="2"/>
          <w:sz w:val="21"/>
        </w:rPr>
        <w:t>（4）不同投标人的投标文件异常一致或者投标报价呈规律性差异；</w:t>
      </w:r>
    </w:p>
    <w:p w14:paraId="2C069DE6">
      <w:pPr>
        <w:pStyle w:val="14"/>
        <w:snapToGrid w:val="0"/>
        <w:spacing w:line="360" w:lineRule="auto"/>
        <w:ind w:left="2" w:leftChars="1" w:firstLine="422" w:firstLineChars="200"/>
        <w:rPr>
          <w:rFonts w:hAnsi="宋体"/>
          <w:b/>
          <w:color w:val="auto"/>
          <w:kern w:val="2"/>
          <w:sz w:val="21"/>
        </w:rPr>
      </w:pPr>
      <w:r>
        <w:rPr>
          <w:rFonts w:hint="eastAsia" w:hAnsi="宋体"/>
          <w:b/>
          <w:color w:val="auto"/>
          <w:kern w:val="2"/>
          <w:sz w:val="21"/>
        </w:rPr>
        <w:t>（5）不同投标人的投标保证金从同一单位或者个人账户转出。</w:t>
      </w:r>
    </w:p>
    <w:p w14:paraId="53FF4DF7">
      <w:pPr>
        <w:pStyle w:val="6"/>
        <w:keepNext w:val="0"/>
        <w:keepLines w:val="0"/>
        <w:spacing w:before="0" w:after="0" w:line="360" w:lineRule="auto"/>
        <w:ind w:left="420" w:leftChars="200"/>
        <w:rPr>
          <w:rFonts w:ascii="宋体" w:hAnsi="宋体"/>
          <w:color w:val="auto"/>
          <w:sz w:val="21"/>
          <w:szCs w:val="21"/>
        </w:rPr>
      </w:pPr>
      <w:r>
        <w:rPr>
          <w:rFonts w:ascii="宋体" w:hAnsi="宋体"/>
          <w:color w:val="auto"/>
          <w:sz w:val="21"/>
          <w:szCs w:val="21"/>
        </w:rPr>
        <w:t>9.3</w:t>
      </w:r>
      <w:r>
        <w:rPr>
          <w:rFonts w:hint="eastAsia" w:ascii="宋体" w:hAnsi="宋体"/>
          <w:color w:val="auto"/>
          <w:sz w:val="21"/>
          <w:szCs w:val="21"/>
        </w:rPr>
        <w:t>供应商有下列情形之一的，属于恶意串通行为，将报同级监督管理部门：</w:t>
      </w:r>
    </w:p>
    <w:p w14:paraId="40FAF42E">
      <w:pPr>
        <w:pStyle w:val="14"/>
        <w:snapToGrid w:val="0"/>
        <w:spacing w:line="360" w:lineRule="auto"/>
        <w:ind w:left="2" w:leftChars="1" w:firstLine="422" w:firstLineChars="200"/>
        <w:rPr>
          <w:rFonts w:hAnsi="宋体"/>
          <w:b/>
          <w:color w:val="auto"/>
          <w:kern w:val="2"/>
          <w:sz w:val="21"/>
        </w:rPr>
      </w:pPr>
      <w:r>
        <w:rPr>
          <w:rFonts w:hint="eastAsia" w:hAnsi="宋体"/>
          <w:b/>
          <w:color w:val="auto"/>
          <w:kern w:val="2"/>
          <w:sz w:val="21"/>
        </w:rPr>
        <w:t>（1）供应商直接或者间接从采购人或者采购代理机构处获得其他供应商的相关信息并修改其投标文件或者响应文件；</w:t>
      </w:r>
    </w:p>
    <w:p w14:paraId="19956414">
      <w:pPr>
        <w:pStyle w:val="14"/>
        <w:snapToGrid w:val="0"/>
        <w:spacing w:line="360" w:lineRule="auto"/>
        <w:ind w:left="2" w:leftChars="1" w:firstLine="422" w:firstLineChars="200"/>
        <w:rPr>
          <w:rFonts w:hAnsi="宋体"/>
          <w:b/>
          <w:color w:val="auto"/>
          <w:kern w:val="2"/>
          <w:sz w:val="21"/>
        </w:rPr>
      </w:pPr>
      <w:r>
        <w:rPr>
          <w:rFonts w:hint="eastAsia" w:hAnsi="宋体"/>
          <w:b/>
          <w:color w:val="auto"/>
          <w:kern w:val="2"/>
          <w:sz w:val="21"/>
        </w:rPr>
        <w:t>（2）供应商按照采购人或者采购代理机构的授意撤换、修改投标文件或者响应文件；</w:t>
      </w:r>
    </w:p>
    <w:p w14:paraId="7D88528A">
      <w:pPr>
        <w:pStyle w:val="14"/>
        <w:snapToGrid w:val="0"/>
        <w:spacing w:line="360" w:lineRule="auto"/>
        <w:ind w:left="2" w:leftChars="1" w:firstLine="422" w:firstLineChars="200"/>
        <w:rPr>
          <w:rFonts w:hAnsi="宋体"/>
          <w:b/>
          <w:color w:val="auto"/>
          <w:kern w:val="2"/>
          <w:sz w:val="21"/>
        </w:rPr>
      </w:pPr>
      <w:r>
        <w:rPr>
          <w:rFonts w:hint="eastAsia" w:hAnsi="宋体"/>
          <w:b/>
          <w:color w:val="auto"/>
          <w:kern w:val="2"/>
          <w:sz w:val="21"/>
        </w:rPr>
        <w:t>（3）供应商之间协商报价、技术方案等投标文件或者响应文件的实质性内容；</w:t>
      </w:r>
    </w:p>
    <w:p w14:paraId="74DD19CB">
      <w:pPr>
        <w:pStyle w:val="14"/>
        <w:snapToGrid w:val="0"/>
        <w:spacing w:line="360" w:lineRule="auto"/>
        <w:ind w:left="2" w:leftChars="1" w:firstLine="422" w:firstLineChars="200"/>
        <w:rPr>
          <w:rFonts w:hAnsi="宋体"/>
          <w:b/>
          <w:color w:val="auto"/>
          <w:kern w:val="2"/>
          <w:sz w:val="21"/>
        </w:rPr>
      </w:pPr>
      <w:r>
        <w:rPr>
          <w:rFonts w:hint="eastAsia" w:hAnsi="宋体"/>
          <w:b/>
          <w:color w:val="auto"/>
          <w:kern w:val="2"/>
          <w:sz w:val="21"/>
        </w:rPr>
        <w:t>（4）属于同一集团、协会、商会等组织成员的供应商按照该组织要求协同参加政府采购活动；</w:t>
      </w:r>
    </w:p>
    <w:p w14:paraId="6400A8FF">
      <w:pPr>
        <w:pStyle w:val="14"/>
        <w:snapToGrid w:val="0"/>
        <w:spacing w:line="360" w:lineRule="auto"/>
        <w:ind w:left="2" w:leftChars="1" w:firstLine="422" w:firstLineChars="200"/>
        <w:rPr>
          <w:rFonts w:hAnsi="宋体"/>
          <w:b/>
          <w:color w:val="auto"/>
          <w:kern w:val="2"/>
          <w:sz w:val="21"/>
        </w:rPr>
      </w:pPr>
      <w:r>
        <w:rPr>
          <w:rFonts w:hint="eastAsia" w:hAnsi="宋体"/>
          <w:b/>
          <w:color w:val="auto"/>
          <w:kern w:val="2"/>
          <w:sz w:val="21"/>
        </w:rPr>
        <w:t>（5）供应商之间事先约定一致抬高或者压低投标报价，或者在招标项目中事先约定轮流以高价位或者低价位中标，或者事先约定由某一特定供应商中标，然后再参加投标；</w:t>
      </w:r>
    </w:p>
    <w:p w14:paraId="57C4E11C">
      <w:pPr>
        <w:pStyle w:val="14"/>
        <w:snapToGrid w:val="0"/>
        <w:spacing w:line="360" w:lineRule="auto"/>
        <w:ind w:left="2" w:leftChars="1" w:firstLine="422" w:firstLineChars="200"/>
        <w:rPr>
          <w:rFonts w:hAnsi="宋体"/>
          <w:b/>
          <w:color w:val="auto"/>
          <w:kern w:val="2"/>
          <w:sz w:val="21"/>
        </w:rPr>
      </w:pPr>
      <w:r>
        <w:rPr>
          <w:rFonts w:hint="eastAsia" w:hAnsi="宋体"/>
          <w:b/>
          <w:color w:val="auto"/>
          <w:kern w:val="2"/>
          <w:sz w:val="21"/>
        </w:rPr>
        <w:t>（6）供应商之间商定部分供应商放弃参加政府采购活动或者放弃中标；</w:t>
      </w:r>
    </w:p>
    <w:p w14:paraId="0378F023">
      <w:pPr>
        <w:pStyle w:val="14"/>
        <w:snapToGrid w:val="0"/>
        <w:spacing w:line="360" w:lineRule="auto"/>
        <w:ind w:left="2" w:leftChars="1" w:firstLine="422" w:firstLineChars="200"/>
        <w:rPr>
          <w:rFonts w:hAnsi="宋体"/>
          <w:b/>
          <w:color w:val="auto"/>
          <w:kern w:val="2"/>
          <w:sz w:val="21"/>
        </w:rPr>
      </w:pPr>
      <w:r>
        <w:rPr>
          <w:rFonts w:hint="eastAsia" w:hAnsi="宋体"/>
          <w:b/>
          <w:color w:val="auto"/>
          <w:kern w:val="2"/>
          <w:sz w:val="21"/>
        </w:rPr>
        <w:t>（7）供应商与采购人或者采购代理机构之间、供应商相互之间，为谋求特定供应商中标或者排斥其他供应商的其他串通行为。</w:t>
      </w:r>
    </w:p>
    <w:p w14:paraId="6C5BC3CD">
      <w:pPr>
        <w:snapToGrid w:val="0"/>
        <w:spacing w:line="380" w:lineRule="exact"/>
        <w:ind w:left="2" w:leftChars="1" w:firstLine="422" w:firstLineChars="200"/>
        <w:rPr>
          <w:rFonts w:ascii="宋体" w:hAnsi="宋体" w:cs="宋体"/>
          <w:b/>
          <w:color w:val="auto"/>
          <w:szCs w:val="21"/>
        </w:rPr>
      </w:pPr>
      <w:r>
        <w:rPr>
          <w:rFonts w:hint="eastAsia" w:ascii="宋体" w:hAnsi="宋体" w:cs="宋体"/>
          <w:b/>
          <w:color w:val="auto"/>
          <w:szCs w:val="21"/>
        </w:rPr>
        <w:t>9.4关联供应商不得参加同一合同项下政府采购活动，否则投标文件将被视为无效：</w:t>
      </w:r>
    </w:p>
    <w:p w14:paraId="7526A370">
      <w:pPr>
        <w:snapToGrid w:val="0"/>
        <w:spacing w:line="380" w:lineRule="exact"/>
        <w:ind w:left="2" w:leftChars="1" w:firstLine="420" w:firstLineChars="200"/>
        <w:rPr>
          <w:rFonts w:ascii="宋体" w:hAnsi="宋体" w:cs="宋体"/>
          <w:bCs/>
          <w:color w:val="auto"/>
          <w:szCs w:val="21"/>
        </w:rPr>
      </w:pPr>
      <w:r>
        <w:rPr>
          <w:rFonts w:hint="eastAsia" w:ascii="宋体" w:hAnsi="宋体" w:cs="宋体"/>
          <w:bCs/>
          <w:color w:val="auto"/>
          <w:szCs w:val="21"/>
        </w:rPr>
        <w:t>单位负责人为同一人或者存在直接控股、管理关系的不同的供应商，不得参加同一合同项下的政府采购活动</w:t>
      </w:r>
      <w:r>
        <w:rPr>
          <w:rFonts w:hint="eastAsia" w:ascii="宋体" w:hAnsi="宋体" w:cs="宋体"/>
          <w:bCs/>
          <w:color w:val="auto"/>
          <w:szCs w:val="21"/>
          <w:lang w:eastAsia="zh-CN"/>
        </w:rPr>
        <w:t>。</w:t>
      </w:r>
    </w:p>
    <w:p w14:paraId="3271030B">
      <w:pPr>
        <w:pStyle w:val="4"/>
        <w:keepNext w:val="0"/>
        <w:keepLines w:val="0"/>
        <w:jc w:val="center"/>
        <w:rPr>
          <w:color w:val="auto"/>
        </w:rPr>
      </w:pPr>
      <w:bookmarkStart w:id="129" w:name="_Toc254970534"/>
      <w:bookmarkStart w:id="130" w:name="_Toc254970675"/>
      <w:r>
        <w:rPr>
          <w:rFonts w:hint="eastAsia"/>
          <w:color w:val="auto"/>
        </w:rPr>
        <w:t>二、招标文件</w:t>
      </w:r>
      <w:bookmarkEnd w:id="129"/>
      <w:bookmarkEnd w:id="130"/>
    </w:p>
    <w:p w14:paraId="025D2CDF">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10.招标文件的组成</w:t>
      </w:r>
    </w:p>
    <w:p w14:paraId="5622DF1F">
      <w:pPr>
        <w:pStyle w:val="6"/>
        <w:keepNext w:val="0"/>
        <w:keepLines w:val="0"/>
        <w:spacing w:before="0" w:after="0" w:line="360" w:lineRule="auto"/>
        <w:ind w:left="420" w:leftChars="200"/>
        <w:rPr>
          <w:rFonts w:ascii="宋体" w:hAnsi="宋体"/>
          <w:b w:val="0"/>
          <w:color w:val="auto"/>
          <w:kern w:val="0"/>
          <w:sz w:val="21"/>
          <w:szCs w:val="21"/>
        </w:rPr>
      </w:pPr>
      <w:r>
        <w:rPr>
          <w:rFonts w:hint="eastAsia" w:ascii="宋体" w:hAnsi="宋体"/>
          <w:b w:val="0"/>
          <w:color w:val="auto"/>
          <w:kern w:val="0"/>
          <w:sz w:val="21"/>
          <w:szCs w:val="21"/>
        </w:rPr>
        <w:t>第一章 招标公告；</w:t>
      </w:r>
    </w:p>
    <w:p w14:paraId="70225C07">
      <w:pPr>
        <w:pStyle w:val="6"/>
        <w:keepNext w:val="0"/>
        <w:keepLines w:val="0"/>
        <w:spacing w:before="0" w:after="0" w:line="360" w:lineRule="auto"/>
        <w:ind w:left="420" w:leftChars="200"/>
        <w:rPr>
          <w:rFonts w:ascii="宋体" w:hAnsi="宋体"/>
          <w:b w:val="0"/>
          <w:color w:val="auto"/>
          <w:kern w:val="0"/>
          <w:sz w:val="21"/>
          <w:szCs w:val="21"/>
        </w:rPr>
      </w:pPr>
      <w:r>
        <w:rPr>
          <w:rFonts w:hint="eastAsia" w:ascii="宋体" w:hAnsi="宋体"/>
          <w:b w:val="0"/>
          <w:color w:val="auto"/>
          <w:kern w:val="0"/>
          <w:sz w:val="21"/>
          <w:szCs w:val="21"/>
        </w:rPr>
        <w:t xml:space="preserve">第二章 采购需求； </w:t>
      </w:r>
    </w:p>
    <w:p w14:paraId="69AFE79E">
      <w:pPr>
        <w:pStyle w:val="6"/>
        <w:keepNext w:val="0"/>
        <w:keepLines w:val="0"/>
        <w:spacing w:before="0" w:after="0" w:line="360" w:lineRule="auto"/>
        <w:ind w:left="420" w:leftChars="200"/>
        <w:rPr>
          <w:rFonts w:ascii="宋体" w:hAnsi="宋体"/>
          <w:b w:val="0"/>
          <w:color w:val="auto"/>
          <w:kern w:val="0"/>
          <w:sz w:val="21"/>
          <w:szCs w:val="21"/>
        </w:rPr>
      </w:pPr>
      <w:r>
        <w:rPr>
          <w:rFonts w:hint="eastAsia" w:ascii="宋体" w:hAnsi="宋体"/>
          <w:b w:val="0"/>
          <w:color w:val="auto"/>
          <w:kern w:val="0"/>
          <w:sz w:val="21"/>
          <w:szCs w:val="21"/>
        </w:rPr>
        <w:t>第三章 投标人须知；</w:t>
      </w:r>
    </w:p>
    <w:p w14:paraId="26EA208C">
      <w:pPr>
        <w:pStyle w:val="6"/>
        <w:keepNext w:val="0"/>
        <w:keepLines w:val="0"/>
        <w:spacing w:before="0" w:after="0" w:line="360" w:lineRule="auto"/>
        <w:ind w:left="420" w:leftChars="200"/>
        <w:rPr>
          <w:rFonts w:ascii="宋体" w:hAnsi="宋体"/>
          <w:b w:val="0"/>
          <w:color w:val="auto"/>
          <w:kern w:val="0"/>
          <w:sz w:val="21"/>
          <w:szCs w:val="21"/>
        </w:rPr>
      </w:pPr>
      <w:r>
        <w:rPr>
          <w:rFonts w:hint="eastAsia" w:ascii="宋体" w:hAnsi="宋体"/>
          <w:b w:val="0"/>
          <w:color w:val="auto"/>
          <w:kern w:val="0"/>
          <w:sz w:val="21"/>
          <w:szCs w:val="21"/>
        </w:rPr>
        <w:t>第四章 评标方法及评标标准；</w:t>
      </w:r>
    </w:p>
    <w:p w14:paraId="02C1B5D5">
      <w:pPr>
        <w:pStyle w:val="6"/>
        <w:keepNext w:val="0"/>
        <w:keepLines w:val="0"/>
        <w:spacing w:before="0" w:after="0" w:line="360" w:lineRule="auto"/>
        <w:ind w:left="420" w:leftChars="200"/>
        <w:rPr>
          <w:rFonts w:ascii="宋体" w:hAnsi="宋体"/>
          <w:b w:val="0"/>
          <w:color w:val="auto"/>
          <w:kern w:val="0"/>
          <w:sz w:val="21"/>
          <w:szCs w:val="21"/>
        </w:rPr>
      </w:pPr>
      <w:r>
        <w:rPr>
          <w:rFonts w:hint="eastAsia" w:ascii="宋体" w:hAnsi="宋体"/>
          <w:b w:val="0"/>
          <w:color w:val="auto"/>
          <w:kern w:val="0"/>
          <w:sz w:val="21"/>
          <w:szCs w:val="21"/>
        </w:rPr>
        <w:t>第五章 拟签订的合同文本；</w:t>
      </w:r>
    </w:p>
    <w:p w14:paraId="2699FC8E">
      <w:pPr>
        <w:pStyle w:val="6"/>
        <w:keepNext w:val="0"/>
        <w:keepLines w:val="0"/>
        <w:spacing w:before="0" w:after="0" w:line="360" w:lineRule="auto"/>
        <w:ind w:left="420" w:leftChars="200"/>
        <w:rPr>
          <w:rFonts w:ascii="宋体" w:hAnsi="宋体"/>
          <w:b w:val="0"/>
          <w:color w:val="auto"/>
          <w:kern w:val="0"/>
          <w:sz w:val="21"/>
          <w:szCs w:val="21"/>
        </w:rPr>
      </w:pPr>
      <w:r>
        <w:rPr>
          <w:rFonts w:hint="eastAsia" w:ascii="宋体" w:hAnsi="宋体"/>
          <w:b w:val="0"/>
          <w:color w:val="auto"/>
          <w:kern w:val="0"/>
          <w:sz w:val="21"/>
          <w:szCs w:val="21"/>
        </w:rPr>
        <w:t>第六章 投标文件格式；</w:t>
      </w:r>
    </w:p>
    <w:p w14:paraId="62671A15">
      <w:pPr>
        <w:pStyle w:val="6"/>
        <w:keepNext w:val="0"/>
        <w:keepLines w:val="0"/>
        <w:spacing w:before="0" w:after="0" w:line="360" w:lineRule="auto"/>
        <w:ind w:left="420" w:leftChars="200"/>
        <w:rPr>
          <w:rFonts w:ascii="宋体" w:hAnsi="宋体"/>
          <w:b w:val="0"/>
          <w:color w:val="auto"/>
          <w:kern w:val="0"/>
          <w:sz w:val="21"/>
          <w:szCs w:val="21"/>
        </w:rPr>
      </w:pPr>
      <w:r>
        <w:rPr>
          <w:rFonts w:hint="eastAsia" w:ascii="宋体" w:hAnsi="宋体"/>
          <w:b w:val="0"/>
          <w:color w:val="auto"/>
          <w:kern w:val="0"/>
          <w:sz w:val="21"/>
          <w:szCs w:val="21"/>
        </w:rPr>
        <w:t>第七章 其他文书、文件格式</w:t>
      </w:r>
    </w:p>
    <w:p w14:paraId="497BF474">
      <w:pPr>
        <w:pStyle w:val="6"/>
        <w:keepNext w:val="0"/>
        <w:keepLines w:val="0"/>
        <w:spacing w:before="0" w:after="0" w:line="360" w:lineRule="auto"/>
        <w:ind w:firstLine="420" w:firstLineChars="200"/>
        <w:rPr>
          <w:rFonts w:ascii="宋体" w:hAnsi="宋体"/>
          <w:b w:val="0"/>
          <w:color w:val="auto"/>
          <w:kern w:val="0"/>
          <w:sz w:val="21"/>
          <w:szCs w:val="21"/>
        </w:rPr>
      </w:pPr>
      <w:r>
        <w:rPr>
          <w:rFonts w:hint="eastAsia" w:ascii="宋体" w:hAnsi="宋体"/>
          <w:b w:val="0"/>
          <w:color w:val="auto"/>
          <w:kern w:val="0"/>
          <w:sz w:val="21"/>
          <w:szCs w:val="21"/>
        </w:rPr>
        <w:t>根据本章第11.1项的规定对公开招标文件所做的澄清、修改，构成招标文件的组成部分。当公开招标文件与招标文件的澄清和修改就同一内容的表述不一致时，以最后澄清或修改公告为准</w:t>
      </w:r>
      <w:r>
        <w:rPr>
          <w:rFonts w:hint="eastAsia" w:ascii="宋体" w:hAnsi="宋体"/>
          <w:b w:val="0"/>
          <w:color w:val="auto"/>
          <w:kern w:val="0"/>
          <w:sz w:val="21"/>
          <w:szCs w:val="21"/>
          <w:lang w:eastAsia="zh-CN"/>
        </w:rPr>
        <w:t>。</w:t>
      </w:r>
    </w:p>
    <w:p w14:paraId="5B4D24A9">
      <w:pPr>
        <w:pStyle w:val="7"/>
        <w:rPr>
          <w:color w:val="auto"/>
        </w:rPr>
      </w:pPr>
    </w:p>
    <w:p w14:paraId="6994A0DC">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11.招标文件的澄清、修改 、现场考察和答疑会</w:t>
      </w:r>
    </w:p>
    <w:p w14:paraId="6F8C90AC">
      <w:pPr>
        <w:pStyle w:val="6"/>
        <w:keepNext w:val="0"/>
        <w:keepLines w:val="0"/>
        <w:spacing w:before="0" w:after="0" w:line="360" w:lineRule="auto"/>
        <w:ind w:firstLine="315" w:firstLineChars="150"/>
        <w:rPr>
          <w:rFonts w:ascii="宋体" w:hAnsi="宋体"/>
          <w:b w:val="0"/>
          <w:color w:val="auto"/>
          <w:sz w:val="21"/>
          <w:szCs w:val="21"/>
        </w:rPr>
      </w:pPr>
      <w:r>
        <w:rPr>
          <w:rFonts w:hint="eastAsia" w:ascii="宋体" w:hAnsi="宋体"/>
          <w:b w:val="0"/>
          <w:color w:val="auto"/>
          <w:sz w:val="21"/>
          <w:szCs w:val="21"/>
        </w:rPr>
        <w:t>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6E4B5212">
      <w:pPr>
        <w:spacing w:line="360" w:lineRule="auto"/>
        <w:ind w:firstLine="420" w:firstLineChars="200"/>
        <w:rPr>
          <w:color w:val="auto"/>
        </w:rPr>
      </w:pPr>
      <w:r>
        <w:rPr>
          <w:rFonts w:hint="eastAsia" w:ascii="宋体" w:hAnsi="宋体" w:cs="宋体"/>
          <w:color w:val="auto"/>
          <w:szCs w:val="21"/>
        </w:rPr>
        <w:t>11.2投标人应认真审阅本公开招标文件，如有疑问，或发现其中有误或有要求不合理的，应在投标人须知前附表规定的</w:t>
      </w:r>
      <w:r>
        <w:rPr>
          <w:rFonts w:hint="eastAsia" w:ascii="宋体" w:hAnsi="宋体" w:cs="宋体"/>
          <w:color w:val="auto"/>
          <w:kern w:val="0"/>
          <w:szCs w:val="21"/>
        </w:rPr>
        <w:t>投标截止时间</w:t>
      </w:r>
      <w:r>
        <w:rPr>
          <w:rFonts w:hint="eastAsia" w:ascii="宋体" w:hAnsi="宋体" w:cs="宋体"/>
          <w:color w:val="auto"/>
          <w:szCs w:val="21"/>
        </w:rPr>
        <w:t>前以书面形式要求采购人或采购代理机构对招标文件予以澄清；否则，由此产生的后果由投标人自行负责。</w:t>
      </w:r>
    </w:p>
    <w:p w14:paraId="58F1DD7C">
      <w:pPr>
        <w:pStyle w:val="14"/>
        <w:snapToGrid w:val="0"/>
        <w:spacing w:line="360" w:lineRule="auto"/>
        <w:ind w:firstLine="420" w:firstLineChars="200"/>
        <w:rPr>
          <w:rFonts w:hAnsi="宋体"/>
          <w:color w:val="auto"/>
          <w:sz w:val="21"/>
        </w:rPr>
      </w:pPr>
      <w:r>
        <w:rPr>
          <w:rFonts w:hint="eastAsia" w:hAnsi="宋体"/>
          <w:color w:val="auto"/>
          <w:sz w:val="21"/>
        </w:rPr>
        <w:t>11.3澄清或者修改的内容可能影响投标文件编制的，采购人或者采购代理机构应当在投标截止时间至少15日前，以书面形式通知</w:t>
      </w:r>
      <w:r>
        <w:rPr>
          <w:rFonts w:hint="eastAsia" w:hAnsi="宋体" w:cs="宋体"/>
          <w:color w:val="auto"/>
          <w:sz w:val="21"/>
        </w:rPr>
        <w:t>(在“招标公告”规定信息发布媒体上发布更正公告)</w:t>
      </w:r>
      <w:r>
        <w:rPr>
          <w:rFonts w:hint="eastAsia" w:hAnsi="宋体"/>
          <w:color w:val="auto"/>
          <w:sz w:val="21"/>
        </w:rPr>
        <w:t>所有获取招标文件的潜在投标人；不足15日的，采购人或者采购代理机构应当顺延提交投标文件的截止时间。</w:t>
      </w:r>
    </w:p>
    <w:p w14:paraId="5A6CE4DA">
      <w:pPr>
        <w:pStyle w:val="14"/>
        <w:snapToGrid w:val="0"/>
        <w:spacing w:line="360" w:lineRule="auto"/>
        <w:ind w:firstLine="420" w:firstLineChars="200"/>
        <w:rPr>
          <w:rFonts w:hAnsi="宋体"/>
          <w:color w:val="auto"/>
          <w:sz w:val="21"/>
        </w:rPr>
      </w:pPr>
      <w:r>
        <w:rPr>
          <w:rFonts w:hint="eastAsia" w:hAnsi="宋体"/>
          <w:color w:val="auto"/>
          <w:sz w:val="21"/>
        </w:rPr>
        <w:t>1</w:t>
      </w:r>
      <w:r>
        <w:rPr>
          <w:rFonts w:hAnsi="宋体"/>
          <w:color w:val="auto"/>
          <w:sz w:val="21"/>
        </w:rPr>
        <w:t>1.</w:t>
      </w:r>
      <w:bookmarkStart w:id="131" w:name="_Hlk53134511"/>
      <w:r>
        <w:rPr>
          <w:rFonts w:hint="eastAsia" w:hAnsi="宋体"/>
          <w:color w:val="auto"/>
          <w:sz w:val="21"/>
        </w:rPr>
        <w:t>4采购人或者采购代理机构可以在招标文件提供期限截止后，组织已获取招标文件的潜在投标人现场考察或者召开开标前答疑会，具体详见“投标人须知前附表”。</w:t>
      </w:r>
    </w:p>
    <w:bookmarkEnd w:id="131"/>
    <w:p w14:paraId="63347B7B">
      <w:pPr>
        <w:pStyle w:val="4"/>
        <w:keepNext w:val="0"/>
        <w:keepLines w:val="0"/>
        <w:jc w:val="center"/>
        <w:rPr>
          <w:color w:val="auto"/>
        </w:rPr>
      </w:pPr>
      <w:bookmarkStart w:id="132" w:name="_Toc254970676"/>
      <w:bookmarkStart w:id="133" w:name="_Toc254970535"/>
      <w:r>
        <w:rPr>
          <w:rFonts w:hint="eastAsia"/>
          <w:color w:val="auto"/>
        </w:rPr>
        <w:t>三、投标文件的编制</w:t>
      </w:r>
      <w:bookmarkEnd w:id="132"/>
      <w:bookmarkEnd w:id="133"/>
    </w:p>
    <w:p w14:paraId="2075D791">
      <w:pPr>
        <w:pStyle w:val="6"/>
        <w:keepNext w:val="0"/>
        <w:keepLines w:val="0"/>
        <w:spacing w:before="0" w:after="0" w:line="360" w:lineRule="auto"/>
        <w:ind w:left="420" w:leftChars="200"/>
        <w:rPr>
          <w:rFonts w:ascii="黑体" w:hAnsi="黑体" w:eastAsia="黑体"/>
          <w:color w:val="auto"/>
          <w:sz w:val="24"/>
        </w:rPr>
      </w:pPr>
      <w:bookmarkStart w:id="134" w:name="_Toc254970677"/>
      <w:bookmarkStart w:id="135" w:name="_Toc254970536"/>
      <w:r>
        <w:rPr>
          <w:rFonts w:hint="eastAsia" w:ascii="黑体" w:hAnsi="黑体" w:eastAsia="黑体"/>
          <w:color w:val="auto"/>
          <w:sz w:val="24"/>
        </w:rPr>
        <w:t>12.投标文件的编制原则</w:t>
      </w:r>
    </w:p>
    <w:p w14:paraId="517C4471">
      <w:pPr>
        <w:snapToGrid w:val="0"/>
        <w:spacing w:line="360" w:lineRule="auto"/>
        <w:ind w:firstLine="420"/>
        <w:jc w:val="left"/>
        <w:rPr>
          <w:rFonts w:ascii="宋体" w:hAnsi="宋体" w:cs="Courier New"/>
          <w:color w:val="auto"/>
          <w:szCs w:val="21"/>
        </w:rPr>
      </w:pPr>
      <w:r>
        <w:rPr>
          <w:rFonts w:ascii="宋体" w:hAnsi="宋体"/>
          <w:color w:val="auto"/>
          <w:szCs w:val="21"/>
        </w:rPr>
        <w:t>投标人必须按照招标文件的要求编制投标文件。投标文件必须对招标文件提出的要求和条件作出明确响应。</w:t>
      </w:r>
    </w:p>
    <w:p w14:paraId="5B56ED24">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13.投标文件的组成</w:t>
      </w:r>
      <w:bookmarkEnd w:id="134"/>
      <w:bookmarkEnd w:id="135"/>
    </w:p>
    <w:p w14:paraId="01DEBD34">
      <w:pPr>
        <w:snapToGrid w:val="0"/>
        <w:spacing w:line="360" w:lineRule="auto"/>
        <w:ind w:firstLine="420" w:firstLineChars="200"/>
        <w:jc w:val="left"/>
        <w:rPr>
          <w:rFonts w:ascii="宋体" w:hAnsi="宋体"/>
          <w:color w:val="auto"/>
          <w:szCs w:val="21"/>
        </w:rPr>
      </w:pPr>
      <w:r>
        <w:rPr>
          <w:rFonts w:hint="eastAsia" w:ascii="宋体" w:hAnsi="宋体"/>
          <w:color w:val="auto"/>
          <w:szCs w:val="21"/>
        </w:rPr>
        <w:t>1</w:t>
      </w:r>
      <w:r>
        <w:rPr>
          <w:rFonts w:ascii="宋体" w:hAnsi="宋体"/>
          <w:color w:val="auto"/>
          <w:szCs w:val="21"/>
        </w:rPr>
        <w:t>3.1</w:t>
      </w:r>
      <w:r>
        <w:rPr>
          <w:rFonts w:hint="eastAsia" w:ascii="宋体" w:hAnsi="宋体"/>
          <w:color w:val="auto"/>
          <w:szCs w:val="21"/>
        </w:rPr>
        <w:t>投标文件由报价文件、资格证明文件、商务文件、技术文件四部分组成。</w:t>
      </w:r>
    </w:p>
    <w:p w14:paraId="13702F73">
      <w:pPr>
        <w:pStyle w:val="6"/>
        <w:keepNext w:val="0"/>
        <w:keepLines w:val="0"/>
        <w:spacing w:before="0" w:after="0" w:line="360" w:lineRule="auto"/>
        <w:ind w:left="420" w:leftChars="200"/>
        <w:rPr>
          <w:rFonts w:ascii="宋体" w:hAnsi="宋体"/>
          <w:b w:val="0"/>
          <w:color w:val="auto"/>
          <w:sz w:val="21"/>
          <w:szCs w:val="21"/>
        </w:rPr>
      </w:pPr>
      <w:bookmarkStart w:id="136" w:name="_13.1报价文件:_具体材料见“投标人须知前附表”。"/>
      <w:bookmarkEnd w:id="136"/>
      <w:r>
        <w:rPr>
          <w:rFonts w:hint="eastAsia" w:ascii="宋体" w:hAnsi="宋体"/>
          <w:b w:val="0"/>
          <w:color w:val="auto"/>
          <w:sz w:val="21"/>
          <w:szCs w:val="21"/>
        </w:rPr>
        <w:t>（1）报价文件：</w:t>
      </w:r>
      <w:r>
        <w:rPr>
          <w:rFonts w:ascii="宋体" w:hAnsi="宋体"/>
          <w:b w:val="0"/>
          <w:color w:val="auto"/>
          <w:sz w:val="21"/>
          <w:szCs w:val="21"/>
        </w:rPr>
        <w:t>具体材料见“投标人须知前附表”</w:t>
      </w:r>
      <w:r>
        <w:rPr>
          <w:rFonts w:hint="eastAsia" w:ascii="宋体" w:hAnsi="宋体"/>
          <w:b w:val="0"/>
          <w:color w:val="auto"/>
          <w:sz w:val="21"/>
          <w:szCs w:val="21"/>
        </w:rPr>
        <w:t>。</w:t>
      </w:r>
    </w:p>
    <w:p w14:paraId="727F60D5">
      <w:pPr>
        <w:pStyle w:val="6"/>
        <w:keepNext w:val="0"/>
        <w:keepLines w:val="0"/>
        <w:spacing w:before="0" w:after="0" w:line="360" w:lineRule="auto"/>
        <w:ind w:left="420" w:leftChars="200"/>
        <w:rPr>
          <w:rFonts w:ascii="宋体" w:hAnsi="宋体"/>
          <w:b w:val="0"/>
          <w:color w:val="auto"/>
          <w:sz w:val="21"/>
          <w:szCs w:val="21"/>
        </w:rPr>
      </w:pPr>
      <w:bookmarkStart w:id="137" w:name="_13.2资格证明文件：具体材料见“投标人须知前附表”。"/>
      <w:bookmarkEnd w:id="137"/>
      <w:r>
        <w:rPr>
          <w:rFonts w:hint="eastAsia" w:ascii="宋体" w:hAnsi="宋体"/>
          <w:b w:val="0"/>
          <w:color w:val="auto"/>
          <w:sz w:val="21"/>
          <w:szCs w:val="21"/>
        </w:rPr>
        <w:t>（</w:t>
      </w:r>
      <w:r>
        <w:rPr>
          <w:rFonts w:ascii="宋体" w:hAnsi="宋体"/>
          <w:b w:val="0"/>
          <w:color w:val="auto"/>
          <w:sz w:val="21"/>
          <w:szCs w:val="21"/>
        </w:rPr>
        <w:t>2</w:t>
      </w:r>
      <w:r>
        <w:rPr>
          <w:rFonts w:hint="eastAsia" w:ascii="宋体" w:hAnsi="宋体"/>
          <w:b w:val="0"/>
          <w:color w:val="auto"/>
          <w:sz w:val="21"/>
          <w:szCs w:val="21"/>
        </w:rPr>
        <w:t>）资格证明文件：</w:t>
      </w:r>
      <w:r>
        <w:rPr>
          <w:rFonts w:ascii="宋体" w:hAnsi="宋体"/>
          <w:b w:val="0"/>
          <w:color w:val="auto"/>
          <w:sz w:val="21"/>
          <w:szCs w:val="21"/>
        </w:rPr>
        <w:t>具体材料见“投标人须知前附表”</w:t>
      </w:r>
      <w:r>
        <w:rPr>
          <w:rFonts w:hint="eastAsia" w:ascii="宋体" w:hAnsi="宋体"/>
          <w:b w:val="0"/>
          <w:color w:val="auto"/>
          <w:sz w:val="21"/>
          <w:szCs w:val="21"/>
        </w:rPr>
        <w:t>。</w:t>
      </w:r>
    </w:p>
    <w:p w14:paraId="385BAEF0">
      <w:pPr>
        <w:pStyle w:val="6"/>
        <w:keepNext w:val="0"/>
        <w:keepLines w:val="0"/>
        <w:spacing w:before="0" w:after="0" w:line="360" w:lineRule="auto"/>
        <w:ind w:left="420" w:leftChars="200"/>
        <w:rPr>
          <w:rFonts w:ascii="宋体" w:hAnsi="宋体"/>
          <w:b w:val="0"/>
          <w:color w:val="auto"/>
          <w:sz w:val="21"/>
          <w:szCs w:val="21"/>
        </w:rPr>
      </w:pPr>
      <w:bookmarkStart w:id="138" w:name="_13.3商务文件:_具体材料见“投标人须知前附表”。"/>
      <w:bookmarkEnd w:id="138"/>
      <w:r>
        <w:rPr>
          <w:rFonts w:hint="eastAsia" w:ascii="宋体" w:hAnsi="宋体"/>
          <w:b w:val="0"/>
          <w:color w:val="auto"/>
          <w:sz w:val="21"/>
          <w:szCs w:val="21"/>
        </w:rPr>
        <w:t>（</w:t>
      </w:r>
      <w:r>
        <w:rPr>
          <w:rFonts w:ascii="宋体" w:hAnsi="宋体"/>
          <w:b w:val="0"/>
          <w:color w:val="auto"/>
          <w:sz w:val="21"/>
          <w:szCs w:val="21"/>
        </w:rPr>
        <w:t>3</w:t>
      </w:r>
      <w:r>
        <w:rPr>
          <w:rFonts w:hint="eastAsia" w:ascii="宋体" w:hAnsi="宋体"/>
          <w:b w:val="0"/>
          <w:color w:val="auto"/>
          <w:sz w:val="21"/>
          <w:szCs w:val="21"/>
        </w:rPr>
        <w:t>）商务</w:t>
      </w:r>
      <w:r>
        <w:rPr>
          <w:rFonts w:hint="eastAsia" w:ascii="宋体" w:hAnsi="宋体"/>
          <w:b w:val="0"/>
          <w:color w:val="auto"/>
          <w:sz w:val="21"/>
          <w:szCs w:val="21"/>
          <w:lang w:val="en-US" w:eastAsia="zh-CN"/>
        </w:rPr>
        <w:t>技术</w:t>
      </w:r>
      <w:r>
        <w:rPr>
          <w:rFonts w:hint="eastAsia" w:ascii="宋体" w:hAnsi="宋体"/>
          <w:b w:val="0"/>
          <w:color w:val="auto"/>
          <w:sz w:val="21"/>
          <w:szCs w:val="21"/>
        </w:rPr>
        <w:t>文件：</w:t>
      </w:r>
      <w:r>
        <w:rPr>
          <w:rFonts w:ascii="宋体" w:hAnsi="宋体"/>
          <w:b w:val="0"/>
          <w:color w:val="auto"/>
          <w:sz w:val="21"/>
          <w:szCs w:val="21"/>
        </w:rPr>
        <w:t>具体材料见“投标人须知前附表”</w:t>
      </w:r>
      <w:r>
        <w:rPr>
          <w:rFonts w:hint="eastAsia" w:ascii="宋体" w:hAnsi="宋体"/>
          <w:b w:val="0"/>
          <w:color w:val="auto"/>
          <w:sz w:val="21"/>
          <w:szCs w:val="21"/>
        </w:rPr>
        <w:t>。</w:t>
      </w:r>
    </w:p>
    <w:p w14:paraId="5280A214">
      <w:pPr>
        <w:pStyle w:val="6"/>
        <w:keepNext w:val="0"/>
        <w:keepLines w:val="0"/>
        <w:spacing w:before="0" w:after="0" w:line="360" w:lineRule="auto"/>
        <w:ind w:left="420" w:leftChars="200"/>
        <w:rPr>
          <w:rFonts w:ascii="宋体" w:hAnsi="宋体"/>
          <w:b w:val="0"/>
          <w:color w:val="auto"/>
          <w:sz w:val="21"/>
          <w:szCs w:val="21"/>
        </w:rPr>
      </w:pPr>
      <w:bookmarkStart w:id="139" w:name="_13.5投标文件电子版：具体材料见“投标人须知前附表”。"/>
      <w:bookmarkEnd w:id="139"/>
      <w:bookmarkStart w:id="140" w:name="_13.4技术文件：具体材料见“投标人须知前附表”。"/>
      <w:bookmarkEnd w:id="140"/>
      <w:r>
        <w:rPr>
          <w:rFonts w:hint="eastAsia" w:ascii="宋体" w:hAnsi="宋体"/>
          <w:b w:val="0"/>
          <w:color w:val="auto"/>
          <w:sz w:val="21"/>
          <w:szCs w:val="21"/>
        </w:rPr>
        <w:t>13.</w:t>
      </w:r>
      <w:r>
        <w:rPr>
          <w:rFonts w:ascii="宋体" w:hAnsi="宋体"/>
          <w:b w:val="0"/>
          <w:color w:val="auto"/>
          <w:sz w:val="21"/>
          <w:szCs w:val="21"/>
        </w:rPr>
        <w:t>2</w:t>
      </w:r>
      <w:r>
        <w:rPr>
          <w:rFonts w:hint="eastAsia" w:ascii="宋体" w:hAnsi="宋体"/>
          <w:b w:val="0"/>
          <w:color w:val="auto"/>
          <w:sz w:val="21"/>
          <w:szCs w:val="21"/>
        </w:rPr>
        <w:t>投标文件电子版：具体要求见本节19.投标文件编制。</w:t>
      </w:r>
    </w:p>
    <w:p w14:paraId="240A6ED3">
      <w:pPr>
        <w:pStyle w:val="6"/>
        <w:keepNext w:val="0"/>
        <w:keepLines w:val="0"/>
        <w:spacing w:before="0" w:after="0" w:line="360" w:lineRule="auto"/>
        <w:ind w:left="420" w:leftChars="200"/>
        <w:rPr>
          <w:rFonts w:ascii="黑体" w:hAnsi="黑体" w:eastAsia="黑体"/>
          <w:color w:val="auto"/>
          <w:sz w:val="24"/>
        </w:rPr>
      </w:pPr>
      <w:bookmarkStart w:id="141" w:name="_Toc254970678"/>
      <w:bookmarkStart w:id="142" w:name="_Toc254970537"/>
      <w:r>
        <w:rPr>
          <w:rFonts w:hint="eastAsia" w:ascii="黑体" w:hAnsi="黑体" w:eastAsia="黑体"/>
          <w:color w:val="auto"/>
          <w:sz w:val="24"/>
        </w:rPr>
        <w:t>14.投标文件的语言及计量</w:t>
      </w:r>
      <w:bookmarkEnd w:id="141"/>
      <w:bookmarkEnd w:id="142"/>
    </w:p>
    <w:p w14:paraId="358F999D">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14.1语言文字</w:t>
      </w:r>
    </w:p>
    <w:p w14:paraId="5B0DEC88">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294349D4">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14.2投标计量单位</w:t>
      </w:r>
    </w:p>
    <w:p w14:paraId="063D57E7">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招标文件已有明确规定的，使用招标文件规定的计量单位；招标文件没有规定的，应采用中华人民共和国法定计量单位，货币种类为人民币，否则视同未响应。</w:t>
      </w:r>
    </w:p>
    <w:p w14:paraId="0EA33DF4">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15.投标文件提交的风险</w:t>
      </w:r>
    </w:p>
    <w:p w14:paraId="3FDC8973">
      <w:pPr>
        <w:pStyle w:val="14"/>
        <w:snapToGrid w:val="0"/>
        <w:spacing w:line="360" w:lineRule="auto"/>
        <w:ind w:firstLine="420" w:firstLineChars="200"/>
        <w:jc w:val="left"/>
        <w:rPr>
          <w:rFonts w:hAnsi="宋体"/>
          <w:color w:val="auto"/>
          <w:sz w:val="21"/>
        </w:rPr>
      </w:pPr>
      <w:r>
        <w:rPr>
          <w:rFonts w:hint="eastAsia" w:hAnsi="宋体"/>
          <w:color w:val="auto"/>
          <w:sz w:val="21"/>
        </w:rPr>
        <w:t>投标文件分为资格文件、商务文件、技术文件、报价文件四部分（其中：商务文件与技术文件合并编辑成一个电子文档）。各投标人在编制投标文件时请按照招标文件规定的编排格式进行，不按要求提交齐全的文件、混乱的编排导致投标文件被误读或评标委员会查找不到有效文件是造成投标人投标文件无效的风险。</w:t>
      </w:r>
      <w:r>
        <w:rPr>
          <w:rFonts w:hint="eastAsia" w:hAnsi="宋体"/>
          <w:b/>
          <w:bCs/>
          <w:color w:val="auto"/>
          <w:sz w:val="21"/>
        </w:rPr>
        <w:t>投标文件内容不齐全、未按规定的文件格式编制的、没有对招标文件作出实质性响应，投标无效</w:t>
      </w:r>
      <w:r>
        <w:rPr>
          <w:rFonts w:hint="eastAsia" w:hAnsi="宋体"/>
          <w:color w:val="auto"/>
          <w:sz w:val="21"/>
        </w:rPr>
        <w:t>。</w:t>
      </w:r>
    </w:p>
    <w:p w14:paraId="7A8E7D27">
      <w:pPr>
        <w:pStyle w:val="6"/>
        <w:keepNext w:val="0"/>
        <w:keepLines w:val="0"/>
        <w:spacing w:before="0" w:after="0" w:line="360" w:lineRule="auto"/>
        <w:ind w:left="420" w:leftChars="200"/>
        <w:rPr>
          <w:rFonts w:ascii="黑体" w:hAnsi="黑体" w:eastAsia="黑体"/>
          <w:color w:val="auto"/>
          <w:sz w:val="24"/>
        </w:rPr>
      </w:pPr>
      <w:bookmarkStart w:id="143" w:name="_Toc254970679"/>
      <w:bookmarkStart w:id="144" w:name="_Toc254970538"/>
      <w:r>
        <w:rPr>
          <w:rFonts w:hint="eastAsia" w:ascii="黑体" w:hAnsi="黑体" w:eastAsia="黑体"/>
          <w:color w:val="auto"/>
          <w:sz w:val="24"/>
        </w:rPr>
        <w:t>16.投标报价</w:t>
      </w:r>
      <w:bookmarkEnd w:id="143"/>
      <w:bookmarkEnd w:id="144"/>
    </w:p>
    <w:p w14:paraId="3698D9D2">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16.1投标报价应按“第六章　投标文件格式”中“开标一览表”格式填写。</w:t>
      </w:r>
    </w:p>
    <w:p w14:paraId="4DC99496">
      <w:pPr>
        <w:pStyle w:val="6"/>
        <w:keepNext w:val="0"/>
        <w:keepLines w:val="0"/>
        <w:spacing w:before="0" w:after="0" w:line="360" w:lineRule="auto"/>
        <w:ind w:left="420" w:leftChars="200"/>
        <w:rPr>
          <w:rFonts w:ascii="宋体" w:hAnsi="宋体"/>
          <w:b w:val="0"/>
          <w:color w:val="auto"/>
          <w:sz w:val="21"/>
          <w:szCs w:val="21"/>
        </w:rPr>
      </w:pPr>
      <w:bookmarkStart w:id="145" w:name="_16.2投标报价具体定义见投标人须知前附表。"/>
      <w:bookmarkEnd w:id="145"/>
      <w:r>
        <w:rPr>
          <w:rFonts w:hint="eastAsia" w:ascii="宋体" w:hAnsi="宋体"/>
          <w:b w:val="0"/>
          <w:color w:val="auto"/>
          <w:sz w:val="21"/>
          <w:szCs w:val="21"/>
        </w:rPr>
        <w:t>16.2投标报价具体包括内容详见“投标人须知前附表”。</w:t>
      </w:r>
    </w:p>
    <w:p w14:paraId="4339B005">
      <w:pPr>
        <w:pStyle w:val="6"/>
        <w:keepNext w:val="0"/>
        <w:keepLines w:val="0"/>
        <w:spacing w:before="0" w:after="0" w:line="360" w:lineRule="auto"/>
        <w:ind w:firstLine="420" w:firstLineChars="200"/>
        <w:rPr>
          <w:rFonts w:ascii="宋体" w:hAnsi="宋体"/>
          <w:b w:val="0"/>
          <w:bCs/>
          <w:color w:val="auto"/>
          <w:sz w:val="21"/>
          <w:szCs w:val="21"/>
        </w:rPr>
      </w:pPr>
      <w:r>
        <w:rPr>
          <w:rFonts w:hint="eastAsia" w:ascii="宋体" w:hAnsi="宋体"/>
          <w:b w:val="0"/>
          <w:color w:val="auto"/>
          <w:sz w:val="21"/>
          <w:szCs w:val="21"/>
        </w:rPr>
        <w:t>16.3投标人必须就所投项目（或每个分标，如有）的全部内容分别作完整唯一总价报价，不得存在漏项报价；投标人必须就所投项目（或分标）的单项内容作唯一报价。</w:t>
      </w:r>
    </w:p>
    <w:p w14:paraId="711E92D1">
      <w:pPr>
        <w:pStyle w:val="6"/>
        <w:keepNext w:val="0"/>
        <w:keepLines w:val="0"/>
        <w:spacing w:before="0" w:after="0" w:line="360" w:lineRule="auto"/>
        <w:ind w:firstLine="420" w:firstLineChars="200"/>
        <w:rPr>
          <w:rFonts w:ascii="宋体" w:hAnsi="宋体"/>
          <w:b w:val="0"/>
          <w:bCs/>
          <w:color w:val="auto"/>
          <w:sz w:val="21"/>
          <w:szCs w:val="21"/>
        </w:rPr>
      </w:pPr>
      <w:r>
        <w:rPr>
          <w:rFonts w:hint="eastAsia" w:ascii="宋体" w:hAnsi="宋体"/>
          <w:b w:val="0"/>
          <w:bCs/>
          <w:color w:val="auto"/>
          <w:sz w:val="21"/>
          <w:szCs w:val="21"/>
        </w:rPr>
        <w:t>16.4预算金额（人民币）：</w:t>
      </w:r>
      <w:r>
        <w:rPr>
          <w:rFonts w:hint="eastAsia" w:ascii="宋体" w:hAnsi="宋体"/>
          <w:b w:val="0"/>
          <w:color w:val="auto"/>
          <w:sz w:val="21"/>
          <w:szCs w:val="21"/>
        </w:rPr>
        <w:t>详见“招标公告”</w:t>
      </w:r>
      <w:r>
        <w:rPr>
          <w:rFonts w:hint="eastAsia" w:ascii="宋体" w:hAnsi="宋体"/>
          <w:b w:val="0"/>
          <w:bCs/>
          <w:color w:val="auto"/>
          <w:sz w:val="21"/>
          <w:szCs w:val="21"/>
        </w:rPr>
        <w:t>，投标报价超过采购预算金额的，投标文件按无效处理。</w:t>
      </w:r>
    </w:p>
    <w:p w14:paraId="1EADE813">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17.投标有效期</w:t>
      </w:r>
    </w:p>
    <w:p w14:paraId="06EF2145">
      <w:pPr>
        <w:pStyle w:val="6"/>
        <w:keepNext w:val="0"/>
        <w:keepLines w:val="0"/>
        <w:spacing w:before="0" w:after="0" w:line="360" w:lineRule="auto"/>
        <w:ind w:firstLine="420" w:firstLineChars="200"/>
        <w:rPr>
          <w:rFonts w:ascii="宋体" w:hAnsi="宋体"/>
          <w:b w:val="0"/>
          <w:bCs/>
          <w:color w:val="auto"/>
          <w:sz w:val="21"/>
          <w:szCs w:val="21"/>
        </w:rPr>
      </w:pPr>
      <w:bookmarkStart w:id="146" w:name="_17.1投标有效期应按“投标人须知中的前附表”规定的期限。"/>
      <w:bookmarkEnd w:id="146"/>
      <w:r>
        <w:rPr>
          <w:rFonts w:hint="eastAsia" w:ascii="宋体" w:hAnsi="宋体"/>
          <w:b w:val="0"/>
          <w:bCs/>
          <w:color w:val="auto"/>
          <w:sz w:val="21"/>
          <w:szCs w:val="21"/>
        </w:rPr>
        <w:t>17.1投标有效期是指为保证采购人有足够的时间在开标后完成评标、定标、合同签订等工作而要求投标人提交的投标文件在一定时间内保持有效的期限。</w:t>
      </w:r>
    </w:p>
    <w:p w14:paraId="6D2042EB">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17.2</w:t>
      </w:r>
      <w:bookmarkStart w:id="147" w:name="_Toc254970540"/>
      <w:bookmarkStart w:id="148" w:name="_Toc254970681"/>
      <w:r>
        <w:rPr>
          <w:rFonts w:hint="eastAsia" w:ascii="宋体" w:hAnsi="宋体"/>
          <w:b w:val="0"/>
          <w:color w:val="auto"/>
          <w:sz w:val="21"/>
          <w:szCs w:val="21"/>
        </w:rPr>
        <w:t xml:space="preserve"> 投标有效期应按规定的期限作出承诺，具体详见“投标人须知前附表”。</w:t>
      </w:r>
    </w:p>
    <w:p w14:paraId="5D98A9AA">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17.3投标人的投标文件在投标有效期内均保持有效。</w:t>
      </w:r>
      <w:bookmarkEnd w:id="147"/>
      <w:bookmarkEnd w:id="148"/>
    </w:p>
    <w:p w14:paraId="39685746">
      <w:pPr>
        <w:pStyle w:val="6"/>
        <w:keepNext w:val="0"/>
        <w:keepLines w:val="0"/>
        <w:spacing w:before="0" w:after="0" w:line="360" w:lineRule="auto"/>
        <w:ind w:left="420" w:leftChars="200"/>
        <w:rPr>
          <w:rFonts w:ascii="黑体" w:hAnsi="黑体" w:eastAsia="黑体"/>
          <w:color w:val="auto"/>
          <w:sz w:val="24"/>
        </w:rPr>
      </w:pPr>
      <w:bookmarkStart w:id="149" w:name="_18.投标保证金"/>
      <w:bookmarkEnd w:id="149"/>
      <w:bookmarkStart w:id="150" w:name="_Toc254970541"/>
      <w:bookmarkStart w:id="151" w:name="_Toc254970682"/>
      <w:r>
        <w:rPr>
          <w:rFonts w:hint="eastAsia" w:ascii="黑体" w:hAnsi="黑体" w:eastAsia="黑体"/>
          <w:color w:val="auto"/>
          <w:sz w:val="24"/>
        </w:rPr>
        <w:t>18.投标保证金</w:t>
      </w:r>
      <w:bookmarkEnd w:id="150"/>
      <w:bookmarkEnd w:id="151"/>
    </w:p>
    <w:p w14:paraId="62F8BBC7">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18.1投标人须按“投标人须知前附表” 的规定提交投标保证金。</w:t>
      </w:r>
    </w:p>
    <w:p w14:paraId="060A70F2">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18.2投标保证金的退还</w:t>
      </w:r>
    </w:p>
    <w:p w14:paraId="65ABADD7">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18.2.1未中标人的投标保证金自中标通知书发出之日起5个工作日内退还，退还方式如下：</w:t>
      </w:r>
    </w:p>
    <w:p w14:paraId="1FFABBFA">
      <w:pPr>
        <w:pStyle w:val="6"/>
        <w:keepNext w:val="0"/>
        <w:keepLines w:val="0"/>
        <w:spacing w:before="0" w:after="0" w:line="360" w:lineRule="auto"/>
        <w:ind w:firstLine="315" w:firstLineChars="150"/>
        <w:rPr>
          <w:rFonts w:ascii="宋体" w:hAnsi="宋体"/>
          <w:b w:val="0"/>
          <w:color w:val="auto"/>
          <w:sz w:val="21"/>
          <w:szCs w:val="21"/>
        </w:rPr>
      </w:pPr>
      <w:r>
        <w:rPr>
          <w:rFonts w:hint="eastAsia" w:ascii="宋体" w:hAnsi="宋体"/>
          <w:b w:val="0"/>
          <w:color w:val="auto"/>
          <w:sz w:val="21"/>
          <w:szCs w:val="21"/>
        </w:rPr>
        <w:t>（1）采用银行转账方式的，以转账方式退回到投标人银行账户。</w:t>
      </w:r>
    </w:p>
    <w:p w14:paraId="105B4767">
      <w:pPr>
        <w:pStyle w:val="7"/>
        <w:spacing w:line="360" w:lineRule="auto"/>
        <w:ind w:firstLine="315" w:firstLineChars="150"/>
        <w:rPr>
          <w:rFonts w:ascii="宋体" w:hAnsi="宋体"/>
          <w:color w:val="auto"/>
          <w:szCs w:val="21"/>
        </w:rPr>
      </w:pPr>
      <w:r>
        <w:rPr>
          <w:rFonts w:hint="eastAsia" w:ascii="宋体" w:hAnsi="宋体"/>
          <w:color w:val="auto"/>
          <w:szCs w:val="21"/>
        </w:rPr>
        <w:t xml:space="preserve">（2）采用支票、汇票、本票或者金融、担保机构出具的保函方式的，由投标人代表持相关授权证明材料至采购人或者采购代理机构办理支票、汇票、本票或者金融、担保机构出具的保函原件退还手续。 </w:t>
      </w:r>
    </w:p>
    <w:p w14:paraId="379EE11F">
      <w:pPr>
        <w:pStyle w:val="6"/>
        <w:keepNext w:val="0"/>
        <w:keepLines w:val="0"/>
        <w:numPr>
          <w:ilvl w:val="0"/>
          <w:numId w:val="0"/>
        </w:numPr>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18.2.2中标人的投标保证金自采购合同签订之日起5个工作日内退还，退还方式同本须知正文第1</w:t>
      </w:r>
      <w:r>
        <w:rPr>
          <w:rFonts w:ascii="宋体" w:hAnsi="宋体"/>
          <w:b w:val="0"/>
          <w:color w:val="auto"/>
          <w:sz w:val="21"/>
          <w:szCs w:val="21"/>
        </w:rPr>
        <w:t>8.2.1</w:t>
      </w:r>
      <w:r>
        <w:rPr>
          <w:rFonts w:hint="eastAsia" w:ascii="宋体" w:hAnsi="宋体"/>
          <w:b w:val="0"/>
          <w:color w:val="auto"/>
          <w:sz w:val="21"/>
          <w:szCs w:val="21"/>
        </w:rPr>
        <w:t xml:space="preserve">。 </w:t>
      </w:r>
    </w:p>
    <w:p w14:paraId="6C4F5D5D">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18.3除逾期退还投标保证金和终止招标的情形以外，投标保证金不计息。</w:t>
      </w:r>
    </w:p>
    <w:p w14:paraId="79C5AB6C">
      <w:pPr>
        <w:pStyle w:val="6"/>
        <w:keepNext w:val="0"/>
        <w:keepLines w:val="0"/>
        <w:spacing w:before="0" w:after="0" w:line="360" w:lineRule="auto"/>
        <w:ind w:left="420" w:leftChars="200"/>
        <w:rPr>
          <w:rFonts w:ascii="宋体" w:hAnsi="宋体"/>
          <w:bCs/>
          <w:color w:val="auto"/>
          <w:sz w:val="21"/>
          <w:szCs w:val="21"/>
        </w:rPr>
      </w:pPr>
      <w:r>
        <w:rPr>
          <w:rFonts w:hint="eastAsia" w:ascii="宋体" w:hAnsi="宋体"/>
          <w:bCs/>
          <w:color w:val="auto"/>
          <w:sz w:val="21"/>
          <w:szCs w:val="21"/>
        </w:rPr>
        <w:t xml:space="preserve">18.4投标人有下列情形之一的，投标保证金将不予退还： </w:t>
      </w:r>
    </w:p>
    <w:p w14:paraId="4C231047">
      <w:pPr>
        <w:snapToGrid w:val="0"/>
        <w:spacing w:line="360" w:lineRule="auto"/>
        <w:ind w:firstLine="411" w:firstLineChars="196"/>
        <w:jc w:val="left"/>
        <w:rPr>
          <w:rFonts w:ascii="宋体" w:hAnsi="宋体"/>
          <w:color w:val="auto"/>
          <w:szCs w:val="21"/>
        </w:rPr>
      </w:pPr>
      <w:r>
        <w:rPr>
          <w:rFonts w:hint="eastAsia" w:ascii="宋体" w:hAnsi="宋体"/>
          <w:color w:val="auto"/>
          <w:szCs w:val="21"/>
        </w:rPr>
        <w:t>（1）投标人在投标有效期内撤销投标文件的；</w:t>
      </w:r>
    </w:p>
    <w:p w14:paraId="5D099AD2">
      <w:pPr>
        <w:snapToGrid w:val="0"/>
        <w:spacing w:line="360" w:lineRule="auto"/>
        <w:ind w:firstLine="411" w:firstLineChars="196"/>
        <w:jc w:val="left"/>
        <w:rPr>
          <w:rFonts w:ascii="宋体" w:hAnsi="宋体"/>
          <w:color w:val="auto"/>
          <w:szCs w:val="21"/>
        </w:rPr>
      </w:pPr>
      <w:r>
        <w:rPr>
          <w:rFonts w:hint="eastAsia" w:ascii="宋体" w:hAnsi="宋体"/>
          <w:color w:val="auto"/>
          <w:szCs w:val="21"/>
        </w:rPr>
        <w:t>（2）未按规定提交履约保证金的；</w:t>
      </w:r>
    </w:p>
    <w:p w14:paraId="75CA65BE">
      <w:pPr>
        <w:snapToGrid w:val="0"/>
        <w:spacing w:line="360" w:lineRule="auto"/>
        <w:ind w:firstLine="411" w:firstLineChars="196"/>
        <w:jc w:val="left"/>
        <w:rPr>
          <w:rFonts w:ascii="宋体" w:hAnsi="宋体"/>
          <w:color w:val="auto"/>
          <w:szCs w:val="21"/>
        </w:rPr>
      </w:pPr>
      <w:r>
        <w:rPr>
          <w:rFonts w:hint="eastAsia" w:ascii="宋体" w:hAnsi="宋体"/>
          <w:color w:val="auto"/>
          <w:szCs w:val="21"/>
        </w:rPr>
        <w:t>（3）投标人在投标过程中弄虚作假，提供虚假材料的；</w:t>
      </w:r>
    </w:p>
    <w:p w14:paraId="3720FA5B">
      <w:pPr>
        <w:snapToGrid w:val="0"/>
        <w:spacing w:line="360" w:lineRule="auto"/>
        <w:ind w:firstLine="411" w:firstLineChars="196"/>
        <w:rPr>
          <w:rFonts w:ascii="宋体" w:hAnsi="宋体"/>
          <w:color w:val="auto"/>
          <w:szCs w:val="21"/>
        </w:rPr>
      </w:pPr>
      <w:r>
        <w:rPr>
          <w:rFonts w:hint="eastAsia" w:ascii="宋体" w:hAnsi="宋体"/>
          <w:color w:val="auto"/>
          <w:szCs w:val="21"/>
        </w:rPr>
        <w:t>（4）中标人无正当理由不与采购人签订合同的；</w:t>
      </w:r>
    </w:p>
    <w:p w14:paraId="5D20A368">
      <w:pPr>
        <w:snapToGrid w:val="0"/>
        <w:spacing w:line="360" w:lineRule="auto"/>
        <w:ind w:firstLine="420" w:firstLineChars="200"/>
        <w:rPr>
          <w:rFonts w:ascii="宋体" w:hAnsi="宋体"/>
          <w:color w:val="auto"/>
          <w:szCs w:val="21"/>
        </w:rPr>
      </w:pPr>
      <w:r>
        <w:rPr>
          <w:rFonts w:hint="eastAsia" w:ascii="宋体" w:hAnsi="宋体"/>
          <w:color w:val="auto"/>
          <w:szCs w:val="21"/>
        </w:rPr>
        <w:t>（5）投标人出现本章第9.2、9.3情形的；</w:t>
      </w:r>
    </w:p>
    <w:p w14:paraId="403286A2">
      <w:pPr>
        <w:snapToGrid w:val="0"/>
        <w:spacing w:line="360" w:lineRule="auto"/>
        <w:ind w:firstLine="420" w:firstLineChars="200"/>
        <w:rPr>
          <w:rFonts w:ascii="宋体" w:hAnsi="宋体"/>
          <w:color w:val="auto"/>
          <w:szCs w:val="21"/>
        </w:rPr>
      </w:pPr>
      <w:r>
        <w:rPr>
          <w:rFonts w:hint="eastAsia" w:ascii="宋体" w:hAnsi="宋体"/>
          <w:color w:val="auto"/>
          <w:szCs w:val="21"/>
        </w:rPr>
        <w:t>（6）其他严重扰乱招投标程序的。</w:t>
      </w:r>
    </w:p>
    <w:p w14:paraId="4DB20BC4">
      <w:pPr>
        <w:pStyle w:val="6"/>
        <w:keepNext w:val="0"/>
        <w:keepLines w:val="0"/>
        <w:spacing w:before="0" w:after="0" w:line="360" w:lineRule="auto"/>
        <w:ind w:left="420" w:leftChars="200"/>
        <w:rPr>
          <w:rFonts w:ascii="黑体" w:hAnsi="黑体" w:eastAsia="黑体"/>
          <w:color w:val="auto"/>
          <w:sz w:val="24"/>
        </w:rPr>
      </w:pPr>
      <w:bookmarkStart w:id="152" w:name="_Toc254970542"/>
      <w:bookmarkStart w:id="153" w:name="_Toc254970683"/>
      <w:r>
        <w:rPr>
          <w:rFonts w:hint="eastAsia" w:ascii="黑体" w:hAnsi="黑体" w:eastAsia="黑体"/>
          <w:color w:val="auto"/>
          <w:sz w:val="24"/>
        </w:rPr>
        <w:t>19.投标文件的</w:t>
      </w:r>
      <w:bookmarkEnd w:id="152"/>
      <w:bookmarkEnd w:id="153"/>
      <w:r>
        <w:rPr>
          <w:rFonts w:hint="eastAsia" w:ascii="黑体" w:hAnsi="黑体" w:eastAsia="黑体"/>
          <w:color w:val="auto"/>
          <w:sz w:val="24"/>
        </w:rPr>
        <w:t>编制</w:t>
      </w:r>
    </w:p>
    <w:p w14:paraId="4EE546AE">
      <w:pPr>
        <w:pStyle w:val="6"/>
        <w:keepNext w:val="0"/>
        <w:keepLines w:val="0"/>
        <w:numPr>
          <w:ilvl w:val="0"/>
          <w:numId w:val="0"/>
        </w:numPr>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19.1投标人需下载使用新版客户端，新版客户端下载路径：广西政府采购网（访问地址http</w:t>
      </w:r>
      <w:r>
        <w:rPr>
          <w:rFonts w:ascii="宋体" w:hAnsi="宋体"/>
          <w:b w:val="0"/>
          <w:color w:val="auto"/>
          <w:sz w:val="21"/>
          <w:szCs w:val="21"/>
        </w:rPr>
        <w:t>：</w:t>
      </w:r>
      <w:r>
        <w:rPr>
          <w:rFonts w:hint="eastAsia" w:ascii="宋体" w:hAnsi="宋体"/>
          <w:b w:val="0"/>
          <w:color w:val="auto"/>
          <w:sz w:val="21"/>
          <w:szCs w:val="21"/>
        </w:rPr>
        <w:t>//zfcg.gxzf.gov.cn/）—办事服务—下载专区，并按照本项目招标文件规定的格式和顺序和</w:t>
      </w:r>
      <w:r>
        <w:rPr>
          <w:rFonts w:hint="eastAsia" w:ascii="宋体" w:hAnsi="宋体"/>
          <w:b w:val="0"/>
          <w:bCs/>
          <w:color w:val="auto"/>
          <w:sz w:val="21"/>
          <w:szCs w:val="21"/>
        </w:rPr>
        <w:t>广西政府采购云平台</w:t>
      </w:r>
      <w:r>
        <w:rPr>
          <w:rFonts w:hint="eastAsia" w:ascii="宋体" w:hAnsi="宋体"/>
          <w:b w:val="0"/>
          <w:color w:val="auto"/>
          <w:sz w:val="21"/>
          <w:szCs w:val="21"/>
        </w:rPr>
        <w:t>的要求编制并加密。投标文件内容不完整、编排混乱导致投标文件被误读、漏读或者查找不到相关内容的，由此引发的后果由投标人承担。</w:t>
      </w:r>
    </w:p>
    <w:p w14:paraId="5C9D87C6">
      <w:pPr>
        <w:pStyle w:val="6"/>
        <w:keepNext w:val="0"/>
        <w:keepLines w:val="0"/>
        <w:numPr>
          <w:ilvl w:val="0"/>
          <w:numId w:val="0"/>
        </w:numPr>
        <w:spacing w:before="0" w:after="0" w:line="360" w:lineRule="auto"/>
        <w:ind w:firstLine="420" w:firstLineChars="200"/>
        <w:rPr>
          <w:rFonts w:ascii="宋体" w:hAnsi="宋体"/>
          <w:b w:val="0"/>
          <w:color w:val="auto"/>
          <w:sz w:val="21"/>
          <w:szCs w:val="21"/>
        </w:rPr>
      </w:pPr>
      <w:bookmarkStart w:id="154" w:name="_19.2投标文件应按报价文件、资格证明文件、商务文件、技术文件分别编制"/>
      <w:bookmarkEnd w:id="154"/>
      <w:r>
        <w:rPr>
          <w:rFonts w:hint="eastAsia" w:ascii="宋体" w:hAnsi="宋体"/>
          <w:b w:val="0"/>
          <w:color w:val="auto"/>
          <w:sz w:val="21"/>
          <w:szCs w:val="21"/>
        </w:rPr>
        <w:t>19.2为确保网上操作合法、有效和安全，投标人应当在投标截止时间前完成在</w:t>
      </w:r>
      <w:r>
        <w:rPr>
          <w:rFonts w:hint="eastAsia" w:ascii="宋体" w:hAnsi="宋体"/>
          <w:b w:val="0"/>
          <w:bCs/>
          <w:color w:val="auto"/>
          <w:sz w:val="21"/>
          <w:szCs w:val="21"/>
        </w:rPr>
        <w:t>广西政府采购云平台</w:t>
      </w:r>
      <w:r>
        <w:rPr>
          <w:rFonts w:hint="eastAsia" w:ascii="宋体" w:hAnsi="宋体"/>
          <w:b w:val="0"/>
          <w:color w:val="auto"/>
          <w:sz w:val="21"/>
          <w:szCs w:val="21"/>
        </w:rPr>
        <w:t>的身份认证，确保在电子投标过程中能够对相关数据电文进行加密和使用电子签章。</w:t>
      </w:r>
    </w:p>
    <w:p w14:paraId="6AD77334">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19.3投标文件须由投标人在规定位置签字（或者电子签名）、盖章（具体以投标人须知前附表或投标文件格式规定为准），</w:t>
      </w:r>
      <w:r>
        <w:rPr>
          <w:rFonts w:hint="eastAsia" w:ascii="宋体" w:hAnsi="宋体"/>
          <w:bCs/>
          <w:color w:val="auto"/>
          <w:sz w:val="21"/>
          <w:szCs w:val="21"/>
        </w:rPr>
        <w:t>否则按无效投标处理</w:t>
      </w:r>
      <w:r>
        <w:rPr>
          <w:rFonts w:hint="eastAsia" w:ascii="宋体" w:hAnsi="宋体"/>
          <w:b w:val="0"/>
          <w:color w:val="auto"/>
          <w:sz w:val="21"/>
          <w:szCs w:val="21"/>
        </w:rPr>
        <w:t>。</w:t>
      </w:r>
      <w:r>
        <w:rPr>
          <w:rFonts w:hint="eastAsia" w:ascii="宋体" w:hAnsi="宋体"/>
          <w:b w:val="0"/>
          <w:bCs/>
          <w:color w:val="auto"/>
          <w:sz w:val="21"/>
          <w:szCs w:val="21"/>
        </w:rPr>
        <w:t>投标人公章部分均采用CA 签章，投标文件中涉及到签字的位置使用个人CA签章，没有办理政采云个人CA签章的可在投标文件中涉及到签字的位置手写签字后扫描或者拍照做成PDF的格式上传即可。</w:t>
      </w:r>
    </w:p>
    <w:p w14:paraId="6F773430">
      <w:pPr>
        <w:pStyle w:val="6"/>
        <w:keepNext w:val="0"/>
        <w:keepLines w:val="0"/>
        <w:numPr>
          <w:ilvl w:val="0"/>
          <w:numId w:val="0"/>
        </w:numPr>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19.4投标文件中标注的投标人名称应与主体资格证明（如营业执照或者事业单位法人证书或者执业许可证或者登记证书等）及公章一致，并与“</w:t>
      </w:r>
      <w:r>
        <w:rPr>
          <w:rFonts w:hint="eastAsia" w:ascii="宋体" w:hAnsi="宋体"/>
          <w:b w:val="0"/>
          <w:bCs/>
          <w:color w:val="auto"/>
          <w:sz w:val="21"/>
          <w:szCs w:val="21"/>
        </w:rPr>
        <w:t>广西政府采购云平台</w:t>
      </w:r>
      <w:r>
        <w:rPr>
          <w:rFonts w:hint="eastAsia" w:ascii="宋体" w:hAnsi="宋体"/>
          <w:b w:val="0"/>
          <w:color w:val="auto"/>
          <w:sz w:val="21"/>
          <w:szCs w:val="21"/>
        </w:rPr>
        <w:t>”中获取招标文件的投标人名称一致，投标人为自然人的，标注的投标人名称应与身份证姓名及签名一致，</w:t>
      </w:r>
      <w:r>
        <w:rPr>
          <w:rFonts w:hint="eastAsia" w:ascii="宋体" w:hAnsi="宋体"/>
          <w:color w:val="auto"/>
          <w:sz w:val="21"/>
          <w:szCs w:val="21"/>
        </w:rPr>
        <w:t>否则按无效投标处理</w:t>
      </w:r>
      <w:r>
        <w:rPr>
          <w:rFonts w:hint="eastAsia" w:ascii="宋体" w:hAnsi="宋体"/>
          <w:b w:val="0"/>
          <w:color w:val="auto"/>
          <w:sz w:val="21"/>
          <w:szCs w:val="21"/>
        </w:rPr>
        <w:t>。</w:t>
      </w:r>
    </w:p>
    <w:p w14:paraId="5AC27BF8">
      <w:pPr>
        <w:pStyle w:val="6"/>
        <w:keepNext w:val="0"/>
        <w:keepLines w:val="0"/>
        <w:numPr>
          <w:ilvl w:val="0"/>
          <w:numId w:val="0"/>
        </w:numPr>
        <w:spacing w:before="0" w:after="0" w:line="360" w:lineRule="auto"/>
        <w:ind w:firstLine="420" w:firstLineChars="200"/>
        <w:rPr>
          <w:rFonts w:ascii="黑体" w:hAnsi="黑体" w:eastAsia="黑体"/>
          <w:color w:val="auto"/>
          <w:sz w:val="24"/>
        </w:rPr>
      </w:pPr>
      <w:r>
        <w:rPr>
          <w:rFonts w:hint="eastAsia" w:ascii="宋体" w:hAnsi="宋体"/>
          <w:b w:val="0"/>
          <w:color w:val="auto"/>
          <w:sz w:val="21"/>
          <w:szCs w:val="21"/>
        </w:rPr>
        <w:t>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14:paraId="1C133EEA">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20.投备份投标文件</w:t>
      </w:r>
    </w:p>
    <w:p w14:paraId="0324A70D">
      <w:pPr>
        <w:pStyle w:val="6"/>
        <w:keepNext w:val="0"/>
        <w:keepLines w:val="0"/>
        <w:numPr>
          <w:ilvl w:val="0"/>
          <w:numId w:val="0"/>
        </w:numPr>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电子备份投标文件是指通过“广西政府采购云平台电子投标客户端”在线编制生成且后缀名为“bfbs”的文件，是否接受电子备份投标文件详见在“投标人须知前附表”。</w:t>
      </w:r>
    </w:p>
    <w:p w14:paraId="04DF8509">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21.投标文件的提交</w:t>
      </w:r>
    </w:p>
    <w:p w14:paraId="6B1B4559">
      <w:pPr>
        <w:spacing w:line="360" w:lineRule="auto"/>
        <w:ind w:firstLine="420" w:firstLineChars="200"/>
        <w:rPr>
          <w:rFonts w:ascii="宋体" w:hAnsi="宋体"/>
          <w:color w:val="auto"/>
          <w:szCs w:val="21"/>
        </w:rPr>
      </w:pPr>
      <w:bookmarkStart w:id="155" w:name="_21.1投标人必须在“投标人须知中的前附表”规定的投标文件接收时间和投"/>
      <w:bookmarkEnd w:id="155"/>
      <w:r>
        <w:rPr>
          <w:rFonts w:hint="eastAsia" w:ascii="宋体" w:hAnsi="宋体"/>
          <w:color w:val="auto"/>
          <w:szCs w:val="21"/>
        </w:rPr>
        <w:t xml:space="preserve">21.1投标人必须在“投标人须知前附表”规定的投标文件提交截止时间前将电子投标文件提交至投标地点。电子投标文件应在制作完成后，在投标截止时间前通过有效数字证书（CA认证锁）进行电子签章、加密，然后通过网络将加密的电子投标文件递交至广西政府采购云平台。  </w:t>
      </w:r>
    </w:p>
    <w:p w14:paraId="5B12B327">
      <w:pPr>
        <w:spacing w:line="360" w:lineRule="auto"/>
        <w:ind w:firstLine="422" w:firstLineChars="200"/>
        <w:rPr>
          <w:rFonts w:ascii="宋体" w:hAnsi="宋体"/>
          <w:b/>
          <w:bCs/>
          <w:color w:val="auto"/>
          <w:szCs w:val="21"/>
        </w:rPr>
      </w:pPr>
      <w:r>
        <w:rPr>
          <w:rFonts w:hint="eastAsia" w:ascii="宋体" w:hAnsi="宋体"/>
          <w:b/>
          <w:bCs/>
          <w:color w:val="auto"/>
          <w:szCs w:val="21"/>
        </w:rPr>
        <w:t>21.2未在规定时间内提交或者未按照招标文件要求加密的电子投标文件，广西政府采购云平台将拒收。</w:t>
      </w:r>
    </w:p>
    <w:p w14:paraId="5BC16F97">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22.投标文件的补充、修改、撤回与退回</w:t>
      </w:r>
    </w:p>
    <w:p w14:paraId="38992578">
      <w:pPr>
        <w:spacing w:line="360" w:lineRule="auto"/>
        <w:ind w:firstLine="420" w:firstLineChars="200"/>
        <w:rPr>
          <w:rFonts w:ascii="宋体" w:hAnsi="宋体" w:cs="宋体"/>
          <w:color w:val="auto"/>
          <w:szCs w:val="21"/>
        </w:rPr>
      </w:pPr>
      <w:r>
        <w:rPr>
          <w:rFonts w:hint="eastAsia" w:ascii="宋体" w:hAnsi="宋体" w:cs="宋体"/>
          <w:color w:val="auto"/>
          <w:szCs w:val="21"/>
        </w:rPr>
        <w:t>22.1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补充、修改或者撤回方式可登陆“广西政府采购云平台，进入“服务中心”中查看“电子投标文件制作与投送教程”）</w:t>
      </w:r>
    </w:p>
    <w:p w14:paraId="42839A5A">
      <w:pPr>
        <w:spacing w:line="360" w:lineRule="auto"/>
        <w:ind w:firstLine="420" w:firstLineChars="200"/>
        <w:rPr>
          <w:rFonts w:ascii="宋体" w:hAnsi="宋体" w:cs="宋体"/>
          <w:color w:val="auto"/>
          <w:szCs w:val="21"/>
        </w:rPr>
      </w:pPr>
      <w:r>
        <w:rPr>
          <w:rFonts w:hint="eastAsia" w:ascii="宋体" w:hAnsi="宋体" w:cs="宋体"/>
          <w:color w:val="auto"/>
          <w:szCs w:val="21"/>
        </w:rPr>
        <w:t>22.2广西政府采购云平台收到投标文件后向供应商发出确认回执通知。在投标截止时间前，除供应商补充、修改或者撤回投标文件外，任何单位和个人不得解密或提取投标文件。</w:t>
      </w:r>
    </w:p>
    <w:p w14:paraId="6E5C7962">
      <w:pPr>
        <w:spacing w:line="360" w:lineRule="auto"/>
        <w:ind w:firstLine="420" w:firstLineChars="200"/>
        <w:rPr>
          <w:rFonts w:ascii="宋体" w:hAnsi="宋体" w:cs="宋体"/>
          <w:color w:val="auto"/>
          <w:szCs w:val="21"/>
        </w:rPr>
      </w:pPr>
      <w:r>
        <w:rPr>
          <w:rFonts w:hint="eastAsia" w:ascii="宋体" w:hAnsi="宋体" w:cs="宋体"/>
          <w:color w:val="auto"/>
          <w:szCs w:val="21"/>
        </w:rPr>
        <w:t>22.3在投标截止时间后，采购人和采购代理机构对已提交的投标文件概不退回。</w:t>
      </w:r>
    </w:p>
    <w:p w14:paraId="2E112758">
      <w:pPr>
        <w:pStyle w:val="13"/>
        <w:snapToGrid w:val="0"/>
        <w:spacing w:line="360" w:lineRule="auto"/>
        <w:ind w:firstLine="739"/>
        <w:rPr>
          <w:rFonts w:ascii="宋体" w:hAnsi="宋体" w:eastAsia="宋体"/>
          <w:snapToGrid w:val="0"/>
          <w:color w:val="auto"/>
          <w:sz w:val="21"/>
          <w:szCs w:val="21"/>
        </w:rPr>
      </w:pPr>
    </w:p>
    <w:p w14:paraId="629289F0">
      <w:pPr>
        <w:pStyle w:val="4"/>
        <w:keepNext w:val="0"/>
        <w:keepLines w:val="0"/>
        <w:jc w:val="center"/>
        <w:rPr>
          <w:color w:val="auto"/>
        </w:rPr>
      </w:pPr>
      <w:bookmarkStart w:id="156" w:name="_Toc254970544"/>
      <w:bookmarkStart w:id="157" w:name="_Toc254970685"/>
      <w:r>
        <w:rPr>
          <w:rFonts w:hint="eastAsia"/>
          <w:color w:val="auto"/>
        </w:rPr>
        <w:t>四、开标</w:t>
      </w:r>
      <w:bookmarkEnd w:id="156"/>
      <w:bookmarkEnd w:id="157"/>
    </w:p>
    <w:p w14:paraId="7A14AE8D">
      <w:pPr>
        <w:pStyle w:val="6"/>
        <w:keepNext w:val="0"/>
        <w:keepLines w:val="0"/>
        <w:spacing w:before="0" w:after="0" w:line="360" w:lineRule="auto"/>
        <w:ind w:left="420" w:leftChars="200"/>
        <w:rPr>
          <w:rFonts w:ascii="黑体" w:hAnsi="黑体" w:eastAsia="黑体"/>
          <w:color w:val="auto"/>
          <w:sz w:val="24"/>
        </w:rPr>
      </w:pPr>
      <w:bookmarkStart w:id="158" w:name="_23.开标时间和地点"/>
      <w:bookmarkEnd w:id="158"/>
      <w:r>
        <w:rPr>
          <w:rFonts w:hint="eastAsia" w:ascii="黑体" w:hAnsi="黑体" w:eastAsia="黑体"/>
          <w:color w:val="auto"/>
          <w:sz w:val="24"/>
        </w:rPr>
        <w:t>23.开标时间和地点</w:t>
      </w:r>
    </w:p>
    <w:p w14:paraId="270F6E35">
      <w:pPr>
        <w:spacing w:line="360" w:lineRule="auto"/>
        <w:ind w:firstLine="420" w:firstLineChars="200"/>
        <w:rPr>
          <w:rFonts w:hAnsi="宋体"/>
          <w:bCs/>
          <w:color w:val="auto"/>
        </w:rPr>
      </w:pPr>
      <w:r>
        <w:rPr>
          <w:rFonts w:hint="eastAsia" w:hAnsi="宋体"/>
          <w:bCs/>
          <w:color w:val="auto"/>
        </w:rPr>
        <w:t>开标时间及地点详见“投标人须知前附表”</w:t>
      </w:r>
    </w:p>
    <w:p w14:paraId="094DD068">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24.开标程序</w:t>
      </w:r>
    </w:p>
    <w:p w14:paraId="122F6F7B">
      <w:pPr>
        <w:pStyle w:val="7"/>
        <w:spacing w:line="360" w:lineRule="auto"/>
        <w:rPr>
          <w:color w:val="auto"/>
        </w:rPr>
      </w:pPr>
      <w:r>
        <w:rPr>
          <w:rFonts w:hint="eastAsia"/>
          <w:color w:val="auto"/>
        </w:rPr>
        <w:t>2</w:t>
      </w:r>
      <w:r>
        <w:rPr>
          <w:color w:val="auto"/>
        </w:rPr>
        <w:t>4.1</w:t>
      </w:r>
      <w:r>
        <w:rPr>
          <w:rFonts w:hint="eastAsia"/>
          <w:color w:val="auto"/>
        </w:rPr>
        <w:t>提交投标文件截止时间止，投标人不足3家的，不得开标。</w:t>
      </w:r>
    </w:p>
    <w:p w14:paraId="40B35406">
      <w:pPr>
        <w:pStyle w:val="7"/>
        <w:spacing w:line="360" w:lineRule="auto"/>
        <w:rPr>
          <w:color w:val="auto"/>
        </w:rPr>
      </w:pPr>
      <w:r>
        <w:rPr>
          <w:rFonts w:hint="eastAsia"/>
          <w:color w:val="auto"/>
        </w:rPr>
        <w:t>24.</w:t>
      </w:r>
      <w:r>
        <w:rPr>
          <w:color w:val="auto"/>
        </w:rPr>
        <w:t>2</w:t>
      </w:r>
      <w:r>
        <w:rPr>
          <w:rFonts w:hint="eastAsia"/>
          <w:color w:val="auto"/>
        </w:rPr>
        <w:t>采购代理机构将按照招标文件规定的时间通过</w:t>
      </w:r>
      <w:r>
        <w:rPr>
          <w:rFonts w:hint="eastAsia" w:ascii="宋体" w:hAnsi="宋体"/>
          <w:bCs/>
          <w:color w:val="auto"/>
          <w:szCs w:val="21"/>
        </w:rPr>
        <w:t>广西政府采购云平台</w:t>
      </w:r>
      <w:r>
        <w:rPr>
          <w:rFonts w:hint="eastAsia"/>
          <w:color w:val="auto"/>
        </w:rPr>
        <w:t>组织线上开标活动，所有供应商均应当准时在线参加，投标人因未在线参加开标而导致投标文件无法按时解密等一切后果由投标人自己承担。</w:t>
      </w:r>
    </w:p>
    <w:p w14:paraId="15B7911B">
      <w:pPr>
        <w:pStyle w:val="7"/>
        <w:spacing w:line="360" w:lineRule="auto"/>
        <w:rPr>
          <w:color w:val="auto"/>
        </w:rPr>
      </w:pPr>
      <w:r>
        <w:rPr>
          <w:rFonts w:hint="eastAsia"/>
          <w:color w:val="auto"/>
        </w:rPr>
        <w:t>24.</w:t>
      </w:r>
      <w:r>
        <w:rPr>
          <w:color w:val="auto"/>
        </w:rPr>
        <w:t>3</w:t>
      </w:r>
      <w:r>
        <w:rPr>
          <w:rFonts w:hint="eastAsia"/>
          <w:color w:val="auto"/>
        </w:rPr>
        <w:t>开标程序</w:t>
      </w:r>
    </w:p>
    <w:p w14:paraId="0ED2085B">
      <w:pPr>
        <w:pStyle w:val="7"/>
        <w:spacing w:line="360" w:lineRule="auto"/>
        <w:rPr>
          <w:color w:val="auto"/>
        </w:rPr>
      </w:pPr>
      <w:r>
        <w:rPr>
          <w:rFonts w:hint="eastAsia"/>
          <w:color w:val="auto"/>
        </w:rPr>
        <w:t>（1）解密电子投标文件。</w:t>
      </w:r>
      <w:r>
        <w:rPr>
          <w:rFonts w:hint="eastAsia" w:ascii="宋体" w:hAnsi="宋体"/>
          <w:bCs/>
          <w:color w:val="auto"/>
          <w:szCs w:val="21"/>
        </w:rPr>
        <w:t>广西政府采购云平台</w:t>
      </w:r>
      <w:r>
        <w:rPr>
          <w:rFonts w:hint="eastAsia"/>
          <w:color w:val="auto"/>
        </w:rPr>
        <w:t>按开标时间自动提取所有投标文件。采购代理机构依托</w:t>
      </w:r>
      <w:r>
        <w:rPr>
          <w:rFonts w:hint="eastAsia" w:ascii="宋体" w:hAnsi="宋体"/>
          <w:bCs/>
          <w:color w:val="auto"/>
          <w:szCs w:val="21"/>
        </w:rPr>
        <w:t>广西政府采购云平台</w:t>
      </w:r>
      <w:r>
        <w:rPr>
          <w:rFonts w:hint="eastAsia"/>
          <w:color w:val="auto"/>
        </w:rPr>
        <w:t>向各投标人发出电子加密投标文件【开始解密】通知，由投标人按</w:t>
      </w:r>
      <w:r>
        <w:rPr>
          <w:rFonts w:hint="eastAsia" w:hAnsi="宋体"/>
          <w:bCs/>
          <w:color w:val="auto"/>
          <w:szCs w:val="21"/>
        </w:rPr>
        <w:t>“投标人须知前附表”</w:t>
      </w:r>
      <w:r>
        <w:rPr>
          <w:rFonts w:hint="eastAsia"/>
          <w:color w:val="auto"/>
        </w:rPr>
        <w:t>规定的时间内自行进行投标文件解密。投标人的法定代表人或其委托代理人须凭加密时所用的CA锁准时登录到</w:t>
      </w:r>
      <w:r>
        <w:rPr>
          <w:rFonts w:hint="eastAsia" w:ascii="宋体" w:hAnsi="宋体"/>
          <w:bCs/>
          <w:color w:val="auto"/>
          <w:szCs w:val="21"/>
        </w:rPr>
        <w:t>广西政府采购云平台</w:t>
      </w:r>
      <w:r>
        <w:rPr>
          <w:rFonts w:hint="eastAsia"/>
          <w:color w:val="auto"/>
        </w:rPr>
        <w:t>电子开标大厅签到并对电子投标文件解密。</w:t>
      </w:r>
      <w:r>
        <w:rPr>
          <w:b/>
          <w:color w:val="auto"/>
        </w:rPr>
        <w:t>投标人</w:t>
      </w:r>
      <w:r>
        <w:rPr>
          <w:rFonts w:hint="eastAsia"/>
          <w:b/>
          <w:color w:val="auto"/>
        </w:rPr>
        <w:t>未在</w:t>
      </w:r>
      <w:r>
        <w:rPr>
          <w:b/>
          <w:color w:val="auto"/>
        </w:rPr>
        <w:t>规定的时间内解密</w:t>
      </w:r>
      <w:r>
        <w:rPr>
          <w:rFonts w:hint="eastAsia"/>
          <w:b/>
          <w:color w:val="auto"/>
        </w:rPr>
        <w:t>投标文件</w:t>
      </w:r>
      <w:r>
        <w:rPr>
          <w:b/>
          <w:color w:val="auto"/>
        </w:rPr>
        <w:t>或</w:t>
      </w:r>
      <w:r>
        <w:rPr>
          <w:rFonts w:hint="eastAsia"/>
          <w:b/>
          <w:color w:val="auto"/>
        </w:rPr>
        <w:t>者</w:t>
      </w:r>
      <w:r>
        <w:rPr>
          <w:b/>
          <w:color w:val="auto"/>
        </w:rPr>
        <w:t>解密失败的</w:t>
      </w:r>
      <w:r>
        <w:rPr>
          <w:rFonts w:hint="eastAsia"/>
          <w:b/>
          <w:color w:val="auto"/>
        </w:rPr>
        <w:t>，</w:t>
      </w:r>
      <w:r>
        <w:rPr>
          <w:rFonts w:hint="eastAsia" w:ascii="宋体" w:hAnsi="宋体"/>
          <w:b/>
          <w:color w:val="auto"/>
          <w:szCs w:val="21"/>
        </w:rPr>
        <w:t>投标人的投标文件作无效处理。</w:t>
      </w:r>
    </w:p>
    <w:p w14:paraId="457955D6">
      <w:pPr>
        <w:pStyle w:val="7"/>
        <w:spacing w:line="360" w:lineRule="auto"/>
        <w:rPr>
          <w:color w:val="auto"/>
        </w:rPr>
      </w:pPr>
      <w:r>
        <w:rPr>
          <w:rFonts w:hint="eastAsia"/>
          <w:color w:val="auto"/>
        </w:rPr>
        <w:t>（2）电子唱标。投标文件解密结束，宣布的内容均在</w:t>
      </w:r>
      <w:r>
        <w:rPr>
          <w:rFonts w:hint="eastAsia" w:ascii="宋体" w:hAnsi="宋体"/>
          <w:bCs/>
          <w:color w:val="auto"/>
          <w:szCs w:val="21"/>
        </w:rPr>
        <w:t>广西政府采购云平台</w:t>
      </w:r>
      <w:r>
        <w:rPr>
          <w:rFonts w:hint="eastAsia"/>
          <w:color w:val="auto"/>
        </w:rPr>
        <w:t>远程开标大厅展示，具体详见</w:t>
      </w:r>
      <w:r>
        <w:rPr>
          <w:rFonts w:hint="eastAsia" w:hAnsi="宋体"/>
          <w:bCs/>
          <w:color w:val="auto"/>
        </w:rPr>
        <w:t>“投标人须知前附表”</w:t>
      </w:r>
      <w:r>
        <w:rPr>
          <w:rFonts w:hint="eastAsia"/>
          <w:color w:val="auto"/>
        </w:rPr>
        <w:t>；</w:t>
      </w:r>
    </w:p>
    <w:p w14:paraId="406922C8">
      <w:pPr>
        <w:pStyle w:val="7"/>
        <w:spacing w:line="360" w:lineRule="auto"/>
        <w:rPr>
          <w:color w:val="auto"/>
          <w:szCs w:val="21"/>
        </w:rPr>
      </w:pPr>
      <w:r>
        <w:rPr>
          <w:rFonts w:hint="eastAsia"/>
          <w:color w:val="auto"/>
        </w:rPr>
        <w:t>（3）开标过程由采购代理机构如实记录，并电子留痕，由参加电子开标的各投标人代表对电子开标记录在开标记录公布后15分钟内进行当</w:t>
      </w:r>
      <w:r>
        <w:rPr>
          <w:rFonts w:hint="eastAsia"/>
          <w:color w:val="auto"/>
          <w:szCs w:val="21"/>
        </w:rPr>
        <w:t>场校核及勘误，并线上确认是否有异议，未确认的视同认可开标结果。</w:t>
      </w:r>
    </w:p>
    <w:p w14:paraId="54273C0E">
      <w:pPr>
        <w:pStyle w:val="7"/>
        <w:spacing w:line="360" w:lineRule="auto"/>
        <w:rPr>
          <w:color w:val="auto"/>
          <w:szCs w:val="21"/>
        </w:rPr>
      </w:pPr>
      <w:r>
        <w:rPr>
          <w:rFonts w:hint="eastAsia"/>
          <w:color w:val="auto"/>
          <w:szCs w:val="21"/>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41250247">
      <w:pPr>
        <w:pStyle w:val="7"/>
        <w:spacing w:line="360" w:lineRule="auto"/>
        <w:rPr>
          <w:color w:val="auto"/>
          <w:szCs w:val="21"/>
        </w:rPr>
      </w:pPr>
      <w:r>
        <w:rPr>
          <w:rFonts w:hint="eastAsia"/>
          <w:color w:val="auto"/>
          <w:szCs w:val="21"/>
        </w:rPr>
        <w:t>（5）开标结束。</w:t>
      </w:r>
    </w:p>
    <w:p w14:paraId="1B4BF968">
      <w:pPr>
        <w:pStyle w:val="14"/>
        <w:snapToGrid w:val="0"/>
        <w:spacing w:line="360" w:lineRule="auto"/>
        <w:ind w:firstLine="420" w:firstLineChars="200"/>
        <w:rPr>
          <w:rFonts w:hAnsi="宋体"/>
          <w:color w:val="auto"/>
          <w:sz w:val="21"/>
        </w:rPr>
      </w:pPr>
      <w:r>
        <w:rPr>
          <w:rFonts w:hint="eastAsia"/>
          <w:color w:val="auto"/>
          <w:sz w:val="21"/>
        </w:rPr>
        <w:t>特别说明：如遇</w:t>
      </w:r>
      <w:r>
        <w:rPr>
          <w:rFonts w:hint="eastAsia" w:hAnsi="宋体"/>
          <w:bCs/>
          <w:color w:val="auto"/>
          <w:sz w:val="21"/>
        </w:rPr>
        <w:t>广西政府采购云平台</w:t>
      </w:r>
      <w:r>
        <w:rPr>
          <w:rFonts w:hint="eastAsia"/>
          <w:color w:val="auto"/>
          <w:sz w:val="21"/>
        </w:rPr>
        <w:t>电子化开标或评审程序调整的，按调整后执行。</w:t>
      </w:r>
    </w:p>
    <w:p w14:paraId="437362DD">
      <w:pPr>
        <w:pStyle w:val="14"/>
        <w:snapToGrid w:val="0"/>
        <w:spacing w:line="360" w:lineRule="auto"/>
        <w:ind w:left="689" w:leftChars="228" w:hanging="210" w:hangingChars="100"/>
        <w:rPr>
          <w:rFonts w:hAnsi="宋体"/>
          <w:color w:val="auto"/>
          <w:sz w:val="21"/>
        </w:rPr>
      </w:pPr>
    </w:p>
    <w:p w14:paraId="296E3E33">
      <w:pPr>
        <w:pStyle w:val="4"/>
        <w:keepNext w:val="0"/>
        <w:keepLines w:val="0"/>
        <w:jc w:val="center"/>
        <w:rPr>
          <w:color w:val="auto"/>
        </w:rPr>
      </w:pPr>
      <w:r>
        <w:rPr>
          <w:rFonts w:hint="eastAsia"/>
          <w:color w:val="auto"/>
        </w:rPr>
        <w:t>五、资格审查</w:t>
      </w:r>
    </w:p>
    <w:p w14:paraId="3EB01829">
      <w:pPr>
        <w:pStyle w:val="6"/>
        <w:keepNext w:val="0"/>
        <w:keepLines w:val="0"/>
        <w:spacing w:before="0" w:after="0" w:line="400" w:lineRule="exact"/>
        <w:ind w:left="420" w:leftChars="200"/>
        <w:rPr>
          <w:rFonts w:ascii="黑体" w:hAnsi="黑体" w:eastAsia="黑体"/>
          <w:color w:val="auto"/>
          <w:sz w:val="24"/>
        </w:rPr>
      </w:pPr>
      <w:r>
        <w:rPr>
          <w:rFonts w:hint="eastAsia" w:ascii="黑体" w:hAnsi="黑体" w:eastAsia="黑体"/>
          <w:color w:val="auto"/>
          <w:sz w:val="24"/>
        </w:rPr>
        <w:t>25.资格审查</w:t>
      </w:r>
    </w:p>
    <w:p w14:paraId="4FAA50B9">
      <w:pPr>
        <w:pStyle w:val="6"/>
        <w:keepNext w:val="0"/>
        <w:keepLines w:val="0"/>
        <w:spacing w:before="0" w:after="0" w:line="400" w:lineRule="exact"/>
        <w:ind w:firstLine="315" w:firstLineChars="150"/>
        <w:rPr>
          <w:rFonts w:ascii="宋体" w:hAnsi="宋体"/>
          <w:b w:val="0"/>
          <w:color w:val="auto"/>
          <w:sz w:val="21"/>
          <w:szCs w:val="21"/>
        </w:rPr>
      </w:pPr>
      <w:r>
        <w:rPr>
          <w:rFonts w:hint="eastAsia" w:ascii="宋体" w:hAnsi="宋体"/>
          <w:b w:val="0"/>
          <w:color w:val="auto"/>
          <w:sz w:val="21"/>
          <w:szCs w:val="21"/>
        </w:rPr>
        <w:t xml:space="preserve"> 25.1</w:t>
      </w:r>
      <w:r>
        <w:rPr>
          <w:rFonts w:ascii="宋体" w:hAnsi="宋体"/>
          <w:b w:val="0"/>
          <w:color w:val="auto"/>
          <w:sz w:val="21"/>
          <w:szCs w:val="21"/>
        </w:rPr>
        <w:t>开标结束后，</w:t>
      </w:r>
      <w:r>
        <w:rPr>
          <w:rFonts w:hint="eastAsia" w:ascii="宋体" w:hAnsi="宋体"/>
          <w:b w:val="0"/>
          <w:color w:val="auto"/>
          <w:sz w:val="21"/>
          <w:szCs w:val="21"/>
        </w:rPr>
        <w:t>采购人或者采购代理机构通过电子开评标系统依据招标文件对电子投标文件进行线上资格审查</w:t>
      </w:r>
      <w:r>
        <w:rPr>
          <w:rFonts w:ascii="宋体" w:hAnsi="宋体"/>
          <w:b w:val="0"/>
          <w:color w:val="auto"/>
          <w:sz w:val="21"/>
          <w:szCs w:val="21"/>
        </w:rPr>
        <w:t>。</w:t>
      </w:r>
    </w:p>
    <w:p w14:paraId="31247866">
      <w:pPr>
        <w:pStyle w:val="6"/>
        <w:keepNext w:val="0"/>
        <w:keepLines w:val="0"/>
        <w:spacing w:before="0" w:after="0" w:line="400" w:lineRule="exact"/>
        <w:ind w:firstLine="315" w:firstLineChars="150"/>
        <w:rPr>
          <w:rFonts w:ascii="宋体" w:hAnsi="宋体"/>
          <w:b w:val="0"/>
          <w:color w:val="auto"/>
          <w:sz w:val="21"/>
          <w:szCs w:val="21"/>
        </w:rPr>
      </w:pPr>
      <w:r>
        <w:rPr>
          <w:rFonts w:hint="eastAsia" w:ascii="宋体" w:hAnsi="宋体"/>
          <w:b w:val="0"/>
          <w:color w:val="auto"/>
          <w:sz w:val="21"/>
          <w:szCs w:val="21"/>
        </w:rPr>
        <w:t xml:space="preserve"> 25.2资格审查标准为本招标文件中载明对投标人资格要求的条件。本项目资格审查采用合格制，凡符合招标文件规定的投标人资格要求的投标人均通过资格审查。</w:t>
      </w:r>
    </w:p>
    <w:p w14:paraId="745DBEE7">
      <w:pPr>
        <w:pStyle w:val="6"/>
        <w:keepNext w:val="0"/>
        <w:keepLines w:val="0"/>
        <w:numPr>
          <w:ilvl w:val="0"/>
          <w:numId w:val="0"/>
        </w:numPr>
        <w:spacing w:before="0" w:after="0" w:line="400" w:lineRule="exact"/>
        <w:ind w:firstLine="422" w:firstLineChars="200"/>
        <w:rPr>
          <w:rFonts w:ascii="宋体" w:hAnsi="宋体"/>
          <w:color w:val="auto"/>
          <w:sz w:val="21"/>
          <w:szCs w:val="21"/>
        </w:rPr>
      </w:pPr>
      <w:r>
        <w:rPr>
          <w:rFonts w:hint="eastAsia" w:ascii="宋体" w:hAnsi="宋体"/>
          <w:color w:val="auto"/>
          <w:sz w:val="21"/>
          <w:szCs w:val="21"/>
        </w:rPr>
        <w:t>25.3 投标人有下列情形之一的，资格审查不通过，作无效投标处理：</w:t>
      </w:r>
    </w:p>
    <w:p w14:paraId="159DB187">
      <w:pPr>
        <w:pStyle w:val="14"/>
        <w:snapToGrid w:val="0"/>
        <w:spacing w:line="400" w:lineRule="exact"/>
        <w:ind w:firstLine="422" w:firstLineChars="200"/>
        <w:rPr>
          <w:rFonts w:hAnsi="宋体"/>
          <w:b/>
          <w:color w:val="auto"/>
          <w:sz w:val="21"/>
        </w:rPr>
      </w:pPr>
      <w:r>
        <w:rPr>
          <w:rFonts w:hint="eastAsia" w:hAnsi="宋体"/>
          <w:b/>
          <w:color w:val="auto"/>
          <w:sz w:val="21"/>
        </w:rPr>
        <w:t>（1）不具备招标文件中规定的资格要求的；</w:t>
      </w:r>
    </w:p>
    <w:p w14:paraId="061E681D">
      <w:pPr>
        <w:pStyle w:val="14"/>
        <w:snapToGrid w:val="0"/>
        <w:spacing w:line="400" w:lineRule="exact"/>
        <w:ind w:firstLine="422" w:firstLineChars="200"/>
        <w:rPr>
          <w:rFonts w:hAnsi="宋体"/>
          <w:b/>
          <w:color w:val="auto"/>
          <w:sz w:val="21"/>
        </w:rPr>
      </w:pPr>
      <w:r>
        <w:rPr>
          <w:rFonts w:hint="eastAsia" w:hAnsi="宋体"/>
          <w:b/>
          <w:color w:val="auto"/>
          <w:sz w:val="21"/>
        </w:rPr>
        <w:t>（2）在“信用中国”网站（www.creditchina.gov.cn）、中国政府采购网（www.ccgp.gov.cn）被列入失信被执行人、重大税收违法失信主体、政府采购严重违法失信行为记录名单及其他不符合《中华人民共和国政府采购法》第二十二条规定条件的；（注：其中信用查询规则见“投标人须知前附表”，广西政府采购云平台已与“信用中国”网站、中国政府采购网实现数据对接，可直接在线查询）</w:t>
      </w:r>
    </w:p>
    <w:p w14:paraId="51ECAC8A">
      <w:pPr>
        <w:pStyle w:val="14"/>
        <w:snapToGrid w:val="0"/>
        <w:spacing w:line="400" w:lineRule="exact"/>
        <w:ind w:firstLine="422" w:firstLineChars="200"/>
        <w:rPr>
          <w:rFonts w:hAnsi="宋体"/>
          <w:b/>
          <w:color w:val="auto"/>
          <w:sz w:val="21"/>
        </w:rPr>
      </w:pPr>
      <w:r>
        <w:rPr>
          <w:rFonts w:hint="eastAsia" w:hAnsi="宋体"/>
          <w:b/>
          <w:color w:val="auto"/>
          <w:sz w:val="21"/>
        </w:rPr>
        <w:t>（3）同一合同项下的不同投标人，单位负责人为同一人或者存在直接控股、管理关系的；为本项目提供过整体设计、规范编制或者项目管理、监理、检测等服务的供应商，再参加该采购项目的其他采购活动的；</w:t>
      </w:r>
    </w:p>
    <w:p w14:paraId="225C78F0">
      <w:pPr>
        <w:pStyle w:val="14"/>
        <w:snapToGrid w:val="0"/>
        <w:spacing w:line="400" w:lineRule="exact"/>
        <w:ind w:firstLine="422" w:firstLineChars="200"/>
        <w:rPr>
          <w:rFonts w:hAnsi="宋体"/>
          <w:b/>
          <w:color w:val="auto"/>
          <w:sz w:val="21"/>
        </w:rPr>
      </w:pPr>
      <w:r>
        <w:rPr>
          <w:rFonts w:hint="eastAsia" w:hAnsi="宋体"/>
          <w:b/>
          <w:color w:val="auto"/>
          <w:sz w:val="21"/>
        </w:rPr>
        <w:t>（4）投标文件中的资格证明文件缺少任一项“投标人须知前附表”资格证明文件规定“必须提供”的文件资料的；</w:t>
      </w:r>
    </w:p>
    <w:p w14:paraId="4E28F26C">
      <w:pPr>
        <w:pStyle w:val="14"/>
        <w:snapToGrid w:val="0"/>
        <w:spacing w:line="400" w:lineRule="exact"/>
        <w:ind w:firstLine="422" w:firstLineChars="200"/>
        <w:rPr>
          <w:rFonts w:hAnsi="宋体"/>
          <w:b/>
          <w:color w:val="auto"/>
          <w:sz w:val="21"/>
        </w:rPr>
      </w:pPr>
      <w:r>
        <w:rPr>
          <w:rFonts w:hint="eastAsia" w:hAnsi="宋体"/>
          <w:b/>
          <w:color w:val="auto"/>
          <w:sz w:val="21"/>
        </w:rPr>
        <w:t>（5）投标文件中的资格证明文件出现任一项不符合“投标人须知前附表”资格证明文件规定“必须提供”的文件资料要求或者无效的。</w:t>
      </w:r>
    </w:p>
    <w:p w14:paraId="1819EEBE">
      <w:pPr>
        <w:pStyle w:val="14"/>
        <w:snapToGrid w:val="0"/>
        <w:spacing w:line="400" w:lineRule="exact"/>
        <w:ind w:firstLine="422" w:firstLineChars="200"/>
        <w:rPr>
          <w:rFonts w:hAnsi="宋体"/>
          <w:color w:val="auto"/>
          <w:sz w:val="21"/>
        </w:rPr>
      </w:pPr>
      <w:r>
        <w:rPr>
          <w:rFonts w:hint="eastAsia" w:hAnsi="宋体"/>
          <w:b/>
          <w:bCs/>
          <w:color w:val="auto"/>
          <w:sz w:val="21"/>
        </w:rPr>
        <w:t>25.4</w:t>
      </w:r>
      <w:r>
        <w:rPr>
          <w:rFonts w:hAnsi="宋体"/>
          <w:b/>
          <w:bCs/>
          <w:color w:val="auto"/>
          <w:sz w:val="21"/>
        </w:rPr>
        <w:t>合格投标人不足3家的，不得评标。</w:t>
      </w:r>
      <w:bookmarkStart w:id="159" w:name="_25.3_投标人有下列情形之一的，资格审查不通过而导致其投标无效："/>
      <w:bookmarkEnd w:id="159"/>
    </w:p>
    <w:p w14:paraId="2FA727BC">
      <w:pPr>
        <w:pStyle w:val="4"/>
        <w:keepNext w:val="0"/>
        <w:keepLines w:val="0"/>
        <w:jc w:val="center"/>
        <w:rPr>
          <w:color w:val="auto"/>
        </w:rPr>
      </w:pPr>
      <w:r>
        <w:rPr>
          <w:rFonts w:hint="eastAsia"/>
          <w:color w:val="auto"/>
        </w:rPr>
        <w:t>六、评标</w:t>
      </w:r>
    </w:p>
    <w:p w14:paraId="33BA62EF">
      <w:pPr>
        <w:pStyle w:val="6"/>
        <w:keepNext w:val="0"/>
        <w:keepLines w:val="0"/>
        <w:spacing w:before="0" w:after="0" w:line="360" w:lineRule="auto"/>
        <w:ind w:left="420" w:leftChars="200"/>
        <w:rPr>
          <w:rFonts w:ascii="黑体" w:hAnsi="黑体" w:eastAsia="黑体"/>
          <w:color w:val="auto"/>
          <w:sz w:val="24"/>
        </w:rPr>
      </w:pPr>
      <w:bookmarkStart w:id="160" w:name="_26.组建评标委员会"/>
      <w:bookmarkEnd w:id="160"/>
      <w:r>
        <w:rPr>
          <w:rFonts w:hint="eastAsia" w:ascii="黑体" w:hAnsi="黑体" w:eastAsia="黑体"/>
          <w:color w:val="auto"/>
          <w:sz w:val="24"/>
        </w:rPr>
        <w:t>26.组建评标委员会</w:t>
      </w:r>
    </w:p>
    <w:p w14:paraId="7DB587C6">
      <w:pPr>
        <w:pStyle w:val="14"/>
        <w:snapToGrid w:val="0"/>
        <w:spacing w:line="360" w:lineRule="auto"/>
        <w:ind w:left="2" w:leftChars="1" w:firstLine="420" w:firstLineChars="200"/>
        <w:rPr>
          <w:rFonts w:hAnsi="宋体"/>
          <w:color w:val="auto"/>
          <w:sz w:val="21"/>
        </w:rPr>
      </w:pPr>
      <w:r>
        <w:rPr>
          <w:rFonts w:hint="eastAsia" w:hAnsi="宋体"/>
          <w:color w:val="auto"/>
          <w:sz w:val="21"/>
        </w:rPr>
        <w:t>26.1评标委员会由采购人代表和评审专家组成，具体人数详见“投标人须知前附表”，其中评审专家不得少于成员总数的三分之二。</w:t>
      </w:r>
    </w:p>
    <w:p w14:paraId="4669702F">
      <w:pPr>
        <w:pStyle w:val="14"/>
        <w:snapToGrid w:val="0"/>
        <w:spacing w:line="360" w:lineRule="auto"/>
        <w:ind w:left="2" w:leftChars="1" w:firstLine="420" w:firstLineChars="200"/>
        <w:rPr>
          <w:rFonts w:hAnsi="宋体"/>
          <w:color w:val="auto"/>
          <w:sz w:val="21"/>
        </w:rPr>
      </w:pPr>
      <w:r>
        <w:rPr>
          <w:rFonts w:hint="eastAsia" w:hAnsi="宋体"/>
          <w:color w:val="auto"/>
          <w:sz w:val="21"/>
        </w:rPr>
        <w:t>26.2参加过采购项目前期咨询论证的专家，不得参加该采购项目的评审活动。</w:t>
      </w:r>
    </w:p>
    <w:p w14:paraId="2021F1EE">
      <w:pPr>
        <w:pStyle w:val="14"/>
        <w:snapToGrid w:val="0"/>
        <w:spacing w:line="360" w:lineRule="auto"/>
        <w:ind w:left="2" w:leftChars="1" w:firstLine="420" w:firstLineChars="200"/>
        <w:rPr>
          <w:rFonts w:hAnsi="宋体"/>
          <w:color w:val="auto"/>
          <w:sz w:val="21"/>
        </w:rPr>
      </w:pPr>
      <w:r>
        <w:rPr>
          <w:rFonts w:hint="eastAsia" w:hAnsi="宋体"/>
          <w:color w:val="auto"/>
          <w:sz w:val="21"/>
        </w:rPr>
        <w:t>26.3采购代理机构应当基于广西政府采购云平台抽（选）取评审专家。</w:t>
      </w:r>
    </w:p>
    <w:p w14:paraId="74B1E7AC">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27.评标的依据</w:t>
      </w:r>
    </w:p>
    <w:p w14:paraId="4BE1615F">
      <w:pPr>
        <w:pStyle w:val="14"/>
        <w:snapToGrid w:val="0"/>
        <w:spacing w:line="360" w:lineRule="auto"/>
        <w:ind w:firstLine="420" w:firstLineChars="200"/>
        <w:rPr>
          <w:rFonts w:hAnsi="宋体"/>
          <w:color w:val="auto"/>
          <w:sz w:val="21"/>
        </w:rPr>
      </w:pPr>
      <w:r>
        <w:rPr>
          <w:rFonts w:hint="eastAsia" w:hAnsi="宋体"/>
          <w:color w:val="auto"/>
          <w:sz w:val="21"/>
        </w:rPr>
        <w:t>评标委员会以“第四章 评标方法和评标标准”为依据对投标文件进行评审，没有规定的方法、评审因素和标准，不作为评标依据。</w:t>
      </w:r>
    </w:p>
    <w:p w14:paraId="6F330386">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28.评标原则</w:t>
      </w:r>
    </w:p>
    <w:p w14:paraId="1208DA34">
      <w:pPr>
        <w:pStyle w:val="14"/>
        <w:snapToGrid w:val="0"/>
        <w:spacing w:line="360" w:lineRule="auto"/>
        <w:ind w:firstLine="420" w:firstLineChars="200"/>
        <w:rPr>
          <w:rFonts w:hAnsi="宋体"/>
          <w:color w:val="auto"/>
          <w:sz w:val="21"/>
        </w:rPr>
      </w:pPr>
      <w:r>
        <w:rPr>
          <w:rFonts w:hint="eastAsia" w:hAnsi="宋体"/>
          <w:color w:val="auto"/>
          <w:sz w:val="21"/>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19F16F6D">
      <w:pPr>
        <w:pStyle w:val="14"/>
        <w:snapToGrid w:val="0"/>
        <w:spacing w:line="360" w:lineRule="auto"/>
        <w:ind w:firstLine="420" w:firstLineChars="200"/>
        <w:rPr>
          <w:rFonts w:hAnsi="宋体"/>
          <w:color w:val="auto"/>
          <w:sz w:val="21"/>
        </w:rPr>
      </w:pPr>
      <w:r>
        <w:rPr>
          <w:rFonts w:hint="eastAsia" w:hAnsi="宋体"/>
          <w:color w:val="auto"/>
          <w:sz w:val="21"/>
        </w:rPr>
        <w:t>28.2评委表决。评标委员会成员对需要共同认定的事项存在争议的，应当按照少数服从多数的原则作出结论。</w:t>
      </w:r>
    </w:p>
    <w:p w14:paraId="3556FBF7">
      <w:pPr>
        <w:pStyle w:val="14"/>
        <w:snapToGrid w:val="0"/>
        <w:spacing w:line="360" w:lineRule="auto"/>
        <w:ind w:firstLine="420" w:firstLineChars="200"/>
        <w:rPr>
          <w:rFonts w:hAnsi="宋体"/>
          <w:color w:val="auto"/>
          <w:sz w:val="21"/>
        </w:rPr>
      </w:pPr>
      <w:r>
        <w:rPr>
          <w:rFonts w:hint="eastAsia" w:hAnsi="宋体"/>
          <w:color w:val="auto"/>
          <w:sz w:val="21"/>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3F8EE703">
      <w:pPr>
        <w:pStyle w:val="14"/>
        <w:snapToGrid w:val="0"/>
        <w:spacing w:line="360" w:lineRule="auto"/>
        <w:ind w:firstLine="420" w:firstLineChars="200"/>
        <w:rPr>
          <w:rFonts w:hAnsi="宋体"/>
          <w:b/>
          <w:bCs/>
          <w:color w:val="auto"/>
          <w:sz w:val="21"/>
        </w:rPr>
      </w:pPr>
      <w:r>
        <w:rPr>
          <w:rFonts w:hint="eastAsia" w:hAnsi="宋体"/>
          <w:color w:val="auto"/>
          <w:sz w:val="21"/>
        </w:rPr>
        <w:t>28.4评标过程的监控。本项目电子评标过程实行网上留痕、全程录音、录像监控，</w:t>
      </w:r>
      <w:r>
        <w:rPr>
          <w:rFonts w:hint="eastAsia" w:hAnsi="宋体"/>
          <w:b/>
          <w:bCs/>
          <w:color w:val="auto"/>
          <w:sz w:val="21"/>
        </w:rPr>
        <w:t>投标人在评标过程中所进行的试图影响评标结果的不公正活动，可能导致其投标按无效处理。</w:t>
      </w:r>
    </w:p>
    <w:p w14:paraId="5DA0EC25">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29.评标方法及评标标准</w:t>
      </w:r>
    </w:p>
    <w:p w14:paraId="49357EFC">
      <w:pPr>
        <w:pStyle w:val="14"/>
        <w:snapToGrid w:val="0"/>
        <w:spacing w:line="360" w:lineRule="auto"/>
        <w:ind w:firstLine="420" w:firstLineChars="200"/>
        <w:rPr>
          <w:rFonts w:hAnsi="宋体"/>
          <w:color w:val="auto"/>
          <w:sz w:val="21"/>
        </w:rPr>
      </w:pPr>
      <w:r>
        <w:rPr>
          <w:rFonts w:hint="eastAsia" w:hAnsi="宋体"/>
          <w:color w:val="auto"/>
          <w:sz w:val="21"/>
        </w:rPr>
        <w:t>29.1本项目的评标方法详见“投标人须知前附表”。</w:t>
      </w:r>
    </w:p>
    <w:p w14:paraId="574B2AE5">
      <w:pPr>
        <w:pStyle w:val="14"/>
        <w:snapToGrid w:val="0"/>
        <w:spacing w:line="360" w:lineRule="auto"/>
        <w:ind w:firstLine="420" w:firstLineChars="200"/>
        <w:rPr>
          <w:rFonts w:hAnsi="宋体"/>
          <w:color w:val="auto"/>
          <w:sz w:val="21"/>
        </w:rPr>
      </w:pPr>
      <w:r>
        <w:rPr>
          <w:rFonts w:hint="eastAsia" w:hAnsi="宋体"/>
          <w:color w:val="auto"/>
          <w:sz w:val="21"/>
        </w:rPr>
        <w:t>29.2 商务/技术需求允许负偏离的条款数详见“投标人须知前附表”。</w:t>
      </w:r>
    </w:p>
    <w:p w14:paraId="7BB64E96">
      <w:pPr>
        <w:pStyle w:val="14"/>
        <w:snapToGrid w:val="0"/>
        <w:spacing w:line="360" w:lineRule="auto"/>
        <w:ind w:firstLine="420" w:firstLineChars="200"/>
        <w:rPr>
          <w:rFonts w:hAnsi="宋体"/>
          <w:color w:val="auto"/>
          <w:sz w:val="21"/>
        </w:rPr>
      </w:pPr>
      <w:r>
        <w:rPr>
          <w:rFonts w:hint="eastAsia" w:hAnsi="宋体"/>
          <w:color w:val="auto"/>
          <w:sz w:val="21"/>
        </w:rPr>
        <w:t>29.3 中标候选人推荐数量详见“投标人须知前附表”。</w:t>
      </w:r>
    </w:p>
    <w:p w14:paraId="21B9333F">
      <w:pPr>
        <w:pStyle w:val="14"/>
        <w:snapToGrid w:val="0"/>
        <w:spacing w:line="360" w:lineRule="auto"/>
        <w:ind w:firstLine="420" w:firstLineChars="200"/>
        <w:rPr>
          <w:rFonts w:hAnsi="宋体"/>
          <w:color w:val="auto"/>
          <w:sz w:val="21"/>
        </w:rPr>
      </w:pPr>
      <w:r>
        <w:rPr>
          <w:rFonts w:hint="eastAsia" w:hAnsi="宋体"/>
          <w:color w:val="auto"/>
          <w:sz w:val="21"/>
        </w:rPr>
        <w:t>29.4 电子交易活动的中止。采购过程中出现以下情形，导致电子交易平台无法正常运行，或者无法保证电子交易的公平、公正和安全时，采购代理机构可以中止电子交易活动：</w:t>
      </w:r>
    </w:p>
    <w:p w14:paraId="7CF13C7D">
      <w:pPr>
        <w:pStyle w:val="14"/>
        <w:snapToGrid w:val="0"/>
        <w:spacing w:line="360" w:lineRule="auto"/>
        <w:ind w:firstLine="420" w:firstLineChars="200"/>
        <w:rPr>
          <w:rFonts w:hAnsi="宋体"/>
          <w:color w:val="auto"/>
          <w:sz w:val="21"/>
        </w:rPr>
      </w:pPr>
      <w:r>
        <w:rPr>
          <w:rFonts w:hint="eastAsia" w:hAnsi="宋体"/>
          <w:color w:val="auto"/>
          <w:sz w:val="21"/>
        </w:rPr>
        <w:t xml:space="preserve">（1）电子交易平台发生故障而无法登录访问的； </w:t>
      </w:r>
    </w:p>
    <w:p w14:paraId="7DCFE733">
      <w:pPr>
        <w:pStyle w:val="14"/>
        <w:snapToGrid w:val="0"/>
        <w:spacing w:line="360" w:lineRule="auto"/>
        <w:ind w:firstLine="420" w:firstLineChars="200"/>
        <w:rPr>
          <w:rFonts w:hAnsi="宋体"/>
          <w:color w:val="auto"/>
          <w:sz w:val="21"/>
        </w:rPr>
      </w:pPr>
      <w:r>
        <w:rPr>
          <w:rFonts w:hint="eastAsia" w:hAnsi="宋体"/>
          <w:color w:val="auto"/>
          <w:sz w:val="21"/>
        </w:rPr>
        <w:t>（2）电子交易平台应用或数据库出现错误，不能进行正常操作的；</w:t>
      </w:r>
    </w:p>
    <w:p w14:paraId="788BA49D">
      <w:pPr>
        <w:pStyle w:val="14"/>
        <w:snapToGrid w:val="0"/>
        <w:spacing w:line="360" w:lineRule="auto"/>
        <w:ind w:firstLine="420" w:firstLineChars="200"/>
        <w:rPr>
          <w:rFonts w:hAnsi="宋体"/>
          <w:color w:val="auto"/>
          <w:sz w:val="21"/>
        </w:rPr>
      </w:pPr>
      <w:r>
        <w:rPr>
          <w:rFonts w:hint="eastAsia" w:hAnsi="宋体"/>
          <w:color w:val="auto"/>
          <w:sz w:val="21"/>
        </w:rPr>
        <w:t>（3）电子交易平台发现严重安全漏洞，有潜在泄密危险的；</w:t>
      </w:r>
    </w:p>
    <w:p w14:paraId="7F20B03E">
      <w:pPr>
        <w:pStyle w:val="14"/>
        <w:snapToGrid w:val="0"/>
        <w:spacing w:line="360" w:lineRule="auto"/>
        <w:ind w:firstLine="420" w:firstLineChars="200"/>
        <w:rPr>
          <w:rFonts w:hAnsi="宋体"/>
          <w:color w:val="auto"/>
          <w:sz w:val="21"/>
        </w:rPr>
      </w:pPr>
      <w:r>
        <w:rPr>
          <w:rFonts w:hint="eastAsia" w:hAnsi="宋体"/>
          <w:color w:val="auto"/>
          <w:sz w:val="21"/>
        </w:rPr>
        <w:t xml:space="preserve">（4）病毒发作导致不能进行正常操作的； </w:t>
      </w:r>
    </w:p>
    <w:p w14:paraId="5F351DA8">
      <w:pPr>
        <w:pStyle w:val="14"/>
        <w:snapToGrid w:val="0"/>
        <w:spacing w:line="360" w:lineRule="auto"/>
        <w:ind w:firstLine="420" w:firstLineChars="200"/>
        <w:rPr>
          <w:rFonts w:hAnsi="宋体"/>
          <w:color w:val="auto"/>
          <w:sz w:val="21"/>
        </w:rPr>
      </w:pPr>
      <w:r>
        <w:rPr>
          <w:rFonts w:hint="eastAsia" w:hAnsi="宋体"/>
          <w:color w:val="auto"/>
          <w:sz w:val="21"/>
        </w:rPr>
        <w:t>（5）其他无法保证电子交易的公平、公正和安全的情况。</w:t>
      </w:r>
    </w:p>
    <w:p w14:paraId="019D0807">
      <w:pPr>
        <w:spacing w:line="360" w:lineRule="exact"/>
        <w:ind w:firstLine="420" w:firstLineChars="200"/>
        <w:rPr>
          <w:rFonts w:hint="eastAsia" w:hAnsi="宋体"/>
          <w:color w:val="auto"/>
          <w:sz w:val="21"/>
        </w:rPr>
      </w:pPr>
      <w:r>
        <w:rPr>
          <w:rFonts w:hint="eastAsia" w:hAnsi="宋体"/>
          <w:color w:val="auto"/>
          <w:sz w:val="21"/>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4B68380F">
      <w:pPr>
        <w:spacing w:line="360" w:lineRule="exact"/>
        <w:ind w:firstLine="422" w:firstLineChars="200"/>
        <w:rPr>
          <w:rFonts w:hint="eastAsia" w:ascii="宋体" w:hAnsi="宋体"/>
          <w:b/>
          <w:szCs w:val="21"/>
        </w:rPr>
      </w:pPr>
      <w:r>
        <w:rPr>
          <w:rFonts w:hint="eastAsia" w:ascii="宋体" w:hAnsi="宋体"/>
          <w:b/>
          <w:szCs w:val="21"/>
        </w:rPr>
        <w:t>2</w:t>
      </w:r>
      <w:r>
        <w:rPr>
          <w:rFonts w:hint="eastAsia" w:ascii="宋体" w:hAnsi="宋体"/>
          <w:b/>
          <w:szCs w:val="21"/>
          <w:lang w:val="en-US" w:eastAsia="zh-CN"/>
        </w:rPr>
        <w:t>9.5</w:t>
      </w:r>
      <w:r>
        <w:rPr>
          <w:rFonts w:hint="eastAsia" w:ascii="宋体" w:hAnsi="宋体"/>
          <w:b/>
          <w:szCs w:val="21"/>
        </w:rPr>
        <w:t>异常低价投标审查</w:t>
      </w:r>
    </w:p>
    <w:p w14:paraId="11AC2038">
      <w:pPr>
        <w:spacing w:line="360" w:lineRule="exact"/>
        <w:ind w:firstLine="422" w:firstLineChars="200"/>
        <w:rPr>
          <w:rFonts w:hint="eastAsia" w:ascii="宋体" w:hAnsi="宋体"/>
          <w:b/>
          <w:szCs w:val="21"/>
        </w:rPr>
      </w:pPr>
      <w:r>
        <w:rPr>
          <w:rFonts w:hint="eastAsia" w:ascii="宋体" w:hAnsi="宋体"/>
          <w:b/>
          <w:szCs w:val="21"/>
        </w:rPr>
        <w:t>2</w:t>
      </w:r>
      <w:r>
        <w:rPr>
          <w:rFonts w:hint="eastAsia" w:ascii="宋体" w:hAnsi="宋体"/>
          <w:b/>
          <w:szCs w:val="21"/>
          <w:lang w:val="en-US" w:eastAsia="zh-CN"/>
        </w:rPr>
        <w:t>9.5</w:t>
      </w:r>
      <w:r>
        <w:rPr>
          <w:rFonts w:hint="eastAsia" w:ascii="宋体" w:hAnsi="宋体"/>
          <w:b/>
          <w:szCs w:val="21"/>
        </w:rPr>
        <w:t>.1异常低价投标情形（本项目各分标在评审过程中出现下列情形之一的，评标委员会应当启动异常低价投标审查程序）:</w:t>
      </w:r>
    </w:p>
    <w:p w14:paraId="593DF828">
      <w:pPr>
        <w:spacing w:line="360" w:lineRule="exact"/>
        <w:ind w:firstLine="422" w:firstLineChars="200"/>
        <w:rPr>
          <w:rFonts w:ascii="宋体" w:hAnsi="宋体"/>
          <w:b/>
          <w:szCs w:val="21"/>
        </w:rPr>
      </w:pPr>
      <w:r>
        <w:rPr>
          <w:rFonts w:hint="eastAsia" w:ascii="宋体" w:hAnsi="宋体"/>
          <w:b/>
          <w:szCs w:val="21"/>
        </w:rPr>
        <w:t>(1)投标人所投分标投标报价低于该分标全部通过符合性审查投标人投标报价平均值</w:t>
      </w:r>
      <w:r>
        <w:rPr>
          <w:rFonts w:ascii="宋体" w:hAnsi="宋体"/>
          <w:b/>
          <w:szCs w:val="21"/>
        </w:rPr>
        <w:t>65</w:t>
      </w:r>
      <w:r>
        <w:rPr>
          <w:rFonts w:hint="eastAsia" w:ascii="宋体" w:hAnsi="宋体"/>
          <w:b/>
          <w:szCs w:val="21"/>
        </w:rPr>
        <w:t>%的，即投标报价＜所投分标全部通过符合性审查投标人投标报价平均值×</w:t>
      </w:r>
      <w:r>
        <w:rPr>
          <w:rFonts w:ascii="宋体" w:hAnsi="宋体"/>
          <w:b/>
          <w:szCs w:val="21"/>
        </w:rPr>
        <w:t>65</w:t>
      </w:r>
      <w:r>
        <w:rPr>
          <w:rFonts w:hint="eastAsia" w:ascii="宋体" w:hAnsi="宋体"/>
          <w:b/>
          <w:szCs w:val="21"/>
        </w:rPr>
        <w:t>%；</w:t>
      </w:r>
    </w:p>
    <w:p w14:paraId="63F2C091">
      <w:pPr>
        <w:spacing w:line="360" w:lineRule="exact"/>
        <w:ind w:firstLine="422" w:firstLineChars="200"/>
        <w:rPr>
          <w:rFonts w:ascii="宋体" w:hAnsi="宋体"/>
          <w:b/>
          <w:szCs w:val="21"/>
        </w:rPr>
      </w:pPr>
      <w:r>
        <w:rPr>
          <w:rFonts w:hint="eastAsia" w:ascii="宋体" w:hAnsi="宋体"/>
          <w:b/>
          <w:szCs w:val="21"/>
        </w:rPr>
        <w:t>(2)投标人所投分标投标报价低于通过符合性审查且该分标报价次低投标人投标报价</w:t>
      </w:r>
      <w:r>
        <w:rPr>
          <w:rFonts w:ascii="宋体" w:hAnsi="宋体"/>
          <w:b/>
          <w:szCs w:val="21"/>
        </w:rPr>
        <w:t>65</w:t>
      </w:r>
      <w:r>
        <w:rPr>
          <w:rFonts w:hint="eastAsia" w:ascii="宋体" w:hAnsi="宋体"/>
          <w:b/>
          <w:szCs w:val="21"/>
        </w:rPr>
        <w:t>%的，即投标报价＜所投分标通过符合性审查且报价次低投标人投标报价×</w:t>
      </w:r>
      <w:r>
        <w:rPr>
          <w:rFonts w:ascii="宋体" w:hAnsi="宋体"/>
          <w:b/>
          <w:szCs w:val="21"/>
        </w:rPr>
        <w:t>65</w:t>
      </w:r>
      <w:r>
        <w:rPr>
          <w:rFonts w:hint="eastAsia" w:ascii="宋体" w:hAnsi="宋体"/>
          <w:b/>
          <w:szCs w:val="21"/>
        </w:rPr>
        <w:t>%；</w:t>
      </w:r>
    </w:p>
    <w:p w14:paraId="27C579C7">
      <w:pPr>
        <w:spacing w:line="360" w:lineRule="exact"/>
        <w:ind w:firstLine="422" w:firstLineChars="200"/>
        <w:rPr>
          <w:rFonts w:ascii="宋体" w:hAnsi="宋体"/>
          <w:b/>
          <w:szCs w:val="21"/>
        </w:rPr>
      </w:pPr>
      <w:r>
        <w:rPr>
          <w:rFonts w:hint="eastAsia" w:ascii="宋体" w:hAnsi="宋体"/>
          <w:b/>
          <w:szCs w:val="21"/>
        </w:rPr>
        <w:t>(3)投标人所投分标投标报价低于该分标采购预算金额</w:t>
      </w:r>
      <w:r>
        <w:rPr>
          <w:rFonts w:hint="eastAsia" w:ascii="宋体" w:hAnsi="宋体"/>
          <w:b/>
          <w:szCs w:val="21"/>
          <w:lang w:val="en-US" w:eastAsia="zh-CN"/>
        </w:rPr>
        <w:t>4</w:t>
      </w:r>
      <w:r>
        <w:rPr>
          <w:rFonts w:ascii="宋体" w:hAnsi="宋体"/>
          <w:b/>
          <w:szCs w:val="21"/>
        </w:rPr>
        <w:t>5</w:t>
      </w:r>
      <w:r>
        <w:rPr>
          <w:rFonts w:hint="eastAsia" w:ascii="宋体" w:hAnsi="宋体"/>
          <w:b/>
          <w:szCs w:val="21"/>
        </w:rPr>
        <w:t>%的，即投标报价＜所投分标采购预算金额×</w:t>
      </w:r>
      <w:r>
        <w:rPr>
          <w:rFonts w:hint="eastAsia" w:ascii="宋体" w:hAnsi="宋体"/>
          <w:b/>
          <w:szCs w:val="21"/>
          <w:lang w:val="en-US" w:eastAsia="zh-CN"/>
        </w:rPr>
        <w:t>4</w:t>
      </w:r>
      <w:r>
        <w:rPr>
          <w:rFonts w:hint="eastAsia" w:ascii="宋体" w:hAnsi="宋体"/>
          <w:b/>
          <w:szCs w:val="21"/>
        </w:rPr>
        <w:t>5%。</w:t>
      </w:r>
    </w:p>
    <w:p w14:paraId="396C9A64">
      <w:pPr>
        <w:spacing w:line="360" w:lineRule="exact"/>
        <w:ind w:firstLine="422" w:firstLineChars="200"/>
        <w:rPr>
          <w:rFonts w:hint="eastAsia" w:ascii="宋体" w:hAnsi="宋体"/>
          <w:b/>
          <w:szCs w:val="21"/>
        </w:rPr>
      </w:pPr>
      <w:r>
        <w:rPr>
          <w:rFonts w:hint="eastAsia" w:ascii="宋体" w:hAnsi="宋体"/>
          <w:b/>
          <w:szCs w:val="21"/>
        </w:rPr>
        <w:t>(</w:t>
      </w:r>
      <w:r>
        <w:rPr>
          <w:rFonts w:ascii="宋体" w:hAnsi="宋体"/>
          <w:b/>
          <w:szCs w:val="21"/>
        </w:rPr>
        <w:t>4)</w:t>
      </w:r>
      <w:r>
        <w:rPr>
          <w:rFonts w:hint="eastAsia" w:ascii="宋体" w:hAnsi="宋体"/>
          <w:b/>
          <w:szCs w:val="21"/>
        </w:rPr>
        <w:t>评审委员会基于专业判断，认为供应商报价过低，有可能影响产品质量或者不能诚信履约的其他情形。</w:t>
      </w:r>
    </w:p>
    <w:p w14:paraId="26AC962C">
      <w:pPr>
        <w:snapToGrid w:val="0"/>
        <w:spacing w:line="360" w:lineRule="exact"/>
        <w:ind w:firstLine="422" w:firstLineChars="200"/>
        <w:rPr>
          <w:rFonts w:hint="eastAsia" w:ascii="宋体" w:hAnsi="宋体"/>
          <w:b/>
          <w:szCs w:val="21"/>
        </w:rPr>
      </w:pPr>
      <w:r>
        <w:rPr>
          <w:rFonts w:hint="eastAsia" w:ascii="宋体" w:hAnsi="宋体"/>
          <w:b/>
          <w:szCs w:val="21"/>
          <w:lang w:val="en-US" w:eastAsia="zh-CN"/>
        </w:rPr>
        <w:t>29.5</w:t>
      </w:r>
      <w:r>
        <w:rPr>
          <w:rFonts w:hint="eastAsia" w:ascii="宋体" w:hAnsi="宋体"/>
          <w:b/>
          <w:szCs w:val="21"/>
        </w:rPr>
        <w:t>.2</w:t>
      </w:r>
      <w:bookmarkStart w:id="161" w:name="OLE_LINK40"/>
      <w:r>
        <w:rPr>
          <w:rFonts w:hint="eastAsia" w:ascii="宋体" w:hAnsi="宋体"/>
          <w:b/>
          <w:szCs w:val="21"/>
        </w:rPr>
        <w:t>异常低价投标审查</w:t>
      </w:r>
      <w:bookmarkEnd w:id="161"/>
      <w:r>
        <w:rPr>
          <w:rFonts w:hint="eastAsia" w:ascii="宋体" w:hAnsi="宋体"/>
          <w:b/>
          <w:szCs w:val="21"/>
        </w:rPr>
        <w:t>流程：</w:t>
      </w:r>
    </w:p>
    <w:p w14:paraId="57EE327C">
      <w:pPr>
        <w:snapToGrid w:val="0"/>
        <w:spacing w:line="360" w:lineRule="exact"/>
        <w:ind w:firstLine="422" w:firstLineChars="200"/>
        <w:rPr>
          <w:rFonts w:hAnsi="宋体"/>
          <w:color w:val="auto"/>
          <w:sz w:val="21"/>
        </w:rPr>
      </w:pPr>
      <w:r>
        <w:rPr>
          <w:rFonts w:hint="eastAsia" w:ascii="宋体" w:hAnsi="宋体"/>
          <w:b/>
          <w:szCs w:val="21"/>
        </w:rPr>
        <w:t>评标委员会启动异常低价投标审查程序后，应当要求相关投标人在评审现场合理的时间内（不少于30分钟）提供书面说明及必要的证明材料，对投标价格作出解释。书面说明、证明材料主要是项目具体成本测算等与报价合理性相关的说明、材料。评标委员会应当结合同类产品在主要电商平台的价格、该行业当地薪资水平等情况，依据专业经验对报价合理性进行判断。如果投标人不提供书面说明、证明材料，或者提供的书面说明、证明材料不能证明其报价合理性的，评标委员会应当将其作为无效投标处理。以上审查相关情况应当在评审报告中记录。</w:t>
      </w:r>
    </w:p>
    <w:p w14:paraId="58F3B127">
      <w:pPr>
        <w:pStyle w:val="14"/>
        <w:snapToGrid w:val="0"/>
        <w:spacing w:line="360" w:lineRule="auto"/>
        <w:rPr>
          <w:rFonts w:hAnsi="宋体"/>
          <w:color w:val="auto"/>
          <w:sz w:val="21"/>
        </w:rPr>
      </w:pPr>
    </w:p>
    <w:p w14:paraId="124BEFAB">
      <w:pPr>
        <w:pStyle w:val="4"/>
        <w:keepNext w:val="0"/>
        <w:keepLines w:val="0"/>
        <w:jc w:val="center"/>
        <w:rPr>
          <w:color w:val="auto"/>
        </w:rPr>
      </w:pPr>
      <w:bookmarkStart w:id="162" w:name="_Toc254970687"/>
      <w:bookmarkStart w:id="163" w:name="_Toc254970546"/>
      <w:r>
        <w:rPr>
          <w:rFonts w:hint="eastAsia"/>
          <w:color w:val="auto"/>
        </w:rPr>
        <w:t>七、</w:t>
      </w:r>
      <w:bookmarkEnd w:id="162"/>
      <w:bookmarkEnd w:id="163"/>
      <w:r>
        <w:rPr>
          <w:rFonts w:hint="eastAsia"/>
          <w:color w:val="auto"/>
        </w:rPr>
        <w:t>中标和合同</w:t>
      </w:r>
    </w:p>
    <w:p w14:paraId="7AF875F3">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30.确定中标人</w:t>
      </w:r>
    </w:p>
    <w:p w14:paraId="4DE17586">
      <w:pPr>
        <w:pStyle w:val="6"/>
        <w:keepNext w:val="0"/>
        <w:keepLines w:val="0"/>
        <w:numPr>
          <w:ilvl w:val="0"/>
          <w:numId w:val="0"/>
        </w:numPr>
        <w:spacing w:before="0" w:after="0" w:line="360" w:lineRule="auto"/>
        <w:ind w:firstLine="420" w:firstLineChars="200"/>
        <w:rPr>
          <w:rFonts w:ascii="宋体" w:hAnsi="宋体"/>
          <w:b w:val="0"/>
          <w:bCs/>
          <w:color w:val="auto"/>
          <w:sz w:val="21"/>
          <w:szCs w:val="21"/>
        </w:rPr>
      </w:pPr>
      <w:r>
        <w:rPr>
          <w:rFonts w:hint="eastAsia" w:ascii="宋体" w:hAnsi="宋体"/>
          <w:b w:val="0"/>
          <w:bCs/>
          <w:color w:val="auto"/>
          <w:sz w:val="21"/>
          <w:szCs w:val="21"/>
        </w:rPr>
        <w:t>30.1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71B40E45">
      <w:pPr>
        <w:pStyle w:val="6"/>
        <w:keepNext w:val="0"/>
        <w:keepLines w:val="0"/>
        <w:numPr>
          <w:ilvl w:val="0"/>
          <w:numId w:val="0"/>
        </w:numPr>
        <w:spacing w:before="0" w:after="0" w:line="360" w:lineRule="auto"/>
        <w:ind w:firstLine="420" w:firstLineChars="200"/>
        <w:rPr>
          <w:rFonts w:ascii="宋体" w:hAnsi="宋体"/>
          <w:b w:val="0"/>
          <w:bCs/>
          <w:color w:val="auto"/>
          <w:sz w:val="21"/>
          <w:szCs w:val="21"/>
        </w:rPr>
      </w:pPr>
      <w:r>
        <w:rPr>
          <w:rFonts w:hint="eastAsia" w:ascii="宋体" w:hAnsi="宋体"/>
          <w:b w:val="0"/>
          <w:bCs/>
          <w:color w:val="auto"/>
          <w:sz w:val="21"/>
          <w:szCs w:val="21"/>
        </w:rPr>
        <w:t>30.2采购人在收到评标报告5个工作日内未按评标报告推荐的中标候选人顺序确定中标人，又不能说明合法理由的，视同按评标报告推荐的顺序确定排名第一的中标候选人为中标人。</w:t>
      </w:r>
    </w:p>
    <w:p w14:paraId="3BE4A222">
      <w:pPr>
        <w:pStyle w:val="6"/>
        <w:keepNext w:val="0"/>
        <w:keepLines w:val="0"/>
        <w:numPr>
          <w:ilvl w:val="0"/>
          <w:numId w:val="0"/>
        </w:numPr>
        <w:spacing w:before="0" w:after="0" w:line="360" w:lineRule="auto"/>
        <w:ind w:firstLine="420" w:firstLineChars="200"/>
        <w:rPr>
          <w:rFonts w:ascii="宋体" w:hAnsi="宋体"/>
          <w:b w:val="0"/>
          <w:bCs/>
          <w:color w:val="auto"/>
          <w:sz w:val="21"/>
          <w:szCs w:val="21"/>
        </w:rPr>
      </w:pPr>
      <w:r>
        <w:rPr>
          <w:rFonts w:hint="eastAsia" w:ascii="宋体" w:hAnsi="宋体"/>
          <w:b w:val="0"/>
          <w:bCs/>
          <w:color w:val="auto"/>
          <w:sz w:val="21"/>
          <w:szCs w:val="21"/>
        </w:rPr>
        <w:t>30.3出现下列情形之一的，应予废标：</w:t>
      </w:r>
    </w:p>
    <w:p w14:paraId="48A11957">
      <w:pPr>
        <w:pStyle w:val="6"/>
        <w:keepNext w:val="0"/>
        <w:keepLines w:val="0"/>
        <w:spacing w:before="0" w:after="0" w:line="360" w:lineRule="auto"/>
        <w:ind w:left="420" w:leftChars="200"/>
        <w:rPr>
          <w:rFonts w:ascii="宋体" w:hAnsi="宋体"/>
          <w:b w:val="0"/>
          <w:bCs/>
          <w:color w:val="auto"/>
          <w:sz w:val="21"/>
          <w:szCs w:val="21"/>
        </w:rPr>
      </w:pPr>
      <w:r>
        <w:rPr>
          <w:rFonts w:hint="eastAsia" w:ascii="宋体" w:hAnsi="宋体"/>
          <w:b w:val="0"/>
          <w:bCs/>
          <w:color w:val="auto"/>
          <w:sz w:val="21"/>
          <w:szCs w:val="21"/>
        </w:rPr>
        <w:t>（1）符合专业条件的供应商或者对招标文件作实质响应的供应商不足三家的；</w:t>
      </w:r>
    </w:p>
    <w:p w14:paraId="30627240">
      <w:pPr>
        <w:pStyle w:val="6"/>
        <w:keepNext w:val="0"/>
        <w:keepLines w:val="0"/>
        <w:spacing w:before="0" w:after="0" w:line="360" w:lineRule="auto"/>
        <w:ind w:left="420" w:leftChars="200"/>
        <w:rPr>
          <w:rFonts w:ascii="宋体" w:hAnsi="宋体"/>
          <w:b w:val="0"/>
          <w:bCs/>
          <w:color w:val="auto"/>
          <w:sz w:val="21"/>
          <w:szCs w:val="21"/>
        </w:rPr>
      </w:pPr>
      <w:r>
        <w:rPr>
          <w:rFonts w:hint="eastAsia" w:ascii="宋体" w:hAnsi="宋体"/>
          <w:b w:val="0"/>
          <w:bCs/>
          <w:color w:val="auto"/>
          <w:sz w:val="21"/>
          <w:szCs w:val="21"/>
        </w:rPr>
        <w:t>（2）出现影响采购公正的违法、违规行为的；</w:t>
      </w:r>
    </w:p>
    <w:p w14:paraId="4E8573CA">
      <w:pPr>
        <w:pStyle w:val="6"/>
        <w:keepNext w:val="0"/>
        <w:keepLines w:val="0"/>
        <w:spacing w:before="0" w:after="0" w:line="360" w:lineRule="auto"/>
        <w:ind w:left="420" w:leftChars="200"/>
        <w:rPr>
          <w:rFonts w:ascii="宋体" w:hAnsi="宋体"/>
          <w:b w:val="0"/>
          <w:bCs/>
          <w:color w:val="auto"/>
          <w:sz w:val="21"/>
          <w:szCs w:val="21"/>
        </w:rPr>
      </w:pPr>
      <w:r>
        <w:rPr>
          <w:rFonts w:hint="eastAsia" w:ascii="宋体" w:hAnsi="宋体"/>
          <w:b w:val="0"/>
          <w:bCs/>
          <w:color w:val="auto"/>
          <w:sz w:val="21"/>
          <w:szCs w:val="21"/>
        </w:rPr>
        <w:t>（3）投标人的报价均超过了采购预算，采购人不能支付的；</w:t>
      </w:r>
    </w:p>
    <w:p w14:paraId="10098721">
      <w:pPr>
        <w:pStyle w:val="6"/>
        <w:keepNext w:val="0"/>
        <w:keepLines w:val="0"/>
        <w:spacing w:before="0" w:after="0" w:line="360" w:lineRule="auto"/>
        <w:ind w:left="420" w:leftChars="200"/>
        <w:rPr>
          <w:rFonts w:ascii="宋体" w:hAnsi="宋体"/>
          <w:b w:val="0"/>
          <w:bCs/>
          <w:color w:val="auto"/>
          <w:sz w:val="21"/>
          <w:szCs w:val="21"/>
        </w:rPr>
      </w:pPr>
      <w:r>
        <w:rPr>
          <w:rFonts w:hint="eastAsia" w:ascii="宋体" w:hAnsi="宋体"/>
          <w:b w:val="0"/>
          <w:bCs/>
          <w:color w:val="auto"/>
          <w:sz w:val="21"/>
          <w:szCs w:val="21"/>
        </w:rPr>
        <w:t>（4）因重大变故，采购任务取消的。</w:t>
      </w:r>
    </w:p>
    <w:p w14:paraId="2AB34081">
      <w:pPr>
        <w:pStyle w:val="6"/>
        <w:keepNext w:val="0"/>
        <w:keepLines w:val="0"/>
        <w:spacing w:before="0" w:after="0" w:line="360" w:lineRule="auto"/>
        <w:ind w:left="420" w:leftChars="200"/>
        <w:rPr>
          <w:rFonts w:ascii="宋体" w:hAnsi="宋体"/>
          <w:b w:val="0"/>
          <w:bCs/>
          <w:color w:val="auto"/>
          <w:sz w:val="21"/>
          <w:szCs w:val="21"/>
        </w:rPr>
      </w:pPr>
      <w:r>
        <w:rPr>
          <w:rFonts w:hint="eastAsia" w:ascii="宋体" w:hAnsi="宋体"/>
          <w:b w:val="0"/>
          <w:bCs/>
          <w:color w:val="auto"/>
          <w:sz w:val="21"/>
          <w:szCs w:val="21"/>
        </w:rPr>
        <w:t>废标后，采购人应当将废标理由通知所有投标人。</w:t>
      </w:r>
    </w:p>
    <w:p w14:paraId="30F6A92B">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31.结果公告</w:t>
      </w:r>
    </w:p>
    <w:p w14:paraId="188F1664">
      <w:pPr>
        <w:spacing w:line="360" w:lineRule="auto"/>
        <w:ind w:firstLine="420" w:firstLineChars="200"/>
        <w:rPr>
          <w:rFonts w:ascii="宋体" w:hAnsi="宋体"/>
          <w:bCs/>
          <w:color w:val="auto"/>
          <w:szCs w:val="21"/>
        </w:rPr>
      </w:pPr>
      <w:r>
        <w:rPr>
          <w:rFonts w:hint="eastAsia" w:ascii="宋体" w:hAnsi="宋体"/>
          <w:bCs/>
          <w:color w:val="auto"/>
          <w:szCs w:val="21"/>
        </w:rPr>
        <w:t>31.1采购人或者采购代理机构应当自中标人确定之日起2个工作日内，在省级以上财政部门指定的媒体上公告中标结果，招标文件应当随中标结果同时公告。采购人或者采购代理发出中标通知书前，应当对中标人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0597224F">
      <w:pPr>
        <w:spacing w:line="360" w:lineRule="auto"/>
        <w:ind w:firstLine="420" w:firstLineChars="200"/>
        <w:rPr>
          <w:rFonts w:ascii="宋体" w:hAnsi="宋体"/>
          <w:bCs/>
          <w:color w:val="auto"/>
          <w:szCs w:val="21"/>
        </w:rPr>
      </w:pPr>
      <w:r>
        <w:rPr>
          <w:rFonts w:hint="eastAsia" w:ascii="宋体" w:hAnsi="宋体"/>
          <w:bCs/>
          <w:color w:val="auto"/>
          <w:szCs w:val="21"/>
        </w:rPr>
        <w:t>以上信息查询记录及相关证据与采购文件一并保存。</w:t>
      </w:r>
    </w:p>
    <w:p w14:paraId="0937F75E">
      <w:pPr>
        <w:spacing w:line="360" w:lineRule="auto"/>
        <w:ind w:firstLine="420" w:firstLineChars="200"/>
        <w:rPr>
          <w:rFonts w:ascii="宋体" w:hAnsi="宋体"/>
          <w:bCs/>
          <w:color w:val="auto"/>
          <w:szCs w:val="21"/>
        </w:rPr>
      </w:pPr>
      <w:r>
        <w:rPr>
          <w:rFonts w:hint="eastAsia" w:ascii="宋体" w:hAnsi="宋体"/>
          <w:bCs/>
          <w:color w:val="auto"/>
          <w:szCs w:val="21"/>
        </w:rPr>
        <w:t>31.2中标供应商享受《政府采购促进中小企业发展管理办法》（财库〔2020〕46号）规定的中小企业扶持政策的，采购人、采购代理机构应当随中标结果公开中标供应商的《中小企业声明函》。</w:t>
      </w:r>
    </w:p>
    <w:p w14:paraId="13706194">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32.发出中标通知书</w:t>
      </w:r>
    </w:p>
    <w:p w14:paraId="061CC5FD">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在发布中标公告的同时，采购代理机构向中标人通过广西政府采购云平台发出电子中标通知书。对未通过资格审查的投标人，应当告知其未通过的原因；采用综合评分办法评审的，还应当告知未中标人本人的评审得分与排序。</w:t>
      </w:r>
    </w:p>
    <w:p w14:paraId="513EDFC2">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33.无义务解释未中标原因</w:t>
      </w:r>
    </w:p>
    <w:p w14:paraId="142FFCAD">
      <w:pPr>
        <w:pStyle w:val="6"/>
        <w:keepNext w:val="0"/>
        <w:keepLines w:val="0"/>
        <w:spacing w:before="0" w:after="0" w:line="360" w:lineRule="auto"/>
        <w:ind w:left="420" w:leftChars="200"/>
        <w:rPr>
          <w:rFonts w:ascii="宋体" w:hAnsi="宋体"/>
          <w:b w:val="0"/>
          <w:color w:val="auto"/>
          <w:sz w:val="21"/>
          <w:szCs w:val="21"/>
        </w:rPr>
      </w:pPr>
      <w:r>
        <w:rPr>
          <w:rFonts w:hint="eastAsia" w:ascii="宋体" w:hAnsi="宋体"/>
          <w:b w:val="0"/>
          <w:color w:val="auto"/>
          <w:sz w:val="21"/>
          <w:szCs w:val="21"/>
        </w:rPr>
        <w:t>采购代理机构无义务向未中标的投标人解释未中标原因和退还投标文件。</w:t>
      </w:r>
    </w:p>
    <w:p w14:paraId="773FD8C9">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34.合同授予标准</w:t>
      </w:r>
    </w:p>
    <w:p w14:paraId="4806F1DD">
      <w:pPr>
        <w:snapToGrid w:val="0"/>
        <w:spacing w:line="360" w:lineRule="auto"/>
        <w:ind w:firstLine="420" w:firstLineChars="200"/>
        <w:rPr>
          <w:rFonts w:ascii="宋体" w:hAnsi="宋体"/>
          <w:color w:val="auto"/>
          <w:szCs w:val="21"/>
        </w:rPr>
      </w:pPr>
      <w:r>
        <w:rPr>
          <w:rFonts w:hint="eastAsia" w:ascii="宋体" w:hAnsi="宋体"/>
          <w:color w:val="auto"/>
          <w:szCs w:val="21"/>
        </w:rPr>
        <w:t>合同将授予被确定实质上响应招标文件要求，具备履行合同能力的中标人。</w:t>
      </w:r>
    </w:p>
    <w:p w14:paraId="2B682876">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35.履约保证金</w:t>
      </w:r>
    </w:p>
    <w:p w14:paraId="2E6C99DA">
      <w:pPr>
        <w:pStyle w:val="6"/>
        <w:keepNext w:val="0"/>
        <w:keepLines w:val="0"/>
        <w:spacing w:before="0" w:after="0" w:line="360" w:lineRule="auto"/>
        <w:ind w:firstLine="420" w:firstLineChars="200"/>
        <w:rPr>
          <w:rFonts w:ascii="宋体" w:hAnsi="宋体"/>
          <w:b w:val="0"/>
          <w:bCs/>
          <w:color w:val="auto"/>
          <w:sz w:val="21"/>
          <w:szCs w:val="21"/>
        </w:rPr>
      </w:pPr>
      <w:bookmarkStart w:id="164" w:name="_39.1中标人须于签订合同前按本须知前附表规定的金额转账或电汇到指定账"/>
      <w:bookmarkEnd w:id="164"/>
      <w:r>
        <w:rPr>
          <w:rFonts w:hint="eastAsia" w:ascii="宋体" w:hAnsi="宋体"/>
          <w:b w:val="0"/>
          <w:bCs/>
          <w:color w:val="auto"/>
          <w:sz w:val="21"/>
          <w:szCs w:val="21"/>
        </w:rPr>
        <w:t>35.1 履约保证金的金额、提交方式、退付的时间和条件详见 “投标人须知前附表”。中标人未按规定提交履约保证金的，视为拒绝与采购人签订合同。</w:t>
      </w:r>
    </w:p>
    <w:p w14:paraId="2B515A37">
      <w:pPr>
        <w:pStyle w:val="6"/>
        <w:keepNext w:val="0"/>
        <w:keepLines w:val="0"/>
        <w:spacing w:before="0" w:after="0" w:line="360" w:lineRule="auto"/>
        <w:ind w:firstLine="420" w:firstLineChars="200"/>
        <w:rPr>
          <w:rFonts w:ascii="宋体" w:hAnsi="宋体"/>
          <w:b w:val="0"/>
          <w:bCs/>
          <w:color w:val="auto"/>
          <w:sz w:val="21"/>
          <w:szCs w:val="21"/>
        </w:rPr>
      </w:pPr>
      <w:r>
        <w:rPr>
          <w:rFonts w:hint="eastAsia" w:ascii="宋体" w:hAnsi="宋体"/>
          <w:b w:val="0"/>
          <w:bCs/>
          <w:color w:val="auto"/>
          <w:sz w:val="21"/>
          <w:szCs w:val="21"/>
        </w:rPr>
        <w:t xml:space="preserve"> 35.2在履约保证金退还日期前，若中标人的开户名称、开户银行、账号有变动的，请以书面形式通知履约保证金收取单位，否则由此产生的后果由中标人自行承担。</w:t>
      </w:r>
    </w:p>
    <w:p w14:paraId="244B7237">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36.签订合同</w:t>
      </w:r>
    </w:p>
    <w:p w14:paraId="338F928C">
      <w:pPr>
        <w:pStyle w:val="6"/>
        <w:keepNext w:val="0"/>
        <w:keepLines w:val="0"/>
        <w:spacing w:before="0" w:after="0" w:line="360" w:lineRule="auto"/>
        <w:ind w:firstLine="420" w:firstLineChars="200"/>
        <w:rPr>
          <w:rFonts w:ascii="宋体" w:hAnsi="宋体"/>
          <w:b w:val="0"/>
          <w:bCs/>
          <w:color w:val="auto"/>
          <w:sz w:val="21"/>
          <w:szCs w:val="21"/>
        </w:rPr>
      </w:pPr>
      <w:bookmarkStart w:id="165" w:name="_40.1投标人接到中标通知书后，按须知前附表规定向采购人出示相关资格证"/>
      <w:bookmarkEnd w:id="165"/>
      <w:r>
        <w:rPr>
          <w:rFonts w:hint="eastAsia" w:ascii="宋体" w:hAnsi="宋体"/>
          <w:b w:val="0"/>
          <w:bCs/>
          <w:color w:val="auto"/>
          <w:sz w:val="21"/>
          <w:szCs w:val="21"/>
        </w:rPr>
        <w:t>36.1签订电子采购合同：中标人领取电子中标通知书后，在规定的日期、时间、地点，由法定代表人或其授权代表与采购人代表签订电子采购合同。如中标人为联合体的，由联合体成员各方法定代表人或其授权代表与采购人代表签订合同。</w:t>
      </w:r>
    </w:p>
    <w:p w14:paraId="2D452FC3">
      <w:pPr>
        <w:pStyle w:val="6"/>
        <w:keepNext w:val="0"/>
        <w:keepLines w:val="0"/>
        <w:spacing w:before="0" w:after="0" w:line="360" w:lineRule="auto"/>
        <w:ind w:firstLine="420" w:firstLineChars="200"/>
        <w:rPr>
          <w:rFonts w:ascii="宋体" w:hAnsi="宋体"/>
          <w:b w:val="0"/>
          <w:bCs/>
          <w:color w:val="auto"/>
          <w:sz w:val="21"/>
          <w:szCs w:val="21"/>
        </w:rPr>
      </w:pPr>
      <w:r>
        <w:rPr>
          <w:rFonts w:hint="eastAsia" w:ascii="宋体" w:hAnsi="宋体"/>
          <w:b w:val="0"/>
          <w:bCs/>
          <w:color w:val="auto"/>
          <w:sz w:val="21"/>
          <w:szCs w:val="21"/>
        </w:rPr>
        <w:t>线下签订纸质合同：投标人领取中标通知书后，按“投标人须知前附表”规定向采购人出示相关证明材料，经采购人核验合格后方可签订合同。</w:t>
      </w:r>
    </w:p>
    <w:p w14:paraId="3EC1B759">
      <w:pPr>
        <w:pStyle w:val="6"/>
        <w:keepNext w:val="0"/>
        <w:keepLines w:val="0"/>
        <w:spacing w:before="0" w:after="0" w:line="360" w:lineRule="auto"/>
        <w:ind w:firstLine="420" w:firstLineChars="200"/>
        <w:rPr>
          <w:rFonts w:ascii="宋体" w:hAnsi="宋体"/>
          <w:b w:val="0"/>
          <w:bCs/>
          <w:color w:val="auto"/>
          <w:sz w:val="21"/>
          <w:szCs w:val="21"/>
        </w:rPr>
      </w:pPr>
      <w:r>
        <w:rPr>
          <w:rFonts w:hint="eastAsia" w:ascii="宋体" w:hAnsi="宋体"/>
          <w:b w:val="0"/>
          <w:bCs/>
          <w:color w:val="auto"/>
          <w:sz w:val="21"/>
          <w:szCs w:val="21"/>
        </w:rPr>
        <w:t>36.2签订合同时间：按中标通知书规定的时间与采购人签订合同。</w:t>
      </w:r>
    </w:p>
    <w:p w14:paraId="42FF7822">
      <w:pPr>
        <w:pStyle w:val="6"/>
        <w:keepNext w:val="0"/>
        <w:keepLines w:val="0"/>
        <w:spacing w:before="0" w:after="0" w:line="360" w:lineRule="auto"/>
        <w:ind w:firstLine="420" w:firstLineChars="200"/>
        <w:rPr>
          <w:rFonts w:ascii="宋体" w:hAnsi="宋体"/>
          <w:b w:val="0"/>
          <w:bCs/>
          <w:color w:val="auto"/>
          <w:sz w:val="21"/>
          <w:szCs w:val="21"/>
        </w:rPr>
      </w:pPr>
      <w:r>
        <w:rPr>
          <w:rFonts w:hint="eastAsia" w:ascii="宋体" w:hAnsi="宋体"/>
          <w:b w:val="0"/>
          <w:bCs/>
          <w:color w:val="auto"/>
          <w:sz w:val="21"/>
          <w:szCs w:val="21"/>
        </w:rPr>
        <w:t>36.3中标人拒绝签订政府采购合同（包括但不限于放弃中标、因不可抗力不能履行合同而放弃签订合同），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14:paraId="02BCF129">
      <w:pPr>
        <w:pStyle w:val="6"/>
        <w:keepNext w:val="0"/>
        <w:keepLines w:val="0"/>
        <w:spacing w:before="0" w:after="0" w:line="360" w:lineRule="auto"/>
        <w:ind w:firstLine="420" w:firstLineChars="200"/>
        <w:rPr>
          <w:rFonts w:ascii="宋体" w:hAnsi="宋体"/>
          <w:b w:val="0"/>
          <w:bCs/>
          <w:color w:val="auto"/>
          <w:sz w:val="21"/>
          <w:szCs w:val="21"/>
        </w:rPr>
      </w:pPr>
      <w:r>
        <w:rPr>
          <w:rFonts w:hint="eastAsia" w:ascii="宋体" w:hAnsi="宋体"/>
          <w:b w:val="0"/>
          <w:bCs/>
          <w:color w:val="auto"/>
          <w:sz w:val="21"/>
          <w:szCs w:val="21"/>
        </w:rPr>
        <w:t>36.4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50EC41BF">
      <w:pPr>
        <w:pStyle w:val="6"/>
        <w:keepNext w:val="0"/>
        <w:keepLines w:val="0"/>
        <w:spacing w:before="0" w:after="0" w:line="360" w:lineRule="auto"/>
        <w:ind w:firstLine="420" w:firstLineChars="200"/>
        <w:rPr>
          <w:rFonts w:ascii="宋体" w:hAnsi="宋体"/>
          <w:b w:val="0"/>
          <w:bCs/>
          <w:color w:val="auto"/>
          <w:sz w:val="21"/>
          <w:szCs w:val="21"/>
        </w:rPr>
      </w:pPr>
      <w:r>
        <w:rPr>
          <w:rFonts w:hint="eastAsia" w:ascii="宋体" w:hAnsi="宋体"/>
          <w:b w:val="0"/>
          <w:bCs/>
          <w:color w:val="auto"/>
          <w:sz w:val="21"/>
          <w:szCs w:val="21"/>
        </w:rPr>
        <w:t>36.5采购人或中标供应商不得单方面向合同另一方提出任何招标文件没有约定的条件或不合理的要求，作为签订合同的条件；也不得协商另行订立背离招标文件和合同实质性内容的协议。</w:t>
      </w:r>
    </w:p>
    <w:p w14:paraId="595131B1">
      <w:pPr>
        <w:pStyle w:val="6"/>
        <w:keepNext w:val="0"/>
        <w:keepLines w:val="0"/>
        <w:spacing w:before="0" w:after="0" w:line="360" w:lineRule="auto"/>
        <w:ind w:firstLine="420" w:firstLineChars="200"/>
        <w:rPr>
          <w:rFonts w:ascii="宋体" w:hAnsi="宋体"/>
          <w:b w:val="0"/>
          <w:bCs/>
          <w:color w:val="auto"/>
          <w:sz w:val="21"/>
          <w:szCs w:val="21"/>
        </w:rPr>
      </w:pPr>
      <w:r>
        <w:rPr>
          <w:rFonts w:hint="eastAsia" w:ascii="宋体" w:hAnsi="宋体"/>
          <w:b w:val="0"/>
          <w:bCs/>
          <w:color w:val="auto"/>
          <w:sz w:val="21"/>
          <w:szCs w:val="21"/>
        </w:rPr>
        <w:t>36.6如签订合同并生效后，供应商无故拒绝或延期，除按照合同条款处理外，将承担相应的法律责任。</w:t>
      </w:r>
    </w:p>
    <w:p w14:paraId="28B44135">
      <w:pPr>
        <w:pStyle w:val="6"/>
        <w:keepNext w:val="0"/>
        <w:keepLines w:val="0"/>
        <w:spacing w:before="0" w:after="0" w:line="360" w:lineRule="auto"/>
        <w:ind w:firstLine="420" w:firstLineChars="200"/>
        <w:rPr>
          <w:rFonts w:ascii="宋体" w:hAnsi="宋体"/>
          <w:b w:val="0"/>
          <w:bCs/>
          <w:color w:val="auto"/>
          <w:sz w:val="21"/>
          <w:szCs w:val="21"/>
        </w:rPr>
      </w:pPr>
      <w:r>
        <w:rPr>
          <w:rFonts w:hint="eastAsia" w:ascii="宋体" w:hAnsi="宋体"/>
          <w:b w:val="0"/>
          <w:bCs/>
          <w:color w:val="auto"/>
          <w:sz w:val="21"/>
          <w:szCs w:val="21"/>
        </w:rPr>
        <w:t>36.7政府采购合同履行中，采购人需追加与合同标的相同的货物、工程或者服务的，在不改变合同其他条款的前提下，可以与供应商协商签订补充合同，但所有补充合同的采购金额不得超过原合同采购金额的10%。</w:t>
      </w:r>
    </w:p>
    <w:p w14:paraId="326B779C">
      <w:pPr>
        <w:pStyle w:val="6"/>
        <w:keepNext w:val="0"/>
        <w:keepLines w:val="0"/>
        <w:spacing w:before="0" w:after="0" w:line="360" w:lineRule="auto"/>
        <w:ind w:left="420" w:leftChars="200"/>
        <w:rPr>
          <w:rFonts w:ascii="黑体" w:hAnsi="黑体" w:eastAsia="黑体"/>
          <w:color w:val="auto"/>
          <w:sz w:val="24"/>
        </w:rPr>
      </w:pPr>
      <w:bookmarkStart w:id="166" w:name="_41.政府采购合同公告"/>
      <w:bookmarkEnd w:id="166"/>
      <w:r>
        <w:rPr>
          <w:rFonts w:hint="eastAsia" w:ascii="黑体" w:hAnsi="黑体" w:eastAsia="黑体"/>
          <w:color w:val="auto"/>
          <w:sz w:val="24"/>
        </w:rPr>
        <w:t>37.政府采购合同公告</w:t>
      </w:r>
    </w:p>
    <w:p w14:paraId="37C634AA">
      <w:pPr>
        <w:spacing w:line="360" w:lineRule="auto"/>
        <w:ind w:firstLine="420" w:firstLineChars="200"/>
        <w:rPr>
          <w:rFonts w:hAnsi="宋体"/>
          <w:color w:val="auto"/>
        </w:rPr>
      </w:pPr>
      <w:r>
        <w:rPr>
          <w:rFonts w:hint="eastAsia" w:hAnsi="宋体"/>
          <w:color w:val="auto"/>
        </w:rPr>
        <w:t>采购人或者受托采购代理机构应当自政府采购合同签订之日起2个工作日内，将政府采购合同在省级以上人民政府财政部门指定的媒体上公告，但政府采购合同中涉及国家秘密、商业秘密的内容除外。</w:t>
      </w:r>
    </w:p>
    <w:p w14:paraId="44AAEFBA">
      <w:pPr>
        <w:pStyle w:val="6"/>
        <w:keepNext w:val="0"/>
        <w:keepLines w:val="0"/>
        <w:spacing w:before="0" w:after="0" w:line="360" w:lineRule="auto"/>
        <w:ind w:left="420" w:leftChars="200"/>
        <w:rPr>
          <w:rFonts w:ascii="黑体" w:hAnsi="黑体" w:eastAsia="黑体"/>
          <w:color w:val="auto"/>
          <w:sz w:val="24"/>
        </w:rPr>
      </w:pPr>
      <w:r>
        <w:rPr>
          <w:rFonts w:hint="eastAsia" w:ascii="黑体" w:hAnsi="黑体" w:eastAsia="黑体"/>
          <w:color w:val="auto"/>
          <w:sz w:val="24"/>
        </w:rPr>
        <w:t>3</w:t>
      </w:r>
      <w:r>
        <w:rPr>
          <w:rFonts w:ascii="黑体" w:hAnsi="黑体" w:eastAsia="黑体"/>
          <w:color w:val="auto"/>
          <w:sz w:val="24"/>
        </w:rPr>
        <w:t>8.</w:t>
      </w:r>
      <w:r>
        <w:rPr>
          <w:rFonts w:hint="eastAsia" w:ascii="黑体" w:hAnsi="黑体" w:eastAsia="黑体"/>
          <w:color w:val="auto"/>
          <w:sz w:val="24"/>
        </w:rPr>
        <w:t>询问、质疑和投诉</w:t>
      </w:r>
    </w:p>
    <w:p w14:paraId="7A9A018A">
      <w:pPr>
        <w:spacing w:line="360" w:lineRule="auto"/>
        <w:ind w:firstLine="420" w:firstLineChars="200"/>
        <w:rPr>
          <w:rFonts w:ascii="宋体" w:hAnsi="宋体" w:cs="宋体"/>
          <w:color w:val="auto"/>
        </w:rPr>
      </w:pPr>
      <w:r>
        <w:rPr>
          <w:rFonts w:hint="eastAsia" w:ascii="宋体" w:hAnsi="宋体" w:cs="宋体"/>
          <w:color w:val="auto"/>
        </w:rPr>
        <w:t>38.1供应商对政府采购活动事项有疑问的，可以向采购人提出询问，采购人或者采购代理机构应当在3个工作日内对供应商依法提出的询问作出答复，但答复的内容不得涉及商业秘密。</w:t>
      </w:r>
    </w:p>
    <w:p w14:paraId="7F38D594">
      <w:pPr>
        <w:spacing w:line="360" w:lineRule="auto"/>
        <w:ind w:firstLine="420" w:firstLineChars="200"/>
        <w:rPr>
          <w:rFonts w:ascii="宋体" w:hAnsi="宋体" w:cs="宋体"/>
          <w:color w:val="auto"/>
        </w:rPr>
      </w:pPr>
      <w:r>
        <w:rPr>
          <w:rFonts w:hint="eastAsia" w:ascii="宋体" w:hAnsi="宋体" w:cs="宋体"/>
          <w:color w:val="auto"/>
        </w:rPr>
        <w:t xml:space="preserve">38.2供应商认为招标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 </w:t>
      </w:r>
    </w:p>
    <w:p w14:paraId="39FFE837">
      <w:pPr>
        <w:spacing w:line="360" w:lineRule="auto"/>
        <w:ind w:firstLine="420" w:firstLineChars="200"/>
        <w:rPr>
          <w:rFonts w:ascii="宋体" w:hAnsi="宋体" w:cs="宋体"/>
          <w:color w:val="auto"/>
        </w:rPr>
      </w:pPr>
      <w:r>
        <w:rPr>
          <w:rFonts w:hint="eastAsia" w:ascii="宋体" w:hAnsi="宋体" w:cs="宋体"/>
          <w:color w:val="auto"/>
        </w:rPr>
        <w:t>（1）对可以质疑的招标文件提出质疑的，为收到招标文件之日或者招标文件公告期限届满之日；</w:t>
      </w:r>
    </w:p>
    <w:p w14:paraId="61829CE7">
      <w:pPr>
        <w:spacing w:line="360" w:lineRule="auto"/>
        <w:ind w:firstLine="420" w:firstLineChars="200"/>
        <w:rPr>
          <w:rFonts w:ascii="宋体" w:hAnsi="宋体" w:cs="宋体"/>
          <w:color w:val="auto"/>
        </w:rPr>
      </w:pPr>
      <w:r>
        <w:rPr>
          <w:rFonts w:hint="eastAsia" w:ascii="宋体" w:hAnsi="宋体" w:cs="宋体"/>
          <w:color w:val="auto"/>
        </w:rPr>
        <w:t>（2）对采购过程提出质疑的，为各采购程序环节结束之日；</w:t>
      </w:r>
    </w:p>
    <w:p w14:paraId="4C083517">
      <w:pPr>
        <w:spacing w:line="360" w:lineRule="auto"/>
        <w:ind w:firstLine="420" w:firstLineChars="200"/>
        <w:rPr>
          <w:rFonts w:ascii="宋体" w:hAnsi="宋体" w:cs="宋体"/>
          <w:color w:val="auto"/>
        </w:rPr>
      </w:pPr>
      <w:r>
        <w:rPr>
          <w:rFonts w:hint="eastAsia" w:ascii="宋体" w:hAnsi="宋体" w:cs="宋体"/>
          <w:color w:val="auto"/>
        </w:rPr>
        <w:t>（3）对中标结果提出质疑的，为中标结果公告期限届满之日。</w:t>
      </w:r>
    </w:p>
    <w:p w14:paraId="2B1F076F">
      <w:pPr>
        <w:spacing w:line="360" w:lineRule="auto"/>
        <w:ind w:firstLine="420" w:firstLineChars="200"/>
        <w:rPr>
          <w:rFonts w:ascii="宋体" w:hAnsi="宋体" w:cs="宋体"/>
          <w:color w:val="auto"/>
        </w:rPr>
      </w:pPr>
      <w:r>
        <w:rPr>
          <w:rFonts w:hint="eastAsia" w:ascii="宋体" w:hAnsi="宋体" w:cs="宋体"/>
          <w:color w:val="auto"/>
        </w:rPr>
        <w:t>38.3 供应商提出质疑应当提交质疑函和必要的证明材料，针对同一采购程序环节的质疑必须在法定质疑期内一次性提出。质疑函应当包括下列内容（质疑函格式见第六章）：</w:t>
      </w:r>
    </w:p>
    <w:p w14:paraId="0208935C">
      <w:pPr>
        <w:spacing w:line="360" w:lineRule="auto"/>
        <w:ind w:firstLine="420" w:firstLineChars="200"/>
        <w:rPr>
          <w:rFonts w:ascii="宋体" w:hAnsi="宋体" w:cs="宋体"/>
          <w:color w:val="auto"/>
        </w:rPr>
      </w:pPr>
      <w:r>
        <w:rPr>
          <w:rFonts w:hint="eastAsia" w:ascii="宋体" w:hAnsi="宋体" w:cs="宋体"/>
          <w:color w:val="auto"/>
        </w:rPr>
        <w:t>（1）供应商的姓名或者名称、地址、邮编、联系人及联系电话；</w:t>
      </w:r>
    </w:p>
    <w:p w14:paraId="7C447BE4">
      <w:pPr>
        <w:spacing w:line="360" w:lineRule="auto"/>
        <w:ind w:firstLine="420" w:firstLineChars="200"/>
        <w:rPr>
          <w:rFonts w:ascii="宋体" w:hAnsi="宋体" w:cs="宋体"/>
          <w:color w:val="auto"/>
        </w:rPr>
      </w:pPr>
      <w:r>
        <w:rPr>
          <w:rFonts w:hint="eastAsia" w:ascii="宋体" w:hAnsi="宋体" w:cs="宋体"/>
          <w:color w:val="auto"/>
        </w:rPr>
        <w:t>（2）质疑项目的名称、编号；</w:t>
      </w:r>
    </w:p>
    <w:p w14:paraId="76A38C6C">
      <w:pPr>
        <w:spacing w:line="360" w:lineRule="auto"/>
        <w:ind w:firstLine="420" w:firstLineChars="200"/>
        <w:rPr>
          <w:rFonts w:ascii="宋体" w:hAnsi="宋体" w:cs="宋体"/>
          <w:color w:val="auto"/>
        </w:rPr>
      </w:pPr>
      <w:r>
        <w:rPr>
          <w:rFonts w:hint="eastAsia" w:ascii="宋体" w:hAnsi="宋体" w:cs="宋体"/>
          <w:color w:val="auto"/>
        </w:rPr>
        <w:t>（3）具体、明确的质疑事项和与质疑事项相关的请求；</w:t>
      </w:r>
    </w:p>
    <w:p w14:paraId="3EB66BAF">
      <w:pPr>
        <w:spacing w:line="360" w:lineRule="auto"/>
        <w:ind w:firstLine="420" w:firstLineChars="200"/>
        <w:rPr>
          <w:rFonts w:ascii="宋体" w:hAnsi="宋体" w:cs="宋体"/>
          <w:color w:val="auto"/>
        </w:rPr>
      </w:pPr>
      <w:r>
        <w:rPr>
          <w:rFonts w:hint="eastAsia" w:ascii="宋体" w:hAnsi="宋体" w:cs="宋体"/>
          <w:color w:val="auto"/>
        </w:rPr>
        <w:t>（4）事实依据；</w:t>
      </w:r>
    </w:p>
    <w:p w14:paraId="5325B201">
      <w:pPr>
        <w:spacing w:line="360" w:lineRule="auto"/>
        <w:ind w:firstLine="420" w:firstLineChars="200"/>
        <w:rPr>
          <w:rFonts w:ascii="宋体" w:hAnsi="宋体" w:cs="宋体"/>
          <w:color w:val="auto"/>
        </w:rPr>
      </w:pPr>
      <w:r>
        <w:rPr>
          <w:rFonts w:hint="eastAsia" w:ascii="宋体" w:hAnsi="宋体" w:cs="宋体"/>
          <w:color w:val="auto"/>
        </w:rPr>
        <w:t>（5）必要的法律依据；</w:t>
      </w:r>
    </w:p>
    <w:p w14:paraId="3313E5C5">
      <w:pPr>
        <w:spacing w:line="360" w:lineRule="auto"/>
        <w:ind w:firstLine="420" w:firstLineChars="200"/>
        <w:rPr>
          <w:rFonts w:ascii="宋体" w:hAnsi="宋体" w:cs="宋体"/>
          <w:color w:val="auto"/>
        </w:rPr>
      </w:pPr>
      <w:r>
        <w:rPr>
          <w:rFonts w:hint="eastAsia" w:ascii="宋体" w:hAnsi="宋体" w:cs="宋体"/>
          <w:color w:val="auto"/>
        </w:rPr>
        <w:t>（6）提出质疑的日期。</w:t>
      </w:r>
    </w:p>
    <w:p w14:paraId="1032C725">
      <w:pPr>
        <w:spacing w:line="360" w:lineRule="auto"/>
        <w:ind w:firstLine="420" w:firstLineChars="200"/>
        <w:rPr>
          <w:rFonts w:ascii="宋体" w:hAnsi="宋体" w:cs="宋体"/>
          <w:color w:val="auto"/>
        </w:rPr>
      </w:pPr>
      <w:r>
        <w:rPr>
          <w:rFonts w:hint="eastAsia" w:ascii="宋体" w:hAnsi="宋体" w:cs="宋体"/>
          <w:color w:val="auto"/>
        </w:rPr>
        <w:t>供应商为自然人的，应当由本人签字；供应商为法人或者其他组织的，应当由法定代表人、主要负责人，或者其委托代理人签字或者盖章，并加盖公章。</w:t>
      </w:r>
    </w:p>
    <w:p w14:paraId="6B9BF4A0">
      <w:pPr>
        <w:spacing w:line="360" w:lineRule="auto"/>
        <w:ind w:firstLine="420" w:firstLineChars="200"/>
        <w:rPr>
          <w:rFonts w:ascii="宋体" w:hAnsi="宋体" w:cs="宋体"/>
          <w:color w:val="auto"/>
        </w:rPr>
      </w:pPr>
      <w:r>
        <w:rPr>
          <w:rFonts w:hint="eastAsia" w:ascii="宋体" w:hAnsi="宋体" w:cs="宋体"/>
          <w:color w:val="auto"/>
        </w:rPr>
        <w:t>38.4采购人、采购代理机构认为供应商质疑不成立，或者成立但未对中标结果构成影响的，继续开展采购活动；认为供应商质疑成立且影响或者可能影响中标结果的，按照下列情况处理：</w:t>
      </w:r>
    </w:p>
    <w:p w14:paraId="448E46F3">
      <w:pPr>
        <w:spacing w:line="360" w:lineRule="auto"/>
        <w:ind w:firstLine="420" w:firstLineChars="200"/>
        <w:rPr>
          <w:rFonts w:ascii="宋体" w:hAnsi="宋体" w:cs="宋体"/>
          <w:color w:val="auto"/>
        </w:rPr>
      </w:pPr>
      <w:r>
        <w:rPr>
          <w:rFonts w:hint="eastAsia" w:ascii="宋体" w:hAnsi="宋体" w:cs="宋体"/>
          <w:color w:val="auto"/>
        </w:rPr>
        <w:t>（一）对招标文件提出的质疑，依法通过澄清或者修改可以继续开展采购活动的，澄清或者修改招标文件后继续开展采购活动；否则应当修改招标文件后重新开展采购活动。</w:t>
      </w:r>
    </w:p>
    <w:p w14:paraId="3A8DAAA1">
      <w:pPr>
        <w:spacing w:line="360" w:lineRule="auto"/>
        <w:ind w:firstLine="420" w:firstLineChars="200"/>
        <w:rPr>
          <w:rFonts w:ascii="宋体" w:hAnsi="宋体" w:cs="宋体"/>
          <w:color w:val="auto"/>
        </w:rPr>
      </w:pPr>
      <w:r>
        <w:rPr>
          <w:rFonts w:hint="eastAsia" w:ascii="宋体" w:hAnsi="宋体" w:cs="宋体"/>
          <w:color w:val="auto"/>
        </w:rPr>
        <w:t>（二）对采购过程、中标结果提出的质疑，合格供应商符合法定数量时，可以从合格的中标候选人中另行确定中标供应商的，应当依法另行确定中标供应商；否则应当重新开展采购活动。</w:t>
      </w:r>
    </w:p>
    <w:p w14:paraId="525BEEDC">
      <w:pPr>
        <w:spacing w:line="360" w:lineRule="auto"/>
        <w:ind w:firstLine="420" w:firstLineChars="200"/>
        <w:rPr>
          <w:rFonts w:ascii="宋体" w:hAnsi="宋体" w:cs="宋体"/>
          <w:color w:val="auto"/>
        </w:rPr>
      </w:pPr>
      <w:r>
        <w:rPr>
          <w:rFonts w:hint="eastAsia" w:ascii="宋体" w:hAnsi="宋体" w:cs="宋体"/>
          <w:color w:val="auto"/>
        </w:rPr>
        <w:t>质疑答复导致中标结果改变的，采购人或者采购代理机构应当将有关情况书面报告本级财政部门。</w:t>
      </w:r>
    </w:p>
    <w:p w14:paraId="355490F3">
      <w:pPr>
        <w:spacing w:line="360" w:lineRule="auto"/>
        <w:ind w:firstLine="420" w:firstLineChars="200"/>
        <w:rPr>
          <w:rFonts w:ascii="宋体" w:hAnsi="宋体" w:cs="宋体"/>
          <w:color w:val="auto"/>
        </w:rPr>
      </w:pPr>
      <w:r>
        <w:rPr>
          <w:rFonts w:hint="eastAsia" w:ascii="宋体" w:hAnsi="宋体" w:cs="宋体"/>
          <w:color w:val="auto"/>
        </w:rPr>
        <w:t>38.5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见第六章）。</w:t>
      </w:r>
    </w:p>
    <w:p w14:paraId="3187F82B">
      <w:pPr>
        <w:pStyle w:val="4"/>
        <w:keepNext w:val="0"/>
        <w:keepLines w:val="0"/>
        <w:jc w:val="center"/>
        <w:rPr>
          <w:color w:val="auto"/>
        </w:rPr>
      </w:pPr>
      <w:bookmarkStart w:id="167" w:name="_八、其他事项"/>
      <w:bookmarkEnd w:id="167"/>
      <w:r>
        <w:rPr>
          <w:rFonts w:hint="eastAsia"/>
          <w:color w:val="auto"/>
        </w:rPr>
        <w:t>八、验收</w:t>
      </w:r>
    </w:p>
    <w:p w14:paraId="74ECF599">
      <w:pPr>
        <w:spacing w:line="360" w:lineRule="auto"/>
        <w:ind w:firstLine="420" w:firstLineChars="200"/>
        <w:rPr>
          <w:rFonts w:ascii="宋体" w:hAnsi="宋体" w:cs="宋体"/>
          <w:color w:val="auto"/>
        </w:rPr>
      </w:pPr>
      <w:r>
        <w:rPr>
          <w:rFonts w:hint="eastAsia" w:ascii="宋体" w:hAnsi="宋体" w:cs="宋体"/>
          <w:color w:val="auto"/>
        </w:rPr>
        <w:t>39.验收</w:t>
      </w:r>
    </w:p>
    <w:p w14:paraId="38BA6BA8">
      <w:pPr>
        <w:spacing w:line="360" w:lineRule="auto"/>
        <w:ind w:firstLine="420" w:firstLineChars="200"/>
        <w:rPr>
          <w:rFonts w:ascii="宋体" w:hAnsi="宋体" w:cs="宋体"/>
          <w:color w:val="auto"/>
        </w:rPr>
      </w:pPr>
      <w:r>
        <w:rPr>
          <w:rFonts w:hint="eastAsia" w:ascii="宋体" w:hAnsi="宋体" w:cs="宋体"/>
          <w:color w:val="auto"/>
        </w:rPr>
        <w:t>39.1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7BFB2874">
      <w:pPr>
        <w:spacing w:line="360" w:lineRule="auto"/>
        <w:ind w:firstLine="420" w:firstLineChars="200"/>
        <w:rPr>
          <w:rFonts w:ascii="宋体" w:hAnsi="宋体" w:cs="宋体"/>
          <w:color w:val="auto"/>
        </w:rPr>
      </w:pPr>
      <w:r>
        <w:rPr>
          <w:rFonts w:hint="eastAsia" w:ascii="宋体" w:hAnsi="宋体" w:cs="宋体"/>
          <w:color w:val="auto"/>
        </w:rPr>
        <w:t>39.2采购人可以邀请参加本项目的其他投标人或者第三方机构参与验收。参与验收的投标人或者第三方机构的意见作为验收书的参考资料一并存档。</w:t>
      </w:r>
    </w:p>
    <w:p w14:paraId="3062B343">
      <w:pPr>
        <w:spacing w:line="360" w:lineRule="auto"/>
        <w:ind w:firstLine="420" w:firstLineChars="200"/>
        <w:rPr>
          <w:rFonts w:ascii="宋体" w:hAnsi="宋体" w:cs="宋体"/>
          <w:color w:val="auto"/>
        </w:rPr>
      </w:pPr>
      <w:r>
        <w:rPr>
          <w:rFonts w:hint="eastAsia" w:ascii="宋体" w:hAnsi="宋体" w:cs="宋体"/>
          <w:color w:val="auto"/>
        </w:rPr>
        <w:t>39.3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0F66A687">
      <w:pPr>
        <w:spacing w:line="360" w:lineRule="auto"/>
        <w:ind w:firstLine="420" w:firstLineChars="200"/>
        <w:rPr>
          <w:rFonts w:ascii="宋体" w:hAnsi="宋体" w:cs="宋体"/>
          <w:color w:val="auto"/>
        </w:rPr>
      </w:pPr>
      <w:r>
        <w:rPr>
          <w:rFonts w:hint="eastAsia" w:ascii="宋体" w:hAnsi="宋体" w:cs="宋体"/>
          <w:color w:val="auto"/>
        </w:rPr>
        <w:t>39.4</w:t>
      </w:r>
      <w:r>
        <w:rPr>
          <w:rFonts w:hint="eastAsia" w:ascii="宋体" w:hAnsi="宋体" w:cs="宋体"/>
          <w:color w:val="auto"/>
          <w:spacing w:val="-6"/>
        </w:rPr>
        <w:t>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r>
        <w:rPr>
          <w:rFonts w:hint="eastAsia" w:ascii="宋体" w:hAnsi="宋体" w:cs="宋体"/>
          <w:color w:val="auto"/>
        </w:rPr>
        <w:t>。</w:t>
      </w:r>
    </w:p>
    <w:p w14:paraId="658D943A">
      <w:pPr>
        <w:pStyle w:val="4"/>
        <w:keepNext w:val="0"/>
        <w:keepLines w:val="0"/>
        <w:jc w:val="center"/>
        <w:rPr>
          <w:color w:val="auto"/>
        </w:rPr>
      </w:pPr>
      <w:r>
        <w:rPr>
          <w:rFonts w:hint="eastAsia"/>
          <w:color w:val="auto"/>
        </w:rPr>
        <w:t>九、其他事项</w:t>
      </w:r>
    </w:p>
    <w:p w14:paraId="76BB3126">
      <w:pPr>
        <w:pStyle w:val="6"/>
        <w:keepNext w:val="0"/>
        <w:keepLines w:val="0"/>
        <w:spacing w:before="0" w:after="0" w:line="360" w:lineRule="auto"/>
        <w:ind w:left="420" w:leftChars="200"/>
        <w:rPr>
          <w:rFonts w:ascii="黑体" w:hAnsi="黑体" w:eastAsia="黑体"/>
          <w:color w:val="auto"/>
          <w:sz w:val="24"/>
        </w:rPr>
      </w:pPr>
      <w:bookmarkStart w:id="168" w:name="_42.代理服务费"/>
      <w:bookmarkEnd w:id="168"/>
      <w:r>
        <w:rPr>
          <w:rFonts w:hint="eastAsia" w:ascii="黑体" w:hAnsi="黑体" w:eastAsia="黑体"/>
          <w:color w:val="auto"/>
          <w:sz w:val="24"/>
        </w:rPr>
        <w:t>40.代理服务费</w:t>
      </w:r>
    </w:p>
    <w:p w14:paraId="7FF0DB8B">
      <w:pPr>
        <w:pStyle w:val="6"/>
        <w:keepNext w:val="0"/>
        <w:keepLines w:val="0"/>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40.1代理服务收费标准及缴费账户详见“投标人须知前附表”，投标人为联合体的，可以由联合体中的一方或者多方共同交纳代理服务费。</w:t>
      </w:r>
    </w:p>
    <w:p w14:paraId="32D80F1C">
      <w:pPr>
        <w:pStyle w:val="6"/>
        <w:keepNext w:val="0"/>
        <w:keepLines w:val="0"/>
        <w:numPr>
          <w:ilvl w:val="0"/>
          <w:numId w:val="0"/>
        </w:numPr>
        <w:spacing w:before="0" w:after="0" w:line="360" w:lineRule="auto"/>
        <w:ind w:firstLine="420" w:firstLineChars="200"/>
        <w:rPr>
          <w:rFonts w:ascii="宋体" w:hAnsi="宋体"/>
          <w:b w:val="0"/>
          <w:color w:val="auto"/>
          <w:sz w:val="21"/>
          <w:szCs w:val="21"/>
        </w:rPr>
      </w:pPr>
      <w:r>
        <w:rPr>
          <w:rFonts w:hint="eastAsia" w:ascii="宋体" w:hAnsi="宋体"/>
          <w:b w:val="0"/>
          <w:color w:val="auto"/>
          <w:sz w:val="21"/>
          <w:szCs w:val="21"/>
        </w:rPr>
        <w:t>40.2代理服务收费标准：详见“投标人须知前附表”</w:t>
      </w:r>
    </w:p>
    <w:p w14:paraId="3157303A">
      <w:pPr>
        <w:pStyle w:val="6"/>
        <w:keepNext w:val="0"/>
        <w:keepLines w:val="0"/>
        <w:spacing w:before="0" w:after="0" w:line="360" w:lineRule="auto"/>
        <w:ind w:left="420" w:leftChars="200"/>
        <w:rPr>
          <w:rFonts w:ascii="黑体" w:hAnsi="黑体" w:eastAsia="黑体"/>
          <w:color w:val="auto"/>
          <w:sz w:val="24"/>
        </w:rPr>
      </w:pPr>
      <w:r>
        <w:rPr>
          <w:rFonts w:ascii="黑体" w:hAnsi="黑体" w:eastAsia="黑体"/>
          <w:color w:val="auto"/>
          <w:sz w:val="24"/>
        </w:rPr>
        <w:t>4</w:t>
      </w:r>
      <w:r>
        <w:rPr>
          <w:rFonts w:hint="eastAsia" w:ascii="黑体" w:hAnsi="黑体" w:eastAsia="黑体"/>
          <w:color w:val="auto"/>
          <w:sz w:val="24"/>
        </w:rPr>
        <w:t>1</w:t>
      </w:r>
      <w:r>
        <w:rPr>
          <w:rFonts w:ascii="黑体" w:hAnsi="黑体" w:eastAsia="黑体"/>
          <w:color w:val="auto"/>
          <w:sz w:val="24"/>
        </w:rPr>
        <w:t>.需要补充的其他内容</w:t>
      </w:r>
    </w:p>
    <w:p w14:paraId="7B7192A5">
      <w:pPr>
        <w:pStyle w:val="14"/>
        <w:snapToGrid w:val="0"/>
        <w:spacing w:before="120" w:after="120" w:line="360" w:lineRule="auto"/>
        <w:ind w:firstLine="420" w:firstLineChars="200"/>
        <w:rPr>
          <w:rFonts w:hAnsi="宋体"/>
          <w:bCs/>
          <w:color w:val="auto"/>
          <w:kern w:val="2"/>
          <w:sz w:val="21"/>
        </w:rPr>
      </w:pPr>
      <w:r>
        <w:rPr>
          <w:rFonts w:hint="eastAsia" w:hAnsi="宋体"/>
          <w:bCs/>
          <w:color w:val="auto"/>
          <w:kern w:val="2"/>
          <w:sz w:val="21"/>
        </w:rPr>
        <w:t>4</w:t>
      </w:r>
      <w:r>
        <w:rPr>
          <w:rFonts w:hint="eastAsia" w:hAnsi="宋体"/>
          <w:bCs/>
          <w:color w:val="auto"/>
          <w:kern w:val="2"/>
          <w:sz w:val="21"/>
          <w:lang w:val="en-US" w:eastAsia="zh-CN"/>
        </w:rPr>
        <w:t>1</w:t>
      </w:r>
      <w:r>
        <w:rPr>
          <w:rFonts w:hint="eastAsia" w:hAnsi="宋体"/>
          <w:bCs/>
          <w:color w:val="auto"/>
          <w:kern w:val="2"/>
          <w:sz w:val="21"/>
        </w:rPr>
        <w:t>.1本招标文件解释规则详见“投标人须知前附表”。</w:t>
      </w:r>
    </w:p>
    <w:p w14:paraId="600706E0">
      <w:pPr>
        <w:pStyle w:val="14"/>
        <w:snapToGrid w:val="0"/>
        <w:spacing w:before="120" w:after="120" w:line="360" w:lineRule="auto"/>
        <w:ind w:firstLine="420" w:firstLineChars="200"/>
        <w:rPr>
          <w:rFonts w:hAnsi="宋体"/>
          <w:bCs/>
          <w:color w:val="auto"/>
          <w:kern w:val="2"/>
          <w:sz w:val="21"/>
        </w:rPr>
      </w:pPr>
      <w:r>
        <w:rPr>
          <w:rFonts w:hint="eastAsia" w:hAnsi="宋体"/>
          <w:bCs/>
          <w:color w:val="auto"/>
          <w:kern w:val="2"/>
          <w:sz w:val="21"/>
        </w:rPr>
        <w:t>4</w:t>
      </w:r>
      <w:r>
        <w:rPr>
          <w:rFonts w:hint="eastAsia" w:hAnsi="宋体"/>
          <w:bCs/>
          <w:color w:val="auto"/>
          <w:kern w:val="2"/>
          <w:sz w:val="21"/>
          <w:lang w:val="en-US" w:eastAsia="zh-CN"/>
        </w:rPr>
        <w:t>1</w:t>
      </w:r>
      <w:r>
        <w:rPr>
          <w:rFonts w:hint="eastAsia" w:hAnsi="宋体"/>
          <w:bCs/>
          <w:color w:val="auto"/>
          <w:kern w:val="2"/>
          <w:sz w:val="21"/>
        </w:rPr>
        <w:t>.2其他事项详见“投标人须知前附表”。</w:t>
      </w:r>
    </w:p>
    <w:p w14:paraId="2140CFC1">
      <w:pPr>
        <w:pStyle w:val="14"/>
        <w:snapToGrid w:val="0"/>
        <w:spacing w:before="120" w:after="120" w:line="360" w:lineRule="auto"/>
        <w:ind w:firstLine="420" w:firstLineChars="200"/>
        <w:rPr>
          <w:rFonts w:hAnsi="宋体"/>
          <w:bCs/>
          <w:color w:val="auto"/>
          <w:kern w:val="2"/>
          <w:sz w:val="21"/>
        </w:rPr>
      </w:pPr>
      <w:r>
        <w:rPr>
          <w:rFonts w:hint="eastAsia" w:hAnsi="宋体"/>
          <w:bCs/>
          <w:color w:val="auto"/>
          <w:kern w:val="2"/>
          <w:sz w:val="21"/>
        </w:rPr>
        <w:t>4</w:t>
      </w:r>
      <w:r>
        <w:rPr>
          <w:rFonts w:hint="eastAsia" w:hAnsi="宋体"/>
          <w:bCs/>
          <w:color w:val="auto"/>
          <w:kern w:val="2"/>
          <w:sz w:val="21"/>
          <w:lang w:val="en-US" w:eastAsia="zh-CN"/>
        </w:rPr>
        <w:t>1</w:t>
      </w:r>
      <w:r>
        <w:rPr>
          <w:rFonts w:hint="eastAsia" w:hAnsi="宋体"/>
          <w:bCs/>
          <w:color w:val="auto"/>
          <w:kern w:val="2"/>
          <w:sz w:val="21"/>
        </w:rPr>
        <w:t>.3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4FE25156">
      <w:pPr>
        <w:pStyle w:val="14"/>
        <w:snapToGrid w:val="0"/>
        <w:spacing w:before="120" w:after="120" w:line="360" w:lineRule="auto"/>
        <w:ind w:firstLine="420" w:firstLineChars="200"/>
        <w:rPr>
          <w:rFonts w:hAnsi="宋体"/>
          <w:bCs/>
          <w:color w:val="auto"/>
          <w:kern w:val="2"/>
          <w:sz w:val="21"/>
        </w:rPr>
      </w:pPr>
      <w:r>
        <w:rPr>
          <w:rFonts w:hint="eastAsia" w:hAnsi="宋体"/>
          <w:bCs/>
          <w:color w:val="auto"/>
          <w:kern w:val="2"/>
          <w:sz w:val="21"/>
        </w:rPr>
        <w:t>（1）在货物采购项目中，货物由中小企业制造，即货物由中小企业生产且使用该中小企业商号或者注册商标，不对其中涉及的工程承建商和服务的承接商作出要求；</w:t>
      </w:r>
    </w:p>
    <w:p w14:paraId="725DB412">
      <w:pPr>
        <w:pStyle w:val="14"/>
        <w:snapToGrid w:val="0"/>
        <w:spacing w:before="120" w:after="120" w:line="360" w:lineRule="auto"/>
        <w:ind w:firstLine="420" w:firstLineChars="200"/>
        <w:rPr>
          <w:rFonts w:hAnsi="宋体"/>
          <w:bCs/>
          <w:color w:val="auto"/>
          <w:kern w:val="2"/>
          <w:sz w:val="21"/>
        </w:rPr>
      </w:pPr>
      <w:r>
        <w:rPr>
          <w:rFonts w:hint="eastAsia" w:hAnsi="宋体"/>
          <w:bCs/>
          <w:color w:val="auto"/>
          <w:kern w:val="2"/>
          <w:sz w:val="21"/>
        </w:rPr>
        <w:t>（2）在工程采购项目中，工程由中小企业承建，即工程施工单位为中小企业，不对其中涉及的货物的制造商和服务的承接商作出要求；</w:t>
      </w:r>
    </w:p>
    <w:p w14:paraId="273F1EC3">
      <w:pPr>
        <w:pStyle w:val="14"/>
        <w:snapToGrid w:val="0"/>
        <w:spacing w:before="120" w:after="120" w:line="360" w:lineRule="auto"/>
        <w:ind w:firstLine="420" w:firstLineChars="200"/>
        <w:rPr>
          <w:rFonts w:hAnsi="宋体"/>
          <w:bCs/>
          <w:color w:val="auto"/>
          <w:kern w:val="2"/>
          <w:sz w:val="21"/>
        </w:rPr>
      </w:pPr>
      <w:r>
        <w:rPr>
          <w:rFonts w:hint="eastAsia" w:hAnsi="宋体"/>
          <w:bCs/>
          <w:color w:val="auto"/>
          <w:kern w:val="2"/>
          <w:sz w:val="21"/>
        </w:rPr>
        <w:t>（3）在服务采购项目中，服务由中小企业承接，即提供服务的人员为中小企业依照《中华人民共和国劳动合同法》订立劳动合同的从业人员，不对其中涉及的货物的制造商和工程承建商作出要求。</w:t>
      </w:r>
    </w:p>
    <w:p w14:paraId="3A0867FF">
      <w:pPr>
        <w:pStyle w:val="14"/>
        <w:snapToGrid w:val="0"/>
        <w:spacing w:before="120" w:after="120" w:line="360" w:lineRule="auto"/>
        <w:ind w:firstLine="420" w:firstLineChars="200"/>
        <w:rPr>
          <w:rFonts w:hAnsi="宋体"/>
          <w:bCs/>
          <w:color w:val="auto"/>
          <w:kern w:val="2"/>
          <w:sz w:val="21"/>
        </w:rPr>
      </w:pPr>
      <w:r>
        <w:rPr>
          <w:rFonts w:hint="eastAsia" w:hAnsi="宋体"/>
          <w:bCs/>
          <w:color w:val="auto"/>
          <w:kern w:val="2"/>
          <w:sz w:val="21"/>
        </w:rPr>
        <w:t>在货物采购项目中，供应商提供的货物既有中小企业制造货物，也有大型企业制造货物的，不享受本招标文件规定的中小企业扶持政策。以联合体形式参加政府采购活动，联合体各方均为中小企业的，联合体视同中小企业。其中，联合体各方均为小微企业的，联合体视同小微企业。</w:t>
      </w:r>
    </w:p>
    <w:p w14:paraId="3042267C">
      <w:pPr>
        <w:pStyle w:val="14"/>
        <w:snapToGrid w:val="0"/>
        <w:spacing w:before="120" w:after="120" w:line="360" w:lineRule="auto"/>
        <w:ind w:firstLine="420" w:firstLineChars="200"/>
        <w:rPr>
          <w:rFonts w:hint="eastAsia" w:hAnsi="宋体"/>
          <w:bCs/>
          <w:color w:val="auto"/>
          <w:kern w:val="2"/>
          <w:sz w:val="21"/>
        </w:rPr>
      </w:pPr>
      <w:r>
        <w:rPr>
          <w:rFonts w:hint="eastAsia" w:hAnsi="宋体"/>
          <w:bCs/>
          <w:color w:val="auto"/>
          <w:kern w:val="2"/>
          <w:sz w:val="21"/>
        </w:rPr>
        <w:t>依据本招标文件规定享受扶持政策获得政府采购合同的，小微企业不得将合同分包给大中型企业，中型企业不得将合同分包给大型企业。</w:t>
      </w:r>
    </w:p>
    <w:p w14:paraId="6EF7582C">
      <w:pPr>
        <w:pStyle w:val="14"/>
        <w:snapToGrid w:val="0"/>
        <w:spacing w:before="120" w:after="120" w:line="360" w:lineRule="auto"/>
        <w:ind w:firstLine="420" w:firstLineChars="200"/>
        <w:rPr>
          <w:rFonts w:hint="default" w:hAnsi="宋体" w:eastAsia="宋体"/>
          <w:bCs/>
          <w:color w:val="auto"/>
          <w:kern w:val="2"/>
          <w:sz w:val="21"/>
          <w:lang w:val="en-US" w:eastAsia="zh-CN"/>
        </w:rPr>
      </w:pPr>
      <w:r>
        <w:rPr>
          <w:rFonts w:hint="eastAsia" w:hAnsi="宋体"/>
          <w:bCs/>
          <w:color w:val="auto"/>
          <w:kern w:val="2"/>
          <w:sz w:val="21"/>
          <w:lang w:val="en-US" w:eastAsia="zh-CN"/>
        </w:rPr>
        <w:t>41.4监督部门监督管理机构：广西壮族自治区财政厅政府采购监督管理处电话：0771-5331544。</w:t>
      </w:r>
    </w:p>
    <w:p w14:paraId="3552728A">
      <w:pPr>
        <w:snapToGrid w:val="0"/>
        <w:spacing w:before="120" w:after="120"/>
        <w:ind w:firstLine="420" w:firstLineChars="200"/>
        <w:rPr>
          <w:rFonts w:hAnsi="宋体"/>
          <w:color w:val="auto"/>
        </w:rPr>
      </w:pPr>
      <w:r>
        <w:rPr>
          <w:rFonts w:hAnsi="宋体"/>
          <w:color w:val="auto"/>
        </w:rPr>
        <w:br w:type="page"/>
      </w:r>
    </w:p>
    <w:p w14:paraId="48A28B31">
      <w:pPr>
        <w:pStyle w:val="14"/>
        <w:snapToGrid w:val="0"/>
        <w:spacing w:before="120" w:after="120" w:line="360" w:lineRule="auto"/>
        <w:ind w:firstLine="400" w:firstLineChars="200"/>
        <w:rPr>
          <w:rFonts w:hAnsi="宋体"/>
          <w:color w:val="auto"/>
        </w:rPr>
      </w:pPr>
      <w:r>
        <w:rPr>
          <w:rFonts w:hint="eastAsia" w:hAnsi="宋体"/>
          <w:color w:val="auto"/>
        </w:rPr>
        <w:t>附件1：</w:t>
      </w:r>
    </w:p>
    <w:p w14:paraId="32273D89">
      <w:pPr>
        <w:jc w:val="center"/>
        <w:rPr>
          <w:rFonts w:ascii="黑体" w:hAnsi="黑体" w:eastAsia="黑体" w:cs="黑体"/>
          <w:color w:val="auto"/>
          <w:sz w:val="32"/>
          <w:szCs w:val="40"/>
        </w:rPr>
      </w:pPr>
      <w:r>
        <w:rPr>
          <w:rFonts w:hint="eastAsia" w:ascii="黑体" w:hAnsi="黑体" w:eastAsia="黑体" w:cs="黑体"/>
          <w:color w:val="auto"/>
          <w:sz w:val="32"/>
          <w:szCs w:val="40"/>
        </w:rPr>
        <w:t>广西壮族自治区政府采购项目合同验收书（格式）</w:t>
      </w:r>
    </w:p>
    <w:p w14:paraId="03A018B6">
      <w:pPr>
        <w:rPr>
          <w:color w:val="auto"/>
        </w:rPr>
      </w:pPr>
    </w:p>
    <w:p w14:paraId="11F7EE8E">
      <w:pPr>
        <w:ind w:firstLine="480" w:firstLineChars="200"/>
        <w:rPr>
          <w:color w:val="auto"/>
          <w:sz w:val="24"/>
          <w:szCs w:val="32"/>
        </w:rPr>
      </w:pPr>
      <w:r>
        <w:rPr>
          <w:rFonts w:hint="eastAsia"/>
          <w:color w:val="auto"/>
          <w:sz w:val="24"/>
          <w:szCs w:val="32"/>
        </w:rPr>
        <w:t>根据政府采购项目</w:t>
      </w:r>
      <w:r>
        <w:rPr>
          <w:rFonts w:hint="eastAsia"/>
          <w:color w:val="auto"/>
          <w:sz w:val="24"/>
          <w:szCs w:val="32"/>
          <w:u w:val="single"/>
        </w:rPr>
        <w:t>（采购合同编号：</w:t>
      </w:r>
      <w:r>
        <w:rPr>
          <w:rFonts w:hint="eastAsia"/>
          <w:color w:val="auto"/>
          <w:sz w:val="24"/>
          <w:szCs w:val="32"/>
          <w:u w:val="single"/>
        </w:rPr>
        <w:softHyphen/>
      </w:r>
      <w:r>
        <w:rPr>
          <w:rFonts w:hint="eastAsia"/>
          <w:color w:val="auto"/>
          <w:sz w:val="24"/>
          <w:szCs w:val="32"/>
          <w:u w:val="single"/>
        </w:rPr>
        <w:t>）</w:t>
      </w:r>
      <w:r>
        <w:rPr>
          <w:rFonts w:hint="eastAsia"/>
          <w:color w:val="auto"/>
          <w:sz w:val="24"/>
          <w:szCs w:val="32"/>
        </w:rPr>
        <w:t>的约定，我单位对</w:t>
      </w:r>
      <w:r>
        <w:rPr>
          <w:rFonts w:hint="eastAsia"/>
          <w:color w:val="auto"/>
          <w:sz w:val="24"/>
          <w:szCs w:val="32"/>
          <w:u w:val="single"/>
        </w:rPr>
        <w:t>（项目名称）</w:t>
      </w:r>
      <w:r>
        <w:rPr>
          <w:rFonts w:hint="eastAsia"/>
          <w:color w:val="auto"/>
          <w:sz w:val="24"/>
          <w:szCs w:val="32"/>
        </w:rPr>
        <w:t>政府采购项目</w:t>
      </w:r>
      <w:r>
        <w:rPr>
          <w:rFonts w:hint="eastAsia"/>
          <w:color w:val="auto"/>
          <w:sz w:val="24"/>
          <w:szCs w:val="32"/>
          <w:u w:val="single"/>
        </w:rPr>
        <w:t>中标（或者成交）</w:t>
      </w:r>
      <w:r>
        <w:rPr>
          <w:rFonts w:hint="eastAsia"/>
          <w:color w:val="auto"/>
          <w:sz w:val="24"/>
          <w:szCs w:val="32"/>
        </w:rPr>
        <w:t>投标人</w:t>
      </w:r>
      <w:r>
        <w:rPr>
          <w:rFonts w:hint="eastAsia"/>
          <w:color w:val="auto"/>
          <w:sz w:val="24"/>
          <w:szCs w:val="32"/>
          <w:u w:val="single"/>
        </w:rPr>
        <w:t>（公司名称）</w:t>
      </w:r>
      <w:r>
        <w:rPr>
          <w:rFonts w:hint="eastAsia"/>
          <w:color w:val="auto"/>
          <w:sz w:val="24"/>
          <w:szCs w:val="32"/>
        </w:rPr>
        <w:t>提供的货物</w:t>
      </w:r>
      <w:r>
        <w:rPr>
          <w:rFonts w:hint="eastAsia"/>
          <w:color w:val="auto"/>
          <w:sz w:val="24"/>
          <w:szCs w:val="32"/>
          <w:u w:val="single"/>
        </w:rPr>
        <w:t>（或者工程、服务）</w:t>
      </w:r>
      <w:r>
        <w:rPr>
          <w:rFonts w:hint="eastAsia"/>
          <w:color w:val="auto"/>
          <w:sz w:val="24"/>
          <w:szCs w:val="32"/>
        </w:rPr>
        <w:t>进行了验收，验收情况如下：</w:t>
      </w:r>
    </w:p>
    <w:tbl>
      <w:tblPr>
        <w:tblStyle w:val="25"/>
        <w:tblW w:w="0" w:type="auto"/>
        <w:jc w:val="center"/>
        <w:tblLayout w:type="fixed"/>
        <w:tblCellMar>
          <w:top w:w="0" w:type="dxa"/>
          <w:left w:w="0" w:type="dxa"/>
          <w:bottom w:w="0" w:type="dxa"/>
          <w:right w:w="0" w:type="dxa"/>
        </w:tblCellMar>
      </w:tblPr>
      <w:tblGrid>
        <w:gridCol w:w="1331"/>
        <w:gridCol w:w="1921"/>
        <w:gridCol w:w="798"/>
        <w:gridCol w:w="102"/>
        <w:gridCol w:w="2002"/>
        <w:gridCol w:w="178"/>
        <w:gridCol w:w="685"/>
        <w:gridCol w:w="2354"/>
      </w:tblGrid>
      <w:tr w14:paraId="642581AA">
        <w:tblPrEx>
          <w:tblCellMar>
            <w:top w:w="0" w:type="dxa"/>
            <w:left w:w="0" w:type="dxa"/>
            <w:bottom w:w="0" w:type="dxa"/>
            <w:right w:w="0" w:type="dxa"/>
          </w:tblCellMar>
        </w:tblPrEx>
        <w:trPr>
          <w:trHeight w:val="497" w:hRule="atLeast"/>
          <w:jc w:val="center"/>
        </w:trPr>
        <w:tc>
          <w:tcPr>
            <w:tcW w:w="3252" w:type="dxa"/>
            <w:gridSpan w:val="2"/>
            <w:tcBorders>
              <w:top w:val="single" w:color="auto" w:sz="8" w:space="0"/>
              <w:left w:val="single" w:color="auto" w:sz="8" w:space="0"/>
              <w:bottom w:val="single" w:color="auto" w:sz="8" w:space="0"/>
              <w:right w:val="single" w:color="auto" w:sz="8" w:space="0"/>
            </w:tcBorders>
            <w:vAlign w:val="center"/>
          </w:tcPr>
          <w:p w14:paraId="58B63D4E">
            <w:pPr>
              <w:snapToGrid w:val="0"/>
              <w:spacing w:before="100" w:beforeAutospacing="1" w:after="100" w:afterAutospacing="1" w:line="320" w:lineRule="atLeast"/>
              <w:ind w:firstLine="5"/>
              <w:jc w:val="center"/>
              <w:rPr>
                <w:rFonts w:ascii="Verdana" w:hAnsi="Verdana" w:cs="宋体"/>
                <w:color w:val="auto"/>
                <w:kern w:val="0"/>
                <w:szCs w:val="21"/>
              </w:rPr>
            </w:pPr>
            <w:r>
              <w:rPr>
                <w:rFonts w:ascii="Verdana" w:hAnsi="Verdana" w:cs="宋体"/>
                <w:color w:val="auto"/>
                <w:kern w:val="0"/>
                <w:szCs w:val="21"/>
              </w:rPr>
              <w:t>验收方式：</w:t>
            </w:r>
          </w:p>
        </w:tc>
        <w:tc>
          <w:tcPr>
            <w:tcW w:w="6119" w:type="dxa"/>
            <w:gridSpan w:val="6"/>
            <w:tcBorders>
              <w:top w:val="single" w:color="auto" w:sz="8" w:space="0"/>
              <w:left w:val="nil"/>
              <w:bottom w:val="single" w:color="auto" w:sz="8" w:space="0"/>
              <w:right w:val="single" w:color="auto" w:sz="8" w:space="0"/>
            </w:tcBorders>
            <w:vAlign w:val="center"/>
          </w:tcPr>
          <w:p w14:paraId="77A4CB70">
            <w:pPr>
              <w:snapToGrid w:val="0"/>
              <w:spacing w:before="100" w:beforeAutospacing="1" w:after="100" w:afterAutospacing="1" w:line="320" w:lineRule="atLeast"/>
              <w:ind w:firstLine="480"/>
              <w:jc w:val="center"/>
              <w:rPr>
                <w:rFonts w:ascii="Verdana" w:hAnsi="Verdana" w:cs="宋体"/>
                <w:color w:val="auto"/>
                <w:kern w:val="0"/>
                <w:szCs w:val="21"/>
              </w:rPr>
            </w:pPr>
            <w:r>
              <w:rPr>
                <w:rFonts w:ascii="Verdana" w:hAnsi="Verdana" w:cs="宋体"/>
                <w:color w:val="auto"/>
                <w:kern w:val="0"/>
                <w:szCs w:val="21"/>
              </w:rPr>
              <w:t>□自行验收 □委托验收</w:t>
            </w:r>
          </w:p>
        </w:tc>
      </w:tr>
      <w:tr w14:paraId="3B083F71">
        <w:tblPrEx>
          <w:tblCellMar>
            <w:top w:w="0" w:type="dxa"/>
            <w:left w:w="0" w:type="dxa"/>
            <w:bottom w:w="0" w:type="dxa"/>
            <w:right w:w="0" w:type="dxa"/>
          </w:tblCellMar>
        </w:tblPrEx>
        <w:trPr>
          <w:trHeight w:val="622" w:hRule="atLeast"/>
          <w:jc w:val="center"/>
        </w:trPr>
        <w:tc>
          <w:tcPr>
            <w:tcW w:w="1331" w:type="dxa"/>
            <w:tcBorders>
              <w:top w:val="nil"/>
              <w:left w:val="single" w:color="auto" w:sz="8" w:space="0"/>
              <w:bottom w:val="single" w:color="auto" w:sz="8" w:space="0"/>
              <w:right w:val="single" w:color="auto" w:sz="8" w:space="0"/>
            </w:tcBorders>
            <w:vAlign w:val="center"/>
          </w:tcPr>
          <w:p w14:paraId="2AFABD0A">
            <w:pPr>
              <w:snapToGrid w:val="0"/>
              <w:spacing w:before="100" w:beforeAutospacing="1" w:after="100" w:afterAutospacing="1" w:line="320" w:lineRule="atLeast"/>
              <w:ind w:firstLine="2"/>
              <w:jc w:val="center"/>
              <w:rPr>
                <w:rFonts w:ascii="Verdana" w:hAnsi="Verdana" w:cs="宋体"/>
                <w:color w:val="auto"/>
                <w:kern w:val="0"/>
                <w:szCs w:val="21"/>
              </w:rPr>
            </w:pPr>
            <w:r>
              <w:rPr>
                <w:rFonts w:ascii="Verdana" w:hAnsi="Verdana" w:cs="宋体"/>
                <w:color w:val="auto"/>
                <w:kern w:val="0"/>
                <w:szCs w:val="21"/>
              </w:rPr>
              <w:t>序号</w:t>
            </w:r>
          </w:p>
        </w:tc>
        <w:tc>
          <w:tcPr>
            <w:tcW w:w="1921" w:type="dxa"/>
            <w:tcBorders>
              <w:top w:val="nil"/>
              <w:left w:val="nil"/>
              <w:bottom w:val="single" w:color="auto" w:sz="8" w:space="0"/>
              <w:right w:val="single" w:color="auto" w:sz="8" w:space="0"/>
            </w:tcBorders>
            <w:vAlign w:val="center"/>
          </w:tcPr>
          <w:p w14:paraId="31F5391B">
            <w:pPr>
              <w:snapToGrid w:val="0"/>
              <w:spacing w:before="100" w:beforeAutospacing="1" w:after="100" w:afterAutospacing="1" w:line="320" w:lineRule="atLeast"/>
              <w:ind w:firstLine="2"/>
              <w:jc w:val="center"/>
              <w:rPr>
                <w:rFonts w:ascii="Verdana" w:hAnsi="Verdana" w:cs="宋体"/>
                <w:color w:val="auto"/>
                <w:kern w:val="0"/>
                <w:szCs w:val="21"/>
              </w:rPr>
            </w:pPr>
            <w:r>
              <w:rPr>
                <w:rFonts w:ascii="Verdana" w:hAnsi="Verdana" w:cs="宋体"/>
                <w:color w:val="auto"/>
                <w:kern w:val="0"/>
                <w:szCs w:val="21"/>
              </w:rPr>
              <w:t>名称</w:t>
            </w:r>
          </w:p>
        </w:tc>
        <w:tc>
          <w:tcPr>
            <w:tcW w:w="2902" w:type="dxa"/>
            <w:gridSpan w:val="3"/>
            <w:tcBorders>
              <w:top w:val="nil"/>
              <w:left w:val="nil"/>
              <w:bottom w:val="single" w:color="auto" w:sz="8" w:space="0"/>
              <w:right w:val="single" w:color="auto" w:sz="8" w:space="0"/>
            </w:tcBorders>
            <w:vAlign w:val="center"/>
          </w:tcPr>
          <w:p w14:paraId="77886C66">
            <w:pPr>
              <w:snapToGrid w:val="0"/>
              <w:spacing w:before="100" w:beforeAutospacing="1" w:after="100" w:afterAutospacing="1" w:line="320" w:lineRule="atLeast"/>
              <w:ind w:firstLine="2"/>
              <w:jc w:val="center"/>
              <w:rPr>
                <w:rFonts w:ascii="Verdana" w:hAnsi="Verdana" w:cs="宋体"/>
                <w:color w:val="auto"/>
                <w:kern w:val="0"/>
                <w:szCs w:val="21"/>
              </w:rPr>
            </w:pPr>
            <w:r>
              <w:rPr>
                <w:rFonts w:ascii="Verdana" w:hAnsi="Verdana" w:cs="宋体"/>
                <w:color w:val="auto"/>
                <w:kern w:val="0"/>
                <w:szCs w:val="21"/>
              </w:rPr>
              <w:t>货物型号规格、标准及配置等（或者服务内容、标准）</w:t>
            </w:r>
          </w:p>
        </w:tc>
        <w:tc>
          <w:tcPr>
            <w:tcW w:w="863" w:type="dxa"/>
            <w:gridSpan w:val="2"/>
            <w:tcBorders>
              <w:top w:val="nil"/>
              <w:left w:val="nil"/>
              <w:bottom w:val="single" w:color="auto" w:sz="8" w:space="0"/>
              <w:right w:val="single" w:color="auto" w:sz="8" w:space="0"/>
            </w:tcBorders>
            <w:vAlign w:val="center"/>
          </w:tcPr>
          <w:p w14:paraId="2389C151">
            <w:pPr>
              <w:snapToGrid w:val="0"/>
              <w:spacing w:before="100" w:beforeAutospacing="1" w:after="100" w:afterAutospacing="1" w:line="320" w:lineRule="atLeast"/>
              <w:jc w:val="center"/>
              <w:rPr>
                <w:rFonts w:ascii="Verdana" w:hAnsi="Verdana" w:cs="宋体"/>
                <w:color w:val="auto"/>
                <w:kern w:val="0"/>
                <w:szCs w:val="21"/>
              </w:rPr>
            </w:pPr>
            <w:r>
              <w:rPr>
                <w:rFonts w:ascii="Verdana" w:hAnsi="Verdana" w:cs="宋体"/>
                <w:color w:val="auto"/>
                <w:kern w:val="0"/>
                <w:szCs w:val="21"/>
              </w:rPr>
              <w:t>数量</w:t>
            </w:r>
          </w:p>
        </w:tc>
        <w:tc>
          <w:tcPr>
            <w:tcW w:w="2354" w:type="dxa"/>
            <w:tcBorders>
              <w:top w:val="nil"/>
              <w:left w:val="nil"/>
              <w:bottom w:val="single" w:color="auto" w:sz="8" w:space="0"/>
              <w:right w:val="single" w:color="auto" w:sz="8" w:space="0"/>
            </w:tcBorders>
            <w:vAlign w:val="center"/>
          </w:tcPr>
          <w:p w14:paraId="2C62245D">
            <w:pPr>
              <w:snapToGrid w:val="0"/>
              <w:spacing w:before="100" w:beforeAutospacing="1" w:after="100" w:afterAutospacing="1" w:line="320" w:lineRule="atLeast"/>
              <w:ind w:firstLine="2"/>
              <w:jc w:val="center"/>
              <w:rPr>
                <w:rFonts w:ascii="Verdana" w:hAnsi="Verdana" w:cs="宋体"/>
                <w:color w:val="auto"/>
                <w:kern w:val="0"/>
                <w:szCs w:val="21"/>
              </w:rPr>
            </w:pPr>
            <w:r>
              <w:rPr>
                <w:rFonts w:ascii="Verdana" w:hAnsi="Verdana" w:cs="宋体"/>
                <w:color w:val="auto"/>
                <w:kern w:val="0"/>
                <w:szCs w:val="21"/>
              </w:rPr>
              <w:t>金额</w:t>
            </w:r>
          </w:p>
        </w:tc>
      </w:tr>
      <w:tr w14:paraId="775C6D45">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14:paraId="52EAECB7">
            <w:pPr>
              <w:spacing w:before="100" w:beforeAutospacing="1" w:after="100" w:afterAutospacing="1" w:line="240" w:lineRule="atLeast"/>
              <w:jc w:val="center"/>
              <w:rPr>
                <w:rFonts w:ascii="Verdana" w:hAnsi="Verdana" w:cs="宋体"/>
                <w:color w:val="auto"/>
                <w:kern w:val="0"/>
                <w:szCs w:val="21"/>
              </w:rPr>
            </w:pPr>
          </w:p>
        </w:tc>
        <w:tc>
          <w:tcPr>
            <w:tcW w:w="1921" w:type="dxa"/>
            <w:tcBorders>
              <w:top w:val="nil"/>
              <w:left w:val="nil"/>
              <w:bottom w:val="single" w:color="auto" w:sz="8" w:space="0"/>
              <w:right w:val="single" w:color="auto" w:sz="8" w:space="0"/>
            </w:tcBorders>
            <w:vAlign w:val="center"/>
          </w:tcPr>
          <w:p w14:paraId="3C747195">
            <w:pPr>
              <w:spacing w:before="100" w:beforeAutospacing="1" w:after="100" w:afterAutospacing="1" w:line="240" w:lineRule="atLeast"/>
              <w:jc w:val="center"/>
              <w:rPr>
                <w:rFonts w:ascii="Verdana" w:hAnsi="Verdana" w:cs="宋体"/>
                <w:color w:val="auto"/>
                <w:kern w:val="0"/>
                <w:szCs w:val="21"/>
              </w:rPr>
            </w:pPr>
          </w:p>
        </w:tc>
        <w:tc>
          <w:tcPr>
            <w:tcW w:w="2902" w:type="dxa"/>
            <w:gridSpan w:val="3"/>
            <w:tcBorders>
              <w:top w:val="nil"/>
              <w:left w:val="nil"/>
              <w:bottom w:val="single" w:color="auto" w:sz="8" w:space="0"/>
              <w:right w:val="single" w:color="auto" w:sz="8" w:space="0"/>
            </w:tcBorders>
            <w:vAlign w:val="center"/>
          </w:tcPr>
          <w:p w14:paraId="278ECF5F">
            <w:pPr>
              <w:spacing w:before="100" w:beforeAutospacing="1" w:after="100" w:afterAutospacing="1" w:line="240" w:lineRule="atLeast"/>
              <w:jc w:val="center"/>
              <w:rPr>
                <w:rFonts w:ascii="Verdana" w:hAnsi="Verdana" w:cs="宋体"/>
                <w:color w:val="auto"/>
                <w:kern w:val="0"/>
                <w:szCs w:val="21"/>
              </w:rPr>
            </w:pPr>
          </w:p>
        </w:tc>
        <w:tc>
          <w:tcPr>
            <w:tcW w:w="863" w:type="dxa"/>
            <w:gridSpan w:val="2"/>
            <w:tcBorders>
              <w:top w:val="nil"/>
              <w:left w:val="nil"/>
              <w:bottom w:val="single" w:color="auto" w:sz="8" w:space="0"/>
              <w:right w:val="single" w:color="auto" w:sz="8" w:space="0"/>
            </w:tcBorders>
            <w:vAlign w:val="center"/>
          </w:tcPr>
          <w:p w14:paraId="470FB305">
            <w:pPr>
              <w:spacing w:before="100" w:beforeAutospacing="1" w:after="100" w:afterAutospacing="1" w:line="240" w:lineRule="atLeast"/>
              <w:jc w:val="center"/>
              <w:rPr>
                <w:rFonts w:ascii="Verdana" w:hAnsi="Verdana" w:cs="宋体"/>
                <w:color w:val="auto"/>
                <w:kern w:val="0"/>
                <w:szCs w:val="21"/>
              </w:rPr>
            </w:pPr>
          </w:p>
        </w:tc>
        <w:tc>
          <w:tcPr>
            <w:tcW w:w="2354" w:type="dxa"/>
            <w:tcBorders>
              <w:top w:val="nil"/>
              <w:left w:val="nil"/>
              <w:bottom w:val="single" w:color="auto" w:sz="8" w:space="0"/>
              <w:right w:val="single" w:color="auto" w:sz="8" w:space="0"/>
            </w:tcBorders>
            <w:vAlign w:val="center"/>
          </w:tcPr>
          <w:p w14:paraId="7BB9935F">
            <w:pPr>
              <w:spacing w:before="100" w:beforeAutospacing="1" w:after="100" w:afterAutospacing="1" w:line="240" w:lineRule="atLeast"/>
              <w:jc w:val="center"/>
              <w:rPr>
                <w:rFonts w:ascii="Verdana" w:hAnsi="Verdana" w:cs="宋体"/>
                <w:color w:val="auto"/>
                <w:kern w:val="0"/>
                <w:szCs w:val="21"/>
              </w:rPr>
            </w:pPr>
          </w:p>
        </w:tc>
      </w:tr>
      <w:tr w14:paraId="546F9C4E">
        <w:tblPrEx>
          <w:tblCellMar>
            <w:top w:w="0" w:type="dxa"/>
            <w:left w:w="0" w:type="dxa"/>
            <w:bottom w:w="0" w:type="dxa"/>
            <w:right w:w="0" w:type="dxa"/>
          </w:tblCellMar>
        </w:tblPrEx>
        <w:trPr>
          <w:trHeight w:val="487" w:hRule="atLeast"/>
          <w:jc w:val="center"/>
        </w:trPr>
        <w:tc>
          <w:tcPr>
            <w:tcW w:w="1331" w:type="dxa"/>
            <w:tcBorders>
              <w:top w:val="nil"/>
              <w:left w:val="single" w:color="auto" w:sz="8" w:space="0"/>
              <w:bottom w:val="single" w:color="auto" w:sz="8" w:space="0"/>
              <w:right w:val="single" w:color="auto" w:sz="8" w:space="0"/>
            </w:tcBorders>
            <w:vAlign w:val="center"/>
          </w:tcPr>
          <w:p w14:paraId="2B329800">
            <w:pPr>
              <w:spacing w:before="100" w:beforeAutospacing="1" w:after="100" w:afterAutospacing="1" w:line="240" w:lineRule="atLeast"/>
              <w:jc w:val="center"/>
              <w:rPr>
                <w:rFonts w:ascii="Verdana" w:hAnsi="Verdana" w:cs="宋体"/>
                <w:color w:val="auto"/>
                <w:kern w:val="0"/>
                <w:szCs w:val="21"/>
              </w:rPr>
            </w:pPr>
          </w:p>
        </w:tc>
        <w:tc>
          <w:tcPr>
            <w:tcW w:w="1921" w:type="dxa"/>
            <w:tcBorders>
              <w:top w:val="nil"/>
              <w:left w:val="nil"/>
              <w:bottom w:val="single" w:color="auto" w:sz="8" w:space="0"/>
              <w:right w:val="single" w:color="auto" w:sz="8" w:space="0"/>
            </w:tcBorders>
            <w:vAlign w:val="center"/>
          </w:tcPr>
          <w:p w14:paraId="09279BC1">
            <w:pPr>
              <w:spacing w:before="100" w:beforeAutospacing="1" w:after="100" w:afterAutospacing="1" w:line="240" w:lineRule="atLeast"/>
              <w:jc w:val="center"/>
              <w:rPr>
                <w:rFonts w:ascii="Verdana" w:hAnsi="Verdana" w:cs="宋体"/>
                <w:color w:val="auto"/>
                <w:kern w:val="0"/>
                <w:szCs w:val="21"/>
              </w:rPr>
            </w:pPr>
          </w:p>
        </w:tc>
        <w:tc>
          <w:tcPr>
            <w:tcW w:w="2902" w:type="dxa"/>
            <w:gridSpan w:val="3"/>
            <w:tcBorders>
              <w:top w:val="nil"/>
              <w:left w:val="nil"/>
              <w:bottom w:val="single" w:color="auto" w:sz="8" w:space="0"/>
              <w:right w:val="single" w:color="auto" w:sz="8" w:space="0"/>
            </w:tcBorders>
            <w:vAlign w:val="center"/>
          </w:tcPr>
          <w:p w14:paraId="58C82215">
            <w:pPr>
              <w:spacing w:before="100" w:beforeAutospacing="1" w:after="100" w:afterAutospacing="1" w:line="240" w:lineRule="atLeast"/>
              <w:jc w:val="center"/>
              <w:rPr>
                <w:rFonts w:ascii="Verdana" w:hAnsi="Verdana" w:cs="宋体"/>
                <w:color w:val="auto"/>
                <w:kern w:val="0"/>
                <w:szCs w:val="21"/>
              </w:rPr>
            </w:pPr>
          </w:p>
        </w:tc>
        <w:tc>
          <w:tcPr>
            <w:tcW w:w="863" w:type="dxa"/>
            <w:gridSpan w:val="2"/>
            <w:tcBorders>
              <w:top w:val="nil"/>
              <w:left w:val="nil"/>
              <w:bottom w:val="single" w:color="auto" w:sz="8" w:space="0"/>
              <w:right w:val="single" w:color="auto" w:sz="8" w:space="0"/>
            </w:tcBorders>
            <w:vAlign w:val="center"/>
          </w:tcPr>
          <w:p w14:paraId="3483143B">
            <w:pPr>
              <w:spacing w:before="100" w:beforeAutospacing="1" w:after="100" w:afterAutospacing="1" w:line="240" w:lineRule="atLeast"/>
              <w:jc w:val="center"/>
              <w:rPr>
                <w:rFonts w:ascii="Verdana" w:hAnsi="Verdana" w:cs="宋体"/>
                <w:color w:val="auto"/>
                <w:kern w:val="0"/>
                <w:szCs w:val="21"/>
              </w:rPr>
            </w:pPr>
          </w:p>
        </w:tc>
        <w:tc>
          <w:tcPr>
            <w:tcW w:w="2354" w:type="dxa"/>
            <w:tcBorders>
              <w:top w:val="nil"/>
              <w:left w:val="nil"/>
              <w:bottom w:val="single" w:color="auto" w:sz="8" w:space="0"/>
              <w:right w:val="single" w:color="auto" w:sz="8" w:space="0"/>
            </w:tcBorders>
            <w:vAlign w:val="center"/>
          </w:tcPr>
          <w:p w14:paraId="19998C08">
            <w:pPr>
              <w:spacing w:before="100" w:beforeAutospacing="1" w:after="100" w:afterAutospacing="1" w:line="240" w:lineRule="atLeast"/>
              <w:jc w:val="center"/>
              <w:rPr>
                <w:rFonts w:ascii="Verdana" w:hAnsi="Verdana" w:cs="宋体"/>
                <w:color w:val="auto"/>
                <w:kern w:val="0"/>
                <w:szCs w:val="21"/>
              </w:rPr>
            </w:pPr>
          </w:p>
        </w:tc>
      </w:tr>
      <w:tr w14:paraId="69B5E9E0">
        <w:tblPrEx>
          <w:tblCellMar>
            <w:top w:w="0" w:type="dxa"/>
            <w:left w:w="0" w:type="dxa"/>
            <w:bottom w:w="0" w:type="dxa"/>
            <w:right w:w="0" w:type="dxa"/>
          </w:tblCellMar>
        </w:tblPrEx>
        <w:trPr>
          <w:trHeight w:val="487" w:hRule="atLeast"/>
          <w:jc w:val="center"/>
        </w:trPr>
        <w:tc>
          <w:tcPr>
            <w:tcW w:w="6154" w:type="dxa"/>
            <w:gridSpan w:val="5"/>
            <w:tcBorders>
              <w:top w:val="nil"/>
              <w:left w:val="single" w:color="auto" w:sz="8" w:space="0"/>
              <w:bottom w:val="single" w:color="auto" w:sz="8" w:space="0"/>
              <w:right w:val="single" w:color="auto" w:sz="8" w:space="0"/>
            </w:tcBorders>
            <w:vAlign w:val="center"/>
          </w:tcPr>
          <w:p w14:paraId="44C88D86">
            <w:pPr>
              <w:snapToGrid w:val="0"/>
              <w:spacing w:before="100" w:beforeAutospacing="1" w:after="100" w:afterAutospacing="1" w:line="320" w:lineRule="atLeast"/>
              <w:ind w:firstLine="5"/>
              <w:jc w:val="center"/>
              <w:rPr>
                <w:rFonts w:ascii="Verdana" w:hAnsi="Verdana" w:cs="宋体"/>
                <w:color w:val="auto"/>
                <w:kern w:val="0"/>
                <w:szCs w:val="21"/>
              </w:rPr>
            </w:pPr>
            <w:r>
              <w:rPr>
                <w:rFonts w:ascii="Verdana" w:hAnsi="Verdana" w:cs="宋体"/>
                <w:color w:val="auto"/>
                <w:kern w:val="0"/>
                <w:szCs w:val="21"/>
              </w:rPr>
              <w:t>合计</w:t>
            </w:r>
          </w:p>
        </w:tc>
        <w:tc>
          <w:tcPr>
            <w:tcW w:w="863" w:type="dxa"/>
            <w:gridSpan w:val="2"/>
            <w:tcBorders>
              <w:top w:val="nil"/>
              <w:left w:val="nil"/>
              <w:bottom w:val="single" w:color="auto" w:sz="8" w:space="0"/>
              <w:right w:val="single" w:color="auto" w:sz="8" w:space="0"/>
            </w:tcBorders>
            <w:vAlign w:val="center"/>
          </w:tcPr>
          <w:p w14:paraId="52E7E72E">
            <w:pPr>
              <w:spacing w:before="100" w:beforeAutospacing="1" w:after="100" w:afterAutospacing="1" w:line="240" w:lineRule="atLeast"/>
              <w:jc w:val="center"/>
              <w:rPr>
                <w:rFonts w:ascii="Verdana" w:hAnsi="Verdana" w:cs="宋体"/>
                <w:color w:val="auto"/>
                <w:kern w:val="0"/>
                <w:szCs w:val="21"/>
              </w:rPr>
            </w:pPr>
          </w:p>
        </w:tc>
        <w:tc>
          <w:tcPr>
            <w:tcW w:w="2354" w:type="dxa"/>
            <w:tcBorders>
              <w:top w:val="nil"/>
              <w:left w:val="nil"/>
              <w:bottom w:val="single" w:color="auto" w:sz="8" w:space="0"/>
              <w:right w:val="single" w:color="auto" w:sz="8" w:space="0"/>
            </w:tcBorders>
            <w:vAlign w:val="center"/>
          </w:tcPr>
          <w:p w14:paraId="28D03035">
            <w:pPr>
              <w:spacing w:before="100" w:beforeAutospacing="1" w:after="100" w:afterAutospacing="1" w:line="240" w:lineRule="atLeast"/>
              <w:jc w:val="center"/>
              <w:rPr>
                <w:rFonts w:ascii="Verdana" w:hAnsi="Verdana" w:cs="宋体"/>
                <w:color w:val="auto"/>
                <w:kern w:val="0"/>
                <w:szCs w:val="21"/>
              </w:rPr>
            </w:pPr>
          </w:p>
        </w:tc>
      </w:tr>
      <w:tr w14:paraId="4A89D2A9">
        <w:tblPrEx>
          <w:tblCellMar>
            <w:top w:w="0" w:type="dxa"/>
            <w:left w:w="0" w:type="dxa"/>
            <w:bottom w:w="0" w:type="dxa"/>
            <w:right w:w="0" w:type="dxa"/>
          </w:tblCellMar>
        </w:tblPrEx>
        <w:trPr>
          <w:trHeight w:val="641" w:hRule="atLeast"/>
          <w:jc w:val="center"/>
        </w:trPr>
        <w:tc>
          <w:tcPr>
            <w:tcW w:w="9371" w:type="dxa"/>
            <w:gridSpan w:val="8"/>
            <w:tcBorders>
              <w:top w:val="nil"/>
              <w:left w:val="single" w:color="auto" w:sz="8" w:space="0"/>
              <w:bottom w:val="single" w:color="auto" w:sz="8" w:space="0"/>
              <w:right w:val="single" w:color="auto" w:sz="8" w:space="0"/>
            </w:tcBorders>
            <w:vAlign w:val="center"/>
          </w:tcPr>
          <w:p w14:paraId="25F2962F">
            <w:pPr>
              <w:snapToGrid w:val="0"/>
              <w:spacing w:before="100" w:beforeAutospacing="1" w:after="100" w:afterAutospacing="1" w:line="320" w:lineRule="atLeast"/>
              <w:ind w:firstLine="2"/>
              <w:jc w:val="left"/>
              <w:rPr>
                <w:rFonts w:ascii="Verdana" w:hAnsi="Verdana" w:cs="宋体"/>
                <w:color w:val="auto"/>
                <w:kern w:val="0"/>
                <w:szCs w:val="21"/>
              </w:rPr>
            </w:pPr>
            <w:r>
              <w:rPr>
                <w:rFonts w:ascii="Verdana" w:hAnsi="Verdana" w:cs="宋体"/>
                <w:color w:val="auto"/>
                <w:kern w:val="0"/>
                <w:szCs w:val="21"/>
              </w:rPr>
              <w:t>合计大写金额：</w:t>
            </w:r>
            <w:r>
              <w:rPr>
                <w:rFonts w:hint="eastAsia" w:ascii="Verdana" w:hAnsi="Verdana" w:cs="宋体"/>
                <w:color w:val="auto"/>
                <w:kern w:val="0"/>
                <w:szCs w:val="21"/>
              </w:rPr>
              <w:t>亿</w:t>
            </w:r>
            <w:r>
              <w:rPr>
                <w:rFonts w:ascii="Verdana" w:hAnsi="Verdana" w:cs="宋体"/>
                <w:color w:val="auto"/>
                <w:kern w:val="0"/>
                <w:szCs w:val="21"/>
              </w:rPr>
              <w:t>仟佰拾万仟佰拾元</w:t>
            </w:r>
          </w:p>
        </w:tc>
      </w:tr>
      <w:tr w14:paraId="548B62B8">
        <w:tblPrEx>
          <w:tblCellMar>
            <w:top w:w="0" w:type="dxa"/>
            <w:left w:w="0" w:type="dxa"/>
            <w:bottom w:w="0" w:type="dxa"/>
            <w:right w:w="0" w:type="dxa"/>
          </w:tblCellMar>
        </w:tblPrEx>
        <w:trPr>
          <w:trHeight w:val="641" w:hRule="atLeast"/>
          <w:jc w:val="center"/>
        </w:trPr>
        <w:tc>
          <w:tcPr>
            <w:tcW w:w="1331" w:type="dxa"/>
            <w:tcBorders>
              <w:top w:val="nil"/>
              <w:left w:val="single" w:color="auto" w:sz="8" w:space="0"/>
              <w:bottom w:val="single" w:color="auto" w:sz="8" w:space="0"/>
              <w:right w:val="single" w:color="auto" w:sz="8" w:space="0"/>
            </w:tcBorders>
            <w:vAlign w:val="center"/>
          </w:tcPr>
          <w:p w14:paraId="074034D2">
            <w:pPr>
              <w:snapToGrid w:val="0"/>
              <w:spacing w:before="100" w:beforeAutospacing="1" w:after="100" w:afterAutospacing="1" w:line="320" w:lineRule="atLeast"/>
              <w:ind w:firstLine="2"/>
              <w:jc w:val="center"/>
              <w:rPr>
                <w:rFonts w:ascii="Verdana" w:hAnsi="Verdana" w:cs="宋体"/>
                <w:color w:val="auto"/>
                <w:kern w:val="0"/>
                <w:szCs w:val="21"/>
              </w:rPr>
            </w:pPr>
            <w:r>
              <w:rPr>
                <w:rFonts w:ascii="Verdana" w:hAnsi="Verdana" w:cs="宋体"/>
                <w:color w:val="auto"/>
                <w:kern w:val="0"/>
                <w:szCs w:val="21"/>
              </w:rPr>
              <w:t>实际供货日期</w:t>
            </w:r>
          </w:p>
        </w:tc>
        <w:tc>
          <w:tcPr>
            <w:tcW w:w="2719" w:type="dxa"/>
            <w:gridSpan w:val="2"/>
            <w:tcBorders>
              <w:top w:val="nil"/>
              <w:left w:val="nil"/>
              <w:bottom w:val="single" w:color="auto" w:sz="8" w:space="0"/>
              <w:right w:val="single" w:color="auto" w:sz="8" w:space="0"/>
            </w:tcBorders>
            <w:vAlign w:val="center"/>
          </w:tcPr>
          <w:p w14:paraId="4DA6EEC2">
            <w:pPr>
              <w:spacing w:before="100" w:beforeAutospacing="1" w:after="100" w:afterAutospacing="1" w:line="240" w:lineRule="atLeast"/>
              <w:jc w:val="center"/>
              <w:rPr>
                <w:rFonts w:ascii="Verdana" w:hAnsi="Verdana" w:cs="宋体"/>
                <w:color w:val="auto"/>
                <w:kern w:val="0"/>
                <w:szCs w:val="21"/>
              </w:rPr>
            </w:pPr>
          </w:p>
        </w:tc>
        <w:tc>
          <w:tcPr>
            <w:tcW w:w="2282" w:type="dxa"/>
            <w:gridSpan w:val="3"/>
            <w:tcBorders>
              <w:top w:val="nil"/>
              <w:left w:val="nil"/>
              <w:bottom w:val="single" w:color="auto" w:sz="8" w:space="0"/>
              <w:right w:val="single" w:color="auto" w:sz="8" w:space="0"/>
            </w:tcBorders>
            <w:vAlign w:val="center"/>
          </w:tcPr>
          <w:p w14:paraId="61A64DAD">
            <w:pPr>
              <w:snapToGrid w:val="0"/>
              <w:spacing w:before="100" w:beforeAutospacing="1" w:after="100" w:afterAutospacing="1" w:line="320" w:lineRule="atLeast"/>
              <w:ind w:firstLine="46"/>
              <w:jc w:val="center"/>
              <w:rPr>
                <w:rFonts w:ascii="Verdana" w:hAnsi="Verdana" w:cs="宋体"/>
                <w:color w:val="auto"/>
                <w:kern w:val="0"/>
                <w:szCs w:val="21"/>
              </w:rPr>
            </w:pPr>
            <w:r>
              <w:rPr>
                <w:rFonts w:ascii="Verdana" w:hAnsi="Verdana" w:cs="宋体"/>
                <w:color w:val="auto"/>
                <w:kern w:val="0"/>
                <w:szCs w:val="21"/>
              </w:rPr>
              <w:t>合同交货验收日期</w:t>
            </w:r>
          </w:p>
        </w:tc>
        <w:tc>
          <w:tcPr>
            <w:tcW w:w="3039" w:type="dxa"/>
            <w:gridSpan w:val="2"/>
            <w:tcBorders>
              <w:top w:val="nil"/>
              <w:left w:val="nil"/>
              <w:bottom w:val="single" w:color="auto" w:sz="8" w:space="0"/>
              <w:right w:val="single" w:color="auto" w:sz="8" w:space="0"/>
            </w:tcBorders>
            <w:vAlign w:val="center"/>
          </w:tcPr>
          <w:p w14:paraId="6B61561A">
            <w:pPr>
              <w:spacing w:before="100" w:beforeAutospacing="1" w:after="100" w:afterAutospacing="1" w:line="240" w:lineRule="atLeast"/>
              <w:jc w:val="center"/>
              <w:rPr>
                <w:rFonts w:ascii="Verdana" w:hAnsi="Verdana" w:cs="宋体"/>
                <w:color w:val="auto"/>
                <w:kern w:val="0"/>
                <w:szCs w:val="21"/>
              </w:rPr>
            </w:pPr>
          </w:p>
        </w:tc>
      </w:tr>
      <w:tr w14:paraId="1EFB4CB9">
        <w:tblPrEx>
          <w:tblCellMar>
            <w:top w:w="0" w:type="dxa"/>
            <w:left w:w="0" w:type="dxa"/>
            <w:bottom w:w="0" w:type="dxa"/>
            <w:right w:w="0" w:type="dxa"/>
          </w:tblCellMar>
        </w:tblPrEx>
        <w:trPr>
          <w:trHeight w:val="394" w:hRule="atLeast"/>
          <w:jc w:val="center"/>
        </w:trPr>
        <w:tc>
          <w:tcPr>
            <w:tcW w:w="1331" w:type="dxa"/>
            <w:tcBorders>
              <w:top w:val="nil"/>
              <w:left w:val="single" w:color="auto" w:sz="8" w:space="0"/>
              <w:bottom w:val="single" w:color="auto" w:sz="8" w:space="0"/>
              <w:right w:val="single" w:color="auto" w:sz="8" w:space="0"/>
            </w:tcBorders>
            <w:vAlign w:val="center"/>
          </w:tcPr>
          <w:p w14:paraId="3867198C">
            <w:pPr>
              <w:spacing w:before="100" w:beforeAutospacing="1" w:after="100" w:afterAutospacing="1" w:line="240" w:lineRule="atLeast"/>
              <w:jc w:val="center"/>
              <w:rPr>
                <w:rFonts w:ascii="Verdana" w:hAnsi="Verdana" w:cs="宋体"/>
                <w:color w:val="auto"/>
                <w:kern w:val="0"/>
                <w:szCs w:val="21"/>
              </w:rPr>
            </w:pPr>
          </w:p>
        </w:tc>
        <w:tc>
          <w:tcPr>
            <w:tcW w:w="2719" w:type="dxa"/>
            <w:gridSpan w:val="2"/>
            <w:tcBorders>
              <w:top w:val="nil"/>
              <w:left w:val="nil"/>
              <w:bottom w:val="single" w:color="auto" w:sz="8" w:space="0"/>
              <w:right w:val="single" w:color="auto" w:sz="8" w:space="0"/>
            </w:tcBorders>
            <w:vAlign w:val="center"/>
          </w:tcPr>
          <w:p w14:paraId="4247DC88">
            <w:pPr>
              <w:spacing w:before="100" w:beforeAutospacing="1" w:after="100" w:afterAutospacing="1" w:line="240" w:lineRule="atLeast"/>
              <w:jc w:val="center"/>
              <w:rPr>
                <w:rFonts w:ascii="Verdana" w:hAnsi="Verdana" w:cs="宋体"/>
                <w:color w:val="auto"/>
                <w:kern w:val="0"/>
                <w:szCs w:val="21"/>
              </w:rPr>
            </w:pPr>
          </w:p>
        </w:tc>
        <w:tc>
          <w:tcPr>
            <w:tcW w:w="2282" w:type="dxa"/>
            <w:gridSpan w:val="3"/>
            <w:tcBorders>
              <w:top w:val="nil"/>
              <w:left w:val="nil"/>
              <w:bottom w:val="single" w:color="auto" w:sz="8" w:space="0"/>
              <w:right w:val="single" w:color="auto" w:sz="8" w:space="0"/>
            </w:tcBorders>
            <w:vAlign w:val="center"/>
          </w:tcPr>
          <w:p w14:paraId="74C83FDC">
            <w:pPr>
              <w:spacing w:before="100" w:beforeAutospacing="1" w:after="100" w:afterAutospacing="1" w:line="240" w:lineRule="atLeast"/>
              <w:jc w:val="center"/>
              <w:rPr>
                <w:rFonts w:ascii="Verdana" w:hAnsi="Verdana" w:cs="宋体"/>
                <w:color w:val="auto"/>
                <w:kern w:val="0"/>
                <w:szCs w:val="21"/>
              </w:rPr>
            </w:pPr>
          </w:p>
        </w:tc>
        <w:tc>
          <w:tcPr>
            <w:tcW w:w="3039" w:type="dxa"/>
            <w:gridSpan w:val="2"/>
            <w:tcBorders>
              <w:top w:val="nil"/>
              <w:left w:val="nil"/>
              <w:bottom w:val="single" w:color="auto" w:sz="8" w:space="0"/>
              <w:right w:val="single" w:color="auto" w:sz="8" w:space="0"/>
            </w:tcBorders>
            <w:vAlign w:val="center"/>
          </w:tcPr>
          <w:p w14:paraId="75448064">
            <w:pPr>
              <w:spacing w:before="100" w:beforeAutospacing="1" w:after="100" w:afterAutospacing="1" w:line="240" w:lineRule="atLeast"/>
              <w:jc w:val="center"/>
              <w:rPr>
                <w:rFonts w:ascii="Verdana" w:hAnsi="Verdana" w:cs="宋体"/>
                <w:color w:val="auto"/>
                <w:kern w:val="0"/>
                <w:szCs w:val="21"/>
              </w:rPr>
            </w:pPr>
          </w:p>
        </w:tc>
      </w:tr>
      <w:tr w14:paraId="62DCE1E3">
        <w:tblPrEx>
          <w:tblCellMar>
            <w:top w:w="0" w:type="dxa"/>
            <w:left w:w="0" w:type="dxa"/>
            <w:bottom w:w="0" w:type="dxa"/>
            <w:right w:w="0" w:type="dxa"/>
          </w:tblCellMar>
        </w:tblPrEx>
        <w:trPr>
          <w:trHeight w:val="693" w:hRule="atLeast"/>
          <w:jc w:val="center"/>
        </w:trPr>
        <w:tc>
          <w:tcPr>
            <w:tcW w:w="133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F6097BB">
            <w:pPr>
              <w:snapToGrid w:val="0"/>
              <w:spacing w:before="100" w:beforeAutospacing="1" w:after="100" w:afterAutospacing="1" w:line="320" w:lineRule="atLeast"/>
              <w:jc w:val="left"/>
              <w:rPr>
                <w:rFonts w:ascii="Verdana" w:hAnsi="Verdana" w:cs="宋体"/>
                <w:color w:val="auto"/>
                <w:kern w:val="0"/>
                <w:szCs w:val="21"/>
              </w:rPr>
            </w:pPr>
            <w:r>
              <w:rPr>
                <w:rFonts w:ascii="Verdana" w:hAnsi="Verdana" w:cs="宋体"/>
                <w:color w:val="auto"/>
                <w:kern w:val="0"/>
                <w:szCs w:val="21"/>
              </w:rPr>
              <w:t>验收具体内容</w:t>
            </w:r>
          </w:p>
        </w:tc>
        <w:tc>
          <w:tcPr>
            <w:tcW w:w="8040"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085F260E">
            <w:pPr>
              <w:snapToGrid w:val="0"/>
              <w:spacing w:before="100" w:beforeAutospacing="1" w:after="100" w:afterAutospacing="1" w:line="320" w:lineRule="atLeast"/>
              <w:jc w:val="left"/>
              <w:rPr>
                <w:rFonts w:ascii="Verdana" w:hAnsi="Verdana" w:cs="宋体"/>
                <w:color w:val="auto"/>
                <w:kern w:val="0"/>
                <w:szCs w:val="21"/>
              </w:rPr>
            </w:pPr>
            <w:r>
              <w:rPr>
                <w:rFonts w:ascii="Verdana" w:hAnsi="Verdana" w:cs="宋体"/>
                <w:color w:val="auto"/>
                <w:kern w:val="0"/>
                <w:szCs w:val="21"/>
              </w:rPr>
              <w:t>（应按采购合同、采购文件、投标文件及验收方案等进行验收；并核对中标或者成交投标人在安装调试等方面是否违反合同约定或者服务规范要求、提供的质量保证证明材料是否齐全、应有的配件及附件是否达到合同约定等。可附件)</w:t>
            </w:r>
          </w:p>
        </w:tc>
      </w:tr>
      <w:tr w14:paraId="32083BC4">
        <w:tblPrEx>
          <w:tblCellMar>
            <w:top w:w="0" w:type="dxa"/>
            <w:left w:w="0" w:type="dxa"/>
            <w:bottom w:w="0" w:type="dxa"/>
            <w:right w:w="0" w:type="dxa"/>
          </w:tblCellMar>
        </w:tblPrEx>
        <w:trPr>
          <w:trHeight w:val="1281" w:hRule="atLeast"/>
          <w:jc w:val="center"/>
        </w:trPr>
        <w:tc>
          <w:tcPr>
            <w:tcW w:w="133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3AC79CB">
            <w:pPr>
              <w:spacing w:before="100" w:beforeAutospacing="1" w:after="100" w:afterAutospacing="1" w:line="320" w:lineRule="atLeast"/>
              <w:jc w:val="left"/>
              <w:rPr>
                <w:rFonts w:ascii="Verdana" w:hAnsi="Verdana" w:cs="宋体"/>
                <w:color w:val="auto"/>
                <w:kern w:val="0"/>
                <w:szCs w:val="21"/>
              </w:rPr>
            </w:pPr>
            <w:r>
              <w:rPr>
                <w:rFonts w:ascii="Verdana" w:hAnsi="Verdana" w:cs="宋体"/>
                <w:color w:val="auto"/>
                <w:kern w:val="0"/>
                <w:szCs w:val="21"/>
              </w:rPr>
              <w:t>验收小组意见</w:t>
            </w:r>
          </w:p>
        </w:tc>
        <w:tc>
          <w:tcPr>
            <w:tcW w:w="8040" w:type="dxa"/>
            <w:gridSpan w:val="7"/>
            <w:tcBorders>
              <w:top w:val="nil"/>
              <w:left w:val="nil"/>
              <w:bottom w:val="single" w:color="auto" w:sz="8" w:space="0"/>
              <w:right w:val="single" w:color="auto" w:sz="8" w:space="0"/>
            </w:tcBorders>
            <w:vAlign w:val="center"/>
          </w:tcPr>
          <w:p w14:paraId="0B6F0FF2">
            <w:pPr>
              <w:spacing w:before="100" w:beforeAutospacing="1" w:after="100" w:afterAutospacing="1" w:line="320" w:lineRule="atLeast"/>
              <w:jc w:val="left"/>
              <w:rPr>
                <w:rFonts w:ascii="Verdana" w:hAnsi="Verdana" w:cs="宋体"/>
                <w:color w:val="auto"/>
                <w:kern w:val="0"/>
                <w:szCs w:val="21"/>
              </w:rPr>
            </w:pPr>
            <w:r>
              <w:rPr>
                <w:rFonts w:ascii="Verdana" w:hAnsi="Verdana" w:cs="宋体"/>
                <w:color w:val="auto"/>
                <w:kern w:val="0"/>
                <w:szCs w:val="21"/>
              </w:rPr>
              <w:t>验收结论性意见：</w:t>
            </w:r>
          </w:p>
        </w:tc>
      </w:tr>
      <w:tr w14:paraId="6F527981">
        <w:tblPrEx>
          <w:tblCellMar>
            <w:top w:w="0" w:type="dxa"/>
            <w:left w:w="0" w:type="dxa"/>
            <w:bottom w:w="0" w:type="dxa"/>
            <w:right w:w="0" w:type="dxa"/>
          </w:tblCellMar>
        </w:tblPrEx>
        <w:trPr>
          <w:trHeight w:val="607" w:hRule="atLeast"/>
          <w:jc w:val="center"/>
        </w:trPr>
        <w:tc>
          <w:tcPr>
            <w:tcW w:w="1331" w:type="dxa"/>
            <w:vMerge w:val="continue"/>
            <w:tcBorders>
              <w:top w:val="nil"/>
              <w:left w:val="single" w:color="auto" w:sz="8" w:space="0"/>
              <w:bottom w:val="single" w:color="auto" w:sz="8" w:space="0"/>
              <w:right w:val="single" w:color="auto" w:sz="8" w:space="0"/>
            </w:tcBorders>
            <w:vAlign w:val="center"/>
          </w:tcPr>
          <w:p w14:paraId="43079A9A">
            <w:pPr>
              <w:jc w:val="left"/>
              <w:rPr>
                <w:rFonts w:ascii="Verdana" w:hAnsi="Verdana" w:cs="宋体"/>
                <w:color w:val="auto"/>
                <w:kern w:val="0"/>
                <w:szCs w:val="21"/>
              </w:rPr>
            </w:pPr>
          </w:p>
        </w:tc>
        <w:tc>
          <w:tcPr>
            <w:tcW w:w="8040" w:type="dxa"/>
            <w:gridSpan w:val="7"/>
            <w:tcBorders>
              <w:top w:val="nil"/>
              <w:left w:val="nil"/>
              <w:bottom w:val="single" w:color="auto" w:sz="8" w:space="0"/>
              <w:right w:val="single" w:color="auto" w:sz="8" w:space="0"/>
            </w:tcBorders>
            <w:vAlign w:val="center"/>
          </w:tcPr>
          <w:p w14:paraId="3B2236B4">
            <w:pPr>
              <w:spacing w:before="100" w:beforeAutospacing="1" w:after="100" w:afterAutospacing="1" w:line="320" w:lineRule="atLeast"/>
              <w:ind w:firstLine="96"/>
              <w:jc w:val="left"/>
              <w:rPr>
                <w:rFonts w:ascii="Verdana" w:hAnsi="Verdana" w:cs="宋体"/>
                <w:color w:val="auto"/>
                <w:kern w:val="0"/>
                <w:szCs w:val="21"/>
              </w:rPr>
            </w:pPr>
            <w:r>
              <w:rPr>
                <w:rFonts w:ascii="Verdana" w:hAnsi="Verdana" w:cs="宋体"/>
                <w:color w:val="auto"/>
                <w:kern w:val="0"/>
                <w:szCs w:val="21"/>
              </w:rPr>
              <w:t>有异议的意见和说明理由：</w:t>
            </w:r>
          </w:p>
          <w:p w14:paraId="68D31E98">
            <w:pPr>
              <w:spacing w:before="100" w:beforeAutospacing="1" w:after="100" w:afterAutospacing="1" w:line="320" w:lineRule="atLeast"/>
              <w:jc w:val="left"/>
              <w:rPr>
                <w:rFonts w:ascii="Verdana" w:hAnsi="Verdana" w:cs="宋体"/>
                <w:color w:val="auto"/>
                <w:kern w:val="0"/>
                <w:szCs w:val="21"/>
              </w:rPr>
            </w:pPr>
            <w:r>
              <w:rPr>
                <w:rFonts w:ascii="Verdana" w:hAnsi="Verdana" w:cs="宋体"/>
                <w:color w:val="auto"/>
                <w:kern w:val="0"/>
                <w:szCs w:val="21"/>
              </w:rPr>
              <w:t>签字：</w:t>
            </w:r>
          </w:p>
        </w:tc>
      </w:tr>
      <w:tr w14:paraId="6BE889C1">
        <w:tblPrEx>
          <w:tblCellMar>
            <w:top w:w="0" w:type="dxa"/>
            <w:left w:w="0" w:type="dxa"/>
            <w:bottom w:w="0" w:type="dxa"/>
            <w:right w:w="0" w:type="dxa"/>
          </w:tblCellMar>
        </w:tblPrEx>
        <w:trPr>
          <w:trHeight w:val="507" w:hRule="atLeast"/>
          <w:jc w:val="center"/>
        </w:trPr>
        <w:tc>
          <w:tcPr>
            <w:tcW w:w="9371" w:type="dxa"/>
            <w:gridSpan w:val="8"/>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DE83A76">
            <w:pPr>
              <w:spacing w:before="100" w:beforeAutospacing="1" w:after="100" w:afterAutospacing="1" w:line="320" w:lineRule="atLeast"/>
              <w:jc w:val="left"/>
              <w:rPr>
                <w:rFonts w:ascii="Verdana" w:hAnsi="Verdana" w:cs="宋体"/>
                <w:color w:val="auto"/>
                <w:kern w:val="0"/>
                <w:szCs w:val="21"/>
              </w:rPr>
            </w:pPr>
            <w:r>
              <w:rPr>
                <w:rFonts w:ascii="Verdana" w:hAnsi="Verdana" w:cs="宋体"/>
                <w:color w:val="auto"/>
                <w:kern w:val="0"/>
                <w:szCs w:val="21"/>
              </w:rPr>
              <w:t>验收小组成员签字：</w:t>
            </w:r>
          </w:p>
        </w:tc>
      </w:tr>
      <w:tr w14:paraId="3F0201F6">
        <w:tblPrEx>
          <w:tblCellMar>
            <w:top w:w="0" w:type="dxa"/>
            <w:left w:w="0" w:type="dxa"/>
            <w:bottom w:w="0" w:type="dxa"/>
            <w:right w:w="0" w:type="dxa"/>
          </w:tblCellMar>
        </w:tblPrEx>
        <w:trPr>
          <w:trHeight w:val="736" w:hRule="atLeast"/>
          <w:jc w:val="center"/>
        </w:trPr>
        <w:tc>
          <w:tcPr>
            <w:tcW w:w="9371" w:type="dxa"/>
            <w:gridSpan w:val="8"/>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727A82F">
            <w:pPr>
              <w:spacing w:before="100" w:beforeAutospacing="1" w:after="100" w:afterAutospacing="1" w:line="320" w:lineRule="atLeast"/>
              <w:jc w:val="left"/>
              <w:rPr>
                <w:rFonts w:ascii="Verdana" w:hAnsi="Verdana" w:cs="宋体"/>
                <w:color w:val="auto"/>
                <w:kern w:val="0"/>
                <w:szCs w:val="21"/>
              </w:rPr>
            </w:pPr>
            <w:r>
              <w:rPr>
                <w:rFonts w:ascii="Verdana" w:hAnsi="Verdana" w:cs="宋体"/>
                <w:color w:val="auto"/>
                <w:kern w:val="0"/>
                <w:szCs w:val="21"/>
              </w:rPr>
              <w:t>监督人员或者其他相关人员签字：</w:t>
            </w:r>
          </w:p>
          <w:p w14:paraId="1FC538EB">
            <w:pPr>
              <w:spacing w:before="100" w:beforeAutospacing="1" w:after="100" w:afterAutospacing="1" w:line="320" w:lineRule="atLeast"/>
              <w:ind w:firstLine="74"/>
              <w:jc w:val="left"/>
              <w:rPr>
                <w:rFonts w:ascii="Verdana" w:hAnsi="Verdana" w:cs="宋体"/>
                <w:color w:val="auto"/>
                <w:kern w:val="0"/>
                <w:szCs w:val="21"/>
              </w:rPr>
            </w:pPr>
            <w:r>
              <w:rPr>
                <w:rFonts w:ascii="Verdana" w:hAnsi="Verdana" w:cs="宋体"/>
                <w:color w:val="auto"/>
                <w:kern w:val="0"/>
                <w:szCs w:val="21"/>
              </w:rPr>
              <w:t>或者受邀机构的意见（盖章）：</w:t>
            </w:r>
          </w:p>
        </w:tc>
      </w:tr>
      <w:tr w14:paraId="2526021A">
        <w:tblPrEx>
          <w:tblCellMar>
            <w:top w:w="0" w:type="dxa"/>
            <w:left w:w="0" w:type="dxa"/>
            <w:bottom w:w="0" w:type="dxa"/>
            <w:right w:w="0" w:type="dxa"/>
          </w:tblCellMar>
        </w:tblPrEx>
        <w:trPr>
          <w:trHeight w:val="758" w:hRule="atLeast"/>
          <w:jc w:val="center"/>
        </w:trPr>
        <w:tc>
          <w:tcPr>
            <w:tcW w:w="4152" w:type="dxa"/>
            <w:gridSpan w:val="4"/>
            <w:tcBorders>
              <w:top w:val="nil"/>
              <w:left w:val="single" w:color="auto" w:sz="8" w:space="0"/>
              <w:bottom w:val="single" w:color="auto" w:sz="8" w:space="0"/>
              <w:right w:val="nil"/>
            </w:tcBorders>
            <w:tcMar>
              <w:top w:w="0" w:type="dxa"/>
              <w:left w:w="108" w:type="dxa"/>
              <w:bottom w:w="0" w:type="dxa"/>
              <w:right w:w="108" w:type="dxa"/>
            </w:tcMar>
            <w:vAlign w:val="center"/>
          </w:tcPr>
          <w:p w14:paraId="36E5AAA0">
            <w:pPr>
              <w:spacing w:before="100" w:beforeAutospacing="1" w:after="100" w:afterAutospacing="1" w:line="320" w:lineRule="atLeast"/>
              <w:ind w:firstLine="74"/>
              <w:jc w:val="left"/>
              <w:rPr>
                <w:rFonts w:ascii="Verdana" w:hAnsi="Verdana" w:cs="宋体"/>
                <w:color w:val="auto"/>
                <w:kern w:val="0"/>
                <w:szCs w:val="21"/>
              </w:rPr>
            </w:pPr>
            <w:r>
              <w:rPr>
                <w:rFonts w:ascii="Verdana" w:hAnsi="Verdana" w:cs="宋体"/>
                <w:color w:val="auto"/>
                <w:kern w:val="0"/>
                <w:szCs w:val="21"/>
              </w:rPr>
              <w:t>中标或者成交人负责人签字或者盖章：</w:t>
            </w:r>
          </w:p>
          <w:p w14:paraId="2419DAC7">
            <w:pPr>
              <w:spacing w:before="100" w:beforeAutospacing="1" w:after="100" w:afterAutospacing="1" w:line="320" w:lineRule="atLeast"/>
              <w:jc w:val="left"/>
              <w:rPr>
                <w:rFonts w:ascii="Verdana" w:hAnsi="Verdana" w:cs="宋体"/>
                <w:color w:val="auto"/>
                <w:kern w:val="0"/>
                <w:szCs w:val="21"/>
              </w:rPr>
            </w:pPr>
            <w:r>
              <w:rPr>
                <w:rFonts w:ascii="Verdana" w:hAnsi="Verdana" w:cs="宋体"/>
                <w:color w:val="auto"/>
                <w:kern w:val="0"/>
                <w:szCs w:val="21"/>
              </w:rPr>
              <w:t>联系电话：年月日</w:t>
            </w:r>
          </w:p>
        </w:tc>
        <w:tc>
          <w:tcPr>
            <w:tcW w:w="5219" w:type="dxa"/>
            <w:gridSpan w:val="4"/>
            <w:tcBorders>
              <w:top w:val="nil"/>
              <w:left w:val="nil"/>
              <w:bottom w:val="single" w:color="auto" w:sz="8" w:space="0"/>
              <w:right w:val="single" w:color="auto" w:sz="8" w:space="0"/>
            </w:tcBorders>
            <w:vAlign w:val="center"/>
          </w:tcPr>
          <w:p w14:paraId="5E4C5A9A">
            <w:pPr>
              <w:spacing w:before="100" w:beforeAutospacing="1" w:after="100" w:afterAutospacing="1" w:line="320" w:lineRule="atLeast"/>
              <w:jc w:val="left"/>
              <w:rPr>
                <w:rFonts w:ascii="Verdana" w:hAnsi="Verdana" w:cs="宋体"/>
                <w:color w:val="auto"/>
                <w:kern w:val="0"/>
                <w:szCs w:val="21"/>
              </w:rPr>
            </w:pPr>
            <w:r>
              <w:rPr>
                <w:rFonts w:ascii="Verdana" w:hAnsi="Verdana" w:cs="宋体"/>
                <w:color w:val="auto"/>
                <w:kern w:val="0"/>
                <w:szCs w:val="21"/>
              </w:rPr>
              <w:t>采购人或者受托机构的意见（盖章）：</w:t>
            </w:r>
          </w:p>
          <w:p w14:paraId="68D6509F">
            <w:pPr>
              <w:spacing w:before="100" w:beforeAutospacing="1" w:after="100" w:afterAutospacing="1" w:line="320" w:lineRule="atLeast"/>
              <w:jc w:val="left"/>
              <w:rPr>
                <w:rFonts w:ascii="Verdana" w:hAnsi="Verdana" w:cs="宋体"/>
                <w:color w:val="auto"/>
                <w:kern w:val="0"/>
                <w:szCs w:val="21"/>
              </w:rPr>
            </w:pPr>
            <w:r>
              <w:rPr>
                <w:rFonts w:ascii="Verdana" w:hAnsi="Verdana" w:cs="宋体"/>
                <w:color w:val="auto"/>
                <w:kern w:val="0"/>
                <w:szCs w:val="21"/>
              </w:rPr>
              <w:t>联系电话：年月日</w:t>
            </w:r>
          </w:p>
        </w:tc>
      </w:tr>
    </w:tbl>
    <w:p w14:paraId="6FC215F2">
      <w:pPr>
        <w:jc w:val="left"/>
        <w:rPr>
          <w:rFonts w:hAnsi="宋体"/>
          <w:color w:val="auto"/>
        </w:rPr>
      </w:pPr>
      <w:r>
        <w:rPr>
          <w:rFonts w:hAnsi="宋体"/>
          <w:color w:val="auto"/>
        </w:rPr>
        <w:br w:type="page"/>
      </w:r>
      <w:r>
        <w:rPr>
          <w:rFonts w:hint="eastAsia" w:hAnsi="宋体"/>
          <w:color w:val="auto"/>
        </w:rPr>
        <w:t>附件2：</w:t>
      </w:r>
    </w:p>
    <w:p w14:paraId="3A26E90C">
      <w:pPr>
        <w:jc w:val="center"/>
        <w:rPr>
          <w:rFonts w:ascii="黑体" w:hAnsi="黑体" w:eastAsia="黑体"/>
          <w:color w:val="auto"/>
          <w:sz w:val="32"/>
          <w:szCs w:val="32"/>
        </w:rPr>
      </w:pPr>
      <w:r>
        <w:rPr>
          <w:rFonts w:hint="eastAsia" w:ascii="黑体" w:hAnsi="黑体" w:eastAsia="黑体"/>
          <w:color w:val="auto"/>
          <w:sz w:val="32"/>
          <w:szCs w:val="32"/>
        </w:rPr>
        <w:t>政府采购项目履约保证金退付意见书（参考）</w:t>
      </w:r>
    </w:p>
    <w:p w14:paraId="18A2209B">
      <w:pPr>
        <w:jc w:val="center"/>
        <w:rPr>
          <w:rFonts w:ascii="黑体" w:hAnsi="黑体" w:eastAsia="黑体"/>
          <w:color w:val="auto"/>
          <w:sz w:val="36"/>
          <w:szCs w:val="36"/>
        </w:rPr>
      </w:pPr>
      <w:r>
        <w:rPr>
          <w:rFonts w:hint="eastAsia" w:ascii="宋体" w:hAnsi="宋体" w:cs="宋体"/>
          <w:b/>
          <w:bCs/>
          <w:color w:val="auto"/>
          <w:kern w:val="0"/>
          <w:sz w:val="18"/>
          <w:szCs w:val="18"/>
        </w:rPr>
        <w:t>（本项目如有，可以参考使用）</w:t>
      </w:r>
    </w:p>
    <w:tbl>
      <w:tblPr>
        <w:tblStyle w:val="2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456"/>
      </w:tblGrid>
      <w:tr w14:paraId="6BC20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008" w:type="dxa"/>
            <w:vMerge w:val="restart"/>
            <w:vAlign w:val="center"/>
          </w:tcPr>
          <w:p w14:paraId="4A6FB588">
            <w:pPr>
              <w:jc w:val="center"/>
              <w:rPr>
                <w:color w:val="auto"/>
                <w:sz w:val="24"/>
              </w:rPr>
            </w:pPr>
            <w:r>
              <w:rPr>
                <w:rFonts w:hint="eastAsia"/>
                <w:color w:val="auto"/>
                <w:sz w:val="24"/>
              </w:rPr>
              <w:t>供</w:t>
            </w:r>
          </w:p>
          <w:p w14:paraId="7102634F">
            <w:pPr>
              <w:jc w:val="center"/>
              <w:rPr>
                <w:color w:val="auto"/>
                <w:sz w:val="24"/>
              </w:rPr>
            </w:pPr>
            <w:r>
              <w:rPr>
                <w:rFonts w:hint="eastAsia"/>
                <w:color w:val="auto"/>
                <w:sz w:val="24"/>
              </w:rPr>
              <w:t>应</w:t>
            </w:r>
          </w:p>
          <w:p w14:paraId="52DD376F">
            <w:pPr>
              <w:jc w:val="center"/>
              <w:rPr>
                <w:color w:val="auto"/>
                <w:sz w:val="24"/>
              </w:rPr>
            </w:pPr>
            <w:r>
              <w:rPr>
                <w:rFonts w:hint="eastAsia"/>
                <w:color w:val="auto"/>
                <w:sz w:val="24"/>
              </w:rPr>
              <w:t>商</w:t>
            </w:r>
          </w:p>
          <w:p w14:paraId="519C3648">
            <w:pPr>
              <w:jc w:val="center"/>
              <w:rPr>
                <w:color w:val="auto"/>
                <w:sz w:val="24"/>
              </w:rPr>
            </w:pPr>
            <w:r>
              <w:rPr>
                <w:rFonts w:hint="eastAsia"/>
                <w:color w:val="auto"/>
                <w:sz w:val="24"/>
              </w:rPr>
              <w:t>申</w:t>
            </w:r>
          </w:p>
          <w:p w14:paraId="7ED4613D">
            <w:pPr>
              <w:jc w:val="center"/>
              <w:rPr>
                <w:color w:val="auto"/>
                <w:sz w:val="24"/>
              </w:rPr>
            </w:pPr>
            <w:r>
              <w:rPr>
                <w:rFonts w:hint="eastAsia"/>
                <w:color w:val="auto"/>
                <w:sz w:val="24"/>
              </w:rPr>
              <w:t>请</w:t>
            </w:r>
          </w:p>
        </w:tc>
        <w:tc>
          <w:tcPr>
            <w:tcW w:w="8456" w:type="dxa"/>
            <w:vAlign w:val="center"/>
          </w:tcPr>
          <w:p w14:paraId="12E387F1">
            <w:pPr>
              <w:rPr>
                <w:color w:val="auto"/>
                <w:sz w:val="24"/>
              </w:rPr>
            </w:pPr>
            <w:r>
              <w:rPr>
                <w:rFonts w:hint="eastAsia"/>
                <w:color w:val="auto"/>
                <w:sz w:val="24"/>
              </w:rPr>
              <w:t>项目编号：</w:t>
            </w:r>
          </w:p>
        </w:tc>
      </w:tr>
      <w:tr w14:paraId="06FB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1008" w:type="dxa"/>
            <w:vMerge w:val="continue"/>
            <w:vAlign w:val="center"/>
          </w:tcPr>
          <w:p w14:paraId="34380AB8">
            <w:pPr>
              <w:rPr>
                <w:color w:val="auto"/>
                <w:sz w:val="24"/>
              </w:rPr>
            </w:pPr>
          </w:p>
        </w:tc>
        <w:tc>
          <w:tcPr>
            <w:tcW w:w="8456" w:type="dxa"/>
            <w:vAlign w:val="center"/>
          </w:tcPr>
          <w:p w14:paraId="5AAE91CF">
            <w:pPr>
              <w:rPr>
                <w:color w:val="auto"/>
                <w:sz w:val="24"/>
              </w:rPr>
            </w:pPr>
            <w:r>
              <w:rPr>
                <w:rFonts w:hint="eastAsia"/>
                <w:color w:val="auto"/>
                <w:sz w:val="24"/>
              </w:rPr>
              <w:t>项目名称：</w:t>
            </w:r>
          </w:p>
        </w:tc>
      </w:tr>
      <w:tr w14:paraId="603AD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continue"/>
          </w:tcPr>
          <w:p w14:paraId="490C3A9D">
            <w:pPr>
              <w:rPr>
                <w:color w:val="auto"/>
                <w:sz w:val="24"/>
              </w:rPr>
            </w:pPr>
          </w:p>
        </w:tc>
        <w:tc>
          <w:tcPr>
            <w:tcW w:w="8456" w:type="dxa"/>
          </w:tcPr>
          <w:p w14:paraId="63045918">
            <w:pPr>
              <w:rPr>
                <w:color w:val="auto"/>
                <w:sz w:val="24"/>
              </w:rPr>
            </w:pPr>
          </w:p>
          <w:p w14:paraId="6A9F6BBD">
            <w:pPr>
              <w:spacing w:line="400" w:lineRule="exact"/>
              <w:ind w:firstLine="480" w:firstLineChars="200"/>
              <w:rPr>
                <w:color w:val="auto"/>
                <w:sz w:val="24"/>
              </w:rPr>
            </w:pPr>
            <w:r>
              <w:rPr>
                <w:rFonts w:hint="eastAsia"/>
                <w:color w:val="auto"/>
                <w:sz w:val="24"/>
              </w:rPr>
              <w:t>该项目已于年月日验收并交付使用。根据合同规定，该项目的履约保证金期限于年月日已满，请将履约保证金</w:t>
            </w:r>
          </w:p>
          <w:p w14:paraId="1C82CCAD">
            <w:pPr>
              <w:spacing w:line="400" w:lineRule="exact"/>
              <w:rPr>
                <w:color w:val="auto"/>
                <w:sz w:val="24"/>
              </w:rPr>
            </w:pPr>
            <w:r>
              <w:rPr>
                <w:rFonts w:hint="eastAsia"/>
                <w:color w:val="auto"/>
                <w:sz w:val="24"/>
              </w:rPr>
              <w:t>（大写）￥（小写）退付到达以下帐户。</w:t>
            </w:r>
          </w:p>
          <w:p w14:paraId="0393EA9A">
            <w:pPr>
              <w:spacing w:line="400" w:lineRule="exact"/>
              <w:ind w:firstLine="705"/>
              <w:rPr>
                <w:color w:val="auto"/>
                <w:sz w:val="24"/>
              </w:rPr>
            </w:pPr>
            <w:r>
              <w:rPr>
                <w:rFonts w:hint="eastAsia"/>
                <w:color w:val="auto"/>
                <w:sz w:val="24"/>
              </w:rPr>
              <w:t>单位名称：</w:t>
            </w:r>
          </w:p>
          <w:p w14:paraId="027AEA7D">
            <w:pPr>
              <w:spacing w:line="400" w:lineRule="exact"/>
              <w:ind w:firstLine="705"/>
              <w:rPr>
                <w:color w:val="auto"/>
                <w:sz w:val="24"/>
              </w:rPr>
            </w:pPr>
            <w:r>
              <w:rPr>
                <w:rFonts w:hint="eastAsia"/>
                <w:color w:val="auto"/>
                <w:sz w:val="24"/>
              </w:rPr>
              <w:t>开户银行：</w:t>
            </w:r>
          </w:p>
          <w:p w14:paraId="2BCBFAF2">
            <w:pPr>
              <w:spacing w:line="400" w:lineRule="exact"/>
              <w:ind w:firstLine="705"/>
              <w:rPr>
                <w:color w:val="auto"/>
                <w:sz w:val="24"/>
              </w:rPr>
            </w:pPr>
            <w:r>
              <w:rPr>
                <w:rFonts w:hint="eastAsia"/>
                <w:color w:val="auto"/>
                <w:sz w:val="24"/>
                <w:lang w:eastAsia="zh-CN"/>
              </w:rPr>
              <w:t>账号</w:t>
            </w:r>
            <w:r>
              <w:rPr>
                <w:rFonts w:hint="eastAsia"/>
                <w:color w:val="auto"/>
                <w:sz w:val="24"/>
              </w:rPr>
              <w:t>：</w:t>
            </w:r>
          </w:p>
          <w:p w14:paraId="67235C05">
            <w:pPr>
              <w:spacing w:line="400" w:lineRule="exact"/>
              <w:rPr>
                <w:color w:val="auto"/>
                <w:sz w:val="24"/>
              </w:rPr>
            </w:pPr>
            <w:r>
              <w:rPr>
                <w:rFonts w:hint="eastAsia"/>
                <w:color w:val="auto"/>
                <w:sz w:val="24"/>
              </w:rPr>
              <w:t>联系人及电话：</w:t>
            </w:r>
          </w:p>
          <w:p w14:paraId="0704EB9C">
            <w:pPr>
              <w:spacing w:line="400" w:lineRule="exact"/>
              <w:rPr>
                <w:color w:val="auto"/>
                <w:sz w:val="24"/>
              </w:rPr>
            </w:pPr>
          </w:p>
          <w:p w14:paraId="4C9DECB0">
            <w:pPr>
              <w:spacing w:line="520" w:lineRule="exact"/>
              <w:jc w:val="center"/>
              <w:rPr>
                <w:color w:val="auto"/>
                <w:sz w:val="24"/>
              </w:rPr>
            </w:pPr>
            <w:r>
              <w:rPr>
                <w:rFonts w:hint="eastAsia"/>
                <w:color w:val="auto"/>
                <w:sz w:val="24"/>
              </w:rPr>
              <w:t>投标人签章：</w:t>
            </w:r>
          </w:p>
          <w:p w14:paraId="62401841">
            <w:pPr>
              <w:spacing w:line="520" w:lineRule="exact"/>
              <w:jc w:val="center"/>
              <w:rPr>
                <w:color w:val="auto"/>
                <w:sz w:val="24"/>
              </w:rPr>
            </w:pPr>
            <w:r>
              <w:rPr>
                <w:rFonts w:hint="eastAsia"/>
                <w:color w:val="auto"/>
                <w:sz w:val="24"/>
              </w:rPr>
              <w:t>年月日</w:t>
            </w:r>
          </w:p>
        </w:tc>
      </w:tr>
      <w:tr w14:paraId="0A69F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6" w:hRule="atLeast"/>
        </w:trPr>
        <w:tc>
          <w:tcPr>
            <w:tcW w:w="1008" w:type="dxa"/>
            <w:vAlign w:val="center"/>
          </w:tcPr>
          <w:p w14:paraId="2C9CCAFB">
            <w:pPr>
              <w:jc w:val="center"/>
              <w:rPr>
                <w:color w:val="auto"/>
                <w:sz w:val="24"/>
              </w:rPr>
            </w:pPr>
            <w:r>
              <w:rPr>
                <w:rFonts w:hint="eastAsia"/>
                <w:color w:val="auto"/>
                <w:sz w:val="24"/>
              </w:rPr>
              <w:t>采</w:t>
            </w:r>
          </w:p>
          <w:p w14:paraId="7F0E17AD">
            <w:pPr>
              <w:jc w:val="center"/>
              <w:rPr>
                <w:color w:val="auto"/>
                <w:sz w:val="24"/>
              </w:rPr>
            </w:pPr>
            <w:r>
              <w:rPr>
                <w:rFonts w:hint="eastAsia"/>
                <w:color w:val="auto"/>
                <w:sz w:val="24"/>
              </w:rPr>
              <w:t>购</w:t>
            </w:r>
          </w:p>
          <w:p w14:paraId="53B7A70D">
            <w:pPr>
              <w:jc w:val="center"/>
              <w:rPr>
                <w:color w:val="auto"/>
                <w:sz w:val="24"/>
              </w:rPr>
            </w:pPr>
            <w:r>
              <w:rPr>
                <w:rFonts w:hint="eastAsia"/>
                <w:color w:val="auto"/>
                <w:sz w:val="24"/>
              </w:rPr>
              <w:t>人</w:t>
            </w:r>
          </w:p>
          <w:p w14:paraId="7584B863">
            <w:pPr>
              <w:jc w:val="center"/>
              <w:rPr>
                <w:color w:val="auto"/>
                <w:sz w:val="24"/>
              </w:rPr>
            </w:pPr>
            <w:r>
              <w:rPr>
                <w:rFonts w:hint="eastAsia"/>
                <w:color w:val="auto"/>
                <w:sz w:val="24"/>
              </w:rPr>
              <w:t>意</w:t>
            </w:r>
          </w:p>
          <w:p w14:paraId="01798761">
            <w:pPr>
              <w:jc w:val="center"/>
              <w:rPr>
                <w:color w:val="auto"/>
                <w:sz w:val="24"/>
              </w:rPr>
            </w:pPr>
            <w:r>
              <w:rPr>
                <w:rFonts w:hint="eastAsia"/>
                <w:color w:val="auto"/>
                <w:sz w:val="24"/>
              </w:rPr>
              <w:t>见</w:t>
            </w:r>
          </w:p>
        </w:tc>
        <w:tc>
          <w:tcPr>
            <w:tcW w:w="8456" w:type="dxa"/>
          </w:tcPr>
          <w:p w14:paraId="1C4F5D10">
            <w:pPr>
              <w:rPr>
                <w:color w:val="auto"/>
                <w:sz w:val="24"/>
              </w:rPr>
            </w:pPr>
          </w:p>
          <w:p w14:paraId="0C038F4D">
            <w:pPr>
              <w:rPr>
                <w:color w:val="auto"/>
                <w:sz w:val="24"/>
              </w:rPr>
            </w:pPr>
            <w:r>
              <w:rPr>
                <w:rFonts w:hint="eastAsia"/>
                <w:color w:val="auto"/>
                <w:sz w:val="24"/>
              </w:rPr>
              <w:t>退付意见：（是否同意退付履约保证金及退付金额）</w:t>
            </w:r>
          </w:p>
          <w:p w14:paraId="70E565D0">
            <w:pPr>
              <w:rPr>
                <w:color w:val="auto"/>
                <w:sz w:val="24"/>
              </w:rPr>
            </w:pPr>
          </w:p>
          <w:p w14:paraId="45C715FE">
            <w:pPr>
              <w:rPr>
                <w:color w:val="auto"/>
                <w:sz w:val="24"/>
              </w:rPr>
            </w:pPr>
          </w:p>
          <w:p w14:paraId="551E32E6">
            <w:pPr>
              <w:rPr>
                <w:color w:val="auto"/>
                <w:sz w:val="24"/>
              </w:rPr>
            </w:pPr>
          </w:p>
          <w:p w14:paraId="20D287E3">
            <w:pPr>
              <w:rPr>
                <w:color w:val="auto"/>
                <w:sz w:val="24"/>
              </w:rPr>
            </w:pPr>
          </w:p>
          <w:p w14:paraId="52AF64E6">
            <w:pPr>
              <w:spacing w:line="520" w:lineRule="exact"/>
              <w:rPr>
                <w:color w:val="auto"/>
                <w:sz w:val="24"/>
              </w:rPr>
            </w:pPr>
            <w:r>
              <w:rPr>
                <w:rFonts w:hint="eastAsia"/>
                <w:color w:val="auto"/>
                <w:sz w:val="24"/>
              </w:rPr>
              <w:t>联系人及电话：采购人签章</w:t>
            </w:r>
          </w:p>
          <w:p w14:paraId="02A95DDA">
            <w:pPr>
              <w:spacing w:line="520" w:lineRule="exact"/>
              <w:jc w:val="center"/>
              <w:rPr>
                <w:color w:val="auto"/>
                <w:sz w:val="24"/>
              </w:rPr>
            </w:pPr>
            <w:r>
              <w:rPr>
                <w:rFonts w:hint="eastAsia"/>
                <w:color w:val="auto"/>
                <w:sz w:val="24"/>
              </w:rPr>
              <w:t>年月日</w:t>
            </w:r>
          </w:p>
        </w:tc>
      </w:tr>
      <w:tr w14:paraId="1D05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1008" w:type="dxa"/>
            <w:vAlign w:val="center"/>
          </w:tcPr>
          <w:p w14:paraId="1BB766DB">
            <w:pPr>
              <w:jc w:val="center"/>
              <w:rPr>
                <w:color w:val="auto"/>
                <w:sz w:val="24"/>
              </w:rPr>
            </w:pPr>
            <w:r>
              <w:rPr>
                <w:rFonts w:hint="eastAsia"/>
                <w:color w:val="auto"/>
                <w:sz w:val="24"/>
              </w:rPr>
              <w:t>备注</w:t>
            </w:r>
          </w:p>
        </w:tc>
        <w:tc>
          <w:tcPr>
            <w:tcW w:w="8456" w:type="dxa"/>
          </w:tcPr>
          <w:p w14:paraId="19070507">
            <w:pPr>
              <w:rPr>
                <w:color w:val="auto"/>
                <w:sz w:val="24"/>
              </w:rPr>
            </w:pPr>
          </w:p>
        </w:tc>
      </w:tr>
    </w:tbl>
    <w:p w14:paraId="755E307E">
      <w:pPr>
        <w:pStyle w:val="12"/>
        <w:ind w:left="420" w:leftChars="114" w:hanging="181" w:hangingChars="100"/>
        <w:rPr>
          <w:rFonts w:ascii="宋体"/>
          <w:b/>
          <w:bCs/>
          <w:color w:val="auto"/>
          <w:sz w:val="18"/>
        </w:rPr>
      </w:pPr>
      <w:r>
        <w:rPr>
          <w:rFonts w:hint="eastAsia" w:ascii="宋体"/>
          <w:b/>
          <w:bCs/>
          <w:color w:val="auto"/>
          <w:sz w:val="18"/>
        </w:rPr>
        <w:t>注：投标人凭经采购人审批的退付意见书到保证金收取单位办理履约保证金退付事宜。</w:t>
      </w:r>
    </w:p>
    <w:p w14:paraId="1EC616EB">
      <w:pPr>
        <w:pStyle w:val="14"/>
        <w:snapToGrid w:val="0"/>
        <w:spacing w:before="120" w:after="120"/>
        <w:rPr>
          <w:rFonts w:hAnsi="宋体"/>
          <w:color w:val="auto"/>
        </w:rPr>
      </w:pPr>
    </w:p>
    <w:p w14:paraId="7AE2E30D">
      <w:pPr>
        <w:pStyle w:val="3"/>
        <w:keepNext w:val="0"/>
        <w:keepLines w:val="0"/>
        <w:jc w:val="center"/>
        <w:rPr>
          <w:color w:val="auto"/>
        </w:rPr>
      </w:pPr>
      <w:r>
        <w:rPr>
          <w:rFonts w:hAnsi="宋体"/>
          <w:color w:val="auto"/>
        </w:rPr>
        <w:br w:type="page"/>
      </w:r>
      <w:bookmarkStart w:id="169" w:name="_Toc4929"/>
      <w:bookmarkStart w:id="170" w:name="_Toc714"/>
      <w:bookmarkStart w:id="171" w:name="_Toc19306"/>
      <w:bookmarkStart w:id="172" w:name="_Toc29676"/>
      <w:bookmarkStart w:id="173" w:name="_Toc87"/>
      <w:bookmarkStart w:id="174" w:name="_Toc10451"/>
      <w:bookmarkStart w:id="175" w:name="_Toc30565"/>
      <w:bookmarkStart w:id="176" w:name="_Toc5091"/>
      <w:bookmarkStart w:id="177" w:name="_Toc254970689"/>
      <w:bookmarkStart w:id="178" w:name="_Toc254970548"/>
      <w:bookmarkStart w:id="179" w:name="_Toc27672"/>
      <w:bookmarkStart w:id="180" w:name="_Toc26695"/>
      <w:bookmarkStart w:id="181" w:name="_Toc27810"/>
      <w:bookmarkStart w:id="182" w:name="_Toc330456896"/>
      <w:bookmarkStart w:id="183" w:name="_Toc21433"/>
      <w:bookmarkStart w:id="184" w:name="_Toc718"/>
      <w:bookmarkStart w:id="185" w:name="_Toc930"/>
      <w:bookmarkStart w:id="186" w:name="_Toc11546"/>
      <w:r>
        <w:rPr>
          <w:rFonts w:hint="eastAsia"/>
          <w:color w:val="auto"/>
        </w:rPr>
        <w:t>第四章评标方法及评标标准</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4793DFF1">
      <w:pPr>
        <w:pStyle w:val="14"/>
        <w:spacing w:line="360" w:lineRule="exact"/>
        <w:rPr>
          <w:rFonts w:hAnsi="宋体"/>
          <w:bCs/>
          <w:color w:val="auto"/>
        </w:rPr>
      </w:pPr>
    </w:p>
    <w:p w14:paraId="620B8743">
      <w:pPr>
        <w:pStyle w:val="4"/>
        <w:keepNext w:val="0"/>
        <w:keepLines w:val="0"/>
        <w:jc w:val="center"/>
        <w:rPr>
          <w:color w:val="auto"/>
        </w:rPr>
      </w:pPr>
      <w:r>
        <w:rPr>
          <w:rFonts w:hint="eastAsia"/>
          <w:color w:val="auto"/>
        </w:rPr>
        <w:t>第一节评标方法</w:t>
      </w:r>
    </w:p>
    <w:p w14:paraId="5BC80933">
      <w:pPr>
        <w:tabs>
          <w:tab w:val="left" w:pos="2472"/>
        </w:tabs>
        <w:spacing w:line="360" w:lineRule="auto"/>
        <w:ind w:firstLine="420" w:firstLineChars="200"/>
        <w:rPr>
          <w:rFonts w:ascii="宋体" w:hAnsi="Courier New"/>
          <w:color w:val="auto"/>
          <w:szCs w:val="21"/>
        </w:rPr>
      </w:pPr>
      <w:r>
        <w:rPr>
          <w:rFonts w:hint="eastAsia" w:ascii="宋体" w:hAnsi="宋体" w:cs="宋体"/>
          <w:color w:val="auto"/>
          <w:szCs w:val="21"/>
        </w:rPr>
        <w:t>本项目采用</w:t>
      </w:r>
      <w:r>
        <w:rPr>
          <w:rFonts w:hint="eastAsia" w:ascii="宋体" w:hAnsi="宋体" w:cs="宋体"/>
          <w:color w:val="auto"/>
          <w:szCs w:val="21"/>
          <w:u w:val="single"/>
        </w:rPr>
        <w:t>以下勾选的方式</w:t>
      </w:r>
      <w:r>
        <w:rPr>
          <w:rFonts w:hint="eastAsia" w:ascii="宋体" w:hAnsi="宋体" w:cs="宋体"/>
          <w:color w:val="auto"/>
          <w:szCs w:val="21"/>
        </w:rPr>
        <w:t>进行评审。</w:t>
      </w:r>
    </w:p>
    <w:p w14:paraId="29449171">
      <w:pPr>
        <w:spacing w:line="360" w:lineRule="auto"/>
        <w:ind w:firstLine="420"/>
        <w:rPr>
          <w:rFonts w:ascii="宋体" w:hAnsi="宋体"/>
          <w:color w:val="auto"/>
          <w:szCs w:val="20"/>
        </w:rPr>
      </w:pPr>
      <w:r>
        <w:rPr>
          <w:rFonts w:hint="eastAsia" w:ascii="宋体" w:hAnsi="宋体"/>
          <w:color w:val="auto"/>
          <w:szCs w:val="21"/>
        </w:rPr>
        <w:t>□最低评标价法，是指投标文件满足招标文件</w:t>
      </w:r>
      <w:r>
        <w:rPr>
          <w:rFonts w:hint="eastAsia" w:ascii="宋体" w:hAnsi="宋体"/>
          <w:color w:val="auto"/>
          <w:szCs w:val="20"/>
        </w:rPr>
        <w:t>全部实质性要求，且投标报价最低的投标人为中标候选人的评标方法。</w:t>
      </w:r>
    </w:p>
    <w:p w14:paraId="6EFE49B1">
      <w:pPr>
        <w:autoSpaceDE w:val="0"/>
        <w:autoSpaceDN w:val="0"/>
        <w:adjustRightInd w:val="0"/>
        <w:spacing w:line="360" w:lineRule="auto"/>
        <w:ind w:firstLine="420" w:firstLineChars="200"/>
        <w:rPr>
          <w:rFonts w:ascii="宋体" w:hAnsi="宋体"/>
          <w:color w:val="auto"/>
          <w:sz w:val="24"/>
        </w:rPr>
      </w:pPr>
      <w:r>
        <w:rPr>
          <w:rFonts w:hint="eastAsia" w:hAnsi="宋体"/>
          <w:color w:val="auto"/>
        </w:rPr>
        <w:t>☑综合评分法，</w:t>
      </w:r>
      <w:r>
        <w:rPr>
          <w:rFonts w:hint="eastAsia" w:ascii="宋体" w:hAnsi="宋体"/>
          <w:color w:val="auto"/>
          <w:szCs w:val="20"/>
        </w:rPr>
        <w:t xml:space="preserve">是指投标文件满足招标文件全部实质性要求，且按照评审因素的量化指标评审得分最高的投标人为中标候选人的评标方法。经统计，得出各投标人的综合得分,按综合得分由高到低顺序排列。若综合得分相同的，按投标报价由低到高顺序排列。 </w:t>
      </w:r>
    </w:p>
    <w:p w14:paraId="5B0BC8D7">
      <w:pPr>
        <w:pStyle w:val="14"/>
        <w:spacing w:line="360" w:lineRule="auto"/>
        <w:ind w:firstLine="420"/>
        <w:rPr>
          <w:rFonts w:hAnsi="宋体"/>
          <w:color w:val="auto"/>
          <w:sz w:val="21"/>
        </w:rPr>
      </w:pPr>
    </w:p>
    <w:p w14:paraId="460F29B0">
      <w:pPr>
        <w:pStyle w:val="4"/>
        <w:keepNext w:val="0"/>
        <w:keepLines w:val="0"/>
        <w:jc w:val="center"/>
        <w:rPr>
          <w:color w:val="auto"/>
        </w:rPr>
      </w:pPr>
      <w:r>
        <w:rPr>
          <w:rFonts w:hint="eastAsia"/>
          <w:color w:val="auto"/>
        </w:rPr>
        <w:t>第二节评标程序</w:t>
      </w:r>
    </w:p>
    <w:p w14:paraId="7B2EDF4C">
      <w:pPr>
        <w:pStyle w:val="6"/>
        <w:keepNext w:val="0"/>
        <w:keepLines w:val="0"/>
        <w:spacing w:before="0" w:after="0" w:line="360" w:lineRule="auto"/>
        <w:ind w:left="420" w:leftChars="200"/>
        <w:rPr>
          <w:rFonts w:ascii="宋体" w:hAnsi="宋体"/>
          <w:color w:val="auto"/>
          <w:sz w:val="21"/>
          <w:szCs w:val="21"/>
        </w:rPr>
      </w:pPr>
      <w:r>
        <w:rPr>
          <w:rFonts w:hint="eastAsia" w:ascii="宋体" w:hAnsi="宋体"/>
          <w:color w:val="auto"/>
          <w:sz w:val="21"/>
          <w:szCs w:val="21"/>
        </w:rPr>
        <w:t>1.符合性审查</w:t>
      </w:r>
    </w:p>
    <w:p w14:paraId="1441501B">
      <w:pPr>
        <w:pStyle w:val="14"/>
        <w:snapToGrid w:val="0"/>
        <w:spacing w:line="360" w:lineRule="auto"/>
        <w:ind w:left="1" w:firstLine="420"/>
        <w:rPr>
          <w:rFonts w:hAnsi="宋体"/>
          <w:bCs/>
          <w:color w:val="auto"/>
          <w:kern w:val="2"/>
          <w:sz w:val="21"/>
        </w:rPr>
      </w:pPr>
      <w:r>
        <w:rPr>
          <w:rFonts w:hint="eastAsia" w:hAnsi="宋体"/>
          <w:bCs/>
          <w:color w:val="auto"/>
          <w:kern w:val="2"/>
          <w:sz w:val="21"/>
        </w:rPr>
        <w:t>评标委员会应当对符合资格的投标人的投标文件进行投标报价、商务、技术等实质性内容符合性审查，以确定其是否满足招标文件的实质性要求。</w:t>
      </w:r>
    </w:p>
    <w:p w14:paraId="202A43A4">
      <w:pPr>
        <w:pStyle w:val="6"/>
        <w:keepNext w:val="0"/>
        <w:keepLines w:val="0"/>
        <w:spacing w:before="0" w:after="0" w:line="360" w:lineRule="auto"/>
        <w:ind w:left="420" w:leftChars="200"/>
        <w:rPr>
          <w:rFonts w:ascii="宋体" w:hAnsi="宋体"/>
          <w:color w:val="auto"/>
          <w:sz w:val="21"/>
          <w:szCs w:val="21"/>
        </w:rPr>
      </w:pPr>
      <w:r>
        <w:rPr>
          <w:rFonts w:hint="eastAsia" w:ascii="宋体" w:hAnsi="宋体"/>
          <w:color w:val="auto"/>
          <w:sz w:val="21"/>
          <w:szCs w:val="21"/>
        </w:rPr>
        <w:t>2</w:t>
      </w:r>
      <w:r>
        <w:rPr>
          <w:rFonts w:ascii="宋体" w:hAnsi="宋体"/>
          <w:color w:val="auto"/>
          <w:sz w:val="21"/>
          <w:szCs w:val="21"/>
        </w:rPr>
        <w:t>.</w:t>
      </w:r>
      <w:r>
        <w:rPr>
          <w:rFonts w:hint="eastAsia" w:ascii="宋体" w:hAnsi="宋体"/>
          <w:color w:val="auto"/>
          <w:sz w:val="21"/>
          <w:szCs w:val="21"/>
        </w:rPr>
        <w:t>符合性审查不通过而导致投标无效的情形</w:t>
      </w:r>
    </w:p>
    <w:p w14:paraId="104C926A">
      <w:pPr>
        <w:snapToGrid w:val="0"/>
        <w:spacing w:line="360" w:lineRule="auto"/>
        <w:ind w:firstLine="420" w:firstLineChars="200"/>
        <w:rPr>
          <w:rFonts w:ascii="宋体" w:hAnsi="宋体"/>
          <w:bCs/>
          <w:color w:val="auto"/>
          <w:szCs w:val="21"/>
        </w:rPr>
      </w:pPr>
      <w:r>
        <w:rPr>
          <w:rFonts w:hint="eastAsia" w:ascii="宋体" w:hAnsi="宋体"/>
          <w:bCs/>
          <w:color w:val="auto"/>
          <w:szCs w:val="21"/>
        </w:rPr>
        <w:t>投标人的投标文件中存在对招标文件的任何实质性要求和条件的负偏离，将被视为投标无效。</w:t>
      </w:r>
    </w:p>
    <w:p w14:paraId="0E71A830">
      <w:pPr>
        <w:pStyle w:val="6"/>
        <w:keepNext w:val="0"/>
        <w:keepLines w:val="0"/>
        <w:spacing w:before="0" w:after="0" w:line="360" w:lineRule="auto"/>
        <w:ind w:left="420" w:leftChars="200"/>
        <w:rPr>
          <w:rFonts w:ascii="宋体" w:hAnsi="宋体"/>
          <w:color w:val="auto"/>
          <w:sz w:val="21"/>
          <w:szCs w:val="21"/>
        </w:rPr>
      </w:pPr>
      <w:r>
        <w:rPr>
          <w:rFonts w:hint="eastAsia" w:ascii="宋体" w:hAnsi="宋体"/>
          <w:color w:val="auto"/>
          <w:sz w:val="21"/>
          <w:szCs w:val="21"/>
        </w:rPr>
        <w:t>2.1在报价评审时，如发现下列情形之一的，将被视为投标无效：</w:t>
      </w:r>
    </w:p>
    <w:p w14:paraId="391BD5CC">
      <w:pPr>
        <w:pStyle w:val="7"/>
        <w:spacing w:line="360" w:lineRule="auto"/>
        <w:ind w:firstLineChars="200"/>
        <w:rPr>
          <w:rFonts w:ascii="宋体" w:hAnsi="宋体"/>
          <w:bCs/>
          <w:color w:val="auto"/>
          <w:szCs w:val="21"/>
        </w:rPr>
      </w:pPr>
      <w:r>
        <w:rPr>
          <w:rFonts w:hint="eastAsia" w:ascii="宋体" w:hAnsi="宋体"/>
          <w:bCs/>
          <w:color w:val="auto"/>
          <w:szCs w:val="21"/>
        </w:rPr>
        <w:t>（1）投标文件未提供“投标人须知前附表”第13.1条规定中“必须提供”的文件资料的；</w:t>
      </w:r>
    </w:p>
    <w:p w14:paraId="6105BA22">
      <w:pPr>
        <w:pStyle w:val="7"/>
        <w:spacing w:line="360" w:lineRule="auto"/>
        <w:ind w:firstLineChars="200"/>
        <w:rPr>
          <w:rFonts w:ascii="宋体" w:hAnsi="宋体"/>
          <w:bCs/>
          <w:color w:val="auto"/>
          <w:szCs w:val="21"/>
        </w:rPr>
      </w:pPr>
      <w:r>
        <w:rPr>
          <w:rFonts w:hint="eastAsia" w:ascii="宋体" w:hAnsi="宋体"/>
          <w:bCs/>
          <w:color w:val="auto"/>
          <w:szCs w:val="21"/>
        </w:rPr>
        <w:t>（2）未采用人民币报价或者未按照招标文件标明的币种报价的；</w:t>
      </w:r>
    </w:p>
    <w:p w14:paraId="0341C358">
      <w:pPr>
        <w:pStyle w:val="7"/>
        <w:spacing w:line="360" w:lineRule="auto"/>
        <w:ind w:firstLineChars="200"/>
        <w:rPr>
          <w:rFonts w:ascii="宋体" w:hAnsi="宋体"/>
          <w:bCs/>
          <w:color w:val="auto"/>
          <w:szCs w:val="21"/>
        </w:rPr>
      </w:pPr>
      <w:r>
        <w:rPr>
          <w:rFonts w:hint="eastAsia" w:ascii="宋体" w:hAnsi="宋体"/>
          <w:bCs/>
          <w:color w:val="auto"/>
          <w:szCs w:val="21"/>
        </w:rPr>
        <w:t>（3）报价超出招标文件规定最高限价，或者超出采购预算金额的；</w:t>
      </w:r>
    </w:p>
    <w:p w14:paraId="11B24CF9">
      <w:pPr>
        <w:pStyle w:val="7"/>
        <w:spacing w:line="360" w:lineRule="auto"/>
        <w:ind w:firstLineChars="200"/>
        <w:rPr>
          <w:rFonts w:ascii="宋体" w:hAnsi="宋体"/>
          <w:bCs/>
          <w:color w:val="auto"/>
          <w:szCs w:val="21"/>
        </w:rPr>
      </w:pPr>
      <w:r>
        <w:rPr>
          <w:rFonts w:hint="eastAsia" w:ascii="宋体" w:hAnsi="宋体"/>
          <w:bCs/>
          <w:color w:val="auto"/>
          <w:szCs w:val="21"/>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5E2334C8">
      <w:pPr>
        <w:pStyle w:val="7"/>
        <w:spacing w:line="360" w:lineRule="auto"/>
        <w:ind w:firstLineChars="200"/>
        <w:rPr>
          <w:rFonts w:ascii="宋体" w:hAnsi="宋体"/>
          <w:bCs/>
          <w:color w:val="auto"/>
          <w:szCs w:val="21"/>
        </w:rPr>
      </w:pPr>
      <w:r>
        <w:rPr>
          <w:rFonts w:hint="eastAsia" w:ascii="宋体" w:hAnsi="宋体"/>
          <w:bCs/>
          <w:color w:val="auto"/>
          <w:szCs w:val="21"/>
        </w:rPr>
        <w:t>（5）修正后的报价，投标人不确认的；</w:t>
      </w:r>
    </w:p>
    <w:p w14:paraId="191CF35C">
      <w:pPr>
        <w:pStyle w:val="7"/>
        <w:spacing w:line="360" w:lineRule="auto"/>
        <w:ind w:firstLineChars="200"/>
        <w:rPr>
          <w:rFonts w:ascii="宋体" w:hAnsi="宋体"/>
          <w:bCs/>
          <w:color w:val="auto"/>
          <w:szCs w:val="21"/>
        </w:rPr>
      </w:pPr>
      <w:r>
        <w:rPr>
          <w:rFonts w:hint="eastAsia" w:ascii="宋体" w:hAnsi="宋体"/>
          <w:bCs/>
          <w:color w:val="auto"/>
          <w:szCs w:val="21"/>
        </w:rPr>
        <w:t>（6）投标人属于本章第</w:t>
      </w:r>
      <w:r>
        <w:rPr>
          <w:rFonts w:ascii="宋体" w:hAnsi="宋体"/>
          <w:bCs/>
          <w:color w:val="auto"/>
          <w:szCs w:val="21"/>
        </w:rPr>
        <w:t>5</w:t>
      </w:r>
      <w:r>
        <w:rPr>
          <w:rFonts w:hint="eastAsia" w:ascii="宋体" w:hAnsi="宋体"/>
          <w:bCs/>
          <w:color w:val="auto"/>
          <w:szCs w:val="21"/>
        </w:rPr>
        <w:t>条第（2）项情形的。</w:t>
      </w:r>
    </w:p>
    <w:p w14:paraId="0AA7F100">
      <w:pPr>
        <w:pStyle w:val="6"/>
        <w:keepNext w:val="0"/>
        <w:keepLines w:val="0"/>
        <w:spacing w:before="0" w:after="0" w:line="360" w:lineRule="auto"/>
        <w:ind w:left="420" w:leftChars="200"/>
        <w:rPr>
          <w:rFonts w:ascii="宋体" w:hAnsi="宋体"/>
          <w:color w:val="auto"/>
          <w:sz w:val="21"/>
          <w:szCs w:val="21"/>
        </w:rPr>
      </w:pPr>
      <w:r>
        <w:rPr>
          <w:rFonts w:hint="eastAsia" w:ascii="宋体" w:hAnsi="宋体"/>
          <w:color w:val="auto"/>
          <w:sz w:val="21"/>
          <w:szCs w:val="21"/>
        </w:rPr>
        <w:t>2.2在商务评审时，如发现下列情形之一的，将被视为投标无效：</w:t>
      </w:r>
    </w:p>
    <w:p w14:paraId="33BA13E9">
      <w:pPr>
        <w:snapToGrid w:val="0"/>
        <w:spacing w:line="360" w:lineRule="auto"/>
        <w:ind w:firstLine="420" w:firstLineChars="200"/>
        <w:rPr>
          <w:rFonts w:ascii="宋体" w:hAnsi="宋体"/>
          <w:bCs/>
          <w:color w:val="auto"/>
          <w:szCs w:val="21"/>
        </w:rPr>
      </w:pPr>
      <w:r>
        <w:rPr>
          <w:rFonts w:hint="eastAsia" w:ascii="宋体" w:hAnsi="宋体"/>
          <w:bCs/>
          <w:color w:val="auto"/>
          <w:szCs w:val="21"/>
        </w:rPr>
        <w:t>（1）投标文件未按招标文件要求签署、盖章的；</w:t>
      </w:r>
    </w:p>
    <w:p w14:paraId="46F4F04E">
      <w:pPr>
        <w:snapToGrid w:val="0"/>
        <w:spacing w:line="360" w:lineRule="auto"/>
        <w:ind w:firstLine="420" w:firstLineChars="200"/>
        <w:rPr>
          <w:rFonts w:ascii="宋体" w:hAnsi="宋体"/>
          <w:bCs/>
          <w:color w:val="auto"/>
          <w:szCs w:val="21"/>
        </w:rPr>
      </w:pPr>
      <w:r>
        <w:rPr>
          <w:rFonts w:hint="eastAsia" w:ascii="宋体" w:hAnsi="宋体"/>
          <w:bCs/>
          <w:color w:val="auto"/>
          <w:szCs w:val="21"/>
        </w:rPr>
        <w:t xml:space="preserve">（2）委托代理人未能出具有效身份证明或者出具的身份证明与授权委托书中的信息不符的； </w:t>
      </w:r>
    </w:p>
    <w:p w14:paraId="071B0AEA">
      <w:pPr>
        <w:snapToGrid w:val="0"/>
        <w:spacing w:line="360" w:lineRule="auto"/>
        <w:ind w:firstLine="420" w:firstLineChars="200"/>
        <w:rPr>
          <w:rFonts w:ascii="宋体" w:hAnsi="宋体"/>
          <w:bCs/>
          <w:color w:val="auto"/>
          <w:szCs w:val="21"/>
        </w:rPr>
      </w:pPr>
      <w:r>
        <w:rPr>
          <w:rFonts w:hint="eastAsia" w:ascii="宋体" w:hAnsi="宋体"/>
          <w:bCs/>
          <w:color w:val="auto"/>
          <w:szCs w:val="21"/>
        </w:rPr>
        <w:t>（3）为无效投标保证金的或者未按照招标文件的规定提交投标保证金的；</w:t>
      </w:r>
    </w:p>
    <w:p w14:paraId="1F54BE08">
      <w:pPr>
        <w:snapToGrid w:val="0"/>
        <w:spacing w:line="360" w:lineRule="auto"/>
        <w:ind w:firstLine="420" w:firstLineChars="200"/>
        <w:rPr>
          <w:rFonts w:ascii="宋体" w:hAnsi="宋体"/>
          <w:bCs/>
          <w:color w:val="auto"/>
          <w:szCs w:val="21"/>
        </w:rPr>
      </w:pPr>
      <w:r>
        <w:rPr>
          <w:rFonts w:hint="eastAsia" w:ascii="宋体" w:hAnsi="宋体"/>
          <w:bCs/>
          <w:color w:val="auto"/>
          <w:szCs w:val="21"/>
        </w:rPr>
        <w:t>（4）投标文件未提供“投标人须知前附表”第13.</w:t>
      </w:r>
      <w:r>
        <w:rPr>
          <w:rFonts w:ascii="宋体" w:hAnsi="宋体"/>
          <w:bCs/>
          <w:color w:val="auto"/>
          <w:szCs w:val="21"/>
        </w:rPr>
        <w:t>1</w:t>
      </w:r>
      <w:r>
        <w:rPr>
          <w:rFonts w:hint="eastAsia" w:ascii="宋体" w:hAnsi="宋体"/>
          <w:bCs/>
          <w:color w:val="auto"/>
          <w:szCs w:val="21"/>
        </w:rPr>
        <w:t>条规定中“必须提供”或者“委托时必须提供”的文件资料的；</w:t>
      </w:r>
    </w:p>
    <w:p w14:paraId="4970B449">
      <w:pPr>
        <w:snapToGrid w:val="0"/>
        <w:spacing w:line="360" w:lineRule="auto"/>
        <w:ind w:firstLine="420" w:firstLineChars="200"/>
        <w:rPr>
          <w:rFonts w:ascii="宋体" w:hAnsi="宋体"/>
          <w:bCs/>
          <w:color w:val="auto"/>
          <w:szCs w:val="21"/>
        </w:rPr>
      </w:pPr>
      <w:r>
        <w:rPr>
          <w:rFonts w:hint="eastAsia" w:ascii="宋体" w:hAnsi="宋体"/>
          <w:bCs/>
          <w:color w:val="auto"/>
          <w:szCs w:val="21"/>
        </w:rPr>
        <w:t>（5）投标有效期、项目完成时间（交货时间、服务完成时间或者服务期等）、质保期、售后服务等招标文件中标“★”的商务条款发生负偏离的；</w:t>
      </w:r>
    </w:p>
    <w:p w14:paraId="383CA06E">
      <w:pPr>
        <w:snapToGrid w:val="0"/>
        <w:spacing w:line="360" w:lineRule="auto"/>
        <w:ind w:firstLine="420" w:firstLineChars="200"/>
        <w:rPr>
          <w:rFonts w:ascii="宋体" w:hAnsi="宋体"/>
          <w:bCs/>
          <w:color w:val="auto"/>
          <w:szCs w:val="21"/>
        </w:rPr>
      </w:pPr>
      <w:r>
        <w:rPr>
          <w:rFonts w:hint="eastAsia" w:ascii="宋体" w:hAnsi="宋体"/>
          <w:bCs/>
          <w:color w:val="auto"/>
          <w:szCs w:val="21"/>
        </w:rPr>
        <w:t>（6）商务条款评审允许负偏离的条款数超过“投标人须知前附表”规定项数的。</w:t>
      </w:r>
    </w:p>
    <w:p w14:paraId="0F9FCA4D">
      <w:pPr>
        <w:snapToGrid w:val="0"/>
        <w:spacing w:line="360" w:lineRule="auto"/>
        <w:ind w:firstLine="420" w:firstLineChars="200"/>
        <w:rPr>
          <w:rFonts w:ascii="宋体" w:hAnsi="宋体"/>
          <w:bCs/>
          <w:color w:val="auto"/>
          <w:szCs w:val="21"/>
        </w:rPr>
      </w:pPr>
      <w:r>
        <w:rPr>
          <w:rFonts w:hint="eastAsia" w:ascii="宋体" w:hAnsi="宋体"/>
          <w:bCs/>
          <w:color w:val="auto"/>
          <w:szCs w:val="21"/>
        </w:rPr>
        <w:t>（7）投标文件的实质性内容未使用中文表述、使用计量单位不符合招标文件要求的；</w:t>
      </w:r>
    </w:p>
    <w:p w14:paraId="4BF887A4">
      <w:pPr>
        <w:snapToGrid w:val="0"/>
        <w:spacing w:line="360" w:lineRule="auto"/>
        <w:ind w:firstLine="420" w:firstLineChars="200"/>
        <w:rPr>
          <w:rFonts w:ascii="宋体" w:hAnsi="宋体"/>
          <w:bCs/>
          <w:color w:val="auto"/>
          <w:szCs w:val="21"/>
        </w:rPr>
      </w:pPr>
      <w:r>
        <w:rPr>
          <w:rFonts w:hint="eastAsia" w:ascii="宋体" w:hAnsi="宋体"/>
          <w:bCs/>
          <w:color w:val="auto"/>
          <w:szCs w:val="21"/>
        </w:rPr>
        <w:t>（8）投标文件中的文件资料因填写不齐全或者内容虚假或者出现其他情形而导致被评标委员会认定无效的；</w:t>
      </w:r>
    </w:p>
    <w:p w14:paraId="10512C26">
      <w:pPr>
        <w:snapToGrid w:val="0"/>
        <w:spacing w:line="360" w:lineRule="auto"/>
        <w:ind w:firstLine="420" w:firstLineChars="200"/>
        <w:rPr>
          <w:rFonts w:ascii="宋体" w:hAnsi="宋体"/>
          <w:bCs/>
          <w:color w:val="auto"/>
          <w:szCs w:val="21"/>
        </w:rPr>
      </w:pPr>
      <w:r>
        <w:rPr>
          <w:rFonts w:hint="eastAsia" w:ascii="宋体" w:hAnsi="宋体"/>
          <w:bCs/>
          <w:color w:val="auto"/>
          <w:szCs w:val="21"/>
        </w:rPr>
        <w:t>（9）投标文件含有采购人不能接受的附加条件的；</w:t>
      </w:r>
    </w:p>
    <w:p w14:paraId="14EE9595">
      <w:pPr>
        <w:snapToGrid w:val="0"/>
        <w:spacing w:line="360" w:lineRule="auto"/>
        <w:ind w:firstLine="420" w:firstLineChars="200"/>
        <w:rPr>
          <w:rFonts w:ascii="宋体" w:hAnsi="宋体"/>
          <w:bCs/>
          <w:color w:val="auto"/>
          <w:szCs w:val="21"/>
        </w:rPr>
      </w:pPr>
      <w:r>
        <w:rPr>
          <w:rFonts w:hint="eastAsia" w:ascii="宋体" w:hAnsi="宋体"/>
          <w:bCs/>
          <w:color w:val="auto"/>
          <w:szCs w:val="21"/>
        </w:rPr>
        <w:t>（10）未响应招标文件实质性要求的；</w:t>
      </w:r>
    </w:p>
    <w:p w14:paraId="01183317">
      <w:pPr>
        <w:snapToGrid w:val="0"/>
        <w:spacing w:line="360" w:lineRule="auto"/>
        <w:ind w:firstLine="420" w:firstLineChars="200"/>
        <w:rPr>
          <w:rFonts w:ascii="宋体" w:hAnsi="宋体"/>
          <w:bCs/>
          <w:color w:val="auto"/>
          <w:szCs w:val="21"/>
        </w:rPr>
      </w:pPr>
      <w:r>
        <w:rPr>
          <w:rFonts w:hint="eastAsia" w:ascii="宋体" w:hAnsi="宋体"/>
          <w:bCs/>
          <w:color w:val="auto"/>
          <w:szCs w:val="21"/>
        </w:rPr>
        <w:t>（11）属于投标人须知正文第</w:t>
      </w:r>
      <w:r>
        <w:rPr>
          <w:rFonts w:ascii="宋体" w:hAnsi="宋体"/>
          <w:bCs/>
          <w:color w:val="auto"/>
          <w:szCs w:val="21"/>
        </w:rPr>
        <w:t>9.2</w:t>
      </w:r>
      <w:r>
        <w:rPr>
          <w:rFonts w:hint="eastAsia" w:ascii="宋体" w:hAnsi="宋体"/>
          <w:bCs/>
          <w:color w:val="auto"/>
          <w:szCs w:val="21"/>
        </w:rPr>
        <w:t>条情形的；</w:t>
      </w:r>
    </w:p>
    <w:p w14:paraId="6865D893">
      <w:pPr>
        <w:snapToGrid w:val="0"/>
        <w:spacing w:line="360" w:lineRule="auto"/>
        <w:ind w:firstLine="420" w:firstLineChars="200"/>
        <w:rPr>
          <w:rFonts w:ascii="宋体" w:hAnsi="宋体"/>
          <w:bCs/>
          <w:color w:val="auto"/>
          <w:szCs w:val="21"/>
        </w:rPr>
      </w:pPr>
      <w:r>
        <w:rPr>
          <w:rFonts w:hint="eastAsia" w:ascii="宋体" w:hAnsi="宋体"/>
          <w:bCs/>
          <w:color w:val="auto"/>
          <w:szCs w:val="21"/>
        </w:rPr>
        <w:t>（12）法律、法规和招标文件规定的其他无效情形。</w:t>
      </w:r>
    </w:p>
    <w:p w14:paraId="165A6C04">
      <w:pPr>
        <w:pStyle w:val="6"/>
        <w:keepNext w:val="0"/>
        <w:keepLines w:val="0"/>
        <w:spacing w:before="0" w:after="0" w:line="360" w:lineRule="auto"/>
        <w:ind w:left="420" w:leftChars="200"/>
        <w:rPr>
          <w:rFonts w:ascii="宋体" w:hAnsi="宋体"/>
          <w:color w:val="auto"/>
          <w:sz w:val="21"/>
          <w:szCs w:val="21"/>
        </w:rPr>
      </w:pPr>
      <w:r>
        <w:rPr>
          <w:rFonts w:hint="eastAsia" w:ascii="宋体" w:hAnsi="宋体"/>
          <w:color w:val="auto"/>
          <w:sz w:val="21"/>
          <w:szCs w:val="21"/>
        </w:rPr>
        <w:t>2.3在技术评审时，如发现下列情形之一的，将被视为投标无效：</w:t>
      </w:r>
    </w:p>
    <w:p w14:paraId="4D3C5CCF">
      <w:pPr>
        <w:pStyle w:val="13"/>
        <w:snapToGrid w:val="0"/>
        <w:spacing w:line="360" w:lineRule="auto"/>
        <w:ind w:firstLine="411" w:firstLineChars="196"/>
        <w:rPr>
          <w:rFonts w:ascii="宋体" w:hAnsi="宋体" w:eastAsia="宋体"/>
          <w:bCs/>
          <w:color w:val="auto"/>
          <w:kern w:val="2"/>
          <w:sz w:val="21"/>
          <w:szCs w:val="21"/>
        </w:rPr>
      </w:pPr>
      <w:r>
        <w:rPr>
          <w:rFonts w:hint="eastAsia" w:ascii="宋体" w:hAnsi="宋体" w:eastAsia="宋体"/>
          <w:bCs/>
          <w:color w:val="auto"/>
          <w:kern w:val="2"/>
          <w:sz w:val="21"/>
          <w:szCs w:val="21"/>
        </w:rPr>
        <w:t>（1）明显不满足招标文件要求的技术规格、安全、质量标准，或者与招标文件中标“★”的技术需求发生负偏离的；</w:t>
      </w:r>
    </w:p>
    <w:p w14:paraId="0321ECB9">
      <w:pPr>
        <w:pStyle w:val="13"/>
        <w:snapToGrid w:val="0"/>
        <w:spacing w:line="360" w:lineRule="auto"/>
        <w:ind w:firstLine="411" w:firstLineChars="196"/>
        <w:rPr>
          <w:rFonts w:ascii="宋体" w:hAnsi="宋体" w:eastAsia="宋体"/>
          <w:bCs/>
          <w:color w:val="auto"/>
          <w:kern w:val="2"/>
          <w:sz w:val="21"/>
          <w:szCs w:val="21"/>
        </w:rPr>
      </w:pPr>
      <w:r>
        <w:rPr>
          <w:rFonts w:hint="eastAsia" w:ascii="宋体" w:hAnsi="宋体" w:eastAsia="宋体"/>
          <w:bCs/>
          <w:color w:val="auto"/>
          <w:kern w:val="2"/>
          <w:sz w:val="21"/>
          <w:szCs w:val="21"/>
        </w:rPr>
        <w:t>（2）技术需求评审允许负偏离的条款数超过“投标人须知前附表”规定项数的；</w:t>
      </w:r>
    </w:p>
    <w:p w14:paraId="7F6220A3">
      <w:pPr>
        <w:pStyle w:val="13"/>
        <w:snapToGrid w:val="0"/>
        <w:spacing w:line="360" w:lineRule="auto"/>
        <w:ind w:firstLine="411" w:firstLineChars="196"/>
        <w:rPr>
          <w:rFonts w:ascii="宋体" w:hAnsi="宋体" w:eastAsia="宋体"/>
          <w:bCs/>
          <w:color w:val="auto"/>
          <w:kern w:val="2"/>
          <w:sz w:val="21"/>
          <w:szCs w:val="21"/>
        </w:rPr>
      </w:pPr>
      <w:r>
        <w:rPr>
          <w:rFonts w:hint="eastAsia" w:ascii="宋体" w:hAnsi="宋体" w:eastAsia="宋体"/>
          <w:bCs/>
          <w:color w:val="auto"/>
          <w:kern w:val="2"/>
          <w:sz w:val="21"/>
          <w:szCs w:val="21"/>
        </w:rPr>
        <w:t>（3）投标文件未提供“投标人须知前附表”第13.</w:t>
      </w:r>
      <w:r>
        <w:rPr>
          <w:rFonts w:ascii="宋体" w:hAnsi="宋体" w:eastAsia="宋体"/>
          <w:bCs/>
          <w:color w:val="auto"/>
          <w:kern w:val="2"/>
          <w:sz w:val="21"/>
          <w:szCs w:val="21"/>
        </w:rPr>
        <w:t>1</w:t>
      </w:r>
      <w:r>
        <w:rPr>
          <w:rFonts w:hint="eastAsia" w:ascii="宋体" w:hAnsi="宋体" w:eastAsia="宋体"/>
          <w:bCs/>
          <w:color w:val="auto"/>
          <w:kern w:val="2"/>
          <w:sz w:val="21"/>
          <w:szCs w:val="21"/>
        </w:rPr>
        <w:t>条规定中“必须提供”的文件资料的；</w:t>
      </w:r>
    </w:p>
    <w:p w14:paraId="70634B31">
      <w:pPr>
        <w:pStyle w:val="13"/>
        <w:snapToGrid w:val="0"/>
        <w:spacing w:line="360" w:lineRule="auto"/>
        <w:ind w:firstLine="411" w:firstLineChars="196"/>
        <w:rPr>
          <w:rFonts w:ascii="宋体" w:hAnsi="宋体" w:eastAsia="宋体"/>
          <w:bCs/>
          <w:color w:val="auto"/>
          <w:kern w:val="2"/>
          <w:sz w:val="21"/>
          <w:szCs w:val="21"/>
        </w:rPr>
      </w:pPr>
      <w:r>
        <w:rPr>
          <w:rFonts w:hint="eastAsia" w:ascii="宋体" w:hAnsi="宋体" w:eastAsia="宋体"/>
          <w:bCs/>
          <w:color w:val="auto"/>
          <w:kern w:val="2"/>
          <w:sz w:val="21"/>
          <w:szCs w:val="21"/>
        </w:rPr>
        <w:t>（4）虚假投标，或者出现其他情形而导致被评标委员会认定无效的；</w:t>
      </w:r>
    </w:p>
    <w:p w14:paraId="736E483B">
      <w:pPr>
        <w:pStyle w:val="13"/>
        <w:snapToGrid w:val="0"/>
        <w:spacing w:line="360" w:lineRule="auto"/>
        <w:ind w:firstLine="411" w:firstLineChars="196"/>
        <w:rPr>
          <w:rFonts w:ascii="宋体" w:hAnsi="宋体" w:eastAsia="宋体"/>
          <w:bCs/>
          <w:color w:val="auto"/>
          <w:sz w:val="21"/>
          <w:szCs w:val="21"/>
        </w:rPr>
      </w:pPr>
      <w:r>
        <w:rPr>
          <w:rFonts w:hint="eastAsia" w:ascii="宋体" w:hAnsi="宋体" w:eastAsia="宋体"/>
          <w:bCs/>
          <w:color w:val="auto"/>
          <w:kern w:val="2"/>
          <w:sz w:val="21"/>
          <w:szCs w:val="21"/>
        </w:rPr>
        <w:t>（5）投标技术方案不明确，招标文件未允许但存在一个或者一个以上备选（替代）投标方案的。</w:t>
      </w:r>
    </w:p>
    <w:p w14:paraId="4C9AA1F0">
      <w:pPr>
        <w:pStyle w:val="6"/>
        <w:keepNext w:val="0"/>
        <w:keepLines w:val="0"/>
        <w:spacing w:before="0" w:after="0" w:line="360" w:lineRule="auto"/>
        <w:ind w:left="420" w:leftChars="200"/>
        <w:rPr>
          <w:rFonts w:ascii="宋体" w:hAnsi="宋体"/>
          <w:color w:val="auto"/>
          <w:sz w:val="21"/>
          <w:szCs w:val="21"/>
        </w:rPr>
      </w:pPr>
      <w:r>
        <w:rPr>
          <w:rFonts w:hint="eastAsia" w:ascii="宋体" w:hAnsi="宋体"/>
          <w:color w:val="auto"/>
          <w:sz w:val="21"/>
          <w:szCs w:val="21"/>
        </w:rPr>
        <w:t>3</w:t>
      </w:r>
      <w:r>
        <w:rPr>
          <w:rFonts w:ascii="宋体" w:hAnsi="宋体"/>
          <w:color w:val="auto"/>
          <w:sz w:val="21"/>
          <w:szCs w:val="21"/>
        </w:rPr>
        <w:t>.</w:t>
      </w:r>
      <w:r>
        <w:rPr>
          <w:rFonts w:hint="eastAsia" w:ascii="宋体" w:hAnsi="宋体"/>
          <w:color w:val="auto"/>
          <w:sz w:val="21"/>
          <w:szCs w:val="21"/>
        </w:rPr>
        <w:t>澄清补正</w:t>
      </w:r>
    </w:p>
    <w:p w14:paraId="508885E4">
      <w:pPr>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p>
    <w:p w14:paraId="3749D7C2">
      <w:pPr>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7AED1B6B">
      <w:pPr>
        <w:snapToGrid w:val="0"/>
        <w:spacing w:line="360" w:lineRule="auto"/>
        <w:ind w:firstLine="420" w:firstLineChars="200"/>
        <w:rPr>
          <w:rFonts w:ascii="宋体" w:hAnsi="宋体" w:cs="Courier New"/>
          <w:color w:val="auto"/>
          <w:szCs w:val="21"/>
        </w:rPr>
      </w:pPr>
      <w:r>
        <w:rPr>
          <w:rFonts w:hint="eastAsia" w:ascii="宋体" w:hAnsi="宋体" w:cs="Courier New"/>
          <w:color w:val="auto"/>
          <w:szCs w:val="21"/>
        </w:rPr>
        <w:t>未按评标委员会的要求作出明确澄清、说明或者更正的投标人的投标文件将按照有利于采购人的原则由评标委员会进行判定。</w:t>
      </w:r>
    </w:p>
    <w:p w14:paraId="1351D7FC">
      <w:pPr>
        <w:pStyle w:val="6"/>
        <w:keepNext w:val="0"/>
        <w:keepLines w:val="0"/>
        <w:spacing w:before="0" w:after="0" w:line="360" w:lineRule="auto"/>
        <w:ind w:left="420" w:leftChars="200"/>
        <w:rPr>
          <w:rFonts w:ascii="宋体" w:hAnsi="宋体"/>
          <w:color w:val="auto"/>
          <w:sz w:val="21"/>
          <w:szCs w:val="21"/>
        </w:rPr>
      </w:pPr>
      <w:r>
        <w:rPr>
          <w:rFonts w:ascii="宋体" w:hAnsi="宋体"/>
          <w:color w:val="auto"/>
          <w:sz w:val="21"/>
          <w:szCs w:val="21"/>
        </w:rPr>
        <w:t>4.</w:t>
      </w:r>
      <w:r>
        <w:rPr>
          <w:rFonts w:hint="eastAsia" w:ascii="宋体" w:hAnsi="宋体"/>
          <w:color w:val="auto"/>
          <w:sz w:val="21"/>
          <w:szCs w:val="21"/>
        </w:rPr>
        <w:t>投标文件修正</w:t>
      </w:r>
    </w:p>
    <w:p w14:paraId="45DCD35B">
      <w:pPr>
        <w:pStyle w:val="6"/>
        <w:keepNext w:val="0"/>
        <w:keepLines w:val="0"/>
        <w:spacing w:before="0" w:after="0" w:line="360" w:lineRule="auto"/>
        <w:ind w:left="420" w:leftChars="200"/>
        <w:rPr>
          <w:rFonts w:ascii="宋体" w:hAnsi="宋体"/>
          <w:b w:val="0"/>
          <w:color w:val="auto"/>
          <w:sz w:val="21"/>
          <w:szCs w:val="21"/>
        </w:rPr>
      </w:pPr>
      <w:r>
        <w:rPr>
          <w:rFonts w:ascii="宋体" w:hAnsi="宋体"/>
          <w:b w:val="0"/>
          <w:color w:val="auto"/>
          <w:sz w:val="21"/>
          <w:szCs w:val="21"/>
        </w:rPr>
        <w:t>4</w:t>
      </w:r>
      <w:r>
        <w:rPr>
          <w:rFonts w:hint="eastAsia" w:ascii="宋体" w:hAnsi="宋体"/>
          <w:b w:val="0"/>
          <w:color w:val="auto"/>
          <w:sz w:val="21"/>
          <w:szCs w:val="21"/>
        </w:rPr>
        <w:t xml:space="preserve">.1投标文件报价出现前后不一致的，按照下列规定修正： </w:t>
      </w:r>
    </w:p>
    <w:p w14:paraId="42C55C93">
      <w:pPr>
        <w:pStyle w:val="14"/>
        <w:snapToGrid w:val="0"/>
        <w:spacing w:line="360" w:lineRule="auto"/>
        <w:ind w:firstLine="420" w:firstLineChars="200"/>
        <w:rPr>
          <w:rFonts w:hAnsi="宋体"/>
          <w:color w:val="auto"/>
          <w:sz w:val="21"/>
        </w:rPr>
      </w:pPr>
      <w:r>
        <w:rPr>
          <w:rFonts w:hint="eastAsia" w:hAnsi="宋体"/>
          <w:color w:val="auto"/>
          <w:sz w:val="21"/>
        </w:rPr>
        <w:t>（1）投标文件中开标一览表（报价表）内容与投标文件中相应内容不一致的，以开标一览表（报价表）为准；</w:t>
      </w:r>
    </w:p>
    <w:p w14:paraId="3AD564AA">
      <w:pPr>
        <w:pStyle w:val="14"/>
        <w:snapToGrid w:val="0"/>
        <w:spacing w:line="360" w:lineRule="auto"/>
        <w:ind w:firstLine="420" w:firstLineChars="200"/>
        <w:rPr>
          <w:rFonts w:hAnsi="宋体"/>
          <w:color w:val="auto"/>
          <w:sz w:val="21"/>
        </w:rPr>
      </w:pPr>
      <w:r>
        <w:rPr>
          <w:rFonts w:hint="eastAsia" w:hAnsi="宋体"/>
          <w:color w:val="auto"/>
          <w:sz w:val="21"/>
        </w:rPr>
        <w:t>（2）大写金额和小写金额不一致的，以大写金额为准；</w:t>
      </w:r>
    </w:p>
    <w:p w14:paraId="5203EEAE">
      <w:pPr>
        <w:pStyle w:val="14"/>
        <w:snapToGrid w:val="0"/>
        <w:spacing w:line="360" w:lineRule="auto"/>
        <w:ind w:firstLine="420" w:firstLineChars="200"/>
        <w:rPr>
          <w:rFonts w:hAnsi="宋体"/>
          <w:color w:val="auto"/>
          <w:sz w:val="21"/>
        </w:rPr>
      </w:pPr>
      <w:r>
        <w:rPr>
          <w:rFonts w:hint="eastAsia" w:hAnsi="宋体"/>
          <w:color w:val="auto"/>
          <w:sz w:val="21"/>
        </w:rPr>
        <w:t>（3）单价金额小数点或者百分比有明显错位的，以开标一览表的总价为准，并修改单价；</w:t>
      </w:r>
    </w:p>
    <w:p w14:paraId="1BACF700">
      <w:pPr>
        <w:pStyle w:val="14"/>
        <w:snapToGrid w:val="0"/>
        <w:spacing w:line="360" w:lineRule="auto"/>
        <w:ind w:firstLine="420" w:firstLineChars="200"/>
        <w:rPr>
          <w:rFonts w:hAnsi="宋体"/>
          <w:color w:val="auto"/>
          <w:sz w:val="21"/>
        </w:rPr>
      </w:pPr>
      <w:r>
        <w:rPr>
          <w:rFonts w:hint="eastAsia" w:hAnsi="宋体"/>
          <w:color w:val="auto"/>
          <w:sz w:val="21"/>
        </w:rPr>
        <w:t>（4）总价金额与按单价汇总金额不一致的，以单价金额计算结果为准。</w:t>
      </w:r>
    </w:p>
    <w:p w14:paraId="05DED353">
      <w:pPr>
        <w:pStyle w:val="14"/>
        <w:snapToGrid w:val="0"/>
        <w:spacing w:line="360" w:lineRule="auto"/>
        <w:ind w:firstLine="420" w:firstLineChars="200"/>
        <w:rPr>
          <w:rFonts w:hAnsi="宋体"/>
          <w:color w:val="auto"/>
          <w:sz w:val="21"/>
        </w:rPr>
      </w:pPr>
      <w:r>
        <w:rPr>
          <w:rFonts w:hint="eastAsia" w:hAnsi="宋体"/>
          <w:color w:val="auto"/>
          <w:sz w:val="21"/>
        </w:rPr>
        <w:t>同时出现两种以上不一致的，按照以上（1）-（4）规定的顺序修正。修正后的报价经投标人确认后产生约束力，投标人不确认的，</w:t>
      </w:r>
      <w:r>
        <w:rPr>
          <w:rFonts w:hint="eastAsia" w:hAnsi="宋体"/>
          <w:b/>
          <w:color w:val="auto"/>
          <w:kern w:val="2"/>
          <w:sz w:val="21"/>
        </w:rPr>
        <w:t>其投标无效</w:t>
      </w:r>
      <w:r>
        <w:rPr>
          <w:rFonts w:hint="eastAsia" w:hAnsi="宋体"/>
          <w:color w:val="auto"/>
          <w:sz w:val="21"/>
        </w:rPr>
        <w:t>。</w:t>
      </w:r>
    </w:p>
    <w:p w14:paraId="02F46199">
      <w:pPr>
        <w:pStyle w:val="6"/>
        <w:keepNext w:val="0"/>
        <w:keepLines w:val="0"/>
        <w:spacing w:before="0" w:after="0" w:line="360" w:lineRule="auto"/>
        <w:rPr>
          <w:rFonts w:ascii="宋体" w:hAnsi="宋体"/>
          <w:b w:val="0"/>
          <w:color w:val="auto"/>
          <w:sz w:val="21"/>
          <w:szCs w:val="21"/>
        </w:rPr>
      </w:pPr>
      <w:r>
        <w:rPr>
          <w:rFonts w:ascii="宋体" w:hAnsi="宋体"/>
          <w:b w:val="0"/>
          <w:color w:val="auto"/>
          <w:sz w:val="21"/>
          <w:szCs w:val="21"/>
        </w:rPr>
        <w:t xml:space="preserve">    4</w:t>
      </w:r>
      <w:r>
        <w:rPr>
          <w:rFonts w:hint="eastAsia" w:ascii="宋体" w:hAnsi="宋体"/>
          <w:b w:val="0"/>
          <w:color w:val="auto"/>
          <w:sz w:val="21"/>
          <w:szCs w:val="21"/>
        </w:rPr>
        <w:t>.2</w:t>
      </w:r>
      <w:r>
        <w:rPr>
          <w:rFonts w:hint="eastAsia" w:ascii="宋体" w:hAnsi="宋体"/>
          <w:b w:val="0"/>
          <w:color w:val="auto"/>
          <w:spacing w:val="-6"/>
          <w:sz w:val="21"/>
          <w:szCs w:val="21"/>
        </w:rPr>
        <w:t>经投标人确认修正后的报价若超过采购预算金额或者最高限价，</w:t>
      </w:r>
      <w:r>
        <w:rPr>
          <w:rFonts w:hint="eastAsia" w:ascii="宋体" w:hAnsi="宋体"/>
          <w:color w:val="auto"/>
          <w:spacing w:val="-6"/>
          <w:sz w:val="21"/>
          <w:szCs w:val="21"/>
        </w:rPr>
        <w:t>投标人的投标文件作无效投标处理</w:t>
      </w:r>
      <w:r>
        <w:rPr>
          <w:rFonts w:hint="eastAsia" w:ascii="宋体" w:hAnsi="宋体"/>
          <w:b w:val="0"/>
          <w:color w:val="auto"/>
          <w:spacing w:val="-6"/>
          <w:sz w:val="21"/>
          <w:szCs w:val="21"/>
        </w:rPr>
        <w:t>。</w:t>
      </w:r>
    </w:p>
    <w:p w14:paraId="19EEF240">
      <w:pPr>
        <w:snapToGrid w:val="0"/>
        <w:spacing w:line="360" w:lineRule="auto"/>
        <w:ind w:firstLine="422" w:firstLineChars="200"/>
        <w:rPr>
          <w:rFonts w:ascii="宋体" w:hAnsi="宋体"/>
          <w:color w:val="auto"/>
          <w:szCs w:val="21"/>
        </w:rPr>
      </w:pPr>
      <w:r>
        <w:rPr>
          <w:rFonts w:ascii="宋体" w:hAnsi="宋体"/>
          <w:b/>
          <w:color w:val="auto"/>
          <w:szCs w:val="21"/>
        </w:rPr>
        <w:t>4</w:t>
      </w:r>
      <w:r>
        <w:rPr>
          <w:rFonts w:hint="eastAsia" w:ascii="宋体" w:hAnsi="宋体"/>
          <w:b/>
          <w:color w:val="auto"/>
          <w:szCs w:val="21"/>
        </w:rPr>
        <w:t>.3经投标人确认修正后的报价作为签订合同的依据，并以此报价计算价格分。</w:t>
      </w:r>
    </w:p>
    <w:p w14:paraId="32E7E758">
      <w:pPr>
        <w:pStyle w:val="6"/>
        <w:keepNext w:val="0"/>
        <w:keepLines w:val="0"/>
        <w:spacing w:before="0" w:after="0" w:line="360" w:lineRule="auto"/>
        <w:ind w:left="420" w:leftChars="200"/>
        <w:rPr>
          <w:rFonts w:ascii="宋体" w:hAnsi="宋体"/>
          <w:color w:val="auto"/>
          <w:sz w:val="21"/>
          <w:szCs w:val="21"/>
        </w:rPr>
      </w:pPr>
      <w:r>
        <w:rPr>
          <w:rFonts w:ascii="宋体" w:hAnsi="宋体"/>
          <w:color w:val="auto"/>
          <w:sz w:val="21"/>
          <w:szCs w:val="21"/>
        </w:rPr>
        <w:t>5.</w:t>
      </w:r>
      <w:r>
        <w:rPr>
          <w:rFonts w:hint="eastAsia" w:ascii="宋体" w:hAnsi="宋体"/>
          <w:color w:val="auto"/>
          <w:sz w:val="21"/>
          <w:szCs w:val="21"/>
        </w:rPr>
        <w:t>比较与评价</w:t>
      </w:r>
    </w:p>
    <w:p w14:paraId="421D405F">
      <w:pPr>
        <w:pStyle w:val="14"/>
        <w:snapToGrid w:val="0"/>
        <w:spacing w:line="360" w:lineRule="auto"/>
        <w:ind w:firstLine="420" w:firstLineChars="200"/>
        <w:rPr>
          <w:rFonts w:hAnsi="宋体"/>
          <w:color w:val="auto"/>
          <w:sz w:val="21"/>
        </w:rPr>
      </w:pPr>
      <w:r>
        <w:rPr>
          <w:rFonts w:hint="eastAsia" w:hAnsi="宋体"/>
          <w:color w:val="auto"/>
          <w:sz w:val="21"/>
        </w:rPr>
        <w:t>5.1采用综合评分法的</w:t>
      </w:r>
    </w:p>
    <w:p w14:paraId="5A47177A">
      <w:pPr>
        <w:pStyle w:val="14"/>
        <w:snapToGrid w:val="0"/>
        <w:spacing w:line="360" w:lineRule="auto"/>
        <w:ind w:firstLine="420" w:firstLineChars="200"/>
        <w:rPr>
          <w:rFonts w:hAnsi="宋体"/>
          <w:color w:val="auto"/>
          <w:sz w:val="21"/>
        </w:rPr>
      </w:pPr>
      <w:r>
        <w:rPr>
          <w:rFonts w:hint="eastAsia" w:hAnsi="宋体"/>
          <w:color w:val="auto"/>
          <w:sz w:val="21"/>
        </w:rPr>
        <w:t>（1）评标委员会按照招标文件中规定的评标方法及评标标准，对符合性审查合格的投标文件进行商务和技术评估，综合比较与评价。</w:t>
      </w:r>
    </w:p>
    <w:p w14:paraId="32AEA16C">
      <w:pPr>
        <w:pStyle w:val="14"/>
        <w:snapToGrid w:val="0"/>
        <w:spacing w:line="360" w:lineRule="auto"/>
        <w:ind w:firstLine="420" w:firstLineChars="200"/>
        <w:rPr>
          <w:rFonts w:hAnsi="宋体"/>
          <w:color w:val="auto"/>
          <w:sz w:val="21"/>
        </w:rPr>
      </w:pPr>
      <w:r>
        <w:rPr>
          <w:rFonts w:hint="eastAsia" w:hAnsi="宋体"/>
          <w:color w:val="auto"/>
          <w:sz w:val="21"/>
        </w:rPr>
        <w:t>（2）评标委员会独立对每个投标人的投标文件进行评价，并汇总每个投标人的得分。</w:t>
      </w:r>
    </w:p>
    <w:p w14:paraId="74DF898F">
      <w:pPr>
        <w:pStyle w:val="14"/>
        <w:snapToGrid w:val="0"/>
        <w:spacing w:line="360" w:lineRule="auto"/>
        <w:ind w:firstLine="420" w:firstLineChars="200"/>
        <w:rPr>
          <w:rFonts w:hAnsi="宋体"/>
          <w:b/>
          <w:bCs/>
          <w:color w:val="auto"/>
          <w:sz w:val="21"/>
        </w:rPr>
      </w:pPr>
      <w:r>
        <w:rPr>
          <w:rFonts w:hint="eastAsia" w:hAnsi="宋体"/>
          <w:color w:val="auto"/>
          <w:sz w:val="21"/>
        </w:rPr>
        <w:t>评标委员会认为投标人的报价明显低于其他通过符合性审查投标人的报价，有可能影响产品质量或者不能诚信履约的，应当要求其在评标现场合理的时间内提供书面说明，必要时提交相关证明材料；</w:t>
      </w:r>
      <w:r>
        <w:rPr>
          <w:rFonts w:hint="eastAsia" w:hAnsi="宋体"/>
          <w:b/>
          <w:bCs/>
          <w:color w:val="auto"/>
          <w:sz w:val="21"/>
        </w:rPr>
        <w:t>投标人不能证明其报价合理性的，评标委员会将其作为无效投标处理。</w:t>
      </w:r>
    </w:p>
    <w:p w14:paraId="28908864">
      <w:pPr>
        <w:pStyle w:val="14"/>
        <w:snapToGrid w:val="0"/>
        <w:spacing w:line="360" w:lineRule="auto"/>
        <w:ind w:firstLine="420" w:firstLineChars="200"/>
        <w:rPr>
          <w:rFonts w:hAnsi="宋体"/>
          <w:color w:val="auto"/>
          <w:sz w:val="21"/>
        </w:rPr>
      </w:pPr>
      <w:r>
        <w:rPr>
          <w:rFonts w:hint="eastAsia" w:hAnsi="宋体"/>
          <w:color w:val="auto"/>
          <w:sz w:val="21"/>
        </w:rPr>
        <w:t>（3）评标委员会按照招标文件中规定的评标方法和标准计算各投标人的报价得分。在计算过程中，不得去掉最高报价或者最低报价。</w:t>
      </w:r>
    </w:p>
    <w:p w14:paraId="1B221925">
      <w:pPr>
        <w:pStyle w:val="14"/>
        <w:snapToGrid w:val="0"/>
        <w:spacing w:line="360" w:lineRule="auto"/>
        <w:ind w:firstLine="420" w:firstLineChars="200"/>
        <w:rPr>
          <w:rFonts w:hAnsi="宋体"/>
          <w:color w:val="auto"/>
          <w:sz w:val="21"/>
        </w:rPr>
      </w:pPr>
      <w:r>
        <w:rPr>
          <w:rFonts w:hint="eastAsia" w:hAnsi="宋体"/>
          <w:color w:val="auto"/>
          <w:sz w:val="21"/>
        </w:rPr>
        <w:t>（4）各投标人的得分为所有评委的有效评分的算术平均数。</w:t>
      </w:r>
    </w:p>
    <w:p w14:paraId="241D187C">
      <w:pPr>
        <w:pStyle w:val="14"/>
        <w:snapToGrid w:val="0"/>
        <w:spacing w:line="360" w:lineRule="auto"/>
        <w:ind w:firstLine="420" w:firstLineChars="200"/>
        <w:rPr>
          <w:rFonts w:hAnsi="宋体"/>
          <w:color w:val="auto"/>
          <w:sz w:val="21"/>
        </w:rPr>
      </w:pPr>
      <w:r>
        <w:rPr>
          <w:rFonts w:hint="eastAsia" w:hAnsi="宋体"/>
          <w:color w:val="auto"/>
          <w:sz w:val="21"/>
        </w:rPr>
        <w:t>（5）评标委员会按照招标文件中的规定推荐中标候选人。</w:t>
      </w:r>
    </w:p>
    <w:p w14:paraId="7EA7389E">
      <w:pPr>
        <w:pStyle w:val="14"/>
        <w:snapToGrid w:val="0"/>
        <w:spacing w:line="360" w:lineRule="auto"/>
        <w:ind w:firstLine="420" w:firstLineChars="200"/>
        <w:rPr>
          <w:rFonts w:hAnsi="宋体"/>
          <w:color w:val="auto"/>
          <w:sz w:val="21"/>
        </w:rPr>
      </w:pPr>
      <w:r>
        <w:rPr>
          <w:rFonts w:hint="eastAsia" w:hAnsi="宋体"/>
          <w:color w:val="auto"/>
          <w:sz w:val="21"/>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6585DEB5">
      <w:pPr>
        <w:spacing w:line="360" w:lineRule="auto"/>
        <w:ind w:firstLine="422" w:firstLineChars="200"/>
        <w:rPr>
          <w:rFonts w:ascii="宋体" w:hAnsi="宋体"/>
          <w:b/>
          <w:color w:val="auto"/>
          <w:szCs w:val="21"/>
        </w:rPr>
      </w:pPr>
      <w:r>
        <w:rPr>
          <w:rFonts w:hint="eastAsia" w:ascii="宋体" w:hAnsi="宋体"/>
          <w:b/>
          <w:color w:val="auto"/>
          <w:szCs w:val="21"/>
        </w:rPr>
        <w:t>6.评审复核</w:t>
      </w:r>
    </w:p>
    <w:p w14:paraId="6F081D22">
      <w:pPr>
        <w:pStyle w:val="14"/>
        <w:snapToGrid w:val="0"/>
        <w:spacing w:line="360" w:lineRule="auto"/>
        <w:ind w:firstLine="420" w:firstLineChars="200"/>
        <w:rPr>
          <w:rFonts w:hAnsi="宋体"/>
          <w:color w:val="auto"/>
          <w:sz w:val="21"/>
        </w:rPr>
      </w:pPr>
      <w:r>
        <w:rPr>
          <w:rFonts w:hint="eastAsia" w:hAnsi="宋体"/>
          <w:color w:val="auto"/>
          <w:sz w:val="21"/>
        </w:rPr>
        <w:t>6.1评标报告签署前，评标委员会要对评审结果进行复核，复核意见要体现在评标报告中。</w:t>
      </w:r>
    </w:p>
    <w:p w14:paraId="58DC11CB">
      <w:pPr>
        <w:pStyle w:val="14"/>
        <w:snapToGrid w:val="0"/>
        <w:spacing w:line="360" w:lineRule="auto"/>
        <w:ind w:firstLine="420" w:firstLineChars="200"/>
        <w:rPr>
          <w:rFonts w:hAnsi="宋体"/>
          <w:color w:val="auto"/>
          <w:sz w:val="21"/>
        </w:rPr>
      </w:pPr>
      <w:r>
        <w:rPr>
          <w:rFonts w:hint="eastAsia" w:hAnsi="宋体"/>
          <w:color w:val="auto"/>
          <w:sz w:val="21"/>
        </w:rPr>
        <w:t>6.2评标结果汇总完成后，除下列情形外，任何人不得修改评标结果：</w:t>
      </w:r>
    </w:p>
    <w:p w14:paraId="723E8335">
      <w:pPr>
        <w:pStyle w:val="14"/>
        <w:snapToGrid w:val="0"/>
        <w:spacing w:line="360" w:lineRule="auto"/>
        <w:ind w:firstLine="420" w:firstLineChars="200"/>
        <w:rPr>
          <w:rFonts w:hAnsi="宋体"/>
          <w:color w:val="auto"/>
          <w:sz w:val="21"/>
        </w:rPr>
      </w:pPr>
      <w:r>
        <w:rPr>
          <w:rFonts w:hint="eastAsia" w:hAnsi="宋体"/>
          <w:color w:val="auto"/>
          <w:sz w:val="21"/>
        </w:rPr>
        <w:t>（一）分值汇总计算错误的；</w:t>
      </w:r>
    </w:p>
    <w:p w14:paraId="63D4938A">
      <w:pPr>
        <w:pStyle w:val="14"/>
        <w:snapToGrid w:val="0"/>
        <w:spacing w:line="360" w:lineRule="auto"/>
        <w:ind w:firstLine="420" w:firstLineChars="200"/>
        <w:rPr>
          <w:rFonts w:hAnsi="宋体"/>
          <w:color w:val="auto"/>
          <w:sz w:val="21"/>
        </w:rPr>
      </w:pPr>
      <w:r>
        <w:rPr>
          <w:rFonts w:hint="eastAsia" w:hAnsi="宋体"/>
          <w:color w:val="auto"/>
          <w:sz w:val="21"/>
        </w:rPr>
        <w:t>（二）分项评分超出评分标准范围的；</w:t>
      </w:r>
    </w:p>
    <w:p w14:paraId="4532D7B0">
      <w:pPr>
        <w:pStyle w:val="14"/>
        <w:snapToGrid w:val="0"/>
        <w:spacing w:line="360" w:lineRule="auto"/>
        <w:ind w:firstLine="420" w:firstLineChars="200"/>
        <w:rPr>
          <w:rFonts w:hAnsi="宋体"/>
          <w:color w:val="auto"/>
          <w:sz w:val="21"/>
        </w:rPr>
      </w:pPr>
      <w:r>
        <w:rPr>
          <w:rFonts w:hint="eastAsia" w:hAnsi="宋体"/>
          <w:color w:val="auto"/>
          <w:sz w:val="21"/>
        </w:rPr>
        <w:t>（三）评标委员会成员对客观评审因素评分不一致的；</w:t>
      </w:r>
    </w:p>
    <w:p w14:paraId="2B47BF05">
      <w:pPr>
        <w:pStyle w:val="14"/>
        <w:snapToGrid w:val="0"/>
        <w:spacing w:line="360" w:lineRule="auto"/>
        <w:ind w:firstLine="420" w:firstLineChars="200"/>
        <w:rPr>
          <w:rFonts w:hAnsi="宋体"/>
          <w:color w:val="auto"/>
          <w:sz w:val="21"/>
        </w:rPr>
      </w:pPr>
      <w:r>
        <w:rPr>
          <w:rFonts w:hint="eastAsia" w:hAnsi="宋体"/>
          <w:color w:val="auto"/>
          <w:sz w:val="21"/>
        </w:rPr>
        <w:t>（四）经评标委员会认定评分畸高、畸低的。</w:t>
      </w:r>
    </w:p>
    <w:p w14:paraId="0A61F7CE">
      <w:pPr>
        <w:pStyle w:val="14"/>
        <w:snapToGrid w:val="0"/>
        <w:spacing w:line="360" w:lineRule="auto"/>
        <w:ind w:firstLine="420" w:firstLineChars="200"/>
        <w:rPr>
          <w:rFonts w:hAnsi="宋体"/>
          <w:color w:val="auto"/>
        </w:rPr>
      </w:pPr>
      <w:r>
        <w:rPr>
          <w:rFonts w:hint="eastAsia" w:hAnsi="宋体"/>
          <w:color w:val="auto"/>
          <w:sz w:val="21"/>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r>
        <w:rPr>
          <w:rFonts w:hint="eastAsia" w:hAnsi="宋体"/>
          <w:color w:val="auto"/>
        </w:rPr>
        <w:t>。</w:t>
      </w:r>
    </w:p>
    <w:p w14:paraId="4D9D6457">
      <w:pPr>
        <w:pStyle w:val="4"/>
        <w:keepNext w:val="0"/>
        <w:keepLines w:val="0"/>
        <w:jc w:val="center"/>
        <w:rPr>
          <w:color w:val="auto"/>
        </w:rPr>
      </w:pPr>
      <w:r>
        <w:rPr>
          <w:rFonts w:hAnsi="宋体"/>
          <w:color w:val="auto"/>
        </w:rPr>
        <w:br w:type="page"/>
      </w:r>
      <w:r>
        <w:rPr>
          <w:rFonts w:hint="eastAsia"/>
          <w:color w:val="auto"/>
        </w:rPr>
        <w:t>第三节评标标准</w:t>
      </w:r>
    </w:p>
    <w:p w14:paraId="2B29B241">
      <w:pPr>
        <w:pStyle w:val="4"/>
        <w:jc w:val="center"/>
        <w:rPr>
          <w:rFonts w:hint="eastAsia"/>
          <w:color w:val="auto"/>
          <w:sz w:val="30"/>
          <w:szCs w:val="30"/>
        </w:rPr>
      </w:pPr>
      <w:bookmarkStart w:id="187" w:name="_Toc2880"/>
      <w:r>
        <w:rPr>
          <w:rFonts w:hint="eastAsia"/>
          <w:color w:val="auto"/>
          <w:sz w:val="30"/>
          <w:szCs w:val="30"/>
        </w:rPr>
        <w:t>综合评分法</w:t>
      </w:r>
    </w:p>
    <w:tbl>
      <w:tblPr>
        <w:tblStyle w:val="25"/>
        <w:tblpPr w:leftFromText="180" w:rightFromText="180" w:vertAnchor="text" w:tblpXSpec="center" w:tblpY="1"/>
        <w:tblOverlap w:val="never"/>
        <w:tblW w:w="907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89"/>
        <w:gridCol w:w="1233"/>
        <w:gridCol w:w="6406"/>
        <w:gridCol w:w="849"/>
      </w:tblGrid>
      <w:tr w14:paraId="69B7AF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3" w:hRule="atLeast"/>
          <w:jc w:val="center"/>
        </w:trPr>
        <w:tc>
          <w:tcPr>
            <w:tcW w:w="589" w:type="dxa"/>
            <w:noWrap w:val="0"/>
            <w:vAlign w:val="center"/>
          </w:tcPr>
          <w:p w14:paraId="1F2147BC">
            <w:pPr>
              <w:spacing w:line="360" w:lineRule="exact"/>
              <w:ind w:left="-78" w:leftChars="-37" w:right="-73" w:rightChars="-35"/>
              <w:jc w:val="center"/>
              <w:rPr>
                <w:rFonts w:ascii="宋体" w:hAnsi="宋体" w:cs="宋体"/>
                <w:b/>
                <w:szCs w:val="21"/>
              </w:rPr>
            </w:pPr>
            <w:r>
              <w:rPr>
                <w:rFonts w:hint="eastAsia" w:ascii="宋体" w:hAnsi="宋体" w:cs="宋体"/>
                <w:b/>
                <w:szCs w:val="21"/>
              </w:rPr>
              <w:t>序号</w:t>
            </w:r>
          </w:p>
        </w:tc>
        <w:tc>
          <w:tcPr>
            <w:tcW w:w="1233" w:type="dxa"/>
            <w:noWrap w:val="0"/>
            <w:vAlign w:val="center"/>
          </w:tcPr>
          <w:p w14:paraId="1F401726">
            <w:pPr>
              <w:spacing w:line="360" w:lineRule="exact"/>
              <w:ind w:left="-78" w:leftChars="-37" w:right="-73" w:rightChars="-35"/>
              <w:jc w:val="center"/>
              <w:rPr>
                <w:rFonts w:ascii="宋体" w:hAnsi="宋体" w:cs="宋体"/>
                <w:b/>
                <w:szCs w:val="21"/>
              </w:rPr>
            </w:pPr>
            <w:r>
              <w:rPr>
                <w:rFonts w:hint="eastAsia" w:ascii="宋体" w:hAnsi="宋体" w:cs="宋体"/>
                <w:b/>
                <w:szCs w:val="21"/>
              </w:rPr>
              <w:t>评审因素</w:t>
            </w:r>
          </w:p>
        </w:tc>
        <w:tc>
          <w:tcPr>
            <w:tcW w:w="6406" w:type="dxa"/>
            <w:noWrap w:val="0"/>
            <w:vAlign w:val="center"/>
          </w:tcPr>
          <w:p w14:paraId="0066981B">
            <w:pPr>
              <w:spacing w:line="360" w:lineRule="exact"/>
              <w:ind w:left="-78" w:leftChars="-37" w:right="-73" w:rightChars="-35"/>
              <w:jc w:val="center"/>
              <w:rPr>
                <w:rFonts w:ascii="宋体" w:hAnsi="宋体" w:cs="宋体"/>
                <w:b/>
                <w:szCs w:val="21"/>
              </w:rPr>
            </w:pPr>
            <w:r>
              <w:rPr>
                <w:rFonts w:hint="eastAsia" w:ascii="宋体" w:hAnsi="宋体" w:cs="宋体"/>
                <w:b/>
                <w:szCs w:val="21"/>
              </w:rPr>
              <w:t>评分细则</w:t>
            </w:r>
          </w:p>
        </w:tc>
        <w:tc>
          <w:tcPr>
            <w:tcW w:w="849" w:type="dxa"/>
            <w:noWrap w:val="0"/>
            <w:vAlign w:val="center"/>
          </w:tcPr>
          <w:p w14:paraId="7FD3F811">
            <w:pPr>
              <w:spacing w:line="360" w:lineRule="exact"/>
              <w:ind w:left="-78" w:leftChars="-37" w:right="-73" w:rightChars="-35"/>
              <w:jc w:val="center"/>
              <w:rPr>
                <w:rFonts w:ascii="宋体" w:hAnsi="宋体" w:cs="宋体"/>
                <w:b/>
                <w:szCs w:val="21"/>
              </w:rPr>
            </w:pPr>
            <w:r>
              <w:rPr>
                <w:rFonts w:hint="eastAsia" w:ascii="宋体" w:hAnsi="宋体" w:cs="宋体"/>
                <w:b/>
                <w:szCs w:val="21"/>
              </w:rPr>
              <w:t>分值</w:t>
            </w:r>
          </w:p>
        </w:tc>
      </w:tr>
      <w:tr w14:paraId="5219D4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89" w:type="dxa"/>
            <w:noWrap w:val="0"/>
            <w:vAlign w:val="center"/>
          </w:tcPr>
          <w:p w14:paraId="41A8E376">
            <w:pPr>
              <w:spacing w:line="360" w:lineRule="exact"/>
              <w:ind w:left="-78" w:leftChars="-37" w:right="-73" w:rightChars="-35"/>
              <w:jc w:val="center"/>
              <w:rPr>
                <w:rFonts w:ascii="宋体" w:hAnsi="宋体" w:cs="宋体"/>
                <w:bCs/>
                <w:szCs w:val="21"/>
              </w:rPr>
            </w:pPr>
            <w:r>
              <w:rPr>
                <w:rFonts w:hint="eastAsia" w:ascii="宋体" w:hAnsi="宋体" w:cs="宋体"/>
                <w:bCs/>
                <w:szCs w:val="21"/>
              </w:rPr>
              <w:t>1</w:t>
            </w:r>
          </w:p>
        </w:tc>
        <w:tc>
          <w:tcPr>
            <w:tcW w:w="1233" w:type="dxa"/>
            <w:tcBorders>
              <w:bottom w:val="single" w:color="auto" w:sz="4" w:space="0"/>
              <w:right w:val="single" w:color="auto" w:sz="4" w:space="0"/>
            </w:tcBorders>
            <w:noWrap w:val="0"/>
            <w:vAlign w:val="center"/>
          </w:tcPr>
          <w:p w14:paraId="27205218">
            <w:pPr>
              <w:spacing w:line="360" w:lineRule="exact"/>
              <w:ind w:right="-73" w:rightChars="-35"/>
              <w:jc w:val="center"/>
              <w:rPr>
                <w:rFonts w:hint="eastAsia" w:ascii="宋体" w:hAnsi="宋体" w:cs="宋体"/>
                <w:bCs/>
                <w:szCs w:val="21"/>
              </w:rPr>
            </w:pPr>
            <w:r>
              <w:rPr>
                <w:rFonts w:hint="eastAsia" w:ascii="宋体" w:hAnsi="宋体" w:cs="宋体"/>
                <w:bCs/>
                <w:szCs w:val="21"/>
              </w:rPr>
              <w:t>价格分</w:t>
            </w:r>
          </w:p>
          <w:p w14:paraId="7DFBC398">
            <w:pPr>
              <w:spacing w:line="360" w:lineRule="exact"/>
              <w:ind w:right="-73" w:rightChars="-35"/>
              <w:jc w:val="center"/>
              <w:rPr>
                <w:rFonts w:hint="eastAsia" w:ascii="宋体" w:hAnsi="宋体" w:cs="宋体"/>
                <w:bCs/>
                <w:szCs w:val="21"/>
              </w:rPr>
            </w:pPr>
            <w:r>
              <w:rPr>
                <w:rFonts w:hint="eastAsia" w:ascii="Arial" w:hAnsi="Arial" w:cs="Arial"/>
                <w:b w:val="0"/>
                <w:bCs w:val="0"/>
                <w:spacing w:val="-1"/>
                <w:kern w:val="0"/>
              </w:rPr>
              <w:t>（满分</w:t>
            </w:r>
            <w:r>
              <w:rPr>
                <w:rFonts w:hint="eastAsia" w:ascii="宋体" w:hAnsi="宋体" w:eastAsia="宋体" w:cs="宋体"/>
                <w:b w:val="0"/>
                <w:bCs w:val="0"/>
                <w:spacing w:val="-1"/>
                <w:kern w:val="0"/>
                <w:lang w:val="en-US" w:eastAsia="zh-CN"/>
              </w:rPr>
              <w:t>10</w:t>
            </w:r>
            <w:r>
              <w:rPr>
                <w:rFonts w:hint="eastAsia" w:ascii="Arial" w:hAnsi="Arial" w:cs="Arial"/>
                <w:b w:val="0"/>
                <w:bCs w:val="0"/>
                <w:spacing w:val="-1"/>
                <w:kern w:val="0"/>
              </w:rPr>
              <w:t>分）</w:t>
            </w:r>
          </w:p>
        </w:tc>
        <w:tc>
          <w:tcPr>
            <w:tcW w:w="6406" w:type="dxa"/>
            <w:tcBorders>
              <w:left w:val="single" w:color="auto" w:sz="4" w:space="0"/>
              <w:bottom w:val="single" w:color="auto" w:sz="4" w:space="0"/>
              <w:right w:val="single" w:color="auto" w:sz="4" w:space="0"/>
            </w:tcBorders>
            <w:noWrap w:val="0"/>
            <w:vAlign w:val="center"/>
          </w:tcPr>
          <w:p w14:paraId="7AFA81BF">
            <w:pPr>
              <w:spacing w:line="360" w:lineRule="exact"/>
              <w:ind w:firstLine="420" w:firstLineChars="200"/>
              <w:rPr>
                <w:rFonts w:ascii="宋体" w:hAnsi="宋体" w:cs="宋体"/>
                <w:bCs/>
                <w:szCs w:val="21"/>
              </w:rPr>
            </w:pPr>
            <w:r>
              <w:rPr>
                <w:rFonts w:hint="eastAsia" w:ascii="宋体" w:hAnsi="宋体" w:cs="宋体"/>
                <w:szCs w:val="21"/>
              </w:rPr>
              <w:t>1.1</w:t>
            </w:r>
            <w:r>
              <w:rPr>
                <w:rFonts w:hint="eastAsia" w:ascii="宋体" w:hAnsi="宋体" w:cs="宋体"/>
                <w:bCs/>
                <w:szCs w:val="21"/>
              </w:rPr>
              <w:t>评标价为投标人的投标报价进行政策性扣除后的价格，评标价只是作为评标时使用。最终中标人的中标金额等于投标报价。</w:t>
            </w:r>
          </w:p>
          <w:p w14:paraId="7E6FB3E9">
            <w:pPr>
              <w:spacing w:line="360" w:lineRule="exact"/>
              <w:ind w:firstLine="420" w:firstLineChars="200"/>
              <w:rPr>
                <w:rFonts w:ascii="宋体" w:hAnsi="宋体" w:cs="宋体"/>
                <w:bCs/>
                <w:szCs w:val="21"/>
              </w:rPr>
            </w:pPr>
            <w:r>
              <w:rPr>
                <w:rFonts w:hint="eastAsia" w:ascii="宋体" w:hAnsi="宋体" w:cs="宋体"/>
                <w:szCs w:val="21"/>
              </w:rPr>
              <w:t xml:space="preserve">1.2 </w:t>
            </w:r>
            <w:r>
              <w:rPr>
                <w:rFonts w:hint="eastAsia" w:ascii="宋体" w:hAnsi="宋体" w:cs="宋体"/>
                <w:bCs/>
                <w:szCs w:val="21"/>
              </w:rPr>
              <w:t>政策性扣除计算方法。</w:t>
            </w:r>
          </w:p>
          <w:p w14:paraId="66306F2C">
            <w:pPr>
              <w:spacing w:line="360" w:lineRule="exact"/>
              <w:ind w:firstLine="420" w:firstLineChars="200"/>
              <w:rPr>
                <w:rFonts w:ascii="宋体" w:hAnsi="宋体" w:cs="宋体"/>
                <w:szCs w:val="21"/>
              </w:rPr>
            </w:pPr>
            <w:r>
              <w:rPr>
                <w:rFonts w:hint="eastAsia" w:ascii="宋体" w:hAnsi="宋体" w:cs="宋体"/>
                <w:szCs w:val="21"/>
              </w:rPr>
              <w:t>对小微企业的价格评审</w:t>
            </w:r>
            <w:r>
              <w:rPr>
                <w:rFonts w:hint="eastAsia" w:ascii="宋体" w:hAnsi="宋体" w:cs="宋体"/>
                <w:bCs/>
                <w:szCs w:val="21"/>
              </w:rPr>
              <w:t>优惠</w:t>
            </w:r>
          </w:p>
          <w:p w14:paraId="1A9E702E">
            <w:pPr>
              <w:spacing w:line="360" w:lineRule="exact"/>
              <w:ind w:firstLine="420" w:firstLineChars="200"/>
              <w:rPr>
                <w:rFonts w:ascii="宋体" w:hAnsi="宋体" w:cs="宋体"/>
                <w:bCs/>
                <w:szCs w:val="21"/>
              </w:rPr>
            </w:pPr>
            <w:r>
              <w:rPr>
                <w:rFonts w:hint="eastAsia" w:ascii="宋体" w:hAnsi="宋体" w:cs="宋体"/>
                <w:szCs w:val="21"/>
              </w:rPr>
              <w:t>☑适用于非专门面向中小企业采购项目</w:t>
            </w:r>
          </w:p>
          <w:p w14:paraId="4D797598">
            <w:pPr>
              <w:spacing w:line="360" w:lineRule="exact"/>
              <w:ind w:firstLine="420" w:firstLineChars="200"/>
              <w:rPr>
                <w:rFonts w:ascii="宋体" w:hAnsi="宋体" w:cs="宋体"/>
                <w:bCs/>
                <w:szCs w:val="21"/>
              </w:rPr>
            </w:pPr>
            <w:r>
              <w:rPr>
                <w:rFonts w:hint="eastAsia" w:ascii="宋体" w:hAnsi="宋体" w:cs="宋体"/>
                <w:bCs/>
                <w:szCs w:val="21"/>
              </w:rPr>
              <w:t>投标人</w:t>
            </w:r>
            <w:r>
              <w:rPr>
                <w:rFonts w:hint="eastAsia" w:ascii="宋体" w:hAnsi="宋体" w:cs="宋体"/>
                <w:szCs w:val="21"/>
              </w:rPr>
              <w:t>被评定为</w:t>
            </w:r>
            <w:r>
              <w:rPr>
                <w:rFonts w:hint="eastAsia" w:ascii="宋体" w:hAnsi="宋体" w:cs="宋体"/>
                <w:bCs/>
                <w:szCs w:val="21"/>
              </w:rPr>
              <w:t>监狱企业或者残疾人福利性单位或者其</w:t>
            </w:r>
            <w:r>
              <w:rPr>
                <w:rFonts w:hint="eastAsia" w:ascii="宋体" w:hAnsi="宋体" w:cs="宋体"/>
                <w:szCs w:val="21"/>
              </w:rPr>
              <w:t>提供的货物全部由符合政策要求的小型、微型企业制造，即货物由小型、微型企业生产且使用该小型、微型企业商号或者注册商标的，</w:t>
            </w:r>
            <w:r>
              <w:rPr>
                <w:rFonts w:hint="eastAsia" w:ascii="宋体" w:hAnsi="宋体" w:cs="宋体"/>
                <w:bCs/>
                <w:szCs w:val="21"/>
              </w:rPr>
              <w:t>该投标人的投标报价</w:t>
            </w:r>
            <w:r>
              <w:rPr>
                <w:rFonts w:hint="eastAsia" w:ascii="宋体" w:hAnsi="宋体" w:cs="宋体"/>
                <w:szCs w:val="21"/>
              </w:rPr>
              <w:t>给予</w:t>
            </w:r>
            <w:r>
              <w:rPr>
                <w:rFonts w:hint="eastAsia"/>
                <w:b/>
                <w:bCs/>
                <w:u w:val="single"/>
                <w:lang w:val="en-US" w:eastAsia="zh-CN"/>
              </w:rPr>
              <w:t>1</w:t>
            </w:r>
            <w:r>
              <w:rPr>
                <w:rFonts w:hint="eastAsia"/>
                <w:b/>
                <w:bCs/>
                <w:u w:val="single"/>
              </w:rPr>
              <w:t>0%</w:t>
            </w:r>
            <w:r>
              <w:rPr>
                <w:rFonts w:hint="eastAsia" w:ascii="宋体" w:hAnsi="宋体" w:cs="宋体"/>
                <w:szCs w:val="21"/>
              </w:rPr>
              <w:t>的扣除</w:t>
            </w:r>
            <w:r>
              <w:rPr>
                <w:rFonts w:hint="eastAsia" w:ascii="宋体" w:hAnsi="宋体" w:cs="宋体"/>
                <w:bCs/>
                <w:szCs w:val="21"/>
              </w:rPr>
              <w:t>，</w:t>
            </w:r>
            <w:r>
              <w:rPr>
                <w:rFonts w:hint="eastAsia" w:ascii="宋体" w:hAnsi="宋体" w:cs="宋体"/>
                <w:szCs w:val="21"/>
              </w:rPr>
              <w:t>扣除后的价格为评标价，即评标价=投标报价×（1-</w:t>
            </w:r>
            <w:r>
              <w:rPr>
                <w:rFonts w:hint="eastAsia"/>
                <w:b/>
                <w:bCs/>
                <w:u w:val="single"/>
                <w:lang w:val="en-US" w:eastAsia="zh-CN"/>
              </w:rPr>
              <w:t>1</w:t>
            </w:r>
            <w:r>
              <w:rPr>
                <w:rFonts w:hint="eastAsia"/>
                <w:b/>
                <w:bCs/>
                <w:u w:val="single"/>
              </w:rPr>
              <w:t>0%</w:t>
            </w:r>
            <w:r>
              <w:rPr>
                <w:rFonts w:hint="eastAsia" w:ascii="宋体" w:hAnsi="宋体" w:cs="宋体"/>
                <w:szCs w:val="21"/>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投标报价给予</w:t>
            </w:r>
            <w:r>
              <w:rPr>
                <w:rFonts w:hint="eastAsia"/>
                <w:b/>
                <w:bCs/>
                <w:u w:val="single"/>
                <w:lang w:val="en-US" w:eastAsia="zh-CN"/>
              </w:rPr>
              <w:t>4</w:t>
            </w:r>
            <w:r>
              <w:rPr>
                <w:rFonts w:hint="eastAsia"/>
                <w:b/>
                <w:bCs/>
                <w:u w:val="single"/>
              </w:rPr>
              <w:t>%</w:t>
            </w:r>
            <w:r>
              <w:rPr>
                <w:rFonts w:hint="eastAsia" w:hAnsi="宋体"/>
                <w:color w:val="000000"/>
              </w:rPr>
              <w:t xml:space="preserve"> </w:t>
            </w:r>
            <w:r>
              <w:rPr>
                <w:rFonts w:hint="eastAsia" w:ascii="宋体" w:hAnsi="宋体" w:cs="宋体"/>
                <w:szCs w:val="21"/>
              </w:rPr>
              <w:t>的扣除，用扣除后的价格参加评审，扣除后的价格为评标价，即评标价=投标报价×（1－</w:t>
            </w:r>
            <w:r>
              <w:rPr>
                <w:rFonts w:hint="eastAsia"/>
                <w:b/>
                <w:bCs/>
                <w:u w:val="single"/>
                <w:lang w:val="en-US" w:eastAsia="zh-CN"/>
              </w:rPr>
              <w:t>4</w:t>
            </w:r>
            <w:r>
              <w:rPr>
                <w:rFonts w:hint="eastAsia"/>
                <w:b/>
                <w:bCs/>
                <w:u w:val="single"/>
              </w:rPr>
              <w:t>%</w:t>
            </w:r>
            <w:r>
              <w:rPr>
                <w:rFonts w:hint="eastAsia" w:ascii="宋体" w:hAnsi="宋体" w:cs="宋体"/>
                <w:szCs w:val="21"/>
              </w:rPr>
              <w:t>）。</w:t>
            </w:r>
          </w:p>
          <w:p w14:paraId="3BC41253">
            <w:pPr>
              <w:widowControl/>
              <w:spacing w:line="360" w:lineRule="exact"/>
              <w:ind w:firstLine="420" w:firstLineChars="200"/>
              <w:jc w:val="left"/>
              <w:textAlignment w:val="baseline"/>
              <w:rPr>
                <w:rFonts w:ascii="宋体" w:hAnsi="宋体" w:cs="宋体"/>
                <w:szCs w:val="21"/>
              </w:rPr>
            </w:pPr>
            <w:r>
              <w:rPr>
                <w:rFonts w:hint="eastAsia" w:ascii="宋体" w:hAnsi="宋体" w:cs="宋体"/>
                <w:szCs w:val="21"/>
              </w:rPr>
              <w:t>除上述情况外，评标价=投标报价。</w:t>
            </w:r>
          </w:p>
          <w:p w14:paraId="3674D210">
            <w:pPr>
              <w:spacing w:line="360" w:lineRule="exact"/>
              <w:ind w:firstLine="420" w:firstLineChars="200"/>
              <w:rPr>
                <w:rFonts w:ascii="宋体" w:hAnsi="宋体" w:cs="宋体"/>
                <w:bCs/>
                <w:szCs w:val="21"/>
              </w:rPr>
            </w:pPr>
            <w:r>
              <w:rPr>
                <w:rFonts w:hint="eastAsia" w:ascii="宋体" w:hAnsi="宋体" w:cs="宋体"/>
                <w:bCs/>
                <w:szCs w:val="21"/>
              </w:rPr>
              <w:t>1.3满足招标文件要求且评标价最低的评标价为评标基准价，基准价得分为</w:t>
            </w:r>
            <w:r>
              <w:rPr>
                <w:rFonts w:hint="eastAsia" w:ascii="宋体" w:hAnsi="宋体" w:cs="宋体"/>
                <w:bCs/>
                <w:szCs w:val="21"/>
                <w:u w:val="single"/>
                <w:lang w:val="en-US" w:eastAsia="zh-CN"/>
              </w:rPr>
              <w:t>1</w:t>
            </w:r>
            <w:r>
              <w:rPr>
                <w:rFonts w:hint="eastAsia" w:ascii="宋体" w:hAnsi="宋体" w:cs="宋体"/>
                <w:bCs/>
                <w:szCs w:val="21"/>
                <w:u w:val="single"/>
              </w:rPr>
              <w:t>0</w:t>
            </w:r>
            <w:r>
              <w:rPr>
                <w:rFonts w:hint="eastAsia" w:ascii="宋体" w:hAnsi="宋体" w:cs="宋体"/>
                <w:bCs/>
                <w:szCs w:val="21"/>
              </w:rPr>
              <w:t>分。</w:t>
            </w:r>
          </w:p>
          <w:p w14:paraId="7C7F59D4">
            <w:pPr>
              <w:spacing w:line="360" w:lineRule="exact"/>
              <w:ind w:firstLine="420" w:firstLineChars="200"/>
              <w:rPr>
                <w:rFonts w:ascii="宋体" w:hAnsi="宋体" w:cs="宋体"/>
                <w:bCs/>
                <w:szCs w:val="21"/>
              </w:rPr>
            </w:pPr>
            <w:r>
              <w:rPr>
                <w:rFonts w:hint="eastAsia" w:ascii="宋体" w:hAnsi="宋体" w:cs="宋体"/>
                <w:bCs/>
                <w:szCs w:val="21"/>
              </w:rPr>
              <w:t xml:space="preserve">1.4价格分计算公式：        </w:t>
            </w:r>
          </w:p>
          <w:p w14:paraId="21C944D0">
            <w:pPr>
              <w:spacing w:line="360" w:lineRule="exact"/>
              <w:ind w:right="-73" w:rightChars="-35" w:firstLine="420" w:firstLineChars="200"/>
              <w:rPr>
                <w:rFonts w:ascii="宋体" w:hAnsi="宋体" w:cs="宋体"/>
                <w:b/>
                <w:szCs w:val="21"/>
              </w:rPr>
            </w:pPr>
            <w:r>
              <w:rPr>
                <w:rFonts w:hint="eastAsia" w:ascii="宋体" w:hAnsi="宋体" w:cs="宋体"/>
                <w:bCs/>
              </w:rPr>
              <w:t>价格分=(评标基准价／评标价)×</w:t>
            </w:r>
            <w:r>
              <w:rPr>
                <w:rFonts w:hint="eastAsia" w:ascii="宋体" w:hAnsi="宋体" w:cs="宋体"/>
                <w:bCs/>
                <w:u w:val="single"/>
                <w:lang w:val="en-US" w:eastAsia="zh-CN"/>
              </w:rPr>
              <w:t>1</w:t>
            </w:r>
            <w:r>
              <w:rPr>
                <w:rFonts w:hint="eastAsia" w:ascii="宋体" w:hAnsi="宋体" w:cs="宋体"/>
                <w:bCs/>
                <w:u w:val="single"/>
              </w:rPr>
              <w:t>0</w:t>
            </w:r>
            <w:r>
              <w:rPr>
                <w:rFonts w:hint="eastAsia" w:ascii="宋体" w:hAnsi="宋体" w:cs="宋体"/>
                <w:bCs/>
              </w:rPr>
              <w:t>分</w:t>
            </w:r>
          </w:p>
        </w:tc>
        <w:tc>
          <w:tcPr>
            <w:tcW w:w="849" w:type="dxa"/>
            <w:tcBorders>
              <w:left w:val="single" w:color="auto" w:sz="4" w:space="0"/>
              <w:bottom w:val="single" w:color="auto" w:sz="4" w:space="0"/>
            </w:tcBorders>
            <w:noWrap w:val="0"/>
            <w:vAlign w:val="center"/>
          </w:tcPr>
          <w:p w14:paraId="34340FE1">
            <w:pPr>
              <w:spacing w:line="360" w:lineRule="exact"/>
              <w:ind w:right="-73" w:rightChars="-35"/>
              <w:jc w:val="center"/>
              <w:rPr>
                <w:rFonts w:ascii="宋体" w:hAnsi="宋体" w:cs="宋体"/>
                <w:b/>
                <w:szCs w:val="21"/>
              </w:rPr>
            </w:pPr>
            <w:r>
              <w:rPr>
                <w:rFonts w:hint="eastAsia" w:ascii="宋体" w:hAnsi="宋体" w:cs="宋体"/>
                <w:bCs/>
                <w:szCs w:val="21"/>
                <w:lang w:val="en-US" w:eastAsia="zh-CN"/>
              </w:rPr>
              <w:t>10</w:t>
            </w:r>
            <w:r>
              <w:rPr>
                <w:rFonts w:hint="eastAsia" w:ascii="宋体" w:hAnsi="宋体" w:cs="宋体"/>
                <w:bCs/>
                <w:szCs w:val="21"/>
              </w:rPr>
              <w:t>分</w:t>
            </w:r>
          </w:p>
        </w:tc>
      </w:tr>
      <w:tr w14:paraId="11F826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89" w:type="dxa"/>
            <w:tcBorders>
              <w:bottom w:val="single" w:color="auto" w:sz="4" w:space="0"/>
            </w:tcBorders>
            <w:noWrap w:val="0"/>
            <w:vAlign w:val="center"/>
          </w:tcPr>
          <w:p w14:paraId="17435B8D">
            <w:pPr>
              <w:pStyle w:val="38"/>
              <w:spacing w:line="360" w:lineRule="exact"/>
              <w:ind w:left="0"/>
              <w:jc w:val="center"/>
              <w:rPr>
                <w:rFonts w:hint="eastAsia" w:ascii="宋体" w:hAnsi="宋体" w:eastAsia="宋体" w:cs="宋体"/>
                <w:szCs w:val="21"/>
                <w:lang w:eastAsia="zh-CN"/>
              </w:rPr>
            </w:pPr>
            <w:r>
              <w:rPr>
                <w:rFonts w:hint="eastAsia" w:ascii="宋体" w:hAnsi="宋体" w:cs="宋体"/>
                <w:szCs w:val="21"/>
                <w:lang w:val="en-US" w:eastAsia="zh-CN"/>
              </w:rPr>
              <w:t>2</w:t>
            </w:r>
          </w:p>
        </w:tc>
        <w:tc>
          <w:tcPr>
            <w:tcW w:w="1233" w:type="dxa"/>
            <w:noWrap w:val="0"/>
            <w:vAlign w:val="center"/>
          </w:tcPr>
          <w:p w14:paraId="7698DD0D">
            <w:pPr>
              <w:widowControl/>
              <w:spacing w:line="360" w:lineRule="exact"/>
              <w:jc w:val="center"/>
              <w:rPr>
                <w:rFonts w:hint="eastAsia" w:ascii="Arial" w:hAnsi="Arial" w:eastAsia="宋体" w:cs="Arial"/>
                <w:b w:val="0"/>
                <w:bCs w:val="0"/>
                <w:spacing w:val="-1"/>
                <w:kern w:val="0"/>
                <w:lang w:val="en-US" w:eastAsia="zh-CN"/>
              </w:rPr>
            </w:pPr>
            <w:r>
              <w:rPr>
                <w:rFonts w:hint="eastAsia" w:ascii="Arial" w:hAnsi="Arial" w:cs="Arial"/>
                <w:b w:val="0"/>
                <w:bCs w:val="0"/>
                <w:spacing w:val="-1"/>
                <w:kern w:val="0"/>
              </w:rPr>
              <w:t>技术性能</w:t>
            </w:r>
            <w:r>
              <w:rPr>
                <w:rFonts w:hint="eastAsia" w:ascii="Arial" w:hAnsi="Arial" w:cs="Arial"/>
                <w:b w:val="0"/>
                <w:bCs w:val="0"/>
                <w:spacing w:val="-1"/>
                <w:kern w:val="0"/>
                <w:lang w:val="en-US" w:eastAsia="zh-CN"/>
              </w:rPr>
              <w:t>分</w:t>
            </w:r>
          </w:p>
          <w:p w14:paraId="308CC36C">
            <w:pPr>
              <w:widowControl/>
              <w:spacing w:line="360" w:lineRule="exact"/>
              <w:jc w:val="center"/>
              <w:rPr>
                <w:rFonts w:ascii="宋体" w:hAnsi="宋体" w:cs="宋体"/>
                <w:szCs w:val="21"/>
              </w:rPr>
            </w:pPr>
            <w:r>
              <w:rPr>
                <w:rFonts w:hint="eastAsia" w:ascii="Arial" w:hAnsi="Arial" w:cs="Arial"/>
                <w:b w:val="0"/>
                <w:bCs w:val="0"/>
                <w:spacing w:val="-1"/>
                <w:kern w:val="0"/>
              </w:rPr>
              <w:t>（满分</w:t>
            </w:r>
            <w:r>
              <w:rPr>
                <w:rFonts w:hint="eastAsia" w:ascii="宋体" w:hAnsi="宋体" w:cs="宋体"/>
                <w:b w:val="0"/>
                <w:bCs w:val="0"/>
                <w:spacing w:val="-1"/>
                <w:kern w:val="0"/>
                <w:lang w:val="en-US" w:eastAsia="zh-CN"/>
              </w:rPr>
              <w:t>30</w:t>
            </w:r>
            <w:r>
              <w:rPr>
                <w:rFonts w:hint="eastAsia" w:ascii="Arial" w:hAnsi="Arial" w:cs="Arial"/>
                <w:b w:val="0"/>
                <w:bCs w:val="0"/>
                <w:spacing w:val="-1"/>
                <w:kern w:val="0"/>
              </w:rPr>
              <w:t>分）</w:t>
            </w:r>
            <w:r>
              <w:rPr>
                <w:rFonts w:ascii="宋体" w:hAnsi="宋体" w:cs="宋体"/>
                <w:b w:val="0"/>
                <w:bCs w:val="0"/>
                <w:sz w:val="24"/>
              </w:rPr>
              <w:t xml:space="preserve"> </w:t>
            </w:r>
          </w:p>
        </w:tc>
        <w:tc>
          <w:tcPr>
            <w:tcW w:w="6406" w:type="dxa"/>
            <w:noWrap w:val="0"/>
            <w:vAlign w:val="center"/>
          </w:tcPr>
          <w:p w14:paraId="39A70869">
            <w:pPr>
              <w:widowControl/>
              <w:numPr>
                <w:ilvl w:val="0"/>
                <w:numId w:val="0"/>
              </w:numPr>
              <w:spacing w:line="360" w:lineRule="exact"/>
              <w:ind w:firstLine="420" w:firstLineChars="200"/>
              <w:jc w:val="left"/>
              <w:rPr>
                <w:rFonts w:ascii="Arial" w:hAnsi="Arial" w:cs="Arial"/>
                <w:color w:val="auto"/>
                <w:szCs w:val="21"/>
                <w:highlight w:val="none"/>
              </w:rPr>
            </w:pPr>
            <w:r>
              <w:rPr>
                <w:rFonts w:ascii="Arial" w:hAnsi="Arial" w:cs="Arial"/>
                <w:color w:val="auto"/>
                <w:szCs w:val="21"/>
                <w:highlight w:val="none"/>
              </w:rPr>
              <w:t>评委根据招标文件要求，对满足招标文件全部实质性要求进入详评的各投标人投标文件</w:t>
            </w:r>
            <w:r>
              <w:rPr>
                <w:rFonts w:hint="eastAsia" w:ascii="Arial" w:hAnsi="Arial" w:cs="Arial"/>
                <w:color w:val="auto"/>
                <w:szCs w:val="21"/>
                <w:highlight w:val="none"/>
                <w:lang w:eastAsia="zh-CN"/>
              </w:rPr>
              <w:t>“</w:t>
            </w:r>
            <w:r>
              <w:rPr>
                <w:rFonts w:hint="eastAsia" w:ascii="Arial" w:hAnsi="Arial" w:cs="Arial"/>
                <w:color w:val="auto"/>
                <w:szCs w:val="21"/>
                <w:highlight w:val="none"/>
                <w:lang w:val="en-US" w:eastAsia="zh-CN"/>
              </w:rPr>
              <w:t>响应</w:t>
            </w:r>
            <w:r>
              <w:rPr>
                <w:rFonts w:ascii="Arial" w:hAnsi="Arial" w:cs="Arial"/>
                <w:color w:val="auto"/>
                <w:szCs w:val="21"/>
                <w:highlight w:val="none"/>
              </w:rPr>
              <w:t>偏离表</w:t>
            </w:r>
            <w:r>
              <w:rPr>
                <w:rFonts w:hint="eastAsia" w:ascii="Arial" w:hAnsi="Arial" w:cs="Arial"/>
                <w:color w:val="auto"/>
                <w:szCs w:val="21"/>
                <w:highlight w:val="none"/>
                <w:lang w:eastAsia="zh-CN"/>
              </w:rPr>
              <w:t>”</w:t>
            </w:r>
            <w:r>
              <w:rPr>
                <w:rFonts w:ascii="Arial" w:hAnsi="Arial" w:cs="Arial"/>
                <w:color w:val="auto"/>
                <w:szCs w:val="21"/>
                <w:highlight w:val="none"/>
              </w:rPr>
              <w:t>的响应情况进行独立评审，并按如下计分方式确定得分：</w:t>
            </w:r>
          </w:p>
          <w:p w14:paraId="3FCD4E05">
            <w:pPr>
              <w:widowControl/>
              <w:numPr>
                <w:ilvl w:val="0"/>
                <w:numId w:val="0"/>
              </w:numPr>
              <w:spacing w:line="360" w:lineRule="exact"/>
              <w:ind w:firstLine="420" w:firstLineChars="200"/>
              <w:jc w:val="left"/>
              <w:rPr>
                <w:rFonts w:ascii="宋体" w:hAnsi="宋体" w:cs="宋体"/>
                <w:szCs w:val="21"/>
              </w:rPr>
            </w:pPr>
            <w:r>
              <w:rPr>
                <w:rFonts w:hint="eastAsia" w:ascii="宋体" w:hAnsi="宋体" w:cs="宋体"/>
                <w:szCs w:val="21"/>
                <w:highlight w:val="none"/>
              </w:rPr>
              <w:t>满足招标文件要求确保无负偏离即得基本分</w:t>
            </w:r>
            <w:r>
              <w:rPr>
                <w:rFonts w:hint="eastAsia" w:ascii="宋体" w:hAnsi="宋体" w:cs="宋体"/>
                <w:szCs w:val="21"/>
                <w:highlight w:val="none"/>
                <w:lang w:val="en-US" w:eastAsia="zh-CN"/>
              </w:rPr>
              <w:t>30</w:t>
            </w:r>
            <w:r>
              <w:rPr>
                <w:rFonts w:hint="eastAsia" w:ascii="宋体" w:hAnsi="宋体" w:cs="宋体"/>
                <w:szCs w:val="21"/>
                <w:highlight w:val="none"/>
              </w:rPr>
              <w:t>分，</w:t>
            </w:r>
            <w:r>
              <w:rPr>
                <w:rFonts w:hint="eastAsia" w:ascii="宋体" w:hAnsi="宋体" w:cs="宋体"/>
                <w:szCs w:val="21"/>
              </w:rPr>
              <w:t>投标人对未标注“▲/★”项，共</w:t>
            </w:r>
            <w:r>
              <w:rPr>
                <w:rFonts w:hint="eastAsia" w:ascii="宋体" w:hAnsi="宋体" w:cs="宋体"/>
                <w:szCs w:val="21"/>
                <w:highlight w:val="none"/>
                <w:lang w:val="en-US" w:eastAsia="zh-CN"/>
              </w:rPr>
              <w:t>10</w:t>
            </w:r>
            <w:r>
              <w:rPr>
                <w:rFonts w:hint="eastAsia" w:ascii="宋体" w:hAnsi="宋体" w:cs="宋体"/>
                <w:szCs w:val="21"/>
                <w:highlight w:val="none"/>
              </w:rPr>
              <w:t>项</w:t>
            </w:r>
            <w:r>
              <w:rPr>
                <w:rFonts w:hint="eastAsia" w:ascii="宋体" w:hAnsi="宋体" w:cs="宋体"/>
                <w:szCs w:val="21"/>
              </w:rPr>
              <w:t>，完全符合招标文件要求（无负偏离），每出现1项负偏离扣</w:t>
            </w:r>
            <w:r>
              <w:rPr>
                <w:rFonts w:hint="eastAsia" w:ascii="宋体" w:hAnsi="宋体" w:cs="宋体"/>
                <w:szCs w:val="21"/>
                <w:lang w:val="en-US" w:eastAsia="zh-CN"/>
              </w:rPr>
              <w:t>1</w:t>
            </w:r>
            <w:r>
              <w:rPr>
                <w:rFonts w:hint="eastAsia" w:ascii="宋体" w:hAnsi="宋体" w:cs="宋体"/>
                <w:szCs w:val="21"/>
              </w:rPr>
              <w:t>分，累计最多扣</w:t>
            </w:r>
            <w:r>
              <w:rPr>
                <w:rFonts w:hint="eastAsia" w:ascii="宋体" w:hAnsi="宋体" w:cs="宋体"/>
                <w:szCs w:val="21"/>
                <w:lang w:val="en-US" w:eastAsia="zh-CN"/>
              </w:rPr>
              <w:t>10</w:t>
            </w:r>
            <w:r>
              <w:rPr>
                <w:rFonts w:hint="eastAsia" w:ascii="宋体" w:hAnsi="宋体" w:cs="宋体"/>
                <w:szCs w:val="21"/>
              </w:rPr>
              <w:t>分，扣完为止；对标注</w:t>
            </w:r>
            <w:r>
              <w:rPr>
                <w:rFonts w:hint="eastAsia" w:ascii="宋体" w:hAnsi="宋体" w:cs="宋体"/>
                <w:szCs w:val="21"/>
                <w:highlight w:val="none"/>
              </w:rPr>
              <w:t>▲</w:t>
            </w:r>
            <w:r>
              <w:rPr>
                <w:rFonts w:hint="eastAsia" w:ascii="宋体" w:hAnsi="宋体" w:cs="宋体"/>
                <w:szCs w:val="21"/>
              </w:rPr>
              <w:t>项，共</w:t>
            </w:r>
            <w:r>
              <w:rPr>
                <w:rFonts w:hint="eastAsia" w:ascii="宋体" w:hAnsi="宋体" w:cs="宋体"/>
                <w:szCs w:val="21"/>
                <w:highlight w:val="none"/>
                <w:lang w:val="en-US" w:eastAsia="zh-CN"/>
              </w:rPr>
              <w:t>5</w:t>
            </w:r>
            <w:r>
              <w:rPr>
                <w:rFonts w:hint="eastAsia" w:ascii="宋体" w:hAnsi="宋体" w:cs="宋体"/>
                <w:szCs w:val="21"/>
              </w:rPr>
              <w:t>项，需提供证明材料，否则认定为负偏离，每出现1项负偏离扣</w:t>
            </w:r>
            <w:r>
              <w:rPr>
                <w:rFonts w:hint="eastAsia" w:ascii="宋体" w:hAnsi="宋体" w:cs="宋体"/>
                <w:szCs w:val="21"/>
                <w:lang w:val="en-US" w:eastAsia="zh-CN"/>
              </w:rPr>
              <w:t>4</w:t>
            </w:r>
            <w:r>
              <w:rPr>
                <w:rFonts w:hint="eastAsia" w:ascii="宋体" w:hAnsi="宋体" w:cs="宋体"/>
                <w:szCs w:val="21"/>
              </w:rPr>
              <w:t>分，累计最多扣</w:t>
            </w:r>
            <w:r>
              <w:rPr>
                <w:rFonts w:hint="eastAsia" w:ascii="宋体" w:hAnsi="宋体" w:cs="宋体"/>
                <w:szCs w:val="21"/>
                <w:lang w:val="en-US" w:eastAsia="zh-CN"/>
              </w:rPr>
              <w:t>20</w:t>
            </w:r>
            <w:r>
              <w:rPr>
                <w:rFonts w:hint="eastAsia" w:ascii="宋体" w:hAnsi="宋体" w:cs="宋体"/>
                <w:szCs w:val="21"/>
              </w:rPr>
              <w:t>分。</w:t>
            </w:r>
          </w:p>
        </w:tc>
        <w:tc>
          <w:tcPr>
            <w:tcW w:w="849" w:type="dxa"/>
            <w:noWrap w:val="0"/>
            <w:vAlign w:val="center"/>
          </w:tcPr>
          <w:p w14:paraId="20D96422">
            <w:pPr>
              <w:spacing w:line="360" w:lineRule="exact"/>
              <w:jc w:val="center"/>
              <w:rPr>
                <w:rFonts w:ascii="宋体" w:hAnsi="宋体" w:cs="宋体"/>
                <w:szCs w:val="21"/>
              </w:rPr>
            </w:pPr>
            <w:r>
              <w:rPr>
                <w:rFonts w:hint="eastAsia" w:ascii="宋体" w:hAnsi="宋体" w:cs="宋体"/>
                <w:szCs w:val="21"/>
                <w:lang w:val="en-US" w:eastAsia="zh-CN"/>
              </w:rPr>
              <w:t>30</w:t>
            </w:r>
            <w:r>
              <w:rPr>
                <w:rFonts w:hint="eastAsia" w:ascii="宋体" w:hAnsi="宋体" w:cs="宋体"/>
                <w:szCs w:val="21"/>
              </w:rPr>
              <w:t>分</w:t>
            </w:r>
          </w:p>
        </w:tc>
      </w:tr>
      <w:tr w14:paraId="7C7719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89" w:type="dxa"/>
            <w:tcBorders>
              <w:bottom w:val="single" w:color="auto" w:sz="4" w:space="0"/>
            </w:tcBorders>
            <w:noWrap w:val="0"/>
            <w:vAlign w:val="center"/>
          </w:tcPr>
          <w:p w14:paraId="447B155D">
            <w:pPr>
              <w:pStyle w:val="38"/>
              <w:spacing w:line="360" w:lineRule="exact"/>
              <w:ind w:left="0"/>
              <w:jc w:val="center"/>
              <w:rPr>
                <w:rFonts w:hint="eastAsia" w:ascii="宋体" w:hAnsi="宋体" w:eastAsia="宋体" w:cs="宋体"/>
                <w:szCs w:val="21"/>
                <w:lang w:eastAsia="zh-CN"/>
              </w:rPr>
            </w:pPr>
            <w:r>
              <w:rPr>
                <w:rFonts w:hint="eastAsia" w:ascii="宋体" w:hAnsi="宋体" w:cs="宋体"/>
                <w:szCs w:val="21"/>
                <w:lang w:val="en-US" w:eastAsia="zh-CN"/>
              </w:rPr>
              <w:t>3</w:t>
            </w:r>
          </w:p>
        </w:tc>
        <w:tc>
          <w:tcPr>
            <w:tcW w:w="1233" w:type="dxa"/>
            <w:noWrap w:val="0"/>
            <w:vAlign w:val="center"/>
          </w:tcPr>
          <w:p w14:paraId="4FA95933">
            <w:pPr>
              <w:keepNext/>
              <w:adjustRightInd w:val="0"/>
              <w:spacing w:line="360" w:lineRule="exact"/>
              <w:jc w:val="center"/>
              <w:textAlignment w:val="baseline"/>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维保服务方案</w:t>
            </w:r>
          </w:p>
          <w:p w14:paraId="0835397C">
            <w:pPr>
              <w:keepNext/>
              <w:spacing w:line="360" w:lineRule="exact"/>
              <w:jc w:val="center"/>
              <w:rPr>
                <w:rFonts w:ascii="宋体" w:hAnsi="宋体" w:cs="宋体"/>
                <w:szCs w:val="21"/>
                <w:highlight w:val="none"/>
              </w:rPr>
            </w:pPr>
            <w:r>
              <w:rPr>
                <w:rFonts w:hint="eastAsia" w:ascii="宋体" w:hAnsi="宋体" w:cs="宋体"/>
                <w:bCs/>
                <w:color w:val="000000" w:themeColor="text1"/>
                <w:szCs w:val="21"/>
                <w:highlight w:val="none"/>
                <w14:textFill>
                  <w14:solidFill>
                    <w14:schemeClr w14:val="tx1"/>
                  </w14:solidFill>
                </w14:textFill>
              </w:rPr>
              <w:t>（满分12分）</w:t>
            </w:r>
          </w:p>
        </w:tc>
        <w:tc>
          <w:tcPr>
            <w:tcW w:w="6406" w:type="dxa"/>
            <w:noWrap w:val="0"/>
            <w:vAlign w:val="center"/>
          </w:tcPr>
          <w:p w14:paraId="254078A8">
            <w:pPr>
              <w:keepNext/>
              <w:spacing w:line="360" w:lineRule="exact"/>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一档（0分）：未提供维保服务方案。</w:t>
            </w:r>
          </w:p>
          <w:p w14:paraId="0312FED2">
            <w:pPr>
              <w:keepNext/>
              <w:spacing w:line="360" w:lineRule="exact"/>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二档（3分）：提供维保服务方案，不了解项目技术服务、设备维保要求，日常技术支持方案方面描述有缺漏，无具体故障解决描述。</w:t>
            </w:r>
          </w:p>
          <w:p w14:paraId="26911A86">
            <w:pPr>
              <w:keepNext/>
              <w:spacing w:line="360" w:lineRule="exact"/>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三档（6分）：提供维保服务方案，了解项目技术服务、设备维保要求，方案针对日常故障有基础的服务承诺及服务计划，对CT设备的管球等重要部件故障提供部分的解决方案。</w:t>
            </w:r>
          </w:p>
          <w:p w14:paraId="6242D9C9">
            <w:pPr>
              <w:keepNext/>
              <w:widowControl/>
              <w:spacing w:line="360" w:lineRule="exact"/>
              <w:ind w:firstLine="420" w:firstLineChars="200"/>
              <w:jc w:val="left"/>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四档（9分）：提供的维保服务方案，对项目技术服务、设备维保要求、质量保障要求理解全面，针对日常故障，</w:t>
            </w:r>
            <w:r>
              <w:rPr>
                <w:rFonts w:hint="eastAsia" w:ascii="宋体" w:hAnsi="宋体" w:cs="宋体"/>
                <w:bCs/>
                <w:color w:val="000000" w:themeColor="text1"/>
                <w:szCs w:val="21"/>
                <w:highlight w:val="none"/>
                <w14:textFill>
                  <w14:solidFill>
                    <w14:schemeClr w14:val="tx1"/>
                  </w14:solidFill>
                </w14:textFill>
              </w:rPr>
              <w:t>有详细的服务承诺和服务计划，</w:t>
            </w:r>
            <w:r>
              <w:rPr>
                <w:rFonts w:hint="eastAsia" w:ascii="宋体" w:hAnsi="宋体" w:cs="宋体"/>
                <w:color w:val="000000" w:themeColor="text1"/>
                <w:szCs w:val="21"/>
                <w:highlight w:val="none"/>
                <w14:textFill>
                  <w14:solidFill>
                    <w14:schemeClr w14:val="tx1"/>
                  </w14:solidFill>
                </w14:textFill>
              </w:rPr>
              <w:t>对设备维保的关键技术点、设备功能结构描述清晰，对CT设备的管球等重要部件故障均能提供详细解决方案，能提供</w:t>
            </w:r>
            <w:r>
              <w:rPr>
                <w:rFonts w:hint="eastAsia" w:ascii="宋体" w:hAnsi="宋体" w:cs="宋体"/>
                <w:bCs/>
                <w:color w:val="000000" w:themeColor="text1"/>
                <w:szCs w:val="21"/>
                <w:highlight w:val="none"/>
                <w14:textFill>
                  <w14:solidFill>
                    <w14:schemeClr w14:val="tx1"/>
                  </w14:solidFill>
                </w14:textFill>
              </w:rPr>
              <w:t>日常保养与管理、承诺建立维保档案。</w:t>
            </w:r>
          </w:p>
          <w:p w14:paraId="61C17181">
            <w:pPr>
              <w:keepNext/>
              <w:spacing w:line="360" w:lineRule="exact"/>
              <w:ind w:firstLine="420" w:firstLineChars="200"/>
              <w:jc w:val="left"/>
              <w:rPr>
                <w:rFonts w:ascii="宋体" w:hAnsi="宋体" w:cs="宋体"/>
                <w:spacing w:val="9"/>
                <w:szCs w:val="21"/>
                <w:highlight w:val="none"/>
              </w:rPr>
            </w:pPr>
            <w:r>
              <w:rPr>
                <w:rFonts w:hint="eastAsia" w:ascii="宋体" w:hAnsi="宋体" w:cs="宋体"/>
                <w:color w:val="000000" w:themeColor="text1"/>
                <w:szCs w:val="21"/>
                <w:highlight w:val="none"/>
                <w14:textFill>
                  <w14:solidFill>
                    <w14:schemeClr w14:val="tx1"/>
                  </w14:solidFill>
                </w14:textFill>
              </w:rPr>
              <w:t>五档（12分）：在满足四档的基础上</w:t>
            </w:r>
            <w:r>
              <w:rPr>
                <w:rFonts w:hint="eastAsia" w:ascii="宋体" w:hAnsi="宋体" w:cs="宋体"/>
                <w:bCs/>
                <w:color w:val="000000" w:themeColor="text1"/>
                <w:szCs w:val="21"/>
                <w:highlight w:val="none"/>
                <w14:textFill>
                  <w14:solidFill>
                    <w14:schemeClr w14:val="tx1"/>
                  </w14:solidFill>
                </w14:textFill>
              </w:rPr>
              <w:t>，能</w:t>
            </w:r>
            <w:r>
              <w:rPr>
                <w:rFonts w:hint="eastAsia" w:ascii="宋体" w:hAnsi="宋体" w:cs="宋体"/>
                <w:bCs/>
                <w:color w:val="000000" w:themeColor="text1"/>
                <w:szCs w:val="21"/>
                <w:highlight w:val="none"/>
                <w:lang w:val="en-US" w:eastAsia="zh-CN"/>
                <w14:textFill>
                  <w14:solidFill>
                    <w14:schemeClr w14:val="tx1"/>
                  </w14:solidFill>
                </w14:textFill>
              </w:rPr>
              <w:t>免费</w:t>
            </w:r>
            <w:r>
              <w:rPr>
                <w:rFonts w:hint="eastAsia" w:ascii="宋体" w:hAnsi="宋体" w:cs="宋体"/>
                <w:bCs/>
                <w:color w:val="auto"/>
                <w:szCs w:val="21"/>
                <w:highlight w:val="none"/>
              </w:rPr>
              <w:t>提供</w:t>
            </w:r>
            <w:r>
              <w:rPr>
                <w:rFonts w:hint="eastAsia" w:ascii="宋体" w:hAnsi="宋体" w:cs="宋体"/>
                <w:bCs/>
                <w:color w:val="auto"/>
                <w:szCs w:val="21"/>
                <w:highlight w:val="none"/>
                <w:lang w:val="en-US" w:eastAsia="zh-CN"/>
              </w:rPr>
              <w:t>远</w:t>
            </w:r>
            <w:r>
              <w:rPr>
                <w:rFonts w:hint="eastAsia" w:ascii="宋体" w:hAnsi="宋体" w:cs="宋体"/>
                <w:bCs/>
                <w:color w:val="auto"/>
                <w:szCs w:val="21"/>
                <w:highlight w:val="none"/>
                <w:lang w:eastAsia="zh-CN"/>
              </w:rPr>
              <w:t>程运维服务器及</w:t>
            </w:r>
            <w:r>
              <w:rPr>
                <w:rFonts w:hint="eastAsia" w:ascii="宋体" w:hAnsi="宋体" w:cs="宋体"/>
                <w:bCs/>
                <w:color w:val="auto"/>
                <w:szCs w:val="21"/>
                <w:highlight w:val="none"/>
              </w:rPr>
              <w:t>基于专用路由器</w:t>
            </w:r>
            <w:r>
              <w:rPr>
                <w:rFonts w:hint="eastAsia" w:ascii="宋体" w:hAnsi="宋体" w:cs="宋体"/>
                <w:bCs/>
                <w:color w:val="auto"/>
                <w:szCs w:val="21"/>
                <w:highlight w:val="none"/>
                <w:lang w:eastAsia="zh-CN"/>
              </w:rPr>
              <w:t>及</w:t>
            </w:r>
            <w:r>
              <w:rPr>
                <w:rFonts w:hint="eastAsia" w:ascii="宋体" w:hAnsi="宋体" w:cs="宋体"/>
                <w:bCs/>
                <w:color w:val="auto"/>
                <w:szCs w:val="21"/>
                <w:highlight w:val="none"/>
              </w:rPr>
              <w:t>宽带接入式的</w:t>
            </w:r>
            <w:r>
              <w:rPr>
                <w:rFonts w:hint="eastAsia" w:ascii="宋体" w:hAnsi="宋体" w:cs="宋体"/>
                <w:bCs/>
                <w:color w:val="auto"/>
                <w:szCs w:val="21"/>
                <w:highlight w:val="none"/>
                <w:lang w:val="en-US" w:eastAsia="zh-CN"/>
              </w:rPr>
              <w:t>远</w:t>
            </w:r>
            <w:r>
              <w:rPr>
                <w:rFonts w:hint="eastAsia" w:ascii="宋体" w:hAnsi="宋体" w:cs="宋体"/>
                <w:bCs/>
                <w:color w:val="auto"/>
                <w:szCs w:val="21"/>
                <w:highlight w:val="none"/>
                <w:lang w:eastAsia="zh-CN"/>
              </w:rPr>
              <w:t>程运维专网建设，实现</w:t>
            </w:r>
            <w:r>
              <w:rPr>
                <w:rFonts w:hint="eastAsia" w:ascii="宋体" w:hAnsi="宋体" w:cs="宋体"/>
                <w:bCs/>
                <w:color w:val="auto"/>
                <w:szCs w:val="21"/>
                <w:highlight w:val="none"/>
              </w:rPr>
              <w:t>远程连接诊断、安全升级服务，能提供进入设备服务模式进行设</w:t>
            </w:r>
            <w:r>
              <w:rPr>
                <w:rFonts w:hint="eastAsia" w:ascii="宋体" w:hAnsi="宋体" w:cs="宋体"/>
                <w:bCs/>
                <w:color w:val="000000" w:themeColor="text1"/>
                <w:szCs w:val="21"/>
                <w:highlight w:val="none"/>
                <w14:textFill>
                  <w14:solidFill>
                    <w14:schemeClr w14:val="tx1"/>
                  </w14:solidFill>
                </w14:textFill>
              </w:rPr>
              <w:t>备设置或是维修所必需的客户和维修级别密码(高级级别密码除外)(service key), 并保证不违反国家有关知识产权的法律规定，维保服务方案能满足本项目实际实施要求。</w:t>
            </w:r>
          </w:p>
        </w:tc>
        <w:tc>
          <w:tcPr>
            <w:tcW w:w="849" w:type="dxa"/>
            <w:noWrap w:val="0"/>
            <w:vAlign w:val="center"/>
          </w:tcPr>
          <w:p w14:paraId="4C249F3C">
            <w:pPr>
              <w:spacing w:line="360" w:lineRule="exact"/>
              <w:jc w:val="center"/>
              <w:rPr>
                <w:rFonts w:ascii="宋体" w:hAnsi="宋体" w:cs="宋体"/>
                <w:szCs w:val="21"/>
              </w:rPr>
            </w:pPr>
            <w:r>
              <w:rPr>
                <w:rFonts w:hint="eastAsia" w:ascii="宋体" w:hAnsi="宋体" w:cs="宋体"/>
                <w:szCs w:val="21"/>
                <w:lang w:val="en-US" w:eastAsia="zh-CN"/>
              </w:rPr>
              <w:t>12</w:t>
            </w:r>
            <w:r>
              <w:rPr>
                <w:rFonts w:hint="eastAsia" w:ascii="宋体" w:hAnsi="宋体" w:cs="宋体"/>
                <w:szCs w:val="21"/>
              </w:rPr>
              <w:t>分</w:t>
            </w:r>
          </w:p>
        </w:tc>
      </w:tr>
      <w:tr w14:paraId="4452A8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89" w:type="dxa"/>
            <w:tcBorders>
              <w:bottom w:val="single" w:color="auto" w:sz="4" w:space="0"/>
            </w:tcBorders>
            <w:noWrap w:val="0"/>
            <w:vAlign w:val="center"/>
          </w:tcPr>
          <w:p w14:paraId="09B1FBF7">
            <w:pPr>
              <w:pStyle w:val="38"/>
              <w:spacing w:line="360" w:lineRule="exact"/>
              <w:ind w:left="0"/>
              <w:jc w:val="center"/>
              <w:rPr>
                <w:rFonts w:hint="eastAsia" w:ascii="宋体" w:hAnsi="宋体" w:eastAsia="宋体" w:cs="宋体"/>
                <w:szCs w:val="21"/>
                <w:lang w:val="en-US" w:eastAsia="zh-CN"/>
              </w:rPr>
            </w:pPr>
            <w:r>
              <w:rPr>
                <w:rFonts w:hint="eastAsia" w:ascii="宋体" w:hAnsi="宋体" w:cs="宋体"/>
                <w:szCs w:val="21"/>
                <w:lang w:val="en-US" w:eastAsia="zh-CN"/>
              </w:rPr>
              <w:t>4</w:t>
            </w:r>
          </w:p>
        </w:tc>
        <w:tc>
          <w:tcPr>
            <w:tcW w:w="1233" w:type="dxa"/>
            <w:noWrap w:val="0"/>
            <w:vAlign w:val="center"/>
          </w:tcPr>
          <w:p w14:paraId="22A26DA6">
            <w:pPr>
              <w:keepNext/>
              <w:spacing w:line="360" w:lineRule="exact"/>
              <w:jc w:val="center"/>
              <w:rPr>
                <w:rFonts w:ascii="Arial" w:hAnsi="Arial" w:cs="Arial"/>
                <w:bCs/>
                <w:color w:val="auto"/>
                <w:szCs w:val="21"/>
              </w:rPr>
            </w:pPr>
            <w:r>
              <w:rPr>
                <w:rFonts w:hint="eastAsia" w:ascii="宋体" w:hAnsi="宋体" w:cs="宋体"/>
                <w:bCs/>
                <w:color w:val="000000" w:themeColor="text1"/>
                <w:szCs w:val="21"/>
                <w14:textFill>
                  <w14:solidFill>
                    <w14:schemeClr w14:val="tx1"/>
                  </w14:solidFill>
                </w14:textFill>
              </w:rPr>
              <w:t>故障响应及应急方案（满分</w:t>
            </w:r>
            <w:r>
              <w:rPr>
                <w:rFonts w:hint="eastAsia" w:ascii="宋体" w:hAnsi="宋体" w:cs="宋体"/>
                <w:bCs/>
                <w:color w:val="000000" w:themeColor="text1"/>
                <w:szCs w:val="21"/>
                <w:lang w:val="en-US" w:eastAsia="zh-CN"/>
                <w14:textFill>
                  <w14:solidFill>
                    <w14:schemeClr w14:val="tx1"/>
                  </w14:solidFill>
                </w14:textFill>
              </w:rPr>
              <w:t>6</w:t>
            </w:r>
            <w:r>
              <w:rPr>
                <w:rFonts w:hint="eastAsia" w:ascii="宋体" w:hAnsi="宋体" w:cs="宋体"/>
                <w:bCs/>
                <w:color w:val="000000" w:themeColor="text1"/>
                <w:szCs w:val="21"/>
                <w14:textFill>
                  <w14:solidFill>
                    <w14:schemeClr w14:val="tx1"/>
                  </w14:solidFill>
                </w14:textFill>
              </w:rPr>
              <w:t>分）</w:t>
            </w:r>
          </w:p>
        </w:tc>
        <w:tc>
          <w:tcPr>
            <w:tcW w:w="6406" w:type="dxa"/>
            <w:noWrap w:val="0"/>
            <w:vAlign w:val="center"/>
          </w:tcPr>
          <w:p w14:paraId="02266AFF">
            <w:pPr>
              <w:keepNext/>
              <w:spacing w:line="360" w:lineRule="exact"/>
              <w:ind w:firstLine="420" w:firstLineChars="20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一档（0分）：未提供故障响应及应急方案</w:t>
            </w:r>
            <w:r>
              <w:rPr>
                <w:rFonts w:hint="eastAsia" w:ascii="宋体" w:hAnsi="宋体" w:cs="宋体"/>
                <w:bCs/>
                <w:color w:val="000000" w:themeColor="text1"/>
                <w:szCs w:val="21"/>
                <w14:textFill>
                  <w14:solidFill>
                    <w14:schemeClr w14:val="tx1"/>
                  </w14:solidFill>
                </w14:textFill>
              </w:rPr>
              <w:t>。</w:t>
            </w:r>
          </w:p>
          <w:p w14:paraId="6467AFC8">
            <w:pPr>
              <w:keepNext/>
              <w:spacing w:line="360" w:lineRule="exact"/>
              <w:ind w:firstLine="420" w:firstLineChars="200"/>
              <w:jc w:val="left"/>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二档（</w:t>
            </w:r>
            <w:r>
              <w:rPr>
                <w:rFonts w:hint="eastAsia" w:ascii="宋体" w:hAnsi="宋体" w:cs="宋体"/>
                <w:color w:val="000000" w:themeColor="text1"/>
                <w:szCs w:val="21"/>
                <w:lang w:val="en-US" w:eastAsia="zh-CN"/>
                <w14:textFill>
                  <w14:solidFill>
                    <w14:schemeClr w14:val="tx1"/>
                  </w14:solidFill>
                </w14:textFill>
              </w:rPr>
              <w:t>2</w:t>
            </w:r>
            <w:r>
              <w:rPr>
                <w:rFonts w:hint="eastAsia" w:ascii="宋体" w:hAnsi="宋体" w:cs="宋体"/>
                <w:color w:val="000000" w:themeColor="text1"/>
                <w:szCs w:val="21"/>
                <w14:textFill>
                  <w14:solidFill>
                    <w14:schemeClr w14:val="tx1"/>
                  </w14:solidFill>
                </w14:textFill>
              </w:rPr>
              <w:t>分）：</w:t>
            </w:r>
            <w:r>
              <w:rPr>
                <w:rFonts w:hint="eastAsia" w:ascii="宋体" w:hAnsi="宋体" w:cs="宋体"/>
                <w:color w:val="000000" w:themeColor="text1"/>
                <w:szCs w:val="21"/>
                <w:highlight w:val="none"/>
                <w14:textFill>
                  <w14:solidFill>
                    <w14:schemeClr w14:val="tx1"/>
                  </w14:solidFill>
                </w14:textFill>
              </w:rPr>
              <w:t>故障响应时间（</w:t>
            </w:r>
            <w:r>
              <w:rPr>
                <w:rFonts w:hint="eastAsia" w:ascii="宋体" w:hAnsi="宋体" w:cs="宋体"/>
                <w:bCs w:val="0"/>
                <w:color w:val="000000" w:themeColor="text1"/>
                <w:szCs w:val="21"/>
                <w:highlight w:val="none"/>
                <w14:textFill>
                  <w14:solidFill>
                    <w14:schemeClr w14:val="tx1"/>
                  </w14:solidFill>
                </w14:textFill>
              </w:rPr>
              <w:t>接到医院报修电话后，资深工程师1小时内电话响应，紧急故障若电话交流无法解决，则在接获报修电话后工程师12小时内到达现场</w:t>
            </w:r>
            <w:r>
              <w:rPr>
                <w:rFonts w:hint="eastAsia" w:ascii="宋体" w:hAnsi="宋体" w:cs="宋体"/>
                <w:color w:val="000000" w:themeColor="text1"/>
                <w:szCs w:val="21"/>
                <w:highlight w:val="none"/>
                <w14:textFill>
                  <w14:solidFill>
                    <w14:schemeClr w14:val="tx1"/>
                  </w14:solidFill>
                </w14:textFill>
              </w:rPr>
              <w:t>），故障解决的措施有描述，无具体应急方案内容。</w:t>
            </w:r>
          </w:p>
          <w:p w14:paraId="35254D8E">
            <w:pPr>
              <w:keepNext/>
              <w:spacing w:line="360" w:lineRule="exact"/>
              <w:ind w:firstLine="420" w:firstLineChars="20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三档（</w:t>
            </w:r>
            <w:r>
              <w:rPr>
                <w:rFonts w:hint="eastAsia" w:ascii="宋体" w:hAnsi="宋体" w:cs="宋体"/>
                <w:color w:val="000000" w:themeColor="text1"/>
                <w:szCs w:val="21"/>
                <w:lang w:val="en-US" w:eastAsia="zh-CN"/>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 xml:space="preserve"> 分）：故障响应时间（</w:t>
            </w:r>
            <w:r>
              <w:rPr>
                <w:rFonts w:hint="eastAsia" w:ascii="宋体" w:hAnsi="宋体" w:cs="宋体"/>
                <w:bCs/>
                <w:color w:val="000000" w:themeColor="text1"/>
                <w:szCs w:val="21"/>
                <w14:textFill>
                  <w14:solidFill>
                    <w14:schemeClr w14:val="tx1"/>
                  </w14:solidFill>
                </w14:textFill>
              </w:rPr>
              <w:t>故障响应时间≤</w:t>
            </w:r>
            <w:r>
              <w:rPr>
                <w:rFonts w:hint="eastAsia" w:ascii="宋体" w:hAnsi="宋体" w:cs="宋体"/>
                <w:bCs/>
                <w:color w:val="000000" w:themeColor="text1"/>
                <w:szCs w:val="21"/>
                <w:lang w:val="en-US" w:eastAsia="zh-CN"/>
                <w14:textFill>
                  <w14:solidFill>
                    <w14:schemeClr w14:val="tx1"/>
                  </w14:solidFill>
                </w14:textFill>
              </w:rPr>
              <w:t>30</w:t>
            </w:r>
            <w:r>
              <w:rPr>
                <w:rFonts w:hint="eastAsia" w:ascii="宋体" w:hAnsi="宋体" w:cs="宋体"/>
                <w:bCs/>
                <w:color w:val="000000" w:themeColor="text1"/>
                <w:szCs w:val="21"/>
                <w14:textFill>
                  <w14:solidFill>
                    <w14:schemeClr w14:val="tx1"/>
                  </w14:solidFill>
                </w14:textFill>
              </w:rPr>
              <w:t>分钟，到达现场时间≤12小时，可出具书面时效保障承诺</w:t>
            </w:r>
            <w:r>
              <w:rPr>
                <w:rFonts w:hint="eastAsia" w:ascii="宋体" w:hAnsi="宋体" w:cs="宋体"/>
                <w:color w:val="000000" w:themeColor="text1"/>
                <w:szCs w:val="21"/>
                <w14:textFill>
                  <w14:solidFill>
                    <w14:schemeClr w14:val="tx1"/>
                  </w14:solidFill>
                </w14:textFill>
              </w:rPr>
              <w:t>），有故障类别分析说明，可</w:t>
            </w:r>
            <w:r>
              <w:rPr>
                <w:rFonts w:hint="eastAsia" w:ascii="宋体" w:hAnsi="宋体" w:cs="宋体"/>
                <w:bCs/>
                <w:color w:val="000000" w:themeColor="text1"/>
                <w:szCs w:val="21"/>
                <w14:textFill>
                  <w14:solidFill>
                    <w14:schemeClr w14:val="tx1"/>
                  </w14:solidFill>
                </w14:textFill>
              </w:rPr>
              <w:t>根据故障类别分别提供具体解决措施及应急方案。</w:t>
            </w:r>
          </w:p>
          <w:p w14:paraId="26942E0E">
            <w:pPr>
              <w:widowControl/>
              <w:spacing w:line="360" w:lineRule="exact"/>
              <w:ind w:firstLine="420" w:firstLineChars="200"/>
              <w:jc w:val="left"/>
              <w:rPr>
                <w:rFonts w:hint="eastAsia" w:ascii="宋体" w:hAnsi="宋体" w:cs="宋体"/>
                <w:b/>
                <w:bCs/>
                <w:szCs w:val="21"/>
              </w:rPr>
            </w:pPr>
            <w:r>
              <w:rPr>
                <w:rFonts w:hint="eastAsia" w:ascii="宋体" w:hAnsi="宋体" w:cs="宋体"/>
                <w:color w:val="000000" w:themeColor="text1"/>
                <w:szCs w:val="21"/>
                <w14:textFill>
                  <w14:solidFill>
                    <w14:schemeClr w14:val="tx1"/>
                  </w14:solidFill>
                </w14:textFill>
              </w:rPr>
              <w:t>四档（</w:t>
            </w: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t xml:space="preserve"> 分）：故障响应时间（</w:t>
            </w:r>
            <w:r>
              <w:rPr>
                <w:rFonts w:hint="eastAsia" w:ascii="宋体" w:hAnsi="宋体" w:cs="宋体"/>
                <w:bCs/>
                <w:color w:val="000000" w:themeColor="text1"/>
                <w:szCs w:val="21"/>
                <w14:textFill>
                  <w14:solidFill>
                    <w14:schemeClr w14:val="tx1"/>
                  </w14:solidFill>
                </w14:textFill>
              </w:rPr>
              <w:t>故障响应时间≤20分钟，到达现场时间≤6小时，可出具书面时效保障承诺及配套时效保障机制</w:t>
            </w:r>
            <w:r>
              <w:rPr>
                <w:rFonts w:hint="eastAsia" w:ascii="宋体" w:hAnsi="宋体" w:cs="宋体"/>
                <w:color w:val="000000" w:themeColor="text1"/>
                <w:szCs w:val="21"/>
                <w14:textFill>
                  <w14:solidFill>
                    <w14:schemeClr w14:val="tx1"/>
                  </w14:solidFill>
                </w14:textFill>
              </w:rPr>
              <w:t>），有故障类别分析说明，</w:t>
            </w:r>
            <w:r>
              <w:rPr>
                <w:rFonts w:hint="eastAsia" w:ascii="宋体" w:hAnsi="宋体" w:cs="宋体"/>
                <w:bCs/>
                <w:color w:val="000000" w:themeColor="text1"/>
                <w:szCs w:val="21"/>
                <w14:textFill>
                  <w14:solidFill>
                    <w14:schemeClr w14:val="tx1"/>
                  </w14:solidFill>
                </w14:textFill>
              </w:rPr>
              <w:t>并根据故障类别分别提供详细的故障响应处理方案及应急方案，方案可结合本项目维保设备不同机型分别编制专属故障解决措施清单，措施落地可执行，对常规应急处理、事故应急处理贴合本项目医院诊疗工作实际需求。</w:t>
            </w:r>
          </w:p>
        </w:tc>
        <w:tc>
          <w:tcPr>
            <w:tcW w:w="849" w:type="dxa"/>
            <w:noWrap w:val="0"/>
            <w:vAlign w:val="center"/>
          </w:tcPr>
          <w:p w14:paraId="4DA2785E">
            <w:pPr>
              <w:spacing w:line="360" w:lineRule="exact"/>
              <w:jc w:val="center"/>
              <w:rPr>
                <w:rFonts w:hint="default" w:ascii="宋体" w:hAnsi="宋体" w:eastAsia="宋体" w:cs="宋体"/>
                <w:szCs w:val="21"/>
                <w:lang w:val="en-US" w:eastAsia="zh-CN"/>
              </w:rPr>
            </w:pPr>
            <w:r>
              <w:rPr>
                <w:rFonts w:hint="eastAsia" w:ascii="宋体" w:hAnsi="宋体" w:cs="宋体"/>
                <w:szCs w:val="21"/>
                <w:lang w:val="en-US" w:eastAsia="zh-CN"/>
              </w:rPr>
              <w:t>6分</w:t>
            </w:r>
          </w:p>
        </w:tc>
      </w:tr>
      <w:tr w14:paraId="7D6321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89" w:type="dxa"/>
            <w:tcBorders>
              <w:bottom w:val="single" w:color="auto" w:sz="4" w:space="0"/>
            </w:tcBorders>
            <w:noWrap w:val="0"/>
            <w:vAlign w:val="center"/>
          </w:tcPr>
          <w:p w14:paraId="4E9D6E1E">
            <w:pPr>
              <w:pStyle w:val="38"/>
              <w:spacing w:line="360" w:lineRule="exact"/>
              <w:ind w:left="0"/>
              <w:jc w:val="center"/>
              <w:rPr>
                <w:rFonts w:hint="default" w:ascii="宋体" w:hAnsi="宋体" w:cs="宋体"/>
                <w:szCs w:val="21"/>
                <w:lang w:val="en-US" w:eastAsia="zh-CN"/>
              </w:rPr>
            </w:pPr>
            <w:r>
              <w:rPr>
                <w:rFonts w:hint="eastAsia" w:ascii="宋体" w:hAnsi="宋体" w:cs="宋体"/>
                <w:szCs w:val="21"/>
                <w:lang w:val="en-US" w:eastAsia="zh-CN"/>
              </w:rPr>
              <w:t>5</w:t>
            </w:r>
          </w:p>
        </w:tc>
        <w:tc>
          <w:tcPr>
            <w:tcW w:w="1233" w:type="dxa"/>
            <w:noWrap w:val="0"/>
            <w:vAlign w:val="center"/>
          </w:tcPr>
          <w:p w14:paraId="4CD9A82C">
            <w:pPr>
              <w:keepNext/>
              <w:spacing w:line="360" w:lineRule="exact"/>
              <w:jc w:val="center"/>
              <w:rPr>
                <w:rFonts w:ascii="Arial" w:hAnsi="Arial" w:cs="Arial"/>
                <w:bCs/>
                <w:color w:val="auto"/>
                <w:szCs w:val="21"/>
              </w:rPr>
            </w:pPr>
            <w:r>
              <w:rPr>
                <w:rFonts w:hint="eastAsia" w:ascii="宋体" w:hAnsi="宋体" w:cs="宋体"/>
                <w:bCs/>
                <w:color w:val="000000" w:themeColor="text1"/>
                <w:szCs w:val="21"/>
                <w14:textFill>
                  <w14:solidFill>
                    <w14:schemeClr w14:val="tx1"/>
                  </w14:solidFill>
                </w14:textFill>
              </w:rPr>
              <w:t>主要服务设施的情况和现状（满分9分）</w:t>
            </w:r>
          </w:p>
        </w:tc>
        <w:tc>
          <w:tcPr>
            <w:tcW w:w="6406" w:type="dxa"/>
            <w:noWrap w:val="0"/>
            <w:vAlign w:val="center"/>
          </w:tcPr>
          <w:p w14:paraId="6C988A89">
            <w:pPr>
              <w:keepNext/>
              <w:spacing w:line="360" w:lineRule="exact"/>
              <w:ind w:firstLine="420" w:firstLineChars="200"/>
              <w:jc w:val="left"/>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一档（0分）：未提供主要服务设施的情况和现状内容。</w:t>
            </w:r>
          </w:p>
          <w:p w14:paraId="70A0DECB">
            <w:pPr>
              <w:keepNext/>
              <w:spacing w:line="360" w:lineRule="exact"/>
              <w:ind w:firstLine="420" w:firstLineChars="200"/>
              <w:jc w:val="left"/>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二档（3分）：提供专业维修工具清单列表、图片，无提供原厂新备件的保障方案。</w:t>
            </w:r>
          </w:p>
          <w:p w14:paraId="4EAF8A58">
            <w:pPr>
              <w:keepNext/>
              <w:spacing w:line="360" w:lineRule="exact"/>
              <w:ind w:firstLine="420" w:firstLineChars="200"/>
              <w:jc w:val="left"/>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三档（6分）：提供专业维修工具清单列表、图片，维修工具配置齐全，提供原厂新备件的保障方案，具备有采购需求维修设备的维修能力（在投标文件中能提供部分能证明维修能力的工单或相关验收报告）。</w:t>
            </w:r>
          </w:p>
          <w:p w14:paraId="17636105">
            <w:pPr>
              <w:keepNext/>
              <w:widowControl/>
              <w:spacing w:line="360" w:lineRule="exact"/>
              <w:ind w:firstLine="420" w:firstLineChars="200"/>
              <w:jc w:val="left"/>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四档（9分）：在三档的基础上，维修工具配置满足项目实际需求，具备</w:t>
            </w:r>
            <w:r>
              <w:rPr>
                <w:rFonts w:ascii="宋体" w:hAnsi="宋体" w:cs="宋体"/>
                <w:bCs/>
                <w:color w:val="000000" w:themeColor="text1"/>
                <w:szCs w:val="21"/>
                <w14:textFill>
                  <w14:solidFill>
                    <w14:schemeClr w14:val="tx1"/>
                  </w14:solidFill>
                </w14:textFill>
              </w:rPr>
              <w:t>法定资质的第三方机构出具的检验检测</w:t>
            </w:r>
            <w:r>
              <w:rPr>
                <w:rFonts w:hint="eastAsia" w:ascii="宋体" w:hAnsi="宋体" w:cs="宋体"/>
                <w:bCs/>
                <w:color w:val="000000" w:themeColor="text1"/>
                <w:szCs w:val="21"/>
                <w14:textFill>
                  <w14:solidFill>
                    <w14:schemeClr w14:val="tx1"/>
                  </w14:solidFill>
                </w14:textFill>
              </w:rPr>
              <w:t>证书，能够提供主要备件（至少包含CT设备的球管、探测器、高压发生器等）海关报关单及能提供（至少包含CT设备的</w:t>
            </w:r>
            <w:r>
              <w:rPr>
                <w:rFonts w:hint="eastAsia" w:ascii="宋体" w:hAnsi="宋体" w:cs="宋体"/>
                <w:color w:val="000000" w:themeColor="text1"/>
                <w:szCs w:val="21"/>
                <w14:textFill>
                  <w14:solidFill>
                    <w14:schemeClr w14:val="tx1"/>
                  </w14:solidFill>
                </w14:textFill>
              </w:rPr>
              <w:t>球管故障检测更换、探测器检测更换、高压发生器更换等</w:t>
            </w:r>
            <w:r>
              <w:rPr>
                <w:rFonts w:hint="eastAsia" w:ascii="宋体" w:hAnsi="宋体" w:cs="宋体"/>
                <w:bCs/>
                <w:color w:val="000000" w:themeColor="text1"/>
                <w:szCs w:val="21"/>
                <w14:textFill>
                  <w14:solidFill>
                    <w14:schemeClr w14:val="tx1"/>
                  </w14:solidFill>
                </w14:textFill>
              </w:rPr>
              <w:t>）维修能力证明工单或相关验收报告。</w:t>
            </w:r>
          </w:p>
          <w:p w14:paraId="270960A3">
            <w:pPr>
              <w:keepNext/>
              <w:spacing w:line="360" w:lineRule="exact"/>
              <w:ind w:firstLine="422" w:firstLineChars="200"/>
              <w:jc w:val="left"/>
              <w:rPr>
                <w:rFonts w:hint="eastAsia" w:ascii="宋体" w:hAnsi="宋体" w:cs="宋体"/>
                <w:b/>
                <w:bCs/>
                <w:szCs w:val="21"/>
              </w:rPr>
            </w:pPr>
            <w:r>
              <w:rPr>
                <w:rFonts w:hint="eastAsia" w:ascii="宋体" w:hAnsi="宋体" w:cs="宋体"/>
                <w:b/>
                <w:color w:val="000000" w:themeColor="text1"/>
                <w:szCs w:val="21"/>
                <w14:textFill>
                  <w14:solidFill>
                    <w14:schemeClr w14:val="tx1"/>
                  </w14:solidFill>
                </w14:textFill>
              </w:rPr>
              <w:t>注：提供的材料如工具图片、海关报关单、维修工单或验收报告等因不清晰而影响评标委员会判断的，评标委员会有权不认可。</w:t>
            </w:r>
          </w:p>
        </w:tc>
        <w:tc>
          <w:tcPr>
            <w:tcW w:w="849" w:type="dxa"/>
            <w:noWrap w:val="0"/>
            <w:vAlign w:val="center"/>
          </w:tcPr>
          <w:p w14:paraId="07E76C88">
            <w:pPr>
              <w:spacing w:line="360" w:lineRule="exact"/>
              <w:jc w:val="center"/>
              <w:rPr>
                <w:rFonts w:hint="default" w:ascii="宋体" w:hAnsi="宋体" w:eastAsia="宋体" w:cs="宋体"/>
                <w:szCs w:val="21"/>
                <w:lang w:val="en-US" w:eastAsia="zh-CN"/>
              </w:rPr>
            </w:pPr>
            <w:r>
              <w:rPr>
                <w:rFonts w:hint="eastAsia" w:ascii="宋体" w:hAnsi="宋体" w:cs="宋体"/>
                <w:szCs w:val="21"/>
                <w:lang w:val="en-US" w:eastAsia="zh-CN"/>
              </w:rPr>
              <w:t>9分</w:t>
            </w:r>
          </w:p>
        </w:tc>
      </w:tr>
      <w:tr w14:paraId="79AD86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89" w:type="dxa"/>
            <w:tcBorders>
              <w:bottom w:val="single" w:color="auto" w:sz="4" w:space="0"/>
            </w:tcBorders>
            <w:noWrap w:val="0"/>
            <w:vAlign w:val="center"/>
          </w:tcPr>
          <w:p w14:paraId="633CC3AE">
            <w:pPr>
              <w:pStyle w:val="38"/>
              <w:spacing w:line="360" w:lineRule="exact"/>
              <w:ind w:left="0"/>
              <w:jc w:val="center"/>
              <w:rPr>
                <w:rFonts w:hint="default" w:ascii="宋体" w:hAnsi="宋体" w:cs="宋体"/>
                <w:szCs w:val="21"/>
                <w:lang w:val="en-US" w:eastAsia="zh-CN"/>
              </w:rPr>
            </w:pPr>
            <w:r>
              <w:rPr>
                <w:rFonts w:hint="eastAsia" w:ascii="宋体" w:hAnsi="宋体" w:cs="宋体"/>
                <w:szCs w:val="21"/>
                <w:lang w:val="en-US" w:eastAsia="zh-CN"/>
              </w:rPr>
              <w:t>6</w:t>
            </w:r>
          </w:p>
        </w:tc>
        <w:tc>
          <w:tcPr>
            <w:tcW w:w="1233" w:type="dxa"/>
            <w:noWrap w:val="0"/>
            <w:vAlign w:val="center"/>
          </w:tcPr>
          <w:p w14:paraId="41A240B2">
            <w:pPr>
              <w:keepNext/>
              <w:spacing w:line="360" w:lineRule="exact"/>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备件供应</w:t>
            </w:r>
          </w:p>
          <w:p w14:paraId="71B6D6F9">
            <w:pPr>
              <w:keepNext/>
              <w:spacing w:line="360" w:lineRule="exact"/>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（满分9分）</w:t>
            </w:r>
          </w:p>
        </w:tc>
        <w:tc>
          <w:tcPr>
            <w:tcW w:w="6406" w:type="dxa"/>
            <w:noWrap w:val="0"/>
            <w:vAlign w:val="center"/>
          </w:tcPr>
          <w:p w14:paraId="0C4682A6">
            <w:pPr>
              <w:keepNext/>
              <w:spacing w:line="360" w:lineRule="exact"/>
              <w:ind w:firstLine="420" w:firstLineChars="20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一档</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0分</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：未提供备件供应方案或在国内无备件仓库。</w:t>
            </w:r>
          </w:p>
          <w:p w14:paraId="0D6BA4E5">
            <w:pPr>
              <w:keepNext/>
              <w:spacing w:line="360" w:lineRule="exact"/>
              <w:ind w:firstLine="420" w:firstLineChars="20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二档</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3分</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：可提供与本项目相适应的备件供应清单，在国内有备件仓库。</w:t>
            </w:r>
          </w:p>
          <w:p w14:paraId="3316E52F">
            <w:pPr>
              <w:keepNext/>
              <w:spacing w:line="360" w:lineRule="exact"/>
              <w:ind w:firstLine="420" w:firstLineChars="20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三档</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6分</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提供有备件供应方案，可提供与本项目相适应的备件供应清单，在国内有备件仓库，能提供具体的备件调配流程，提供备件供应链有效性、采购渠道和库存管理等方面内容，可有效保障备件在规定时限内供应，可满足项目实施需求。</w:t>
            </w:r>
          </w:p>
          <w:p w14:paraId="3D663FE7">
            <w:pPr>
              <w:keepNext/>
              <w:spacing w:line="360" w:lineRule="exact"/>
              <w:ind w:firstLine="420" w:firstLineChars="20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四档</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9分</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满足三档的基础上，具备健全的供应链管理系统，明确备件供应的时间和要求，能提供从检修出故障到备品备件到达项目地点完成安装并调试完毕的详细流程及时间安排说明、备件运输路线图、仓库证明材料等。</w:t>
            </w:r>
          </w:p>
          <w:p w14:paraId="7B7362F3">
            <w:pPr>
              <w:keepNext/>
              <w:spacing w:line="360" w:lineRule="exact"/>
              <w:ind w:firstLine="422" w:firstLineChars="200"/>
              <w:jc w:val="left"/>
              <w:rPr>
                <w:rFonts w:ascii="Arial" w:hAnsi="Arial" w:cs="Arial"/>
                <w:bCs/>
                <w:color w:val="auto"/>
                <w:szCs w:val="21"/>
              </w:rPr>
            </w:pPr>
            <w:r>
              <w:rPr>
                <w:rFonts w:hint="eastAsia" w:ascii="宋体" w:hAnsi="宋体" w:cs="宋体"/>
                <w:b/>
                <w:color w:val="000000" w:themeColor="text1"/>
                <w:szCs w:val="21"/>
                <w14:textFill>
                  <w14:solidFill>
                    <w14:schemeClr w14:val="tx1"/>
                  </w14:solidFill>
                </w14:textFill>
              </w:rPr>
              <w:t>注：投标人在投标文件中提供备件仓库的相应证明材料，仓库地址、现场图片、如仓库为投标人自有的提供产权证明，如仓库为投标人租赁的提供租赁合同或仓库服务协议等，证明材料加盖投标人电子签章，否则不得分。</w:t>
            </w:r>
          </w:p>
        </w:tc>
        <w:tc>
          <w:tcPr>
            <w:tcW w:w="849" w:type="dxa"/>
            <w:noWrap w:val="0"/>
            <w:vAlign w:val="center"/>
          </w:tcPr>
          <w:p w14:paraId="2B8E2C40">
            <w:pPr>
              <w:spacing w:line="360" w:lineRule="exact"/>
              <w:jc w:val="center"/>
              <w:rPr>
                <w:rFonts w:hint="eastAsia" w:ascii="宋体" w:hAnsi="宋体" w:cs="宋体"/>
                <w:szCs w:val="21"/>
                <w:lang w:val="en-US" w:eastAsia="zh-CN"/>
              </w:rPr>
            </w:pPr>
            <w:r>
              <w:rPr>
                <w:rFonts w:hint="eastAsia" w:ascii="宋体" w:hAnsi="宋体" w:cs="宋体"/>
                <w:szCs w:val="21"/>
                <w:lang w:val="en-US" w:eastAsia="zh-CN"/>
              </w:rPr>
              <w:t>9分</w:t>
            </w:r>
          </w:p>
        </w:tc>
      </w:tr>
      <w:tr w14:paraId="2AA617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89" w:type="dxa"/>
            <w:tcBorders>
              <w:bottom w:val="single" w:color="auto" w:sz="4" w:space="0"/>
            </w:tcBorders>
            <w:noWrap w:val="0"/>
            <w:vAlign w:val="center"/>
          </w:tcPr>
          <w:p w14:paraId="7F388EE4">
            <w:pPr>
              <w:pStyle w:val="38"/>
              <w:spacing w:line="360" w:lineRule="exact"/>
              <w:ind w:left="0"/>
              <w:jc w:val="center"/>
              <w:rPr>
                <w:rFonts w:hint="default" w:ascii="宋体" w:hAnsi="宋体" w:cs="宋体"/>
                <w:szCs w:val="21"/>
                <w:lang w:val="en-US" w:eastAsia="zh-CN"/>
              </w:rPr>
            </w:pPr>
            <w:r>
              <w:rPr>
                <w:rFonts w:hint="eastAsia" w:ascii="宋体" w:hAnsi="宋体" w:cs="宋体"/>
                <w:szCs w:val="21"/>
                <w:lang w:val="en-US" w:eastAsia="zh-CN"/>
              </w:rPr>
              <w:t>7</w:t>
            </w:r>
          </w:p>
        </w:tc>
        <w:tc>
          <w:tcPr>
            <w:tcW w:w="1233" w:type="dxa"/>
            <w:noWrap w:val="0"/>
            <w:vAlign w:val="center"/>
          </w:tcPr>
          <w:p w14:paraId="75BA71B1">
            <w:pPr>
              <w:keepNext/>
              <w:spacing w:line="360" w:lineRule="exact"/>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培训方案</w:t>
            </w:r>
          </w:p>
          <w:p w14:paraId="7D3B8238">
            <w:pPr>
              <w:keepNext/>
              <w:spacing w:line="360" w:lineRule="exact"/>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（满分5分）</w:t>
            </w:r>
          </w:p>
        </w:tc>
        <w:tc>
          <w:tcPr>
            <w:tcW w:w="6406" w:type="dxa"/>
            <w:noWrap w:val="0"/>
            <w:vAlign w:val="center"/>
          </w:tcPr>
          <w:p w14:paraId="2D230D78">
            <w:pPr>
              <w:keepNext/>
              <w:spacing w:line="360" w:lineRule="exact"/>
              <w:ind w:firstLine="420" w:firstLineChars="200"/>
              <w:jc w:val="left"/>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一档（0 分）：未提供培训方案。</w:t>
            </w:r>
          </w:p>
          <w:p w14:paraId="1832AA15">
            <w:pPr>
              <w:keepNext/>
              <w:spacing w:line="360" w:lineRule="exact"/>
              <w:ind w:firstLine="420" w:firstLineChars="200"/>
              <w:jc w:val="left"/>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二档（1 分）：提供有基本培训方案，根据设备特点及技术要求对人员类型和培训的人次有具体培训计划，满足招标文件的基本培训需求。</w:t>
            </w:r>
          </w:p>
          <w:p w14:paraId="58A09B51">
            <w:pPr>
              <w:keepNext/>
              <w:spacing w:line="360" w:lineRule="exact"/>
              <w:ind w:firstLine="420" w:firstLineChars="200"/>
              <w:jc w:val="left"/>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三档（3 分）：提供有详细的培训方案，有培训计划（包含培训安排、培训内容、培训持续时间、培训地点、培训方式、</w:t>
            </w:r>
            <w:r>
              <w:rPr>
                <w:rFonts w:hint="eastAsia" w:ascii="宋体" w:hAnsi="宋体" w:cs="宋体"/>
                <w:color w:val="000000" w:themeColor="text1"/>
                <w:szCs w:val="21"/>
                <w14:textFill>
                  <w14:solidFill>
                    <w14:schemeClr w14:val="tx1"/>
                  </w14:solidFill>
                </w14:textFill>
              </w:rPr>
              <w:t>培训对象、</w:t>
            </w:r>
            <w:r>
              <w:rPr>
                <w:rFonts w:hint="eastAsia" w:ascii="宋体" w:hAnsi="宋体" w:cs="宋体"/>
                <w:bCs/>
                <w:color w:val="000000" w:themeColor="text1"/>
                <w:szCs w:val="21"/>
                <w14:textFill>
                  <w14:solidFill>
                    <w14:schemeClr w14:val="tx1"/>
                  </w14:solidFill>
                </w14:textFill>
              </w:rPr>
              <w:t>培训后的技术支持等）、培训方法（包含理论知识、示范演示、实际操作、反馈与评估等），</w:t>
            </w:r>
            <w:r>
              <w:rPr>
                <w:rFonts w:hint="eastAsia" w:ascii="宋体" w:hAnsi="宋体" w:cs="宋体"/>
                <w:color w:val="000000" w:themeColor="text1"/>
                <w:szCs w:val="21"/>
                <w14:textFill>
                  <w14:solidFill>
                    <w14:schemeClr w14:val="tx1"/>
                  </w14:solidFill>
                </w14:textFill>
              </w:rPr>
              <w:t>培训可贯穿整个项目的实施过程</w:t>
            </w:r>
            <w:r>
              <w:rPr>
                <w:rFonts w:hint="eastAsia" w:ascii="宋体" w:hAnsi="宋体" w:cs="宋体"/>
                <w:bCs/>
                <w:color w:val="000000" w:themeColor="text1"/>
                <w:szCs w:val="21"/>
                <w14:textFill>
                  <w14:solidFill>
                    <w14:schemeClr w14:val="tx1"/>
                  </w14:solidFill>
                </w14:textFill>
              </w:rPr>
              <w:t>，对项目实施提供有效保障。</w:t>
            </w:r>
          </w:p>
          <w:p w14:paraId="043DB103">
            <w:pPr>
              <w:keepNext/>
              <w:spacing w:line="360" w:lineRule="exact"/>
              <w:ind w:firstLine="420" w:firstLineChars="200"/>
              <w:jc w:val="left"/>
              <w:rPr>
                <w:rFonts w:ascii="Arial" w:hAnsi="Arial" w:cs="Arial"/>
                <w:bCs/>
                <w:color w:val="auto"/>
                <w:szCs w:val="21"/>
              </w:rPr>
            </w:pPr>
            <w:r>
              <w:rPr>
                <w:rFonts w:hint="eastAsia" w:ascii="宋体" w:hAnsi="宋体" w:cs="宋体"/>
                <w:bCs/>
                <w:color w:val="000000" w:themeColor="text1"/>
                <w:szCs w:val="21"/>
                <w14:textFill>
                  <w14:solidFill>
                    <w14:schemeClr w14:val="tx1"/>
                  </w14:solidFill>
                </w14:textFill>
              </w:rPr>
              <w:t>四档（5分）：在满足三档的基础上，培训</w:t>
            </w:r>
            <w:r>
              <w:rPr>
                <w:rFonts w:hint="eastAsia" w:ascii="宋体" w:hAnsi="宋体" w:cs="宋体"/>
                <w:color w:val="000000" w:themeColor="text1"/>
                <w:szCs w:val="21"/>
                <w14:textFill>
                  <w14:solidFill>
                    <w14:schemeClr w14:val="tx1"/>
                  </w14:solidFill>
                </w14:textFill>
              </w:rPr>
              <w:t>方案包含的要点齐全无缺项、内容完善，可有效保障医院相关人员能掌握设备及系统的使用、维护、管理、故障基本处理等，</w:t>
            </w:r>
            <w:r>
              <w:rPr>
                <w:rFonts w:hint="eastAsia" w:ascii="宋体" w:hAnsi="宋体" w:cs="宋体"/>
                <w:bCs/>
                <w:color w:val="000000" w:themeColor="text1"/>
                <w:szCs w:val="21"/>
                <w14:textFill>
                  <w14:solidFill>
                    <w14:schemeClr w14:val="tx1"/>
                  </w14:solidFill>
                </w14:textFill>
              </w:rPr>
              <w:t>培训人员有培训经验，承诺可提供使用后继续培训服务，能结合项目实际定期更新知识与改进培训内容，保持与行业前沿的接轨。</w:t>
            </w:r>
          </w:p>
        </w:tc>
        <w:tc>
          <w:tcPr>
            <w:tcW w:w="849" w:type="dxa"/>
            <w:noWrap w:val="0"/>
            <w:vAlign w:val="center"/>
          </w:tcPr>
          <w:p w14:paraId="5474F67F">
            <w:pPr>
              <w:spacing w:line="360" w:lineRule="exact"/>
              <w:jc w:val="center"/>
              <w:rPr>
                <w:rFonts w:hint="eastAsia" w:ascii="宋体" w:hAnsi="宋体" w:cs="宋体"/>
                <w:szCs w:val="21"/>
                <w:lang w:val="en-US" w:eastAsia="zh-CN"/>
              </w:rPr>
            </w:pPr>
            <w:r>
              <w:rPr>
                <w:rFonts w:hint="eastAsia" w:ascii="宋体" w:hAnsi="宋体" w:cs="宋体"/>
                <w:szCs w:val="21"/>
                <w:lang w:val="en-US" w:eastAsia="zh-CN"/>
              </w:rPr>
              <w:t>5分</w:t>
            </w:r>
          </w:p>
        </w:tc>
      </w:tr>
      <w:tr w14:paraId="667ACB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89" w:type="dxa"/>
            <w:tcBorders>
              <w:bottom w:val="single" w:color="auto" w:sz="4" w:space="0"/>
            </w:tcBorders>
            <w:noWrap w:val="0"/>
            <w:vAlign w:val="center"/>
          </w:tcPr>
          <w:p w14:paraId="5D83F98F">
            <w:pPr>
              <w:pStyle w:val="38"/>
              <w:spacing w:line="360" w:lineRule="exact"/>
              <w:ind w:left="0"/>
              <w:jc w:val="center"/>
              <w:rPr>
                <w:rFonts w:hint="default" w:ascii="宋体" w:hAnsi="宋体" w:cs="宋体"/>
                <w:szCs w:val="21"/>
                <w:lang w:val="en-US" w:eastAsia="zh-CN"/>
              </w:rPr>
            </w:pPr>
            <w:r>
              <w:rPr>
                <w:rFonts w:hint="eastAsia" w:ascii="宋体" w:hAnsi="宋体" w:cs="宋体"/>
                <w:szCs w:val="21"/>
                <w:lang w:val="en-US" w:eastAsia="zh-CN"/>
              </w:rPr>
              <w:t>8</w:t>
            </w:r>
          </w:p>
        </w:tc>
        <w:tc>
          <w:tcPr>
            <w:tcW w:w="1233" w:type="dxa"/>
            <w:noWrap w:val="0"/>
            <w:vAlign w:val="center"/>
          </w:tcPr>
          <w:p w14:paraId="34FD0134">
            <w:pPr>
              <w:keepNext/>
              <w:spacing w:line="360" w:lineRule="exact"/>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人员配置（满分</w:t>
            </w:r>
            <w:r>
              <w:rPr>
                <w:rFonts w:hint="eastAsia" w:ascii="宋体" w:hAnsi="宋体" w:cs="宋体"/>
                <w:bCs/>
                <w:color w:val="000000" w:themeColor="text1"/>
                <w:szCs w:val="21"/>
                <w:lang w:val="en-US" w:eastAsia="zh-CN"/>
                <w14:textFill>
                  <w14:solidFill>
                    <w14:schemeClr w14:val="tx1"/>
                  </w14:solidFill>
                </w14:textFill>
              </w:rPr>
              <w:t>10</w:t>
            </w:r>
            <w:r>
              <w:rPr>
                <w:rFonts w:hint="eastAsia" w:ascii="宋体" w:hAnsi="宋体" w:cs="宋体"/>
                <w:bCs/>
                <w:color w:val="000000" w:themeColor="text1"/>
                <w:szCs w:val="21"/>
                <w14:textFill>
                  <w14:solidFill>
                    <w14:schemeClr w14:val="tx1"/>
                  </w14:solidFill>
                </w14:textFill>
              </w:rPr>
              <w:t>分）</w:t>
            </w:r>
          </w:p>
        </w:tc>
        <w:tc>
          <w:tcPr>
            <w:tcW w:w="6406" w:type="dxa"/>
            <w:noWrap w:val="0"/>
            <w:vAlign w:val="center"/>
          </w:tcPr>
          <w:p w14:paraId="562C6DB4">
            <w:pPr>
              <w:keepNext/>
              <w:spacing w:line="360" w:lineRule="exact"/>
              <w:ind w:firstLine="420" w:firstLineChars="20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一档（0分）：未提供本项目的人员配备方案。</w:t>
            </w:r>
          </w:p>
          <w:p w14:paraId="1D942E7C">
            <w:pPr>
              <w:keepNext/>
              <w:spacing w:line="360" w:lineRule="exact"/>
              <w:ind w:firstLine="420" w:firstLineChars="20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二档（</w:t>
            </w:r>
            <w:r>
              <w:rPr>
                <w:rFonts w:hint="eastAsia" w:ascii="宋体" w:hAnsi="宋体" w:cs="宋体"/>
                <w:color w:val="000000" w:themeColor="text1"/>
                <w:szCs w:val="21"/>
                <w:lang w:val="en-US" w:eastAsia="zh-CN"/>
                <w14:textFill>
                  <w14:solidFill>
                    <w14:schemeClr w14:val="tx1"/>
                  </w14:solidFill>
                </w14:textFill>
              </w:rPr>
              <w:t>3</w:t>
            </w:r>
            <w:r>
              <w:rPr>
                <w:rFonts w:hint="eastAsia" w:ascii="宋体" w:hAnsi="宋体" w:cs="宋体"/>
                <w:color w:val="000000" w:themeColor="text1"/>
                <w:szCs w:val="21"/>
                <w14:textFill>
                  <w14:solidFill>
                    <w14:schemeClr w14:val="tx1"/>
                  </w14:solidFill>
                </w14:textFill>
              </w:rPr>
              <w:t>分）：提供本项目的人员配备方案，有项目管理组织机构及人员职能划分，相应人员工作职责阐述，拟投入经</w:t>
            </w:r>
            <w:r>
              <w:rPr>
                <w:rFonts w:hint="eastAsia" w:ascii="宋体" w:hAnsi="宋体" w:cs="宋体"/>
                <w:color w:val="000000" w:themeColor="text1"/>
                <w:kern w:val="0"/>
                <w:szCs w:val="21"/>
                <w14:textFill>
                  <w14:solidFill>
                    <w14:schemeClr w14:val="tx1"/>
                  </w14:solidFill>
                </w14:textFill>
              </w:rPr>
              <w:t>原厂技术培训</w:t>
            </w:r>
            <w:r>
              <w:rPr>
                <w:rFonts w:hint="eastAsia" w:ascii="宋体" w:hAnsi="宋体" w:cs="宋体"/>
                <w:color w:val="000000" w:themeColor="text1"/>
                <w:szCs w:val="21"/>
                <w14:textFill>
                  <w14:solidFill>
                    <w14:schemeClr w14:val="tx1"/>
                  </w14:solidFill>
                </w14:textFill>
              </w:rPr>
              <w:t>合格的具有CT维修培训资质证明的全职工程师不少于</w:t>
            </w:r>
            <w:r>
              <w:rPr>
                <w:rFonts w:hint="eastAsia" w:ascii="宋体" w:hAnsi="宋体" w:cs="宋体"/>
                <w:color w:val="000000" w:themeColor="text1"/>
                <w:szCs w:val="21"/>
                <w:lang w:val="en-US" w:eastAsia="zh-CN"/>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人。</w:t>
            </w:r>
          </w:p>
          <w:p w14:paraId="07A84376">
            <w:pPr>
              <w:keepNext/>
              <w:spacing w:line="360" w:lineRule="exact"/>
              <w:ind w:firstLine="420" w:firstLineChars="200"/>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三档（</w:t>
            </w:r>
            <w:r>
              <w:rPr>
                <w:rFonts w:hint="eastAsia" w:ascii="宋体" w:hAnsi="宋体" w:cs="宋体"/>
                <w:color w:val="000000" w:themeColor="text1"/>
                <w:szCs w:val="21"/>
                <w:lang w:val="en-US" w:eastAsia="zh-CN"/>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t>分）：提供满足本项目的人员配备方案，项目管理组织机构及人员职能划分明确，人员工作职责阐述清晰，人员配置合理，拟投入经</w:t>
            </w:r>
            <w:r>
              <w:rPr>
                <w:rFonts w:hint="eastAsia" w:ascii="宋体" w:hAnsi="宋体" w:cs="宋体"/>
                <w:color w:val="000000" w:themeColor="text1"/>
                <w:kern w:val="0"/>
                <w:szCs w:val="21"/>
                <w14:textFill>
                  <w14:solidFill>
                    <w14:schemeClr w14:val="tx1"/>
                  </w14:solidFill>
                </w14:textFill>
              </w:rPr>
              <w:t>原厂技术培训</w:t>
            </w:r>
            <w:r>
              <w:rPr>
                <w:rFonts w:hint="eastAsia" w:ascii="宋体" w:hAnsi="宋体" w:cs="宋体"/>
                <w:color w:val="000000" w:themeColor="text1"/>
                <w:szCs w:val="21"/>
                <w14:textFill>
                  <w14:solidFill>
                    <w14:schemeClr w14:val="tx1"/>
                  </w14:solidFill>
                </w14:textFill>
              </w:rPr>
              <w:t>合格的具有CT维修培训资质证明的全职工程师不少于5人，且至少能提供主管工程师具备此类设备相关维修经验的佐证材料。</w:t>
            </w:r>
          </w:p>
          <w:p w14:paraId="4F23D708">
            <w:pPr>
              <w:keepNext/>
              <w:spacing w:line="360" w:lineRule="exact"/>
              <w:ind w:firstLine="420" w:firstLineChars="200"/>
              <w:jc w:val="left"/>
              <w:rPr>
                <w:rFonts w:hint="eastAsia" w:ascii="宋体" w:hAnsi="宋体" w:cs="宋体"/>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四档（</w:t>
            </w:r>
            <w:r>
              <w:rPr>
                <w:rFonts w:hint="eastAsia" w:ascii="宋体" w:hAnsi="宋体" w:cs="宋体"/>
                <w:color w:val="000000" w:themeColor="text1"/>
                <w:szCs w:val="21"/>
                <w:lang w:val="en-US" w:eastAsia="zh-CN"/>
                <w14:textFill>
                  <w14:solidFill>
                    <w14:schemeClr w14:val="tx1"/>
                  </w14:solidFill>
                </w14:textFill>
              </w:rPr>
              <w:t>10</w:t>
            </w:r>
            <w:r>
              <w:rPr>
                <w:rFonts w:hint="eastAsia" w:ascii="宋体" w:hAnsi="宋体" w:cs="宋体"/>
                <w:color w:val="000000" w:themeColor="text1"/>
                <w:szCs w:val="21"/>
                <w14:textFill>
                  <w14:solidFill>
                    <w14:schemeClr w14:val="tx1"/>
                  </w14:solidFill>
                </w14:textFill>
              </w:rPr>
              <w:t>分）：在三档的基础上，能提供安全管理制度覆盖全面且有针对本项目的安全管理措施，且能提供主管工程师</w:t>
            </w:r>
            <w:r>
              <w:rPr>
                <w:rFonts w:hint="eastAsia" w:ascii="宋体" w:hAnsi="宋体" w:cs="宋体"/>
                <w:color w:val="000000" w:themeColor="text1"/>
                <w:szCs w:val="21"/>
                <w:highlight w:val="none"/>
                <w14:textFill>
                  <w14:solidFill>
                    <w14:schemeClr w14:val="tx1"/>
                  </w14:solidFill>
                </w14:textFill>
              </w:rPr>
              <w:t>及</w:t>
            </w:r>
            <w:r>
              <w:rPr>
                <w:rFonts w:hint="eastAsia" w:ascii="宋体" w:hAnsi="宋体" w:eastAsia="宋体" w:cs="Arial"/>
                <w:bCs/>
                <w:color w:val="auto"/>
                <w:szCs w:val="21"/>
                <w:highlight w:val="none"/>
                <w:lang w:val="en-US" w:eastAsia="zh-CN"/>
              </w:rPr>
              <w:t>临床应用</w:t>
            </w:r>
            <w:r>
              <w:rPr>
                <w:rFonts w:hint="eastAsia" w:ascii="宋体" w:hAnsi="宋体" w:cs="宋体"/>
                <w:color w:val="000000" w:themeColor="text1"/>
                <w:szCs w:val="21"/>
                <w:highlight w:val="none"/>
                <w14:textFill>
                  <w14:solidFill>
                    <w14:schemeClr w14:val="tx1"/>
                  </w14:solidFill>
                </w14:textFill>
              </w:rPr>
              <w:t>工程师</w:t>
            </w:r>
            <w:r>
              <w:rPr>
                <w:rFonts w:hint="eastAsia" w:ascii="宋体" w:hAnsi="宋体" w:cs="宋体"/>
                <w:color w:val="000000" w:themeColor="text1"/>
                <w:szCs w:val="21"/>
                <w:highlight w:val="none"/>
                <w:lang w:val="en-US" w:eastAsia="zh-CN"/>
                <w14:textFill>
                  <w14:solidFill>
                    <w14:schemeClr w14:val="tx1"/>
                  </w14:solidFill>
                </w14:textFill>
              </w:rPr>
              <w:t>不少于2人，</w:t>
            </w:r>
            <w:r>
              <w:rPr>
                <w:rFonts w:hint="eastAsia" w:ascii="宋体" w:hAnsi="宋体" w:cs="宋体"/>
                <w:color w:val="000000" w:themeColor="text1"/>
                <w:szCs w:val="21"/>
                <w:highlight w:val="none"/>
                <w14:textFill>
                  <w14:solidFill>
                    <w14:schemeClr w14:val="tx1"/>
                  </w14:solidFill>
                </w14:textFill>
              </w:rPr>
              <w:t>具备此类设备相关维修经验</w:t>
            </w:r>
            <w:r>
              <w:rPr>
                <w:rFonts w:hint="eastAsia" w:ascii="宋体" w:hAnsi="宋体" w:cs="宋体"/>
                <w:color w:val="000000" w:themeColor="text1"/>
                <w:szCs w:val="21"/>
                <w:highlight w:val="none"/>
                <w:lang w:val="en-US" w:eastAsia="zh-CN"/>
                <w14:textFill>
                  <w14:solidFill>
                    <w14:schemeClr w14:val="tx1"/>
                  </w14:solidFill>
                </w14:textFill>
              </w:rPr>
              <w:t>及在有效期内的培训资质</w:t>
            </w:r>
            <w:r>
              <w:rPr>
                <w:rFonts w:hint="eastAsia" w:ascii="宋体" w:hAnsi="宋体" w:cs="宋体"/>
                <w:color w:val="000000" w:themeColor="text1"/>
                <w:szCs w:val="21"/>
                <w:highlight w:val="none"/>
                <w14:textFill>
                  <w14:solidFill>
                    <w14:schemeClr w14:val="tx1"/>
                  </w14:solidFill>
                </w14:textFill>
              </w:rPr>
              <w:t>佐证材料，承诺遇质控检测，工程师能够现场待</w:t>
            </w:r>
            <w:r>
              <w:rPr>
                <w:rFonts w:hint="eastAsia" w:ascii="宋体" w:hAnsi="宋体" w:cs="宋体"/>
                <w:color w:val="000000" w:themeColor="text1"/>
                <w:szCs w:val="21"/>
                <w14:textFill>
                  <w14:solidFill>
                    <w14:schemeClr w14:val="tx1"/>
                  </w14:solidFill>
                </w14:textFill>
              </w:rPr>
              <w:t>命并提供技术服务支持的具体服务承诺。</w:t>
            </w:r>
          </w:p>
          <w:p w14:paraId="49F4C027">
            <w:pPr>
              <w:keepNext/>
              <w:spacing w:line="360" w:lineRule="exact"/>
              <w:ind w:firstLine="422" w:firstLineChars="200"/>
              <w:jc w:val="left"/>
              <w:rPr>
                <w:rFonts w:hint="eastAsia" w:ascii="宋体" w:hAnsi="宋体" w:cs="宋体"/>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注：投标人在投标文件中提供证明材料：拟投入人员有效期内的原厂培训证明文件</w:t>
            </w:r>
            <w:r>
              <w:rPr>
                <w:rFonts w:hint="eastAsia" w:ascii="宋体" w:hAnsi="宋体" w:cs="宋体"/>
                <w:b/>
                <w:bCs/>
                <w:color w:val="000000" w:themeColor="text1"/>
                <w:szCs w:val="21"/>
                <w:lang w:eastAsia="zh-CN"/>
                <w14:textFill>
                  <w14:solidFill>
                    <w14:schemeClr w14:val="tx1"/>
                  </w14:solidFill>
                </w14:textFill>
              </w:rPr>
              <w:t>，</w:t>
            </w:r>
            <w:r>
              <w:rPr>
                <w:rFonts w:hint="eastAsia" w:ascii="宋体" w:hAnsi="宋体" w:cs="宋体"/>
                <w:b/>
                <w:bCs/>
                <w:color w:val="000000" w:themeColor="text1"/>
                <w:szCs w:val="21"/>
                <w:lang w:bidi="ar"/>
                <w14:textFill>
                  <w14:solidFill>
                    <w14:schemeClr w14:val="tx1"/>
                  </w14:solidFill>
                </w14:textFill>
              </w:rPr>
              <w:t>以上材料均须加盖投标人电子签章，不提供或提供的材料不齐全或提供的材料不符合要求的，不得分。</w:t>
            </w:r>
          </w:p>
        </w:tc>
        <w:tc>
          <w:tcPr>
            <w:tcW w:w="849" w:type="dxa"/>
            <w:noWrap w:val="0"/>
            <w:vAlign w:val="center"/>
          </w:tcPr>
          <w:p w14:paraId="63D5D5B5">
            <w:pPr>
              <w:spacing w:line="360" w:lineRule="exact"/>
              <w:jc w:val="center"/>
              <w:rPr>
                <w:rFonts w:hint="eastAsia" w:ascii="宋体" w:hAnsi="宋体" w:cs="宋体"/>
                <w:szCs w:val="21"/>
                <w:lang w:val="en-US" w:eastAsia="zh-CN"/>
              </w:rPr>
            </w:pPr>
            <w:r>
              <w:rPr>
                <w:rFonts w:hint="eastAsia" w:ascii="宋体" w:hAnsi="宋体" w:cs="宋体"/>
                <w:szCs w:val="21"/>
                <w:lang w:val="en-US" w:eastAsia="zh-CN"/>
              </w:rPr>
              <w:t>10分</w:t>
            </w:r>
          </w:p>
        </w:tc>
      </w:tr>
      <w:tr w14:paraId="5AB510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89" w:type="dxa"/>
            <w:tcBorders>
              <w:bottom w:val="single" w:color="auto" w:sz="4" w:space="0"/>
            </w:tcBorders>
            <w:noWrap w:val="0"/>
            <w:vAlign w:val="center"/>
          </w:tcPr>
          <w:p w14:paraId="425AE7C2">
            <w:pPr>
              <w:pStyle w:val="38"/>
              <w:spacing w:line="360" w:lineRule="exact"/>
              <w:ind w:left="0"/>
              <w:jc w:val="center"/>
              <w:rPr>
                <w:rFonts w:hint="default" w:ascii="宋体" w:hAnsi="宋体" w:cs="宋体"/>
                <w:szCs w:val="21"/>
                <w:lang w:val="en-US" w:eastAsia="zh-CN"/>
              </w:rPr>
            </w:pPr>
            <w:r>
              <w:rPr>
                <w:rFonts w:hint="eastAsia" w:ascii="宋体" w:hAnsi="宋体" w:cs="宋体"/>
                <w:szCs w:val="21"/>
                <w:lang w:val="en-US" w:eastAsia="zh-CN"/>
              </w:rPr>
              <w:t>9</w:t>
            </w:r>
          </w:p>
        </w:tc>
        <w:tc>
          <w:tcPr>
            <w:tcW w:w="1233" w:type="dxa"/>
            <w:noWrap w:val="0"/>
            <w:vAlign w:val="center"/>
          </w:tcPr>
          <w:p w14:paraId="4503BBB6">
            <w:pPr>
              <w:keepNext/>
              <w:spacing w:line="360" w:lineRule="exact"/>
              <w:jc w:val="center"/>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业绩（满分</w:t>
            </w:r>
            <w:r>
              <w:rPr>
                <w:rFonts w:hint="eastAsia" w:ascii="宋体" w:hAnsi="宋体" w:cs="宋体"/>
                <w:bCs/>
                <w:color w:val="000000" w:themeColor="text1"/>
                <w:szCs w:val="21"/>
                <w:lang w:val="en-US" w:eastAsia="zh-CN"/>
                <w14:textFill>
                  <w14:solidFill>
                    <w14:schemeClr w14:val="tx1"/>
                  </w14:solidFill>
                </w14:textFill>
              </w:rPr>
              <w:t>6</w:t>
            </w:r>
            <w:r>
              <w:rPr>
                <w:rFonts w:hint="eastAsia" w:ascii="宋体" w:hAnsi="宋体" w:cs="宋体"/>
                <w:bCs/>
                <w:color w:val="000000" w:themeColor="text1"/>
                <w:szCs w:val="21"/>
                <w14:textFill>
                  <w14:solidFill>
                    <w14:schemeClr w14:val="tx1"/>
                  </w14:solidFill>
                </w14:textFill>
              </w:rPr>
              <w:t>分）</w:t>
            </w:r>
          </w:p>
        </w:tc>
        <w:tc>
          <w:tcPr>
            <w:tcW w:w="6406" w:type="dxa"/>
            <w:noWrap w:val="0"/>
            <w:vAlign w:val="center"/>
          </w:tcPr>
          <w:p w14:paraId="1981B809">
            <w:pPr>
              <w:keepNext/>
              <w:spacing w:line="360" w:lineRule="exact"/>
              <w:ind w:firstLine="420" w:firstLineChars="200"/>
              <w:jc w:val="left"/>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2023年1月1日（以合同签订时间为准）至本项目投标截止时间，投标人具有同类CT维保服务业绩，每1项业绩得</w:t>
            </w:r>
            <w:r>
              <w:rPr>
                <w:rFonts w:hint="eastAsia" w:ascii="宋体" w:hAnsi="宋体" w:cs="宋体"/>
                <w:bCs/>
                <w:color w:val="000000" w:themeColor="text1"/>
                <w:szCs w:val="21"/>
                <w:lang w:val="en-US" w:eastAsia="zh-CN"/>
                <w14:textFill>
                  <w14:solidFill>
                    <w14:schemeClr w14:val="tx1"/>
                  </w14:solidFill>
                </w14:textFill>
              </w:rPr>
              <w:t>2</w:t>
            </w:r>
            <w:r>
              <w:rPr>
                <w:rFonts w:hint="eastAsia" w:ascii="宋体" w:hAnsi="宋体" w:cs="宋体"/>
                <w:bCs/>
                <w:color w:val="000000" w:themeColor="text1"/>
                <w:szCs w:val="21"/>
                <w14:textFill>
                  <w14:solidFill>
                    <w14:schemeClr w14:val="tx1"/>
                  </w14:solidFill>
                </w14:textFill>
              </w:rPr>
              <w:t>分，最高得</w:t>
            </w:r>
            <w:r>
              <w:rPr>
                <w:rFonts w:hint="eastAsia" w:ascii="宋体" w:hAnsi="宋体" w:cs="宋体"/>
                <w:bCs/>
                <w:color w:val="000000" w:themeColor="text1"/>
                <w:szCs w:val="21"/>
                <w:lang w:val="en-US" w:eastAsia="zh-CN"/>
                <w14:textFill>
                  <w14:solidFill>
                    <w14:schemeClr w14:val="tx1"/>
                  </w14:solidFill>
                </w14:textFill>
              </w:rPr>
              <w:t>6</w:t>
            </w:r>
            <w:r>
              <w:rPr>
                <w:rFonts w:hint="eastAsia" w:ascii="宋体" w:hAnsi="宋体" w:cs="宋体"/>
                <w:bCs/>
                <w:color w:val="000000" w:themeColor="text1"/>
                <w:szCs w:val="21"/>
                <w14:textFill>
                  <w14:solidFill>
                    <w14:schemeClr w14:val="tx1"/>
                  </w14:solidFill>
                </w14:textFill>
              </w:rPr>
              <w:t>分。</w:t>
            </w:r>
          </w:p>
          <w:p w14:paraId="77049F26">
            <w:pPr>
              <w:keepNext/>
              <w:spacing w:line="360" w:lineRule="exact"/>
              <w:ind w:firstLine="422" w:firstLineChars="200"/>
              <w:jc w:val="left"/>
              <w:rPr>
                <w:rFonts w:hint="eastAsia" w:ascii="宋体" w:hAnsi="宋体" w:cs="宋体"/>
                <w:bCs/>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注：投标人在投标文件中提供合同并加盖投标人电子签章，提供的合同应能体现合同签订日期、合同关键内容页及盖章页，否则不得分。</w:t>
            </w:r>
          </w:p>
        </w:tc>
        <w:tc>
          <w:tcPr>
            <w:tcW w:w="849" w:type="dxa"/>
            <w:noWrap w:val="0"/>
            <w:vAlign w:val="center"/>
          </w:tcPr>
          <w:p w14:paraId="0A1C8C67">
            <w:pPr>
              <w:spacing w:line="360" w:lineRule="exact"/>
              <w:jc w:val="center"/>
              <w:rPr>
                <w:rFonts w:hint="default" w:ascii="宋体" w:hAnsi="宋体" w:cs="宋体"/>
                <w:szCs w:val="21"/>
                <w:lang w:val="en-US" w:eastAsia="zh-CN"/>
              </w:rPr>
            </w:pPr>
            <w:r>
              <w:rPr>
                <w:rFonts w:hint="eastAsia" w:ascii="宋体" w:hAnsi="宋体" w:cs="宋体"/>
                <w:szCs w:val="21"/>
                <w:lang w:val="en-US" w:eastAsia="zh-CN"/>
              </w:rPr>
              <w:t>6分</w:t>
            </w:r>
          </w:p>
        </w:tc>
      </w:tr>
      <w:tr w14:paraId="13E614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89" w:type="dxa"/>
            <w:tcBorders>
              <w:bottom w:val="single" w:color="auto" w:sz="4" w:space="0"/>
            </w:tcBorders>
            <w:noWrap w:val="0"/>
            <w:vAlign w:val="center"/>
          </w:tcPr>
          <w:p w14:paraId="2FC9180D">
            <w:pPr>
              <w:spacing w:line="360" w:lineRule="exact"/>
              <w:jc w:val="center"/>
              <w:rPr>
                <w:rFonts w:hint="default" w:ascii="宋体" w:hAnsi="宋体" w:eastAsia="宋体" w:cs="宋体"/>
                <w:szCs w:val="21"/>
                <w:lang w:val="en-US" w:eastAsia="zh-CN"/>
              </w:rPr>
            </w:pPr>
            <w:r>
              <w:rPr>
                <w:rFonts w:hint="eastAsia" w:ascii="宋体" w:hAnsi="宋体" w:cs="宋体"/>
                <w:bCs/>
                <w:color w:val="auto"/>
                <w:szCs w:val="21"/>
                <w:lang w:val="en-US" w:eastAsia="zh-CN"/>
              </w:rPr>
              <w:t>10</w:t>
            </w:r>
          </w:p>
        </w:tc>
        <w:tc>
          <w:tcPr>
            <w:tcW w:w="1233" w:type="dxa"/>
            <w:noWrap w:val="0"/>
            <w:vAlign w:val="center"/>
          </w:tcPr>
          <w:p w14:paraId="6CBD6C83">
            <w:pPr>
              <w:keepNext/>
              <w:spacing w:line="360" w:lineRule="exact"/>
              <w:jc w:val="center"/>
              <w:rPr>
                <w:rFonts w:ascii="Arial" w:hAnsi="Arial" w:cs="Arial"/>
                <w:bCs/>
                <w:color w:val="auto"/>
                <w:szCs w:val="21"/>
              </w:rPr>
            </w:pPr>
            <w:r>
              <w:rPr>
                <w:rFonts w:hint="eastAsia" w:ascii="宋体" w:hAnsi="宋体" w:cs="宋体"/>
                <w:bCs/>
                <w:color w:val="000000" w:themeColor="text1"/>
                <w:szCs w:val="21"/>
                <w14:textFill>
                  <w14:solidFill>
                    <w14:schemeClr w14:val="tx1"/>
                  </w14:solidFill>
                </w14:textFill>
              </w:rPr>
              <w:t>企业信誉（满分</w:t>
            </w:r>
            <w:r>
              <w:rPr>
                <w:rFonts w:hint="eastAsia" w:ascii="宋体" w:hAnsi="宋体" w:cs="宋体"/>
                <w:bCs/>
                <w:color w:val="000000" w:themeColor="text1"/>
                <w:szCs w:val="21"/>
                <w:lang w:val="en-US" w:eastAsia="zh-CN"/>
                <w14:textFill>
                  <w14:solidFill>
                    <w14:schemeClr w14:val="tx1"/>
                  </w14:solidFill>
                </w14:textFill>
              </w:rPr>
              <w:t>3</w:t>
            </w:r>
            <w:r>
              <w:rPr>
                <w:rFonts w:hint="eastAsia" w:ascii="宋体" w:hAnsi="宋体" w:cs="宋体"/>
                <w:bCs/>
                <w:color w:val="000000" w:themeColor="text1"/>
                <w:szCs w:val="21"/>
                <w14:textFill>
                  <w14:solidFill>
                    <w14:schemeClr w14:val="tx1"/>
                  </w14:solidFill>
                </w14:textFill>
              </w:rPr>
              <w:t>分）</w:t>
            </w:r>
          </w:p>
        </w:tc>
        <w:tc>
          <w:tcPr>
            <w:tcW w:w="6406" w:type="dxa"/>
            <w:noWrap w:val="0"/>
            <w:vAlign w:val="center"/>
          </w:tcPr>
          <w:p w14:paraId="7D3E7A0E">
            <w:pPr>
              <w:keepNext/>
              <w:widowControl/>
              <w:spacing w:line="360" w:lineRule="exact"/>
              <w:ind w:firstLine="420" w:firstLineChars="200"/>
              <w:jc w:val="left"/>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14:textFill>
                  <w14:solidFill>
                    <w14:schemeClr w14:val="tx1"/>
                  </w14:solidFill>
                </w14:textFill>
              </w:rPr>
              <w:t>1.投标人获得ISO9001质量管理体系认证并提供有效证书得1分；</w:t>
            </w:r>
          </w:p>
          <w:p w14:paraId="206B7D7A">
            <w:pPr>
              <w:keepNext/>
              <w:widowControl/>
              <w:spacing w:line="360" w:lineRule="exact"/>
              <w:ind w:firstLine="420" w:firstLineChars="200"/>
              <w:jc w:val="left"/>
              <w:rPr>
                <w:rFonts w:hint="eastAsia" w:ascii="宋体" w:hAnsi="宋体" w:cs="宋体"/>
                <w:bCs/>
                <w:color w:val="000000" w:themeColor="text1"/>
                <w:szCs w:val="21"/>
                <w14:textFill>
                  <w14:solidFill>
                    <w14:schemeClr w14:val="tx1"/>
                  </w14:solidFill>
                </w14:textFill>
              </w:rPr>
            </w:pPr>
            <w:r>
              <w:rPr>
                <w:rFonts w:hint="eastAsia" w:ascii="宋体" w:hAnsi="宋体" w:cs="宋体"/>
                <w:bCs/>
                <w:color w:val="000000" w:themeColor="text1"/>
                <w:szCs w:val="21"/>
                <w:lang w:val="en-US" w:eastAsia="zh-CN"/>
                <w14:textFill>
                  <w14:solidFill>
                    <w14:schemeClr w14:val="tx1"/>
                  </w14:solidFill>
                </w14:textFill>
              </w:rPr>
              <w:t>2.</w:t>
            </w:r>
            <w:r>
              <w:rPr>
                <w:rFonts w:hint="eastAsia" w:ascii="宋体" w:hAnsi="宋体" w:eastAsia="宋体" w:cs="宋体"/>
                <w:bCs/>
                <w:color w:val="000000" w:themeColor="text1"/>
                <w:sz w:val="21"/>
                <w:szCs w:val="21"/>
                <w14:textFill>
                  <w14:solidFill>
                    <w14:schemeClr w14:val="tx1"/>
                  </w14:solidFill>
                </w14:textFill>
              </w:rPr>
              <w:t>投标人获得ISO</w:t>
            </w:r>
            <w:r>
              <w:rPr>
                <w:rFonts w:hint="eastAsia" w:ascii="宋体" w:hAnsi="宋体" w:cs="宋体"/>
                <w:bCs/>
                <w:color w:val="000000" w:themeColor="text1"/>
                <w:sz w:val="21"/>
                <w:szCs w:val="21"/>
                <w:lang w:val="en-US" w:eastAsia="zh-CN"/>
                <w14:textFill>
                  <w14:solidFill>
                    <w14:schemeClr w14:val="tx1"/>
                  </w14:solidFill>
                </w14:textFill>
              </w:rPr>
              <w:t>1400</w:t>
            </w:r>
            <w:r>
              <w:rPr>
                <w:rFonts w:hint="eastAsia" w:ascii="宋体" w:hAnsi="宋体" w:eastAsia="宋体" w:cs="宋体"/>
                <w:bCs/>
                <w:color w:val="000000" w:themeColor="text1"/>
                <w:sz w:val="21"/>
                <w:szCs w:val="21"/>
                <w14:textFill>
                  <w14:solidFill>
                    <w14:schemeClr w14:val="tx1"/>
                  </w14:solidFill>
                </w14:textFill>
              </w:rPr>
              <w:t>1</w:t>
            </w:r>
            <w:r>
              <w:rPr>
                <w:rFonts w:hint="eastAsia" w:ascii="宋体" w:hAnsi="宋体" w:cs="宋体"/>
                <w:bCs/>
                <w:color w:val="000000" w:themeColor="text1"/>
                <w:sz w:val="21"/>
                <w:szCs w:val="21"/>
                <w:lang w:val="en-US" w:eastAsia="zh-CN"/>
                <w14:textFill>
                  <w14:solidFill>
                    <w14:schemeClr w14:val="tx1"/>
                  </w14:solidFill>
                </w14:textFill>
              </w:rPr>
              <w:t>环境管理体系认证</w:t>
            </w:r>
            <w:r>
              <w:rPr>
                <w:rFonts w:hint="eastAsia" w:ascii="宋体" w:hAnsi="宋体" w:eastAsia="宋体" w:cs="宋体"/>
                <w:bCs/>
                <w:color w:val="000000" w:themeColor="text1"/>
                <w:sz w:val="21"/>
                <w:szCs w:val="21"/>
                <w14:textFill>
                  <w14:solidFill>
                    <w14:schemeClr w14:val="tx1"/>
                  </w14:solidFill>
                </w14:textFill>
              </w:rPr>
              <w:t>并提供有效证书得1分</w:t>
            </w:r>
            <w:r>
              <w:rPr>
                <w:rFonts w:hint="eastAsia" w:ascii="宋体" w:hAnsi="宋体" w:cs="宋体"/>
                <w:bCs/>
                <w:color w:val="000000" w:themeColor="text1"/>
                <w:sz w:val="21"/>
                <w:szCs w:val="21"/>
                <w:lang w:eastAsia="zh-CN"/>
                <w14:textFill>
                  <w14:solidFill>
                    <w14:schemeClr w14:val="tx1"/>
                  </w14:solidFill>
                </w14:textFill>
              </w:rPr>
              <w:t>；</w:t>
            </w:r>
          </w:p>
          <w:p w14:paraId="72FEF58E">
            <w:pPr>
              <w:pStyle w:val="45"/>
              <w:spacing w:before="120" w:line="360" w:lineRule="exact"/>
              <w:ind w:firstLine="420" w:firstLineChars="200"/>
              <w:rPr>
                <w:rFonts w:hint="eastAsia" w:eastAsia="宋体"/>
                <w:color w:val="000000" w:themeColor="text1"/>
                <w:lang w:eastAsia="zh-CN"/>
                <w14:textFill>
                  <w14:solidFill>
                    <w14:schemeClr w14:val="tx1"/>
                  </w14:solidFill>
                </w14:textFill>
              </w:rPr>
            </w:pPr>
            <w:r>
              <w:rPr>
                <w:rFonts w:hint="eastAsia" w:ascii="宋体" w:hAnsi="宋体" w:eastAsia="宋体" w:cs="宋体"/>
                <w:bCs/>
                <w:color w:val="000000" w:themeColor="text1"/>
                <w:sz w:val="21"/>
                <w:szCs w:val="21"/>
                <w:lang w:val="en-US" w:eastAsia="zh-CN"/>
                <w14:textFill>
                  <w14:solidFill>
                    <w14:schemeClr w14:val="tx1"/>
                  </w14:solidFill>
                </w14:textFill>
              </w:rPr>
              <w:t>3</w:t>
            </w:r>
            <w:r>
              <w:rPr>
                <w:rFonts w:hint="eastAsia" w:ascii="宋体" w:hAnsi="宋体" w:eastAsia="宋体" w:cs="宋体"/>
                <w:bCs/>
                <w:color w:val="000000" w:themeColor="text1"/>
                <w:sz w:val="21"/>
                <w:szCs w:val="21"/>
                <w14:textFill>
                  <w14:solidFill>
                    <w14:schemeClr w14:val="tx1"/>
                  </w14:solidFill>
                </w14:textFill>
              </w:rPr>
              <w:t>.投标人获得ISO45001职业健康安全管理体系认证并提供有效证书得1分</w:t>
            </w:r>
            <w:r>
              <w:rPr>
                <w:rFonts w:hint="eastAsia" w:ascii="宋体" w:hAnsi="宋体" w:eastAsia="宋体" w:cs="宋体"/>
                <w:bCs/>
                <w:color w:val="000000" w:themeColor="text1"/>
                <w:sz w:val="21"/>
                <w:szCs w:val="21"/>
                <w:lang w:eastAsia="zh-CN"/>
                <w14:textFill>
                  <w14:solidFill>
                    <w14:schemeClr w14:val="tx1"/>
                  </w14:solidFill>
                </w14:textFill>
              </w:rPr>
              <w:t>。</w:t>
            </w:r>
          </w:p>
          <w:p w14:paraId="0B1C9458">
            <w:pPr>
              <w:keepNext/>
              <w:widowControl/>
              <w:spacing w:line="360" w:lineRule="exact"/>
              <w:ind w:firstLine="422" w:firstLineChars="200"/>
              <w:jc w:val="left"/>
              <w:rPr>
                <w:rFonts w:ascii="Arial" w:hAnsi="Arial" w:cs="Arial"/>
                <w:bCs/>
                <w:color w:val="auto"/>
                <w:szCs w:val="21"/>
              </w:rPr>
            </w:pPr>
            <w:r>
              <w:rPr>
                <w:rFonts w:hint="eastAsia" w:ascii="宋体" w:hAnsi="宋体" w:cs="宋体"/>
                <w:b/>
                <w:color w:val="000000" w:themeColor="text1"/>
                <w:szCs w:val="21"/>
                <w14:textFill>
                  <w14:solidFill>
                    <w14:schemeClr w14:val="tx1"/>
                  </w14:solidFill>
                </w14:textFill>
              </w:rPr>
              <w:t>注：投标人在投标文件中提供相关有效认证证书及在全国认证认可信息公共服务平台上(http://cx.cnca.cn)查询结果的截图并加盖投标人电子签章，未按要求提供或提供的证书状态非“有效”的均不得分。</w:t>
            </w:r>
          </w:p>
        </w:tc>
        <w:tc>
          <w:tcPr>
            <w:tcW w:w="849" w:type="dxa"/>
            <w:noWrap w:val="0"/>
            <w:vAlign w:val="center"/>
          </w:tcPr>
          <w:p w14:paraId="0B44074D">
            <w:pPr>
              <w:spacing w:line="360" w:lineRule="exact"/>
              <w:jc w:val="center"/>
              <w:rPr>
                <w:rFonts w:hint="default" w:ascii="宋体" w:hAnsi="宋体" w:cs="宋体"/>
                <w:szCs w:val="21"/>
                <w:lang w:val="en-US" w:eastAsia="zh-CN"/>
              </w:rPr>
            </w:pPr>
            <w:r>
              <w:rPr>
                <w:rFonts w:hint="eastAsia" w:ascii="宋体" w:hAnsi="宋体" w:cs="宋体"/>
                <w:szCs w:val="21"/>
                <w:lang w:val="en-US" w:eastAsia="zh-CN"/>
              </w:rPr>
              <w:t>3分</w:t>
            </w:r>
          </w:p>
        </w:tc>
      </w:tr>
      <w:tr w14:paraId="093301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26" w:hRule="atLeast"/>
          <w:jc w:val="center"/>
        </w:trPr>
        <w:tc>
          <w:tcPr>
            <w:tcW w:w="8228" w:type="dxa"/>
            <w:gridSpan w:val="3"/>
            <w:noWrap w:val="0"/>
            <w:vAlign w:val="center"/>
          </w:tcPr>
          <w:p w14:paraId="2E80B9D1">
            <w:pPr>
              <w:spacing w:line="360" w:lineRule="exact"/>
              <w:ind w:left="-78" w:leftChars="-37" w:right="-73" w:rightChars="-35"/>
              <w:jc w:val="center"/>
              <w:rPr>
                <w:rFonts w:ascii="宋体" w:hAnsi="宋体" w:cs="宋体"/>
                <w:szCs w:val="21"/>
              </w:rPr>
            </w:pPr>
            <w:r>
              <w:rPr>
                <w:rFonts w:hint="eastAsia" w:ascii="宋体" w:hAnsi="宋体" w:cs="宋体"/>
                <w:szCs w:val="21"/>
              </w:rPr>
              <w:t>合计</w:t>
            </w:r>
          </w:p>
        </w:tc>
        <w:tc>
          <w:tcPr>
            <w:tcW w:w="849" w:type="dxa"/>
            <w:noWrap w:val="0"/>
            <w:vAlign w:val="center"/>
          </w:tcPr>
          <w:p w14:paraId="404DABD1">
            <w:pPr>
              <w:spacing w:line="360" w:lineRule="exact"/>
              <w:ind w:left="-78" w:leftChars="-37" w:right="-73" w:rightChars="-35"/>
              <w:jc w:val="center"/>
              <w:rPr>
                <w:rFonts w:ascii="宋体" w:hAnsi="宋体" w:cs="宋体"/>
                <w:szCs w:val="21"/>
              </w:rPr>
            </w:pPr>
            <w:r>
              <w:rPr>
                <w:rFonts w:hint="eastAsia" w:ascii="宋体" w:hAnsi="宋体" w:cs="宋体"/>
                <w:szCs w:val="21"/>
              </w:rPr>
              <w:t>100分</w:t>
            </w:r>
          </w:p>
        </w:tc>
      </w:tr>
    </w:tbl>
    <w:p w14:paraId="1041531D">
      <w:pPr>
        <w:pStyle w:val="14"/>
        <w:spacing w:line="360" w:lineRule="auto"/>
        <w:ind w:firstLine="420"/>
        <w:rPr>
          <w:rFonts w:hint="eastAsia" w:hAnsi="宋体"/>
          <w:bCs/>
          <w:color w:val="auto"/>
          <w:sz w:val="21"/>
        </w:rPr>
      </w:pPr>
    </w:p>
    <w:p w14:paraId="30CD6AC3">
      <w:pPr>
        <w:pStyle w:val="14"/>
        <w:spacing w:line="360" w:lineRule="auto"/>
        <w:ind w:firstLine="420"/>
        <w:rPr>
          <w:rFonts w:hint="eastAsia" w:hAnsi="宋体"/>
          <w:bCs/>
          <w:color w:val="auto"/>
          <w:sz w:val="21"/>
        </w:rPr>
      </w:pPr>
      <w:r>
        <w:rPr>
          <w:rFonts w:hint="eastAsia" w:hAnsi="宋体"/>
          <w:bCs/>
          <w:color w:val="auto"/>
          <w:sz w:val="21"/>
        </w:rPr>
        <w:t>注：计分方法按四舍五入取至百分位。</w:t>
      </w:r>
    </w:p>
    <w:p w14:paraId="0B15CE0C">
      <w:pPr>
        <w:rPr>
          <w:rFonts w:hint="eastAsia" w:hAnsi="宋体"/>
          <w:bCs/>
          <w:color w:val="auto"/>
          <w:sz w:val="21"/>
        </w:rPr>
      </w:pPr>
      <w:r>
        <w:rPr>
          <w:rFonts w:hint="eastAsia" w:hAnsi="宋体"/>
          <w:bCs/>
          <w:color w:val="auto"/>
          <w:sz w:val="21"/>
        </w:rPr>
        <w:br w:type="page"/>
      </w:r>
    </w:p>
    <w:p w14:paraId="117AE621">
      <w:pPr>
        <w:spacing w:beforeLines="50" w:afterLines="50" w:line="360" w:lineRule="auto"/>
        <w:jc w:val="center"/>
        <w:outlineLvl w:val="1"/>
        <w:rPr>
          <w:b/>
          <w:bCs/>
          <w:color w:val="auto"/>
          <w:sz w:val="32"/>
          <w:szCs w:val="32"/>
        </w:rPr>
      </w:pPr>
    </w:p>
    <w:bookmarkEnd w:id="187"/>
    <w:p w14:paraId="7029ADA4">
      <w:pPr>
        <w:keepNext/>
        <w:keepLines/>
        <w:spacing w:before="260" w:after="260" w:line="413" w:lineRule="auto"/>
        <w:contextualSpacing/>
        <w:jc w:val="center"/>
        <w:outlineLvl w:val="9"/>
        <w:rPr>
          <w:rFonts w:ascii="宋体" w:hAnsi="宋体"/>
          <w:b/>
          <w:bCs/>
          <w:color w:val="auto"/>
          <w:sz w:val="24"/>
        </w:rPr>
      </w:pPr>
      <w:bookmarkStart w:id="188" w:name="_Toc28000"/>
      <w:bookmarkStart w:id="189" w:name="_Toc1371"/>
      <w:bookmarkStart w:id="190" w:name="_Toc21995"/>
      <w:r>
        <w:rPr>
          <w:rFonts w:hint="eastAsia" w:ascii="Arial" w:hAnsi="Arial" w:eastAsia="黑体"/>
          <w:bCs/>
          <w:color w:val="auto"/>
          <w:sz w:val="30"/>
          <w:szCs w:val="30"/>
        </w:rPr>
        <w:t>第四节中标候选人推荐原则</w:t>
      </w:r>
      <w:bookmarkEnd w:id="188"/>
      <w:bookmarkEnd w:id="189"/>
      <w:bookmarkEnd w:id="190"/>
    </w:p>
    <w:p w14:paraId="09DFF38A">
      <w:pPr>
        <w:spacing w:line="360" w:lineRule="auto"/>
        <w:ind w:firstLine="420" w:firstLineChars="200"/>
        <w:rPr>
          <w:rFonts w:ascii="宋体" w:hAnsi="宋体"/>
          <w:color w:val="auto"/>
          <w:szCs w:val="20"/>
        </w:rPr>
      </w:pPr>
      <w:r>
        <w:rPr>
          <w:rFonts w:hint="eastAsia" w:ascii="宋体" w:hAnsi="宋体"/>
          <w:color w:val="auto"/>
          <w:szCs w:val="20"/>
        </w:rPr>
        <w:t>1.评标委员会根据原始评标记录和评标结果编写评标报告，并通过电子交易平台向采购人、采购代理机构提交。</w:t>
      </w:r>
    </w:p>
    <w:p w14:paraId="2D5EDCA8">
      <w:pPr>
        <w:spacing w:line="360" w:lineRule="auto"/>
        <w:ind w:firstLine="420" w:firstLineChars="200"/>
        <w:rPr>
          <w:rFonts w:ascii="宋体" w:hAnsi="宋体"/>
          <w:color w:val="auto"/>
          <w:szCs w:val="20"/>
        </w:rPr>
      </w:pPr>
      <w:r>
        <w:rPr>
          <w:rFonts w:hint="eastAsia" w:ascii="宋体" w:hAnsi="宋体"/>
          <w:color w:val="auto"/>
          <w:szCs w:val="20"/>
        </w:rPr>
        <w:t>2.评标委员会将根据得分由高到低排列次序（得分相同时，以投标报价由低到高顺序排列；得分相同且投标报价相同的，按技术、商务得分高低顺序排列）并推荐三名中标候选供应商。招标采购人应当确定评审委员会推荐排名第一的中标候选人为中标人。排名第一的中标候选人放弃中标、因不可抗力提出不能履行合同，或者招标文件规定应当提交履约保证金而在规定的期限内未能提交的，招标采购人可以确定排名第二的中标候选人为中标人。排名第二的中标候选人因前款规定的同样原因不能签订合同的，招标采购人可以确定排名第三的中标候选人为中标人。</w:t>
      </w:r>
    </w:p>
    <w:p w14:paraId="5B3E4A49">
      <w:pPr>
        <w:tabs>
          <w:tab w:val="left" w:pos="2472"/>
        </w:tabs>
        <w:spacing w:line="480" w:lineRule="exact"/>
        <w:ind w:firstLine="420" w:firstLineChars="200"/>
        <w:rPr>
          <w:rFonts w:ascii="宋体" w:hAnsi="Courier New"/>
          <w:color w:val="auto"/>
          <w:szCs w:val="20"/>
        </w:rPr>
      </w:pPr>
    </w:p>
    <w:p w14:paraId="4EA7636E">
      <w:pPr>
        <w:tabs>
          <w:tab w:val="left" w:pos="2472"/>
        </w:tabs>
        <w:spacing w:line="360" w:lineRule="auto"/>
        <w:ind w:firstLine="420" w:firstLineChars="200"/>
        <w:rPr>
          <w:rFonts w:hAnsi="宋体"/>
          <w:color w:val="auto"/>
        </w:rPr>
      </w:pPr>
      <w:r>
        <w:rPr>
          <w:rFonts w:hint="eastAsia" w:ascii="宋体" w:hAnsi="宋体"/>
          <w:color w:val="auto"/>
          <w:szCs w:val="20"/>
        </w:rPr>
        <w:br w:type="page"/>
      </w:r>
    </w:p>
    <w:p w14:paraId="19221FA4">
      <w:pPr>
        <w:pStyle w:val="3"/>
        <w:keepNext w:val="0"/>
        <w:keepLines w:val="0"/>
        <w:jc w:val="center"/>
        <w:rPr>
          <w:color w:val="auto"/>
        </w:rPr>
      </w:pPr>
      <w:bookmarkStart w:id="191" w:name="_Toc13755"/>
      <w:bookmarkStart w:id="192" w:name="_Toc6006"/>
      <w:bookmarkStart w:id="193" w:name="_Toc5027"/>
      <w:bookmarkStart w:id="194" w:name="_Toc30085"/>
      <w:bookmarkStart w:id="195" w:name="_Toc11800"/>
      <w:bookmarkStart w:id="196" w:name="_Toc23017"/>
      <w:bookmarkStart w:id="197" w:name="_Toc14528"/>
      <w:bookmarkStart w:id="198" w:name="_Toc15865"/>
      <w:bookmarkStart w:id="199" w:name="_Toc3106"/>
      <w:bookmarkStart w:id="200" w:name="_Toc28302"/>
      <w:bookmarkStart w:id="201" w:name="_Toc26313"/>
      <w:bookmarkStart w:id="202" w:name="_Toc23586"/>
      <w:bookmarkStart w:id="203" w:name="_Toc22799"/>
      <w:bookmarkStart w:id="204" w:name="_Toc14045"/>
      <w:bookmarkStart w:id="205" w:name="_Toc5833"/>
      <w:r>
        <w:rPr>
          <w:rFonts w:hint="eastAsia"/>
          <w:color w:val="auto"/>
        </w:rPr>
        <w:t>第五章</w:t>
      </w:r>
      <w:bookmarkEnd w:id="191"/>
      <w:bookmarkEnd w:id="192"/>
      <w:r>
        <w:rPr>
          <w:rFonts w:hint="eastAsia"/>
          <w:color w:val="auto"/>
        </w:rPr>
        <w:t>合同主要条款格式</w:t>
      </w:r>
      <w:bookmarkEnd w:id="193"/>
      <w:bookmarkEnd w:id="194"/>
      <w:bookmarkEnd w:id="195"/>
      <w:bookmarkEnd w:id="196"/>
      <w:bookmarkEnd w:id="197"/>
      <w:bookmarkEnd w:id="198"/>
      <w:bookmarkEnd w:id="199"/>
      <w:bookmarkEnd w:id="200"/>
      <w:bookmarkEnd w:id="201"/>
      <w:bookmarkEnd w:id="202"/>
      <w:bookmarkEnd w:id="203"/>
      <w:bookmarkEnd w:id="204"/>
      <w:bookmarkEnd w:id="205"/>
    </w:p>
    <w:p w14:paraId="02788519">
      <w:pPr>
        <w:spacing w:line="240" w:lineRule="auto"/>
        <w:ind w:firstLine="420" w:firstLineChars="200"/>
        <w:jc w:val="center"/>
        <w:rPr>
          <w:rFonts w:hint="eastAsia" w:ascii="宋体" w:hAnsi="宋体" w:eastAsia="宋体" w:cs="宋体"/>
          <w:color w:val="auto"/>
          <w:szCs w:val="21"/>
          <w:highlight w:val="none"/>
        </w:rPr>
      </w:pPr>
      <w:bookmarkStart w:id="206" w:name="_Hlk55381736"/>
    </w:p>
    <w:p w14:paraId="706587FB">
      <w:pPr>
        <w:spacing w:line="360" w:lineRule="auto"/>
        <w:ind w:right="800"/>
        <w:rPr>
          <w:rFonts w:hint="default" w:ascii="宋体" w:hAnsi="宋体" w:eastAsia="宋体" w:cs="宋体"/>
          <w:bCs/>
          <w:szCs w:val="21"/>
          <w:u w:val="single"/>
          <w:lang w:val="en-US" w:eastAsia="zh-CN"/>
        </w:rPr>
      </w:pPr>
      <w:r>
        <w:rPr>
          <w:rFonts w:hint="eastAsia" w:ascii="宋体" w:hAnsi="宋体" w:cs="宋体"/>
          <w:szCs w:val="21"/>
        </w:rPr>
        <w:t>采购计划号：</w:t>
      </w:r>
      <w:r>
        <w:rPr>
          <w:rFonts w:hint="eastAsia" w:ascii="宋体" w:hAnsi="宋体" w:cs="宋体"/>
          <w:szCs w:val="21"/>
          <w:u w:val="single"/>
        </w:rPr>
        <w:t>广西政采[202</w:t>
      </w:r>
      <w:r>
        <w:rPr>
          <w:rFonts w:hint="eastAsia" w:ascii="宋体" w:hAnsi="宋体" w:cs="宋体"/>
          <w:szCs w:val="21"/>
          <w:u w:val="single"/>
          <w:lang w:val="en-US" w:eastAsia="zh-CN"/>
        </w:rPr>
        <w:t>6</w:t>
      </w:r>
      <w:r>
        <w:rPr>
          <w:rFonts w:hint="eastAsia" w:ascii="宋体" w:hAnsi="宋体" w:cs="宋体"/>
          <w:szCs w:val="21"/>
          <w:u w:val="single"/>
        </w:rPr>
        <w:t>]     号</w:t>
      </w:r>
      <w:r>
        <w:rPr>
          <w:rFonts w:hint="eastAsia" w:ascii="宋体" w:hAnsi="宋体" w:cs="宋体"/>
          <w:szCs w:val="21"/>
          <w:u w:val="single"/>
          <w:lang w:val="en-US" w:eastAsia="zh-CN"/>
        </w:rPr>
        <w:t xml:space="preserve"> </w:t>
      </w:r>
      <w:r>
        <w:rPr>
          <w:rFonts w:hint="eastAsia" w:ascii="宋体" w:hAnsi="宋体" w:cs="宋体"/>
          <w:szCs w:val="21"/>
        </w:rPr>
        <w:t xml:space="preserve">               </w:t>
      </w:r>
      <w:r>
        <w:rPr>
          <w:rFonts w:hint="eastAsia"/>
          <w:bCs/>
        </w:rPr>
        <w:t>合同编号：</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p>
    <w:p w14:paraId="021E9895">
      <w:pPr>
        <w:spacing w:line="360" w:lineRule="auto"/>
        <w:rPr>
          <w:rFonts w:ascii="宋体" w:hAnsi="宋体" w:cs="宋体"/>
          <w:szCs w:val="21"/>
          <w:u w:val="single"/>
        </w:rPr>
      </w:pPr>
      <w:r>
        <w:rPr>
          <w:rFonts w:hint="eastAsia" w:ascii="宋体" w:hAnsi="宋体" w:cs="宋体"/>
          <w:szCs w:val="21"/>
        </w:rPr>
        <w:t>采购人（甲方）：</w:t>
      </w:r>
      <w:r>
        <w:rPr>
          <w:rFonts w:hint="eastAsia" w:ascii="宋体" w:hAnsi="宋体" w:cs="宋体"/>
          <w:szCs w:val="21"/>
          <w:u w:val="single"/>
          <w:lang w:val="en-US" w:eastAsia="zh-CN"/>
        </w:rPr>
        <w:t xml:space="preserve"> 桂林医科大学第二附属医院 </w:t>
      </w:r>
      <w:r>
        <w:rPr>
          <w:rFonts w:hint="eastAsia" w:ascii="宋体" w:hAnsi="宋体" w:cs="宋体"/>
          <w:szCs w:val="21"/>
          <w:lang w:val="en-US" w:eastAsia="zh-CN"/>
        </w:rPr>
        <w:t xml:space="preserve">       </w:t>
      </w:r>
      <w:r>
        <w:rPr>
          <w:rFonts w:hint="eastAsia" w:ascii="宋体" w:hAnsi="宋体" w:cs="宋体"/>
          <w:szCs w:val="21"/>
        </w:rPr>
        <w:t>供应商（乙方）：</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p>
    <w:p w14:paraId="6AD02AEC">
      <w:pPr>
        <w:spacing w:line="360" w:lineRule="auto"/>
        <w:rPr>
          <w:rFonts w:ascii="宋体" w:hAnsi="宋体" w:cs="宋体"/>
          <w:szCs w:val="21"/>
        </w:rPr>
      </w:pPr>
      <w:r>
        <w:rPr>
          <w:rFonts w:hint="eastAsia" w:ascii="宋体" w:hAnsi="宋体" w:cs="宋体"/>
          <w:szCs w:val="21"/>
        </w:rPr>
        <w:t>项目名称：</w:t>
      </w:r>
      <w:r>
        <w:rPr>
          <w:rFonts w:hint="eastAsia" w:ascii="宋体" w:hAnsi="宋体" w:cs="宋体"/>
          <w:szCs w:val="21"/>
          <w:u w:val="single"/>
        </w:rPr>
        <w:t>256排CT维保服务</w:t>
      </w:r>
      <w:r>
        <w:rPr>
          <w:rFonts w:hint="eastAsia" w:ascii="宋体" w:hAnsi="宋体" w:cs="宋体"/>
          <w:szCs w:val="21"/>
          <w:u w:val="single"/>
          <w:lang w:val="en-US" w:eastAsia="zh-CN"/>
        </w:rPr>
        <w:t xml:space="preserve">       </w:t>
      </w:r>
    </w:p>
    <w:p w14:paraId="4F0B92AD">
      <w:pPr>
        <w:spacing w:line="360" w:lineRule="auto"/>
        <w:rPr>
          <w:rFonts w:hint="default" w:ascii="宋体" w:hAnsi="宋体" w:eastAsia="宋体" w:cs="宋体"/>
          <w:szCs w:val="21"/>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w:t>
      </w:r>
    </w:p>
    <w:p w14:paraId="0A06D9D5">
      <w:pPr>
        <w:spacing w:line="360" w:lineRule="auto"/>
        <w:rPr>
          <w:rFonts w:ascii="宋体" w:hAnsi="宋体" w:cs="宋体"/>
          <w:szCs w:val="21"/>
          <w:u w:val="single"/>
        </w:rPr>
      </w:pPr>
      <w:r>
        <w:rPr>
          <w:rFonts w:hint="eastAsia" w:ascii="宋体" w:hAnsi="宋体" w:cs="宋体"/>
          <w:szCs w:val="21"/>
        </w:rPr>
        <w:t>签订地点：</w:t>
      </w:r>
      <w:r>
        <w:rPr>
          <w:rFonts w:hint="eastAsia" w:ascii="宋体" w:hAnsi="宋体" w:cs="宋体"/>
          <w:szCs w:val="21"/>
          <w:u w:val="single"/>
        </w:rPr>
        <w:t>桂林医科大学第二附属医院</w:t>
      </w:r>
      <w:r>
        <w:rPr>
          <w:rFonts w:hint="eastAsia"/>
        </w:rPr>
        <w:t xml:space="preserve">           </w:t>
      </w:r>
    </w:p>
    <w:p w14:paraId="43DF71D5">
      <w:pPr>
        <w:spacing w:line="360" w:lineRule="auto"/>
        <w:rPr>
          <w:rFonts w:ascii="宋体" w:hAnsi="宋体" w:cs="宋体"/>
          <w:szCs w:val="21"/>
        </w:rPr>
      </w:pPr>
      <w:r>
        <w:rPr>
          <w:rFonts w:hint="eastAsia" w:ascii="宋体" w:hAnsi="宋体" w:cs="宋体"/>
          <w:szCs w:val="21"/>
        </w:rPr>
        <w:t>本合同为中小企业预留合同：</w:t>
      </w:r>
      <w:r>
        <w:rPr>
          <w:rFonts w:hint="eastAsia" w:ascii="宋体" w:hAnsi="宋体" w:cs="宋体"/>
          <w:szCs w:val="21"/>
          <w:u w:val="single"/>
        </w:rPr>
        <w:t>否</w:t>
      </w:r>
      <w:r>
        <w:rPr>
          <w:rFonts w:hint="eastAsia" w:ascii="宋体" w:hAnsi="宋体" w:cs="宋体"/>
          <w:szCs w:val="21"/>
        </w:rPr>
        <w:t>。</w:t>
      </w:r>
    </w:p>
    <w:p w14:paraId="6E1ECDB8">
      <w:pPr>
        <w:spacing w:line="360" w:lineRule="auto"/>
        <w:ind w:firstLine="420" w:firstLineChars="200"/>
        <w:rPr>
          <w:rFonts w:ascii="宋体" w:hAnsi="宋体"/>
          <w:szCs w:val="21"/>
        </w:rPr>
      </w:pPr>
      <w:r>
        <w:rPr>
          <w:rFonts w:hint="eastAsia" w:ascii="宋体" w:hAnsi="宋体" w:cs="宋体"/>
          <w:szCs w:val="21"/>
        </w:rPr>
        <w:t>根据《中华人民共和国政府采购法》、《中华人民共和国民法典》等法律、法规规定，按照</w:t>
      </w:r>
      <w:r>
        <w:rPr>
          <w:rFonts w:hint="eastAsia" w:ascii="宋体" w:hAnsi="宋体"/>
          <w:szCs w:val="21"/>
        </w:rPr>
        <w:t>招标文件规定条款和乙方投标文件及其承诺，甲乙双方签订本合同。</w:t>
      </w:r>
    </w:p>
    <w:p w14:paraId="2EC707C7">
      <w:pPr>
        <w:spacing w:line="360" w:lineRule="auto"/>
        <w:ind w:firstLine="420" w:firstLineChars="200"/>
        <w:rPr>
          <w:rFonts w:ascii="宋体" w:hAnsi="宋体"/>
          <w:szCs w:val="21"/>
        </w:rPr>
      </w:pPr>
    </w:p>
    <w:p w14:paraId="2482218E">
      <w:pPr>
        <w:adjustRightInd w:val="0"/>
        <w:snapToGrid w:val="0"/>
        <w:spacing w:line="360" w:lineRule="auto"/>
        <w:ind w:firstLine="422" w:firstLineChars="200"/>
        <w:rPr>
          <w:rFonts w:ascii="宋体" w:hAnsi="宋体" w:cs="宋体"/>
          <w:b/>
          <w:szCs w:val="21"/>
        </w:rPr>
      </w:pPr>
      <w:r>
        <w:rPr>
          <w:rFonts w:hint="eastAsia" w:ascii="宋体" w:hAnsi="宋体" w:cs="宋体"/>
          <w:b/>
          <w:szCs w:val="21"/>
        </w:rPr>
        <w:t>第一条 合同文件</w:t>
      </w:r>
    </w:p>
    <w:p w14:paraId="2F4E0A45">
      <w:pPr>
        <w:adjustRightInd w:val="0"/>
        <w:snapToGrid w:val="0"/>
        <w:spacing w:line="360" w:lineRule="auto"/>
        <w:ind w:firstLine="420" w:firstLineChars="200"/>
        <w:rPr>
          <w:rFonts w:ascii="宋体" w:hAnsi="宋体" w:cs="宋体"/>
          <w:szCs w:val="21"/>
        </w:rPr>
      </w:pPr>
      <w:r>
        <w:rPr>
          <w:rFonts w:hint="eastAsia" w:ascii="宋体" w:hAnsi="宋体" w:cs="宋体"/>
          <w:szCs w:val="21"/>
        </w:rPr>
        <w:t>本合同所附下列文件是构成本合同不可分割的部分：</w:t>
      </w:r>
    </w:p>
    <w:p w14:paraId="5FECD00E">
      <w:pPr>
        <w:adjustRightInd w:val="0"/>
        <w:snapToGrid w:val="0"/>
        <w:spacing w:line="360" w:lineRule="auto"/>
        <w:ind w:firstLine="420" w:firstLineChars="200"/>
        <w:rPr>
          <w:rFonts w:ascii="宋体" w:hAnsi="宋体" w:cs="宋体"/>
          <w:szCs w:val="21"/>
        </w:rPr>
      </w:pPr>
      <w:r>
        <w:rPr>
          <w:rFonts w:hint="eastAsia" w:ascii="宋体" w:hAnsi="宋体" w:cs="宋体"/>
          <w:szCs w:val="21"/>
        </w:rPr>
        <w:t xml:space="preserve">1.招标文件 </w:t>
      </w:r>
    </w:p>
    <w:p w14:paraId="1AF6A4DF">
      <w:pPr>
        <w:adjustRightInd w:val="0"/>
        <w:snapToGrid w:val="0"/>
        <w:spacing w:line="360" w:lineRule="auto"/>
        <w:ind w:firstLine="420" w:firstLineChars="200"/>
        <w:rPr>
          <w:rFonts w:hint="eastAsia" w:ascii="宋体" w:hAnsi="宋体" w:eastAsia="宋体" w:cs="宋体"/>
          <w:szCs w:val="21"/>
          <w:lang w:eastAsia="zh-CN"/>
        </w:rPr>
      </w:pPr>
      <w:r>
        <w:rPr>
          <w:rFonts w:hint="eastAsia" w:ascii="宋体" w:hAnsi="宋体" w:cs="宋体"/>
          <w:szCs w:val="21"/>
        </w:rPr>
        <w:t>2.投标函、开标一览表、商务条款偏离表、技术偏离表</w:t>
      </w:r>
      <w:r>
        <w:rPr>
          <w:rFonts w:hint="eastAsia" w:ascii="宋体" w:hAnsi="宋体" w:cs="宋体"/>
          <w:szCs w:val="21"/>
          <w:lang w:eastAsia="zh-CN"/>
        </w:rPr>
        <w:t>、CT 影像数据安全承诺书</w:t>
      </w:r>
    </w:p>
    <w:p w14:paraId="031FB530">
      <w:pPr>
        <w:adjustRightInd w:val="0"/>
        <w:snapToGrid w:val="0"/>
        <w:spacing w:line="360" w:lineRule="auto"/>
        <w:ind w:firstLine="420" w:firstLineChars="200"/>
        <w:rPr>
          <w:rFonts w:ascii="宋体" w:hAnsi="宋体" w:cs="宋体"/>
          <w:szCs w:val="21"/>
        </w:rPr>
      </w:pPr>
      <w:r>
        <w:rPr>
          <w:rFonts w:hint="eastAsia" w:ascii="宋体" w:hAnsi="宋体" w:cs="宋体"/>
          <w:szCs w:val="21"/>
        </w:rPr>
        <w:t>3.维保服务方案、故障响应及应急方案、备件供应</w:t>
      </w:r>
      <w:r>
        <w:rPr>
          <w:rFonts w:hint="eastAsia" w:ascii="宋体" w:hAnsi="宋体" w:cs="宋体"/>
          <w:szCs w:val="21"/>
          <w:lang w:eastAsia="zh-CN"/>
        </w:rPr>
        <w:t>、</w:t>
      </w:r>
      <w:r>
        <w:rPr>
          <w:rFonts w:hint="eastAsia" w:ascii="宋体" w:hAnsi="宋体" w:cs="宋体"/>
          <w:szCs w:val="21"/>
        </w:rPr>
        <w:t>培训方案</w:t>
      </w:r>
      <w:r>
        <w:rPr>
          <w:rFonts w:hint="eastAsia" w:ascii="宋体" w:hAnsi="宋体" w:cs="宋体"/>
          <w:szCs w:val="21"/>
          <w:lang w:eastAsia="zh-CN"/>
        </w:rPr>
        <w:t>、</w:t>
      </w:r>
      <w:r>
        <w:rPr>
          <w:rFonts w:hint="eastAsia" w:ascii="宋体" w:hAnsi="宋体" w:cs="宋体"/>
          <w:bCs/>
          <w:color w:val="000000" w:themeColor="text1"/>
          <w:szCs w:val="21"/>
          <w14:textFill>
            <w14:solidFill>
              <w14:schemeClr w14:val="tx1"/>
            </w14:solidFill>
          </w14:textFill>
        </w:rPr>
        <w:t>人员配置</w:t>
      </w:r>
      <w:r>
        <w:rPr>
          <w:rFonts w:hint="eastAsia" w:ascii="宋体" w:hAnsi="宋体" w:cs="宋体"/>
          <w:szCs w:val="21"/>
        </w:rPr>
        <w:t>（如有）</w:t>
      </w:r>
    </w:p>
    <w:p w14:paraId="7276B26C">
      <w:pPr>
        <w:adjustRightInd w:val="0"/>
        <w:snapToGrid w:val="0"/>
        <w:spacing w:line="360" w:lineRule="auto"/>
        <w:ind w:firstLine="420" w:firstLineChars="200"/>
        <w:rPr>
          <w:rFonts w:ascii="宋体" w:hAnsi="宋体" w:cs="宋体"/>
          <w:szCs w:val="21"/>
        </w:rPr>
      </w:pPr>
      <w:r>
        <w:rPr>
          <w:rFonts w:hint="eastAsia" w:ascii="宋体" w:hAnsi="宋体" w:cs="宋体"/>
          <w:szCs w:val="21"/>
        </w:rPr>
        <w:t xml:space="preserve">4.中标通知书 </w:t>
      </w:r>
    </w:p>
    <w:p w14:paraId="4EA7DE16">
      <w:pPr>
        <w:adjustRightInd w:val="0"/>
        <w:snapToGrid w:val="0"/>
        <w:spacing w:line="360" w:lineRule="auto"/>
        <w:ind w:firstLine="422" w:firstLineChars="200"/>
        <w:rPr>
          <w:rFonts w:ascii="等线" w:hAnsi="等线"/>
          <w:b/>
          <w:szCs w:val="21"/>
        </w:rPr>
      </w:pPr>
      <w:r>
        <w:rPr>
          <w:rFonts w:hint="eastAsia" w:ascii="宋体" w:hAnsi="宋体" w:cs="宋体"/>
          <w:b/>
          <w:bCs/>
          <w:snapToGrid w:val="0"/>
          <w:kern w:val="0"/>
          <w:szCs w:val="21"/>
        </w:rPr>
        <w:t xml:space="preserve">第二条 </w:t>
      </w:r>
      <w:r>
        <w:rPr>
          <w:rFonts w:hint="eastAsia" w:ascii="等线" w:hAnsi="等线"/>
          <w:b/>
          <w:szCs w:val="21"/>
        </w:rPr>
        <w:t>合同标的及合同金额</w:t>
      </w:r>
    </w:p>
    <w:p w14:paraId="18FFBE59">
      <w:pPr>
        <w:spacing w:line="360" w:lineRule="auto"/>
        <w:ind w:firstLine="420" w:firstLineChars="200"/>
        <w:jc w:val="left"/>
        <w:rPr>
          <w:rFonts w:ascii="宋体" w:hAnsi="宋体" w:cs="仿宋"/>
        </w:rPr>
      </w:pPr>
      <w:r>
        <w:rPr>
          <w:rFonts w:hint="eastAsia" w:ascii="宋体" w:hAnsi="宋体" w:cs="仿宋"/>
        </w:rPr>
        <w:t>1.维修设备：GE Revolution CT；数量：1台。</w:t>
      </w:r>
    </w:p>
    <w:p w14:paraId="26361355">
      <w:pPr>
        <w:spacing w:line="360" w:lineRule="auto"/>
        <w:ind w:firstLine="420" w:firstLineChars="200"/>
        <w:jc w:val="left"/>
        <w:rPr>
          <w:rFonts w:ascii="宋体" w:hAnsi="宋体" w:cs="仿宋"/>
        </w:rPr>
      </w:pPr>
      <w:r>
        <w:rPr>
          <w:rFonts w:hint="eastAsia" w:ascii="宋体" w:hAnsi="宋体" w:cs="仿宋"/>
        </w:rPr>
        <w:t>2.根据《中标通知书》的中标内容，合同的总金额为：（大写）人民币</w:t>
      </w:r>
      <w:r>
        <w:rPr>
          <w:rFonts w:hint="eastAsia" w:ascii="宋体" w:hAnsi="宋体" w:cs="仿宋"/>
          <w:u w:val="single"/>
        </w:rPr>
        <w:t>　　　</w:t>
      </w:r>
      <w:r>
        <w:rPr>
          <w:rFonts w:hint="eastAsia" w:ascii="宋体" w:hAnsi="宋体" w:cs="仿宋"/>
        </w:rPr>
        <w:t>元（¥</w:t>
      </w:r>
      <w:r>
        <w:rPr>
          <w:rFonts w:hint="eastAsia" w:ascii="宋体" w:hAnsi="宋体" w:cs="仿宋"/>
          <w:u w:val="single"/>
        </w:rPr>
        <w:t>　　　</w:t>
      </w:r>
      <w:r>
        <w:rPr>
          <w:rFonts w:hint="eastAsia" w:ascii="宋体" w:hAnsi="宋体" w:cs="仿宋"/>
        </w:rPr>
        <w:t>），其中：（大写）人民币</w:t>
      </w:r>
      <w:r>
        <w:rPr>
          <w:rFonts w:hint="eastAsia" w:ascii="宋体" w:hAnsi="宋体" w:cs="仿宋"/>
          <w:u w:val="single"/>
        </w:rPr>
        <w:t>　　　元（¥　　　）/年</w:t>
      </w:r>
      <w:r>
        <w:rPr>
          <w:rFonts w:hint="eastAsia" w:ascii="宋体" w:hAnsi="宋体" w:cs="仿宋"/>
        </w:rPr>
        <w:t>。</w:t>
      </w:r>
    </w:p>
    <w:p w14:paraId="039063CC">
      <w:pPr>
        <w:spacing w:line="360" w:lineRule="auto"/>
        <w:ind w:firstLine="420" w:firstLineChars="200"/>
        <w:jc w:val="left"/>
        <w:rPr>
          <w:rFonts w:ascii="宋体" w:hAnsi="宋体"/>
          <w:szCs w:val="21"/>
        </w:rPr>
      </w:pPr>
      <w:r>
        <w:rPr>
          <w:rFonts w:hint="eastAsia" w:ascii="宋体" w:hAnsi="宋体" w:cs="仿宋"/>
        </w:rPr>
        <w:t>说明：</w:t>
      </w:r>
      <w:r>
        <w:rPr>
          <w:rFonts w:hint="eastAsia" w:ascii="宋体" w:hAnsi="宋体"/>
          <w:szCs w:val="21"/>
        </w:rPr>
        <w:t>合同包含完成本“</w:t>
      </w:r>
      <w:r>
        <w:rPr>
          <w:rFonts w:hint="eastAsia" w:ascii="宋体" w:hAnsi="宋体"/>
          <w:szCs w:val="21"/>
          <w:lang w:val="en-US" w:eastAsia="zh-CN"/>
        </w:rPr>
        <w:t>采购</w:t>
      </w:r>
      <w:r>
        <w:rPr>
          <w:rFonts w:hint="eastAsia" w:ascii="宋体" w:hAnsi="宋体"/>
          <w:szCs w:val="21"/>
        </w:rPr>
        <w:t>需求”中所列所有服务内容的服务价款以及所产生的所有成本，即满足全部采购需求所应提供的服务，以及伴随的货物和工程（如有）的价格：</w:t>
      </w:r>
    </w:p>
    <w:p w14:paraId="55513A43">
      <w:pPr>
        <w:spacing w:line="360" w:lineRule="auto"/>
        <w:ind w:firstLine="420" w:firstLineChars="200"/>
        <w:jc w:val="left"/>
        <w:rPr>
          <w:rFonts w:ascii="宋体" w:hAnsi="宋体"/>
          <w:szCs w:val="21"/>
        </w:rPr>
      </w:pPr>
      <w:r>
        <w:rPr>
          <w:rFonts w:hint="eastAsia" w:ascii="宋体" w:hAnsi="宋体"/>
          <w:szCs w:val="21"/>
        </w:rPr>
        <w:t>（1）设备定期检查保养；</w:t>
      </w:r>
    </w:p>
    <w:p w14:paraId="2834FC2D">
      <w:pPr>
        <w:spacing w:line="360" w:lineRule="auto"/>
        <w:ind w:firstLine="420" w:firstLineChars="200"/>
        <w:jc w:val="left"/>
        <w:rPr>
          <w:rFonts w:ascii="宋体" w:hAnsi="宋体"/>
          <w:szCs w:val="21"/>
        </w:rPr>
      </w:pPr>
      <w:r>
        <w:rPr>
          <w:rFonts w:hint="eastAsia" w:ascii="宋体" w:hAnsi="宋体"/>
          <w:szCs w:val="21"/>
        </w:rPr>
        <w:t>（2）维修人员的工时费、差旅费；</w:t>
      </w:r>
    </w:p>
    <w:p w14:paraId="13BB0A0A">
      <w:pPr>
        <w:spacing w:line="360" w:lineRule="auto"/>
        <w:ind w:firstLine="420" w:firstLineChars="200"/>
        <w:jc w:val="left"/>
        <w:rPr>
          <w:rFonts w:ascii="宋体" w:hAnsi="宋体"/>
          <w:szCs w:val="21"/>
        </w:rPr>
      </w:pPr>
      <w:r>
        <w:rPr>
          <w:rFonts w:hint="eastAsia" w:ascii="宋体" w:hAnsi="宋体"/>
          <w:szCs w:val="21"/>
        </w:rPr>
        <w:t>（3）乙方视设备故障维修的需要，负责全部零、备件的维修和更换（不再另外收取零、备件费用和其他费用）；</w:t>
      </w:r>
    </w:p>
    <w:p w14:paraId="097CE43F">
      <w:pPr>
        <w:spacing w:line="360" w:lineRule="auto"/>
        <w:ind w:firstLine="420" w:firstLineChars="200"/>
        <w:jc w:val="left"/>
        <w:rPr>
          <w:rFonts w:ascii="宋体" w:hAnsi="宋体" w:cs="仿宋"/>
        </w:rPr>
      </w:pPr>
      <w:r>
        <w:rPr>
          <w:rFonts w:hint="eastAsia" w:ascii="宋体" w:hAnsi="宋体"/>
          <w:szCs w:val="21"/>
        </w:rPr>
        <w:t>（4）完成本服务项目所需的其他全部费用，包含（但不限于）：零、备件等产品的运输费（含装卸费）、保险费、税费、专用工具、安装调试费、培训费、技术支持、更换产品检测费、更换产品质保期内维护费等费用、招标代理服务费等伴随的一切费用。对于本文件中未列明，而乙方认为必需的费用，也必须列入总报价中。在合同执行阶段，甲方将不予承担乙方未列入报价的任何项目费用，并视为该费用已包含在投标报价内。</w:t>
      </w:r>
    </w:p>
    <w:p w14:paraId="174D0AB9">
      <w:pPr>
        <w:adjustRightInd w:val="0"/>
        <w:snapToGrid w:val="0"/>
        <w:spacing w:line="360" w:lineRule="auto"/>
        <w:ind w:firstLine="422" w:firstLineChars="200"/>
        <w:rPr>
          <w:rFonts w:ascii="宋体" w:hAnsi="宋体" w:cs="宋体"/>
          <w:b/>
          <w:bCs/>
          <w:snapToGrid w:val="0"/>
          <w:kern w:val="0"/>
          <w:szCs w:val="21"/>
        </w:rPr>
      </w:pPr>
      <w:r>
        <w:rPr>
          <w:rFonts w:hint="eastAsia" w:ascii="宋体" w:hAnsi="宋体" w:cs="宋体"/>
          <w:b/>
          <w:bCs/>
          <w:snapToGrid w:val="0"/>
          <w:kern w:val="0"/>
          <w:szCs w:val="21"/>
        </w:rPr>
        <w:t>第三条 服务内容及要求</w:t>
      </w:r>
    </w:p>
    <w:p w14:paraId="71564C10">
      <w:pPr>
        <w:spacing w:line="360" w:lineRule="auto"/>
        <w:ind w:firstLine="420" w:firstLineChars="200"/>
        <w:rPr>
          <w:rFonts w:hint="eastAsia" w:ascii="宋体" w:hAnsi="宋体" w:cs="宋体"/>
          <w:bCs/>
        </w:rPr>
      </w:pPr>
      <w:r>
        <w:rPr>
          <w:rFonts w:hint="eastAsia" w:ascii="宋体" w:hAnsi="宋体" w:cs="宋体"/>
          <w:bCs/>
        </w:rPr>
        <w:t>1.保修类型和服务要求（完全包括以下内容但不限于以下内容）</w:t>
      </w:r>
    </w:p>
    <w:p w14:paraId="3DAF42F2">
      <w:pPr>
        <w:spacing w:line="360" w:lineRule="auto"/>
        <w:ind w:firstLine="420" w:firstLineChars="200"/>
        <w:rPr>
          <w:rFonts w:hint="eastAsia" w:ascii="宋体" w:hAnsi="宋体" w:cs="宋体"/>
          <w:bCs/>
        </w:rPr>
      </w:pPr>
      <w:r>
        <w:rPr>
          <w:rFonts w:hint="eastAsia" w:ascii="宋体" w:hAnsi="宋体" w:cs="宋体"/>
          <w:bCs/>
          <w:lang w:eastAsia="zh-CN"/>
        </w:rPr>
        <w:t>（</w:t>
      </w:r>
      <w:r>
        <w:rPr>
          <w:rFonts w:hint="eastAsia" w:ascii="宋体" w:hAnsi="宋体" w:cs="宋体"/>
          <w:bCs/>
          <w:lang w:val="en-US" w:eastAsia="zh-CN"/>
        </w:rPr>
        <w:t>1</w:t>
      </w:r>
      <w:r>
        <w:rPr>
          <w:rFonts w:hint="eastAsia" w:ascii="宋体" w:hAnsi="宋体" w:cs="宋体"/>
          <w:bCs/>
          <w:lang w:eastAsia="zh-CN"/>
        </w:rPr>
        <w:t>）</w:t>
      </w:r>
      <w:r>
        <w:rPr>
          <w:rFonts w:hint="eastAsia" w:ascii="宋体" w:hAnsi="宋体" w:cs="宋体"/>
          <w:bCs/>
        </w:rPr>
        <w:t>服务内容：紧急维修、备件更换、定期保养、开机率保障、所有人工服务费、保养服务费，以及维保服务范围内的所有备件。</w:t>
      </w:r>
    </w:p>
    <w:p w14:paraId="575C1CAC">
      <w:pPr>
        <w:spacing w:line="360" w:lineRule="auto"/>
        <w:ind w:firstLine="420" w:firstLineChars="200"/>
        <w:rPr>
          <w:rFonts w:hint="eastAsia" w:ascii="宋体" w:hAnsi="宋体" w:cs="宋体"/>
          <w:bCs/>
        </w:rPr>
      </w:pPr>
      <w:r>
        <w:rPr>
          <w:rFonts w:hint="eastAsia" w:ascii="宋体" w:hAnsi="宋体" w:cs="宋体"/>
          <w:bCs/>
          <w:lang w:eastAsia="zh-CN"/>
        </w:rPr>
        <w:t>（</w:t>
      </w:r>
      <w:r>
        <w:rPr>
          <w:rFonts w:hint="eastAsia" w:ascii="宋体" w:hAnsi="宋体" w:cs="宋体"/>
          <w:bCs/>
          <w:lang w:val="en-US" w:eastAsia="zh-CN"/>
        </w:rPr>
        <w:t>2</w:t>
      </w:r>
      <w:r>
        <w:rPr>
          <w:rFonts w:hint="eastAsia" w:ascii="宋体" w:hAnsi="宋体" w:cs="宋体"/>
          <w:bCs/>
          <w:lang w:eastAsia="zh-CN"/>
        </w:rPr>
        <w:t>）</w:t>
      </w:r>
      <w:r>
        <w:rPr>
          <w:rFonts w:hint="eastAsia" w:ascii="宋体" w:hAnsi="宋体" w:cs="宋体"/>
          <w:bCs/>
        </w:rPr>
        <w:t>维保服务范围：包含球管、高压发生器、探测器、机架系统、病床、主机系统等整机及高压注射器（型号：StellantD-CE 序列号：311838）的紧急维修及零备件更换。</w:t>
      </w:r>
    </w:p>
    <w:p w14:paraId="7F07B3AC">
      <w:pPr>
        <w:spacing w:line="360" w:lineRule="auto"/>
        <w:ind w:firstLine="420" w:firstLineChars="200"/>
        <w:rPr>
          <w:rFonts w:hint="eastAsia" w:ascii="宋体" w:hAnsi="宋体" w:cs="宋体"/>
          <w:bCs/>
        </w:rPr>
      </w:pPr>
      <w:r>
        <w:rPr>
          <w:rFonts w:hint="eastAsia" w:ascii="宋体" w:hAnsi="宋体" w:cs="宋体"/>
          <w:bCs/>
          <w:lang w:val="en-US" w:eastAsia="zh-CN"/>
        </w:rPr>
        <w:t>2</w:t>
      </w:r>
      <w:r>
        <w:rPr>
          <w:rFonts w:hint="eastAsia" w:ascii="宋体" w:hAnsi="宋体" w:cs="宋体"/>
          <w:bCs/>
        </w:rPr>
        <w:t>、维保服务的具体要求</w:t>
      </w:r>
    </w:p>
    <w:p w14:paraId="23103418">
      <w:pPr>
        <w:spacing w:line="360" w:lineRule="auto"/>
        <w:ind w:firstLine="420" w:firstLineChars="200"/>
        <w:rPr>
          <w:rFonts w:hint="eastAsia" w:ascii="宋体" w:hAnsi="宋体" w:cs="宋体"/>
          <w:bCs/>
        </w:rPr>
      </w:pPr>
      <w:r>
        <w:rPr>
          <w:rFonts w:hint="eastAsia" w:ascii="宋体" w:hAnsi="宋体" w:cs="宋体"/>
          <w:bCs/>
          <w:lang w:eastAsia="zh-CN"/>
        </w:rPr>
        <w:t>（</w:t>
      </w:r>
      <w:r>
        <w:rPr>
          <w:rFonts w:hint="eastAsia" w:ascii="宋体" w:hAnsi="宋体" w:cs="宋体"/>
          <w:bCs/>
          <w:lang w:val="en-US" w:eastAsia="zh-CN"/>
        </w:rPr>
        <w:t>1</w:t>
      </w:r>
      <w:r>
        <w:rPr>
          <w:rFonts w:hint="eastAsia" w:ascii="宋体" w:hAnsi="宋体" w:cs="宋体"/>
          <w:bCs/>
          <w:lang w:eastAsia="zh-CN"/>
        </w:rPr>
        <w:t>）</w:t>
      </w:r>
      <w:r>
        <w:rPr>
          <w:rFonts w:hint="eastAsia" w:ascii="宋体" w:hAnsi="宋体" w:cs="宋体"/>
          <w:bCs/>
        </w:rPr>
        <w:t>报修方式：具备400或800客户服务专线电话，24小时*365天有专人接听。</w:t>
      </w:r>
    </w:p>
    <w:p w14:paraId="3BCBE8F1">
      <w:pPr>
        <w:spacing w:line="360" w:lineRule="auto"/>
        <w:ind w:firstLine="420" w:firstLineChars="200"/>
        <w:rPr>
          <w:rFonts w:hint="eastAsia" w:ascii="宋体" w:hAnsi="宋体" w:cs="宋体"/>
          <w:bCs/>
        </w:rPr>
      </w:pPr>
      <w:r>
        <w:rPr>
          <w:rFonts w:hint="eastAsia" w:ascii="宋体" w:hAnsi="宋体" w:cs="宋体"/>
          <w:bCs/>
          <w:lang w:eastAsia="zh-CN"/>
        </w:rPr>
        <w:t>（</w:t>
      </w:r>
      <w:r>
        <w:rPr>
          <w:rFonts w:hint="eastAsia" w:ascii="宋体" w:hAnsi="宋体" w:cs="宋体"/>
          <w:bCs/>
          <w:lang w:val="en-US" w:eastAsia="zh-CN"/>
        </w:rPr>
        <w:t>2</w:t>
      </w:r>
      <w:r>
        <w:rPr>
          <w:rFonts w:hint="eastAsia" w:ascii="宋体" w:hAnsi="宋体" w:cs="宋体"/>
          <w:bCs/>
          <w:lang w:eastAsia="zh-CN"/>
        </w:rPr>
        <w:t>）</w:t>
      </w:r>
      <w:r>
        <w:rPr>
          <w:rFonts w:hint="eastAsia" w:ascii="宋体" w:hAnsi="宋体" w:cs="宋体"/>
          <w:bCs/>
        </w:rPr>
        <w:t>服务响应时间：接到医院报修电话后，资深工程师1小时内电话响应，紧急故障若电话交流无法解决，则在接获报修电话后工程师12小时内到达现场。</w:t>
      </w:r>
    </w:p>
    <w:p w14:paraId="2A05370A">
      <w:pPr>
        <w:spacing w:line="360" w:lineRule="auto"/>
        <w:ind w:firstLine="420" w:firstLineChars="200"/>
        <w:rPr>
          <w:rFonts w:hint="eastAsia" w:ascii="宋体" w:hAnsi="宋体" w:cs="宋体"/>
          <w:bCs/>
        </w:rPr>
      </w:pPr>
      <w:r>
        <w:rPr>
          <w:rFonts w:hint="eastAsia" w:ascii="宋体" w:hAnsi="宋体" w:cs="宋体"/>
          <w:bCs/>
          <w:lang w:eastAsia="zh-CN"/>
        </w:rPr>
        <w:t>（</w:t>
      </w:r>
      <w:r>
        <w:rPr>
          <w:rFonts w:hint="eastAsia" w:ascii="宋体" w:hAnsi="宋体" w:cs="宋体"/>
          <w:bCs/>
          <w:lang w:val="en-US" w:eastAsia="zh-CN"/>
        </w:rPr>
        <w:t>3</w:t>
      </w:r>
      <w:r>
        <w:rPr>
          <w:rFonts w:hint="eastAsia" w:ascii="宋体" w:hAnsi="宋体" w:cs="宋体"/>
          <w:bCs/>
          <w:lang w:eastAsia="zh-CN"/>
        </w:rPr>
        <w:t>）</w:t>
      </w:r>
      <w:r>
        <w:rPr>
          <w:rFonts w:hint="eastAsia" w:ascii="宋体" w:hAnsi="宋体" w:cs="宋体"/>
          <w:bCs/>
        </w:rPr>
        <w:t>备件响应时间：需要更换零备件时，确保备件48小时内到达现场，特殊情况双方协商解决（仓库全年365天响应）。</w:t>
      </w:r>
    </w:p>
    <w:p w14:paraId="25AD4AF6">
      <w:pPr>
        <w:spacing w:line="360" w:lineRule="auto"/>
        <w:ind w:firstLine="420" w:firstLineChars="200"/>
        <w:rPr>
          <w:rFonts w:hint="eastAsia" w:ascii="宋体" w:hAnsi="宋体" w:cs="宋体"/>
          <w:bCs/>
        </w:rPr>
      </w:pPr>
      <w:r>
        <w:rPr>
          <w:rFonts w:hint="eastAsia" w:ascii="宋体" w:hAnsi="宋体" w:cs="宋体"/>
          <w:bCs/>
          <w:lang w:eastAsia="zh-CN"/>
        </w:rPr>
        <w:t>（</w:t>
      </w:r>
      <w:r>
        <w:rPr>
          <w:rFonts w:hint="eastAsia" w:ascii="宋体" w:hAnsi="宋体" w:cs="宋体"/>
          <w:bCs/>
          <w:lang w:val="en-US" w:eastAsia="zh-CN"/>
        </w:rPr>
        <w:t>4</w:t>
      </w:r>
      <w:r>
        <w:rPr>
          <w:rFonts w:hint="eastAsia" w:ascii="宋体" w:hAnsi="宋体" w:cs="宋体"/>
          <w:bCs/>
          <w:lang w:eastAsia="zh-CN"/>
        </w:rPr>
        <w:t>）</w:t>
      </w:r>
      <w:r>
        <w:rPr>
          <w:rFonts w:hint="eastAsia" w:ascii="宋体" w:hAnsi="宋体" w:cs="宋体"/>
          <w:bCs/>
        </w:rPr>
        <w:t>开机率保障：维保范围内确保全年开机率达到97%（按全年365天计算）。</w:t>
      </w:r>
    </w:p>
    <w:p w14:paraId="554C9187">
      <w:pPr>
        <w:spacing w:line="360" w:lineRule="auto"/>
        <w:ind w:firstLine="420" w:firstLineChars="200"/>
        <w:rPr>
          <w:rFonts w:hint="eastAsia" w:ascii="宋体" w:hAnsi="宋体" w:cs="宋体"/>
          <w:bCs/>
        </w:rPr>
      </w:pPr>
      <w:r>
        <w:rPr>
          <w:rFonts w:hint="eastAsia" w:ascii="宋体" w:hAnsi="宋体" w:cs="宋体"/>
          <w:bCs/>
          <w:lang w:val="en-US" w:eastAsia="zh-CN"/>
        </w:rPr>
        <w:t>（5）</w:t>
      </w:r>
      <w:r>
        <w:rPr>
          <w:rFonts w:hint="eastAsia" w:ascii="宋体" w:hAnsi="宋体" w:cs="宋体"/>
          <w:bCs/>
        </w:rPr>
        <w:t>开机率低于97%，停机时间每超过一天，维保服务合同期限自动延长五天，并扣除维保费5000元/天。</w:t>
      </w:r>
    </w:p>
    <w:p w14:paraId="4928A77B">
      <w:pPr>
        <w:spacing w:line="360" w:lineRule="auto"/>
        <w:ind w:firstLine="420" w:firstLineChars="200"/>
        <w:rPr>
          <w:rFonts w:hint="eastAsia" w:ascii="宋体" w:hAnsi="宋体" w:cs="宋体"/>
          <w:bCs/>
        </w:rPr>
      </w:pPr>
      <w:r>
        <w:rPr>
          <w:rFonts w:hint="eastAsia" w:ascii="宋体" w:hAnsi="宋体" w:cs="宋体"/>
          <w:bCs/>
          <w:lang w:eastAsia="zh-CN"/>
        </w:rPr>
        <w:t>（</w:t>
      </w:r>
      <w:r>
        <w:rPr>
          <w:rFonts w:hint="eastAsia" w:ascii="宋体" w:hAnsi="宋体" w:cs="宋体"/>
          <w:bCs/>
          <w:lang w:val="en-US" w:eastAsia="zh-CN"/>
        </w:rPr>
        <w:t>6</w:t>
      </w:r>
      <w:r>
        <w:rPr>
          <w:rFonts w:hint="eastAsia" w:ascii="宋体" w:hAnsi="宋体" w:cs="宋体"/>
          <w:bCs/>
          <w:lang w:eastAsia="zh-CN"/>
        </w:rPr>
        <w:t>）</w:t>
      </w:r>
      <w:r>
        <w:rPr>
          <w:rFonts w:hint="eastAsia" w:ascii="宋体" w:hAnsi="宋体" w:cs="宋体"/>
          <w:bCs/>
        </w:rPr>
        <w:t>定期保养：每年提供4次高级保养，并提供保养报告单；定期的维护保养服务包括：设备的安全检查、影像质量检查、设备清洁保养、性能测试及校准、运行状态检查等。保养中需更换的损耗品由中标人免费提供。</w:t>
      </w:r>
    </w:p>
    <w:p w14:paraId="13623737">
      <w:pPr>
        <w:spacing w:line="360" w:lineRule="auto"/>
        <w:ind w:firstLine="420" w:firstLineChars="200"/>
        <w:rPr>
          <w:rFonts w:hint="eastAsia" w:ascii="宋体" w:hAnsi="宋体" w:cs="宋体"/>
          <w:bCs/>
        </w:rPr>
      </w:pPr>
      <w:r>
        <w:rPr>
          <w:rFonts w:hint="eastAsia" w:ascii="宋体" w:hAnsi="宋体" w:cs="宋体"/>
          <w:bCs/>
          <w:lang w:eastAsia="zh-CN"/>
        </w:rPr>
        <w:t>（</w:t>
      </w:r>
      <w:r>
        <w:rPr>
          <w:rFonts w:hint="eastAsia" w:ascii="宋体" w:hAnsi="宋体" w:cs="宋体"/>
          <w:bCs/>
          <w:lang w:val="en-US" w:eastAsia="zh-CN"/>
        </w:rPr>
        <w:t>7</w:t>
      </w:r>
      <w:r>
        <w:rPr>
          <w:rFonts w:hint="eastAsia" w:ascii="宋体" w:hAnsi="宋体" w:cs="宋体"/>
          <w:bCs/>
          <w:lang w:eastAsia="zh-CN"/>
        </w:rPr>
        <w:t>）</w:t>
      </w:r>
      <w:r>
        <w:rPr>
          <w:rFonts w:hint="eastAsia" w:ascii="宋体" w:hAnsi="宋体" w:cs="宋体"/>
          <w:bCs/>
        </w:rPr>
        <w:t>备件保障：所更换的备件必须是原厂认证合格的零配件，满足设备运行要求，不会给设备带来危害且备件来源合法。</w:t>
      </w:r>
    </w:p>
    <w:p w14:paraId="2DFC4B99">
      <w:pPr>
        <w:spacing w:line="360" w:lineRule="auto"/>
        <w:ind w:firstLine="420" w:firstLineChars="200"/>
        <w:rPr>
          <w:rFonts w:hint="eastAsia" w:ascii="宋体" w:hAnsi="宋体" w:cs="宋体"/>
          <w:bCs/>
        </w:rPr>
      </w:pPr>
      <w:r>
        <w:rPr>
          <w:rFonts w:hint="eastAsia" w:ascii="宋体" w:hAnsi="宋体" w:cs="宋体"/>
          <w:bCs/>
          <w:lang w:eastAsia="zh-CN"/>
        </w:rPr>
        <w:t>（</w:t>
      </w:r>
      <w:r>
        <w:rPr>
          <w:rFonts w:hint="eastAsia" w:ascii="宋体" w:hAnsi="宋体" w:cs="宋体"/>
          <w:bCs/>
          <w:lang w:val="en-US" w:eastAsia="zh-CN"/>
        </w:rPr>
        <w:t>8</w:t>
      </w:r>
      <w:r>
        <w:rPr>
          <w:rFonts w:hint="eastAsia" w:ascii="宋体" w:hAnsi="宋体" w:cs="宋体"/>
          <w:bCs/>
          <w:lang w:eastAsia="zh-CN"/>
        </w:rPr>
        <w:t>）</w:t>
      </w:r>
      <w:r>
        <w:rPr>
          <w:rFonts w:hint="eastAsia" w:ascii="宋体" w:hAnsi="宋体" w:cs="宋体"/>
          <w:bCs/>
        </w:rPr>
        <w:t>付款方式：每半年付款一次，半年为一个付款周期。</w:t>
      </w:r>
    </w:p>
    <w:p w14:paraId="6F9C7FC0">
      <w:pPr>
        <w:spacing w:line="360" w:lineRule="auto"/>
        <w:ind w:firstLine="420" w:firstLineChars="200"/>
        <w:rPr>
          <w:rFonts w:hint="eastAsia" w:ascii="宋体" w:hAnsi="宋体" w:cs="宋体"/>
          <w:bCs/>
        </w:rPr>
      </w:pPr>
      <w:r>
        <w:rPr>
          <w:rFonts w:hint="eastAsia" w:ascii="宋体" w:hAnsi="宋体" w:cs="宋体"/>
          <w:bCs/>
          <w:lang w:eastAsia="zh-CN"/>
        </w:rPr>
        <w:t>（</w:t>
      </w:r>
      <w:r>
        <w:rPr>
          <w:rFonts w:hint="eastAsia" w:ascii="宋体" w:hAnsi="宋体" w:cs="宋体"/>
          <w:bCs/>
          <w:lang w:val="en-US" w:eastAsia="zh-CN"/>
        </w:rPr>
        <w:t>9</w:t>
      </w:r>
      <w:r>
        <w:rPr>
          <w:rFonts w:hint="eastAsia" w:ascii="宋体" w:hAnsi="宋体" w:cs="宋体"/>
          <w:bCs/>
          <w:lang w:eastAsia="zh-CN"/>
        </w:rPr>
        <w:t>）</w:t>
      </w:r>
      <w:r>
        <w:rPr>
          <w:rFonts w:hint="eastAsia" w:ascii="宋体" w:hAnsi="宋体" w:cs="宋体"/>
          <w:bCs/>
        </w:rPr>
        <w:t>新安装、维修或更换重要部件后的设备，乙方供应商应安排省级以上卫生行政部门资质认证的检测机构对其进行检测，出具检测报告合格后方可启用。</w:t>
      </w:r>
    </w:p>
    <w:p w14:paraId="031F727E">
      <w:pPr>
        <w:spacing w:line="360" w:lineRule="auto"/>
        <w:ind w:firstLine="420" w:firstLineChars="200"/>
        <w:rPr>
          <w:rFonts w:hint="eastAsia" w:ascii="宋体" w:hAnsi="宋体" w:cs="宋体"/>
          <w:bCs/>
        </w:rPr>
      </w:pPr>
      <w:r>
        <w:rPr>
          <w:rFonts w:hint="eastAsia" w:ascii="宋体" w:hAnsi="宋体" w:cs="宋体"/>
          <w:bCs/>
          <w:lang w:val="en-US" w:eastAsia="zh-CN"/>
        </w:rPr>
        <w:t>3、</w:t>
      </w:r>
      <w:r>
        <w:rPr>
          <w:rFonts w:hint="eastAsia" w:ascii="宋体" w:hAnsi="宋体" w:cs="宋体"/>
          <w:bCs/>
        </w:rPr>
        <w:t>商务技术要求</w:t>
      </w:r>
    </w:p>
    <w:p w14:paraId="5BDF89B7">
      <w:pPr>
        <w:spacing w:line="360" w:lineRule="auto"/>
        <w:ind w:firstLine="420" w:firstLineChars="200"/>
        <w:rPr>
          <w:rFonts w:hint="eastAsia" w:ascii="宋体" w:hAnsi="宋体" w:cs="宋体"/>
          <w:bCs/>
        </w:rPr>
      </w:pPr>
      <w:r>
        <w:rPr>
          <w:rFonts w:hint="eastAsia" w:ascii="宋体" w:hAnsi="宋体" w:cs="宋体"/>
          <w:bCs/>
          <w:lang w:eastAsia="zh-CN"/>
        </w:rPr>
        <w:t>（</w:t>
      </w:r>
      <w:r>
        <w:rPr>
          <w:rFonts w:hint="eastAsia" w:ascii="宋体" w:hAnsi="宋体" w:cs="宋体"/>
          <w:bCs/>
          <w:lang w:val="en-US" w:eastAsia="zh-CN"/>
        </w:rPr>
        <w:t>1</w:t>
      </w:r>
      <w:r>
        <w:rPr>
          <w:rFonts w:hint="eastAsia" w:ascii="宋体" w:hAnsi="宋体" w:cs="宋体"/>
          <w:bCs/>
          <w:lang w:eastAsia="zh-CN"/>
        </w:rPr>
        <w:t>）</w:t>
      </w:r>
      <w:r>
        <w:rPr>
          <w:rFonts w:hint="eastAsia" w:ascii="宋体" w:hAnsi="宋体" w:cs="宋体"/>
          <w:bCs/>
          <w:lang w:val="en-US" w:eastAsia="zh-CN"/>
        </w:rPr>
        <w:t>乙方</w:t>
      </w:r>
      <w:r>
        <w:rPr>
          <w:rFonts w:hint="eastAsia" w:ascii="宋体" w:hAnsi="宋体" w:cs="宋体"/>
          <w:bCs/>
        </w:rPr>
        <w:t>配备相对应产品类别的服务工程师≥2名，不少于2名服务工程师均获得设备主机生产商技术培训认证的有效期内技术资质证明，（投标文件中须提供工程师的姓名、可在线验证资质证书）。</w:t>
      </w:r>
    </w:p>
    <w:p w14:paraId="3B95AB31">
      <w:pPr>
        <w:spacing w:line="360" w:lineRule="auto"/>
        <w:ind w:firstLine="420" w:firstLineChars="200"/>
        <w:rPr>
          <w:rFonts w:hint="eastAsia" w:ascii="宋体" w:hAnsi="宋体" w:cs="宋体"/>
          <w:bCs/>
        </w:rPr>
      </w:pPr>
      <w:r>
        <w:rPr>
          <w:rFonts w:hint="eastAsia" w:ascii="宋体" w:hAnsi="宋体" w:cs="宋体"/>
          <w:bCs/>
          <w:lang w:eastAsia="zh-CN"/>
        </w:rPr>
        <w:t>（</w:t>
      </w:r>
      <w:r>
        <w:rPr>
          <w:rFonts w:hint="eastAsia" w:ascii="宋体" w:hAnsi="宋体" w:cs="宋体"/>
          <w:bCs/>
          <w:lang w:val="en-US" w:eastAsia="zh-CN"/>
        </w:rPr>
        <w:t>2</w:t>
      </w:r>
      <w:r>
        <w:rPr>
          <w:rFonts w:hint="eastAsia" w:ascii="宋体" w:hAnsi="宋体" w:cs="宋体"/>
          <w:bCs/>
          <w:lang w:eastAsia="zh-CN"/>
        </w:rPr>
        <w:t>）</w:t>
      </w:r>
      <w:r>
        <w:rPr>
          <w:rFonts w:hint="eastAsia" w:ascii="宋体" w:hAnsi="宋体" w:cs="宋体"/>
          <w:bCs/>
          <w:lang w:val="en-US" w:eastAsia="zh-CN"/>
        </w:rPr>
        <w:t>乙方</w:t>
      </w:r>
      <w:r>
        <w:rPr>
          <w:rFonts w:hint="eastAsia" w:ascii="宋体" w:hAnsi="宋体" w:cs="宋体"/>
          <w:bCs/>
        </w:rPr>
        <w:t>提供设备维修保养需使用的特殊精密专业工具，并提供有效校准证书或检测报告。</w:t>
      </w:r>
    </w:p>
    <w:p w14:paraId="07A1D6CD">
      <w:pPr>
        <w:spacing w:line="360" w:lineRule="auto"/>
        <w:ind w:firstLine="420" w:firstLineChars="200"/>
        <w:rPr>
          <w:rFonts w:hint="eastAsia" w:ascii="宋体" w:hAnsi="宋体" w:cs="宋体"/>
          <w:bCs/>
        </w:rPr>
      </w:pPr>
      <w:r>
        <w:rPr>
          <w:rFonts w:hint="eastAsia" w:ascii="宋体" w:hAnsi="宋体" w:cs="宋体"/>
          <w:bCs/>
          <w:lang w:eastAsia="zh-CN"/>
        </w:rPr>
        <w:t>（</w:t>
      </w:r>
      <w:r>
        <w:rPr>
          <w:rFonts w:hint="eastAsia" w:ascii="宋体" w:hAnsi="宋体" w:cs="宋体"/>
          <w:bCs/>
          <w:lang w:val="en-US" w:eastAsia="zh-CN"/>
        </w:rPr>
        <w:t>3</w:t>
      </w:r>
      <w:r>
        <w:rPr>
          <w:rFonts w:hint="eastAsia" w:ascii="宋体" w:hAnsi="宋体" w:cs="宋体"/>
          <w:bCs/>
          <w:lang w:eastAsia="zh-CN"/>
        </w:rPr>
        <w:t>）</w:t>
      </w:r>
      <w:r>
        <w:rPr>
          <w:rFonts w:hint="eastAsia" w:ascii="宋体" w:hAnsi="宋体" w:cs="宋体"/>
          <w:bCs/>
        </w:rPr>
        <w:t>须能合法获得使用在有效期内的原厂高级故障诊断维修钥匙（service key），并保证不违反国家有关知识产权的法律规定。</w:t>
      </w:r>
    </w:p>
    <w:p w14:paraId="196ACFB9">
      <w:pPr>
        <w:spacing w:line="360" w:lineRule="auto"/>
        <w:ind w:firstLine="420" w:firstLineChars="200"/>
        <w:rPr>
          <w:rFonts w:hint="eastAsia" w:ascii="宋体" w:hAnsi="宋体" w:cs="宋体"/>
          <w:bCs/>
        </w:rPr>
      </w:pPr>
      <w:r>
        <w:rPr>
          <w:rFonts w:hint="eastAsia" w:ascii="宋体" w:hAnsi="宋体" w:cs="宋体"/>
          <w:bCs/>
          <w:lang w:eastAsia="zh-CN"/>
        </w:rPr>
        <w:t>（</w:t>
      </w:r>
      <w:r>
        <w:rPr>
          <w:rFonts w:hint="eastAsia" w:ascii="宋体" w:hAnsi="宋体" w:cs="宋体"/>
          <w:bCs/>
          <w:lang w:val="en-US" w:eastAsia="zh-CN"/>
        </w:rPr>
        <w:t>4</w:t>
      </w:r>
      <w:r>
        <w:rPr>
          <w:rFonts w:hint="eastAsia" w:ascii="宋体" w:hAnsi="宋体" w:cs="宋体"/>
          <w:bCs/>
          <w:lang w:eastAsia="zh-CN"/>
        </w:rPr>
        <w:t>）</w:t>
      </w:r>
      <w:r>
        <w:rPr>
          <w:rFonts w:hint="eastAsia" w:ascii="宋体" w:hAnsi="宋体" w:cs="宋体"/>
          <w:bCs/>
          <w:lang w:val="en-US" w:eastAsia="zh-CN"/>
        </w:rPr>
        <w:t>乙方</w:t>
      </w:r>
      <w:r>
        <w:rPr>
          <w:rFonts w:hint="eastAsia" w:ascii="宋体" w:hAnsi="宋体" w:cs="宋体"/>
          <w:bCs/>
        </w:rPr>
        <w:t>提供能及时获取并实施原厂系统安全性软硬件改版通知(FMI)能力的证明，保修期内免费提供设备（含独立工作站）的系统软件升级补丁和技术支持，保证所有系统软件为最新版本。（</w:t>
      </w:r>
      <w:r>
        <w:rPr>
          <w:rFonts w:hint="eastAsia" w:ascii="宋体" w:hAnsi="宋体" w:cs="宋体"/>
          <w:bCs/>
          <w:lang w:val="en-US" w:eastAsia="zh-CN"/>
        </w:rPr>
        <w:t>乙方</w:t>
      </w:r>
      <w:r>
        <w:rPr>
          <w:rFonts w:hint="eastAsia" w:ascii="宋体" w:hAnsi="宋体" w:cs="宋体"/>
          <w:bCs/>
        </w:rPr>
        <w:t>提供承诺函）</w:t>
      </w:r>
    </w:p>
    <w:p w14:paraId="64AA8239">
      <w:pPr>
        <w:spacing w:line="360" w:lineRule="auto"/>
        <w:ind w:firstLine="420" w:firstLineChars="200"/>
        <w:rPr>
          <w:rFonts w:hint="eastAsia" w:ascii="宋体" w:hAnsi="宋体" w:cs="宋体"/>
          <w:bCs/>
        </w:rPr>
      </w:pPr>
      <w:r>
        <w:rPr>
          <w:rFonts w:hint="eastAsia" w:ascii="宋体" w:hAnsi="宋体" w:cs="宋体"/>
          <w:bCs/>
          <w:lang w:eastAsia="zh-CN"/>
        </w:rPr>
        <w:t>（</w:t>
      </w:r>
      <w:r>
        <w:rPr>
          <w:rFonts w:hint="eastAsia" w:ascii="宋体" w:hAnsi="宋体" w:cs="宋体"/>
          <w:bCs/>
          <w:lang w:val="en-US" w:eastAsia="zh-CN"/>
        </w:rPr>
        <w:t>5</w:t>
      </w:r>
      <w:r>
        <w:rPr>
          <w:rFonts w:hint="eastAsia" w:ascii="宋体" w:hAnsi="宋体" w:cs="宋体"/>
          <w:bCs/>
          <w:lang w:eastAsia="zh-CN"/>
        </w:rPr>
        <w:t>）</w:t>
      </w:r>
      <w:r>
        <w:rPr>
          <w:rFonts w:hint="eastAsia" w:ascii="宋体" w:hAnsi="宋体" w:cs="宋体"/>
          <w:bCs/>
          <w:lang w:val="en-US" w:eastAsia="zh-CN"/>
        </w:rPr>
        <w:t>乙方</w:t>
      </w:r>
      <w:r>
        <w:rPr>
          <w:rFonts w:hint="eastAsia" w:ascii="宋体" w:hAnsi="宋体" w:cs="宋体"/>
          <w:bCs/>
        </w:rPr>
        <w:t>能提供数字化远程诊断与维修服务，基于专用路由器，宽带接入式的远端服务器实时自动监测，前瞻性预警服务，在线支持工程师每天会人工登录在保设备协助发现设备潜在故障。</w:t>
      </w:r>
      <w:r>
        <w:rPr>
          <w:rFonts w:hint="eastAsia" w:ascii="宋体" w:hAnsi="宋体" w:cs="宋体"/>
          <w:bCs/>
          <w:lang w:val="en-US" w:eastAsia="zh-CN"/>
        </w:rPr>
        <w:t>乙方</w:t>
      </w:r>
      <w:r>
        <w:rPr>
          <w:rFonts w:hint="eastAsia" w:ascii="宋体" w:hAnsi="宋体" w:cs="宋体"/>
          <w:bCs/>
        </w:rPr>
        <w:t>提供基于宽带接入的数字化远程故障筛排系统，提前预知球管打火/预热失败/阳极旋转失效/灯丝断路；数据采集系统短路/断路，工作温度超标，编码器失效；图像重建，重建速度变慢，重建失败；硬盘磁盘阵列损坏；帮医院提早做计划，无计划外停机。（</w:t>
      </w:r>
      <w:r>
        <w:rPr>
          <w:rFonts w:hint="eastAsia" w:ascii="宋体" w:hAnsi="宋体" w:cs="宋体"/>
          <w:bCs/>
          <w:lang w:eastAsia="zh-CN"/>
        </w:rPr>
        <w:t>乙方</w:t>
      </w:r>
      <w:r>
        <w:rPr>
          <w:rFonts w:hint="eastAsia" w:ascii="宋体" w:hAnsi="宋体" w:cs="宋体"/>
          <w:bCs/>
        </w:rPr>
        <w:t>提供承诺函）</w:t>
      </w:r>
    </w:p>
    <w:p w14:paraId="0AE8FD49">
      <w:pPr>
        <w:spacing w:line="360" w:lineRule="auto"/>
        <w:ind w:firstLine="420" w:firstLineChars="200"/>
        <w:rPr>
          <w:rFonts w:hint="eastAsia" w:ascii="宋体" w:hAnsi="宋体" w:cs="宋体"/>
          <w:bCs/>
        </w:rPr>
      </w:pPr>
      <w:r>
        <w:rPr>
          <w:rFonts w:hint="eastAsia" w:ascii="宋体" w:hAnsi="宋体" w:cs="宋体"/>
          <w:bCs/>
          <w:lang w:eastAsia="zh-CN"/>
        </w:rPr>
        <w:t>（</w:t>
      </w:r>
      <w:r>
        <w:rPr>
          <w:rFonts w:hint="eastAsia" w:ascii="宋体" w:hAnsi="宋体" w:cs="宋体"/>
          <w:bCs/>
          <w:lang w:val="en-US" w:eastAsia="zh-CN"/>
        </w:rPr>
        <w:t>6</w:t>
      </w:r>
      <w:r>
        <w:rPr>
          <w:rFonts w:hint="eastAsia" w:ascii="宋体" w:hAnsi="宋体" w:cs="宋体"/>
          <w:bCs/>
          <w:lang w:eastAsia="zh-CN"/>
        </w:rPr>
        <w:t>）乙方</w:t>
      </w:r>
      <w:r>
        <w:rPr>
          <w:rFonts w:hint="eastAsia" w:ascii="宋体" w:hAnsi="宋体" w:cs="宋体"/>
          <w:bCs/>
        </w:rPr>
        <w:t>能提供基于专用路由器，宽带接入式的远端服务器实时自动监测标的设备温湿度实时曲线的软件及硬件，具备对标的设备的电气环境进行24小时实时监测能力。</w:t>
      </w:r>
    </w:p>
    <w:p w14:paraId="7A409036">
      <w:pPr>
        <w:spacing w:line="360" w:lineRule="auto"/>
        <w:ind w:firstLine="420" w:firstLineChars="200"/>
        <w:rPr>
          <w:rFonts w:hint="eastAsia" w:ascii="宋体" w:hAnsi="宋体" w:cs="宋体"/>
          <w:bCs/>
        </w:rPr>
      </w:pPr>
      <w:r>
        <w:rPr>
          <w:rFonts w:hint="eastAsia" w:ascii="宋体" w:hAnsi="宋体" w:cs="宋体"/>
          <w:bCs/>
        </w:rPr>
        <w:t>设备运行环境监控，如温度，湿度。</w:t>
      </w:r>
    </w:p>
    <w:p w14:paraId="65D7B609">
      <w:pPr>
        <w:spacing w:line="360" w:lineRule="auto"/>
        <w:ind w:firstLine="420" w:firstLineChars="200"/>
        <w:rPr>
          <w:rFonts w:hint="eastAsia" w:ascii="宋体" w:hAnsi="宋体" w:cs="宋体"/>
          <w:bCs/>
        </w:rPr>
      </w:pPr>
      <w:r>
        <w:rPr>
          <w:rFonts w:hint="eastAsia" w:ascii="宋体" w:hAnsi="宋体" w:cs="宋体"/>
          <w:bCs/>
          <w:lang w:eastAsia="zh-CN"/>
        </w:rPr>
        <w:t>（</w:t>
      </w:r>
      <w:r>
        <w:rPr>
          <w:rFonts w:hint="eastAsia" w:ascii="宋体" w:hAnsi="宋体" w:cs="宋体"/>
          <w:bCs/>
          <w:lang w:val="en-US" w:eastAsia="zh-CN"/>
        </w:rPr>
        <w:t>7</w:t>
      </w:r>
      <w:r>
        <w:rPr>
          <w:rFonts w:hint="eastAsia" w:ascii="宋体" w:hAnsi="宋体" w:cs="宋体"/>
          <w:bCs/>
          <w:lang w:eastAsia="zh-CN"/>
        </w:rPr>
        <w:t>）</w:t>
      </w:r>
      <w:r>
        <w:rPr>
          <w:rFonts w:hint="eastAsia" w:ascii="宋体" w:hAnsi="宋体" w:cs="宋体"/>
          <w:bCs/>
        </w:rPr>
        <w:t>对设备关键部件的监控，电子计算机断层扫描设备(CT)，关注磁盘空间，重建系统，球管曝光量等参数。</w:t>
      </w:r>
    </w:p>
    <w:p w14:paraId="3D933022">
      <w:pPr>
        <w:spacing w:line="360" w:lineRule="auto"/>
        <w:ind w:firstLine="420" w:firstLineChars="200"/>
        <w:rPr>
          <w:rFonts w:hint="eastAsia" w:ascii="宋体" w:hAnsi="宋体" w:cs="宋体"/>
          <w:bCs/>
        </w:rPr>
      </w:pPr>
      <w:r>
        <w:rPr>
          <w:rFonts w:hint="eastAsia" w:ascii="宋体" w:hAnsi="宋体" w:cs="宋体"/>
          <w:bCs/>
          <w:lang w:eastAsia="zh-CN"/>
        </w:rPr>
        <w:t>（</w:t>
      </w:r>
      <w:r>
        <w:rPr>
          <w:rFonts w:hint="eastAsia" w:ascii="宋体" w:hAnsi="宋体" w:cs="宋体"/>
          <w:bCs/>
          <w:lang w:val="en-US" w:eastAsia="zh-CN"/>
        </w:rPr>
        <w:t>8</w:t>
      </w:r>
      <w:r>
        <w:rPr>
          <w:rFonts w:hint="eastAsia" w:ascii="宋体" w:hAnsi="宋体" w:cs="宋体"/>
          <w:bCs/>
          <w:lang w:eastAsia="zh-CN"/>
        </w:rPr>
        <w:t>）</w:t>
      </w:r>
      <w:r>
        <w:rPr>
          <w:rFonts w:hint="eastAsia" w:ascii="宋体" w:hAnsi="宋体" w:cs="宋体"/>
          <w:bCs/>
        </w:rPr>
        <w:t>在服务期内所提供保修更换的球管需符合国家药品监督管理局原机整机，《医疗器械注册证》要求，必须是CT设备主机生产厂家同规格同型号的全新球管，现有库存中有上述球管，并且库存球管出厂日期不大于6个月，提供海关清关证明复印件，并提供与设备整机原厂注册证相匹配的证明文件。</w:t>
      </w:r>
    </w:p>
    <w:p w14:paraId="15B1A7F8">
      <w:pPr>
        <w:spacing w:line="360" w:lineRule="auto"/>
        <w:ind w:firstLine="420" w:firstLineChars="200"/>
        <w:rPr>
          <w:rFonts w:ascii="宋体" w:hAnsi="宋体" w:cs="宋体"/>
          <w:bCs/>
        </w:rPr>
      </w:pPr>
      <w:r>
        <w:rPr>
          <w:rFonts w:hint="eastAsia" w:ascii="宋体" w:hAnsi="宋体" w:cs="宋体"/>
          <w:bCs/>
          <w:lang w:eastAsia="zh-CN"/>
        </w:rPr>
        <w:t>（</w:t>
      </w:r>
      <w:r>
        <w:rPr>
          <w:rFonts w:hint="eastAsia" w:ascii="宋体" w:hAnsi="宋体" w:cs="宋体"/>
          <w:bCs/>
          <w:lang w:val="en-US" w:eastAsia="zh-CN"/>
        </w:rPr>
        <w:t>9</w:t>
      </w:r>
      <w:r>
        <w:rPr>
          <w:rFonts w:hint="eastAsia" w:ascii="宋体" w:hAnsi="宋体" w:cs="宋体"/>
          <w:bCs/>
          <w:lang w:eastAsia="zh-CN"/>
        </w:rPr>
        <w:t>）</w:t>
      </w:r>
      <w:r>
        <w:rPr>
          <w:rFonts w:hint="eastAsia" w:ascii="宋体" w:hAnsi="宋体" w:cs="宋体"/>
          <w:bCs/>
        </w:rPr>
        <w:t>有全职的原厂认证合格的GE CT临床应用培训人员≥2名，获得设备主机生产商技术培训认证的有效期内技术资质证明，（投标文件中须提供工程师的姓名、可在线验证资质证书）。</w:t>
      </w:r>
    </w:p>
    <w:p w14:paraId="3607B43A">
      <w:pPr>
        <w:spacing w:line="360" w:lineRule="auto"/>
        <w:ind w:firstLine="422" w:firstLineChars="200"/>
        <w:jc w:val="left"/>
        <w:rPr>
          <w:b/>
        </w:rPr>
      </w:pPr>
      <w:r>
        <w:rPr>
          <w:rFonts w:hint="eastAsia" w:ascii="宋体" w:hAnsi="宋体" w:cs="仿宋"/>
          <w:b/>
        </w:rPr>
        <w:t xml:space="preserve">第四条 </w:t>
      </w:r>
      <w:r>
        <w:rPr>
          <w:rFonts w:hint="eastAsia"/>
          <w:b/>
        </w:rPr>
        <w:t>安全责任要求</w:t>
      </w:r>
    </w:p>
    <w:p w14:paraId="6099DB34">
      <w:pPr>
        <w:spacing w:line="360" w:lineRule="auto"/>
        <w:ind w:firstLine="420" w:firstLineChars="200"/>
        <w:jc w:val="left"/>
        <w:rPr>
          <w:rFonts w:ascii="宋体" w:hAnsi="宋体" w:cs="宋体"/>
          <w:bCs/>
          <w:szCs w:val="21"/>
        </w:rPr>
      </w:pPr>
      <w:r>
        <w:rPr>
          <w:rFonts w:hint="eastAsia" w:ascii="宋体" w:hAnsi="宋体" w:cs="宋体"/>
          <w:bCs/>
          <w:szCs w:val="21"/>
        </w:rPr>
        <w:t>1.乙方委派的工程师必须严格遵守甲方的各项规章制度，接受甲方的监督与检查，确保作业合规有序。工程师如从事高空、电焊、电工等高风险作业人员需持相应从业证件上岗；所有工程师需由乙方自行购买人身保险。</w:t>
      </w:r>
    </w:p>
    <w:p w14:paraId="097B3455">
      <w:pPr>
        <w:spacing w:line="360" w:lineRule="auto"/>
        <w:ind w:firstLine="420" w:firstLineChars="200"/>
        <w:jc w:val="left"/>
        <w:rPr>
          <w:rFonts w:ascii="宋体" w:hAnsi="宋体" w:cs="宋体"/>
          <w:bCs/>
          <w:szCs w:val="21"/>
        </w:rPr>
      </w:pPr>
      <w:r>
        <w:rPr>
          <w:rFonts w:hint="eastAsia" w:ascii="宋体" w:hAnsi="宋体" w:cs="宋体"/>
          <w:bCs/>
          <w:szCs w:val="21"/>
        </w:rPr>
        <w:t>2.若乙方委派的工程师在作业过程中违反安全规定，甲方有权暂停其工作。由此产生的经济损失由乙方承担。</w:t>
      </w:r>
    </w:p>
    <w:p w14:paraId="56935D92">
      <w:pPr>
        <w:spacing w:line="360" w:lineRule="auto"/>
        <w:ind w:firstLine="420" w:firstLineChars="200"/>
        <w:jc w:val="left"/>
        <w:rPr>
          <w:rFonts w:ascii="宋体" w:hAnsi="宋体" w:cs="宋体"/>
          <w:bCs/>
          <w:szCs w:val="21"/>
        </w:rPr>
      </w:pPr>
      <w:r>
        <w:rPr>
          <w:rFonts w:hint="eastAsia" w:ascii="宋体" w:hAnsi="宋体" w:cs="宋体"/>
          <w:bCs/>
          <w:szCs w:val="21"/>
        </w:rPr>
        <w:t>3.乙方应为委派的工程师配备必要的劳动保护装备，确保其作业安全。在服务期间，若发生员工安全事故，全部责任由乙方承担。</w:t>
      </w:r>
    </w:p>
    <w:p w14:paraId="6E7988D2">
      <w:pPr>
        <w:spacing w:line="360" w:lineRule="auto"/>
        <w:ind w:firstLine="420" w:firstLineChars="200"/>
        <w:jc w:val="left"/>
        <w:rPr>
          <w:rFonts w:ascii="宋体" w:hAnsi="宋体" w:cs="宋体"/>
          <w:bCs/>
          <w:szCs w:val="21"/>
        </w:rPr>
      </w:pPr>
      <w:r>
        <w:rPr>
          <w:rFonts w:hint="eastAsia" w:ascii="宋体" w:hAnsi="宋体" w:cs="宋体"/>
          <w:bCs/>
          <w:szCs w:val="21"/>
        </w:rPr>
        <w:t>4.如因乙方未能按照合同约定进行工程师安全防范教育和保障措施，或者因违反用电和明火的安全要求而导致安全事故发生，由乙方承担全部责任和后果，并承担相应的赔偿责任。</w:t>
      </w:r>
    </w:p>
    <w:p w14:paraId="4782D7E0">
      <w:pPr>
        <w:spacing w:line="360" w:lineRule="auto"/>
        <w:ind w:firstLine="422" w:firstLineChars="200"/>
        <w:jc w:val="left"/>
        <w:rPr>
          <w:rFonts w:ascii="宋体" w:hAnsi="宋体"/>
          <w:b/>
          <w:szCs w:val="28"/>
        </w:rPr>
      </w:pPr>
      <w:r>
        <w:rPr>
          <w:rFonts w:hint="eastAsia" w:ascii="宋体" w:hAnsi="宋体"/>
          <w:b/>
          <w:szCs w:val="28"/>
        </w:rPr>
        <w:t>第五条 服务期限、交付时间、技术成果</w:t>
      </w:r>
    </w:p>
    <w:p w14:paraId="01A08252">
      <w:pPr>
        <w:spacing w:line="360" w:lineRule="auto"/>
        <w:ind w:firstLine="420" w:firstLineChars="200"/>
        <w:rPr>
          <w:rFonts w:ascii="宋体" w:hAnsi="宋体" w:cs="宋体"/>
          <w:szCs w:val="28"/>
        </w:rPr>
      </w:pPr>
      <w:r>
        <w:rPr>
          <w:rFonts w:hint="eastAsia" w:ascii="宋体" w:hAnsi="宋体" w:cs="宋体"/>
          <w:szCs w:val="28"/>
        </w:rPr>
        <w:t>1.服务期限：</w:t>
      </w:r>
      <w:r>
        <w:rPr>
          <w:rFonts w:hint="eastAsia" w:ascii="宋体" w:hAnsi="宋体" w:cs="宋体"/>
          <w:szCs w:val="28"/>
          <w:u w:val="single"/>
        </w:rPr>
        <w:t xml:space="preserve"> 维保服务期为自签订合同之日起三年  </w:t>
      </w:r>
      <w:r>
        <w:rPr>
          <w:rFonts w:hint="eastAsia" w:ascii="宋体" w:hAnsi="宋体" w:cs="宋体"/>
          <w:bCs/>
          <w:szCs w:val="21"/>
        </w:rPr>
        <w:t>。</w:t>
      </w:r>
    </w:p>
    <w:p w14:paraId="05B44462">
      <w:pPr>
        <w:spacing w:line="360" w:lineRule="auto"/>
        <w:ind w:firstLine="420" w:firstLineChars="200"/>
        <w:rPr>
          <w:rFonts w:ascii="宋体" w:hAnsi="宋体" w:cs="宋体"/>
          <w:szCs w:val="28"/>
        </w:rPr>
      </w:pPr>
      <w:r>
        <w:rPr>
          <w:rFonts w:hint="eastAsia" w:ascii="宋体" w:hAnsi="宋体" w:cs="宋体"/>
          <w:szCs w:val="28"/>
        </w:rPr>
        <w:t>2.交付地点：</w:t>
      </w:r>
      <w:r>
        <w:rPr>
          <w:rFonts w:hint="eastAsia" w:ascii="宋体" w:hAnsi="宋体" w:cs="宋体"/>
          <w:szCs w:val="28"/>
          <w:u w:val="single"/>
        </w:rPr>
        <w:t>广西桂林市甲方指定地点</w:t>
      </w:r>
      <w:r>
        <w:rPr>
          <w:rFonts w:hint="eastAsia" w:ascii="宋体" w:hAnsi="宋体" w:cs="宋体"/>
          <w:szCs w:val="28"/>
        </w:rPr>
        <w:t>。</w:t>
      </w:r>
    </w:p>
    <w:p w14:paraId="6FB006BE">
      <w:pPr>
        <w:spacing w:line="360" w:lineRule="auto"/>
        <w:ind w:firstLine="422" w:firstLineChars="200"/>
        <w:jc w:val="left"/>
        <w:rPr>
          <w:b/>
          <w:szCs w:val="21"/>
        </w:rPr>
      </w:pPr>
      <w:r>
        <w:rPr>
          <w:rFonts w:hint="eastAsia"/>
          <w:b/>
          <w:szCs w:val="21"/>
        </w:rPr>
        <w:t>第六条 税费</w:t>
      </w:r>
    </w:p>
    <w:p w14:paraId="4EFF93A0">
      <w:pPr>
        <w:spacing w:line="360" w:lineRule="auto"/>
        <w:ind w:firstLine="420" w:firstLineChars="200"/>
        <w:rPr>
          <w:rFonts w:ascii="宋体" w:hAnsi="宋体" w:cs="宋体"/>
          <w:szCs w:val="28"/>
        </w:rPr>
      </w:pPr>
      <w:r>
        <w:rPr>
          <w:rFonts w:hint="eastAsia" w:ascii="宋体" w:hAnsi="宋体" w:cs="宋体"/>
          <w:szCs w:val="28"/>
        </w:rPr>
        <w:t>本合同执行中相关的一切税费均由乙方负担。</w:t>
      </w:r>
    </w:p>
    <w:p w14:paraId="3DCF5198">
      <w:pPr>
        <w:tabs>
          <w:tab w:val="left" w:pos="262"/>
        </w:tabs>
        <w:spacing w:line="360" w:lineRule="auto"/>
        <w:ind w:firstLine="422" w:firstLineChars="200"/>
        <w:jc w:val="left"/>
        <w:rPr>
          <w:b/>
          <w:szCs w:val="21"/>
        </w:rPr>
      </w:pPr>
      <w:r>
        <w:rPr>
          <w:rFonts w:hint="eastAsia"/>
          <w:b/>
          <w:szCs w:val="21"/>
        </w:rPr>
        <w:t>第七条　付款方式</w:t>
      </w:r>
    </w:p>
    <w:p w14:paraId="5E706052">
      <w:pPr>
        <w:spacing w:line="360" w:lineRule="auto"/>
        <w:ind w:firstLine="420" w:firstLineChars="200"/>
        <w:jc w:val="left"/>
        <w:rPr>
          <w:rFonts w:hint="eastAsia" w:ascii="宋体" w:hAnsi="宋体" w:cs="宋体"/>
          <w:szCs w:val="28"/>
          <w:highlight w:val="none"/>
        </w:rPr>
      </w:pPr>
      <w:r>
        <w:rPr>
          <w:rFonts w:hint="eastAsia" w:ascii="宋体" w:hAnsi="宋体" w:cs="宋体"/>
          <w:szCs w:val="28"/>
          <w:highlight w:val="none"/>
        </w:rPr>
        <w:t>签订合同后，乙方履行提供达到采购合同要求的服务，合同总款由甲方分六次支付，每半年为一个结算周期。每个结算周期届满后15个工作日内，乙方应向甲方提交该周期的《设备维保服务报告》（含维修记录、定期保养记录）及该期发票。甲方在收到上述报告后5个工作日内进行确认并进行考核。甲方按照考核结果，在收到乙方发票后15个工作日内支付该期应付款项，即：合同总款的六分之一减去被扣款金额。</w:t>
      </w:r>
    </w:p>
    <w:p w14:paraId="446C1ECA">
      <w:pPr>
        <w:spacing w:line="360" w:lineRule="auto"/>
        <w:ind w:firstLine="422" w:firstLineChars="200"/>
        <w:jc w:val="left"/>
        <w:rPr>
          <w:b/>
          <w:szCs w:val="21"/>
        </w:rPr>
      </w:pPr>
      <w:r>
        <w:rPr>
          <w:rFonts w:hint="eastAsia"/>
          <w:b/>
          <w:szCs w:val="21"/>
        </w:rPr>
        <w:t>第八条 验收标准</w:t>
      </w:r>
    </w:p>
    <w:p w14:paraId="02E5F7AA">
      <w:pPr>
        <w:spacing w:line="360" w:lineRule="auto"/>
        <w:ind w:firstLine="420" w:firstLineChars="200"/>
        <w:rPr>
          <w:rFonts w:ascii="宋体" w:hAnsi="宋体" w:cs="宋体"/>
          <w:szCs w:val="28"/>
        </w:rPr>
      </w:pPr>
      <w:r>
        <w:rPr>
          <w:rFonts w:hint="eastAsia" w:ascii="宋体" w:hAnsi="宋体" w:cs="宋体"/>
          <w:szCs w:val="28"/>
        </w:rPr>
        <w:t xml:space="preserve">1.验收工作由甲方组织，包括但不限于以下形式：乙方维修、保养完毕后，向甲方提供维修、保养报告单，甲方派人进行验收，并在维修工单上签字确认；验收按照本采购文件、乙方投标文件承诺、厂家标准及相应的质量标准要求执行。 </w:t>
      </w:r>
    </w:p>
    <w:p w14:paraId="4B5AE4C9">
      <w:pPr>
        <w:spacing w:line="360" w:lineRule="auto"/>
        <w:ind w:firstLine="420" w:firstLineChars="200"/>
        <w:rPr>
          <w:rFonts w:ascii="宋体" w:hAnsi="宋体" w:cs="宋体"/>
          <w:szCs w:val="28"/>
        </w:rPr>
      </w:pPr>
      <w:r>
        <w:rPr>
          <w:rFonts w:hint="eastAsia" w:ascii="宋体" w:hAnsi="宋体" w:cs="宋体"/>
          <w:szCs w:val="28"/>
        </w:rPr>
        <w:t>2.验收不通过的，根据甲方意见进行整改，直到验收通过为止，期间产生的相关费用由乙方承担。</w:t>
      </w:r>
    </w:p>
    <w:p w14:paraId="7907DD6B">
      <w:pPr>
        <w:spacing w:line="360" w:lineRule="auto"/>
        <w:ind w:firstLine="420" w:firstLineChars="200"/>
        <w:rPr>
          <w:rFonts w:ascii="宋体" w:hAnsi="宋体" w:cs="宋体"/>
          <w:szCs w:val="28"/>
        </w:rPr>
      </w:pPr>
      <w:r>
        <w:rPr>
          <w:rFonts w:hint="eastAsia" w:ascii="宋体" w:hAnsi="宋体" w:cs="宋体"/>
          <w:szCs w:val="28"/>
        </w:rPr>
        <w:t>3.验收程序及方法：</w:t>
      </w:r>
    </w:p>
    <w:p w14:paraId="3DC64004">
      <w:pPr>
        <w:spacing w:line="360" w:lineRule="auto"/>
        <w:ind w:firstLine="420" w:firstLineChars="200"/>
        <w:rPr>
          <w:rFonts w:ascii="宋体" w:hAnsi="宋体" w:cs="宋体"/>
          <w:szCs w:val="28"/>
        </w:rPr>
      </w:pPr>
      <w:r>
        <w:rPr>
          <w:rFonts w:hint="eastAsia" w:ascii="宋体" w:hAnsi="宋体" w:cs="宋体"/>
          <w:szCs w:val="28"/>
        </w:rPr>
        <w:t>（1）乙方完成服务实施和培训后，向甲方提交验收书面申请。</w:t>
      </w:r>
    </w:p>
    <w:p w14:paraId="7992B3E3">
      <w:pPr>
        <w:spacing w:line="360" w:lineRule="auto"/>
        <w:ind w:firstLine="420" w:firstLineChars="200"/>
        <w:rPr>
          <w:rFonts w:ascii="宋体" w:hAnsi="宋体" w:cs="宋体"/>
          <w:szCs w:val="28"/>
        </w:rPr>
      </w:pPr>
      <w:r>
        <w:rPr>
          <w:rFonts w:hint="eastAsia" w:ascii="宋体" w:hAnsi="宋体" w:cs="宋体"/>
          <w:szCs w:val="28"/>
        </w:rPr>
        <w:t>（2）甲方收到乙方验收申请之日起</w:t>
      </w:r>
      <w:r>
        <w:rPr>
          <w:rFonts w:hint="eastAsia" w:ascii="宋体" w:hAnsi="宋体" w:cs="宋体"/>
          <w:szCs w:val="28"/>
          <w:u w:val="single"/>
        </w:rPr>
        <w:t xml:space="preserve"> 7 </w:t>
      </w:r>
      <w:r>
        <w:rPr>
          <w:rFonts w:hint="eastAsia" w:ascii="宋体" w:hAnsi="宋体" w:cs="宋体"/>
          <w:szCs w:val="28"/>
        </w:rPr>
        <w:t>个工作日内组织开展履约验收。甲方委托第三方机构组织项目验收的，其验收时间以该项目验收方案确定的验收时间为准。</w:t>
      </w:r>
    </w:p>
    <w:p w14:paraId="0C0C14E3">
      <w:pPr>
        <w:spacing w:line="360" w:lineRule="auto"/>
        <w:ind w:firstLine="420" w:firstLineChars="200"/>
        <w:rPr>
          <w:rFonts w:ascii="宋体" w:hAnsi="宋体" w:cs="宋体"/>
          <w:szCs w:val="28"/>
        </w:rPr>
      </w:pPr>
      <w:r>
        <w:rPr>
          <w:rFonts w:hint="eastAsia" w:ascii="宋体" w:hAnsi="宋体" w:cs="宋体"/>
          <w:szCs w:val="28"/>
        </w:rPr>
        <w:t>（3）负责本项目验收的单位按下列</w:t>
      </w:r>
      <w:r>
        <w:rPr>
          <w:rFonts w:hint="eastAsia" w:ascii="宋体" w:hAnsi="宋体" w:cs="宋体"/>
          <w:szCs w:val="28"/>
          <w:u w:val="single"/>
        </w:rPr>
        <w:t xml:space="preserve">  ①  </w:t>
      </w:r>
      <w:r>
        <w:rPr>
          <w:rFonts w:hint="eastAsia" w:ascii="宋体" w:hAnsi="宋体" w:cs="宋体"/>
          <w:szCs w:val="28"/>
        </w:rPr>
        <w:t>方式确定：</w:t>
      </w:r>
    </w:p>
    <w:p w14:paraId="468A0109">
      <w:pPr>
        <w:spacing w:line="360" w:lineRule="auto"/>
        <w:ind w:firstLine="420" w:firstLineChars="200"/>
        <w:rPr>
          <w:rFonts w:ascii="宋体" w:hAnsi="宋体" w:cs="宋体"/>
          <w:szCs w:val="28"/>
        </w:rPr>
      </w:pPr>
      <w:r>
        <w:rPr>
          <w:rFonts w:hint="eastAsia" w:ascii="宋体" w:hAnsi="宋体" w:cs="宋体"/>
          <w:szCs w:val="28"/>
        </w:rPr>
        <w:t>①甲方自行组织；</w:t>
      </w:r>
    </w:p>
    <w:p w14:paraId="3756956E">
      <w:pPr>
        <w:spacing w:line="360" w:lineRule="auto"/>
        <w:ind w:firstLine="420" w:firstLineChars="200"/>
        <w:rPr>
          <w:rFonts w:ascii="宋体" w:hAnsi="宋体" w:cs="宋体"/>
          <w:szCs w:val="28"/>
        </w:rPr>
      </w:pPr>
      <w:r>
        <w:rPr>
          <w:rFonts w:hint="eastAsia" w:ascii="宋体" w:hAnsi="宋体" w:cs="宋体"/>
          <w:szCs w:val="28"/>
        </w:rPr>
        <w:t>②甲方委托的第三方机构组织；</w:t>
      </w:r>
    </w:p>
    <w:p w14:paraId="0FAF6AAA">
      <w:pPr>
        <w:spacing w:line="360" w:lineRule="auto"/>
        <w:ind w:firstLine="420" w:firstLineChars="200"/>
        <w:rPr>
          <w:rFonts w:ascii="宋体" w:hAnsi="宋体" w:cs="宋体"/>
          <w:szCs w:val="28"/>
        </w:rPr>
      </w:pPr>
      <w:r>
        <w:rPr>
          <w:rFonts w:hint="eastAsia" w:ascii="宋体" w:hAnsi="宋体" w:cs="宋体"/>
          <w:szCs w:val="28"/>
        </w:rPr>
        <w:t>（4）本项目验收由验收小组按照采购合同约定对每一项技术和商务要求的履约情况进行确认。</w:t>
      </w:r>
    </w:p>
    <w:p w14:paraId="579BBD18">
      <w:pPr>
        <w:spacing w:line="360" w:lineRule="auto"/>
        <w:ind w:firstLine="420" w:firstLineChars="200"/>
        <w:rPr>
          <w:rFonts w:ascii="宋体" w:hAnsi="宋体" w:cs="宋体"/>
          <w:szCs w:val="28"/>
        </w:rPr>
      </w:pPr>
      <w:r>
        <w:rPr>
          <w:rFonts w:hint="eastAsia" w:ascii="宋体" w:hAnsi="宋体" w:cs="宋体"/>
          <w:szCs w:val="28"/>
        </w:rPr>
        <w:t>（5）验收结束后，甲方出具采购验收书，验收书应当包括每一项技术和商务要求的履约情况，并列明项目总体评价，由甲方和乙方共同签署。甲方委托第三方机构组织项目验收的，其验收结果以第三方机构出具验收书结论为准，甲方和乙方共同签署确认。</w:t>
      </w:r>
    </w:p>
    <w:p w14:paraId="0CB22A8C">
      <w:pPr>
        <w:spacing w:line="360" w:lineRule="auto"/>
        <w:ind w:firstLine="420" w:firstLineChars="200"/>
        <w:rPr>
          <w:rFonts w:ascii="宋体" w:hAnsi="宋体" w:cs="宋体"/>
          <w:szCs w:val="28"/>
        </w:rPr>
      </w:pPr>
      <w:r>
        <w:rPr>
          <w:rFonts w:hint="eastAsia" w:ascii="宋体" w:hAnsi="宋体" w:cs="宋体"/>
          <w:szCs w:val="28"/>
        </w:rPr>
        <w:t>（6）验收过程中所产生的一切费用均由乙方承担。</w:t>
      </w:r>
    </w:p>
    <w:p w14:paraId="2A16F4C2">
      <w:pPr>
        <w:spacing w:line="360" w:lineRule="auto"/>
        <w:ind w:firstLine="420" w:firstLineChars="200"/>
        <w:rPr>
          <w:rFonts w:ascii="宋体" w:hAnsi="宋体" w:cs="宋体"/>
          <w:szCs w:val="28"/>
        </w:rPr>
      </w:pPr>
      <w:r>
        <w:rPr>
          <w:rFonts w:hint="eastAsia" w:ascii="宋体" w:hAnsi="宋体" w:cs="宋体"/>
          <w:szCs w:val="28"/>
        </w:rPr>
        <w:t>（7）验收书一式</w:t>
      </w:r>
      <w:r>
        <w:rPr>
          <w:rFonts w:hint="eastAsia" w:ascii="宋体" w:hAnsi="宋体" w:cs="宋体"/>
          <w:szCs w:val="28"/>
          <w:u w:val="single"/>
        </w:rPr>
        <w:t>四</w:t>
      </w:r>
      <w:r>
        <w:rPr>
          <w:rFonts w:hint="eastAsia" w:ascii="宋体" w:hAnsi="宋体" w:cs="宋体"/>
          <w:szCs w:val="28"/>
        </w:rPr>
        <w:t>份，甲乙双方各执</w:t>
      </w:r>
      <w:r>
        <w:rPr>
          <w:rFonts w:hint="eastAsia" w:ascii="宋体" w:hAnsi="宋体" w:cs="宋体"/>
          <w:szCs w:val="28"/>
          <w:u w:val="single"/>
        </w:rPr>
        <w:t>二</w:t>
      </w:r>
      <w:r>
        <w:rPr>
          <w:rFonts w:hint="eastAsia" w:ascii="宋体" w:hAnsi="宋体" w:cs="宋体"/>
          <w:szCs w:val="28"/>
        </w:rPr>
        <w:t xml:space="preserve">份、受托第三方机构一份（如有）。 </w:t>
      </w:r>
    </w:p>
    <w:p w14:paraId="4DB87D49">
      <w:pPr>
        <w:spacing w:line="360" w:lineRule="auto"/>
        <w:ind w:firstLine="420" w:firstLineChars="200"/>
        <w:rPr>
          <w:rFonts w:ascii="宋体" w:hAnsi="宋体" w:cs="宋体"/>
          <w:szCs w:val="28"/>
        </w:rPr>
      </w:pPr>
      <w:r>
        <w:rPr>
          <w:rFonts w:hint="eastAsia" w:ascii="宋体" w:hAnsi="宋体" w:cs="宋体"/>
          <w:szCs w:val="28"/>
        </w:rPr>
        <w:t>（8）验收结论不合格的，乙方应自收到验收书后</w:t>
      </w:r>
      <w:r>
        <w:rPr>
          <w:rFonts w:hint="eastAsia" w:ascii="宋体" w:hAnsi="宋体" w:cs="宋体"/>
          <w:szCs w:val="28"/>
          <w:u w:val="single"/>
        </w:rPr>
        <w:t xml:space="preserve"> 5  </w:t>
      </w:r>
      <w:r>
        <w:rPr>
          <w:rFonts w:hint="eastAsia" w:ascii="宋体" w:hAnsi="宋体" w:cs="宋体"/>
          <w:szCs w:val="28"/>
        </w:rPr>
        <w:t>日内及时予以解决。经乙方对验收结论不合格的服务进行整改后，仍然达不到要求的，经双方协商，可按以下办法处理：</w:t>
      </w:r>
    </w:p>
    <w:p w14:paraId="39AB25F2">
      <w:pPr>
        <w:spacing w:line="360" w:lineRule="auto"/>
        <w:ind w:firstLine="420" w:firstLineChars="200"/>
        <w:rPr>
          <w:rFonts w:ascii="宋体" w:hAnsi="宋体" w:cs="宋体"/>
          <w:szCs w:val="28"/>
        </w:rPr>
      </w:pPr>
      <w:r>
        <w:rPr>
          <w:rFonts w:hint="eastAsia" w:ascii="宋体" w:hAnsi="宋体" w:cs="宋体"/>
          <w:szCs w:val="28"/>
        </w:rPr>
        <w:t>①更换：由乙方承担所发生的全部费用。</w:t>
      </w:r>
    </w:p>
    <w:p w14:paraId="75DB993D">
      <w:pPr>
        <w:spacing w:line="360" w:lineRule="auto"/>
        <w:ind w:firstLine="420" w:firstLineChars="200"/>
        <w:rPr>
          <w:rFonts w:ascii="宋体" w:hAnsi="宋体" w:cs="宋体"/>
          <w:szCs w:val="28"/>
        </w:rPr>
      </w:pPr>
      <w:r>
        <w:rPr>
          <w:rFonts w:hint="eastAsia" w:ascii="宋体" w:hAnsi="宋体" w:cs="宋体"/>
          <w:szCs w:val="28"/>
        </w:rPr>
        <w:t>②贬值处理：由甲乙双方合议定价。</w:t>
      </w:r>
    </w:p>
    <w:p w14:paraId="0492C1AF">
      <w:pPr>
        <w:spacing w:line="360" w:lineRule="auto"/>
        <w:ind w:firstLine="420" w:firstLineChars="200"/>
        <w:rPr>
          <w:rFonts w:ascii="宋体" w:hAnsi="宋体" w:cs="宋体"/>
          <w:szCs w:val="28"/>
        </w:rPr>
      </w:pPr>
      <w:r>
        <w:rPr>
          <w:rFonts w:hint="eastAsia" w:ascii="宋体" w:hAnsi="宋体" w:cs="宋体"/>
          <w:szCs w:val="28"/>
        </w:rPr>
        <w:t>（9）验收费用按下列</w:t>
      </w:r>
      <w:r>
        <w:rPr>
          <w:rFonts w:hint="eastAsia" w:ascii="宋体" w:hAnsi="宋体" w:cs="宋体"/>
          <w:szCs w:val="28"/>
          <w:u w:val="single"/>
        </w:rPr>
        <w:t xml:space="preserve"> ②</w:t>
      </w:r>
      <w:r>
        <w:rPr>
          <w:rFonts w:hint="eastAsia" w:ascii="宋体" w:hAnsi="宋体" w:cs="宋体"/>
          <w:szCs w:val="28"/>
        </w:rPr>
        <w:t>方式确定：</w:t>
      </w:r>
    </w:p>
    <w:p w14:paraId="0D1D0841">
      <w:pPr>
        <w:spacing w:line="360" w:lineRule="auto"/>
        <w:ind w:firstLine="420" w:firstLineChars="200"/>
        <w:rPr>
          <w:rFonts w:ascii="宋体" w:hAnsi="宋体" w:cs="宋体"/>
          <w:szCs w:val="28"/>
        </w:rPr>
      </w:pPr>
      <w:r>
        <w:rPr>
          <w:rFonts w:hint="eastAsia" w:ascii="宋体" w:hAnsi="宋体" w:cs="宋体"/>
          <w:szCs w:val="28"/>
        </w:rPr>
        <w:t>①甲方支付；</w:t>
      </w:r>
    </w:p>
    <w:p w14:paraId="2DD26980">
      <w:pPr>
        <w:spacing w:line="360" w:lineRule="auto"/>
        <w:ind w:firstLine="420" w:firstLineChars="200"/>
        <w:rPr>
          <w:rFonts w:ascii="宋体" w:hAnsi="宋体" w:cs="宋体"/>
          <w:szCs w:val="28"/>
        </w:rPr>
      </w:pPr>
      <w:r>
        <w:rPr>
          <w:rFonts w:hint="eastAsia" w:ascii="宋体" w:hAnsi="宋体" w:cs="宋体"/>
          <w:szCs w:val="28"/>
        </w:rPr>
        <w:t>②乙方支付；</w:t>
      </w:r>
    </w:p>
    <w:p w14:paraId="7C261CB4">
      <w:pPr>
        <w:spacing w:line="360" w:lineRule="auto"/>
        <w:ind w:firstLine="420" w:firstLineChars="200"/>
        <w:rPr>
          <w:rFonts w:ascii="宋体" w:hAnsi="宋体" w:cs="宋体"/>
          <w:szCs w:val="28"/>
        </w:rPr>
      </w:pPr>
      <w:r>
        <w:rPr>
          <w:rFonts w:hint="eastAsia" w:ascii="宋体" w:hAnsi="宋体" w:cs="宋体"/>
          <w:szCs w:val="28"/>
        </w:rPr>
        <w:t>4.交付标准和方法</w:t>
      </w:r>
    </w:p>
    <w:p w14:paraId="5D2810FC">
      <w:pPr>
        <w:spacing w:line="360" w:lineRule="auto"/>
        <w:ind w:firstLine="420" w:firstLineChars="200"/>
        <w:rPr>
          <w:rFonts w:ascii="宋体" w:hAnsi="宋体" w:cs="宋体"/>
          <w:szCs w:val="28"/>
        </w:rPr>
      </w:pPr>
      <w:r>
        <w:rPr>
          <w:rFonts w:hint="eastAsia" w:ascii="宋体" w:hAnsi="宋体" w:cs="宋体"/>
          <w:szCs w:val="28"/>
        </w:rPr>
        <w:t>甲方在初步验收或者最终验收过程中如发现乙方提供的服务成果不满足投标文件及本合同规定的，暂停向乙方付款，直到乙方及时完善并提交相应的服务成果且经甲方验收合格后，方可办理付款。</w:t>
      </w:r>
    </w:p>
    <w:p w14:paraId="65208D74">
      <w:pPr>
        <w:spacing w:line="360" w:lineRule="auto"/>
        <w:ind w:firstLine="422" w:firstLineChars="200"/>
        <w:rPr>
          <w:rFonts w:ascii="宋体" w:hAnsi="宋体"/>
          <w:b/>
          <w:bCs/>
          <w:szCs w:val="21"/>
        </w:rPr>
      </w:pPr>
      <w:r>
        <w:rPr>
          <w:rFonts w:hint="eastAsia" w:ascii="宋体" w:hAnsi="宋体"/>
          <w:b/>
          <w:bCs/>
          <w:szCs w:val="21"/>
        </w:rPr>
        <w:t>第九条 权利保障</w:t>
      </w:r>
    </w:p>
    <w:p w14:paraId="2CDF8949">
      <w:pPr>
        <w:spacing w:line="360" w:lineRule="auto"/>
        <w:ind w:firstLine="420" w:firstLineChars="200"/>
        <w:rPr>
          <w:rFonts w:ascii="宋体" w:hAnsi="宋体" w:cs="宋体"/>
          <w:szCs w:val="28"/>
        </w:rPr>
      </w:pPr>
      <w:r>
        <w:rPr>
          <w:rFonts w:hint="eastAsia" w:ascii="宋体" w:hAnsi="宋体" w:cs="宋体"/>
          <w:szCs w:val="28"/>
        </w:rPr>
        <w:t>乙方必须保证所提供的服务涉及到的知识产权和相关技术资料是合法取得的，不会侵犯任何第三方的专利权、商标权、工业设计权或其他权利，不会因为甲方的使用服务成果遭受第三方侵权指控，包括被责令致歉、停止使用、追偿或要求赔偿损失等，本项目技术成果的最终所有权归甲方所有。否则，乙方负责解决由此引起的一切纠纷，甲方有权追究乙方的法律责任，其不利后果由乙方全部承担。</w:t>
      </w:r>
    </w:p>
    <w:p w14:paraId="16A28FD0">
      <w:pPr>
        <w:adjustRightInd w:val="0"/>
        <w:snapToGrid w:val="0"/>
        <w:spacing w:line="360" w:lineRule="auto"/>
        <w:ind w:firstLine="422" w:firstLineChars="200"/>
        <w:rPr>
          <w:rFonts w:ascii="宋体" w:hAnsi="宋体"/>
          <w:b/>
          <w:szCs w:val="21"/>
        </w:rPr>
      </w:pPr>
      <w:r>
        <w:rPr>
          <w:rFonts w:hint="eastAsia" w:ascii="宋体" w:hAnsi="宋体"/>
          <w:b/>
          <w:szCs w:val="21"/>
        </w:rPr>
        <w:t>第十条　违约责任</w:t>
      </w:r>
    </w:p>
    <w:p w14:paraId="7573CD51">
      <w:pPr>
        <w:spacing w:line="360" w:lineRule="auto"/>
        <w:ind w:firstLine="420" w:firstLineChars="200"/>
        <w:jc w:val="left"/>
        <w:rPr>
          <w:rFonts w:ascii="宋体" w:hAnsi="宋体" w:cs="宋体"/>
          <w:bCs/>
          <w:szCs w:val="21"/>
        </w:rPr>
      </w:pPr>
      <w:r>
        <w:rPr>
          <w:rFonts w:hint="eastAsia" w:ascii="宋体" w:hAnsi="宋体" w:cs="宋体"/>
          <w:bCs/>
          <w:szCs w:val="21"/>
        </w:rPr>
        <w:t xml:space="preserve">1.乙方因维护保养失误造成设备设施的损坏，乙方应无条件的维修或更换配件，保障设备设施和系统达到维修前正常运行状态，并赔偿甲方相关损失。 </w:t>
      </w:r>
    </w:p>
    <w:p w14:paraId="76988373">
      <w:pPr>
        <w:spacing w:line="360" w:lineRule="auto"/>
        <w:ind w:firstLine="420" w:firstLineChars="200"/>
        <w:jc w:val="left"/>
        <w:rPr>
          <w:rFonts w:ascii="宋体" w:hAnsi="宋体" w:cs="宋体"/>
          <w:bCs/>
          <w:szCs w:val="21"/>
        </w:rPr>
      </w:pPr>
      <w:r>
        <w:rPr>
          <w:rFonts w:hint="eastAsia" w:ascii="宋体" w:hAnsi="宋体" w:cs="宋体"/>
          <w:bCs/>
          <w:szCs w:val="21"/>
        </w:rPr>
        <w:t xml:space="preserve">2.规定时限内乙方未能到达现场维修，甲方有权聘请第三方进行维修处理，由此产生的相关费用由乙方承担，因乙方未及时到现场维修给甲方所造成的损失由乙方承担。 </w:t>
      </w:r>
    </w:p>
    <w:p w14:paraId="53F7C9B0">
      <w:pPr>
        <w:spacing w:line="360" w:lineRule="auto"/>
        <w:ind w:firstLine="420" w:firstLineChars="200"/>
        <w:jc w:val="left"/>
        <w:rPr>
          <w:rFonts w:ascii="宋体" w:hAnsi="宋体" w:cs="宋体"/>
          <w:bCs/>
          <w:szCs w:val="21"/>
        </w:rPr>
      </w:pPr>
      <w:r>
        <w:rPr>
          <w:rFonts w:hint="eastAsia" w:ascii="宋体" w:hAnsi="宋体" w:cs="宋体"/>
          <w:bCs/>
          <w:szCs w:val="21"/>
        </w:rPr>
        <w:t xml:space="preserve">3.禁止未经甲方书面同意提供设备相关的信息。即使向履行本合同有关的人员提供，也应注意保密并限于履行合同的必需范围。若乙方有违反上述保密义务之处，由此给甲方造成的损害由乙方承担。 </w:t>
      </w:r>
    </w:p>
    <w:p w14:paraId="640148F7">
      <w:pPr>
        <w:spacing w:line="360" w:lineRule="auto"/>
        <w:ind w:firstLine="420" w:firstLineChars="200"/>
        <w:jc w:val="left"/>
        <w:rPr>
          <w:rFonts w:ascii="宋体" w:hAnsi="宋体" w:cs="宋体"/>
          <w:bCs/>
          <w:szCs w:val="21"/>
        </w:rPr>
      </w:pPr>
      <w:r>
        <w:rPr>
          <w:rFonts w:hint="eastAsia" w:ascii="宋体" w:hAnsi="宋体" w:cs="宋体"/>
          <w:bCs/>
          <w:szCs w:val="21"/>
        </w:rPr>
        <w:t>4.</w:t>
      </w:r>
      <w:r>
        <w:rPr>
          <w:rFonts w:hint="eastAsia" w:ascii="Arial" w:hAnsi="Arial" w:cs="Arial"/>
          <w:szCs w:val="21"/>
          <w:lang w:bidi="ar"/>
        </w:rPr>
        <w:t>乙方未在承诺时间内到达现场处理设备故障的，每次扣除</w:t>
      </w:r>
      <w:r>
        <w:rPr>
          <w:rFonts w:hint="eastAsia" w:ascii="Arial" w:hAnsi="Arial" w:cs="Arial"/>
          <w:bCs/>
          <w:szCs w:val="21"/>
          <w:lang w:bidi="ar"/>
        </w:rPr>
        <w:t>当年维修保</w:t>
      </w:r>
      <w:r>
        <w:rPr>
          <w:rFonts w:hint="eastAsia" w:ascii="宋体" w:hAnsi="宋体" w:cs="宋体"/>
          <w:bCs/>
          <w:szCs w:val="21"/>
          <w:lang w:bidi="ar"/>
        </w:rPr>
        <w:t>养费用的 20%作为违约处罚</w:t>
      </w:r>
      <w:r>
        <w:rPr>
          <w:rFonts w:hint="eastAsia" w:ascii="宋体" w:hAnsi="宋体" w:cs="宋体"/>
          <w:szCs w:val="21"/>
          <w:lang w:bidi="ar"/>
        </w:rPr>
        <w:t>。</w:t>
      </w:r>
    </w:p>
    <w:p w14:paraId="20591861">
      <w:pPr>
        <w:spacing w:line="360" w:lineRule="auto"/>
        <w:ind w:firstLine="420" w:firstLineChars="200"/>
        <w:jc w:val="left"/>
        <w:rPr>
          <w:rFonts w:ascii="宋体" w:hAnsi="宋体" w:cs="宋体"/>
          <w:bCs/>
          <w:szCs w:val="21"/>
        </w:rPr>
      </w:pPr>
      <w:r>
        <w:rPr>
          <w:rFonts w:hint="eastAsia" w:ascii="宋体" w:hAnsi="宋体" w:cs="宋体"/>
          <w:bCs/>
          <w:szCs w:val="21"/>
          <w:lang w:bidi="ar"/>
        </w:rPr>
        <w:t>5.乙方应保证所提供的产品在甲方使用时不会侵犯任何第三方的专利权、商标权、工业设计或其他权利。如一旦发生第三方指控的相关侵权行为，则由乙方负责与第三方交涉，由此产生的相关责任及损失由乙方承担，若因此给甲方造成的责任及损失由乙方全部承担。</w:t>
      </w:r>
    </w:p>
    <w:p w14:paraId="15090341">
      <w:pPr>
        <w:spacing w:line="360" w:lineRule="auto"/>
        <w:ind w:firstLine="420" w:firstLineChars="200"/>
        <w:jc w:val="left"/>
        <w:rPr>
          <w:rFonts w:ascii="宋体" w:hAnsi="宋体" w:cs="宋体"/>
          <w:bCs/>
          <w:szCs w:val="21"/>
        </w:rPr>
      </w:pPr>
      <w:r>
        <w:rPr>
          <w:rFonts w:hint="eastAsia" w:ascii="宋体" w:hAnsi="宋体" w:cs="宋体"/>
          <w:bCs/>
          <w:szCs w:val="21"/>
        </w:rPr>
        <w:t xml:space="preserve">6.乙方通过连接远程服务来访问、维护、修理、校准医疗设备或为设备进行升级或安装补丁引起甲方数据系统混乱或崩溃，乙方应承担责任并扣除当年维修保养费用的10%作为违约处罚，同时承担由此引起的一切法律责任和相关经济损失。 </w:t>
      </w:r>
    </w:p>
    <w:p w14:paraId="15CE8911">
      <w:pPr>
        <w:spacing w:line="360" w:lineRule="auto"/>
        <w:ind w:firstLine="420" w:firstLineChars="200"/>
        <w:jc w:val="left"/>
        <w:rPr>
          <w:rFonts w:ascii="宋体" w:hAnsi="宋体" w:cs="宋体"/>
          <w:bCs/>
          <w:szCs w:val="21"/>
        </w:rPr>
      </w:pPr>
      <w:r>
        <w:rPr>
          <w:rFonts w:hint="eastAsia" w:ascii="宋体" w:hAnsi="宋体" w:cs="宋体"/>
          <w:bCs/>
          <w:szCs w:val="21"/>
        </w:rPr>
        <w:t>7.</w:t>
      </w:r>
      <w:bookmarkStart w:id="207" w:name="OLE_LINK12"/>
      <w:bookmarkStart w:id="208" w:name="OLE_LINK11"/>
      <w:r>
        <w:rPr>
          <w:rFonts w:hint="eastAsia" w:ascii="宋体" w:hAnsi="宋体" w:cs="宋体"/>
          <w:bCs/>
          <w:szCs w:val="21"/>
          <w:lang w:bidi="ar"/>
        </w:rPr>
        <w:t>乙方承诺在保</w:t>
      </w:r>
      <w:bookmarkEnd w:id="207"/>
      <w:r>
        <w:rPr>
          <w:rFonts w:hint="eastAsia" w:ascii="宋体" w:hAnsi="宋体" w:cs="宋体"/>
          <w:bCs/>
          <w:szCs w:val="21"/>
          <w:lang w:bidi="ar"/>
        </w:rPr>
        <w:t>修期内，</w:t>
      </w:r>
      <w:bookmarkEnd w:id="208"/>
      <w:r>
        <w:rPr>
          <w:rFonts w:hint="eastAsia" w:ascii="宋体" w:hAnsi="宋体" w:cs="宋体"/>
          <w:bCs/>
          <w:szCs w:val="21"/>
          <w:lang w:bidi="ar"/>
        </w:rPr>
        <w:t>维保范围内确保全年开机率达到9</w:t>
      </w:r>
      <w:r>
        <w:rPr>
          <w:rFonts w:hint="eastAsia" w:ascii="宋体" w:hAnsi="宋体" w:cs="宋体"/>
          <w:bCs/>
          <w:szCs w:val="21"/>
          <w:lang w:val="en-US" w:eastAsia="zh-CN" w:bidi="ar"/>
        </w:rPr>
        <w:t>7</w:t>
      </w:r>
      <w:r>
        <w:rPr>
          <w:rFonts w:hint="eastAsia" w:ascii="宋体" w:hAnsi="宋体" w:cs="宋体"/>
          <w:bCs/>
          <w:szCs w:val="21"/>
          <w:lang w:bidi="ar"/>
        </w:rPr>
        <w:t>％（按全年365天计算），如开机率低于9</w:t>
      </w:r>
      <w:r>
        <w:rPr>
          <w:rFonts w:hint="eastAsia" w:ascii="宋体" w:hAnsi="宋体" w:cs="宋体"/>
          <w:bCs/>
          <w:szCs w:val="21"/>
          <w:lang w:val="en-US" w:eastAsia="zh-CN" w:bidi="ar"/>
        </w:rPr>
        <w:t>7</w:t>
      </w:r>
      <w:r>
        <w:rPr>
          <w:rFonts w:hint="eastAsia" w:ascii="宋体" w:hAnsi="宋体" w:cs="宋体"/>
          <w:bCs/>
          <w:szCs w:val="21"/>
          <w:lang w:bidi="ar"/>
        </w:rPr>
        <w:t>%，停机时间每超过一天，维保服务合同期限自动延长五天，并扣除维保费5000元/天。</w:t>
      </w:r>
    </w:p>
    <w:p w14:paraId="2F6D0A59">
      <w:pPr>
        <w:spacing w:line="360" w:lineRule="auto"/>
        <w:ind w:firstLine="420" w:firstLineChars="200"/>
        <w:jc w:val="left"/>
        <w:rPr>
          <w:rFonts w:ascii="宋体" w:hAnsi="宋体" w:cs="宋体"/>
          <w:bCs/>
          <w:szCs w:val="21"/>
        </w:rPr>
      </w:pPr>
      <w:r>
        <w:rPr>
          <w:rFonts w:hint="eastAsia" w:ascii="宋体" w:hAnsi="宋体" w:cs="宋体"/>
          <w:bCs/>
          <w:szCs w:val="21"/>
        </w:rPr>
        <w:t>8.除上述违约情形外，乙方不履行或不能完全履行本合同约定的，均属违约行为，应向甲方一次性支付合同总金额的10%作为违约金，并承担由此引起的一切法律责任和相关经济损失。</w:t>
      </w:r>
    </w:p>
    <w:p w14:paraId="0532C284">
      <w:pPr>
        <w:spacing w:line="360" w:lineRule="auto"/>
        <w:ind w:firstLine="420" w:firstLineChars="200"/>
        <w:jc w:val="left"/>
        <w:rPr>
          <w:rFonts w:ascii="宋体" w:hAnsi="宋体" w:cs="宋体"/>
          <w:bCs/>
          <w:szCs w:val="21"/>
        </w:rPr>
      </w:pPr>
      <w:r>
        <w:rPr>
          <w:rFonts w:hint="eastAsia" w:ascii="宋体" w:hAnsi="宋体" w:cs="宋体"/>
          <w:bCs/>
          <w:szCs w:val="21"/>
        </w:rPr>
        <w:t>9.甲方延期付款的,每天向乙方偿付延期款额3‰违约金,但违约金累计不得超过延期款额5%。</w:t>
      </w:r>
    </w:p>
    <w:p w14:paraId="075CEEB0">
      <w:pPr>
        <w:adjustRightInd w:val="0"/>
        <w:snapToGrid w:val="0"/>
        <w:spacing w:line="360" w:lineRule="auto"/>
        <w:ind w:firstLine="422" w:firstLineChars="200"/>
        <w:rPr>
          <w:rFonts w:ascii="宋体" w:hAnsi="宋体"/>
          <w:b/>
          <w:szCs w:val="21"/>
        </w:rPr>
      </w:pPr>
      <w:r>
        <w:rPr>
          <w:rFonts w:hint="eastAsia" w:ascii="宋体" w:hAnsi="宋体"/>
          <w:b/>
          <w:szCs w:val="21"/>
        </w:rPr>
        <w:t>第十一条  不可抗力事件处理</w:t>
      </w:r>
    </w:p>
    <w:p w14:paraId="133D9A46">
      <w:pPr>
        <w:adjustRightInd w:val="0"/>
        <w:snapToGrid w:val="0"/>
        <w:spacing w:line="360" w:lineRule="auto"/>
        <w:ind w:firstLine="420" w:firstLineChars="200"/>
        <w:rPr>
          <w:rFonts w:ascii="宋体" w:hAnsi="宋体" w:cs="宋体"/>
          <w:szCs w:val="21"/>
        </w:rPr>
      </w:pPr>
      <w:r>
        <w:rPr>
          <w:rFonts w:hint="eastAsia" w:ascii="宋体" w:hAnsi="宋体" w:cs="宋体"/>
          <w:szCs w:val="21"/>
        </w:rPr>
        <w:t>1.在合同有效期内，任何一方因不可抗力事件导致不能履行合同，则合同履行期可延长，其延长期与不可抗力影响期相同。</w:t>
      </w:r>
    </w:p>
    <w:p w14:paraId="3D543C15">
      <w:pPr>
        <w:adjustRightInd w:val="0"/>
        <w:snapToGrid w:val="0"/>
        <w:spacing w:line="360" w:lineRule="auto"/>
        <w:ind w:firstLine="420" w:firstLineChars="200"/>
        <w:rPr>
          <w:rFonts w:ascii="宋体" w:hAnsi="宋体" w:cs="宋体"/>
          <w:szCs w:val="21"/>
        </w:rPr>
      </w:pPr>
      <w:r>
        <w:rPr>
          <w:rFonts w:hint="eastAsia" w:ascii="宋体" w:hAnsi="宋体" w:cs="宋体"/>
          <w:szCs w:val="21"/>
        </w:rPr>
        <w:t>2.不可抗力事件发生后，应立即通知对方，并寄送有关权威机构出具的证明。</w:t>
      </w:r>
    </w:p>
    <w:p w14:paraId="6391C47F">
      <w:pPr>
        <w:adjustRightInd w:val="0"/>
        <w:snapToGrid w:val="0"/>
        <w:spacing w:line="360" w:lineRule="auto"/>
        <w:ind w:firstLine="420" w:firstLineChars="200"/>
        <w:rPr>
          <w:rFonts w:ascii="宋体" w:hAnsi="宋体"/>
        </w:rPr>
      </w:pPr>
      <w:r>
        <w:rPr>
          <w:rFonts w:hint="eastAsia" w:ascii="宋体" w:hAnsi="宋体" w:cs="宋体"/>
          <w:szCs w:val="21"/>
        </w:rPr>
        <w:t>3.不可抗力事件延续三十天以上，双方应通过友好协商，确定是否继续履行合同</w:t>
      </w:r>
      <w:r>
        <w:rPr>
          <w:rFonts w:hint="eastAsia" w:ascii="宋体" w:hAnsi="宋体"/>
        </w:rPr>
        <w:t>。</w:t>
      </w:r>
    </w:p>
    <w:p w14:paraId="6A2C384A">
      <w:pPr>
        <w:adjustRightInd w:val="0"/>
        <w:snapToGrid w:val="0"/>
        <w:spacing w:line="360" w:lineRule="auto"/>
        <w:ind w:firstLine="422" w:firstLineChars="200"/>
        <w:rPr>
          <w:rFonts w:ascii="宋体" w:hAnsi="宋体"/>
          <w:b/>
          <w:szCs w:val="21"/>
        </w:rPr>
      </w:pPr>
      <w:r>
        <w:rPr>
          <w:rFonts w:hint="eastAsia" w:ascii="宋体" w:hAnsi="宋体"/>
          <w:b/>
          <w:szCs w:val="21"/>
        </w:rPr>
        <w:t>第十二条  合同争议解决</w:t>
      </w:r>
    </w:p>
    <w:p w14:paraId="3D786E43">
      <w:pPr>
        <w:adjustRightInd w:val="0"/>
        <w:snapToGrid w:val="0"/>
        <w:spacing w:line="360" w:lineRule="auto"/>
        <w:ind w:firstLine="420" w:firstLineChars="200"/>
        <w:rPr>
          <w:rFonts w:ascii="宋体" w:hAnsi="宋体" w:cs="宋体"/>
          <w:szCs w:val="21"/>
        </w:rPr>
      </w:pPr>
      <w:r>
        <w:rPr>
          <w:rFonts w:hint="eastAsia" w:ascii="宋体" w:hAnsi="宋体" w:cs="宋体"/>
          <w:szCs w:val="21"/>
        </w:rPr>
        <w:t>1.因服务质量问题或提供的备品备件质量问题发生争议的，应邀请国家认可的质量检测机构对服务内容或备品备件质量进行鉴定。符合标准的，鉴定费由甲方承担。不符合标准的，鉴定费由乙方承担。</w:t>
      </w:r>
    </w:p>
    <w:p w14:paraId="502AD216">
      <w:pPr>
        <w:adjustRightInd w:val="0"/>
        <w:snapToGrid w:val="0"/>
        <w:spacing w:line="360" w:lineRule="auto"/>
        <w:ind w:firstLine="420" w:firstLineChars="200"/>
        <w:rPr>
          <w:rFonts w:ascii="宋体" w:hAnsi="宋体" w:cs="宋体"/>
          <w:szCs w:val="21"/>
        </w:rPr>
      </w:pPr>
      <w:r>
        <w:rPr>
          <w:rFonts w:hint="eastAsia" w:ascii="宋体" w:hAnsi="宋体" w:cs="宋体"/>
          <w:szCs w:val="21"/>
        </w:rPr>
        <w:t>2.因履行本合同引起的或与本合同有关的争议，甲乙双方应首先通过友好协商解决。</w:t>
      </w:r>
    </w:p>
    <w:p w14:paraId="15CA765A">
      <w:pPr>
        <w:adjustRightInd w:val="0"/>
        <w:snapToGrid w:val="0"/>
        <w:spacing w:line="360" w:lineRule="auto"/>
        <w:ind w:firstLine="420" w:firstLineChars="200"/>
        <w:rPr>
          <w:rFonts w:ascii="宋体" w:hAnsi="宋体" w:cs="宋体"/>
          <w:szCs w:val="21"/>
        </w:rPr>
      </w:pPr>
      <w:r>
        <w:rPr>
          <w:rFonts w:hint="eastAsia" w:ascii="宋体" w:hAnsi="宋体" w:cs="宋体"/>
          <w:szCs w:val="21"/>
        </w:rPr>
        <w:t>3.诉讼期间，本合同继续履行。</w:t>
      </w:r>
    </w:p>
    <w:p w14:paraId="132B24CD">
      <w:pPr>
        <w:adjustRightInd w:val="0"/>
        <w:snapToGrid w:val="0"/>
        <w:spacing w:line="360" w:lineRule="auto"/>
        <w:ind w:firstLine="422" w:firstLineChars="200"/>
        <w:rPr>
          <w:rFonts w:ascii="宋体" w:hAnsi="宋体"/>
          <w:b/>
          <w:szCs w:val="21"/>
        </w:rPr>
      </w:pPr>
      <w:r>
        <w:rPr>
          <w:rFonts w:hint="eastAsia" w:ascii="宋体" w:hAnsi="宋体"/>
          <w:b/>
          <w:szCs w:val="21"/>
        </w:rPr>
        <w:t>第十三条  诉讼</w:t>
      </w:r>
    </w:p>
    <w:p w14:paraId="792F9899">
      <w:pPr>
        <w:adjustRightInd w:val="0"/>
        <w:snapToGrid w:val="0"/>
        <w:spacing w:line="360" w:lineRule="auto"/>
        <w:ind w:firstLine="420" w:firstLineChars="200"/>
        <w:rPr>
          <w:rFonts w:ascii="宋体" w:hAnsi="宋体" w:cs="宋体"/>
          <w:szCs w:val="21"/>
        </w:rPr>
      </w:pPr>
      <w:r>
        <w:rPr>
          <w:rFonts w:hint="eastAsia" w:ascii="宋体" w:hAnsi="宋体" w:cs="宋体"/>
          <w:szCs w:val="21"/>
        </w:rPr>
        <w:t>1.因服务质量问题</w:t>
      </w:r>
      <w:r>
        <w:rPr>
          <w:rFonts w:hint="eastAsia" w:ascii="宋体" w:hAnsi="宋体"/>
        </w:rPr>
        <w:t>发生争议</w:t>
      </w:r>
      <w:r>
        <w:rPr>
          <w:rFonts w:hint="eastAsia" w:ascii="宋体" w:hAnsi="宋体" w:cs="宋体"/>
          <w:szCs w:val="21"/>
        </w:rPr>
        <w:t>的，应邀请国家认可的质量检测机构对产品质量进行鉴定。服务符合标准的，鉴定费由甲方承担。服务不符合标准的，鉴定费由乙方承担。</w:t>
      </w:r>
    </w:p>
    <w:p w14:paraId="31FE1467">
      <w:pPr>
        <w:adjustRightInd w:val="0"/>
        <w:snapToGrid w:val="0"/>
        <w:spacing w:line="360" w:lineRule="auto"/>
        <w:ind w:firstLine="420" w:firstLineChars="200"/>
        <w:rPr>
          <w:rFonts w:ascii="宋体" w:hAnsi="宋体"/>
        </w:rPr>
      </w:pPr>
      <w:r>
        <w:rPr>
          <w:rFonts w:hint="eastAsia" w:ascii="宋体" w:hAnsi="宋体" w:cs="宋体"/>
          <w:szCs w:val="21"/>
        </w:rPr>
        <w:t>2.因履行本合同引起的或与本合同有关的争议，甲乙双方</w:t>
      </w:r>
      <w:r>
        <w:rPr>
          <w:rFonts w:hint="eastAsia" w:ascii="宋体" w:hAnsi="宋体"/>
        </w:rPr>
        <w:t>应</w:t>
      </w:r>
      <w:r>
        <w:rPr>
          <w:rFonts w:hint="eastAsia" w:ascii="宋体" w:hAnsi="宋体" w:cs="宋体"/>
          <w:szCs w:val="21"/>
        </w:rPr>
        <w:t>首先</w:t>
      </w:r>
      <w:r>
        <w:rPr>
          <w:rFonts w:hint="eastAsia" w:ascii="宋体" w:hAnsi="宋体"/>
        </w:rPr>
        <w:t>通过</w:t>
      </w:r>
      <w:r>
        <w:rPr>
          <w:rFonts w:hint="eastAsia" w:ascii="宋体" w:hAnsi="宋体" w:cs="宋体"/>
          <w:szCs w:val="21"/>
        </w:rPr>
        <w:t>友好</w:t>
      </w:r>
      <w:r>
        <w:rPr>
          <w:rFonts w:hint="eastAsia" w:ascii="宋体" w:hAnsi="宋体"/>
        </w:rPr>
        <w:t>协商解决</w:t>
      </w:r>
      <w:r>
        <w:rPr>
          <w:rFonts w:hint="eastAsia" w:ascii="宋体" w:hAnsi="宋体" w:cs="宋体"/>
          <w:szCs w:val="21"/>
        </w:rPr>
        <w:t>,如果协议</w:t>
      </w:r>
      <w:r>
        <w:rPr>
          <w:rFonts w:hint="eastAsia" w:ascii="宋体" w:hAnsi="宋体"/>
        </w:rPr>
        <w:t>不能解决</w:t>
      </w:r>
      <w:r>
        <w:rPr>
          <w:rFonts w:hint="eastAsia" w:ascii="宋体" w:hAnsi="宋体" w:cs="宋体"/>
          <w:szCs w:val="21"/>
        </w:rPr>
        <w:t>,</w:t>
      </w:r>
      <w:r>
        <w:rPr>
          <w:rFonts w:hint="eastAsia" w:ascii="宋体" w:hAnsi="宋体"/>
        </w:rPr>
        <w:t>可向甲方所在地</w:t>
      </w:r>
      <w:r>
        <w:rPr>
          <w:rFonts w:hint="eastAsia" w:ascii="宋体" w:hAnsi="宋体" w:cs="宋体"/>
          <w:szCs w:val="21"/>
        </w:rPr>
        <w:t>有管辖权的</w:t>
      </w:r>
      <w:r>
        <w:rPr>
          <w:rFonts w:hint="eastAsia" w:ascii="宋体" w:hAnsi="宋体"/>
        </w:rPr>
        <w:t>人民法院提起</w:t>
      </w:r>
      <w:r>
        <w:rPr>
          <w:rFonts w:hint="eastAsia" w:ascii="宋体" w:hAnsi="宋体" w:cs="宋体"/>
          <w:szCs w:val="21"/>
        </w:rPr>
        <w:t>起诉,守约方为主张权利支出的合理费用。</w:t>
      </w:r>
    </w:p>
    <w:p w14:paraId="7B617FC4">
      <w:pPr>
        <w:adjustRightInd w:val="0"/>
        <w:snapToGrid w:val="0"/>
        <w:spacing w:line="360" w:lineRule="auto"/>
        <w:ind w:firstLine="422" w:firstLineChars="200"/>
        <w:rPr>
          <w:rFonts w:ascii="宋体" w:hAnsi="宋体"/>
          <w:b/>
          <w:szCs w:val="21"/>
        </w:rPr>
      </w:pPr>
      <w:r>
        <w:rPr>
          <w:rFonts w:hint="eastAsia" w:ascii="宋体" w:hAnsi="宋体"/>
          <w:b/>
          <w:szCs w:val="21"/>
        </w:rPr>
        <w:t>第十四条  合同生效及其它</w:t>
      </w:r>
    </w:p>
    <w:p w14:paraId="666F85ED">
      <w:pPr>
        <w:adjustRightInd w:val="0"/>
        <w:snapToGrid w:val="0"/>
        <w:spacing w:line="360" w:lineRule="auto"/>
        <w:ind w:firstLine="420" w:firstLineChars="200"/>
        <w:rPr>
          <w:rFonts w:ascii="宋体" w:hAnsi="宋体" w:cs="宋体"/>
          <w:szCs w:val="21"/>
        </w:rPr>
      </w:pPr>
      <w:r>
        <w:rPr>
          <w:rFonts w:hint="eastAsia" w:ascii="宋体" w:hAnsi="宋体" w:cs="宋体"/>
          <w:szCs w:val="21"/>
        </w:rPr>
        <w:t>1.合同经双方法定代表人或授权代表签字并加盖单位公章后生效。</w:t>
      </w:r>
    </w:p>
    <w:p w14:paraId="5F71BB86">
      <w:pPr>
        <w:adjustRightInd w:val="0"/>
        <w:snapToGrid w:val="0"/>
        <w:spacing w:line="360" w:lineRule="auto"/>
        <w:ind w:firstLine="420" w:firstLineChars="200"/>
        <w:rPr>
          <w:rFonts w:ascii="宋体" w:hAnsi="宋体" w:cs="宋体"/>
          <w:szCs w:val="21"/>
        </w:rPr>
      </w:pPr>
      <w:r>
        <w:rPr>
          <w:rFonts w:hint="eastAsia" w:ascii="宋体" w:hAnsi="宋体" w:cs="宋体"/>
          <w:szCs w:val="21"/>
        </w:rPr>
        <w:t>2.本合同中未尽事宜或遇变更，由双方协商一致后另行签署补充协议予以确定，补充协议与本合同具有同等法律效力。</w:t>
      </w:r>
    </w:p>
    <w:p w14:paraId="2933E922">
      <w:pPr>
        <w:adjustRightInd w:val="0"/>
        <w:snapToGrid w:val="0"/>
        <w:spacing w:line="360" w:lineRule="auto"/>
        <w:ind w:firstLine="420" w:firstLineChars="200"/>
        <w:rPr>
          <w:rFonts w:ascii="宋体" w:hAnsi="宋体" w:cs="宋体"/>
          <w:szCs w:val="21"/>
        </w:rPr>
      </w:pPr>
      <w:r>
        <w:rPr>
          <w:rFonts w:hint="eastAsia" w:ascii="宋体" w:hAnsi="宋体" w:cs="宋体"/>
          <w:szCs w:val="21"/>
        </w:rPr>
        <w:t>3.甲乙双方应确保本合同项下预留通讯信息真实有效，如遇变更应及时书面通知相对方，否则由此产生的负面后果由其自行承担。</w:t>
      </w:r>
    </w:p>
    <w:p w14:paraId="478394F1">
      <w:pPr>
        <w:adjustRightInd w:val="0"/>
        <w:snapToGrid w:val="0"/>
        <w:spacing w:line="360" w:lineRule="auto"/>
        <w:ind w:firstLine="422" w:firstLineChars="200"/>
        <w:rPr>
          <w:rFonts w:ascii="宋体" w:hAnsi="宋体"/>
          <w:b/>
          <w:szCs w:val="21"/>
        </w:rPr>
      </w:pPr>
      <w:r>
        <w:rPr>
          <w:rFonts w:hint="eastAsia" w:ascii="宋体" w:hAnsi="宋体"/>
          <w:b/>
          <w:szCs w:val="21"/>
        </w:rPr>
        <w:t>第十五条　合同的变更、终止与转让</w:t>
      </w:r>
    </w:p>
    <w:p w14:paraId="1DF5C85B">
      <w:pPr>
        <w:adjustRightInd w:val="0"/>
        <w:snapToGrid w:val="0"/>
        <w:spacing w:line="360" w:lineRule="auto"/>
        <w:ind w:firstLine="420" w:firstLineChars="200"/>
        <w:rPr>
          <w:rFonts w:ascii="宋体" w:hAnsi="宋体"/>
          <w:szCs w:val="21"/>
        </w:rPr>
      </w:pPr>
      <w:r>
        <w:rPr>
          <w:rFonts w:hint="eastAsia" w:ascii="宋体" w:hAnsi="宋体"/>
          <w:szCs w:val="21"/>
        </w:rPr>
        <w:t>1．除《中华人民共和国政府采购法》第五十条规定的情形外，本合同一经签订，甲乙双方不得擅自变更、中止或终止。</w:t>
      </w:r>
    </w:p>
    <w:p w14:paraId="791406A0">
      <w:pPr>
        <w:adjustRightInd w:val="0"/>
        <w:snapToGrid w:val="0"/>
        <w:spacing w:line="360" w:lineRule="auto"/>
        <w:ind w:firstLine="420" w:firstLineChars="200"/>
        <w:rPr>
          <w:rFonts w:ascii="宋体" w:hAnsi="宋体"/>
          <w:szCs w:val="21"/>
        </w:rPr>
      </w:pPr>
      <w:r>
        <w:rPr>
          <w:rFonts w:hint="eastAsia" w:ascii="宋体" w:hAnsi="宋体"/>
          <w:szCs w:val="21"/>
        </w:rPr>
        <w:t>2.乙方不得擅自转让其应履行的合同义务。</w:t>
      </w:r>
    </w:p>
    <w:p w14:paraId="130B688C">
      <w:pPr>
        <w:keepNext w:val="0"/>
        <w:keepLines w:val="0"/>
        <w:pageBreakBefore w:val="0"/>
        <w:widowControl/>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color w:val="auto"/>
          <w:sz w:val="21"/>
          <w:szCs w:val="21"/>
          <w:highlight w:val="none"/>
        </w:rPr>
      </w:pPr>
      <w:r>
        <w:rPr>
          <w:rFonts w:hint="eastAsia" w:ascii="宋体" w:hAnsi="宋体"/>
          <w:b/>
          <w:szCs w:val="21"/>
        </w:rPr>
        <w:t>第十六条　</w:t>
      </w:r>
      <w:r>
        <w:rPr>
          <w:rFonts w:hint="eastAsia" w:ascii="宋体" w:hAnsi="宋体"/>
          <w:szCs w:val="21"/>
        </w:rPr>
        <w:t>本合同一式拾份，具有同等法律效力，甲方柒份，乙方贰份、采购代理机构壹份（可根据需要另增加）。</w:t>
      </w:r>
    </w:p>
    <w:p w14:paraId="49C4AE96">
      <w:pPr>
        <w:adjustRightInd w:val="0"/>
        <w:snapToGrid w:val="0"/>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br w:type="page"/>
      </w:r>
      <w:r>
        <w:rPr>
          <w:rFonts w:hint="eastAsia" w:ascii="宋体" w:hAnsi="宋体" w:cs="宋体"/>
          <w:color w:val="auto"/>
          <w:szCs w:val="21"/>
          <w:highlight w:val="none"/>
          <w:lang w:val="en-US" w:eastAsia="zh-CN"/>
        </w:rPr>
        <w:t>（以下无正文，为签署页）</w:t>
      </w:r>
    </w:p>
    <w:tbl>
      <w:tblPr>
        <w:tblStyle w:val="25"/>
        <w:tblpPr w:leftFromText="180" w:rightFromText="180" w:vertAnchor="text" w:horzAnchor="page" w:tblpX="1155" w:tblpY="38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40"/>
        <w:gridCol w:w="4819"/>
      </w:tblGrid>
      <w:tr w14:paraId="12B0A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trPr>
        <w:tc>
          <w:tcPr>
            <w:tcW w:w="4740" w:type="dxa"/>
            <w:noWrap w:val="0"/>
            <w:vAlign w:val="center"/>
          </w:tcPr>
          <w:p w14:paraId="0CF6F666">
            <w:pPr>
              <w:widowControl/>
              <w:snapToGrid/>
              <w:spacing w:after="100" w:afterAutospacing="1" w:line="360" w:lineRule="auto"/>
              <w:jc w:val="left"/>
              <w:rPr>
                <w:rFonts w:hint="eastAsia" w:ascii="宋体" w:hAnsi="宋体" w:eastAsia="宋体" w:cs="宋体"/>
                <w:b w:val="0"/>
                <w:bCs w:val="0"/>
                <w:color w:val="auto"/>
                <w:sz w:val="21"/>
                <w:szCs w:val="21"/>
                <w:highlight w:val="none"/>
                <w:lang w:eastAsia="zh-CN"/>
              </w:rPr>
            </w:pPr>
            <w:r>
              <w:rPr>
                <w:rFonts w:hint="eastAsia" w:ascii="宋体" w:hAnsi="宋体" w:eastAsia="宋体" w:cs="宋体"/>
                <w:b/>
                <w:bCs/>
                <w:color w:val="auto"/>
                <w:sz w:val="21"/>
                <w:szCs w:val="21"/>
                <w:highlight w:val="none"/>
              </w:rPr>
              <w:t>甲方（章）</w:t>
            </w:r>
            <w:r>
              <w:rPr>
                <w:rFonts w:hint="eastAsia" w:ascii="宋体" w:hAnsi="宋体" w:eastAsia="宋体" w:cs="宋体"/>
                <w:b/>
                <w:bCs/>
                <w:color w:val="auto"/>
                <w:sz w:val="21"/>
                <w:szCs w:val="21"/>
                <w:highlight w:val="none"/>
                <w:lang w:eastAsia="zh-CN"/>
              </w:rPr>
              <w:t>桂林医科大学第二附属医院</w:t>
            </w:r>
          </w:p>
        </w:tc>
        <w:tc>
          <w:tcPr>
            <w:tcW w:w="4819" w:type="dxa"/>
            <w:noWrap w:val="0"/>
            <w:vAlign w:val="center"/>
          </w:tcPr>
          <w:p w14:paraId="1EF6B314">
            <w:pPr>
              <w:widowControl/>
              <w:snapToGrid/>
              <w:spacing w:after="100" w:afterAutospacing="1" w:line="360" w:lineRule="auto"/>
              <w:jc w:val="left"/>
              <w:rPr>
                <w:rFonts w:hint="eastAsia" w:ascii="宋体" w:hAnsi="宋体" w:eastAsia="宋体" w:cs="宋体"/>
                <w:b w:val="0"/>
                <w:bCs w:val="0"/>
                <w:color w:val="auto"/>
                <w:sz w:val="21"/>
                <w:szCs w:val="21"/>
                <w:highlight w:val="none"/>
              </w:rPr>
            </w:pPr>
            <w:r>
              <w:rPr>
                <w:rFonts w:hint="eastAsia" w:ascii="宋体" w:hAnsi="宋体" w:eastAsia="宋体" w:cs="宋体"/>
                <w:b/>
                <w:bCs/>
                <w:color w:val="auto"/>
                <w:sz w:val="21"/>
                <w:szCs w:val="21"/>
                <w:highlight w:val="none"/>
              </w:rPr>
              <w:t>乙方（章）</w:t>
            </w:r>
            <w:r>
              <w:rPr>
                <w:rFonts w:hint="eastAsia" w:ascii="宋体" w:hAnsi="宋体" w:eastAsia="宋体" w:cs="宋体"/>
                <w:color w:val="auto"/>
                <w:sz w:val="21"/>
                <w:szCs w:val="21"/>
                <w:highlight w:val="none"/>
              </w:rPr>
              <w:t>必填</w:t>
            </w:r>
          </w:p>
        </w:tc>
      </w:tr>
      <w:tr w14:paraId="33A8B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7" w:hRule="atLeast"/>
        </w:trPr>
        <w:tc>
          <w:tcPr>
            <w:tcW w:w="4740" w:type="dxa"/>
            <w:noWrap w:val="0"/>
            <w:vAlign w:val="center"/>
          </w:tcPr>
          <w:p w14:paraId="5A75C0C4">
            <w:pPr>
              <w:widowControl/>
              <w:snapToGrid/>
              <w:spacing w:before="0" w:beforeLines="-2147483648" w:after="100" w:afterLines="-2147483648" w:afterAutospacing="1"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单位地址：广西壮族自治区桂林市临桂镇人民路212号</w:t>
            </w:r>
          </w:p>
        </w:tc>
        <w:tc>
          <w:tcPr>
            <w:tcW w:w="4819" w:type="dxa"/>
            <w:noWrap w:val="0"/>
            <w:vAlign w:val="center"/>
          </w:tcPr>
          <w:p w14:paraId="2786470C">
            <w:pPr>
              <w:widowControl/>
              <w:snapToGrid/>
              <w:spacing w:before="0" w:beforeLines="-2147483648" w:after="100" w:afterLines="-2147483648" w:afterAutospacing="1"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单位地址：必填</w:t>
            </w:r>
          </w:p>
        </w:tc>
      </w:tr>
      <w:tr w14:paraId="6388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trPr>
        <w:tc>
          <w:tcPr>
            <w:tcW w:w="4740" w:type="dxa"/>
            <w:noWrap w:val="0"/>
            <w:vAlign w:val="center"/>
          </w:tcPr>
          <w:p w14:paraId="7FE80317">
            <w:pPr>
              <w:widowControl/>
              <w:snapToGrid/>
              <w:spacing w:before="0" w:beforeLines="-2147483648" w:after="100" w:afterLines="-2147483648" w:afterAutospacing="1"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p>
        </w:tc>
        <w:tc>
          <w:tcPr>
            <w:tcW w:w="4819" w:type="dxa"/>
            <w:noWrap w:val="0"/>
            <w:vAlign w:val="center"/>
          </w:tcPr>
          <w:p w14:paraId="07B31EB0">
            <w:pPr>
              <w:widowControl/>
              <w:snapToGrid/>
              <w:spacing w:before="0" w:beforeLines="-2147483648" w:after="100" w:afterLines="-2147483648" w:afterAutospacing="1"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w:t>
            </w:r>
          </w:p>
        </w:tc>
      </w:tr>
      <w:tr w14:paraId="5862E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4" w:hRule="atLeast"/>
        </w:trPr>
        <w:tc>
          <w:tcPr>
            <w:tcW w:w="4740" w:type="dxa"/>
            <w:noWrap w:val="0"/>
            <w:vAlign w:val="center"/>
          </w:tcPr>
          <w:p w14:paraId="2B6ABD85">
            <w:pPr>
              <w:widowControl/>
              <w:snapToGrid/>
              <w:spacing w:before="0" w:beforeLines="-2147483648" w:after="100" w:afterLines="-2147483648" w:afterAutospacing="1"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电话：0773-5590063招标采购科</w:t>
            </w:r>
          </w:p>
          <w:p w14:paraId="1F7BB156">
            <w:pPr>
              <w:widowControl/>
              <w:snapToGrid/>
              <w:spacing w:before="0" w:beforeLines="-2147483648" w:after="100" w:afterLines="-2147483648" w:afterAutospacing="1" w:line="360" w:lineRule="auto"/>
              <w:ind w:firstLine="630" w:firstLineChars="3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0773-5582071</w:t>
            </w:r>
            <w:r>
              <w:rPr>
                <w:rFonts w:hint="eastAsia" w:ascii="宋体" w:hAnsi="宋体" w:eastAsia="宋体" w:cs="宋体"/>
                <w:color w:val="auto"/>
                <w:kern w:val="2"/>
                <w:sz w:val="21"/>
                <w:szCs w:val="21"/>
                <w:highlight w:val="none"/>
                <w:lang w:bidi="ar"/>
              </w:rPr>
              <w:t>设备科</w:t>
            </w:r>
          </w:p>
        </w:tc>
        <w:tc>
          <w:tcPr>
            <w:tcW w:w="4819" w:type="dxa"/>
            <w:noWrap w:val="0"/>
            <w:vAlign w:val="center"/>
          </w:tcPr>
          <w:p w14:paraId="32BF1A2D">
            <w:pPr>
              <w:widowControl/>
              <w:snapToGrid/>
              <w:spacing w:before="0" w:beforeLines="-2147483648" w:after="100" w:afterLines="-2147483648" w:afterAutospacing="1"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p>
          <w:p w14:paraId="61A30C1B">
            <w:pPr>
              <w:widowControl/>
              <w:snapToGrid/>
              <w:spacing w:before="0" w:beforeLines="-2147483648" w:after="100" w:afterLines="-2147483648" w:afterAutospacing="1"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手机：必填</w:t>
            </w:r>
          </w:p>
        </w:tc>
      </w:tr>
      <w:tr w14:paraId="53DEA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trPr>
        <w:tc>
          <w:tcPr>
            <w:tcW w:w="4740" w:type="dxa"/>
            <w:noWrap w:val="0"/>
            <w:vAlign w:val="center"/>
          </w:tcPr>
          <w:p w14:paraId="36B73ABD">
            <w:pPr>
              <w:widowControl/>
              <w:snapToGrid/>
              <w:spacing w:before="0" w:beforeLines="-2147483648" w:after="100" w:afterLines="-2147483648" w:afterAutospacing="1"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开户银行：建设银行桂林临桂支行</w:t>
            </w:r>
          </w:p>
        </w:tc>
        <w:tc>
          <w:tcPr>
            <w:tcW w:w="4819" w:type="dxa"/>
            <w:noWrap w:val="0"/>
            <w:vAlign w:val="center"/>
          </w:tcPr>
          <w:p w14:paraId="52D9CAE9">
            <w:pPr>
              <w:widowControl/>
              <w:snapToGrid/>
              <w:spacing w:before="0" w:beforeLines="-2147483648" w:after="100" w:afterLines="-2147483648" w:afterAutospacing="1"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开户银行：必填</w:t>
            </w:r>
          </w:p>
        </w:tc>
      </w:tr>
      <w:tr w14:paraId="79C70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trPr>
        <w:tc>
          <w:tcPr>
            <w:tcW w:w="4740" w:type="dxa"/>
            <w:noWrap w:val="0"/>
            <w:vAlign w:val="center"/>
          </w:tcPr>
          <w:p w14:paraId="5081E142">
            <w:pPr>
              <w:widowControl/>
              <w:snapToGrid/>
              <w:spacing w:before="0" w:beforeLines="-2147483648" w:after="100" w:afterLines="-2147483648" w:afterAutospacing="1" w:line="360" w:lineRule="auto"/>
              <w:ind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账户名：</w:t>
            </w:r>
            <w:r>
              <w:rPr>
                <w:rFonts w:hint="eastAsia" w:ascii="宋体" w:hAnsi="宋体" w:eastAsia="宋体" w:cs="宋体"/>
                <w:color w:val="auto"/>
                <w:sz w:val="21"/>
                <w:szCs w:val="21"/>
                <w:highlight w:val="none"/>
                <w:lang w:eastAsia="zh-CN"/>
              </w:rPr>
              <w:t>桂林医科大学第二附属医院</w:t>
            </w:r>
          </w:p>
        </w:tc>
        <w:tc>
          <w:tcPr>
            <w:tcW w:w="4819" w:type="dxa"/>
            <w:noWrap w:val="0"/>
            <w:vAlign w:val="center"/>
          </w:tcPr>
          <w:p w14:paraId="269B7D1D">
            <w:pPr>
              <w:widowControl/>
              <w:snapToGrid/>
              <w:spacing w:before="0" w:beforeLines="-2147483648" w:after="100" w:afterLines="-2147483648" w:afterAutospacing="1"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账户名:必填</w:t>
            </w:r>
          </w:p>
        </w:tc>
      </w:tr>
      <w:tr w14:paraId="084A6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trPr>
        <w:tc>
          <w:tcPr>
            <w:tcW w:w="4740" w:type="dxa"/>
            <w:noWrap w:val="0"/>
            <w:vAlign w:val="center"/>
          </w:tcPr>
          <w:p w14:paraId="3294019A">
            <w:pPr>
              <w:widowControl/>
              <w:snapToGrid/>
              <w:spacing w:before="0" w:beforeLines="-2147483648" w:after="100" w:afterLines="-2147483648" w:afterAutospacing="1"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账号：4500 1636 6010 5070 5997</w:t>
            </w:r>
          </w:p>
        </w:tc>
        <w:tc>
          <w:tcPr>
            <w:tcW w:w="4819" w:type="dxa"/>
            <w:noWrap w:val="0"/>
            <w:vAlign w:val="center"/>
          </w:tcPr>
          <w:p w14:paraId="411058CF">
            <w:pPr>
              <w:widowControl/>
              <w:snapToGrid/>
              <w:spacing w:before="0" w:beforeLines="-2147483648" w:after="100" w:afterLines="-2147483648" w:afterAutospacing="1"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账号：必填</w:t>
            </w:r>
          </w:p>
        </w:tc>
      </w:tr>
      <w:tr w14:paraId="2EFB0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trPr>
        <w:tc>
          <w:tcPr>
            <w:tcW w:w="4740" w:type="dxa"/>
            <w:noWrap w:val="0"/>
            <w:vAlign w:val="center"/>
          </w:tcPr>
          <w:p w14:paraId="3673DE54">
            <w:pPr>
              <w:widowControl/>
              <w:snapToGrid/>
              <w:spacing w:before="0" w:beforeLines="-2147483648" w:after="100" w:afterLines="-2147483648" w:afterAutospacing="1"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邮政编码：541199</w:t>
            </w:r>
          </w:p>
        </w:tc>
        <w:tc>
          <w:tcPr>
            <w:tcW w:w="4819" w:type="dxa"/>
            <w:noWrap w:val="0"/>
            <w:vAlign w:val="center"/>
          </w:tcPr>
          <w:p w14:paraId="62F914A9">
            <w:pPr>
              <w:widowControl/>
              <w:snapToGrid/>
              <w:spacing w:before="0" w:beforeLines="-2147483648" w:after="100" w:afterLines="-2147483648" w:afterAutospacing="1"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邮政编码：必填</w:t>
            </w:r>
          </w:p>
        </w:tc>
      </w:tr>
      <w:tr w14:paraId="5B308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4" w:hRule="atLeast"/>
        </w:trPr>
        <w:tc>
          <w:tcPr>
            <w:tcW w:w="4740" w:type="dxa"/>
            <w:noWrap w:val="0"/>
            <w:vAlign w:val="center"/>
          </w:tcPr>
          <w:p w14:paraId="4D5CD0B6">
            <w:pPr>
              <w:widowControl/>
              <w:snapToGrid/>
              <w:spacing w:before="0" w:beforeLines="-2147483648" w:after="100" w:afterLines="-2147483648" w:afterAutospacing="1"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邮箱：</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"mailto:efyzbbht@163.com招标采购办公室"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efyzbbht@163.com招标采购科</w:t>
            </w:r>
            <w:r>
              <w:rPr>
                <w:rFonts w:hint="eastAsia" w:ascii="宋体" w:hAnsi="宋体" w:eastAsia="宋体" w:cs="宋体"/>
                <w:color w:val="auto"/>
                <w:sz w:val="21"/>
                <w:szCs w:val="21"/>
                <w:highlight w:val="none"/>
              </w:rPr>
              <w:fldChar w:fldCharType="end"/>
            </w:r>
          </w:p>
          <w:p w14:paraId="704DFDEF">
            <w:pPr>
              <w:widowControl/>
              <w:snapToGrid/>
              <w:spacing w:before="0" w:beforeLines="-2147483648" w:after="100" w:afterLines="-2147483648" w:afterAutospacing="1" w:line="360" w:lineRule="auto"/>
              <w:ind w:firstLine="630" w:firstLineChars="3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gyefysbk@126.com设备科</w:t>
            </w:r>
          </w:p>
        </w:tc>
        <w:tc>
          <w:tcPr>
            <w:tcW w:w="4819" w:type="dxa"/>
            <w:noWrap w:val="0"/>
            <w:vAlign w:val="center"/>
          </w:tcPr>
          <w:p w14:paraId="71F8517E">
            <w:pPr>
              <w:widowControl/>
              <w:snapToGrid/>
              <w:spacing w:before="0" w:beforeLines="-2147483648" w:after="100" w:afterLines="-2147483648" w:afterAutospacing="1" w:line="360" w:lineRule="auto"/>
              <w:ind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邮箱：必填</w:t>
            </w:r>
          </w:p>
        </w:tc>
      </w:tr>
      <w:tr w14:paraId="01B57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trPr>
        <w:tc>
          <w:tcPr>
            <w:tcW w:w="9559" w:type="dxa"/>
            <w:gridSpan w:val="2"/>
            <w:noWrap w:val="0"/>
            <w:vAlign w:val="center"/>
          </w:tcPr>
          <w:p w14:paraId="57619D14">
            <w:pPr>
              <w:widowControl/>
              <w:snapToGrid/>
              <w:spacing w:before="0" w:beforeLines="-2147483648" w:after="0" w:afterLines="-2147483648" w:line="360" w:lineRule="auto"/>
              <w:ind w:firstLine="420" w:firstLineChars="200"/>
              <w:jc w:val="left"/>
              <w:rPr>
                <w:rFonts w:hint="eastAsia" w:ascii="宋体" w:hAnsi="宋体" w:eastAsia="宋体" w:cs="宋体"/>
                <w:color w:val="auto"/>
                <w:sz w:val="21"/>
                <w:szCs w:val="21"/>
                <w:highlight w:val="none"/>
              </w:rPr>
            </w:pPr>
          </w:p>
          <w:p w14:paraId="7AD26DD8">
            <w:pPr>
              <w:widowControl/>
              <w:snapToGrid/>
              <w:spacing w:before="0" w:beforeLines="-2147483648" w:after="0" w:afterLines="-2147483648"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签订时间：      年   月   日</w:t>
            </w:r>
          </w:p>
        </w:tc>
      </w:tr>
    </w:tbl>
    <w:p w14:paraId="60F79931">
      <w:pPr>
        <w:spacing w:line="240" w:lineRule="auto"/>
        <w:ind w:firstLine="0" w:firstLineChars="0"/>
        <w:jc w:val="left"/>
        <w:rPr>
          <w:rFonts w:hint="default" w:ascii="Times New Roman" w:hAnsi="Times New Roman" w:eastAsia="仿宋" w:cs="Times New Roman"/>
          <w:color w:val="auto"/>
          <w:sz w:val="32"/>
          <w:szCs w:val="32"/>
          <w:highlight w:val="yellow"/>
          <w:lang w:val="en-US" w:eastAsia="zh-CN"/>
        </w:rPr>
      </w:pPr>
      <w:r>
        <w:rPr>
          <w:rFonts w:hint="default" w:ascii="Times New Roman" w:hAnsi="Times New Roman" w:eastAsia="仿宋" w:cs="Times New Roman"/>
          <w:color w:val="auto"/>
          <w:sz w:val="32"/>
          <w:szCs w:val="32"/>
          <w:highlight w:val="yellow"/>
          <w:lang w:val="en-US" w:eastAsia="zh-CN"/>
        </w:rPr>
        <w:br w:type="page"/>
      </w:r>
    </w:p>
    <w:p w14:paraId="64F4C432">
      <w:pPr>
        <w:snapToGrid w:val="0"/>
        <w:spacing w:line="400" w:lineRule="exact"/>
        <w:ind w:firstLine="480" w:firstLineChars="200"/>
        <w:rPr>
          <w:rFonts w:ascii="仿宋" w:hAnsi="仿宋" w:eastAsia="仿宋"/>
          <w:color w:val="auto"/>
          <w:sz w:val="24"/>
        </w:rPr>
      </w:pPr>
      <w:r>
        <w:rPr>
          <w:rFonts w:hint="eastAsia" w:ascii="仿宋" w:hAnsi="仿宋" w:eastAsia="仿宋"/>
          <w:color w:val="auto"/>
          <w:sz w:val="24"/>
        </w:rPr>
        <w:t>附件</w:t>
      </w:r>
      <w:r>
        <w:rPr>
          <w:rFonts w:hint="eastAsia" w:ascii="仿宋" w:hAnsi="仿宋" w:eastAsia="仿宋"/>
          <w:color w:val="auto"/>
          <w:sz w:val="24"/>
          <w:lang w:val="en-US" w:eastAsia="zh-CN"/>
        </w:rPr>
        <w:t>1</w:t>
      </w:r>
      <w:r>
        <w:rPr>
          <w:rFonts w:hint="eastAsia" w:ascii="仿宋" w:hAnsi="仿宋" w:eastAsia="仿宋"/>
          <w:color w:val="auto"/>
          <w:sz w:val="24"/>
        </w:rPr>
        <w:t>：</w:t>
      </w:r>
    </w:p>
    <w:p w14:paraId="22BA78B6">
      <w:pPr>
        <w:jc w:val="center"/>
        <w:rPr>
          <w:rFonts w:hint="eastAsia" w:ascii="仿宋" w:hAnsi="仿宋" w:eastAsia="仿宋"/>
          <w:b/>
          <w:color w:val="auto"/>
          <w:sz w:val="36"/>
          <w:szCs w:val="36"/>
        </w:rPr>
      </w:pPr>
      <w:r>
        <w:rPr>
          <w:rFonts w:hint="eastAsia" w:ascii="仿宋" w:hAnsi="仿宋" w:eastAsia="仿宋"/>
          <w:b/>
          <w:color w:val="auto"/>
          <w:sz w:val="36"/>
          <w:szCs w:val="36"/>
        </w:rPr>
        <w:t>医疗卫生机构医药产品廉洁购销合同</w:t>
      </w:r>
    </w:p>
    <w:p w14:paraId="43DF6CD0">
      <w:pPr>
        <w:spacing w:line="400" w:lineRule="exact"/>
        <w:jc w:val="center"/>
        <w:rPr>
          <w:rFonts w:hint="eastAsia" w:ascii="仿宋" w:hAnsi="仿宋" w:eastAsia="仿宋"/>
          <w:b/>
          <w:color w:val="auto"/>
          <w:sz w:val="36"/>
          <w:szCs w:val="36"/>
        </w:rPr>
      </w:pPr>
      <w:r>
        <w:rPr>
          <w:rFonts w:hint="eastAsia" w:ascii="宋体" w:hAnsi="宋体" w:eastAsia="宋体"/>
          <w:b/>
          <w:color w:val="auto"/>
          <w:sz w:val="28"/>
          <w:szCs w:val="28"/>
        </w:rPr>
        <w:t>（含设备、耗材、后勤物资、基建工程、行业服务等）</w:t>
      </w:r>
    </w:p>
    <w:p w14:paraId="6D187C68">
      <w:pPr>
        <w:spacing w:line="400" w:lineRule="exact"/>
        <w:rPr>
          <w:rFonts w:hint="eastAsia" w:ascii="仿宋" w:hAnsi="仿宋" w:eastAsia="仿宋" w:cs="宋体"/>
          <w:color w:val="auto"/>
          <w:sz w:val="24"/>
        </w:rPr>
      </w:pPr>
      <w:r>
        <w:rPr>
          <w:rFonts w:hint="eastAsia" w:ascii="仿宋" w:hAnsi="仿宋" w:eastAsia="仿宋" w:cs="宋体"/>
          <w:b/>
          <w:color w:val="auto"/>
          <w:sz w:val="24"/>
        </w:rPr>
        <w:t>甲方</w:t>
      </w:r>
      <w:r>
        <w:rPr>
          <w:rFonts w:hint="eastAsia" w:ascii="仿宋" w:hAnsi="仿宋" w:eastAsia="仿宋" w:cs="宋体"/>
          <w:color w:val="auto"/>
          <w:sz w:val="24"/>
        </w:rPr>
        <w:t>：</w:t>
      </w:r>
      <w:r>
        <w:rPr>
          <w:rFonts w:hint="eastAsia" w:ascii="仿宋" w:hAnsi="仿宋" w:eastAsia="仿宋" w:cs="宋体"/>
          <w:color w:val="auto"/>
          <w:sz w:val="24"/>
          <w:lang w:eastAsia="zh-CN"/>
        </w:rPr>
        <w:t>桂林医科大学第二附属医院</w:t>
      </w:r>
      <w:r>
        <w:rPr>
          <w:rFonts w:hint="eastAsia" w:ascii="仿宋" w:hAnsi="仿宋" w:eastAsia="仿宋" w:cs="宋体"/>
          <w:color w:val="auto"/>
          <w:sz w:val="24"/>
        </w:rPr>
        <w:t xml:space="preserve">                   </w:t>
      </w:r>
      <w:r>
        <w:rPr>
          <w:rFonts w:hint="eastAsia" w:ascii="仿宋" w:hAnsi="仿宋" w:eastAsia="仿宋"/>
          <w:color w:val="auto"/>
          <w:sz w:val="24"/>
        </w:rPr>
        <w:t>签订时间：     年   月   日</w:t>
      </w:r>
    </w:p>
    <w:p w14:paraId="21FF8D89">
      <w:pPr>
        <w:spacing w:line="400" w:lineRule="exact"/>
        <w:rPr>
          <w:rFonts w:hint="eastAsia" w:ascii="仿宋" w:hAnsi="仿宋" w:eastAsia="仿宋" w:cs="宋体"/>
          <w:color w:val="auto"/>
          <w:sz w:val="24"/>
        </w:rPr>
      </w:pPr>
      <w:r>
        <w:rPr>
          <w:rFonts w:hint="eastAsia" w:ascii="仿宋" w:hAnsi="仿宋" w:eastAsia="仿宋" w:cs="宋体"/>
          <w:b/>
          <w:color w:val="auto"/>
          <w:sz w:val="24"/>
        </w:rPr>
        <w:t>乙方</w:t>
      </w:r>
      <w:r>
        <w:rPr>
          <w:rFonts w:hint="eastAsia" w:ascii="仿宋" w:hAnsi="仿宋" w:eastAsia="仿宋" w:cs="宋体"/>
          <w:color w:val="auto"/>
          <w:sz w:val="24"/>
        </w:rPr>
        <w:t>：</w:t>
      </w:r>
      <w:r>
        <w:rPr>
          <w:rFonts w:hint="eastAsia" w:ascii="仿宋" w:hAnsi="仿宋" w:eastAsia="仿宋" w:cs="Arial"/>
          <w:color w:val="auto"/>
          <w:sz w:val="24"/>
        </w:rPr>
        <w:t>必填</w:t>
      </w:r>
    </w:p>
    <w:p w14:paraId="0580B9A7">
      <w:pPr>
        <w:spacing w:line="400" w:lineRule="exact"/>
        <w:ind w:firstLine="480" w:firstLineChars="200"/>
        <w:rPr>
          <w:rFonts w:hint="eastAsia" w:ascii="仿宋" w:hAnsi="仿宋" w:eastAsia="仿宋" w:cs="宋体"/>
          <w:color w:val="auto"/>
          <w:sz w:val="24"/>
        </w:rPr>
      </w:pPr>
      <w:r>
        <w:rPr>
          <w:rFonts w:hint="eastAsia" w:ascii="仿宋" w:hAnsi="仿宋" w:eastAsia="仿宋" w:cs="宋体"/>
          <w:color w:val="auto"/>
          <w:sz w:val="24"/>
        </w:rPr>
        <w:t>为进一步加强医疗卫生行风建设，规范医疗卫生机构医药购销行为，有效防范商业贿赂行为，营造公平交易、诚实守信的购销环境，经甲、乙双方协商，同意签订本协议，并共同遵守：</w:t>
      </w:r>
    </w:p>
    <w:p w14:paraId="1F2ECF23">
      <w:pPr>
        <w:spacing w:line="400" w:lineRule="exact"/>
        <w:ind w:firstLine="480" w:firstLineChars="200"/>
        <w:rPr>
          <w:rFonts w:hint="eastAsia" w:ascii="仿宋" w:hAnsi="仿宋" w:eastAsia="仿宋" w:cs="宋体"/>
          <w:color w:val="auto"/>
          <w:sz w:val="24"/>
        </w:rPr>
      </w:pPr>
      <w:r>
        <w:rPr>
          <w:rFonts w:hint="eastAsia" w:ascii="仿宋" w:hAnsi="仿宋" w:eastAsia="仿宋" w:cs="宋体"/>
          <w:color w:val="auto"/>
          <w:sz w:val="24"/>
        </w:rPr>
        <w:t>一、甲乙双方按照《</w:t>
      </w:r>
      <w:r>
        <w:rPr>
          <w:rFonts w:hint="eastAsia" w:ascii="仿宋" w:hAnsi="仿宋" w:eastAsia="仿宋"/>
          <w:color w:val="auto"/>
          <w:sz w:val="24"/>
        </w:rPr>
        <w:t>中华人民共和国民法典</w:t>
      </w:r>
      <w:r>
        <w:rPr>
          <w:rFonts w:hint="eastAsia" w:ascii="仿宋" w:hAnsi="仿宋" w:eastAsia="仿宋" w:cs="宋体"/>
          <w:color w:val="auto"/>
          <w:sz w:val="24"/>
        </w:rPr>
        <w:t>》及医药产品购销合同约定购销药品、医用设备、医用耗材等医药产品。</w:t>
      </w:r>
    </w:p>
    <w:p w14:paraId="4EAB621E">
      <w:pPr>
        <w:spacing w:line="400" w:lineRule="exact"/>
        <w:ind w:firstLine="480" w:firstLineChars="200"/>
        <w:rPr>
          <w:rFonts w:hint="eastAsia" w:ascii="仿宋" w:hAnsi="仿宋" w:eastAsia="仿宋" w:cs="宋体"/>
          <w:color w:val="auto"/>
          <w:sz w:val="24"/>
        </w:rPr>
      </w:pPr>
      <w:r>
        <w:rPr>
          <w:rFonts w:hint="eastAsia" w:ascii="仿宋" w:hAnsi="仿宋" w:eastAsia="仿宋" w:cs="宋体"/>
          <w:color w:val="auto"/>
          <w:sz w:val="24"/>
        </w:rPr>
        <w:t>二、甲方应当严格执行医药产品购销合同验收、入库制度，对采购医药产品及发票进行查验，不得违反有关规定合同外采购、违价采购或从非规定渠道采购。</w:t>
      </w:r>
    </w:p>
    <w:p w14:paraId="6739A28F">
      <w:pPr>
        <w:spacing w:line="400" w:lineRule="exact"/>
        <w:ind w:firstLine="480" w:firstLineChars="200"/>
        <w:rPr>
          <w:rFonts w:hint="eastAsia" w:ascii="仿宋" w:hAnsi="仿宋" w:eastAsia="仿宋" w:cs="宋体"/>
          <w:color w:val="auto"/>
          <w:sz w:val="24"/>
        </w:rPr>
      </w:pPr>
      <w:r>
        <w:rPr>
          <w:rFonts w:hint="eastAsia" w:ascii="仿宋" w:hAnsi="仿宋" w:eastAsia="仿宋" w:cs="宋体"/>
          <w:color w:val="auto"/>
          <w:sz w:val="24"/>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31AB3B63">
      <w:pPr>
        <w:spacing w:line="400" w:lineRule="exact"/>
        <w:ind w:firstLine="480" w:firstLineChars="200"/>
        <w:rPr>
          <w:rFonts w:hint="eastAsia" w:ascii="仿宋" w:hAnsi="仿宋" w:eastAsia="仿宋" w:cs="宋体"/>
          <w:color w:val="auto"/>
          <w:sz w:val="24"/>
        </w:rPr>
      </w:pPr>
      <w:r>
        <w:rPr>
          <w:rFonts w:hint="eastAsia" w:ascii="仿宋" w:hAnsi="仿宋" w:eastAsia="仿宋" w:cs="宋体"/>
          <w:color w:val="auto"/>
          <w:sz w:val="24"/>
        </w:rPr>
        <w:t>四、严禁甲方工作人员利用任何途径和方式，为乙方统计医师个人及临床科室有关医药产品用量信息，或为乙方统计提供便利。</w:t>
      </w:r>
    </w:p>
    <w:p w14:paraId="33D9F558">
      <w:pPr>
        <w:spacing w:line="400" w:lineRule="exact"/>
        <w:ind w:firstLine="480" w:firstLineChars="200"/>
        <w:rPr>
          <w:rFonts w:hint="eastAsia" w:ascii="仿宋" w:hAnsi="仿宋" w:eastAsia="仿宋" w:cs="宋体"/>
          <w:color w:val="auto"/>
          <w:sz w:val="24"/>
        </w:rPr>
      </w:pPr>
      <w:r>
        <w:rPr>
          <w:rFonts w:hint="eastAsia" w:ascii="仿宋" w:hAnsi="仿宋" w:eastAsia="仿宋" w:cs="宋体"/>
          <w:color w:val="auto"/>
          <w:sz w:val="24"/>
        </w:rPr>
        <w:t>五、乙方不得以回扣、宴请等方式影响甲方工作人员采购或使用医药产品的选择权，不得在学术活动中提供旅游、超标准支付食宿费用。</w:t>
      </w:r>
    </w:p>
    <w:p w14:paraId="020F703E">
      <w:pPr>
        <w:spacing w:line="400" w:lineRule="exact"/>
        <w:ind w:firstLine="480" w:firstLineChars="200"/>
        <w:rPr>
          <w:rFonts w:hint="eastAsia" w:ascii="仿宋" w:hAnsi="仿宋" w:eastAsia="仿宋" w:cs="宋体"/>
          <w:color w:val="auto"/>
          <w:sz w:val="24"/>
        </w:rPr>
      </w:pPr>
      <w:r>
        <w:rPr>
          <w:rFonts w:hint="eastAsia" w:ascii="仿宋" w:hAnsi="仿宋" w:eastAsia="仿宋" w:cs="宋体"/>
          <w:color w:val="auto"/>
          <w:sz w:val="24"/>
        </w:rPr>
        <w:t>六、乙方指定</w:t>
      </w:r>
      <w:r>
        <w:rPr>
          <w:rFonts w:hint="eastAsia" w:ascii="仿宋" w:hAnsi="仿宋" w:eastAsia="仿宋" w:cs="宋体"/>
          <w:color w:val="auto"/>
          <w:sz w:val="24"/>
          <w:u w:val="single"/>
        </w:rPr>
        <w:t xml:space="preserve">      必填        </w:t>
      </w:r>
      <w:r>
        <w:rPr>
          <w:rFonts w:hint="eastAsia" w:ascii="仿宋" w:hAnsi="仿宋" w:eastAsia="仿宋" w:cs="宋体"/>
          <w:color w:val="auto"/>
          <w:sz w:val="24"/>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1CD34AE9">
      <w:pPr>
        <w:spacing w:line="400" w:lineRule="exact"/>
        <w:ind w:firstLine="480" w:firstLineChars="200"/>
        <w:rPr>
          <w:rFonts w:hint="eastAsia" w:ascii="仿宋" w:hAnsi="仿宋" w:eastAsia="仿宋" w:cs="宋体"/>
          <w:color w:val="auto"/>
          <w:sz w:val="24"/>
        </w:rPr>
      </w:pPr>
      <w:r>
        <w:rPr>
          <w:rFonts w:hint="eastAsia" w:ascii="仿宋" w:hAnsi="仿宋" w:eastAsia="仿宋" w:cs="宋体"/>
          <w:color w:val="auto"/>
          <w:sz w:val="24"/>
        </w:rPr>
        <w:t>七、乙方如违反本协议，一经发现，甲方有权终止购销合同，并向有关卫生计生行政部门报告。如乙方被列入商业贿赂不良记录，则严格按照《国家卫生计生委关于建立医药购销领域商业贿赂不良记录的规定》</w:t>
      </w:r>
      <w:r>
        <w:rPr>
          <w:rFonts w:hint="eastAsia" w:ascii="仿宋" w:hAnsi="仿宋" w:eastAsia="仿宋" w:cs="宋体"/>
          <w:color w:val="auto"/>
          <w:sz w:val="24"/>
          <w:shd w:val="clear" w:color="auto" w:fill="FFFFFF"/>
        </w:rPr>
        <w:t>（国卫法制发〔2013〕50号）</w:t>
      </w:r>
      <w:r>
        <w:rPr>
          <w:rFonts w:hint="eastAsia" w:ascii="仿宋" w:hAnsi="仿宋" w:eastAsia="仿宋" w:cs="宋体"/>
          <w:color w:val="auto"/>
          <w:sz w:val="24"/>
        </w:rPr>
        <w:t>相关规定处理。</w:t>
      </w:r>
    </w:p>
    <w:p w14:paraId="15693A99">
      <w:pPr>
        <w:spacing w:line="400" w:lineRule="exact"/>
        <w:ind w:firstLine="480" w:firstLineChars="200"/>
        <w:rPr>
          <w:rFonts w:hint="eastAsia" w:ascii="仿宋" w:hAnsi="仿宋" w:eastAsia="仿宋" w:cs="宋体"/>
          <w:color w:val="auto"/>
          <w:sz w:val="24"/>
        </w:rPr>
      </w:pPr>
      <w:r>
        <w:rPr>
          <w:rFonts w:hint="eastAsia" w:ascii="仿宋" w:hAnsi="仿宋" w:eastAsia="仿宋" w:cs="宋体"/>
          <w:color w:val="auto"/>
          <w:sz w:val="24"/>
        </w:rPr>
        <w:t>八、本协议作为医药产品购销合同的重要组成部分，与购销合同一并执行，具有同等的法律效力。</w:t>
      </w:r>
    </w:p>
    <w:p w14:paraId="1FFD8FBB">
      <w:pPr>
        <w:spacing w:line="400" w:lineRule="exact"/>
        <w:ind w:firstLine="480" w:firstLineChars="200"/>
        <w:rPr>
          <w:rFonts w:hint="eastAsia" w:ascii="仿宋" w:hAnsi="仿宋" w:eastAsia="仿宋" w:cs="宋体"/>
          <w:color w:val="auto"/>
          <w:sz w:val="24"/>
        </w:rPr>
      </w:pPr>
      <w:r>
        <w:rPr>
          <w:rFonts w:hint="eastAsia" w:ascii="仿宋" w:hAnsi="仿宋" w:eastAsia="仿宋" w:cs="宋体"/>
          <w:color w:val="auto"/>
          <w:sz w:val="24"/>
        </w:rPr>
        <w:t>九、本协议一式肆份，装订在</w:t>
      </w:r>
      <w:r>
        <w:rPr>
          <w:rFonts w:hint="eastAsia" w:ascii="仿宋" w:hAnsi="仿宋" w:eastAsia="仿宋"/>
          <w:color w:val="auto"/>
          <w:sz w:val="24"/>
        </w:rPr>
        <w:t>医疗设备购销合同末页，</w:t>
      </w:r>
      <w:r>
        <w:rPr>
          <w:rFonts w:hint="eastAsia" w:ascii="仿宋" w:hAnsi="仿宋" w:eastAsia="仿宋" w:cs="宋体"/>
          <w:color w:val="auto"/>
          <w:sz w:val="24"/>
        </w:rPr>
        <w:t>自签字盖章之日起生效。</w:t>
      </w:r>
    </w:p>
    <w:p w14:paraId="04250AF2">
      <w:pPr>
        <w:spacing w:line="400" w:lineRule="exact"/>
        <w:rPr>
          <w:rFonts w:hint="eastAsia" w:ascii="仿宋" w:hAnsi="仿宋" w:eastAsia="仿宋" w:cs="宋体"/>
          <w:color w:val="auto"/>
          <w:sz w:val="24"/>
        </w:rPr>
      </w:pPr>
    </w:p>
    <w:p w14:paraId="6F02B3E2">
      <w:pPr>
        <w:spacing w:line="400" w:lineRule="exact"/>
        <w:rPr>
          <w:rFonts w:hint="eastAsia" w:ascii="仿宋" w:hAnsi="仿宋" w:eastAsia="仿宋" w:cs="宋体"/>
          <w:b/>
          <w:color w:val="auto"/>
          <w:sz w:val="24"/>
        </w:rPr>
      </w:pPr>
      <w:r>
        <w:rPr>
          <w:rFonts w:hint="eastAsia" w:ascii="仿宋" w:hAnsi="仿宋" w:eastAsia="仿宋" w:cs="宋体"/>
          <w:b/>
          <w:color w:val="auto"/>
          <w:sz w:val="24"/>
        </w:rPr>
        <w:t>甲方（盖章）：</w:t>
      </w:r>
      <w:r>
        <w:rPr>
          <w:rFonts w:hint="eastAsia" w:ascii="仿宋" w:hAnsi="仿宋" w:eastAsia="仿宋"/>
          <w:color w:val="auto"/>
          <w:sz w:val="24"/>
          <w:lang w:eastAsia="zh-CN"/>
        </w:rPr>
        <w:t>桂林医科大学第二附属医院</w:t>
      </w:r>
      <w:r>
        <w:rPr>
          <w:rFonts w:hint="eastAsia" w:ascii="仿宋" w:hAnsi="仿宋" w:eastAsia="仿宋" w:cs="宋体"/>
          <w:b/>
          <w:color w:val="auto"/>
          <w:sz w:val="24"/>
        </w:rPr>
        <w:t xml:space="preserve">       乙方（盖章）：</w:t>
      </w:r>
      <w:r>
        <w:rPr>
          <w:rFonts w:hint="eastAsia" w:ascii="仿宋" w:hAnsi="仿宋" w:eastAsia="仿宋" w:cs="Arial"/>
          <w:color w:val="auto"/>
          <w:sz w:val="24"/>
        </w:rPr>
        <w:t>必填</w:t>
      </w:r>
    </w:p>
    <w:p w14:paraId="67464CAC">
      <w:pPr>
        <w:spacing w:line="400" w:lineRule="exact"/>
        <w:rPr>
          <w:rFonts w:hint="eastAsia" w:ascii="仿宋" w:hAnsi="仿宋" w:eastAsia="仿宋" w:cs="宋体"/>
          <w:b/>
          <w:color w:val="auto"/>
          <w:sz w:val="24"/>
        </w:rPr>
      </w:pPr>
      <w:r>
        <w:rPr>
          <w:rFonts w:hint="eastAsia" w:ascii="仿宋" w:hAnsi="仿宋" w:eastAsia="仿宋" w:cs="宋体"/>
          <w:b/>
          <w:color w:val="auto"/>
          <w:sz w:val="24"/>
        </w:rPr>
        <w:t xml:space="preserve">法定代表人（负责人）：                  </w:t>
      </w:r>
      <w:r>
        <w:rPr>
          <w:rFonts w:hint="eastAsia" w:ascii="仿宋" w:hAnsi="仿宋" w:eastAsia="仿宋" w:cs="宋体"/>
          <w:b/>
          <w:color w:val="auto"/>
          <w:sz w:val="24"/>
          <w:lang w:val="en-US" w:eastAsia="zh-CN"/>
        </w:rPr>
        <w:t xml:space="preserve"> </w:t>
      </w:r>
      <w:r>
        <w:rPr>
          <w:rFonts w:hint="eastAsia" w:ascii="仿宋" w:hAnsi="仿宋" w:eastAsia="仿宋" w:cs="宋体"/>
          <w:b/>
          <w:color w:val="auto"/>
          <w:sz w:val="24"/>
        </w:rPr>
        <w:t xml:space="preserve"> </w:t>
      </w:r>
      <w:r>
        <w:rPr>
          <w:rFonts w:hint="eastAsia" w:ascii="仿宋" w:hAnsi="仿宋" w:eastAsia="仿宋" w:cs="宋体"/>
          <w:b/>
          <w:color w:val="auto"/>
          <w:sz w:val="24"/>
          <w:lang w:val="en-US" w:eastAsia="zh-CN"/>
        </w:rPr>
        <w:t xml:space="preserve"> </w:t>
      </w:r>
      <w:r>
        <w:rPr>
          <w:rFonts w:hint="eastAsia" w:ascii="仿宋" w:hAnsi="仿宋" w:eastAsia="仿宋" w:cs="宋体"/>
          <w:b/>
          <w:color w:val="auto"/>
          <w:sz w:val="24"/>
        </w:rPr>
        <w:t xml:space="preserve">  法定代表人（负责人）：</w:t>
      </w:r>
    </w:p>
    <w:p w14:paraId="63BABB5F">
      <w:pPr>
        <w:pStyle w:val="12"/>
        <w:rPr>
          <w:rFonts w:hint="default"/>
          <w:lang w:val="en-US" w:eastAsia="zh-CN"/>
        </w:rPr>
      </w:pPr>
    </w:p>
    <w:p w14:paraId="7531D036">
      <w:pPr>
        <w:snapToGrid/>
        <w:spacing w:line="240" w:lineRule="auto"/>
        <w:jc w:val="left"/>
        <w:rPr>
          <w:rFonts w:ascii="宋体" w:hAnsi="宋体"/>
          <w:bCs/>
          <w:color w:val="auto"/>
          <w:sz w:val="32"/>
          <w:szCs w:val="32"/>
        </w:rPr>
      </w:pPr>
      <w:r>
        <w:rPr>
          <w:rFonts w:ascii="宋体" w:hAnsi="宋体"/>
          <w:bCs/>
          <w:color w:val="auto"/>
          <w:sz w:val="32"/>
          <w:szCs w:val="32"/>
        </w:rPr>
        <w:br w:type="page"/>
      </w:r>
    </w:p>
    <w:p w14:paraId="04A91FE2">
      <w:pPr>
        <w:snapToGrid w:val="0"/>
        <w:spacing w:line="360" w:lineRule="auto"/>
        <w:jc w:val="center"/>
        <w:rPr>
          <w:rFonts w:ascii="宋体" w:hAnsi="宋体"/>
          <w:bCs/>
          <w:color w:val="auto"/>
          <w:sz w:val="32"/>
          <w:szCs w:val="32"/>
        </w:rPr>
      </w:pPr>
    </w:p>
    <w:bookmarkEnd w:id="206"/>
    <w:p w14:paraId="70A2BE26">
      <w:pPr>
        <w:snapToGrid w:val="0"/>
        <w:spacing w:line="480" w:lineRule="auto"/>
        <w:rPr>
          <w:rFonts w:ascii="宋体" w:hAnsi="宋体"/>
          <w:bCs/>
          <w:color w:val="auto"/>
          <w:sz w:val="32"/>
          <w:szCs w:val="32"/>
        </w:rPr>
      </w:pPr>
    </w:p>
    <w:p w14:paraId="679DC611">
      <w:pPr>
        <w:snapToGrid w:val="0"/>
        <w:jc w:val="center"/>
        <w:rPr>
          <w:rFonts w:ascii="宋体" w:hAnsi="宋体"/>
          <w:bCs/>
          <w:color w:val="auto"/>
          <w:sz w:val="32"/>
          <w:szCs w:val="32"/>
        </w:rPr>
      </w:pPr>
    </w:p>
    <w:p w14:paraId="13ABE9FC">
      <w:pPr>
        <w:snapToGrid w:val="0"/>
        <w:jc w:val="center"/>
        <w:rPr>
          <w:rFonts w:ascii="宋体" w:hAnsi="宋体"/>
          <w:bCs/>
          <w:color w:val="auto"/>
          <w:sz w:val="32"/>
          <w:szCs w:val="32"/>
        </w:rPr>
      </w:pPr>
    </w:p>
    <w:p w14:paraId="0913F7F6">
      <w:pPr>
        <w:snapToGrid w:val="0"/>
        <w:jc w:val="center"/>
        <w:rPr>
          <w:rFonts w:ascii="宋体" w:hAnsi="宋体"/>
          <w:bCs/>
          <w:color w:val="auto"/>
          <w:sz w:val="32"/>
          <w:szCs w:val="32"/>
        </w:rPr>
      </w:pPr>
    </w:p>
    <w:p w14:paraId="120DB2AF">
      <w:pPr>
        <w:snapToGrid w:val="0"/>
        <w:jc w:val="center"/>
        <w:rPr>
          <w:rFonts w:ascii="宋体" w:hAnsi="宋体"/>
          <w:bCs/>
          <w:color w:val="auto"/>
          <w:sz w:val="32"/>
          <w:szCs w:val="32"/>
        </w:rPr>
      </w:pPr>
    </w:p>
    <w:p w14:paraId="5B96C5F7">
      <w:pPr>
        <w:snapToGrid w:val="0"/>
        <w:jc w:val="center"/>
        <w:rPr>
          <w:rFonts w:ascii="宋体" w:hAnsi="宋体"/>
          <w:bCs/>
          <w:color w:val="auto"/>
          <w:sz w:val="32"/>
          <w:szCs w:val="32"/>
        </w:rPr>
      </w:pPr>
    </w:p>
    <w:p w14:paraId="3C995392">
      <w:pPr>
        <w:snapToGrid w:val="0"/>
        <w:jc w:val="center"/>
        <w:rPr>
          <w:rFonts w:ascii="宋体" w:hAnsi="宋体"/>
          <w:bCs/>
          <w:color w:val="auto"/>
          <w:sz w:val="32"/>
          <w:szCs w:val="32"/>
        </w:rPr>
      </w:pPr>
    </w:p>
    <w:p w14:paraId="31AC75FA">
      <w:pPr>
        <w:snapToGrid w:val="0"/>
        <w:jc w:val="center"/>
        <w:rPr>
          <w:rFonts w:ascii="宋体" w:hAnsi="宋体"/>
          <w:bCs/>
          <w:color w:val="auto"/>
          <w:sz w:val="32"/>
          <w:szCs w:val="32"/>
        </w:rPr>
      </w:pPr>
    </w:p>
    <w:p w14:paraId="0147C9EB">
      <w:pPr>
        <w:snapToGrid w:val="0"/>
        <w:jc w:val="center"/>
        <w:rPr>
          <w:rFonts w:ascii="宋体" w:hAnsi="宋体"/>
          <w:bCs/>
          <w:color w:val="auto"/>
          <w:sz w:val="32"/>
          <w:szCs w:val="32"/>
        </w:rPr>
      </w:pPr>
    </w:p>
    <w:p w14:paraId="20BD0ABB">
      <w:pPr>
        <w:snapToGrid w:val="0"/>
        <w:jc w:val="center"/>
        <w:rPr>
          <w:rFonts w:ascii="宋体" w:hAnsi="宋体"/>
          <w:bCs/>
          <w:color w:val="auto"/>
          <w:sz w:val="32"/>
          <w:szCs w:val="32"/>
        </w:rPr>
      </w:pPr>
    </w:p>
    <w:p w14:paraId="4A6DC34A">
      <w:pPr>
        <w:snapToGrid w:val="0"/>
        <w:jc w:val="center"/>
        <w:rPr>
          <w:rFonts w:ascii="宋体" w:hAnsi="宋体"/>
          <w:bCs/>
          <w:color w:val="auto"/>
          <w:sz w:val="32"/>
          <w:szCs w:val="32"/>
        </w:rPr>
      </w:pPr>
    </w:p>
    <w:p w14:paraId="23CA0760">
      <w:pPr>
        <w:snapToGrid w:val="0"/>
        <w:jc w:val="center"/>
        <w:rPr>
          <w:rFonts w:ascii="宋体" w:hAnsi="宋体"/>
          <w:bCs/>
          <w:color w:val="auto"/>
          <w:sz w:val="32"/>
          <w:szCs w:val="32"/>
        </w:rPr>
      </w:pPr>
    </w:p>
    <w:p w14:paraId="0A8B943C">
      <w:pPr>
        <w:pStyle w:val="3"/>
        <w:keepNext w:val="0"/>
        <w:keepLines w:val="0"/>
        <w:jc w:val="center"/>
        <w:rPr>
          <w:color w:val="auto"/>
        </w:rPr>
      </w:pPr>
      <w:bookmarkStart w:id="209" w:name="_Toc31260"/>
      <w:bookmarkStart w:id="210" w:name="_Toc23404"/>
      <w:bookmarkStart w:id="211" w:name="_Toc1027"/>
      <w:bookmarkStart w:id="212" w:name="_Toc22558"/>
      <w:bookmarkStart w:id="213" w:name="_Toc8339"/>
      <w:bookmarkStart w:id="214" w:name="_Toc12903"/>
      <w:bookmarkStart w:id="215" w:name="_Toc2841"/>
      <w:bookmarkStart w:id="216" w:name="_Toc16483"/>
      <w:bookmarkStart w:id="217" w:name="_Toc136"/>
      <w:bookmarkStart w:id="218" w:name="_Toc8020"/>
      <w:bookmarkStart w:id="219" w:name="_Toc4250"/>
      <w:bookmarkStart w:id="220" w:name="_Toc7028"/>
      <w:bookmarkStart w:id="221" w:name="_Toc32466"/>
      <w:bookmarkStart w:id="222" w:name="_Toc4934"/>
      <w:bookmarkStart w:id="223" w:name="_Toc6737"/>
      <w:r>
        <w:rPr>
          <w:rFonts w:hint="eastAsia"/>
          <w:color w:val="auto"/>
        </w:rPr>
        <w:t>第六章投标文件格式</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3E38FC75">
      <w:pPr>
        <w:snapToGrid w:val="0"/>
        <w:spacing w:before="50" w:after="50"/>
        <w:outlineLvl w:val="1"/>
        <w:rPr>
          <w:rFonts w:ascii="宋体" w:hAnsi="宋体"/>
          <w:color w:val="auto"/>
          <w:sz w:val="32"/>
          <w:szCs w:val="20"/>
        </w:rPr>
      </w:pPr>
    </w:p>
    <w:p w14:paraId="6F71EDF9">
      <w:pPr>
        <w:snapToGrid w:val="0"/>
        <w:spacing w:before="50" w:after="50"/>
        <w:outlineLvl w:val="1"/>
        <w:rPr>
          <w:rFonts w:ascii="宋体" w:hAnsi="宋体"/>
          <w:color w:val="auto"/>
          <w:sz w:val="32"/>
          <w:szCs w:val="20"/>
        </w:rPr>
      </w:pPr>
    </w:p>
    <w:p w14:paraId="69C3764F">
      <w:pPr>
        <w:snapToGrid w:val="0"/>
        <w:spacing w:before="50" w:after="50"/>
        <w:outlineLvl w:val="1"/>
        <w:rPr>
          <w:rFonts w:ascii="宋体" w:hAnsi="宋体"/>
          <w:color w:val="auto"/>
          <w:sz w:val="32"/>
          <w:szCs w:val="20"/>
        </w:rPr>
      </w:pPr>
    </w:p>
    <w:p w14:paraId="62DC7C1E">
      <w:pPr>
        <w:snapToGrid w:val="0"/>
        <w:spacing w:before="50" w:after="50"/>
        <w:outlineLvl w:val="1"/>
        <w:rPr>
          <w:rFonts w:ascii="宋体" w:hAnsi="宋体"/>
          <w:color w:val="auto"/>
          <w:sz w:val="32"/>
          <w:szCs w:val="20"/>
        </w:rPr>
      </w:pPr>
    </w:p>
    <w:p w14:paraId="3F5601A8">
      <w:pPr>
        <w:snapToGrid w:val="0"/>
        <w:spacing w:before="50" w:after="50"/>
        <w:outlineLvl w:val="1"/>
        <w:rPr>
          <w:rFonts w:ascii="宋体" w:hAnsi="宋体"/>
          <w:color w:val="auto"/>
          <w:sz w:val="32"/>
          <w:szCs w:val="20"/>
        </w:rPr>
      </w:pPr>
    </w:p>
    <w:p w14:paraId="485DAF91">
      <w:pPr>
        <w:snapToGrid w:val="0"/>
        <w:spacing w:before="50" w:after="50"/>
        <w:outlineLvl w:val="1"/>
        <w:rPr>
          <w:rFonts w:ascii="宋体" w:hAnsi="宋体"/>
          <w:color w:val="auto"/>
          <w:sz w:val="32"/>
          <w:szCs w:val="20"/>
        </w:rPr>
      </w:pPr>
    </w:p>
    <w:p w14:paraId="757178F7">
      <w:pPr>
        <w:snapToGrid w:val="0"/>
        <w:spacing w:before="50" w:after="50"/>
        <w:outlineLvl w:val="1"/>
        <w:rPr>
          <w:rFonts w:ascii="宋体" w:hAnsi="宋体"/>
          <w:color w:val="auto"/>
          <w:sz w:val="32"/>
          <w:szCs w:val="20"/>
        </w:rPr>
      </w:pPr>
    </w:p>
    <w:p w14:paraId="41123BE5">
      <w:pPr>
        <w:snapToGrid w:val="0"/>
        <w:spacing w:before="50" w:after="50"/>
        <w:outlineLvl w:val="1"/>
        <w:rPr>
          <w:rFonts w:ascii="宋体" w:hAnsi="宋体"/>
          <w:color w:val="auto"/>
          <w:sz w:val="32"/>
          <w:szCs w:val="20"/>
        </w:rPr>
      </w:pPr>
    </w:p>
    <w:p w14:paraId="601B6E14">
      <w:pPr>
        <w:snapToGrid w:val="0"/>
        <w:spacing w:before="50" w:after="50"/>
        <w:outlineLvl w:val="1"/>
        <w:rPr>
          <w:rFonts w:ascii="宋体" w:hAnsi="宋体"/>
          <w:color w:val="auto"/>
          <w:sz w:val="32"/>
          <w:szCs w:val="20"/>
        </w:rPr>
      </w:pPr>
    </w:p>
    <w:p w14:paraId="4388132F">
      <w:pPr>
        <w:snapToGrid w:val="0"/>
        <w:spacing w:before="50" w:after="50"/>
        <w:outlineLvl w:val="1"/>
        <w:rPr>
          <w:rFonts w:ascii="宋体" w:hAnsi="宋体"/>
          <w:color w:val="auto"/>
          <w:sz w:val="32"/>
          <w:szCs w:val="20"/>
        </w:rPr>
      </w:pPr>
    </w:p>
    <w:p w14:paraId="33DB1132">
      <w:pPr>
        <w:snapToGrid w:val="0"/>
        <w:spacing w:before="50" w:after="50"/>
        <w:outlineLvl w:val="1"/>
        <w:rPr>
          <w:rFonts w:ascii="宋体" w:hAnsi="宋体"/>
          <w:color w:val="auto"/>
          <w:sz w:val="32"/>
          <w:szCs w:val="20"/>
        </w:rPr>
      </w:pPr>
    </w:p>
    <w:p w14:paraId="17371B84">
      <w:pPr>
        <w:snapToGrid w:val="0"/>
        <w:spacing w:before="50" w:after="50"/>
        <w:outlineLvl w:val="1"/>
        <w:rPr>
          <w:rFonts w:ascii="宋体" w:hAnsi="宋体"/>
          <w:color w:val="auto"/>
          <w:sz w:val="32"/>
          <w:szCs w:val="20"/>
        </w:rPr>
      </w:pPr>
    </w:p>
    <w:p w14:paraId="7E4A9FCE">
      <w:pPr>
        <w:snapToGrid w:val="0"/>
        <w:spacing w:before="50" w:after="50"/>
        <w:outlineLvl w:val="1"/>
        <w:rPr>
          <w:rFonts w:ascii="宋体" w:hAnsi="宋体"/>
          <w:color w:val="auto"/>
          <w:sz w:val="32"/>
          <w:szCs w:val="20"/>
        </w:rPr>
      </w:pPr>
    </w:p>
    <w:p w14:paraId="1D44FFFC">
      <w:pPr>
        <w:snapToGrid w:val="0"/>
        <w:spacing w:beforeLines="50" w:after="50" w:line="360" w:lineRule="auto"/>
        <w:jc w:val="center"/>
        <w:outlineLvl w:val="9"/>
        <w:rPr>
          <w:rFonts w:ascii="宋体" w:hAnsi="宋体"/>
          <w:b/>
          <w:bCs/>
          <w:color w:val="auto"/>
          <w:sz w:val="28"/>
          <w:szCs w:val="28"/>
        </w:rPr>
      </w:pPr>
      <w:r>
        <w:rPr>
          <w:rFonts w:ascii="宋体" w:hAnsi="宋体"/>
          <w:color w:val="auto"/>
          <w:sz w:val="32"/>
          <w:szCs w:val="20"/>
        </w:rPr>
        <w:br w:type="page"/>
      </w:r>
      <w:bookmarkStart w:id="224" w:name="_Toc28877"/>
      <w:bookmarkStart w:id="225" w:name="_Toc8872"/>
      <w:bookmarkStart w:id="226" w:name="_Toc24657"/>
      <w:bookmarkStart w:id="227" w:name="_Toc19686836"/>
      <w:bookmarkStart w:id="228" w:name="_Toc254970698"/>
      <w:bookmarkStart w:id="229" w:name="_Toc254970557"/>
      <w:r>
        <w:rPr>
          <w:rFonts w:hint="eastAsia" w:ascii="宋体" w:hAnsi="宋体"/>
          <w:b/>
          <w:bCs/>
          <w:color w:val="auto"/>
          <w:sz w:val="28"/>
          <w:szCs w:val="28"/>
        </w:rPr>
        <w:t>报价文件格式</w:t>
      </w:r>
      <w:bookmarkEnd w:id="224"/>
      <w:bookmarkEnd w:id="225"/>
      <w:bookmarkEnd w:id="226"/>
      <w:bookmarkEnd w:id="227"/>
    </w:p>
    <w:p w14:paraId="119592C0">
      <w:pPr>
        <w:pStyle w:val="12"/>
        <w:rPr>
          <w:color w:val="auto"/>
        </w:rPr>
      </w:pPr>
    </w:p>
    <w:p w14:paraId="6981224F">
      <w:pPr>
        <w:rPr>
          <w:color w:val="auto"/>
        </w:rPr>
      </w:pPr>
    </w:p>
    <w:p w14:paraId="5600F196">
      <w:pPr>
        <w:snapToGrid w:val="0"/>
        <w:spacing w:beforeLines="50" w:after="50" w:line="400" w:lineRule="exact"/>
        <w:rPr>
          <w:rFonts w:ascii="宋体" w:hAnsi="宋体"/>
          <w:bCs/>
          <w:color w:val="auto"/>
          <w:sz w:val="32"/>
          <w:szCs w:val="20"/>
        </w:rPr>
      </w:pPr>
      <w:r>
        <w:rPr>
          <w:rFonts w:hint="eastAsia" w:ascii="宋体" w:hAnsi="宋体" w:cs="宋体"/>
          <w:bCs/>
          <w:color w:val="auto"/>
        </w:rPr>
        <w:t>电子投标文件</w:t>
      </w:r>
    </w:p>
    <w:p w14:paraId="20B4E4C7">
      <w:pPr>
        <w:snapToGrid w:val="0"/>
        <w:spacing w:beforeLines="50" w:after="50" w:line="400" w:lineRule="exact"/>
        <w:jc w:val="center"/>
        <w:rPr>
          <w:rFonts w:ascii="宋体" w:hAnsi="宋体"/>
          <w:bCs/>
          <w:color w:val="auto"/>
          <w:sz w:val="24"/>
          <w:szCs w:val="20"/>
        </w:rPr>
      </w:pPr>
    </w:p>
    <w:p w14:paraId="08C009F9">
      <w:pPr>
        <w:pStyle w:val="12"/>
        <w:rPr>
          <w:rFonts w:ascii="宋体" w:hAnsi="宋体"/>
          <w:bCs/>
          <w:color w:val="auto"/>
          <w:szCs w:val="20"/>
        </w:rPr>
      </w:pPr>
    </w:p>
    <w:p w14:paraId="36598C12">
      <w:pPr>
        <w:rPr>
          <w:color w:val="auto"/>
        </w:rPr>
      </w:pPr>
    </w:p>
    <w:p w14:paraId="4424FA68">
      <w:pPr>
        <w:snapToGrid w:val="0"/>
        <w:spacing w:beforeLines="50" w:after="50" w:line="400" w:lineRule="exact"/>
        <w:jc w:val="center"/>
        <w:rPr>
          <w:rFonts w:ascii="宋体" w:hAnsi="宋体"/>
          <w:b/>
          <w:bCs/>
          <w:color w:val="auto"/>
          <w:sz w:val="32"/>
          <w:szCs w:val="32"/>
        </w:rPr>
      </w:pPr>
      <w:r>
        <w:rPr>
          <w:rFonts w:hint="eastAsia" w:ascii="宋体" w:hAnsi="宋体"/>
          <w:b/>
          <w:bCs/>
          <w:color w:val="auto"/>
          <w:sz w:val="32"/>
          <w:szCs w:val="32"/>
        </w:rPr>
        <w:t>报价文件</w:t>
      </w:r>
    </w:p>
    <w:p w14:paraId="2968B8D0">
      <w:pPr>
        <w:snapToGrid w:val="0"/>
        <w:spacing w:beforeLines="50" w:after="50" w:line="400" w:lineRule="exact"/>
        <w:rPr>
          <w:rFonts w:ascii="宋体" w:hAnsi="宋体"/>
          <w:bCs/>
          <w:color w:val="auto"/>
          <w:sz w:val="24"/>
          <w:szCs w:val="20"/>
        </w:rPr>
      </w:pPr>
    </w:p>
    <w:p w14:paraId="43DCB763">
      <w:pPr>
        <w:snapToGrid w:val="0"/>
        <w:spacing w:beforeLines="50" w:after="50" w:line="400" w:lineRule="exact"/>
        <w:rPr>
          <w:rFonts w:ascii="宋体" w:hAnsi="宋体"/>
          <w:bCs/>
          <w:color w:val="auto"/>
          <w:sz w:val="24"/>
          <w:szCs w:val="20"/>
        </w:rPr>
      </w:pPr>
    </w:p>
    <w:p w14:paraId="19A46440">
      <w:pPr>
        <w:snapToGrid w:val="0"/>
        <w:spacing w:beforeLines="50" w:after="50" w:line="400" w:lineRule="exact"/>
        <w:rPr>
          <w:rFonts w:ascii="宋体" w:hAnsi="宋体"/>
          <w:bCs/>
          <w:color w:val="auto"/>
          <w:sz w:val="24"/>
          <w:szCs w:val="20"/>
        </w:rPr>
      </w:pPr>
    </w:p>
    <w:p w14:paraId="34EB4472">
      <w:pPr>
        <w:snapToGrid w:val="0"/>
        <w:spacing w:beforeLines="50" w:after="50" w:line="400" w:lineRule="exact"/>
        <w:ind w:firstLine="360" w:firstLineChars="150"/>
        <w:rPr>
          <w:rFonts w:ascii="宋体" w:hAnsi="宋体"/>
          <w:bCs/>
          <w:color w:val="auto"/>
          <w:sz w:val="24"/>
        </w:rPr>
      </w:pPr>
      <w:r>
        <w:rPr>
          <w:rFonts w:hint="eastAsia" w:ascii="宋体" w:hAnsi="宋体"/>
          <w:bCs/>
          <w:color w:val="auto"/>
          <w:sz w:val="24"/>
        </w:rPr>
        <w:t xml:space="preserve">项目名称： </w:t>
      </w:r>
    </w:p>
    <w:p w14:paraId="27121BD4">
      <w:pPr>
        <w:snapToGrid w:val="0"/>
        <w:spacing w:beforeLines="50" w:after="50" w:line="400" w:lineRule="exact"/>
        <w:ind w:firstLine="360" w:firstLineChars="150"/>
        <w:rPr>
          <w:rFonts w:ascii="宋体" w:hAnsi="宋体"/>
          <w:bCs/>
          <w:color w:val="auto"/>
          <w:sz w:val="24"/>
        </w:rPr>
      </w:pPr>
    </w:p>
    <w:p w14:paraId="45622D10">
      <w:pPr>
        <w:snapToGrid w:val="0"/>
        <w:spacing w:beforeLines="50" w:after="50" w:line="400" w:lineRule="exact"/>
        <w:ind w:firstLine="360" w:firstLineChars="150"/>
        <w:rPr>
          <w:rFonts w:ascii="宋体" w:hAnsi="宋体"/>
          <w:bCs/>
          <w:color w:val="auto"/>
          <w:sz w:val="24"/>
        </w:rPr>
      </w:pPr>
      <w:r>
        <w:rPr>
          <w:rFonts w:hint="eastAsia" w:ascii="宋体" w:hAnsi="宋体"/>
          <w:bCs/>
          <w:color w:val="auto"/>
          <w:sz w:val="24"/>
        </w:rPr>
        <w:t xml:space="preserve">项目编号： </w:t>
      </w:r>
    </w:p>
    <w:p w14:paraId="79D562CF">
      <w:pPr>
        <w:snapToGrid w:val="0"/>
        <w:spacing w:beforeLines="50" w:after="50" w:line="400" w:lineRule="exact"/>
        <w:ind w:firstLine="360" w:firstLineChars="150"/>
        <w:rPr>
          <w:rFonts w:ascii="宋体" w:hAnsi="宋体"/>
          <w:bCs/>
          <w:color w:val="auto"/>
          <w:sz w:val="24"/>
        </w:rPr>
      </w:pPr>
    </w:p>
    <w:p w14:paraId="46E3E547">
      <w:pPr>
        <w:snapToGrid w:val="0"/>
        <w:spacing w:beforeLines="50" w:after="50" w:line="400" w:lineRule="exact"/>
        <w:ind w:firstLine="360" w:firstLineChars="150"/>
        <w:rPr>
          <w:rFonts w:ascii="宋体" w:hAnsi="宋体"/>
          <w:bCs/>
          <w:color w:val="auto"/>
          <w:sz w:val="24"/>
        </w:rPr>
      </w:pPr>
      <w:r>
        <w:rPr>
          <w:rFonts w:hint="eastAsia" w:ascii="宋体" w:hAnsi="宋体"/>
          <w:bCs/>
          <w:color w:val="auto"/>
          <w:sz w:val="24"/>
        </w:rPr>
        <w:t>投标人名称：</w:t>
      </w:r>
    </w:p>
    <w:p w14:paraId="5E38C43A">
      <w:pPr>
        <w:snapToGrid w:val="0"/>
        <w:spacing w:beforeLines="50" w:after="50" w:line="400" w:lineRule="exact"/>
        <w:ind w:firstLine="360" w:firstLineChars="150"/>
        <w:rPr>
          <w:rFonts w:ascii="宋体" w:hAnsi="宋体"/>
          <w:bCs/>
          <w:color w:val="auto"/>
          <w:sz w:val="24"/>
        </w:rPr>
      </w:pPr>
    </w:p>
    <w:p w14:paraId="519FBEA1">
      <w:pPr>
        <w:snapToGrid w:val="0"/>
        <w:spacing w:beforeLines="50" w:after="50" w:line="400" w:lineRule="exact"/>
        <w:ind w:firstLine="360" w:firstLineChars="150"/>
        <w:rPr>
          <w:rFonts w:ascii="宋体" w:hAnsi="宋体"/>
          <w:bCs/>
          <w:color w:val="auto"/>
          <w:sz w:val="24"/>
        </w:rPr>
      </w:pPr>
      <w:r>
        <w:rPr>
          <w:rFonts w:hint="eastAsia" w:ascii="宋体" w:hAnsi="宋体"/>
          <w:bCs/>
          <w:color w:val="auto"/>
          <w:sz w:val="24"/>
        </w:rPr>
        <w:t>投标人地址：</w:t>
      </w:r>
    </w:p>
    <w:p w14:paraId="0B5F011D">
      <w:pPr>
        <w:pStyle w:val="7"/>
        <w:snapToGrid w:val="0"/>
        <w:spacing w:before="50" w:after="50" w:line="400" w:lineRule="exact"/>
        <w:ind w:firstLine="960" w:firstLineChars="400"/>
        <w:rPr>
          <w:rFonts w:ascii="宋体" w:hAnsi="宋体"/>
          <w:bCs/>
          <w:color w:val="auto"/>
          <w:sz w:val="24"/>
          <w:szCs w:val="24"/>
        </w:rPr>
      </w:pPr>
    </w:p>
    <w:p w14:paraId="77073408">
      <w:pPr>
        <w:snapToGrid w:val="0"/>
        <w:spacing w:beforeLines="50" w:after="50" w:line="400" w:lineRule="exact"/>
        <w:rPr>
          <w:rFonts w:ascii="宋体" w:hAnsi="宋体"/>
          <w:color w:val="auto"/>
          <w:sz w:val="30"/>
          <w:szCs w:val="20"/>
        </w:rPr>
      </w:pPr>
      <w:r>
        <w:rPr>
          <w:rFonts w:hint="eastAsia" w:ascii="宋体" w:hAnsi="宋体"/>
          <w:color w:val="auto"/>
          <w:sz w:val="24"/>
        </w:rPr>
        <w:t xml:space="preserve">                                   年  月  日</w:t>
      </w:r>
    </w:p>
    <w:p w14:paraId="149696BE">
      <w:pPr>
        <w:snapToGrid w:val="0"/>
        <w:spacing w:beforeLines="50" w:after="50" w:line="360" w:lineRule="auto"/>
        <w:jc w:val="center"/>
        <w:rPr>
          <w:rFonts w:ascii="宋体" w:hAnsi="宋体"/>
          <w:color w:val="auto"/>
          <w:sz w:val="24"/>
          <w:szCs w:val="20"/>
        </w:rPr>
      </w:pPr>
      <w:r>
        <w:rPr>
          <w:rFonts w:ascii="宋体" w:hAnsi="宋体"/>
          <w:b/>
          <w:color w:val="auto"/>
          <w:sz w:val="24"/>
        </w:rPr>
        <w:br w:type="page"/>
      </w:r>
      <w:r>
        <w:rPr>
          <w:rFonts w:hint="eastAsia" w:ascii="宋体" w:hAnsi="宋体"/>
          <w:b/>
          <w:bCs/>
          <w:color w:val="auto"/>
          <w:sz w:val="24"/>
        </w:rPr>
        <w:t>报价文件目录</w:t>
      </w:r>
    </w:p>
    <w:p w14:paraId="6FCA54C8">
      <w:pPr>
        <w:snapToGrid w:val="0"/>
        <w:spacing w:before="50" w:afterLines="50" w:line="360" w:lineRule="auto"/>
        <w:jc w:val="center"/>
        <w:rPr>
          <w:rFonts w:ascii="宋体" w:hAnsi="宋体"/>
          <w:b/>
          <w:color w:val="auto"/>
          <w:sz w:val="24"/>
        </w:rPr>
      </w:pPr>
      <w:r>
        <w:rPr>
          <w:rFonts w:hint="eastAsia" w:ascii="宋体" w:hAnsi="宋体"/>
          <w:color w:val="auto"/>
          <w:szCs w:val="21"/>
        </w:rPr>
        <w:t>根据招标文件规定及投标人提供的材料自行编写目录。</w:t>
      </w:r>
    </w:p>
    <w:p w14:paraId="60DFE1BC">
      <w:pPr>
        <w:snapToGrid w:val="0"/>
        <w:spacing w:beforeLines="50" w:after="50"/>
        <w:rPr>
          <w:rFonts w:ascii="宋体" w:hAnsi="宋体"/>
          <w:b/>
          <w:color w:val="auto"/>
          <w:sz w:val="24"/>
        </w:rPr>
      </w:pPr>
    </w:p>
    <w:p w14:paraId="492B00D2">
      <w:pPr>
        <w:snapToGrid w:val="0"/>
        <w:spacing w:beforeLines="50" w:after="50"/>
        <w:rPr>
          <w:rFonts w:ascii="宋体" w:hAnsi="宋体"/>
          <w:b/>
          <w:color w:val="auto"/>
          <w:sz w:val="24"/>
        </w:rPr>
      </w:pPr>
    </w:p>
    <w:p w14:paraId="0032E16B">
      <w:pPr>
        <w:snapToGrid w:val="0"/>
        <w:spacing w:beforeLines="50" w:after="50"/>
        <w:rPr>
          <w:rFonts w:ascii="宋体" w:hAnsi="宋体"/>
          <w:b/>
          <w:color w:val="auto"/>
          <w:sz w:val="24"/>
        </w:rPr>
      </w:pPr>
    </w:p>
    <w:p w14:paraId="6DE1FE14">
      <w:pPr>
        <w:snapToGrid w:val="0"/>
        <w:spacing w:beforeLines="50" w:after="50"/>
        <w:ind w:left="142"/>
        <w:jc w:val="left"/>
        <w:rPr>
          <w:rFonts w:ascii="宋体" w:hAnsi="宋体"/>
          <w:b/>
          <w:color w:val="auto"/>
          <w:sz w:val="24"/>
        </w:rPr>
      </w:pPr>
      <w:r>
        <w:rPr>
          <w:rFonts w:ascii="宋体" w:hAnsi="宋体"/>
          <w:b/>
          <w:color w:val="auto"/>
          <w:sz w:val="24"/>
        </w:rPr>
        <w:br w:type="page"/>
      </w:r>
      <w:r>
        <w:rPr>
          <w:rFonts w:hint="eastAsia" w:ascii="宋体" w:hAnsi="宋体"/>
          <w:b/>
          <w:color w:val="auto"/>
          <w:sz w:val="24"/>
        </w:rPr>
        <w:t>1.投标函：</w:t>
      </w:r>
    </w:p>
    <w:p w14:paraId="329F3418">
      <w:pPr>
        <w:snapToGrid w:val="0"/>
        <w:spacing w:beforeLines="50" w:after="50" w:line="320" w:lineRule="exact"/>
        <w:jc w:val="center"/>
        <w:rPr>
          <w:rFonts w:ascii="宋体" w:hAnsi="宋体"/>
          <w:b/>
          <w:color w:val="auto"/>
          <w:sz w:val="32"/>
          <w:szCs w:val="32"/>
        </w:rPr>
      </w:pPr>
      <w:r>
        <w:rPr>
          <w:rFonts w:hint="eastAsia" w:ascii="宋体" w:hAnsi="宋体"/>
          <w:b/>
          <w:color w:val="auto"/>
          <w:sz w:val="32"/>
          <w:szCs w:val="32"/>
        </w:rPr>
        <w:t>投 标 函</w:t>
      </w:r>
    </w:p>
    <w:p w14:paraId="053A48A7">
      <w:pPr>
        <w:snapToGrid w:val="0"/>
        <w:spacing w:beforeLines="50" w:after="50" w:line="320" w:lineRule="exact"/>
        <w:jc w:val="center"/>
        <w:rPr>
          <w:rFonts w:ascii="宋体" w:hAnsi="宋体"/>
          <w:b/>
          <w:color w:val="auto"/>
          <w:szCs w:val="16"/>
        </w:rPr>
      </w:pPr>
    </w:p>
    <w:p w14:paraId="21B29378">
      <w:pPr>
        <w:snapToGrid w:val="0"/>
        <w:spacing w:line="360" w:lineRule="auto"/>
        <w:rPr>
          <w:rFonts w:ascii="宋体" w:hAnsi="宋体"/>
          <w:color w:val="auto"/>
          <w:szCs w:val="21"/>
        </w:rPr>
      </w:pPr>
      <w:r>
        <w:rPr>
          <w:rFonts w:hint="eastAsia" w:ascii="宋体" w:hAnsi="宋体"/>
          <w:color w:val="auto"/>
          <w:szCs w:val="21"/>
        </w:rPr>
        <w:t>致：</w:t>
      </w:r>
      <w:r>
        <w:rPr>
          <w:rFonts w:hint="eastAsia" w:ascii="宋体" w:hAnsi="宋体"/>
          <w:color w:val="auto"/>
          <w:szCs w:val="21"/>
          <w:u w:val="single"/>
        </w:rPr>
        <w:t>采购人名称</w:t>
      </w:r>
      <w:r>
        <w:rPr>
          <w:rFonts w:hint="eastAsia" w:ascii="宋体" w:hAnsi="宋体"/>
          <w:color w:val="auto"/>
          <w:szCs w:val="21"/>
        </w:rPr>
        <w:t>：</w:t>
      </w:r>
    </w:p>
    <w:p w14:paraId="51229CE6">
      <w:pPr>
        <w:snapToGrid w:val="0"/>
        <w:spacing w:line="360" w:lineRule="auto"/>
        <w:ind w:firstLine="480"/>
        <w:rPr>
          <w:rFonts w:ascii="宋体" w:hAnsi="宋体"/>
          <w:color w:val="auto"/>
          <w:szCs w:val="21"/>
        </w:rPr>
      </w:pPr>
      <w:r>
        <w:rPr>
          <w:rFonts w:hint="eastAsia" w:ascii="宋体" w:hAnsi="宋体"/>
          <w:color w:val="auto"/>
          <w:szCs w:val="21"/>
        </w:rPr>
        <w:t>根据贵方</w:t>
      </w:r>
      <w:r>
        <w:rPr>
          <w:rFonts w:hint="eastAsia" w:ascii="宋体" w:hAnsi="宋体"/>
          <w:color w:val="auto"/>
          <w:szCs w:val="21"/>
          <w:u w:val="single"/>
        </w:rPr>
        <w:t xml:space="preserve">      项目名称    </w:t>
      </w:r>
      <w:r>
        <w:rPr>
          <w:rFonts w:hint="eastAsia" w:ascii="宋体" w:hAnsi="宋体"/>
          <w:color w:val="auto"/>
          <w:szCs w:val="21"/>
        </w:rPr>
        <w:t>（项目编号：</w:t>
      </w:r>
      <w:r>
        <w:rPr>
          <w:rFonts w:hint="eastAsia" w:ascii="宋体" w:hAnsi="宋体"/>
          <w:color w:val="auto"/>
          <w:szCs w:val="21"/>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）的招标公告，签字代表</w:t>
      </w:r>
      <w:r>
        <w:rPr>
          <w:rFonts w:hint="eastAsia" w:ascii="宋体" w:hAnsi="宋体"/>
          <w:color w:val="auto"/>
          <w:szCs w:val="21"/>
          <w:u w:val="single"/>
        </w:rPr>
        <w:t xml:space="preserve">   （姓名）   </w:t>
      </w:r>
      <w:r>
        <w:rPr>
          <w:rFonts w:hint="eastAsia" w:ascii="宋体" w:hAnsi="宋体"/>
          <w:color w:val="auto"/>
          <w:szCs w:val="21"/>
        </w:rPr>
        <w:t>经正式授权并代表投标人</w:t>
      </w:r>
      <w:r>
        <w:rPr>
          <w:rFonts w:hint="eastAsia" w:ascii="宋体" w:hAnsi="宋体"/>
          <w:color w:val="auto"/>
          <w:szCs w:val="21"/>
          <w:u w:val="single"/>
        </w:rPr>
        <w:t xml:space="preserve">      （投标人名称）   </w:t>
      </w:r>
      <w:r>
        <w:rPr>
          <w:rFonts w:hint="eastAsia" w:ascii="宋体" w:hAnsi="宋体"/>
          <w:color w:val="auto"/>
          <w:szCs w:val="21"/>
        </w:rPr>
        <w:t>提交投标文件。</w:t>
      </w:r>
    </w:p>
    <w:p w14:paraId="56829270">
      <w:pPr>
        <w:snapToGrid w:val="0"/>
        <w:spacing w:line="360" w:lineRule="auto"/>
        <w:ind w:firstLine="420" w:firstLineChars="200"/>
        <w:rPr>
          <w:rFonts w:ascii="宋体" w:hAnsi="宋体"/>
          <w:color w:val="auto"/>
          <w:szCs w:val="21"/>
        </w:rPr>
      </w:pPr>
      <w:r>
        <w:rPr>
          <w:rFonts w:hint="eastAsia" w:ascii="宋体" w:hAnsi="宋体"/>
          <w:color w:val="auto"/>
          <w:szCs w:val="21"/>
        </w:rPr>
        <w:t>据此函，我方宣布同意如下：</w:t>
      </w:r>
    </w:p>
    <w:p w14:paraId="51C290F3">
      <w:pPr>
        <w:snapToGrid w:val="0"/>
        <w:spacing w:line="360" w:lineRule="auto"/>
        <w:ind w:firstLine="420" w:firstLineChars="200"/>
        <w:rPr>
          <w:rFonts w:ascii="宋体" w:hAnsi="宋体"/>
          <w:color w:val="auto"/>
          <w:szCs w:val="21"/>
        </w:rPr>
      </w:pPr>
      <w:r>
        <w:rPr>
          <w:rFonts w:hint="eastAsia" w:ascii="宋体" w:hAnsi="宋体"/>
          <w:color w:val="auto"/>
          <w:szCs w:val="21"/>
        </w:rPr>
        <w:t>1.我方已详细审查全部“招标文件”，包括修改文件（如有的话）以及全部参考资料和有关附件，已经了解我方对于招标文件、采购过程、采购结果有依法进行询问、质疑、投诉的权利及相关渠道和要求。</w:t>
      </w:r>
    </w:p>
    <w:p w14:paraId="5BA4741F">
      <w:pPr>
        <w:snapToGrid w:val="0"/>
        <w:spacing w:line="360" w:lineRule="auto"/>
        <w:ind w:firstLine="420" w:firstLineChars="200"/>
        <w:rPr>
          <w:rFonts w:ascii="宋体" w:hAnsi="宋体"/>
          <w:color w:val="auto"/>
          <w:szCs w:val="21"/>
        </w:rPr>
      </w:pPr>
      <w:r>
        <w:rPr>
          <w:rFonts w:hint="eastAsia" w:ascii="宋体" w:hAnsi="宋体"/>
          <w:color w:val="auto"/>
          <w:szCs w:val="21"/>
        </w:rPr>
        <w:t>2.我方在投标之前已经完全理解并接受招标文件的各项规定和要求，对招标文件的合理性、合法性不再有异议。</w:t>
      </w:r>
    </w:p>
    <w:p w14:paraId="35CC0AC0">
      <w:pPr>
        <w:snapToGrid w:val="0"/>
        <w:spacing w:line="360" w:lineRule="auto"/>
        <w:ind w:firstLine="420" w:firstLineChars="200"/>
        <w:rPr>
          <w:rFonts w:ascii="宋体" w:hAnsi="宋体"/>
          <w:color w:val="auto"/>
          <w:szCs w:val="21"/>
        </w:rPr>
      </w:pPr>
      <w:r>
        <w:rPr>
          <w:rFonts w:hint="eastAsia" w:ascii="宋体" w:hAnsi="宋体"/>
          <w:color w:val="auto"/>
          <w:szCs w:val="21"/>
        </w:rPr>
        <w:t>3.本投标有效期自投标截止之日起</w:t>
      </w:r>
      <w:r>
        <w:rPr>
          <w:rFonts w:hint="eastAsia" w:ascii="宋体" w:hAnsi="宋体"/>
          <w:color w:val="auto"/>
          <w:szCs w:val="21"/>
          <w:u w:val="single"/>
        </w:rPr>
        <w:t>90</w:t>
      </w:r>
      <w:r>
        <w:rPr>
          <w:rFonts w:hint="eastAsia" w:ascii="宋体" w:hAnsi="宋体"/>
          <w:color w:val="auto"/>
          <w:szCs w:val="21"/>
        </w:rPr>
        <w:t>日。</w:t>
      </w:r>
    </w:p>
    <w:p w14:paraId="492808B4">
      <w:pPr>
        <w:snapToGrid w:val="0"/>
        <w:spacing w:line="360" w:lineRule="auto"/>
        <w:ind w:firstLine="420" w:firstLineChars="200"/>
        <w:rPr>
          <w:rFonts w:ascii="宋体" w:hAnsi="宋体"/>
          <w:color w:val="auto"/>
          <w:szCs w:val="21"/>
        </w:rPr>
      </w:pPr>
      <w:r>
        <w:rPr>
          <w:rFonts w:hint="eastAsia" w:ascii="宋体" w:hAnsi="宋体"/>
          <w:color w:val="auto"/>
          <w:szCs w:val="21"/>
        </w:rPr>
        <w:t>4.如中标，本投标文件至本项目合同履行完毕止均保持有效，我方将按“招标文件”及政府采购法律、法规的规定履行合同责任和义务。</w:t>
      </w:r>
    </w:p>
    <w:p w14:paraId="293CA7E4">
      <w:pPr>
        <w:snapToGrid w:val="0"/>
        <w:spacing w:line="360" w:lineRule="auto"/>
        <w:ind w:firstLine="420" w:firstLineChars="200"/>
        <w:rPr>
          <w:rFonts w:ascii="宋体" w:hAnsi="宋体"/>
          <w:color w:val="auto"/>
          <w:szCs w:val="21"/>
        </w:rPr>
      </w:pPr>
      <w:r>
        <w:rPr>
          <w:rFonts w:hint="eastAsia" w:ascii="宋体" w:hAnsi="宋体"/>
          <w:color w:val="auto"/>
          <w:szCs w:val="21"/>
        </w:rPr>
        <w:t>5.我方同意按照贵方要求提供与投标有关的一切数据或者资料。</w:t>
      </w:r>
    </w:p>
    <w:p w14:paraId="7DA49462">
      <w:pPr>
        <w:snapToGrid w:val="0"/>
        <w:spacing w:line="360" w:lineRule="auto"/>
        <w:ind w:firstLine="420" w:firstLineChars="200"/>
        <w:rPr>
          <w:rFonts w:ascii="宋体" w:hAnsi="宋体"/>
          <w:color w:val="auto"/>
          <w:szCs w:val="21"/>
        </w:rPr>
      </w:pPr>
      <w:r>
        <w:rPr>
          <w:rFonts w:hint="eastAsia" w:ascii="宋体" w:hAnsi="宋体"/>
          <w:color w:val="auto"/>
          <w:szCs w:val="21"/>
        </w:rPr>
        <w:t>6.我方向贵方提交的所有投标文件、资料都是准确的和真实的。</w:t>
      </w:r>
    </w:p>
    <w:p w14:paraId="091D8E3C">
      <w:pPr>
        <w:snapToGrid w:val="0"/>
        <w:spacing w:line="360" w:lineRule="auto"/>
        <w:ind w:firstLine="420" w:firstLineChars="200"/>
        <w:rPr>
          <w:rFonts w:ascii="宋体" w:hAnsi="宋体"/>
          <w:color w:val="auto"/>
          <w:szCs w:val="21"/>
        </w:rPr>
      </w:pPr>
      <w:r>
        <w:rPr>
          <w:rFonts w:hint="eastAsia" w:ascii="宋体" w:hAnsi="宋体"/>
          <w:color w:val="auto"/>
          <w:szCs w:val="21"/>
        </w:rPr>
        <w:t>7.以上事项如有虚假或者隐瞒，我方愿意承担一切后果，并不再寻求任何旨在减轻或者免除法律责任的辩解。</w:t>
      </w:r>
    </w:p>
    <w:p w14:paraId="7BD52808">
      <w:pPr>
        <w:spacing w:line="360" w:lineRule="auto"/>
        <w:ind w:firstLine="420" w:firstLineChars="200"/>
        <w:rPr>
          <w:rFonts w:ascii="宋体" w:hAnsi="宋体"/>
          <w:color w:val="auto"/>
          <w:szCs w:val="21"/>
        </w:rPr>
      </w:pPr>
      <w:r>
        <w:rPr>
          <w:rFonts w:hint="eastAsia" w:ascii="宋体" w:hAnsi="宋体"/>
          <w:color w:val="auto"/>
          <w:szCs w:val="21"/>
        </w:rPr>
        <w:t>8.根据</w:t>
      </w:r>
      <w:r>
        <w:rPr>
          <w:rFonts w:ascii="宋体" w:hAnsi="宋体"/>
          <w:color w:val="auto"/>
          <w:szCs w:val="21"/>
        </w:rPr>
        <w:t>《中华人民共和国政府采购法实施条例》第五十条要求对政府采购合同进行公告</w:t>
      </w:r>
      <w:r>
        <w:rPr>
          <w:rFonts w:hint="eastAsia" w:ascii="宋体" w:hAnsi="宋体"/>
          <w:color w:val="auto"/>
          <w:szCs w:val="21"/>
        </w:rPr>
        <w:t>，</w:t>
      </w:r>
      <w:r>
        <w:rPr>
          <w:rFonts w:ascii="宋体" w:hAnsi="宋体"/>
          <w:color w:val="auto"/>
          <w:szCs w:val="21"/>
        </w:rPr>
        <w:t>但政府采购合同中涉及国家秘密、商业秘密的内容除外。</w:t>
      </w:r>
      <w:r>
        <w:rPr>
          <w:rFonts w:hint="eastAsia" w:ascii="宋体" w:hAnsi="宋体"/>
          <w:color w:val="auto"/>
          <w:szCs w:val="21"/>
        </w:rPr>
        <w:t>我方就对本次投标文件进行注明如下：（两项内容中必须选择一项）</w:t>
      </w:r>
    </w:p>
    <w:p w14:paraId="50C431F6">
      <w:pPr>
        <w:spacing w:line="360" w:lineRule="auto"/>
        <w:ind w:firstLine="420" w:firstLineChars="200"/>
        <w:rPr>
          <w:rFonts w:ascii="宋体" w:hAnsi="宋体"/>
          <w:color w:val="auto"/>
          <w:szCs w:val="21"/>
        </w:rPr>
      </w:pPr>
      <w:r>
        <w:rPr>
          <w:rFonts w:hint="eastAsia" w:ascii="宋体" w:hAnsi="宋体"/>
          <w:color w:val="auto"/>
          <w:szCs w:val="21"/>
        </w:rPr>
        <w:t>□我方本次投标文件</w:t>
      </w:r>
      <w:r>
        <w:rPr>
          <w:rFonts w:ascii="宋体" w:hAnsi="宋体" w:cs="宋体"/>
          <w:color w:val="auto"/>
          <w:kern w:val="0"/>
          <w:szCs w:val="21"/>
        </w:rPr>
        <w:t>内容中</w:t>
      </w:r>
      <w:r>
        <w:rPr>
          <w:rFonts w:hint="eastAsia" w:ascii="宋体" w:hAnsi="宋体"/>
          <w:color w:val="auto"/>
          <w:szCs w:val="21"/>
        </w:rPr>
        <w:t>未</w:t>
      </w:r>
      <w:r>
        <w:rPr>
          <w:rFonts w:ascii="宋体" w:hAnsi="宋体" w:cs="宋体"/>
          <w:color w:val="auto"/>
          <w:kern w:val="0"/>
          <w:szCs w:val="21"/>
        </w:rPr>
        <w:t>涉及商业秘密</w:t>
      </w:r>
      <w:r>
        <w:rPr>
          <w:rFonts w:hint="eastAsia" w:ascii="宋体" w:hAnsi="宋体" w:cs="宋体"/>
          <w:color w:val="auto"/>
          <w:kern w:val="0"/>
          <w:szCs w:val="21"/>
        </w:rPr>
        <w:t>；</w:t>
      </w:r>
    </w:p>
    <w:p w14:paraId="4A9DB8FE">
      <w:pPr>
        <w:snapToGrid w:val="0"/>
        <w:spacing w:line="360" w:lineRule="auto"/>
        <w:ind w:firstLine="420" w:firstLineChars="200"/>
        <w:rPr>
          <w:rFonts w:ascii="宋体" w:hAnsi="宋体"/>
          <w:color w:val="auto"/>
          <w:szCs w:val="21"/>
        </w:rPr>
      </w:pPr>
      <w:r>
        <w:rPr>
          <w:rFonts w:hint="eastAsia" w:ascii="宋体" w:hAnsi="宋体"/>
          <w:color w:val="auto"/>
          <w:szCs w:val="21"/>
        </w:rPr>
        <w:t>□我方本次投标文件</w:t>
      </w:r>
      <w:r>
        <w:rPr>
          <w:rFonts w:ascii="宋体" w:hAnsi="宋体" w:cs="宋体"/>
          <w:color w:val="auto"/>
          <w:kern w:val="0"/>
          <w:szCs w:val="21"/>
        </w:rPr>
        <w:t>涉及商业秘密</w:t>
      </w:r>
      <w:r>
        <w:rPr>
          <w:rFonts w:hint="eastAsia" w:ascii="宋体" w:hAnsi="宋体" w:cs="宋体"/>
          <w:color w:val="auto"/>
          <w:kern w:val="0"/>
          <w:szCs w:val="21"/>
        </w:rPr>
        <w:t>的</w:t>
      </w:r>
      <w:r>
        <w:rPr>
          <w:rFonts w:ascii="宋体" w:hAnsi="宋体" w:cs="宋体"/>
          <w:color w:val="auto"/>
          <w:kern w:val="0"/>
          <w:szCs w:val="21"/>
        </w:rPr>
        <w:t>内容</w:t>
      </w:r>
      <w:r>
        <w:rPr>
          <w:rFonts w:hint="eastAsia" w:ascii="宋体" w:hAnsi="宋体" w:cs="宋体"/>
          <w:color w:val="auto"/>
          <w:kern w:val="0"/>
          <w:szCs w:val="21"/>
        </w:rPr>
        <w:t>有：</w:t>
      </w:r>
      <w:r>
        <w:rPr>
          <w:rFonts w:hint="eastAsia" w:ascii="宋体" w:hAnsi="宋体" w:cs="宋体"/>
          <w:color w:val="auto"/>
          <w:kern w:val="0"/>
          <w:szCs w:val="21"/>
          <w:u w:val="single"/>
          <w:lang w:val="en-US" w:eastAsia="zh-CN"/>
        </w:rPr>
        <w:t xml:space="preserve">         </w:t>
      </w:r>
      <w:r>
        <w:rPr>
          <w:rFonts w:hint="eastAsia" w:ascii="宋体" w:hAnsi="宋体" w:cs="宋体"/>
          <w:color w:val="auto"/>
          <w:kern w:val="0"/>
          <w:szCs w:val="21"/>
        </w:rPr>
        <w:t>；</w:t>
      </w:r>
    </w:p>
    <w:p w14:paraId="19A1B242">
      <w:pPr>
        <w:snapToGrid w:val="0"/>
        <w:spacing w:line="360" w:lineRule="auto"/>
        <w:ind w:firstLine="420" w:firstLineChars="200"/>
        <w:rPr>
          <w:rFonts w:ascii="宋体" w:hAnsi="宋体"/>
          <w:color w:val="auto"/>
          <w:szCs w:val="21"/>
        </w:rPr>
      </w:pPr>
      <w:r>
        <w:rPr>
          <w:rFonts w:hint="eastAsia" w:ascii="宋体" w:hAnsi="宋体"/>
          <w:color w:val="auto"/>
          <w:szCs w:val="21"/>
        </w:rPr>
        <w:t>9.与本投标有关的一切正式往来信函请寄：</w:t>
      </w:r>
    </w:p>
    <w:p w14:paraId="09C22E91">
      <w:pPr>
        <w:snapToGrid w:val="0"/>
        <w:spacing w:line="360" w:lineRule="auto"/>
        <w:rPr>
          <w:rFonts w:hint="default" w:ascii="宋体" w:hAnsi="宋体" w:eastAsia="宋体"/>
          <w:color w:val="auto"/>
          <w:szCs w:val="21"/>
          <w:u w:val="single"/>
          <w:lang w:val="en-US" w:eastAsia="zh-CN"/>
        </w:rPr>
      </w:pPr>
      <w:r>
        <w:rPr>
          <w:rFonts w:hint="eastAsia" w:ascii="宋体" w:hAnsi="宋体"/>
          <w:color w:val="auto"/>
          <w:szCs w:val="21"/>
        </w:rPr>
        <w:t>地址：</w:t>
      </w:r>
      <w:r>
        <w:rPr>
          <w:rFonts w:hint="eastAsia" w:ascii="宋体" w:hAnsi="宋体"/>
          <w:color w:val="auto"/>
          <w:szCs w:val="21"/>
          <w:u w:val="single"/>
          <w:lang w:val="en-US" w:eastAsia="zh-CN"/>
        </w:rPr>
        <w:t xml:space="preserve">             </w:t>
      </w:r>
      <w:r>
        <w:rPr>
          <w:rFonts w:hint="eastAsia" w:ascii="宋体" w:hAnsi="宋体"/>
          <w:color w:val="auto"/>
          <w:szCs w:val="21"/>
        </w:rPr>
        <w:t>邮编：</w:t>
      </w:r>
      <w:r>
        <w:rPr>
          <w:rFonts w:hint="eastAsia" w:ascii="宋体" w:hAnsi="宋体"/>
          <w:color w:val="auto"/>
          <w:szCs w:val="21"/>
          <w:u w:val="single"/>
          <w:lang w:val="en-US" w:eastAsia="zh-CN"/>
        </w:rPr>
        <w:t xml:space="preserve">             </w:t>
      </w:r>
    </w:p>
    <w:p w14:paraId="6D2B76B0">
      <w:pPr>
        <w:snapToGrid w:val="0"/>
        <w:spacing w:line="360" w:lineRule="auto"/>
        <w:rPr>
          <w:rFonts w:ascii="宋体" w:hAnsi="宋体"/>
          <w:color w:val="auto"/>
          <w:szCs w:val="21"/>
        </w:rPr>
      </w:pPr>
      <w:r>
        <w:rPr>
          <w:rFonts w:hint="eastAsia" w:ascii="宋体" w:hAnsi="宋体"/>
          <w:color w:val="auto"/>
          <w:szCs w:val="21"/>
        </w:rPr>
        <w:t>电话：</w:t>
      </w:r>
      <w:r>
        <w:rPr>
          <w:rFonts w:hint="eastAsia" w:ascii="宋体" w:hAnsi="宋体"/>
          <w:color w:val="auto"/>
          <w:szCs w:val="21"/>
          <w:u w:val="single"/>
          <w:lang w:val="en-US" w:eastAsia="zh-CN"/>
        </w:rPr>
        <w:t xml:space="preserve">             </w:t>
      </w:r>
      <w:r>
        <w:rPr>
          <w:rFonts w:hint="eastAsia" w:ascii="宋体" w:hAnsi="宋体"/>
          <w:color w:val="auto"/>
          <w:szCs w:val="21"/>
        </w:rPr>
        <w:t>传真：</w:t>
      </w:r>
      <w:r>
        <w:rPr>
          <w:rFonts w:hint="eastAsia" w:ascii="宋体" w:hAnsi="宋体"/>
          <w:color w:val="auto"/>
          <w:szCs w:val="21"/>
          <w:u w:val="single"/>
          <w:lang w:val="en-US" w:eastAsia="zh-CN"/>
        </w:rPr>
        <w:t xml:space="preserve">             </w:t>
      </w:r>
    </w:p>
    <w:p w14:paraId="231F552A">
      <w:pPr>
        <w:snapToGrid w:val="0"/>
        <w:spacing w:line="360" w:lineRule="auto"/>
        <w:rPr>
          <w:rFonts w:ascii="宋体" w:hAnsi="宋体"/>
          <w:color w:val="auto"/>
          <w:szCs w:val="21"/>
        </w:rPr>
      </w:pPr>
      <w:r>
        <w:rPr>
          <w:rFonts w:hint="eastAsia" w:ascii="宋体" w:hAnsi="宋体"/>
          <w:color w:val="auto"/>
          <w:szCs w:val="21"/>
        </w:rPr>
        <w:t>投标人名称:</w:t>
      </w:r>
      <w:r>
        <w:rPr>
          <w:rFonts w:hint="eastAsia" w:ascii="宋体" w:hAnsi="宋体"/>
          <w:color w:val="auto"/>
          <w:szCs w:val="21"/>
          <w:u w:val="single"/>
          <w:lang w:val="en-US" w:eastAsia="zh-CN"/>
        </w:rPr>
        <w:t xml:space="preserve">             </w:t>
      </w:r>
    </w:p>
    <w:p w14:paraId="44409BD0">
      <w:pPr>
        <w:snapToGrid w:val="0"/>
        <w:spacing w:line="360" w:lineRule="auto"/>
        <w:jc w:val="left"/>
        <w:rPr>
          <w:rFonts w:ascii="宋体" w:hAnsi="宋体"/>
          <w:color w:val="auto"/>
          <w:szCs w:val="21"/>
        </w:rPr>
      </w:pPr>
      <w:r>
        <w:rPr>
          <w:rFonts w:hint="eastAsia" w:ascii="宋体" w:hAnsi="宋体"/>
          <w:color w:val="auto"/>
          <w:szCs w:val="21"/>
        </w:rPr>
        <w:t>开户银行：</w:t>
      </w:r>
      <w:r>
        <w:rPr>
          <w:rFonts w:hint="eastAsia" w:ascii="宋体" w:hAnsi="宋体"/>
          <w:color w:val="auto"/>
          <w:szCs w:val="21"/>
          <w:u w:val="single"/>
          <w:lang w:val="en-US" w:eastAsia="zh-CN"/>
        </w:rPr>
        <w:t xml:space="preserve">             </w:t>
      </w:r>
      <w:r>
        <w:rPr>
          <w:rFonts w:hint="eastAsia" w:ascii="宋体" w:hAnsi="宋体"/>
          <w:color w:val="auto"/>
          <w:szCs w:val="21"/>
          <w:lang w:eastAsia="zh-CN"/>
        </w:rPr>
        <w:t>银行账号：</w:t>
      </w:r>
      <w:r>
        <w:rPr>
          <w:rFonts w:hint="eastAsia" w:ascii="宋体" w:hAnsi="宋体"/>
          <w:color w:val="auto"/>
          <w:szCs w:val="21"/>
          <w:u w:val="single"/>
          <w:lang w:val="en-US" w:eastAsia="zh-CN"/>
        </w:rPr>
        <w:t xml:space="preserve">             </w:t>
      </w:r>
    </w:p>
    <w:p w14:paraId="24696321">
      <w:pPr>
        <w:snapToGrid w:val="0"/>
        <w:spacing w:before="50" w:after="50" w:line="300" w:lineRule="auto"/>
        <w:ind w:left="-6" w:leftChars="-15" w:right="-817" w:rightChars="-389" w:hanging="25" w:hangingChars="12"/>
        <w:jc w:val="left"/>
        <w:rPr>
          <w:rFonts w:ascii="宋体" w:hAnsi="宋体"/>
          <w:b/>
          <w:bCs/>
          <w:color w:val="auto"/>
          <w:szCs w:val="21"/>
        </w:rPr>
      </w:pPr>
    </w:p>
    <w:p w14:paraId="0B339A80">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法定代表人或者委托代理人（签字/电子签名）：</w:t>
      </w:r>
    </w:p>
    <w:p w14:paraId="066EE749">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投标人名称（公章或电子签章）：</w:t>
      </w:r>
    </w:p>
    <w:p w14:paraId="40179BF4">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日期：    年   月   日</w:t>
      </w:r>
    </w:p>
    <w:p w14:paraId="2FDBC8B2">
      <w:pPr>
        <w:snapToGrid w:val="0"/>
        <w:spacing w:beforeLines="50" w:after="50"/>
        <w:jc w:val="left"/>
        <w:rPr>
          <w:rFonts w:ascii="宋体" w:hAnsi="宋体"/>
          <w:b/>
          <w:color w:val="auto"/>
          <w:sz w:val="24"/>
          <w:szCs w:val="20"/>
        </w:rPr>
      </w:pPr>
      <w:r>
        <w:rPr>
          <w:rFonts w:hAnsi="宋体"/>
          <w:color w:val="auto"/>
          <w:u w:val="single"/>
        </w:rPr>
        <w:br w:type="page"/>
      </w:r>
      <w:r>
        <w:rPr>
          <w:rFonts w:hint="eastAsia" w:ascii="宋体" w:hAnsi="宋体"/>
          <w:b/>
          <w:color w:val="auto"/>
          <w:sz w:val="24"/>
        </w:rPr>
        <w:t>2.开标一览表（格式）</w:t>
      </w:r>
    </w:p>
    <w:p w14:paraId="37FB95C4">
      <w:pPr>
        <w:snapToGrid w:val="0"/>
        <w:spacing w:before="50" w:after="50"/>
        <w:jc w:val="center"/>
        <w:rPr>
          <w:rFonts w:ascii="宋体" w:hAnsi="宋体"/>
          <w:b/>
          <w:color w:val="auto"/>
          <w:sz w:val="30"/>
        </w:rPr>
      </w:pPr>
      <w:r>
        <w:rPr>
          <w:rFonts w:hint="eastAsia" w:ascii="宋体" w:hAnsi="宋体"/>
          <w:b/>
          <w:color w:val="auto"/>
          <w:sz w:val="30"/>
        </w:rPr>
        <w:t>开标一览表</w:t>
      </w:r>
    </w:p>
    <w:p w14:paraId="142C90FD">
      <w:pPr>
        <w:snapToGrid w:val="0"/>
        <w:spacing w:before="50" w:after="50"/>
        <w:jc w:val="center"/>
        <w:rPr>
          <w:rFonts w:ascii="宋体" w:hAnsi="宋体"/>
          <w:b/>
          <w:color w:val="auto"/>
          <w:sz w:val="30"/>
          <w:szCs w:val="20"/>
        </w:rPr>
      </w:pPr>
    </w:p>
    <w:p w14:paraId="25C09D08">
      <w:pPr>
        <w:snapToGrid w:val="0"/>
        <w:spacing w:before="50" w:after="50" w:line="360" w:lineRule="auto"/>
        <w:rPr>
          <w:rFonts w:ascii="宋体" w:hAnsi="宋体"/>
          <w:color w:val="auto"/>
          <w:szCs w:val="21"/>
          <w:u w:val="single"/>
        </w:rPr>
      </w:pPr>
      <w:r>
        <w:rPr>
          <w:rFonts w:hint="eastAsia" w:ascii="宋体" w:hAnsi="宋体"/>
          <w:color w:val="auto"/>
          <w:szCs w:val="21"/>
        </w:rPr>
        <w:t>项目名称：</w:t>
      </w:r>
      <w:r>
        <w:rPr>
          <w:rFonts w:hint="eastAsia" w:ascii="宋体" w:hAnsi="宋体"/>
          <w:color w:val="auto"/>
          <w:szCs w:val="21"/>
          <w:u w:val="single"/>
          <w:lang w:val="en-US" w:eastAsia="zh-CN"/>
        </w:rPr>
        <w:t xml:space="preserve">             </w:t>
      </w:r>
      <w:r>
        <w:rPr>
          <w:rFonts w:hint="eastAsia" w:ascii="宋体" w:hAnsi="宋体"/>
          <w:color w:val="auto"/>
          <w:szCs w:val="21"/>
        </w:rPr>
        <w:t>项目编号：</w:t>
      </w:r>
      <w:r>
        <w:rPr>
          <w:rFonts w:hint="eastAsia" w:ascii="宋体" w:hAnsi="宋体"/>
          <w:color w:val="auto"/>
          <w:szCs w:val="21"/>
          <w:u w:val="single"/>
          <w:lang w:val="en-US" w:eastAsia="zh-CN"/>
        </w:rPr>
        <w:t xml:space="preserve">             </w:t>
      </w:r>
      <w:r>
        <w:rPr>
          <w:rFonts w:hint="eastAsia" w:ascii="宋体" w:hAnsi="宋体"/>
          <w:color w:val="auto"/>
          <w:szCs w:val="21"/>
        </w:rPr>
        <w:t xml:space="preserve"> </w:t>
      </w:r>
    </w:p>
    <w:p w14:paraId="17267F74">
      <w:pPr>
        <w:snapToGrid w:val="0"/>
        <w:spacing w:before="50" w:after="50" w:line="360" w:lineRule="auto"/>
        <w:rPr>
          <w:rFonts w:ascii="宋体" w:hAnsi="宋体"/>
          <w:color w:val="auto"/>
          <w:szCs w:val="21"/>
        </w:rPr>
      </w:pPr>
      <w:r>
        <w:rPr>
          <w:rFonts w:hint="eastAsia" w:ascii="宋体" w:hAnsi="宋体"/>
          <w:color w:val="auto"/>
          <w:szCs w:val="21"/>
        </w:rPr>
        <w:t>投标人名称：</w:t>
      </w:r>
      <w:r>
        <w:rPr>
          <w:rFonts w:hint="eastAsia" w:ascii="宋体" w:hAnsi="宋体"/>
          <w:color w:val="auto"/>
          <w:szCs w:val="21"/>
          <w:u w:val="single"/>
          <w:lang w:val="en-US" w:eastAsia="zh-CN"/>
        </w:rPr>
        <w:t xml:space="preserve">             </w:t>
      </w:r>
      <w:r>
        <w:rPr>
          <w:rFonts w:hint="eastAsia" w:ascii="宋体" w:hAnsi="宋体"/>
          <w:color w:val="auto"/>
          <w:szCs w:val="21"/>
        </w:rPr>
        <w:t xml:space="preserve">  单位：元</w:t>
      </w:r>
    </w:p>
    <w:tbl>
      <w:tblPr>
        <w:tblStyle w:val="25"/>
        <w:tblW w:w="54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3526"/>
        <w:gridCol w:w="1145"/>
        <w:gridCol w:w="1336"/>
        <w:gridCol w:w="1607"/>
        <w:gridCol w:w="1014"/>
        <w:gridCol w:w="1018"/>
      </w:tblGrid>
      <w:tr w14:paraId="772F4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28" w:hRule="atLeast"/>
          <w:jc w:val="center"/>
        </w:trPr>
        <w:tc>
          <w:tcPr>
            <w:tcW w:w="366" w:type="pct"/>
            <w:tcBorders>
              <w:top w:val="single" w:color="auto" w:sz="4" w:space="0"/>
              <w:left w:val="single" w:color="auto" w:sz="4" w:space="0"/>
              <w:bottom w:val="single" w:color="auto" w:sz="4" w:space="0"/>
              <w:right w:val="single" w:color="auto" w:sz="4" w:space="0"/>
            </w:tcBorders>
            <w:vAlign w:val="center"/>
          </w:tcPr>
          <w:p w14:paraId="5AC0F617">
            <w:pPr>
              <w:jc w:val="center"/>
              <w:rPr>
                <w:rFonts w:hint="eastAsia" w:ascii="仿宋" w:hAnsi="仿宋" w:eastAsia="仿宋" w:cs="仿宋"/>
                <w:color w:val="auto"/>
                <w:sz w:val="24"/>
                <w:szCs w:val="28"/>
                <w:highlight w:val="none"/>
              </w:rPr>
            </w:pPr>
            <w:r>
              <w:rPr>
                <w:rFonts w:hint="eastAsia" w:ascii="仿宋" w:hAnsi="仿宋" w:eastAsia="仿宋" w:cs="仿宋"/>
                <w:color w:val="auto"/>
                <w:sz w:val="24"/>
                <w:szCs w:val="28"/>
                <w:highlight w:val="none"/>
              </w:rPr>
              <w:t>序号</w:t>
            </w:r>
          </w:p>
        </w:tc>
        <w:tc>
          <w:tcPr>
            <w:tcW w:w="1694" w:type="pct"/>
            <w:tcBorders>
              <w:top w:val="single" w:color="auto" w:sz="4" w:space="0"/>
              <w:left w:val="single" w:color="auto" w:sz="4" w:space="0"/>
              <w:bottom w:val="single" w:color="auto" w:sz="4" w:space="0"/>
              <w:right w:val="single" w:color="auto" w:sz="4" w:space="0"/>
            </w:tcBorders>
            <w:vAlign w:val="center"/>
          </w:tcPr>
          <w:p w14:paraId="75261F53">
            <w:pPr>
              <w:jc w:val="center"/>
              <w:rPr>
                <w:rFonts w:hint="eastAsia" w:ascii="仿宋" w:hAnsi="仿宋" w:eastAsia="仿宋" w:cs="仿宋"/>
                <w:color w:val="auto"/>
                <w:sz w:val="24"/>
                <w:szCs w:val="28"/>
                <w:highlight w:val="none"/>
              </w:rPr>
            </w:pPr>
            <w:r>
              <w:rPr>
                <w:rFonts w:hint="eastAsia" w:ascii="仿宋" w:hAnsi="仿宋" w:eastAsia="仿宋" w:cs="仿宋"/>
                <w:color w:val="auto"/>
                <w:sz w:val="24"/>
                <w:szCs w:val="28"/>
                <w:highlight w:val="none"/>
              </w:rPr>
              <w:t>标的名称</w:t>
            </w:r>
          </w:p>
        </w:tc>
        <w:tc>
          <w:tcPr>
            <w:tcW w:w="550" w:type="pct"/>
            <w:tcBorders>
              <w:top w:val="single" w:color="auto" w:sz="4" w:space="0"/>
              <w:left w:val="single" w:color="auto" w:sz="4" w:space="0"/>
              <w:bottom w:val="single" w:color="auto" w:sz="4" w:space="0"/>
              <w:right w:val="single" w:color="auto" w:sz="4" w:space="0"/>
            </w:tcBorders>
            <w:vAlign w:val="center"/>
          </w:tcPr>
          <w:p w14:paraId="61299C4D">
            <w:pPr>
              <w:jc w:val="center"/>
              <w:rPr>
                <w:rFonts w:hint="eastAsia" w:ascii="仿宋" w:hAnsi="仿宋" w:eastAsia="仿宋" w:cs="仿宋"/>
                <w:color w:val="auto"/>
                <w:sz w:val="24"/>
                <w:szCs w:val="28"/>
                <w:highlight w:val="none"/>
              </w:rPr>
            </w:pPr>
            <w:r>
              <w:rPr>
                <w:rFonts w:hint="eastAsia" w:ascii="仿宋" w:hAnsi="仿宋" w:eastAsia="仿宋" w:cs="仿宋"/>
                <w:color w:val="auto"/>
                <w:sz w:val="24"/>
                <w:szCs w:val="28"/>
                <w:highlight w:val="none"/>
              </w:rPr>
              <w:t>数量①</w:t>
            </w:r>
          </w:p>
        </w:tc>
        <w:tc>
          <w:tcPr>
            <w:tcW w:w="642" w:type="pct"/>
            <w:tcBorders>
              <w:top w:val="single" w:color="auto" w:sz="4" w:space="0"/>
              <w:left w:val="single" w:color="auto" w:sz="4" w:space="0"/>
              <w:bottom w:val="single" w:color="auto" w:sz="4" w:space="0"/>
              <w:right w:val="single" w:color="auto" w:sz="4" w:space="0"/>
            </w:tcBorders>
            <w:vAlign w:val="center"/>
          </w:tcPr>
          <w:p w14:paraId="1AF38DC7">
            <w:pPr>
              <w:jc w:val="center"/>
              <w:rPr>
                <w:rFonts w:hint="eastAsia" w:ascii="仿宋" w:hAnsi="仿宋" w:eastAsia="仿宋" w:cs="仿宋"/>
                <w:color w:val="auto"/>
                <w:sz w:val="24"/>
                <w:szCs w:val="28"/>
                <w:highlight w:val="none"/>
              </w:rPr>
            </w:pPr>
            <w:r>
              <w:rPr>
                <w:rFonts w:hint="eastAsia" w:ascii="仿宋" w:hAnsi="仿宋" w:eastAsia="仿宋" w:cs="仿宋"/>
                <w:color w:val="auto"/>
                <w:sz w:val="24"/>
                <w:szCs w:val="28"/>
                <w:highlight w:val="none"/>
              </w:rPr>
              <w:t>单价(元)②</w:t>
            </w:r>
          </w:p>
        </w:tc>
        <w:tc>
          <w:tcPr>
            <w:tcW w:w="772" w:type="pct"/>
            <w:tcBorders>
              <w:top w:val="single" w:color="auto" w:sz="4" w:space="0"/>
              <w:left w:val="single" w:color="auto" w:sz="4" w:space="0"/>
              <w:bottom w:val="single" w:color="auto" w:sz="4" w:space="0"/>
              <w:right w:val="single" w:color="auto" w:sz="4" w:space="0"/>
            </w:tcBorders>
            <w:vAlign w:val="center"/>
          </w:tcPr>
          <w:p w14:paraId="7B7A5D3D">
            <w:pPr>
              <w:jc w:val="center"/>
              <w:rPr>
                <w:rFonts w:hint="eastAsia" w:ascii="仿宋" w:hAnsi="仿宋" w:eastAsia="仿宋" w:cs="仿宋"/>
                <w:color w:val="auto"/>
                <w:sz w:val="24"/>
                <w:szCs w:val="28"/>
                <w:highlight w:val="none"/>
              </w:rPr>
            </w:pPr>
            <w:r>
              <w:rPr>
                <w:rFonts w:hint="eastAsia" w:ascii="仿宋" w:hAnsi="仿宋" w:eastAsia="仿宋" w:cs="仿宋"/>
                <w:color w:val="auto"/>
                <w:sz w:val="24"/>
                <w:szCs w:val="28"/>
                <w:highlight w:val="none"/>
              </w:rPr>
              <w:t>单项合价（元）</w:t>
            </w:r>
          </w:p>
          <w:p w14:paraId="0ED907EC">
            <w:pPr>
              <w:jc w:val="center"/>
              <w:rPr>
                <w:rFonts w:hint="eastAsia" w:ascii="仿宋" w:hAnsi="仿宋" w:eastAsia="仿宋" w:cs="仿宋"/>
                <w:color w:val="auto"/>
                <w:sz w:val="24"/>
                <w:szCs w:val="28"/>
                <w:highlight w:val="none"/>
              </w:rPr>
            </w:pPr>
            <w:r>
              <w:rPr>
                <w:rFonts w:hint="eastAsia" w:ascii="仿宋" w:hAnsi="仿宋" w:eastAsia="仿宋" w:cs="仿宋"/>
                <w:color w:val="auto"/>
                <w:sz w:val="24"/>
                <w:szCs w:val="28"/>
                <w:highlight w:val="none"/>
              </w:rPr>
              <w:t>③＝①×②</w:t>
            </w:r>
          </w:p>
        </w:tc>
        <w:tc>
          <w:tcPr>
            <w:tcW w:w="487" w:type="pct"/>
            <w:tcBorders>
              <w:top w:val="single" w:color="auto" w:sz="4" w:space="0"/>
              <w:left w:val="single" w:color="auto" w:sz="4" w:space="0"/>
              <w:bottom w:val="single" w:color="auto" w:sz="4" w:space="0"/>
              <w:right w:val="single" w:color="auto" w:sz="4" w:space="0"/>
            </w:tcBorders>
          </w:tcPr>
          <w:p w14:paraId="4E379500">
            <w:pPr>
              <w:spacing w:line="360" w:lineRule="auto"/>
              <w:jc w:val="center"/>
              <w:rPr>
                <w:rFonts w:hint="eastAsia" w:ascii="仿宋" w:hAnsi="仿宋" w:eastAsia="仿宋" w:cs="仿宋"/>
                <w:color w:val="auto"/>
                <w:sz w:val="24"/>
                <w:szCs w:val="28"/>
                <w:highlight w:val="none"/>
              </w:rPr>
            </w:pPr>
            <w:r>
              <w:rPr>
                <w:rFonts w:hint="eastAsia" w:ascii="仿宋" w:hAnsi="仿宋" w:eastAsia="仿宋" w:cs="仿宋"/>
                <w:color w:val="auto"/>
                <w:sz w:val="24"/>
                <w:szCs w:val="28"/>
                <w:highlight w:val="none"/>
              </w:rPr>
              <w:t>服务要求（含服务期限）</w:t>
            </w:r>
          </w:p>
        </w:tc>
        <w:tc>
          <w:tcPr>
            <w:tcW w:w="487" w:type="pct"/>
            <w:tcBorders>
              <w:top w:val="single" w:color="auto" w:sz="4" w:space="0"/>
              <w:left w:val="single" w:color="auto" w:sz="4" w:space="0"/>
              <w:bottom w:val="single" w:color="auto" w:sz="4" w:space="0"/>
              <w:right w:val="single" w:color="auto" w:sz="4" w:space="0"/>
            </w:tcBorders>
            <w:vAlign w:val="center"/>
          </w:tcPr>
          <w:p w14:paraId="2EA0C338">
            <w:pPr>
              <w:jc w:val="center"/>
              <w:rPr>
                <w:rFonts w:hint="eastAsia" w:ascii="仿宋" w:hAnsi="仿宋" w:eastAsia="仿宋" w:cs="仿宋"/>
                <w:color w:val="auto"/>
                <w:sz w:val="24"/>
                <w:szCs w:val="28"/>
                <w:highlight w:val="none"/>
              </w:rPr>
            </w:pPr>
            <w:r>
              <w:rPr>
                <w:rFonts w:hint="eastAsia" w:ascii="仿宋" w:hAnsi="仿宋" w:eastAsia="仿宋" w:cs="仿宋"/>
                <w:color w:val="auto"/>
                <w:sz w:val="24"/>
                <w:szCs w:val="28"/>
                <w:highlight w:val="none"/>
              </w:rPr>
              <w:t>备注</w:t>
            </w:r>
          </w:p>
        </w:tc>
      </w:tr>
      <w:tr w14:paraId="26066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4" w:hRule="atLeast"/>
          <w:jc w:val="center"/>
        </w:trPr>
        <w:tc>
          <w:tcPr>
            <w:tcW w:w="366" w:type="pct"/>
            <w:tcBorders>
              <w:top w:val="single" w:color="auto" w:sz="4" w:space="0"/>
              <w:left w:val="single" w:color="auto" w:sz="4" w:space="0"/>
              <w:bottom w:val="single" w:color="auto" w:sz="4" w:space="0"/>
              <w:right w:val="single" w:color="auto" w:sz="4" w:space="0"/>
            </w:tcBorders>
            <w:vAlign w:val="center"/>
          </w:tcPr>
          <w:p w14:paraId="41745671">
            <w:pPr>
              <w:rPr>
                <w:rFonts w:hint="eastAsia" w:ascii="仿宋" w:hAnsi="仿宋" w:eastAsia="仿宋" w:cs="仿宋"/>
                <w:color w:val="auto"/>
                <w:sz w:val="24"/>
                <w:szCs w:val="28"/>
                <w:highlight w:val="none"/>
              </w:rPr>
            </w:pPr>
          </w:p>
        </w:tc>
        <w:tc>
          <w:tcPr>
            <w:tcW w:w="1694" w:type="pct"/>
            <w:tcBorders>
              <w:top w:val="single" w:color="auto" w:sz="4" w:space="0"/>
              <w:left w:val="single" w:color="auto" w:sz="4" w:space="0"/>
              <w:bottom w:val="single" w:color="auto" w:sz="4" w:space="0"/>
              <w:right w:val="single" w:color="auto" w:sz="4" w:space="0"/>
            </w:tcBorders>
            <w:vAlign w:val="center"/>
          </w:tcPr>
          <w:p w14:paraId="75DA4776">
            <w:pPr>
              <w:rPr>
                <w:rFonts w:hint="eastAsia" w:ascii="仿宋" w:hAnsi="仿宋" w:eastAsia="仿宋" w:cs="仿宋"/>
                <w:color w:val="auto"/>
                <w:sz w:val="24"/>
                <w:szCs w:val="28"/>
                <w:highlight w:val="none"/>
              </w:rPr>
            </w:pPr>
          </w:p>
        </w:tc>
        <w:tc>
          <w:tcPr>
            <w:tcW w:w="550" w:type="pct"/>
            <w:tcBorders>
              <w:top w:val="single" w:color="auto" w:sz="4" w:space="0"/>
              <w:left w:val="single" w:color="auto" w:sz="4" w:space="0"/>
              <w:bottom w:val="single" w:color="auto" w:sz="4" w:space="0"/>
              <w:right w:val="single" w:color="auto" w:sz="4" w:space="0"/>
            </w:tcBorders>
            <w:vAlign w:val="center"/>
          </w:tcPr>
          <w:p w14:paraId="4B8CCAF4">
            <w:pPr>
              <w:rPr>
                <w:rFonts w:hint="eastAsia" w:ascii="仿宋" w:hAnsi="仿宋" w:eastAsia="仿宋" w:cs="仿宋"/>
                <w:color w:val="auto"/>
                <w:sz w:val="24"/>
                <w:szCs w:val="28"/>
                <w:highlight w:val="none"/>
              </w:rPr>
            </w:pPr>
          </w:p>
        </w:tc>
        <w:tc>
          <w:tcPr>
            <w:tcW w:w="642" w:type="pct"/>
            <w:tcBorders>
              <w:top w:val="single" w:color="auto" w:sz="4" w:space="0"/>
              <w:left w:val="single" w:color="auto" w:sz="4" w:space="0"/>
              <w:bottom w:val="single" w:color="auto" w:sz="4" w:space="0"/>
              <w:right w:val="single" w:color="auto" w:sz="4" w:space="0"/>
            </w:tcBorders>
            <w:vAlign w:val="center"/>
          </w:tcPr>
          <w:p w14:paraId="7E8422E2">
            <w:pPr>
              <w:rPr>
                <w:rFonts w:hint="eastAsia" w:ascii="仿宋" w:hAnsi="仿宋" w:eastAsia="仿宋" w:cs="仿宋"/>
                <w:color w:val="auto"/>
                <w:sz w:val="24"/>
                <w:szCs w:val="28"/>
                <w:highlight w:val="none"/>
              </w:rPr>
            </w:pPr>
          </w:p>
        </w:tc>
        <w:tc>
          <w:tcPr>
            <w:tcW w:w="772" w:type="pct"/>
            <w:tcBorders>
              <w:top w:val="single" w:color="auto" w:sz="4" w:space="0"/>
              <w:left w:val="single" w:color="auto" w:sz="4" w:space="0"/>
              <w:bottom w:val="single" w:color="auto" w:sz="4" w:space="0"/>
              <w:right w:val="single" w:color="auto" w:sz="4" w:space="0"/>
            </w:tcBorders>
            <w:vAlign w:val="center"/>
          </w:tcPr>
          <w:p w14:paraId="0EDD943F">
            <w:pPr>
              <w:rPr>
                <w:rFonts w:hint="eastAsia" w:ascii="仿宋" w:hAnsi="仿宋" w:eastAsia="仿宋" w:cs="仿宋"/>
                <w:color w:val="auto"/>
                <w:sz w:val="24"/>
                <w:szCs w:val="28"/>
                <w:highlight w:val="none"/>
              </w:rPr>
            </w:pPr>
          </w:p>
        </w:tc>
        <w:tc>
          <w:tcPr>
            <w:tcW w:w="487" w:type="pct"/>
            <w:tcBorders>
              <w:top w:val="single" w:color="auto" w:sz="4" w:space="0"/>
              <w:left w:val="single" w:color="auto" w:sz="4" w:space="0"/>
              <w:bottom w:val="single" w:color="auto" w:sz="4" w:space="0"/>
              <w:right w:val="single" w:color="auto" w:sz="4" w:space="0"/>
            </w:tcBorders>
          </w:tcPr>
          <w:p w14:paraId="5D59A4C0">
            <w:pPr>
              <w:rPr>
                <w:rFonts w:hint="eastAsia" w:ascii="仿宋" w:hAnsi="仿宋" w:eastAsia="仿宋" w:cs="仿宋"/>
                <w:color w:val="auto"/>
                <w:sz w:val="24"/>
                <w:szCs w:val="28"/>
                <w:highlight w:val="none"/>
              </w:rPr>
            </w:pPr>
          </w:p>
        </w:tc>
        <w:tc>
          <w:tcPr>
            <w:tcW w:w="487" w:type="pct"/>
            <w:tcBorders>
              <w:top w:val="single" w:color="auto" w:sz="4" w:space="0"/>
              <w:left w:val="single" w:color="auto" w:sz="4" w:space="0"/>
              <w:bottom w:val="single" w:color="auto" w:sz="4" w:space="0"/>
              <w:right w:val="single" w:color="auto" w:sz="4" w:space="0"/>
            </w:tcBorders>
            <w:vAlign w:val="center"/>
          </w:tcPr>
          <w:p w14:paraId="0FC33EB3">
            <w:pPr>
              <w:rPr>
                <w:rFonts w:hint="eastAsia" w:ascii="仿宋" w:hAnsi="仿宋" w:eastAsia="仿宋" w:cs="仿宋"/>
                <w:color w:val="auto"/>
                <w:sz w:val="24"/>
                <w:szCs w:val="28"/>
                <w:highlight w:val="none"/>
              </w:rPr>
            </w:pPr>
          </w:p>
        </w:tc>
      </w:tr>
      <w:tr w14:paraId="6D786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4" w:hRule="atLeast"/>
          <w:jc w:val="center"/>
        </w:trPr>
        <w:tc>
          <w:tcPr>
            <w:tcW w:w="366" w:type="pct"/>
            <w:tcBorders>
              <w:top w:val="single" w:color="auto" w:sz="4" w:space="0"/>
              <w:left w:val="single" w:color="auto" w:sz="4" w:space="0"/>
              <w:bottom w:val="single" w:color="auto" w:sz="4" w:space="0"/>
              <w:right w:val="single" w:color="auto" w:sz="4" w:space="0"/>
            </w:tcBorders>
            <w:vAlign w:val="center"/>
          </w:tcPr>
          <w:p w14:paraId="6EBC6D3A">
            <w:pPr>
              <w:rPr>
                <w:rFonts w:hint="eastAsia" w:ascii="仿宋" w:hAnsi="仿宋" w:eastAsia="仿宋" w:cs="仿宋"/>
                <w:color w:val="auto"/>
                <w:sz w:val="24"/>
                <w:szCs w:val="28"/>
                <w:highlight w:val="none"/>
              </w:rPr>
            </w:pPr>
          </w:p>
        </w:tc>
        <w:tc>
          <w:tcPr>
            <w:tcW w:w="1694" w:type="pct"/>
            <w:tcBorders>
              <w:top w:val="single" w:color="auto" w:sz="4" w:space="0"/>
              <w:left w:val="single" w:color="auto" w:sz="4" w:space="0"/>
              <w:bottom w:val="single" w:color="auto" w:sz="4" w:space="0"/>
              <w:right w:val="single" w:color="auto" w:sz="4" w:space="0"/>
            </w:tcBorders>
            <w:vAlign w:val="center"/>
          </w:tcPr>
          <w:p w14:paraId="14C25FEF">
            <w:pPr>
              <w:rPr>
                <w:rFonts w:hint="eastAsia" w:ascii="仿宋" w:hAnsi="仿宋" w:eastAsia="仿宋" w:cs="仿宋"/>
                <w:color w:val="auto"/>
                <w:sz w:val="24"/>
                <w:szCs w:val="28"/>
                <w:highlight w:val="none"/>
              </w:rPr>
            </w:pPr>
          </w:p>
        </w:tc>
        <w:tc>
          <w:tcPr>
            <w:tcW w:w="550" w:type="pct"/>
            <w:tcBorders>
              <w:top w:val="single" w:color="auto" w:sz="4" w:space="0"/>
              <w:left w:val="single" w:color="auto" w:sz="4" w:space="0"/>
              <w:bottom w:val="single" w:color="auto" w:sz="4" w:space="0"/>
              <w:right w:val="single" w:color="auto" w:sz="4" w:space="0"/>
            </w:tcBorders>
            <w:vAlign w:val="center"/>
          </w:tcPr>
          <w:p w14:paraId="48E65173">
            <w:pPr>
              <w:rPr>
                <w:rFonts w:hint="eastAsia" w:ascii="仿宋" w:hAnsi="仿宋" w:eastAsia="仿宋" w:cs="仿宋"/>
                <w:color w:val="auto"/>
                <w:sz w:val="24"/>
                <w:szCs w:val="28"/>
                <w:highlight w:val="none"/>
              </w:rPr>
            </w:pPr>
          </w:p>
        </w:tc>
        <w:tc>
          <w:tcPr>
            <w:tcW w:w="642" w:type="pct"/>
            <w:tcBorders>
              <w:top w:val="single" w:color="auto" w:sz="4" w:space="0"/>
              <w:left w:val="single" w:color="auto" w:sz="4" w:space="0"/>
              <w:bottom w:val="single" w:color="auto" w:sz="4" w:space="0"/>
              <w:right w:val="single" w:color="auto" w:sz="4" w:space="0"/>
            </w:tcBorders>
            <w:vAlign w:val="center"/>
          </w:tcPr>
          <w:p w14:paraId="6332410A">
            <w:pPr>
              <w:rPr>
                <w:rFonts w:hint="eastAsia" w:ascii="仿宋" w:hAnsi="仿宋" w:eastAsia="仿宋" w:cs="仿宋"/>
                <w:color w:val="auto"/>
                <w:sz w:val="24"/>
                <w:szCs w:val="28"/>
                <w:highlight w:val="none"/>
              </w:rPr>
            </w:pPr>
          </w:p>
        </w:tc>
        <w:tc>
          <w:tcPr>
            <w:tcW w:w="772" w:type="pct"/>
            <w:tcBorders>
              <w:top w:val="single" w:color="auto" w:sz="4" w:space="0"/>
              <w:left w:val="single" w:color="auto" w:sz="4" w:space="0"/>
              <w:bottom w:val="single" w:color="auto" w:sz="4" w:space="0"/>
              <w:right w:val="single" w:color="auto" w:sz="4" w:space="0"/>
            </w:tcBorders>
            <w:vAlign w:val="center"/>
          </w:tcPr>
          <w:p w14:paraId="356BE84C">
            <w:pPr>
              <w:rPr>
                <w:rFonts w:hint="eastAsia" w:ascii="仿宋" w:hAnsi="仿宋" w:eastAsia="仿宋" w:cs="仿宋"/>
                <w:color w:val="auto"/>
                <w:sz w:val="24"/>
                <w:szCs w:val="28"/>
                <w:highlight w:val="none"/>
              </w:rPr>
            </w:pPr>
          </w:p>
        </w:tc>
        <w:tc>
          <w:tcPr>
            <w:tcW w:w="487" w:type="pct"/>
            <w:tcBorders>
              <w:top w:val="single" w:color="auto" w:sz="4" w:space="0"/>
              <w:left w:val="single" w:color="auto" w:sz="4" w:space="0"/>
              <w:bottom w:val="single" w:color="auto" w:sz="4" w:space="0"/>
              <w:right w:val="single" w:color="auto" w:sz="4" w:space="0"/>
            </w:tcBorders>
          </w:tcPr>
          <w:p w14:paraId="2628324B">
            <w:pPr>
              <w:rPr>
                <w:rFonts w:hint="eastAsia" w:ascii="仿宋" w:hAnsi="仿宋" w:eastAsia="仿宋" w:cs="仿宋"/>
                <w:color w:val="auto"/>
                <w:sz w:val="24"/>
                <w:szCs w:val="28"/>
                <w:highlight w:val="none"/>
              </w:rPr>
            </w:pPr>
          </w:p>
        </w:tc>
        <w:tc>
          <w:tcPr>
            <w:tcW w:w="487" w:type="pct"/>
            <w:tcBorders>
              <w:top w:val="single" w:color="auto" w:sz="4" w:space="0"/>
              <w:left w:val="single" w:color="auto" w:sz="4" w:space="0"/>
              <w:bottom w:val="single" w:color="auto" w:sz="4" w:space="0"/>
              <w:right w:val="single" w:color="auto" w:sz="4" w:space="0"/>
            </w:tcBorders>
            <w:vAlign w:val="center"/>
          </w:tcPr>
          <w:p w14:paraId="07962F0F">
            <w:pPr>
              <w:rPr>
                <w:rFonts w:hint="eastAsia" w:ascii="仿宋" w:hAnsi="仿宋" w:eastAsia="仿宋" w:cs="仿宋"/>
                <w:color w:val="auto"/>
                <w:sz w:val="24"/>
                <w:szCs w:val="28"/>
                <w:highlight w:val="none"/>
              </w:rPr>
            </w:pPr>
          </w:p>
        </w:tc>
      </w:tr>
      <w:tr w14:paraId="3F364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8" w:hRule="atLeast"/>
          <w:jc w:val="center"/>
        </w:trPr>
        <w:tc>
          <w:tcPr>
            <w:tcW w:w="5000" w:type="pct"/>
            <w:gridSpan w:val="7"/>
            <w:tcBorders>
              <w:top w:val="single" w:color="auto" w:sz="4" w:space="0"/>
              <w:left w:val="single" w:color="auto" w:sz="4" w:space="0"/>
              <w:bottom w:val="single" w:color="auto" w:sz="4" w:space="0"/>
              <w:right w:val="single" w:color="auto" w:sz="4" w:space="0"/>
            </w:tcBorders>
          </w:tcPr>
          <w:p w14:paraId="10FDAA4B">
            <w:pPr>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报价合计（包含税费等所有费用）：（大写）人民币  （</w:t>
            </w:r>
            <w:r>
              <w:rPr>
                <w:rFonts w:hint="eastAsia" w:ascii="仿宋" w:hAnsi="仿宋" w:eastAsia="仿宋" w:cs="仿宋"/>
                <w:color w:val="auto"/>
                <w:sz w:val="24"/>
                <w:szCs w:val="32"/>
                <w:highlight w:val="none"/>
              </w:rPr>
              <w:t>¥</w:t>
            </w:r>
            <w:r>
              <w:rPr>
                <w:rFonts w:hint="eastAsia" w:ascii="仿宋" w:hAnsi="仿宋" w:eastAsia="仿宋" w:cs="仿宋"/>
                <w:color w:val="auto"/>
                <w:sz w:val="24"/>
                <w:szCs w:val="24"/>
                <w:highlight w:val="none"/>
              </w:rPr>
              <w:t xml:space="preserve">   元）</w:t>
            </w:r>
          </w:p>
          <w:p w14:paraId="28609E5B">
            <w:pPr>
              <w:jc w:val="left"/>
              <w:rPr>
                <w:rFonts w:hint="eastAsia" w:ascii="仿宋" w:hAnsi="仿宋" w:eastAsia="仿宋" w:cs="仿宋"/>
                <w:b/>
                <w:color w:val="auto"/>
                <w:sz w:val="24"/>
                <w:szCs w:val="28"/>
                <w:highlight w:val="none"/>
              </w:rPr>
            </w:pPr>
          </w:p>
        </w:tc>
      </w:tr>
    </w:tbl>
    <w:p w14:paraId="67735077">
      <w:pPr>
        <w:snapToGrid w:val="0"/>
        <w:spacing w:before="50" w:after="50" w:line="360" w:lineRule="auto"/>
        <w:jc w:val="left"/>
        <w:rPr>
          <w:rFonts w:ascii="宋体" w:hAnsi="宋体"/>
          <w:color w:val="auto"/>
          <w:szCs w:val="21"/>
        </w:rPr>
      </w:pPr>
    </w:p>
    <w:p w14:paraId="5E19B9E1">
      <w:pPr>
        <w:snapToGrid w:val="0"/>
        <w:spacing w:before="50" w:after="50" w:line="360" w:lineRule="auto"/>
        <w:jc w:val="left"/>
        <w:rPr>
          <w:rFonts w:ascii="宋体" w:hAnsi="宋体"/>
          <w:color w:val="auto"/>
          <w:szCs w:val="21"/>
        </w:rPr>
      </w:pPr>
      <w:r>
        <w:rPr>
          <w:rFonts w:hint="eastAsia" w:ascii="宋体" w:hAnsi="宋体"/>
          <w:color w:val="auto"/>
          <w:szCs w:val="21"/>
        </w:rPr>
        <w:t xml:space="preserve">注: </w:t>
      </w:r>
    </w:p>
    <w:p w14:paraId="157BFC2B">
      <w:pPr>
        <w:spacing w:before="178" w:line="290" w:lineRule="auto"/>
        <w:ind w:left="118" w:right="156" w:firstLine="494"/>
        <w:rPr>
          <w:rFonts w:ascii="宋体" w:hAnsi="宋体" w:cs="宋体"/>
          <w:color w:val="auto"/>
          <w:sz w:val="24"/>
        </w:rPr>
      </w:pPr>
      <w:r>
        <w:rPr>
          <w:rFonts w:ascii="宋体" w:hAnsi="宋体" w:cs="宋体"/>
          <w:color w:val="auto"/>
          <w:spacing w:val="-1"/>
          <w:sz w:val="24"/>
        </w:rPr>
        <w:t>1.投标人的开标一览表必须加盖投标人</w:t>
      </w:r>
      <w:r>
        <w:rPr>
          <w:rFonts w:hint="eastAsia" w:ascii="宋体" w:hAnsi="宋体" w:cs="宋体"/>
          <w:color w:val="auto"/>
          <w:spacing w:val="-1"/>
          <w:sz w:val="24"/>
          <w:lang w:val="en-US" w:eastAsia="zh-CN"/>
        </w:rPr>
        <w:t>公章（或</w:t>
      </w:r>
      <w:r>
        <w:rPr>
          <w:rFonts w:ascii="宋体" w:hAnsi="宋体" w:cs="宋体"/>
          <w:color w:val="auto"/>
          <w:spacing w:val="-1"/>
          <w:sz w:val="24"/>
        </w:rPr>
        <w:t>电子签章</w:t>
      </w:r>
      <w:r>
        <w:rPr>
          <w:rFonts w:hint="eastAsia" w:ascii="宋体" w:hAnsi="宋体" w:cs="宋体"/>
          <w:color w:val="auto"/>
          <w:spacing w:val="-1"/>
          <w:sz w:val="24"/>
          <w:lang w:val="en-US" w:eastAsia="zh-CN"/>
        </w:rPr>
        <w:t>）</w:t>
      </w:r>
      <w:r>
        <w:rPr>
          <w:rFonts w:ascii="宋体" w:hAnsi="宋体" w:cs="宋体"/>
          <w:color w:val="auto"/>
          <w:spacing w:val="-1"/>
          <w:sz w:val="24"/>
        </w:rPr>
        <w:t>并由法定代表人或者委托代理人签字</w:t>
      </w:r>
      <w:r>
        <w:rPr>
          <w:rFonts w:ascii="宋体" w:hAnsi="宋体" w:cs="宋体"/>
          <w:color w:val="auto"/>
          <w:spacing w:val="-2"/>
          <w:sz w:val="24"/>
        </w:rPr>
        <w:t>或者电子签名，</w:t>
      </w:r>
      <w:r>
        <w:rPr>
          <w:rFonts w:ascii="宋体" w:hAnsi="宋体" w:cs="宋体"/>
          <w:b/>
          <w:bCs/>
          <w:color w:val="auto"/>
          <w:spacing w:val="-2"/>
          <w:sz w:val="24"/>
        </w:rPr>
        <w:t>否则其投标作无效标处理</w:t>
      </w:r>
      <w:r>
        <w:rPr>
          <w:rFonts w:ascii="宋体" w:hAnsi="宋体" w:cs="宋体"/>
          <w:color w:val="auto"/>
          <w:spacing w:val="-2"/>
          <w:sz w:val="24"/>
        </w:rPr>
        <w:t>。</w:t>
      </w:r>
    </w:p>
    <w:p w14:paraId="6A5ED175">
      <w:pPr>
        <w:spacing w:before="180" w:line="288" w:lineRule="auto"/>
        <w:ind w:left="126" w:right="156" w:firstLine="471"/>
        <w:rPr>
          <w:rFonts w:ascii="宋体" w:hAnsi="宋体" w:cs="宋体"/>
          <w:color w:val="auto"/>
          <w:sz w:val="24"/>
        </w:rPr>
      </w:pPr>
      <w:r>
        <w:rPr>
          <w:rFonts w:ascii="宋体" w:hAnsi="宋体" w:cs="宋体"/>
          <w:color w:val="auto"/>
          <w:sz w:val="24"/>
        </w:rPr>
        <w:t>2.报价一经涂改，应在涂改处加盖投标人公章</w:t>
      </w:r>
      <w:r>
        <w:rPr>
          <w:rFonts w:hint="eastAsia" w:ascii="宋体" w:hAnsi="宋体" w:cs="宋体"/>
          <w:color w:val="auto"/>
          <w:sz w:val="24"/>
          <w:lang w:eastAsia="zh-CN"/>
        </w:rPr>
        <w:t>（</w:t>
      </w:r>
      <w:r>
        <w:rPr>
          <w:rFonts w:hint="eastAsia" w:ascii="宋体" w:hAnsi="宋体" w:cs="宋体"/>
          <w:color w:val="auto"/>
          <w:sz w:val="24"/>
          <w:lang w:val="en-US" w:eastAsia="zh-CN"/>
        </w:rPr>
        <w:t>或电子签章</w:t>
      </w:r>
      <w:r>
        <w:rPr>
          <w:rFonts w:hint="eastAsia" w:ascii="宋体" w:hAnsi="宋体" w:cs="宋体"/>
          <w:color w:val="auto"/>
          <w:sz w:val="24"/>
          <w:lang w:eastAsia="zh-CN"/>
        </w:rPr>
        <w:t>）</w:t>
      </w:r>
      <w:r>
        <w:rPr>
          <w:rFonts w:ascii="宋体" w:hAnsi="宋体" w:cs="宋体"/>
          <w:color w:val="auto"/>
          <w:sz w:val="24"/>
        </w:rPr>
        <w:t>或者由</w:t>
      </w:r>
      <w:r>
        <w:rPr>
          <w:rFonts w:ascii="宋体" w:hAnsi="宋体" w:cs="宋体"/>
          <w:color w:val="auto"/>
          <w:spacing w:val="-1"/>
          <w:sz w:val="24"/>
        </w:rPr>
        <w:t>法定代表人或者委托代理人签字</w:t>
      </w:r>
      <w:r>
        <w:rPr>
          <w:rFonts w:ascii="宋体" w:hAnsi="宋体" w:cs="宋体"/>
          <w:color w:val="auto"/>
          <w:spacing w:val="-2"/>
          <w:sz w:val="24"/>
        </w:rPr>
        <w:t>（或者电子签名）</w:t>
      </w:r>
      <w:r>
        <w:rPr>
          <w:rFonts w:ascii="宋体" w:hAnsi="宋体" w:cs="宋体"/>
          <w:b/>
          <w:bCs/>
          <w:color w:val="auto"/>
          <w:spacing w:val="-2"/>
          <w:sz w:val="24"/>
        </w:rPr>
        <w:t>，否则其投标作无效标处理。</w:t>
      </w:r>
    </w:p>
    <w:p w14:paraId="04665D61">
      <w:pPr>
        <w:spacing w:before="184" w:line="289" w:lineRule="auto"/>
        <w:ind w:left="117" w:right="156" w:firstLine="482"/>
        <w:rPr>
          <w:rFonts w:ascii="宋体" w:hAnsi="宋体" w:cs="宋体"/>
          <w:color w:val="auto"/>
          <w:sz w:val="24"/>
        </w:rPr>
      </w:pPr>
      <w:r>
        <w:rPr>
          <w:rFonts w:ascii="宋体" w:hAnsi="宋体" w:cs="宋体"/>
          <w:color w:val="auto"/>
          <w:sz w:val="24"/>
        </w:rPr>
        <w:t>3.招标文件中列明采购专用耗材的，应按招标文</w:t>
      </w:r>
      <w:r>
        <w:rPr>
          <w:rFonts w:ascii="宋体" w:hAnsi="宋体" w:cs="宋体"/>
          <w:color w:val="auto"/>
          <w:spacing w:val="-1"/>
          <w:sz w:val="24"/>
        </w:rPr>
        <w:t>件规定的耗材量或者按耗材的常规试</w:t>
      </w:r>
      <w:r>
        <w:rPr>
          <w:rFonts w:ascii="宋体" w:hAnsi="宋体" w:cs="宋体"/>
          <w:color w:val="auto"/>
          <w:spacing w:val="-2"/>
          <w:sz w:val="24"/>
        </w:rPr>
        <w:t>用量提供报价。</w:t>
      </w:r>
    </w:p>
    <w:p w14:paraId="2840C3D8">
      <w:pPr>
        <w:spacing w:before="182" w:line="219" w:lineRule="auto"/>
        <w:ind w:left="594"/>
        <w:rPr>
          <w:rFonts w:ascii="宋体" w:hAnsi="宋体" w:cs="宋体"/>
          <w:color w:val="auto"/>
          <w:sz w:val="24"/>
        </w:rPr>
      </w:pPr>
      <w:r>
        <w:rPr>
          <w:rFonts w:ascii="宋体" w:hAnsi="宋体" w:cs="宋体"/>
          <w:color w:val="auto"/>
          <w:spacing w:val="-1"/>
          <w:sz w:val="24"/>
        </w:rPr>
        <w:t>4.如有多分标，按分标分别提供开标一览表，</w:t>
      </w:r>
      <w:r>
        <w:rPr>
          <w:rFonts w:ascii="宋体" w:hAnsi="宋体" w:cs="宋体"/>
          <w:b/>
          <w:bCs/>
          <w:color w:val="auto"/>
          <w:spacing w:val="-1"/>
          <w:sz w:val="24"/>
        </w:rPr>
        <w:t>否则投标无效。</w:t>
      </w:r>
    </w:p>
    <w:p w14:paraId="3B761D36">
      <w:pPr>
        <w:spacing w:line="463" w:lineRule="auto"/>
        <w:rPr>
          <w:rFonts w:ascii="Arial"/>
          <w:color w:val="auto"/>
        </w:rPr>
      </w:pPr>
    </w:p>
    <w:p w14:paraId="29937F66">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法定代表人或者委托代理人（签字/电子签名）：</w:t>
      </w:r>
    </w:p>
    <w:p w14:paraId="67491E02">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投标人名称（公章或电子签章）：</w:t>
      </w:r>
    </w:p>
    <w:p w14:paraId="66590181">
      <w:pPr>
        <w:snapToGrid w:val="0"/>
        <w:spacing w:before="50" w:after="50" w:line="480" w:lineRule="auto"/>
        <w:ind w:right="-817" w:rightChars="-389"/>
        <w:rPr>
          <w:rFonts w:ascii="宋体" w:hAnsi="宋体"/>
          <w:b/>
          <w:bCs/>
          <w:color w:val="auto"/>
          <w:szCs w:val="21"/>
        </w:rPr>
      </w:pPr>
      <w:r>
        <w:rPr>
          <w:rFonts w:hint="eastAsia" w:ascii="宋体" w:hAnsi="宋体"/>
          <w:b/>
          <w:bCs/>
          <w:color w:val="auto"/>
          <w:szCs w:val="21"/>
        </w:rPr>
        <w:t>日期：    年   月   日</w:t>
      </w:r>
    </w:p>
    <w:p w14:paraId="7DC9CF6C">
      <w:pPr>
        <w:pStyle w:val="34"/>
        <w:jc w:val="both"/>
        <w:rPr>
          <w:color w:val="auto"/>
          <w:sz w:val="30"/>
        </w:rPr>
      </w:pPr>
    </w:p>
    <w:p w14:paraId="69BAB0B1">
      <w:pPr>
        <w:snapToGrid w:val="0"/>
        <w:spacing w:beforeLines="50" w:after="50" w:line="360" w:lineRule="auto"/>
        <w:jc w:val="center"/>
        <w:outlineLvl w:val="1"/>
        <w:rPr>
          <w:rFonts w:hint="eastAsia"/>
          <w:b/>
          <w:color w:val="auto"/>
          <w:sz w:val="28"/>
          <w:szCs w:val="28"/>
        </w:rPr>
        <w:sectPr>
          <w:footerReference r:id="rId11" w:type="first"/>
          <w:footerReference r:id="rId10" w:type="default"/>
          <w:pgSz w:w="11906" w:h="16838"/>
          <w:pgMar w:top="1134" w:right="1247" w:bottom="1560" w:left="1247" w:header="851" w:footer="992" w:gutter="0"/>
          <w:pgNumType w:fmt="decimal"/>
          <w:cols w:space="720" w:num="1"/>
          <w:titlePg/>
          <w:docGrid w:linePitch="312" w:charSpace="0"/>
        </w:sectPr>
      </w:pPr>
      <w:bookmarkStart w:id="230" w:name="_Toc20754"/>
      <w:bookmarkStart w:id="231" w:name="_Toc19686837"/>
    </w:p>
    <w:p w14:paraId="077B008A">
      <w:pPr>
        <w:snapToGrid w:val="0"/>
        <w:spacing w:beforeLines="50" w:after="50" w:line="360" w:lineRule="auto"/>
        <w:jc w:val="center"/>
        <w:outlineLvl w:val="9"/>
        <w:rPr>
          <w:rFonts w:ascii="宋体" w:hAnsi="宋体"/>
          <w:b/>
          <w:bCs/>
          <w:color w:val="auto"/>
          <w:sz w:val="28"/>
          <w:szCs w:val="28"/>
        </w:rPr>
      </w:pPr>
      <w:bookmarkStart w:id="232" w:name="_Toc1324"/>
      <w:bookmarkStart w:id="233" w:name="_Toc29443"/>
      <w:r>
        <w:rPr>
          <w:rFonts w:hint="eastAsia"/>
          <w:b/>
          <w:color w:val="auto"/>
          <w:sz w:val="28"/>
          <w:szCs w:val="28"/>
        </w:rPr>
        <w:t>第三节</w:t>
      </w:r>
      <w:r>
        <w:rPr>
          <w:rFonts w:hint="eastAsia" w:ascii="宋体" w:hAnsi="宋体"/>
          <w:b/>
          <w:bCs/>
          <w:color w:val="auto"/>
          <w:sz w:val="28"/>
          <w:szCs w:val="28"/>
        </w:rPr>
        <w:t>资格证明文件格式</w:t>
      </w:r>
      <w:bookmarkEnd w:id="228"/>
      <w:bookmarkEnd w:id="229"/>
      <w:bookmarkEnd w:id="230"/>
      <w:bookmarkEnd w:id="231"/>
      <w:bookmarkEnd w:id="232"/>
      <w:bookmarkEnd w:id="233"/>
    </w:p>
    <w:p w14:paraId="6C060BE2">
      <w:pPr>
        <w:snapToGrid w:val="0"/>
        <w:spacing w:beforeLines="50" w:after="50" w:line="360" w:lineRule="auto"/>
        <w:jc w:val="left"/>
        <w:rPr>
          <w:rFonts w:ascii="宋体" w:hAnsi="宋体"/>
          <w:b/>
          <w:color w:val="auto"/>
          <w:sz w:val="24"/>
        </w:rPr>
      </w:pPr>
    </w:p>
    <w:p w14:paraId="2EFB079D">
      <w:pPr>
        <w:snapToGrid w:val="0"/>
        <w:spacing w:beforeLines="50" w:after="50" w:line="360" w:lineRule="auto"/>
        <w:jc w:val="left"/>
        <w:rPr>
          <w:rFonts w:ascii="宋体" w:hAnsi="宋体"/>
          <w:b/>
          <w:color w:val="auto"/>
          <w:sz w:val="24"/>
        </w:rPr>
      </w:pPr>
    </w:p>
    <w:p w14:paraId="6BA91BD7">
      <w:pPr>
        <w:snapToGrid w:val="0"/>
        <w:spacing w:beforeLines="50" w:after="50"/>
        <w:rPr>
          <w:rFonts w:ascii="宋体" w:hAnsi="宋体"/>
          <w:bCs/>
          <w:color w:val="auto"/>
          <w:sz w:val="32"/>
          <w:szCs w:val="20"/>
        </w:rPr>
      </w:pPr>
      <w:r>
        <w:rPr>
          <w:rFonts w:hint="eastAsia" w:ascii="宋体" w:hAnsi="宋体" w:cs="宋体"/>
          <w:bCs/>
          <w:color w:val="auto"/>
        </w:rPr>
        <w:t>电子投标文件</w:t>
      </w:r>
    </w:p>
    <w:p w14:paraId="0CD18940">
      <w:pPr>
        <w:snapToGrid w:val="0"/>
        <w:spacing w:beforeLines="50" w:after="50"/>
        <w:rPr>
          <w:rFonts w:ascii="宋体" w:hAnsi="宋体"/>
          <w:color w:val="auto"/>
          <w:sz w:val="24"/>
          <w:szCs w:val="20"/>
        </w:rPr>
      </w:pPr>
    </w:p>
    <w:p w14:paraId="071ED6AA">
      <w:pPr>
        <w:snapToGrid w:val="0"/>
        <w:spacing w:beforeLines="50" w:after="50"/>
        <w:jc w:val="center"/>
        <w:rPr>
          <w:rFonts w:ascii="宋体" w:hAnsi="宋体"/>
          <w:b/>
          <w:color w:val="auto"/>
          <w:sz w:val="24"/>
          <w:szCs w:val="20"/>
        </w:rPr>
      </w:pPr>
      <w:r>
        <w:rPr>
          <w:rFonts w:hint="eastAsia" w:ascii="宋体" w:hAnsi="宋体"/>
          <w:b/>
          <w:color w:val="auto"/>
          <w:sz w:val="32"/>
          <w:szCs w:val="32"/>
        </w:rPr>
        <w:t>资格证明文件</w:t>
      </w:r>
    </w:p>
    <w:p w14:paraId="6FD78263">
      <w:pPr>
        <w:snapToGrid w:val="0"/>
        <w:spacing w:beforeLines="50" w:after="50"/>
        <w:rPr>
          <w:rFonts w:ascii="宋体" w:hAnsi="宋体"/>
          <w:bCs/>
          <w:color w:val="auto"/>
          <w:sz w:val="24"/>
          <w:szCs w:val="20"/>
        </w:rPr>
      </w:pPr>
    </w:p>
    <w:p w14:paraId="220D5B27">
      <w:pPr>
        <w:snapToGrid w:val="0"/>
        <w:spacing w:beforeLines="50" w:after="50"/>
        <w:rPr>
          <w:rFonts w:ascii="宋体" w:hAnsi="宋体"/>
          <w:bCs/>
          <w:color w:val="auto"/>
          <w:sz w:val="24"/>
          <w:szCs w:val="20"/>
        </w:rPr>
      </w:pPr>
    </w:p>
    <w:p w14:paraId="6FD27536">
      <w:pPr>
        <w:snapToGrid w:val="0"/>
        <w:spacing w:beforeLines="50" w:after="50"/>
        <w:rPr>
          <w:rFonts w:ascii="宋体" w:hAnsi="宋体"/>
          <w:bCs/>
          <w:color w:val="auto"/>
          <w:sz w:val="24"/>
          <w:szCs w:val="20"/>
        </w:rPr>
      </w:pPr>
    </w:p>
    <w:p w14:paraId="34338D4A">
      <w:pPr>
        <w:snapToGrid w:val="0"/>
        <w:spacing w:beforeLines="50" w:after="50"/>
        <w:rPr>
          <w:rFonts w:ascii="宋体" w:hAnsi="宋体"/>
          <w:bCs/>
          <w:color w:val="auto"/>
          <w:sz w:val="24"/>
          <w:szCs w:val="20"/>
        </w:rPr>
      </w:pPr>
    </w:p>
    <w:p w14:paraId="58AB7F17">
      <w:pPr>
        <w:snapToGrid w:val="0"/>
        <w:spacing w:beforeLines="50" w:after="50"/>
        <w:rPr>
          <w:rFonts w:ascii="宋体" w:hAnsi="宋体"/>
          <w:bCs/>
          <w:color w:val="auto"/>
          <w:sz w:val="24"/>
          <w:szCs w:val="20"/>
        </w:rPr>
      </w:pPr>
    </w:p>
    <w:p w14:paraId="45D24D01">
      <w:pPr>
        <w:snapToGrid w:val="0"/>
        <w:spacing w:beforeLines="50" w:after="50"/>
        <w:rPr>
          <w:rFonts w:ascii="宋体" w:hAnsi="宋体"/>
          <w:bCs/>
          <w:color w:val="auto"/>
          <w:sz w:val="24"/>
          <w:szCs w:val="20"/>
        </w:rPr>
      </w:pPr>
    </w:p>
    <w:p w14:paraId="5C35088F">
      <w:pPr>
        <w:snapToGrid w:val="0"/>
        <w:spacing w:beforeLines="50" w:after="50"/>
        <w:rPr>
          <w:rFonts w:ascii="宋体" w:hAnsi="宋体"/>
          <w:bCs/>
          <w:color w:val="auto"/>
          <w:sz w:val="24"/>
          <w:szCs w:val="20"/>
        </w:rPr>
      </w:pPr>
    </w:p>
    <w:p w14:paraId="0B6EFB00">
      <w:pPr>
        <w:snapToGrid w:val="0"/>
        <w:spacing w:beforeLines="50" w:after="50"/>
        <w:ind w:firstLine="540" w:firstLineChars="225"/>
        <w:rPr>
          <w:rFonts w:ascii="宋体" w:hAnsi="宋体"/>
          <w:bCs/>
          <w:color w:val="auto"/>
          <w:sz w:val="24"/>
        </w:rPr>
      </w:pPr>
      <w:r>
        <w:rPr>
          <w:rFonts w:hint="eastAsia" w:ascii="宋体" w:hAnsi="宋体"/>
          <w:bCs/>
          <w:color w:val="auto"/>
          <w:sz w:val="24"/>
        </w:rPr>
        <w:t>项目名称：</w:t>
      </w:r>
    </w:p>
    <w:p w14:paraId="428539A9">
      <w:pPr>
        <w:snapToGrid w:val="0"/>
        <w:spacing w:beforeLines="50" w:after="50"/>
        <w:ind w:firstLine="540" w:firstLineChars="225"/>
        <w:rPr>
          <w:rFonts w:ascii="宋体" w:hAnsi="宋体"/>
          <w:bCs/>
          <w:color w:val="auto"/>
          <w:sz w:val="24"/>
          <w:szCs w:val="20"/>
        </w:rPr>
      </w:pPr>
    </w:p>
    <w:p w14:paraId="78E48CC1">
      <w:pPr>
        <w:snapToGrid w:val="0"/>
        <w:spacing w:beforeLines="50" w:after="50"/>
        <w:ind w:firstLine="540" w:firstLineChars="225"/>
        <w:rPr>
          <w:rFonts w:ascii="宋体" w:hAnsi="宋体"/>
          <w:bCs/>
          <w:color w:val="auto"/>
          <w:sz w:val="24"/>
        </w:rPr>
      </w:pPr>
      <w:r>
        <w:rPr>
          <w:rFonts w:hint="eastAsia" w:ascii="宋体" w:hAnsi="宋体"/>
          <w:bCs/>
          <w:color w:val="auto"/>
          <w:sz w:val="24"/>
        </w:rPr>
        <w:t>项目编号：</w:t>
      </w:r>
    </w:p>
    <w:p w14:paraId="36387142">
      <w:pPr>
        <w:spacing w:beforeLines="50"/>
        <w:ind w:firstLine="0" w:firstLineChars="0"/>
        <w:rPr>
          <w:rFonts w:ascii="宋体" w:hAnsi="宋体"/>
          <w:bCs/>
          <w:color w:val="auto"/>
          <w:sz w:val="24"/>
          <w:szCs w:val="24"/>
        </w:rPr>
      </w:pPr>
    </w:p>
    <w:p w14:paraId="79F82BFA">
      <w:pPr>
        <w:pStyle w:val="7"/>
        <w:snapToGrid w:val="0"/>
        <w:spacing w:before="50" w:after="50"/>
        <w:ind w:firstLine="540" w:firstLineChars="225"/>
        <w:rPr>
          <w:rFonts w:ascii="宋体" w:hAnsi="宋体"/>
          <w:bCs/>
          <w:color w:val="auto"/>
          <w:sz w:val="24"/>
          <w:szCs w:val="24"/>
        </w:rPr>
      </w:pPr>
      <w:r>
        <w:rPr>
          <w:rFonts w:hint="eastAsia" w:ascii="宋体" w:hAnsi="宋体"/>
          <w:bCs/>
          <w:color w:val="auto"/>
          <w:sz w:val="24"/>
          <w:szCs w:val="24"/>
        </w:rPr>
        <w:t>投标人名称：</w:t>
      </w:r>
    </w:p>
    <w:p w14:paraId="2E143E67">
      <w:pPr>
        <w:pStyle w:val="7"/>
        <w:snapToGrid w:val="0"/>
        <w:spacing w:before="50" w:after="50"/>
        <w:ind w:firstLine="540" w:firstLineChars="225"/>
        <w:rPr>
          <w:rFonts w:ascii="宋体" w:hAnsi="宋体"/>
          <w:bCs/>
          <w:color w:val="auto"/>
          <w:sz w:val="24"/>
          <w:szCs w:val="24"/>
        </w:rPr>
      </w:pPr>
    </w:p>
    <w:p w14:paraId="4F1ECF8B">
      <w:pPr>
        <w:pStyle w:val="7"/>
        <w:snapToGrid w:val="0"/>
        <w:spacing w:before="50" w:after="50"/>
        <w:ind w:firstLine="960" w:firstLineChars="400"/>
        <w:rPr>
          <w:rFonts w:ascii="宋体" w:hAnsi="宋体"/>
          <w:bCs/>
          <w:color w:val="auto"/>
          <w:sz w:val="24"/>
          <w:szCs w:val="24"/>
        </w:rPr>
      </w:pPr>
    </w:p>
    <w:p w14:paraId="1823D6E0">
      <w:pPr>
        <w:snapToGrid w:val="0"/>
        <w:spacing w:beforeLines="50" w:after="50"/>
        <w:ind w:firstLine="645"/>
        <w:jc w:val="center"/>
        <w:rPr>
          <w:rFonts w:ascii="宋体" w:hAnsi="宋体"/>
          <w:color w:val="auto"/>
          <w:sz w:val="24"/>
        </w:rPr>
      </w:pPr>
      <w:r>
        <w:rPr>
          <w:rFonts w:hint="eastAsia" w:ascii="宋体" w:hAnsi="宋体"/>
          <w:color w:val="auto"/>
          <w:sz w:val="24"/>
        </w:rPr>
        <w:t>年  月  日</w:t>
      </w:r>
    </w:p>
    <w:p w14:paraId="5A5322BA">
      <w:pPr>
        <w:snapToGrid w:val="0"/>
        <w:spacing w:beforeLines="50" w:after="50"/>
        <w:rPr>
          <w:rFonts w:ascii="宋体" w:hAnsi="宋体"/>
          <w:color w:val="auto"/>
          <w:sz w:val="24"/>
          <w:szCs w:val="20"/>
        </w:rPr>
      </w:pPr>
    </w:p>
    <w:p w14:paraId="50642043">
      <w:pPr>
        <w:snapToGrid w:val="0"/>
        <w:spacing w:beforeLines="50" w:after="50"/>
        <w:rPr>
          <w:rFonts w:ascii="宋体" w:hAnsi="宋体"/>
          <w:color w:val="auto"/>
          <w:sz w:val="24"/>
          <w:szCs w:val="20"/>
        </w:rPr>
      </w:pPr>
    </w:p>
    <w:p w14:paraId="29F5F26D">
      <w:pPr>
        <w:snapToGrid w:val="0"/>
        <w:spacing w:beforeLines="50" w:after="50" w:line="360" w:lineRule="auto"/>
        <w:jc w:val="center"/>
        <w:rPr>
          <w:rFonts w:ascii="宋体" w:hAnsi="宋体"/>
          <w:color w:val="auto"/>
          <w:sz w:val="24"/>
          <w:szCs w:val="20"/>
        </w:rPr>
      </w:pPr>
      <w:r>
        <w:rPr>
          <w:rFonts w:ascii="宋体" w:hAnsi="宋体"/>
          <w:b/>
          <w:bCs/>
          <w:color w:val="auto"/>
          <w:sz w:val="24"/>
        </w:rPr>
        <w:br w:type="page"/>
      </w:r>
      <w:r>
        <w:rPr>
          <w:rFonts w:hint="eastAsia" w:ascii="宋体" w:hAnsi="宋体"/>
          <w:b/>
          <w:bCs/>
          <w:color w:val="auto"/>
          <w:sz w:val="24"/>
        </w:rPr>
        <w:t>资格证明文件目录</w:t>
      </w:r>
    </w:p>
    <w:p w14:paraId="0C4D33F6">
      <w:pPr>
        <w:snapToGrid w:val="0"/>
        <w:spacing w:line="360" w:lineRule="auto"/>
        <w:ind w:firstLine="420" w:firstLineChars="200"/>
        <w:jc w:val="center"/>
        <w:rPr>
          <w:rFonts w:ascii="宋体" w:hAnsi="宋体"/>
          <w:color w:val="auto"/>
          <w:szCs w:val="21"/>
        </w:rPr>
      </w:pPr>
      <w:r>
        <w:rPr>
          <w:rFonts w:hint="eastAsia" w:ascii="宋体" w:hAnsi="宋体"/>
          <w:color w:val="auto"/>
          <w:szCs w:val="21"/>
        </w:rPr>
        <w:t>根据招标文件规定及投标人提供的材料自行编写目录。</w:t>
      </w:r>
    </w:p>
    <w:p w14:paraId="52BAC10A">
      <w:pPr>
        <w:snapToGrid w:val="0"/>
        <w:spacing w:before="50" w:afterLines="50"/>
        <w:jc w:val="left"/>
        <w:rPr>
          <w:rFonts w:ascii="宋体" w:hAnsi="宋体"/>
          <w:color w:val="auto"/>
          <w:sz w:val="24"/>
        </w:rPr>
      </w:pPr>
    </w:p>
    <w:p w14:paraId="5AD2E653">
      <w:pPr>
        <w:snapToGrid w:val="0"/>
        <w:spacing w:before="50" w:afterLines="50"/>
        <w:jc w:val="left"/>
        <w:rPr>
          <w:rFonts w:ascii="宋体" w:hAnsi="宋体"/>
          <w:color w:val="auto"/>
          <w:sz w:val="24"/>
        </w:rPr>
      </w:pPr>
    </w:p>
    <w:p w14:paraId="600FF847">
      <w:pPr>
        <w:snapToGrid w:val="0"/>
        <w:spacing w:beforeLines="50" w:after="50"/>
        <w:jc w:val="left"/>
        <w:rPr>
          <w:rFonts w:ascii="宋体" w:hAnsi="宋体"/>
          <w:b/>
          <w:color w:val="auto"/>
          <w:sz w:val="24"/>
        </w:rPr>
      </w:pPr>
      <w:r>
        <w:rPr>
          <w:rFonts w:ascii="宋体" w:hAnsi="宋体"/>
          <w:b/>
          <w:color w:val="auto"/>
          <w:sz w:val="24"/>
        </w:rPr>
        <w:br w:type="page"/>
      </w:r>
      <w:r>
        <w:rPr>
          <w:rFonts w:hint="eastAsia" w:ascii="宋体" w:hAnsi="宋体"/>
          <w:b/>
          <w:color w:val="auto"/>
          <w:sz w:val="24"/>
        </w:rPr>
        <w:t>5.投标人直接控股、管理关系信息表</w:t>
      </w:r>
    </w:p>
    <w:p w14:paraId="297D4B89">
      <w:pPr>
        <w:snapToGrid w:val="0"/>
        <w:spacing w:before="50" w:afterLines="50" w:line="360" w:lineRule="auto"/>
        <w:jc w:val="center"/>
        <w:rPr>
          <w:rFonts w:ascii="宋体" w:hAnsi="宋体"/>
          <w:b/>
          <w:color w:val="auto"/>
          <w:sz w:val="28"/>
          <w:szCs w:val="28"/>
        </w:rPr>
      </w:pPr>
    </w:p>
    <w:p w14:paraId="40F0CC77">
      <w:pPr>
        <w:snapToGrid w:val="0"/>
        <w:spacing w:before="50" w:afterLines="50" w:line="300" w:lineRule="auto"/>
        <w:jc w:val="center"/>
        <w:rPr>
          <w:rFonts w:ascii="宋体" w:hAnsi="宋体"/>
          <w:b/>
          <w:color w:val="auto"/>
          <w:sz w:val="28"/>
          <w:szCs w:val="28"/>
        </w:rPr>
      </w:pPr>
      <w:r>
        <w:rPr>
          <w:rFonts w:hint="eastAsia" w:ascii="宋体" w:hAnsi="宋体"/>
          <w:b/>
          <w:color w:val="auto"/>
          <w:sz w:val="28"/>
          <w:szCs w:val="28"/>
        </w:rPr>
        <w:t>投标人直接控股股东信息表</w:t>
      </w:r>
    </w:p>
    <w:tbl>
      <w:tblPr>
        <w:tblStyle w:val="25"/>
        <w:tblW w:w="0" w:type="auto"/>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66B870B8">
        <w:tblPrEx>
          <w:tblCellMar>
            <w:top w:w="0" w:type="dxa"/>
            <w:left w:w="0" w:type="dxa"/>
            <w:bottom w:w="0" w:type="dxa"/>
            <w:right w:w="0" w:type="dxa"/>
          </w:tblCellMar>
        </w:tblPrEx>
        <w:trPr>
          <w:trHeight w:val="397" w:hRule="exact"/>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8405899">
            <w:pPr>
              <w:spacing w:line="300" w:lineRule="auto"/>
              <w:jc w:val="center"/>
              <w:rPr>
                <w:rFonts w:ascii="宋体" w:hAnsi="宋体" w:cs="宋体"/>
                <w:b/>
                <w:bCs/>
                <w:color w:val="auto"/>
                <w:kern w:val="0"/>
                <w:sz w:val="22"/>
                <w:szCs w:val="22"/>
              </w:rPr>
            </w:pPr>
            <w:r>
              <w:rPr>
                <w:rFonts w:hint="eastAsia" w:ascii="宋体" w:hAnsi="宋体" w:cs="宋体"/>
                <w:b/>
                <w:bCs/>
                <w:color w:val="auto"/>
                <w:kern w:val="0"/>
                <w:sz w:val="22"/>
                <w:szCs w:val="22"/>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AC02EB3">
            <w:pPr>
              <w:spacing w:line="300" w:lineRule="auto"/>
              <w:jc w:val="center"/>
              <w:rPr>
                <w:rFonts w:ascii="宋体" w:hAnsi="宋体" w:cs="宋体"/>
                <w:b/>
                <w:bCs/>
                <w:color w:val="auto"/>
                <w:kern w:val="0"/>
                <w:sz w:val="22"/>
                <w:szCs w:val="22"/>
              </w:rPr>
            </w:pPr>
            <w:r>
              <w:rPr>
                <w:rFonts w:hint="eastAsia" w:ascii="宋体" w:hAnsi="宋体" w:cs="宋体"/>
                <w:b/>
                <w:bCs/>
                <w:color w:val="auto"/>
                <w:kern w:val="0"/>
                <w:sz w:val="22"/>
                <w:szCs w:val="22"/>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3C83810">
            <w:pPr>
              <w:spacing w:line="300" w:lineRule="auto"/>
              <w:jc w:val="center"/>
              <w:rPr>
                <w:rFonts w:ascii="宋体" w:hAnsi="宋体" w:cs="宋体"/>
                <w:b/>
                <w:bCs/>
                <w:color w:val="auto"/>
                <w:kern w:val="0"/>
                <w:sz w:val="22"/>
                <w:szCs w:val="22"/>
              </w:rPr>
            </w:pPr>
            <w:r>
              <w:rPr>
                <w:rFonts w:hint="eastAsia" w:ascii="宋体" w:hAnsi="宋体" w:cs="宋体"/>
                <w:b/>
                <w:bCs/>
                <w:color w:val="auto"/>
                <w:kern w:val="0"/>
                <w:sz w:val="22"/>
                <w:szCs w:val="22"/>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2477916">
            <w:pPr>
              <w:spacing w:line="300" w:lineRule="auto"/>
              <w:jc w:val="center"/>
              <w:rPr>
                <w:rFonts w:ascii="宋体" w:hAnsi="宋体" w:cs="宋体"/>
                <w:b/>
                <w:bCs/>
                <w:color w:val="auto"/>
                <w:kern w:val="0"/>
                <w:sz w:val="22"/>
                <w:szCs w:val="22"/>
              </w:rPr>
            </w:pPr>
            <w:r>
              <w:rPr>
                <w:rFonts w:hint="eastAsia" w:ascii="宋体" w:hAnsi="宋体" w:cs="宋体"/>
                <w:b/>
                <w:bCs/>
                <w:color w:val="auto"/>
                <w:kern w:val="0"/>
                <w:sz w:val="22"/>
                <w:szCs w:val="22"/>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C5A7403">
            <w:pPr>
              <w:spacing w:line="300" w:lineRule="auto"/>
              <w:jc w:val="center"/>
              <w:rPr>
                <w:rFonts w:ascii="宋体" w:hAnsi="宋体" w:cs="宋体"/>
                <w:b/>
                <w:bCs/>
                <w:color w:val="auto"/>
                <w:kern w:val="0"/>
                <w:sz w:val="22"/>
                <w:szCs w:val="22"/>
              </w:rPr>
            </w:pPr>
            <w:r>
              <w:rPr>
                <w:rFonts w:hint="eastAsia" w:ascii="宋体" w:hAnsi="宋体" w:cs="宋体"/>
                <w:b/>
                <w:bCs/>
                <w:color w:val="auto"/>
                <w:kern w:val="0"/>
                <w:sz w:val="22"/>
                <w:szCs w:val="22"/>
              </w:rPr>
              <w:t>备注</w:t>
            </w:r>
          </w:p>
        </w:tc>
      </w:tr>
      <w:tr w14:paraId="2A203966">
        <w:tblPrEx>
          <w:shd w:val="clear" w:color="auto" w:fill="FBFBFB"/>
          <w:tblCellMar>
            <w:top w:w="0" w:type="dxa"/>
            <w:left w:w="0" w:type="dxa"/>
            <w:bottom w:w="0" w:type="dxa"/>
            <w:right w:w="0" w:type="dxa"/>
          </w:tblCellMar>
        </w:tblPrEx>
        <w:trPr>
          <w:trHeight w:val="397" w:hRule="exact"/>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8B2B69F">
            <w:pPr>
              <w:spacing w:line="300" w:lineRule="auto"/>
              <w:jc w:val="center"/>
              <w:rPr>
                <w:rFonts w:ascii="宋体" w:hAnsi="宋体" w:cs="宋体"/>
                <w:color w:val="auto"/>
                <w:kern w:val="0"/>
                <w:sz w:val="22"/>
                <w:szCs w:val="22"/>
              </w:rPr>
            </w:pPr>
            <w:r>
              <w:rPr>
                <w:rFonts w:hint="eastAsia" w:ascii="宋体" w:hAnsi="宋体" w:cs="宋体"/>
                <w:color w:val="auto"/>
                <w:kern w:val="0"/>
                <w:sz w:val="22"/>
                <w:szCs w:val="22"/>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EE856DF">
            <w:pPr>
              <w:spacing w:line="300" w:lineRule="auto"/>
              <w:jc w:val="center"/>
              <w:rPr>
                <w:rFonts w:ascii="宋体" w:hAnsi="宋体" w:cs="宋体"/>
                <w:color w:val="auto"/>
                <w:kern w:val="0"/>
                <w:sz w:val="22"/>
                <w:szCs w:val="22"/>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56E77C8">
            <w:pPr>
              <w:spacing w:line="300" w:lineRule="auto"/>
              <w:jc w:val="center"/>
              <w:rPr>
                <w:rFonts w:ascii="宋体" w:hAnsi="宋体" w:cs="宋体"/>
                <w:color w:val="auto"/>
                <w:kern w:val="0"/>
                <w:sz w:val="22"/>
                <w:szCs w:val="22"/>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FC7BBE4">
            <w:pPr>
              <w:spacing w:line="300" w:lineRule="auto"/>
              <w:jc w:val="center"/>
              <w:rPr>
                <w:rFonts w:ascii="宋体" w:hAnsi="宋体" w:cs="宋体"/>
                <w:color w:val="auto"/>
                <w:kern w:val="0"/>
                <w:sz w:val="22"/>
                <w:szCs w:val="22"/>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64C7718">
            <w:pPr>
              <w:spacing w:line="300" w:lineRule="auto"/>
              <w:jc w:val="center"/>
              <w:rPr>
                <w:rFonts w:ascii="宋体" w:hAnsi="宋体" w:cs="宋体"/>
                <w:color w:val="auto"/>
                <w:kern w:val="0"/>
                <w:sz w:val="22"/>
                <w:szCs w:val="22"/>
              </w:rPr>
            </w:pPr>
          </w:p>
        </w:tc>
      </w:tr>
      <w:tr w14:paraId="102A80BC">
        <w:tblPrEx>
          <w:shd w:val="clear" w:color="auto" w:fill="FBFBFB"/>
          <w:tblCellMar>
            <w:top w:w="0" w:type="dxa"/>
            <w:left w:w="0" w:type="dxa"/>
            <w:bottom w:w="0" w:type="dxa"/>
            <w:right w:w="0" w:type="dxa"/>
          </w:tblCellMar>
        </w:tblPrEx>
        <w:trPr>
          <w:trHeight w:val="397" w:hRule="exact"/>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0F56725">
            <w:pPr>
              <w:spacing w:line="300" w:lineRule="auto"/>
              <w:jc w:val="center"/>
              <w:rPr>
                <w:rFonts w:ascii="宋体" w:hAnsi="宋体" w:cs="宋体"/>
                <w:color w:val="auto"/>
                <w:kern w:val="0"/>
                <w:sz w:val="22"/>
                <w:szCs w:val="22"/>
              </w:rPr>
            </w:pPr>
            <w:r>
              <w:rPr>
                <w:rFonts w:hint="eastAsia" w:ascii="宋体" w:hAnsi="宋体" w:cs="宋体"/>
                <w:color w:val="auto"/>
                <w:kern w:val="0"/>
                <w:sz w:val="22"/>
                <w:szCs w:val="22"/>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70740EE">
            <w:pPr>
              <w:spacing w:line="300" w:lineRule="auto"/>
              <w:jc w:val="center"/>
              <w:rPr>
                <w:rFonts w:ascii="宋体" w:hAnsi="宋体" w:cs="宋体"/>
                <w:color w:val="auto"/>
                <w:kern w:val="0"/>
                <w:sz w:val="22"/>
                <w:szCs w:val="22"/>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CAF868C">
            <w:pPr>
              <w:spacing w:line="300" w:lineRule="auto"/>
              <w:jc w:val="center"/>
              <w:rPr>
                <w:rFonts w:ascii="宋体" w:hAnsi="宋体" w:cs="宋体"/>
                <w:color w:val="auto"/>
                <w:kern w:val="0"/>
                <w:sz w:val="22"/>
                <w:szCs w:val="22"/>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47E1E29">
            <w:pPr>
              <w:spacing w:line="300" w:lineRule="auto"/>
              <w:jc w:val="center"/>
              <w:rPr>
                <w:rFonts w:ascii="宋体" w:hAnsi="宋体" w:cs="宋体"/>
                <w:color w:val="auto"/>
                <w:kern w:val="0"/>
                <w:sz w:val="22"/>
                <w:szCs w:val="22"/>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4412845">
            <w:pPr>
              <w:spacing w:line="300" w:lineRule="auto"/>
              <w:jc w:val="center"/>
              <w:rPr>
                <w:rFonts w:ascii="宋体" w:hAnsi="宋体" w:cs="宋体"/>
                <w:color w:val="auto"/>
                <w:kern w:val="0"/>
                <w:sz w:val="22"/>
                <w:szCs w:val="22"/>
              </w:rPr>
            </w:pPr>
          </w:p>
        </w:tc>
      </w:tr>
      <w:tr w14:paraId="4066D804">
        <w:tblPrEx>
          <w:shd w:val="clear" w:color="auto" w:fill="FBFBFB"/>
          <w:tblCellMar>
            <w:top w:w="0" w:type="dxa"/>
            <w:left w:w="0" w:type="dxa"/>
            <w:bottom w:w="0" w:type="dxa"/>
            <w:right w:w="0" w:type="dxa"/>
          </w:tblCellMar>
        </w:tblPrEx>
        <w:trPr>
          <w:trHeight w:val="397" w:hRule="exact"/>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566475E">
            <w:pPr>
              <w:spacing w:line="300" w:lineRule="auto"/>
              <w:jc w:val="center"/>
              <w:rPr>
                <w:rFonts w:ascii="宋体" w:hAnsi="宋体" w:cs="宋体"/>
                <w:color w:val="auto"/>
                <w:kern w:val="0"/>
                <w:sz w:val="22"/>
                <w:szCs w:val="22"/>
              </w:rPr>
            </w:pPr>
            <w:r>
              <w:rPr>
                <w:rFonts w:hint="eastAsia" w:ascii="宋体" w:hAnsi="宋体" w:cs="宋体"/>
                <w:color w:val="auto"/>
                <w:kern w:val="0"/>
                <w:sz w:val="22"/>
                <w:szCs w:val="22"/>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435D266">
            <w:pPr>
              <w:spacing w:line="300" w:lineRule="auto"/>
              <w:jc w:val="center"/>
              <w:rPr>
                <w:rFonts w:ascii="宋体" w:hAnsi="宋体" w:cs="宋体"/>
                <w:color w:val="auto"/>
                <w:kern w:val="0"/>
                <w:sz w:val="22"/>
                <w:szCs w:val="22"/>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FFA69A8">
            <w:pPr>
              <w:spacing w:line="300" w:lineRule="auto"/>
              <w:jc w:val="center"/>
              <w:rPr>
                <w:rFonts w:ascii="宋体" w:hAnsi="宋体" w:cs="宋体"/>
                <w:color w:val="auto"/>
                <w:kern w:val="0"/>
                <w:sz w:val="22"/>
                <w:szCs w:val="22"/>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0DF3A89">
            <w:pPr>
              <w:spacing w:line="300" w:lineRule="auto"/>
              <w:jc w:val="center"/>
              <w:rPr>
                <w:rFonts w:ascii="宋体" w:hAnsi="宋体" w:cs="宋体"/>
                <w:color w:val="auto"/>
                <w:kern w:val="0"/>
                <w:sz w:val="22"/>
                <w:szCs w:val="22"/>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15A3314">
            <w:pPr>
              <w:spacing w:line="300" w:lineRule="auto"/>
              <w:jc w:val="center"/>
              <w:rPr>
                <w:rFonts w:ascii="宋体" w:hAnsi="宋体" w:cs="宋体"/>
                <w:color w:val="auto"/>
                <w:kern w:val="0"/>
                <w:sz w:val="22"/>
                <w:szCs w:val="22"/>
              </w:rPr>
            </w:pPr>
          </w:p>
        </w:tc>
      </w:tr>
    </w:tbl>
    <w:p w14:paraId="2E26CF2C">
      <w:pPr>
        <w:snapToGrid w:val="0"/>
        <w:spacing w:line="300" w:lineRule="auto"/>
        <w:jc w:val="left"/>
        <w:rPr>
          <w:rFonts w:ascii="宋体" w:hAnsi="宋体"/>
          <w:color w:val="auto"/>
          <w:sz w:val="22"/>
          <w:szCs w:val="22"/>
        </w:rPr>
      </w:pPr>
      <w:r>
        <w:rPr>
          <w:rFonts w:hint="eastAsia" w:ascii="宋体" w:hAnsi="宋体"/>
          <w:color w:val="auto"/>
          <w:sz w:val="22"/>
          <w:szCs w:val="22"/>
        </w:rPr>
        <w:t>注：</w:t>
      </w:r>
    </w:p>
    <w:p w14:paraId="6081AAF4">
      <w:pPr>
        <w:snapToGrid w:val="0"/>
        <w:spacing w:line="300" w:lineRule="auto"/>
        <w:jc w:val="left"/>
        <w:rPr>
          <w:rFonts w:ascii="宋体" w:hAnsi="宋体"/>
          <w:color w:val="auto"/>
          <w:sz w:val="22"/>
          <w:szCs w:val="22"/>
        </w:rPr>
      </w:pPr>
      <w:r>
        <w:rPr>
          <w:rFonts w:hint="eastAsia" w:ascii="宋体" w:hAnsi="宋体"/>
          <w:color w:val="auto"/>
          <w:sz w:val="22"/>
          <w:szCs w:val="22"/>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1FD46CA">
      <w:pPr>
        <w:snapToGrid w:val="0"/>
        <w:spacing w:line="300" w:lineRule="auto"/>
        <w:jc w:val="left"/>
        <w:rPr>
          <w:rFonts w:ascii="宋体" w:hAnsi="宋体"/>
          <w:color w:val="auto"/>
          <w:sz w:val="22"/>
          <w:szCs w:val="22"/>
        </w:rPr>
      </w:pPr>
      <w:r>
        <w:rPr>
          <w:rFonts w:hint="eastAsia" w:ascii="宋体" w:hAnsi="宋体"/>
          <w:color w:val="auto"/>
          <w:sz w:val="22"/>
          <w:szCs w:val="22"/>
        </w:rPr>
        <w:t>2.本表所指的控股关系仅限于直接控股关系，不包括间接的控股关系。公司实际控制人与公司之间的关系不属于本表所指的直接控股关系。</w:t>
      </w:r>
    </w:p>
    <w:p w14:paraId="22BC503D">
      <w:pPr>
        <w:snapToGrid w:val="0"/>
        <w:spacing w:line="300" w:lineRule="auto"/>
        <w:jc w:val="left"/>
        <w:rPr>
          <w:rFonts w:ascii="宋体" w:hAnsi="宋体"/>
          <w:color w:val="auto"/>
          <w:sz w:val="22"/>
          <w:szCs w:val="22"/>
        </w:rPr>
      </w:pPr>
      <w:r>
        <w:rPr>
          <w:rFonts w:hint="eastAsia" w:ascii="宋体" w:hAnsi="宋体"/>
          <w:color w:val="auto"/>
          <w:sz w:val="22"/>
          <w:szCs w:val="22"/>
        </w:rPr>
        <w:t>3.供应商不存在直接控股股东的，则填“无”。</w:t>
      </w:r>
    </w:p>
    <w:p w14:paraId="768708DF">
      <w:pPr>
        <w:snapToGrid w:val="0"/>
        <w:spacing w:line="300" w:lineRule="auto"/>
        <w:jc w:val="left"/>
        <w:rPr>
          <w:rFonts w:ascii="宋体" w:hAnsi="宋体"/>
          <w:color w:val="auto"/>
          <w:sz w:val="22"/>
          <w:szCs w:val="22"/>
        </w:rPr>
      </w:pPr>
    </w:p>
    <w:p w14:paraId="120F7731">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法定代表人或者委托代理人（签字/电子签名）：</w:t>
      </w:r>
    </w:p>
    <w:p w14:paraId="6C2B0E15">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投标人名称（公章或电子签章）：</w:t>
      </w:r>
    </w:p>
    <w:p w14:paraId="0BC973C8">
      <w:pPr>
        <w:snapToGrid w:val="0"/>
        <w:spacing w:before="50" w:after="50" w:line="300" w:lineRule="auto"/>
        <w:ind w:left="-6" w:leftChars="-15" w:right="-817" w:rightChars="-389" w:hanging="25" w:hangingChars="12"/>
        <w:jc w:val="left"/>
        <w:rPr>
          <w:rFonts w:ascii="宋体" w:hAnsi="宋体"/>
          <w:b/>
          <w:color w:val="auto"/>
          <w:sz w:val="28"/>
          <w:szCs w:val="28"/>
        </w:rPr>
      </w:pPr>
      <w:r>
        <w:rPr>
          <w:rFonts w:hint="eastAsia" w:ascii="宋体" w:hAnsi="宋体"/>
          <w:b/>
          <w:bCs/>
          <w:color w:val="auto"/>
          <w:szCs w:val="21"/>
        </w:rPr>
        <w:t>日期：    年   月   日</w:t>
      </w:r>
    </w:p>
    <w:p w14:paraId="7BBEDC84">
      <w:pPr>
        <w:snapToGrid w:val="0"/>
        <w:spacing w:line="360" w:lineRule="auto"/>
        <w:jc w:val="center"/>
        <w:rPr>
          <w:rFonts w:ascii="宋体" w:hAnsi="宋体"/>
          <w:b/>
          <w:color w:val="auto"/>
          <w:sz w:val="32"/>
          <w:szCs w:val="32"/>
        </w:rPr>
      </w:pPr>
    </w:p>
    <w:p w14:paraId="4B013046">
      <w:pPr>
        <w:snapToGrid w:val="0"/>
        <w:spacing w:line="360" w:lineRule="auto"/>
        <w:jc w:val="center"/>
        <w:rPr>
          <w:rFonts w:ascii="宋体" w:hAnsi="宋体"/>
          <w:color w:val="auto"/>
          <w:sz w:val="32"/>
          <w:szCs w:val="32"/>
        </w:rPr>
      </w:pPr>
      <w:r>
        <w:rPr>
          <w:rFonts w:hint="eastAsia" w:ascii="宋体" w:hAnsi="宋体"/>
          <w:b/>
          <w:color w:val="auto"/>
          <w:sz w:val="32"/>
          <w:szCs w:val="32"/>
        </w:rPr>
        <w:br w:type="page"/>
      </w:r>
      <w:r>
        <w:rPr>
          <w:rFonts w:hint="eastAsia" w:ascii="宋体" w:hAnsi="宋体"/>
          <w:b/>
          <w:color w:val="auto"/>
          <w:sz w:val="32"/>
          <w:szCs w:val="32"/>
        </w:rPr>
        <w:t>投标人直接管理关系信息表</w:t>
      </w:r>
    </w:p>
    <w:tbl>
      <w:tblPr>
        <w:tblStyle w:val="25"/>
        <w:tblW w:w="0" w:type="auto"/>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785CECDB">
        <w:tblPrEx>
          <w:tblCellMar>
            <w:top w:w="0" w:type="dxa"/>
            <w:left w:w="0" w:type="dxa"/>
            <w:bottom w:w="0" w:type="dxa"/>
            <w:right w:w="0" w:type="dxa"/>
          </w:tblCellMar>
        </w:tblPrEx>
        <w:trPr>
          <w:trHeight w:val="397" w:hRule="exact"/>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FEEED73">
            <w:pPr>
              <w:spacing w:line="360" w:lineRule="auto"/>
              <w:jc w:val="center"/>
              <w:rPr>
                <w:rFonts w:ascii="宋体" w:hAnsi="宋体" w:cs="宋体"/>
                <w:b/>
                <w:bCs/>
                <w:color w:val="auto"/>
                <w:kern w:val="0"/>
                <w:sz w:val="24"/>
              </w:rPr>
            </w:pPr>
            <w:r>
              <w:rPr>
                <w:rFonts w:hint="eastAsia" w:ascii="宋体" w:hAnsi="宋体" w:cs="宋体"/>
                <w:b/>
                <w:bCs/>
                <w:color w:val="auto"/>
                <w:kern w:val="0"/>
                <w:sz w:val="24"/>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FC3D8EB">
            <w:pPr>
              <w:spacing w:line="360" w:lineRule="auto"/>
              <w:jc w:val="center"/>
              <w:rPr>
                <w:rFonts w:ascii="宋体" w:hAnsi="宋体" w:cs="宋体"/>
                <w:b/>
                <w:bCs/>
                <w:color w:val="auto"/>
                <w:kern w:val="0"/>
                <w:sz w:val="24"/>
              </w:rPr>
            </w:pPr>
            <w:r>
              <w:rPr>
                <w:rFonts w:hint="eastAsia" w:ascii="宋体" w:hAnsi="宋体" w:cs="宋体"/>
                <w:b/>
                <w:bCs/>
                <w:color w:val="auto"/>
                <w:kern w:val="0"/>
                <w:sz w:val="24"/>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B954AA7">
            <w:pPr>
              <w:spacing w:line="360" w:lineRule="auto"/>
              <w:jc w:val="center"/>
              <w:rPr>
                <w:rFonts w:ascii="宋体" w:hAnsi="宋体" w:cs="宋体"/>
                <w:b/>
                <w:bCs/>
                <w:color w:val="auto"/>
                <w:kern w:val="0"/>
                <w:sz w:val="24"/>
              </w:rPr>
            </w:pPr>
            <w:r>
              <w:rPr>
                <w:rFonts w:hint="eastAsia" w:ascii="宋体" w:hAnsi="宋体" w:cs="宋体"/>
                <w:b/>
                <w:bCs/>
                <w:color w:val="auto"/>
                <w:kern w:val="0"/>
                <w:sz w:val="24"/>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B0D1ABF">
            <w:pPr>
              <w:spacing w:line="360" w:lineRule="auto"/>
              <w:jc w:val="center"/>
              <w:rPr>
                <w:rFonts w:ascii="宋体" w:hAnsi="宋体" w:cs="宋体"/>
                <w:b/>
                <w:bCs/>
                <w:color w:val="auto"/>
                <w:kern w:val="0"/>
                <w:sz w:val="24"/>
              </w:rPr>
            </w:pPr>
            <w:r>
              <w:rPr>
                <w:rFonts w:hint="eastAsia" w:ascii="宋体" w:hAnsi="宋体" w:cs="宋体"/>
                <w:b/>
                <w:bCs/>
                <w:color w:val="auto"/>
                <w:kern w:val="0"/>
                <w:sz w:val="24"/>
              </w:rPr>
              <w:t>备注</w:t>
            </w:r>
          </w:p>
        </w:tc>
      </w:tr>
      <w:tr w14:paraId="3D4366EB">
        <w:tblPrEx>
          <w:shd w:val="clear" w:color="auto" w:fill="FBFBFB"/>
          <w:tblCellMar>
            <w:top w:w="0" w:type="dxa"/>
            <w:left w:w="0" w:type="dxa"/>
            <w:bottom w:w="0" w:type="dxa"/>
            <w:right w:w="0" w:type="dxa"/>
          </w:tblCellMar>
        </w:tblPrEx>
        <w:trPr>
          <w:trHeight w:val="397" w:hRule="exact"/>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FF1EFFF">
            <w:pPr>
              <w:spacing w:line="360" w:lineRule="auto"/>
              <w:jc w:val="center"/>
              <w:rPr>
                <w:rFonts w:ascii="宋体" w:hAnsi="宋体" w:cs="宋体"/>
                <w:color w:val="auto"/>
                <w:kern w:val="0"/>
                <w:sz w:val="24"/>
              </w:rPr>
            </w:pPr>
            <w:r>
              <w:rPr>
                <w:rFonts w:hint="eastAsia" w:ascii="宋体" w:hAnsi="宋体" w:cs="宋体"/>
                <w:color w:val="auto"/>
                <w:kern w:val="0"/>
                <w:sz w:val="24"/>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54256E4">
            <w:pPr>
              <w:spacing w:line="360" w:lineRule="auto"/>
              <w:jc w:val="center"/>
              <w:rPr>
                <w:rFonts w:ascii="宋体" w:hAnsi="宋体" w:cs="宋体"/>
                <w:color w:val="auto"/>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D876710">
            <w:pPr>
              <w:spacing w:line="360" w:lineRule="auto"/>
              <w:jc w:val="center"/>
              <w:rPr>
                <w:rFonts w:ascii="宋体" w:hAnsi="宋体" w:cs="宋体"/>
                <w:color w:val="auto"/>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39098DB">
            <w:pPr>
              <w:spacing w:line="360" w:lineRule="auto"/>
              <w:jc w:val="center"/>
              <w:rPr>
                <w:rFonts w:ascii="宋体" w:hAnsi="宋体" w:cs="宋体"/>
                <w:color w:val="auto"/>
                <w:kern w:val="0"/>
                <w:sz w:val="24"/>
              </w:rPr>
            </w:pPr>
          </w:p>
        </w:tc>
      </w:tr>
      <w:tr w14:paraId="1C0DA4DA">
        <w:tblPrEx>
          <w:tblCellMar>
            <w:top w:w="0" w:type="dxa"/>
            <w:left w:w="0" w:type="dxa"/>
            <w:bottom w:w="0" w:type="dxa"/>
            <w:right w:w="0" w:type="dxa"/>
          </w:tblCellMar>
        </w:tblPrEx>
        <w:trPr>
          <w:trHeight w:val="397" w:hRule="exact"/>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874E103">
            <w:pPr>
              <w:spacing w:line="360" w:lineRule="auto"/>
              <w:jc w:val="center"/>
              <w:rPr>
                <w:rFonts w:ascii="宋体" w:hAnsi="宋体" w:cs="宋体"/>
                <w:color w:val="auto"/>
                <w:kern w:val="0"/>
                <w:sz w:val="24"/>
              </w:rPr>
            </w:pPr>
            <w:r>
              <w:rPr>
                <w:rFonts w:hint="eastAsia" w:ascii="宋体" w:hAnsi="宋体" w:cs="宋体"/>
                <w:color w:val="auto"/>
                <w:kern w:val="0"/>
                <w:sz w:val="24"/>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D18E384">
            <w:pPr>
              <w:spacing w:line="360" w:lineRule="auto"/>
              <w:jc w:val="center"/>
              <w:rPr>
                <w:rFonts w:ascii="宋体" w:hAnsi="宋体" w:cs="宋体"/>
                <w:color w:val="auto"/>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2880D5A">
            <w:pPr>
              <w:spacing w:line="360" w:lineRule="auto"/>
              <w:jc w:val="center"/>
              <w:rPr>
                <w:rFonts w:ascii="宋体" w:hAnsi="宋体" w:cs="宋体"/>
                <w:color w:val="auto"/>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E577E29">
            <w:pPr>
              <w:spacing w:line="360" w:lineRule="auto"/>
              <w:jc w:val="center"/>
              <w:rPr>
                <w:rFonts w:ascii="宋体" w:hAnsi="宋体" w:cs="宋体"/>
                <w:color w:val="auto"/>
                <w:kern w:val="0"/>
                <w:sz w:val="24"/>
              </w:rPr>
            </w:pPr>
          </w:p>
        </w:tc>
      </w:tr>
      <w:tr w14:paraId="064ACDC7">
        <w:tblPrEx>
          <w:tblCellMar>
            <w:top w:w="0" w:type="dxa"/>
            <w:left w:w="0" w:type="dxa"/>
            <w:bottom w:w="0" w:type="dxa"/>
            <w:right w:w="0" w:type="dxa"/>
          </w:tblCellMar>
        </w:tblPrEx>
        <w:trPr>
          <w:trHeight w:val="397" w:hRule="exact"/>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FE33226">
            <w:pPr>
              <w:spacing w:line="360" w:lineRule="auto"/>
              <w:jc w:val="center"/>
              <w:rPr>
                <w:rFonts w:ascii="宋体" w:hAnsi="宋体" w:cs="宋体"/>
                <w:color w:val="auto"/>
                <w:kern w:val="0"/>
                <w:sz w:val="24"/>
              </w:rPr>
            </w:pPr>
            <w:r>
              <w:rPr>
                <w:rFonts w:hint="eastAsia" w:ascii="宋体" w:hAnsi="宋体" w:cs="宋体"/>
                <w:color w:val="auto"/>
                <w:kern w:val="0"/>
                <w:sz w:val="24"/>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67A5340">
            <w:pPr>
              <w:spacing w:line="360" w:lineRule="auto"/>
              <w:jc w:val="center"/>
              <w:rPr>
                <w:rFonts w:ascii="宋体" w:hAnsi="宋体" w:cs="宋体"/>
                <w:color w:val="auto"/>
                <w:kern w:val="0"/>
                <w:sz w:val="24"/>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44A5A46">
            <w:pPr>
              <w:spacing w:line="360" w:lineRule="auto"/>
              <w:jc w:val="center"/>
              <w:rPr>
                <w:rFonts w:ascii="宋体" w:hAnsi="宋体" w:cs="宋体"/>
                <w:color w:val="auto"/>
                <w:kern w:val="0"/>
                <w:sz w:val="24"/>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4E6B037">
            <w:pPr>
              <w:spacing w:line="360" w:lineRule="auto"/>
              <w:jc w:val="center"/>
              <w:rPr>
                <w:rFonts w:ascii="宋体" w:hAnsi="宋体" w:cs="宋体"/>
                <w:color w:val="auto"/>
                <w:kern w:val="0"/>
                <w:sz w:val="24"/>
              </w:rPr>
            </w:pPr>
          </w:p>
        </w:tc>
      </w:tr>
    </w:tbl>
    <w:p w14:paraId="2D289416">
      <w:pPr>
        <w:snapToGrid w:val="0"/>
        <w:spacing w:line="300" w:lineRule="auto"/>
        <w:jc w:val="left"/>
        <w:rPr>
          <w:rFonts w:ascii="宋体" w:hAnsi="宋体"/>
          <w:color w:val="auto"/>
          <w:sz w:val="24"/>
        </w:rPr>
      </w:pPr>
      <w:r>
        <w:rPr>
          <w:rFonts w:hint="eastAsia" w:ascii="宋体" w:hAnsi="宋体"/>
          <w:color w:val="auto"/>
          <w:sz w:val="24"/>
        </w:rPr>
        <w:t>注：</w:t>
      </w:r>
    </w:p>
    <w:p w14:paraId="144015AE">
      <w:pPr>
        <w:snapToGrid w:val="0"/>
        <w:spacing w:line="300" w:lineRule="auto"/>
        <w:ind w:firstLine="480" w:firstLineChars="200"/>
        <w:jc w:val="left"/>
        <w:rPr>
          <w:rFonts w:ascii="宋体" w:hAnsi="宋体"/>
          <w:color w:val="auto"/>
          <w:sz w:val="24"/>
        </w:rPr>
      </w:pPr>
      <w:r>
        <w:rPr>
          <w:rFonts w:hint="eastAsia" w:ascii="宋体" w:hAnsi="宋体"/>
          <w:color w:val="auto"/>
          <w:sz w:val="24"/>
        </w:rPr>
        <w:t>1.管理关系：是指不具有出资持股关系的其他单位之间存在的管理与被管理关系，如一些上下级关系的事业单位和团体组织。</w:t>
      </w:r>
    </w:p>
    <w:p w14:paraId="4180F5B3">
      <w:pPr>
        <w:snapToGrid w:val="0"/>
        <w:spacing w:line="300" w:lineRule="auto"/>
        <w:ind w:firstLine="480" w:firstLineChars="200"/>
        <w:jc w:val="left"/>
        <w:rPr>
          <w:rFonts w:ascii="宋体" w:hAnsi="宋体"/>
          <w:color w:val="auto"/>
          <w:sz w:val="24"/>
        </w:rPr>
      </w:pPr>
      <w:r>
        <w:rPr>
          <w:rFonts w:hint="eastAsia" w:ascii="宋体" w:hAnsi="宋体"/>
          <w:color w:val="auto"/>
          <w:sz w:val="24"/>
        </w:rPr>
        <w:t>2.</w:t>
      </w:r>
      <w:r>
        <w:rPr>
          <w:rFonts w:hint="eastAsia" w:ascii="宋体" w:hAnsi="宋体"/>
          <w:color w:val="auto"/>
          <w:spacing w:val="-6"/>
          <w:sz w:val="24"/>
        </w:rPr>
        <w:t>本表所指的管理关系仅限于直接管理关系，不包括间接的管理关系。</w:t>
      </w:r>
    </w:p>
    <w:p w14:paraId="281A5C50">
      <w:pPr>
        <w:snapToGrid w:val="0"/>
        <w:spacing w:line="300" w:lineRule="auto"/>
        <w:ind w:firstLine="480" w:firstLineChars="200"/>
        <w:jc w:val="left"/>
        <w:rPr>
          <w:rFonts w:ascii="宋体" w:hAnsi="宋体"/>
          <w:color w:val="auto"/>
          <w:sz w:val="24"/>
        </w:rPr>
      </w:pPr>
      <w:r>
        <w:rPr>
          <w:rFonts w:hint="eastAsia" w:ascii="宋体" w:hAnsi="宋体"/>
          <w:color w:val="auto"/>
          <w:sz w:val="24"/>
        </w:rPr>
        <w:t>3.供应商不存在直接管理关系的，则填“无”。</w:t>
      </w:r>
    </w:p>
    <w:p w14:paraId="4144C584">
      <w:pPr>
        <w:snapToGrid w:val="0"/>
        <w:spacing w:before="50" w:after="50" w:line="300" w:lineRule="auto"/>
        <w:ind w:left="-6" w:leftChars="-15" w:right="-817" w:rightChars="-389" w:hanging="25" w:hangingChars="12"/>
        <w:jc w:val="left"/>
        <w:rPr>
          <w:rFonts w:ascii="宋体" w:hAnsi="宋体"/>
          <w:b/>
          <w:bCs/>
          <w:color w:val="auto"/>
          <w:szCs w:val="21"/>
        </w:rPr>
      </w:pPr>
    </w:p>
    <w:p w14:paraId="2BA8EC51">
      <w:pPr>
        <w:snapToGrid w:val="0"/>
        <w:spacing w:before="50" w:after="50" w:line="300" w:lineRule="auto"/>
        <w:ind w:left="-6" w:leftChars="-15" w:right="-817" w:rightChars="-389" w:hanging="25" w:hangingChars="12"/>
        <w:jc w:val="left"/>
        <w:rPr>
          <w:rFonts w:ascii="宋体" w:hAnsi="宋体"/>
          <w:b/>
          <w:bCs/>
          <w:color w:val="auto"/>
          <w:szCs w:val="21"/>
        </w:rPr>
      </w:pPr>
    </w:p>
    <w:p w14:paraId="10D5E518">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法定代表人或者委托代理人（签字/电子签名）：</w:t>
      </w:r>
    </w:p>
    <w:p w14:paraId="02D1B025">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投标人名称（公章或电子签章）：</w:t>
      </w:r>
    </w:p>
    <w:p w14:paraId="24DE3AB9">
      <w:pPr>
        <w:snapToGrid w:val="0"/>
        <w:spacing w:before="50" w:after="50" w:line="300" w:lineRule="auto"/>
        <w:ind w:left="-6" w:leftChars="-15" w:right="-817" w:rightChars="-389" w:hanging="25" w:hangingChars="12"/>
        <w:rPr>
          <w:rFonts w:ascii="宋体" w:hAnsi="宋体"/>
          <w:b/>
          <w:color w:val="auto"/>
          <w:sz w:val="24"/>
          <w:szCs w:val="20"/>
        </w:rPr>
      </w:pPr>
      <w:r>
        <w:rPr>
          <w:rFonts w:hint="eastAsia" w:ascii="宋体" w:hAnsi="宋体"/>
          <w:b/>
          <w:bCs/>
          <w:color w:val="auto"/>
          <w:szCs w:val="21"/>
        </w:rPr>
        <w:t>日期：    年   月   日</w:t>
      </w:r>
    </w:p>
    <w:p w14:paraId="0C4549E0">
      <w:pPr>
        <w:snapToGrid w:val="0"/>
        <w:spacing w:beforeLines="50" w:after="50"/>
        <w:jc w:val="left"/>
        <w:rPr>
          <w:rFonts w:ascii="宋体" w:hAnsi="宋体"/>
          <w:b/>
          <w:color w:val="auto"/>
          <w:sz w:val="24"/>
          <w:szCs w:val="20"/>
        </w:rPr>
      </w:pPr>
      <w:r>
        <w:rPr>
          <w:rFonts w:ascii="宋体" w:hAnsi="宋体"/>
          <w:b/>
          <w:color w:val="auto"/>
          <w:sz w:val="24"/>
        </w:rPr>
        <w:br w:type="page"/>
      </w:r>
      <w:r>
        <w:rPr>
          <w:rFonts w:hint="eastAsia" w:ascii="宋体" w:hAnsi="宋体"/>
          <w:b/>
          <w:color w:val="auto"/>
          <w:sz w:val="24"/>
          <w:lang w:val="en-US" w:eastAsia="zh-CN"/>
        </w:rPr>
        <w:t>7</w:t>
      </w:r>
      <w:r>
        <w:rPr>
          <w:rFonts w:hint="eastAsia" w:ascii="宋体" w:hAnsi="宋体"/>
          <w:b/>
          <w:color w:val="auto"/>
          <w:sz w:val="24"/>
        </w:rPr>
        <w:t>.投标声明</w:t>
      </w:r>
    </w:p>
    <w:p w14:paraId="0A1AF13C">
      <w:pPr>
        <w:snapToGrid w:val="0"/>
        <w:spacing w:before="50" w:afterLines="50"/>
        <w:jc w:val="left"/>
        <w:rPr>
          <w:rFonts w:ascii="宋体" w:hAnsi="宋体"/>
          <w:color w:val="auto"/>
        </w:rPr>
      </w:pPr>
    </w:p>
    <w:p w14:paraId="1CAC86C5">
      <w:pPr>
        <w:snapToGrid w:val="0"/>
        <w:spacing w:before="50" w:afterLines="50"/>
        <w:jc w:val="center"/>
        <w:rPr>
          <w:rFonts w:ascii="宋体" w:hAnsi="宋体"/>
          <w:b/>
          <w:color w:val="auto"/>
          <w:sz w:val="24"/>
        </w:rPr>
      </w:pPr>
      <w:r>
        <w:rPr>
          <w:rFonts w:hint="eastAsia" w:ascii="宋体" w:hAnsi="宋体"/>
          <w:b/>
          <w:color w:val="auto"/>
          <w:sz w:val="24"/>
        </w:rPr>
        <w:t>投标声明</w:t>
      </w:r>
    </w:p>
    <w:p w14:paraId="5DA1C913">
      <w:pPr>
        <w:snapToGrid w:val="0"/>
        <w:spacing w:before="50" w:afterLines="50" w:line="360" w:lineRule="auto"/>
        <w:jc w:val="left"/>
        <w:rPr>
          <w:color w:val="auto"/>
          <w:szCs w:val="21"/>
        </w:rPr>
      </w:pPr>
      <w:r>
        <w:rPr>
          <w:rFonts w:hint="eastAsia"/>
          <w:color w:val="auto"/>
          <w:szCs w:val="21"/>
        </w:rPr>
        <w:t>（采购人名称）：</w:t>
      </w:r>
    </w:p>
    <w:p w14:paraId="6D8C31BE">
      <w:pPr>
        <w:snapToGrid w:val="0"/>
        <w:spacing w:before="50" w:afterLines="50" w:line="360" w:lineRule="auto"/>
        <w:ind w:firstLine="405"/>
        <w:jc w:val="left"/>
        <w:rPr>
          <w:rFonts w:ascii="宋体" w:hAnsi="宋体"/>
          <w:color w:val="auto"/>
          <w:szCs w:val="21"/>
        </w:rPr>
      </w:pPr>
      <w:r>
        <w:rPr>
          <w:rFonts w:hint="eastAsia" w:ascii="宋体" w:hAnsi="宋体"/>
          <w:color w:val="auto"/>
          <w:szCs w:val="21"/>
        </w:rPr>
        <w:t>我方参加贵单位组织项目</w:t>
      </w:r>
      <w:r>
        <w:rPr>
          <w:rFonts w:hint="eastAsia" w:ascii="宋体" w:hAnsi="宋体"/>
          <w:color w:val="auto"/>
          <w:szCs w:val="21"/>
          <w:u w:val="single"/>
          <w:lang w:val="en-US" w:eastAsia="zh-CN"/>
        </w:rPr>
        <w:t xml:space="preserve">  （项目名称）  </w:t>
      </w:r>
      <w:r>
        <w:rPr>
          <w:rFonts w:hint="eastAsia" w:ascii="宋体" w:hAnsi="宋体"/>
          <w:color w:val="auto"/>
          <w:szCs w:val="21"/>
        </w:rPr>
        <w:t>（项目编号：</w:t>
      </w:r>
      <w:r>
        <w:rPr>
          <w:rFonts w:hint="eastAsia" w:ascii="宋体" w:hAnsi="宋体"/>
          <w:color w:val="auto"/>
          <w:szCs w:val="21"/>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）的政府采购活动。我方在此郑重声明：</w:t>
      </w:r>
    </w:p>
    <w:p w14:paraId="1000DCCB">
      <w:pPr>
        <w:snapToGrid w:val="0"/>
        <w:spacing w:before="50" w:afterLines="50" w:line="324" w:lineRule="auto"/>
        <w:ind w:firstLine="420" w:firstLineChars="200"/>
        <w:jc w:val="left"/>
        <w:rPr>
          <w:rFonts w:ascii="宋体" w:hAnsi="宋体"/>
          <w:color w:val="auto"/>
          <w:szCs w:val="21"/>
        </w:rPr>
      </w:pPr>
      <w:r>
        <w:rPr>
          <w:rFonts w:hint="eastAsia" w:ascii="宋体" w:hAnsi="宋体"/>
          <w:color w:val="auto"/>
          <w:szCs w:val="21"/>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00C917F2">
      <w:pPr>
        <w:snapToGrid w:val="0"/>
        <w:spacing w:before="50" w:afterLines="50" w:line="324" w:lineRule="auto"/>
        <w:ind w:firstLine="420" w:firstLineChars="200"/>
        <w:jc w:val="left"/>
        <w:rPr>
          <w:rFonts w:ascii="宋体" w:hAnsi="宋体"/>
          <w:color w:val="auto"/>
          <w:szCs w:val="21"/>
        </w:rPr>
      </w:pPr>
      <w:r>
        <w:rPr>
          <w:rFonts w:hint="eastAsia" w:ascii="宋体" w:hAnsi="宋体"/>
          <w:color w:val="auto"/>
          <w:szCs w:val="21"/>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1B373D56">
      <w:pPr>
        <w:snapToGrid w:val="0"/>
        <w:spacing w:before="50" w:afterLines="50" w:line="324" w:lineRule="auto"/>
        <w:ind w:firstLine="420" w:firstLineChars="200"/>
        <w:jc w:val="left"/>
        <w:rPr>
          <w:rFonts w:ascii="宋体" w:hAnsi="宋体"/>
          <w:color w:val="auto"/>
          <w:szCs w:val="21"/>
        </w:rPr>
      </w:pPr>
      <w:r>
        <w:rPr>
          <w:rFonts w:hint="eastAsia" w:ascii="宋体" w:hAnsi="宋体"/>
          <w:color w:val="auto"/>
          <w:szCs w:val="21"/>
        </w:rPr>
        <w:t>3.我方承诺符合《中华人民共和国政府采购法》第二十二条规定：</w:t>
      </w:r>
    </w:p>
    <w:p w14:paraId="0828893E">
      <w:pPr>
        <w:snapToGrid w:val="0"/>
        <w:spacing w:before="50" w:afterLines="50" w:line="324" w:lineRule="auto"/>
        <w:ind w:firstLine="420" w:firstLineChars="200"/>
        <w:jc w:val="left"/>
        <w:rPr>
          <w:rFonts w:ascii="宋体" w:hAnsi="宋体"/>
          <w:color w:val="auto"/>
          <w:szCs w:val="21"/>
        </w:rPr>
      </w:pPr>
      <w:r>
        <w:rPr>
          <w:rFonts w:hint="eastAsia" w:ascii="宋体" w:hAnsi="宋体"/>
          <w:color w:val="auto"/>
          <w:szCs w:val="21"/>
        </w:rPr>
        <w:t>（一）具有独立承担民事责任的能力；</w:t>
      </w:r>
    </w:p>
    <w:p w14:paraId="0B3F3186">
      <w:pPr>
        <w:snapToGrid w:val="0"/>
        <w:spacing w:before="50" w:afterLines="50" w:line="324" w:lineRule="auto"/>
        <w:ind w:firstLine="420" w:firstLineChars="200"/>
        <w:jc w:val="left"/>
        <w:rPr>
          <w:rFonts w:ascii="宋体" w:hAnsi="宋体"/>
          <w:color w:val="auto"/>
          <w:szCs w:val="21"/>
        </w:rPr>
      </w:pPr>
      <w:r>
        <w:rPr>
          <w:rFonts w:hint="eastAsia" w:ascii="宋体" w:hAnsi="宋体"/>
          <w:color w:val="auto"/>
          <w:szCs w:val="21"/>
        </w:rPr>
        <w:t>（二）具有良好的商业信誉和健全的财务会计制度；</w:t>
      </w:r>
    </w:p>
    <w:p w14:paraId="3BDD1E3F">
      <w:pPr>
        <w:snapToGrid w:val="0"/>
        <w:spacing w:before="50" w:afterLines="50" w:line="324" w:lineRule="auto"/>
        <w:ind w:firstLine="420" w:firstLineChars="200"/>
        <w:jc w:val="left"/>
        <w:rPr>
          <w:rFonts w:ascii="宋体" w:hAnsi="宋体"/>
          <w:color w:val="auto"/>
          <w:szCs w:val="21"/>
        </w:rPr>
      </w:pPr>
      <w:r>
        <w:rPr>
          <w:rFonts w:hint="eastAsia" w:ascii="宋体" w:hAnsi="宋体"/>
          <w:color w:val="auto"/>
          <w:szCs w:val="21"/>
        </w:rPr>
        <w:t>（三）具有履行合同所必需的设备和专业技术能力；</w:t>
      </w:r>
    </w:p>
    <w:p w14:paraId="2194E521">
      <w:pPr>
        <w:snapToGrid w:val="0"/>
        <w:spacing w:before="50" w:afterLines="50" w:line="324" w:lineRule="auto"/>
        <w:ind w:firstLine="420" w:firstLineChars="200"/>
        <w:jc w:val="left"/>
        <w:rPr>
          <w:rFonts w:ascii="宋体" w:hAnsi="宋体"/>
          <w:color w:val="auto"/>
          <w:szCs w:val="21"/>
        </w:rPr>
      </w:pPr>
      <w:r>
        <w:rPr>
          <w:rFonts w:hint="eastAsia" w:ascii="宋体" w:hAnsi="宋体"/>
          <w:color w:val="auto"/>
          <w:szCs w:val="21"/>
        </w:rPr>
        <w:t>（四）有依法缴纳税收和社会保障资金的良好记录；</w:t>
      </w:r>
    </w:p>
    <w:p w14:paraId="3FA3B49D">
      <w:pPr>
        <w:snapToGrid w:val="0"/>
        <w:spacing w:before="50" w:afterLines="50" w:line="324" w:lineRule="auto"/>
        <w:ind w:firstLine="420" w:firstLineChars="200"/>
        <w:jc w:val="left"/>
        <w:rPr>
          <w:rFonts w:ascii="宋体" w:hAnsi="宋体"/>
          <w:color w:val="auto"/>
          <w:szCs w:val="21"/>
        </w:rPr>
      </w:pPr>
      <w:r>
        <w:rPr>
          <w:rFonts w:hint="eastAsia" w:ascii="宋体" w:hAnsi="宋体"/>
          <w:color w:val="auto"/>
          <w:szCs w:val="21"/>
        </w:rPr>
        <w:t>（五）参加政府采购活动前三年内，在经营活动中没有重大违法记录；</w:t>
      </w:r>
    </w:p>
    <w:p w14:paraId="635D27F9">
      <w:pPr>
        <w:snapToGrid w:val="0"/>
        <w:spacing w:before="50" w:afterLines="50" w:line="324" w:lineRule="auto"/>
        <w:ind w:firstLine="420" w:firstLineChars="200"/>
        <w:jc w:val="left"/>
        <w:rPr>
          <w:rFonts w:ascii="宋体" w:hAnsi="宋体"/>
          <w:color w:val="auto"/>
          <w:szCs w:val="21"/>
        </w:rPr>
      </w:pPr>
      <w:r>
        <w:rPr>
          <w:rFonts w:hint="eastAsia" w:ascii="宋体" w:hAnsi="宋体"/>
          <w:color w:val="auto"/>
          <w:szCs w:val="21"/>
        </w:rPr>
        <w:t>（六）法律、行政法规规定的其他条件。</w:t>
      </w:r>
    </w:p>
    <w:p w14:paraId="3F66A0A1">
      <w:pPr>
        <w:snapToGrid w:val="0"/>
        <w:spacing w:before="50" w:afterLines="50" w:line="324" w:lineRule="auto"/>
        <w:ind w:firstLine="420" w:firstLineChars="200"/>
        <w:jc w:val="left"/>
        <w:rPr>
          <w:rFonts w:ascii="宋体" w:hAnsi="宋体"/>
          <w:color w:val="auto"/>
          <w:szCs w:val="21"/>
        </w:rPr>
      </w:pPr>
      <w:r>
        <w:rPr>
          <w:rFonts w:hint="eastAsia" w:ascii="宋体" w:hAnsi="宋体"/>
          <w:color w:val="auto"/>
          <w:szCs w:val="21"/>
        </w:rPr>
        <w:t>4.以上事项如有虚假或者隐瞒，我方愿意承担一切后果，并不再寻求任何旨在减轻或者免除法律责任的辩解。</w:t>
      </w:r>
    </w:p>
    <w:p w14:paraId="435E97C3">
      <w:pPr>
        <w:snapToGrid w:val="0"/>
        <w:spacing w:before="50" w:afterLines="50" w:line="324" w:lineRule="auto"/>
        <w:jc w:val="left"/>
        <w:rPr>
          <w:rFonts w:ascii="宋体" w:hAnsi="宋体"/>
          <w:color w:val="auto"/>
          <w:szCs w:val="21"/>
        </w:rPr>
      </w:pPr>
      <w:r>
        <w:rPr>
          <w:rFonts w:hint="eastAsia" w:ascii="宋体" w:hAnsi="宋体"/>
          <w:color w:val="auto"/>
          <w:szCs w:val="21"/>
        </w:rPr>
        <w:t xml:space="preserve">    特此承诺。</w:t>
      </w:r>
    </w:p>
    <w:p w14:paraId="13854867">
      <w:pPr>
        <w:snapToGrid w:val="0"/>
        <w:spacing w:before="50" w:afterLines="50" w:line="360" w:lineRule="auto"/>
        <w:jc w:val="left"/>
        <w:rPr>
          <w:rFonts w:ascii="宋体" w:hAnsi="宋体"/>
          <w:b/>
          <w:color w:val="auto"/>
          <w:szCs w:val="21"/>
        </w:rPr>
      </w:pPr>
      <w:r>
        <w:rPr>
          <w:rFonts w:hint="eastAsia" w:ascii="宋体" w:hAnsi="宋体"/>
          <w:b/>
          <w:color w:val="auto"/>
          <w:szCs w:val="21"/>
        </w:rPr>
        <w:t>注：如为联合体投标，盖章处须加盖联合体各方公章并由联合体各方法定代表人分别签署，否则投标无效。</w:t>
      </w:r>
    </w:p>
    <w:p w14:paraId="44C312CE">
      <w:pPr>
        <w:snapToGrid w:val="0"/>
        <w:spacing w:before="50" w:after="50" w:line="300" w:lineRule="auto"/>
        <w:ind w:left="-6" w:leftChars="-15" w:right="-817" w:rightChars="-389" w:hanging="25" w:hangingChars="12"/>
        <w:jc w:val="left"/>
        <w:rPr>
          <w:rFonts w:ascii="宋体" w:hAnsi="宋体"/>
          <w:b/>
          <w:bCs/>
          <w:color w:val="auto"/>
          <w:szCs w:val="21"/>
        </w:rPr>
      </w:pPr>
    </w:p>
    <w:p w14:paraId="679A5DF2">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法定代表人或者委托代理人（签字/电子签名）：</w:t>
      </w:r>
    </w:p>
    <w:p w14:paraId="03FE3332">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投标人名称（公章或电子签章）：</w:t>
      </w:r>
    </w:p>
    <w:p w14:paraId="53F99876">
      <w:pPr>
        <w:snapToGrid w:val="0"/>
        <w:spacing w:before="50" w:after="50" w:line="300" w:lineRule="auto"/>
        <w:ind w:left="-6" w:leftChars="-15" w:right="-817" w:rightChars="-389" w:hanging="25" w:hangingChars="12"/>
        <w:jc w:val="left"/>
        <w:rPr>
          <w:rFonts w:ascii="宋体" w:hAnsi="宋体"/>
          <w:color w:val="auto"/>
          <w:sz w:val="20"/>
          <w:szCs w:val="22"/>
        </w:rPr>
      </w:pPr>
      <w:r>
        <w:rPr>
          <w:rFonts w:hint="eastAsia" w:ascii="宋体" w:hAnsi="宋体"/>
          <w:b/>
          <w:bCs/>
          <w:color w:val="auto"/>
          <w:szCs w:val="21"/>
        </w:rPr>
        <w:t>日期：    年   月   日</w:t>
      </w:r>
    </w:p>
    <w:p w14:paraId="4BBDE208">
      <w:pPr>
        <w:snapToGrid w:val="0"/>
        <w:spacing w:before="50" w:afterLines="50"/>
        <w:jc w:val="left"/>
        <w:rPr>
          <w:rFonts w:ascii="宋体" w:hAnsi="宋体"/>
          <w:color w:val="auto"/>
          <w:sz w:val="22"/>
          <w:szCs w:val="22"/>
        </w:rPr>
      </w:pPr>
    </w:p>
    <w:p w14:paraId="7993A8AB">
      <w:pPr>
        <w:snapToGrid w:val="0"/>
        <w:spacing w:beforeLines="50" w:after="50" w:line="360" w:lineRule="auto"/>
        <w:jc w:val="center"/>
        <w:outlineLvl w:val="9"/>
        <w:rPr>
          <w:rFonts w:ascii="宋体" w:hAnsi="宋体"/>
          <w:b/>
          <w:bCs/>
          <w:color w:val="auto"/>
          <w:sz w:val="28"/>
          <w:szCs w:val="28"/>
        </w:rPr>
      </w:pPr>
      <w:r>
        <w:rPr>
          <w:rFonts w:ascii="宋体" w:hAnsi="宋体"/>
          <w:color w:val="auto"/>
          <w:sz w:val="22"/>
          <w:szCs w:val="22"/>
        </w:rPr>
        <w:br w:type="page"/>
      </w:r>
      <w:bookmarkStart w:id="234" w:name="_Toc19686838"/>
      <w:bookmarkStart w:id="235" w:name="_Toc5155"/>
      <w:bookmarkStart w:id="236" w:name="_Toc16724"/>
      <w:bookmarkStart w:id="237" w:name="_Toc18638"/>
      <w:r>
        <w:rPr>
          <w:rFonts w:hint="eastAsia" w:ascii="宋体" w:hAnsi="宋体"/>
          <w:b/>
          <w:bCs/>
          <w:color w:val="auto"/>
          <w:sz w:val="28"/>
          <w:szCs w:val="28"/>
        </w:rPr>
        <w:t>第四节 商务技术文件格式</w:t>
      </w:r>
      <w:bookmarkEnd w:id="234"/>
      <w:bookmarkEnd w:id="235"/>
      <w:bookmarkEnd w:id="236"/>
      <w:bookmarkEnd w:id="237"/>
    </w:p>
    <w:p w14:paraId="0119C737">
      <w:pPr>
        <w:snapToGrid w:val="0"/>
        <w:spacing w:beforeLines="50" w:after="50"/>
        <w:rPr>
          <w:rFonts w:ascii="宋体" w:hAnsi="宋体"/>
          <w:color w:val="auto"/>
          <w:sz w:val="24"/>
        </w:rPr>
      </w:pPr>
    </w:p>
    <w:p w14:paraId="655997EF">
      <w:pPr>
        <w:pStyle w:val="12"/>
        <w:rPr>
          <w:rFonts w:ascii="宋体" w:hAnsi="宋体"/>
          <w:color w:val="auto"/>
        </w:rPr>
      </w:pPr>
    </w:p>
    <w:p w14:paraId="0C6EB5EF">
      <w:pPr>
        <w:rPr>
          <w:rFonts w:ascii="宋体" w:hAnsi="宋体"/>
          <w:color w:val="auto"/>
          <w:sz w:val="24"/>
        </w:rPr>
      </w:pPr>
    </w:p>
    <w:p w14:paraId="5F29812F">
      <w:pPr>
        <w:pStyle w:val="12"/>
        <w:rPr>
          <w:rFonts w:ascii="宋体" w:hAnsi="宋体"/>
          <w:color w:val="auto"/>
        </w:rPr>
      </w:pPr>
    </w:p>
    <w:p w14:paraId="40F98191">
      <w:pPr>
        <w:rPr>
          <w:color w:val="auto"/>
        </w:rPr>
      </w:pPr>
    </w:p>
    <w:p w14:paraId="330DF449">
      <w:pPr>
        <w:snapToGrid w:val="0"/>
        <w:spacing w:beforeLines="50" w:after="50"/>
        <w:rPr>
          <w:rFonts w:ascii="宋体" w:hAnsi="宋体"/>
          <w:bCs/>
          <w:color w:val="auto"/>
          <w:sz w:val="32"/>
          <w:szCs w:val="20"/>
        </w:rPr>
      </w:pPr>
      <w:r>
        <w:rPr>
          <w:rFonts w:hint="eastAsia" w:ascii="宋体" w:hAnsi="宋体" w:cs="宋体"/>
          <w:bCs/>
          <w:color w:val="auto"/>
        </w:rPr>
        <w:t>电子投标文件</w:t>
      </w:r>
    </w:p>
    <w:p w14:paraId="38EC0AFA">
      <w:pPr>
        <w:snapToGrid w:val="0"/>
        <w:spacing w:beforeLines="50" w:after="50"/>
        <w:rPr>
          <w:rFonts w:ascii="宋体" w:hAnsi="宋体"/>
          <w:color w:val="auto"/>
          <w:sz w:val="24"/>
          <w:szCs w:val="20"/>
        </w:rPr>
      </w:pPr>
    </w:p>
    <w:p w14:paraId="0B2B1820">
      <w:pPr>
        <w:pStyle w:val="12"/>
        <w:rPr>
          <w:rFonts w:ascii="宋体" w:hAnsi="宋体"/>
          <w:color w:val="auto"/>
          <w:szCs w:val="20"/>
        </w:rPr>
      </w:pPr>
    </w:p>
    <w:p w14:paraId="62D50B06">
      <w:pPr>
        <w:rPr>
          <w:color w:val="auto"/>
        </w:rPr>
      </w:pPr>
    </w:p>
    <w:p w14:paraId="45B5809E">
      <w:pPr>
        <w:snapToGrid w:val="0"/>
        <w:spacing w:beforeLines="50" w:after="50"/>
        <w:jc w:val="center"/>
        <w:rPr>
          <w:rFonts w:ascii="宋体" w:hAnsi="宋体"/>
          <w:b/>
          <w:color w:val="auto"/>
          <w:sz w:val="24"/>
          <w:szCs w:val="20"/>
        </w:rPr>
      </w:pPr>
      <w:r>
        <w:rPr>
          <w:rFonts w:hint="eastAsia" w:ascii="宋体" w:hAnsi="宋体"/>
          <w:b/>
          <w:color w:val="auto"/>
          <w:sz w:val="32"/>
          <w:szCs w:val="32"/>
        </w:rPr>
        <w:t>商务技术文件</w:t>
      </w:r>
    </w:p>
    <w:p w14:paraId="5AAEEF03">
      <w:pPr>
        <w:snapToGrid w:val="0"/>
        <w:spacing w:beforeLines="50" w:after="50"/>
        <w:rPr>
          <w:rFonts w:ascii="宋体" w:hAnsi="宋体"/>
          <w:bCs/>
          <w:color w:val="auto"/>
          <w:sz w:val="24"/>
          <w:szCs w:val="20"/>
        </w:rPr>
      </w:pPr>
    </w:p>
    <w:p w14:paraId="46B8F163">
      <w:pPr>
        <w:snapToGrid w:val="0"/>
        <w:spacing w:beforeLines="50" w:after="50"/>
        <w:ind w:firstLine="540" w:firstLineChars="225"/>
        <w:rPr>
          <w:rFonts w:ascii="宋体" w:hAnsi="宋体"/>
          <w:bCs/>
          <w:color w:val="auto"/>
          <w:sz w:val="24"/>
        </w:rPr>
      </w:pPr>
      <w:r>
        <w:rPr>
          <w:rFonts w:hint="eastAsia" w:ascii="宋体" w:hAnsi="宋体"/>
          <w:bCs/>
          <w:color w:val="auto"/>
          <w:sz w:val="24"/>
        </w:rPr>
        <w:t>项目名称：</w:t>
      </w:r>
    </w:p>
    <w:p w14:paraId="62EC485A">
      <w:pPr>
        <w:snapToGrid w:val="0"/>
        <w:spacing w:beforeLines="50" w:after="50"/>
        <w:ind w:firstLine="540" w:firstLineChars="225"/>
        <w:rPr>
          <w:rFonts w:ascii="宋体" w:hAnsi="宋体"/>
          <w:bCs/>
          <w:color w:val="auto"/>
          <w:sz w:val="24"/>
          <w:szCs w:val="20"/>
        </w:rPr>
      </w:pPr>
    </w:p>
    <w:p w14:paraId="45A995B0">
      <w:pPr>
        <w:snapToGrid w:val="0"/>
        <w:spacing w:beforeLines="50" w:after="50"/>
        <w:ind w:firstLine="540" w:firstLineChars="225"/>
        <w:rPr>
          <w:rFonts w:ascii="宋体" w:hAnsi="宋体"/>
          <w:bCs/>
          <w:color w:val="auto"/>
          <w:sz w:val="24"/>
        </w:rPr>
      </w:pPr>
      <w:r>
        <w:rPr>
          <w:rFonts w:hint="eastAsia" w:ascii="宋体" w:hAnsi="宋体"/>
          <w:bCs/>
          <w:color w:val="auto"/>
          <w:sz w:val="24"/>
        </w:rPr>
        <w:t>项目编号：</w:t>
      </w:r>
    </w:p>
    <w:p w14:paraId="19938CF0">
      <w:pPr>
        <w:snapToGrid w:val="0"/>
        <w:spacing w:beforeLines="50" w:after="50"/>
        <w:ind w:firstLine="540" w:firstLineChars="225"/>
        <w:rPr>
          <w:rFonts w:ascii="宋体" w:hAnsi="宋体"/>
          <w:bCs/>
          <w:color w:val="auto"/>
          <w:sz w:val="24"/>
          <w:szCs w:val="20"/>
        </w:rPr>
      </w:pPr>
    </w:p>
    <w:p w14:paraId="1C7F105C">
      <w:pPr>
        <w:pStyle w:val="7"/>
        <w:snapToGrid w:val="0"/>
        <w:spacing w:before="50" w:after="50"/>
        <w:ind w:firstLine="540" w:firstLineChars="225"/>
        <w:rPr>
          <w:rFonts w:ascii="宋体" w:hAnsi="宋体"/>
          <w:bCs/>
          <w:color w:val="auto"/>
          <w:sz w:val="24"/>
          <w:szCs w:val="24"/>
        </w:rPr>
      </w:pPr>
      <w:r>
        <w:rPr>
          <w:rFonts w:hint="eastAsia" w:ascii="宋体" w:hAnsi="宋体"/>
          <w:bCs/>
          <w:color w:val="auto"/>
          <w:sz w:val="24"/>
          <w:szCs w:val="24"/>
        </w:rPr>
        <w:t>投标人名称：</w:t>
      </w:r>
    </w:p>
    <w:p w14:paraId="391BD823">
      <w:pPr>
        <w:pStyle w:val="7"/>
        <w:snapToGrid w:val="0"/>
        <w:spacing w:before="50" w:after="50"/>
        <w:ind w:firstLine="540" w:firstLineChars="225"/>
        <w:rPr>
          <w:rFonts w:ascii="宋体" w:hAnsi="宋体"/>
          <w:bCs/>
          <w:color w:val="auto"/>
          <w:sz w:val="24"/>
          <w:szCs w:val="24"/>
        </w:rPr>
      </w:pPr>
    </w:p>
    <w:p w14:paraId="114B2BEE">
      <w:pPr>
        <w:pStyle w:val="7"/>
        <w:snapToGrid w:val="0"/>
        <w:spacing w:before="50" w:after="50"/>
        <w:ind w:firstLine="540" w:firstLineChars="225"/>
        <w:rPr>
          <w:rFonts w:ascii="宋体" w:hAnsi="宋体"/>
          <w:bCs/>
          <w:color w:val="auto"/>
          <w:sz w:val="24"/>
          <w:szCs w:val="24"/>
        </w:rPr>
      </w:pPr>
      <w:r>
        <w:rPr>
          <w:rFonts w:hint="eastAsia" w:ascii="宋体" w:hAnsi="宋体"/>
          <w:bCs/>
          <w:color w:val="auto"/>
          <w:sz w:val="24"/>
          <w:szCs w:val="24"/>
        </w:rPr>
        <w:t>投标人地址：</w:t>
      </w:r>
    </w:p>
    <w:p w14:paraId="5B4ED03C">
      <w:pPr>
        <w:pStyle w:val="7"/>
        <w:snapToGrid w:val="0"/>
        <w:spacing w:before="50" w:after="50"/>
        <w:ind w:firstLine="960" w:firstLineChars="400"/>
        <w:rPr>
          <w:rFonts w:ascii="宋体" w:hAnsi="宋体"/>
          <w:bCs/>
          <w:color w:val="auto"/>
          <w:sz w:val="24"/>
          <w:szCs w:val="24"/>
        </w:rPr>
      </w:pPr>
    </w:p>
    <w:p w14:paraId="6B176E5A">
      <w:pPr>
        <w:snapToGrid w:val="0"/>
        <w:spacing w:beforeLines="50" w:after="50"/>
        <w:ind w:firstLine="645"/>
        <w:rPr>
          <w:rFonts w:ascii="宋体" w:hAnsi="宋体"/>
          <w:color w:val="auto"/>
          <w:sz w:val="24"/>
        </w:rPr>
      </w:pPr>
      <w:r>
        <w:rPr>
          <w:rFonts w:hint="eastAsia" w:ascii="宋体" w:hAnsi="宋体"/>
          <w:color w:val="auto"/>
          <w:sz w:val="24"/>
        </w:rPr>
        <w:t xml:space="preserve">                        年  月  日</w:t>
      </w:r>
    </w:p>
    <w:p w14:paraId="3804DB81">
      <w:pPr>
        <w:snapToGrid w:val="0"/>
        <w:spacing w:beforeLines="50" w:after="50"/>
        <w:rPr>
          <w:rFonts w:ascii="宋体" w:hAnsi="宋体"/>
          <w:color w:val="auto"/>
          <w:sz w:val="24"/>
          <w:szCs w:val="20"/>
        </w:rPr>
      </w:pPr>
    </w:p>
    <w:p w14:paraId="3D45D2E0">
      <w:pPr>
        <w:snapToGrid w:val="0"/>
        <w:spacing w:line="360" w:lineRule="auto"/>
        <w:jc w:val="center"/>
        <w:rPr>
          <w:rFonts w:ascii="宋体" w:hAnsi="宋体"/>
          <w:b/>
          <w:bCs/>
          <w:color w:val="auto"/>
          <w:sz w:val="28"/>
          <w:szCs w:val="28"/>
        </w:rPr>
      </w:pPr>
      <w:r>
        <w:rPr>
          <w:rFonts w:ascii="宋体" w:hAnsi="宋体"/>
          <w:color w:val="auto"/>
          <w:sz w:val="24"/>
          <w:szCs w:val="20"/>
        </w:rPr>
        <w:br w:type="page"/>
      </w:r>
      <w:r>
        <w:rPr>
          <w:rFonts w:hint="eastAsia" w:ascii="宋体" w:hAnsi="宋体"/>
          <w:b/>
          <w:bCs/>
          <w:color w:val="auto"/>
          <w:sz w:val="28"/>
          <w:szCs w:val="28"/>
        </w:rPr>
        <w:t>商务技术文件目录</w:t>
      </w:r>
    </w:p>
    <w:p w14:paraId="60A686F8">
      <w:pPr>
        <w:snapToGrid w:val="0"/>
        <w:spacing w:before="50" w:afterLines="50" w:line="360" w:lineRule="auto"/>
        <w:jc w:val="center"/>
        <w:rPr>
          <w:rFonts w:ascii="微软雅黑" w:hAnsi="微软雅黑" w:eastAsia="微软雅黑"/>
          <w:b/>
          <w:bCs/>
          <w:color w:val="auto"/>
          <w:sz w:val="24"/>
        </w:rPr>
      </w:pPr>
      <w:r>
        <w:rPr>
          <w:rFonts w:hint="eastAsia" w:ascii="宋体" w:hAnsi="宋体"/>
          <w:color w:val="auto"/>
          <w:szCs w:val="21"/>
        </w:rPr>
        <w:t>根据招标文件规定及投标人提供的材料自行编写目录。</w:t>
      </w:r>
    </w:p>
    <w:p w14:paraId="571205A6">
      <w:pPr>
        <w:snapToGrid w:val="0"/>
        <w:spacing w:before="50" w:afterLines="50"/>
        <w:jc w:val="center"/>
        <w:rPr>
          <w:rFonts w:ascii="宋体" w:hAnsi="宋体"/>
          <w:color w:val="auto"/>
        </w:rPr>
      </w:pPr>
    </w:p>
    <w:p w14:paraId="71043C2C">
      <w:pPr>
        <w:snapToGrid w:val="0"/>
        <w:spacing w:beforeLines="50" w:after="50"/>
        <w:jc w:val="left"/>
        <w:rPr>
          <w:rFonts w:ascii="宋体" w:hAnsi="宋体"/>
          <w:b/>
          <w:color w:val="auto"/>
          <w:sz w:val="24"/>
        </w:rPr>
      </w:pPr>
      <w:r>
        <w:rPr>
          <w:rFonts w:ascii="宋体" w:hAnsi="宋体"/>
          <w:b/>
          <w:color w:val="auto"/>
          <w:sz w:val="24"/>
        </w:rPr>
        <w:br w:type="page"/>
      </w:r>
      <w:r>
        <w:rPr>
          <w:rFonts w:hint="eastAsia" w:ascii="宋体" w:hAnsi="宋体"/>
          <w:b/>
          <w:color w:val="auto"/>
          <w:sz w:val="24"/>
        </w:rPr>
        <w:t>1.投标人参加本项目无围标串标行为的承诺</w:t>
      </w:r>
    </w:p>
    <w:p w14:paraId="599A5141">
      <w:pPr>
        <w:snapToGrid w:val="0"/>
        <w:spacing w:beforeLines="50" w:after="50"/>
        <w:ind w:left="420"/>
        <w:jc w:val="left"/>
        <w:rPr>
          <w:rFonts w:ascii="宋体" w:hAnsi="宋体"/>
          <w:b/>
          <w:color w:val="auto"/>
          <w:sz w:val="24"/>
        </w:rPr>
      </w:pPr>
    </w:p>
    <w:p w14:paraId="5A42EB9E">
      <w:pPr>
        <w:snapToGrid w:val="0"/>
        <w:spacing w:beforeLines="50" w:after="50"/>
        <w:ind w:left="420"/>
        <w:jc w:val="center"/>
        <w:rPr>
          <w:rFonts w:ascii="宋体" w:hAnsi="宋体"/>
          <w:b/>
          <w:color w:val="auto"/>
          <w:sz w:val="24"/>
        </w:rPr>
      </w:pPr>
      <w:r>
        <w:rPr>
          <w:rFonts w:hint="eastAsia" w:ascii="宋体" w:hAnsi="宋体"/>
          <w:b/>
          <w:color w:val="auto"/>
          <w:sz w:val="24"/>
        </w:rPr>
        <w:t>投标人参加本项目无围标串标行为的承诺函</w:t>
      </w:r>
    </w:p>
    <w:p w14:paraId="3664C2E4">
      <w:pPr>
        <w:snapToGrid w:val="0"/>
        <w:spacing w:beforeLines="50" w:after="50" w:line="360" w:lineRule="auto"/>
        <w:jc w:val="left"/>
        <w:rPr>
          <w:rFonts w:ascii="宋体" w:hAnsi="宋体"/>
          <w:b/>
          <w:color w:val="auto"/>
          <w:szCs w:val="21"/>
        </w:rPr>
      </w:pPr>
      <w:r>
        <w:rPr>
          <w:rFonts w:hint="eastAsia" w:ascii="宋体" w:hAnsi="宋体"/>
          <w:b/>
          <w:color w:val="auto"/>
          <w:szCs w:val="21"/>
        </w:rPr>
        <w:t>一、我方承诺无下列相互串通投标的情形：</w:t>
      </w:r>
    </w:p>
    <w:p w14:paraId="2F576AEC">
      <w:pPr>
        <w:snapToGrid w:val="0"/>
        <w:spacing w:beforeLines="50" w:after="50" w:line="360" w:lineRule="auto"/>
        <w:ind w:firstLine="411" w:firstLineChars="196"/>
        <w:jc w:val="left"/>
        <w:rPr>
          <w:rFonts w:ascii="宋体" w:hAnsi="宋体"/>
          <w:color w:val="auto"/>
          <w:szCs w:val="21"/>
        </w:rPr>
      </w:pPr>
      <w:r>
        <w:rPr>
          <w:rFonts w:hint="eastAsia" w:ascii="宋体" w:hAnsi="宋体"/>
          <w:color w:val="auto"/>
          <w:szCs w:val="21"/>
        </w:rPr>
        <w:t>1.不同投标人的投标文件由同一单位或者个人编制；或者不同投标人报名的IP地址一致的；</w:t>
      </w:r>
    </w:p>
    <w:p w14:paraId="09B31CF3">
      <w:pPr>
        <w:snapToGrid w:val="0"/>
        <w:spacing w:beforeLines="50" w:after="50" w:line="360" w:lineRule="auto"/>
        <w:ind w:firstLine="411" w:firstLineChars="196"/>
        <w:jc w:val="left"/>
        <w:rPr>
          <w:rFonts w:ascii="宋体" w:hAnsi="宋体"/>
          <w:color w:val="auto"/>
          <w:szCs w:val="21"/>
        </w:rPr>
      </w:pPr>
      <w:r>
        <w:rPr>
          <w:rFonts w:hint="eastAsia" w:ascii="宋体" w:hAnsi="宋体"/>
          <w:color w:val="auto"/>
          <w:szCs w:val="21"/>
        </w:rPr>
        <w:t>2.不同投标人委托同一单位或者个人办理投标事宜；</w:t>
      </w:r>
    </w:p>
    <w:p w14:paraId="0ADF3447">
      <w:pPr>
        <w:snapToGrid w:val="0"/>
        <w:spacing w:beforeLines="50" w:after="50" w:line="360" w:lineRule="auto"/>
        <w:ind w:firstLine="411" w:firstLineChars="196"/>
        <w:jc w:val="left"/>
        <w:rPr>
          <w:rFonts w:ascii="宋体" w:hAnsi="宋体"/>
          <w:color w:val="auto"/>
          <w:szCs w:val="21"/>
        </w:rPr>
      </w:pPr>
      <w:r>
        <w:rPr>
          <w:rFonts w:hint="eastAsia" w:ascii="宋体" w:hAnsi="宋体"/>
          <w:color w:val="auto"/>
          <w:szCs w:val="21"/>
        </w:rPr>
        <w:t>3.不同的投标人的投标文件载明的项目管理员为同一个人；</w:t>
      </w:r>
    </w:p>
    <w:p w14:paraId="43FB50D3">
      <w:pPr>
        <w:snapToGrid w:val="0"/>
        <w:spacing w:beforeLines="50" w:after="50" w:line="360" w:lineRule="auto"/>
        <w:ind w:firstLine="411" w:firstLineChars="196"/>
        <w:jc w:val="left"/>
        <w:rPr>
          <w:rFonts w:ascii="宋体" w:hAnsi="宋体"/>
          <w:color w:val="auto"/>
          <w:szCs w:val="21"/>
        </w:rPr>
      </w:pPr>
      <w:r>
        <w:rPr>
          <w:rFonts w:hint="eastAsia" w:ascii="宋体" w:hAnsi="宋体"/>
          <w:color w:val="auto"/>
          <w:szCs w:val="21"/>
        </w:rPr>
        <w:t>4.不同投标人的投标文件异常一致或者投标报价呈规律性差异；</w:t>
      </w:r>
    </w:p>
    <w:p w14:paraId="596BAB3D">
      <w:pPr>
        <w:snapToGrid w:val="0"/>
        <w:spacing w:beforeLines="50" w:after="50" w:line="360" w:lineRule="auto"/>
        <w:ind w:firstLine="411" w:firstLineChars="196"/>
        <w:jc w:val="left"/>
        <w:rPr>
          <w:rFonts w:ascii="宋体" w:hAnsi="宋体"/>
          <w:color w:val="auto"/>
          <w:szCs w:val="21"/>
        </w:rPr>
      </w:pPr>
      <w:r>
        <w:rPr>
          <w:rFonts w:hint="eastAsia" w:ascii="宋体" w:hAnsi="宋体"/>
          <w:color w:val="auto"/>
          <w:szCs w:val="21"/>
        </w:rPr>
        <w:t>5.不同投标人的投标文件相互混装；</w:t>
      </w:r>
    </w:p>
    <w:p w14:paraId="7C90E333">
      <w:pPr>
        <w:snapToGrid w:val="0"/>
        <w:spacing w:beforeLines="50" w:after="50" w:line="360" w:lineRule="auto"/>
        <w:ind w:firstLine="411" w:firstLineChars="196"/>
        <w:jc w:val="left"/>
        <w:rPr>
          <w:rFonts w:ascii="宋体" w:hAnsi="宋体"/>
          <w:color w:val="auto"/>
          <w:szCs w:val="21"/>
        </w:rPr>
      </w:pPr>
      <w:r>
        <w:rPr>
          <w:rFonts w:hint="eastAsia" w:ascii="宋体" w:hAnsi="宋体"/>
          <w:color w:val="auto"/>
          <w:szCs w:val="21"/>
        </w:rPr>
        <w:t>6.不同投标人的投标保证金从同一单位或者个人账户转出。</w:t>
      </w:r>
    </w:p>
    <w:p w14:paraId="0F2DEC83">
      <w:pPr>
        <w:snapToGrid w:val="0"/>
        <w:spacing w:beforeLines="50" w:after="50" w:line="360" w:lineRule="auto"/>
        <w:jc w:val="left"/>
        <w:rPr>
          <w:rFonts w:ascii="宋体" w:hAnsi="宋体"/>
          <w:color w:val="auto"/>
          <w:szCs w:val="21"/>
        </w:rPr>
      </w:pPr>
      <w:r>
        <w:rPr>
          <w:rFonts w:hint="eastAsia" w:ascii="宋体" w:hAnsi="宋体"/>
          <w:b/>
          <w:color w:val="auto"/>
          <w:szCs w:val="21"/>
        </w:rPr>
        <w:t>二、我方承诺无下列恶意串通的情形：</w:t>
      </w:r>
    </w:p>
    <w:p w14:paraId="2CB64F2F">
      <w:pPr>
        <w:snapToGrid w:val="0"/>
        <w:spacing w:beforeLines="50" w:after="50" w:line="360" w:lineRule="auto"/>
        <w:ind w:firstLine="411" w:firstLineChars="196"/>
        <w:jc w:val="left"/>
        <w:rPr>
          <w:rFonts w:ascii="宋体" w:hAnsi="宋体"/>
          <w:color w:val="auto"/>
          <w:szCs w:val="21"/>
        </w:rPr>
      </w:pPr>
      <w:r>
        <w:rPr>
          <w:rFonts w:hint="eastAsia" w:ascii="宋体" w:hAnsi="宋体"/>
          <w:color w:val="auto"/>
          <w:szCs w:val="21"/>
        </w:rPr>
        <w:t>1.投标人直接或者间接从采购人或者采购代理机构处获得其他投标人的相关信息并修改其投标文件或者响应文件；</w:t>
      </w:r>
    </w:p>
    <w:p w14:paraId="4DB66122">
      <w:pPr>
        <w:snapToGrid w:val="0"/>
        <w:spacing w:beforeLines="50" w:after="50" w:line="360" w:lineRule="auto"/>
        <w:ind w:firstLine="411" w:firstLineChars="196"/>
        <w:jc w:val="left"/>
        <w:rPr>
          <w:rFonts w:ascii="宋体" w:hAnsi="宋体"/>
          <w:color w:val="auto"/>
          <w:szCs w:val="21"/>
        </w:rPr>
      </w:pPr>
      <w:r>
        <w:rPr>
          <w:rFonts w:hint="eastAsia" w:ascii="宋体" w:hAnsi="宋体"/>
          <w:color w:val="auto"/>
          <w:szCs w:val="21"/>
        </w:rPr>
        <w:t>2.投标人按照采购人或者采购代理机构的授意撤换、修改投标文件或者响应文件；</w:t>
      </w:r>
    </w:p>
    <w:p w14:paraId="0231CBB8">
      <w:pPr>
        <w:snapToGrid w:val="0"/>
        <w:spacing w:beforeLines="50" w:after="50" w:line="360" w:lineRule="auto"/>
        <w:ind w:firstLine="411" w:firstLineChars="196"/>
        <w:jc w:val="left"/>
        <w:rPr>
          <w:rFonts w:ascii="宋体" w:hAnsi="宋体"/>
          <w:color w:val="auto"/>
          <w:szCs w:val="21"/>
        </w:rPr>
      </w:pPr>
      <w:r>
        <w:rPr>
          <w:rFonts w:hint="eastAsia" w:ascii="宋体" w:hAnsi="宋体"/>
          <w:color w:val="auto"/>
          <w:szCs w:val="21"/>
        </w:rPr>
        <w:t>3.投标人之间协商报价、技术方案等投标文件或者响应文件的实质性内容；</w:t>
      </w:r>
    </w:p>
    <w:p w14:paraId="1675ECB0">
      <w:pPr>
        <w:snapToGrid w:val="0"/>
        <w:spacing w:beforeLines="50" w:after="50" w:line="360" w:lineRule="auto"/>
        <w:ind w:firstLine="411" w:firstLineChars="196"/>
        <w:jc w:val="left"/>
        <w:rPr>
          <w:rFonts w:ascii="宋体" w:hAnsi="宋体"/>
          <w:color w:val="auto"/>
          <w:szCs w:val="21"/>
        </w:rPr>
      </w:pPr>
      <w:r>
        <w:rPr>
          <w:rFonts w:hint="eastAsia" w:ascii="宋体" w:hAnsi="宋体"/>
          <w:color w:val="auto"/>
          <w:szCs w:val="21"/>
        </w:rPr>
        <w:t>4.属于同一集团、协会、商会等组织成员的投标人按照该组织要求协同参加政府采购活动；</w:t>
      </w:r>
    </w:p>
    <w:p w14:paraId="5784CDD9">
      <w:pPr>
        <w:snapToGrid w:val="0"/>
        <w:spacing w:beforeLines="50" w:after="50" w:line="360" w:lineRule="auto"/>
        <w:ind w:firstLine="411" w:firstLineChars="196"/>
        <w:jc w:val="left"/>
        <w:rPr>
          <w:rFonts w:ascii="宋体" w:hAnsi="宋体"/>
          <w:color w:val="auto"/>
          <w:szCs w:val="21"/>
        </w:rPr>
      </w:pPr>
      <w:r>
        <w:rPr>
          <w:rFonts w:hint="eastAsia" w:ascii="宋体" w:hAnsi="宋体"/>
          <w:color w:val="auto"/>
          <w:szCs w:val="21"/>
        </w:rPr>
        <w:t>5.投标人之间事先约定一致抬高或者压低投标报价，或者在招标项目中事先约定轮流以高价位或者低价位中标，或者事先约定由某一特定投标人中标，然后再参加投标；</w:t>
      </w:r>
    </w:p>
    <w:p w14:paraId="7C0B5D35">
      <w:pPr>
        <w:snapToGrid w:val="0"/>
        <w:spacing w:beforeLines="50" w:after="50" w:line="360" w:lineRule="auto"/>
        <w:ind w:firstLine="411" w:firstLineChars="196"/>
        <w:jc w:val="left"/>
        <w:rPr>
          <w:rFonts w:ascii="宋体" w:hAnsi="宋体"/>
          <w:color w:val="auto"/>
          <w:szCs w:val="21"/>
        </w:rPr>
      </w:pPr>
      <w:r>
        <w:rPr>
          <w:rFonts w:hint="eastAsia" w:ascii="宋体" w:hAnsi="宋体"/>
          <w:color w:val="auto"/>
          <w:szCs w:val="21"/>
        </w:rPr>
        <w:t>6.投标人之间商定部分投标人放弃参加政府采购活动或者放弃中标；</w:t>
      </w:r>
    </w:p>
    <w:p w14:paraId="47AEE148">
      <w:pPr>
        <w:snapToGrid w:val="0"/>
        <w:spacing w:beforeLines="50" w:after="50" w:line="360" w:lineRule="auto"/>
        <w:ind w:firstLine="411" w:firstLineChars="196"/>
        <w:jc w:val="left"/>
        <w:rPr>
          <w:rFonts w:ascii="宋体" w:hAnsi="宋体"/>
          <w:color w:val="auto"/>
          <w:szCs w:val="21"/>
        </w:rPr>
      </w:pPr>
      <w:r>
        <w:rPr>
          <w:rFonts w:hint="eastAsia" w:ascii="宋体" w:hAnsi="宋体"/>
          <w:color w:val="auto"/>
          <w:szCs w:val="21"/>
        </w:rPr>
        <w:t>7.投标人与采购人或者采购代理机构之间、投标人相互之间，为谋求特定投标人中标或者排斥其他投标人的其他串通行为。</w:t>
      </w:r>
    </w:p>
    <w:p w14:paraId="536D0BEF">
      <w:pPr>
        <w:snapToGrid w:val="0"/>
        <w:spacing w:beforeLines="50" w:after="50" w:line="360" w:lineRule="auto"/>
        <w:ind w:firstLine="211" w:firstLineChars="100"/>
        <w:jc w:val="left"/>
        <w:rPr>
          <w:rFonts w:ascii="宋体" w:hAnsi="宋体"/>
          <w:b/>
          <w:color w:val="auto"/>
          <w:szCs w:val="21"/>
        </w:rPr>
      </w:pPr>
    </w:p>
    <w:p w14:paraId="40986594">
      <w:pPr>
        <w:snapToGrid w:val="0"/>
        <w:spacing w:beforeLines="50" w:after="50" w:line="360" w:lineRule="auto"/>
        <w:ind w:firstLine="211" w:firstLineChars="100"/>
        <w:jc w:val="left"/>
        <w:rPr>
          <w:rFonts w:ascii="宋体" w:hAnsi="宋体"/>
          <w:b/>
          <w:color w:val="auto"/>
          <w:szCs w:val="21"/>
        </w:rPr>
      </w:pPr>
      <w:r>
        <w:rPr>
          <w:rFonts w:hint="eastAsia" w:ascii="宋体" w:hAnsi="宋体"/>
          <w:b/>
          <w:color w:val="auto"/>
          <w:szCs w:val="21"/>
        </w:rPr>
        <w:t>以上情形一经核查属实，我方愿意承担一切后果，并不再寻求任何旨在减轻或者免除法律责任的辩解。</w:t>
      </w:r>
    </w:p>
    <w:p w14:paraId="6B74FCB9">
      <w:pPr>
        <w:snapToGrid w:val="0"/>
        <w:spacing w:before="50" w:after="50" w:line="300" w:lineRule="auto"/>
        <w:ind w:left="-6" w:leftChars="-15" w:right="-817" w:rightChars="-389" w:hanging="25" w:hangingChars="12"/>
        <w:jc w:val="left"/>
        <w:rPr>
          <w:rFonts w:ascii="宋体" w:hAnsi="宋体"/>
          <w:b/>
          <w:bCs/>
          <w:color w:val="auto"/>
          <w:szCs w:val="21"/>
        </w:rPr>
      </w:pPr>
    </w:p>
    <w:p w14:paraId="0E32BFAD">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法定代表人或者委托代理人（签字/电子签名）：</w:t>
      </w:r>
    </w:p>
    <w:p w14:paraId="171E1B2A">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投标人名称（公章或电子签章）：</w:t>
      </w:r>
    </w:p>
    <w:p w14:paraId="666D0D58">
      <w:pPr>
        <w:snapToGrid w:val="0"/>
        <w:spacing w:before="50" w:after="50" w:line="360" w:lineRule="auto"/>
        <w:ind w:left="-6" w:leftChars="-15" w:right="-817" w:rightChars="-389" w:hanging="25" w:hangingChars="12"/>
        <w:jc w:val="left"/>
        <w:rPr>
          <w:rFonts w:ascii="宋体" w:hAnsi="宋体"/>
          <w:color w:val="auto"/>
          <w:sz w:val="20"/>
          <w:szCs w:val="22"/>
        </w:rPr>
      </w:pPr>
      <w:r>
        <w:rPr>
          <w:rFonts w:hint="eastAsia" w:ascii="宋体" w:hAnsi="宋体"/>
          <w:b/>
          <w:bCs/>
          <w:color w:val="auto"/>
          <w:szCs w:val="21"/>
        </w:rPr>
        <w:t>日期：    年   月   日</w:t>
      </w:r>
    </w:p>
    <w:p w14:paraId="426D00EB">
      <w:pPr>
        <w:pStyle w:val="14"/>
        <w:snapToGrid w:val="0"/>
        <w:spacing w:before="295" w:after="295" w:line="360" w:lineRule="auto"/>
        <w:rPr>
          <w:rFonts w:hAnsi="宋体"/>
          <w:color w:val="auto"/>
          <w:sz w:val="21"/>
          <w:szCs w:val="18"/>
        </w:rPr>
      </w:pPr>
    </w:p>
    <w:p w14:paraId="73F35649">
      <w:pPr>
        <w:snapToGrid w:val="0"/>
        <w:spacing w:beforeLines="50" w:after="50"/>
        <w:jc w:val="left"/>
        <w:rPr>
          <w:rFonts w:ascii="宋体" w:hAnsi="宋体"/>
          <w:b/>
          <w:color w:val="auto"/>
          <w:sz w:val="24"/>
          <w:szCs w:val="20"/>
        </w:rPr>
      </w:pPr>
      <w:r>
        <w:rPr>
          <w:rFonts w:ascii="宋体" w:hAnsi="宋体"/>
          <w:b/>
          <w:color w:val="auto"/>
          <w:sz w:val="24"/>
        </w:rPr>
        <w:br w:type="page"/>
      </w:r>
      <w:r>
        <w:rPr>
          <w:rFonts w:hint="eastAsia" w:ascii="宋体" w:hAnsi="宋体"/>
          <w:b/>
          <w:color w:val="auto"/>
          <w:sz w:val="24"/>
        </w:rPr>
        <w:t>2.法定代表人身份证明</w:t>
      </w:r>
    </w:p>
    <w:p w14:paraId="3F2A2D62">
      <w:pPr>
        <w:spacing w:beforeLines="100" w:afterLines="50"/>
        <w:ind w:left="540"/>
        <w:jc w:val="center"/>
        <w:rPr>
          <w:rFonts w:ascii="宋体" w:hAnsi="Courier New"/>
          <w:b/>
          <w:color w:val="auto"/>
          <w:sz w:val="32"/>
          <w:szCs w:val="32"/>
        </w:rPr>
      </w:pPr>
    </w:p>
    <w:p w14:paraId="5F6CD01B">
      <w:pPr>
        <w:spacing w:beforeLines="100" w:afterLines="50"/>
        <w:ind w:left="540"/>
        <w:jc w:val="center"/>
        <w:rPr>
          <w:rFonts w:ascii="黑体" w:hAnsi="宋体" w:eastAsia="黑体"/>
          <w:color w:val="auto"/>
          <w:sz w:val="24"/>
        </w:rPr>
      </w:pPr>
      <w:r>
        <w:rPr>
          <w:rFonts w:hint="eastAsia" w:ascii="宋体" w:hAnsi="Courier New"/>
          <w:b/>
          <w:color w:val="auto"/>
          <w:sz w:val="24"/>
        </w:rPr>
        <w:t>法定代表人身份证明</w:t>
      </w:r>
    </w:p>
    <w:p w14:paraId="7B8A15F1">
      <w:pPr>
        <w:spacing w:line="500" w:lineRule="exact"/>
        <w:ind w:left="540"/>
        <w:rPr>
          <w:rFonts w:hint="default" w:ascii="宋体" w:hAnsi="宋体" w:eastAsia="宋体"/>
          <w:color w:val="auto"/>
          <w:szCs w:val="21"/>
          <w:lang w:val="en-US" w:eastAsia="zh-CN"/>
        </w:rPr>
      </w:pPr>
      <w:r>
        <w:rPr>
          <w:rFonts w:hint="eastAsia" w:ascii="宋体" w:hAnsi="宋体"/>
          <w:color w:val="auto"/>
          <w:szCs w:val="21"/>
        </w:rPr>
        <w:t>投 标 人：</w:t>
      </w:r>
      <w:r>
        <w:rPr>
          <w:rFonts w:hint="eastAsia" w:ascii="宋体" w:hAnsi="宋体"/>
          <w:color w:val="auto"/>
          <w:szCs w:val="21"/>
          <w:u w:val="single"/>
          <w:lang w:val="en-US" w:eastAsia="zh-CN"/>
        </w:rPr>
        <w:t xml:space="preserve">                      </w:t>
      </w:r>
    </w:p>
    <w:p w14:paraId="08955980">
      <w:pPr>
        <w:spacing w:line="500" w:lineRule="exact"/>
        <w:ind w:left="540"/>
        <w:rPr>
          <w:rFonts w:ascii="宋体" w:hAnsi="宋体"/>
          <w:color w:val="auto"/>
          <w:szCs w:val="21"/>
        </w:rPr>
      </w:pPr>
      <w:r>
        <w:rPr>
          <w:rFonts w:hint="eastAsia" w:ascii="宋体" w:hAnsi="宋体"/>
          <w:color w:val="auto"/>
          <w:szCs w:val="21"/>
        </w:rPr>
        <w:t>地    址：</w:t>
      </w:r>
      <w:r>
        <w:rPr>
          <w:rFonts w:hint="eastAsia" w:ascii="宋体" w:hAnsi="宋体"/>
          <w:color w:val="auto"/>
          <w:szCs w:val="21"/>
          <w:u w:val="single"/>
          <w:lang w:val="en-US" w:eastAsia="zh-CN"/>
        </w:rPr>
        <w:t xml:space="preserve">                      </w:t>
      </w:r>
    </w:p>
    <w:p w14:paraId="0DB3E67A">
      <w:pPr>
        <w:spacing w:line="500" w:lineRule="exact"/>
        <w:ind w:left="540"/>
        <w:rPr>
          <w:rFonts w:ascii="宋体" w:hAnsi="宋体"/>
          <w:color w:val="auto"/>
          <w:szCs w:val="21"/>
        </w:rPr>
      </w:pPr>
      <w:r>
        <w:rPr>
          <w:rFonts w:hint="eastAsia" w:ascii="宋体" w:hAnsi="宋体"/>
          <w:color w:val="auto"/>
          <w:szCs w:val="21"/>
        </w:rPr>
        <w:t>姓    名：</w:t>
      </w:r>
      <w:r>
        <w:rPr>
          <w:rFonts w:hint="eastAsia" w:ascii="宋体" w:hAnsi="宋体"/>
          <w:color w:val="auto"/>
          <w:szCs w:val="21"/>
          <w:u w:val="single"/>
          <w:lang w:val="en-US" w:eastAsia="zh-CN"/>
        </w:rPr>
        <w:t xml:space="preserve">                      </w:t>
      </w:r>
      <w:r>
        <w:rPr>
          <w:rFonts w:hint="eastAsia" w:ascii="宋体" w:hAnsi="宋体"/>
          <w:color w:val="auto"/>
          <w:szCs w:val="21"/>
        </w:rPr>
        <w:t>性      别：</w:t>
      </w:r>
      <w:r>
        <w:rPr>
          <w:rFonts w:hint="eastAsia" w:ascii="宋体" w:hAnsi="宋体"/>
          <w:color w:val="auto"/>
          <w:szCs w:val="21"/>
          <w:u w:val="single"/>
          <w:lang w:val="en-US" w:eastAsia="zh-CN"/>
        </w:rPr>
        <w:t xml:space="preserve">                      </w:t>
      </w:r>
    </w:p>
    <w:p w14:paraId="07F675D1">
      <w:pPr>
        <w:spacing w:line="500" w:lineRule="exact"/>
        <w:ind w:left="540"/>
        <w:rPr>
          <w:rFonts w:ascii="宋体" w:hAnsi="宋体"/>
          <w:color w:val="auto"/>
          <w:szCs w:val="21"/>
          <w:u w:val="single"/>
        </w:rPr>
      </w:pPr>
      <w:r>
        <w:rPr>
          <w:rFonts w:hint="eastAsia" w:ascii="宋体" w:hAnsi="宋体"/>
          <w:color w:val="auto"/>
          <w:szCs w:val="21"/>
        </w:rPr>
        <w:t>年    龄：</w:t>
      </w:r>
      <w:r>
        <w:rPr>
          <w:rFonts w:hint="eastAsia" w:ascii="宋体" w:hAnsi="宋体"/>
          <w:color w:val="auto"/>
          <w:szCs w:val="21"/>
          <w:u w:val="single"/>
          <w:lang w:val="en-US" w:eastAsia="zh-CN"/>
        </w:rPr>
        <w:t xml:space="preserve">                      </w:t>
      </w:r>
      <w:r>
        <w:rPr>
          <w:rFonts w:hint="eastAsia" w:ascii="宋体" w:hAnsi="宋体"/>
          <w:color w:val="auto"/>
          <w:szCs w:val="21"/>
        </w:rPr>
        <w:t>职      务：</w:t>
      </w:r>
      <w:r>
        <w:rPr>
          <w:rFonts w:hint="eastAsia" w:ascii="宋体" w:hAnsi="宋体"/>
          <w:color w:val="auto"/>
          <w:szCs w:val="21"/>
          <w:u w:val="single"/>
          <w:lang w:val="en-US" w:eastAsia="zh-CN"/>
        </w:rPr>
        <w:t xml:space="preserve">                      </w:t>
      </w:r>
    </w:p>
    <w:p w14:paraId="5ACE28CB">
      <w:pPr>
        <w:spacing w:line="500" w:lineRule="exact"/>
        <w:ind w:left="540"/>
        <w:rPr>
          <w:rFonts w:ascii="宋体" w:hAnsi="宋体"/>
          <w:color w:val="auto"/>
          <w:szCs w:val="21"/>
        </w:rPr>
      </w:pPr>
      <w:r>
        <w:rPr>
          <w:rFonts w:hint="eastAsia" w:ascii="宋体" w:hAnsi="宋体"/>
          <w:color w:val="auto"/>
          <w:szCs w:val="21"/>
        </w:rPr>
        <w:t>身份证</w:t>
      </w:r>
      <w:r>
        <w:rPr>
          <w:rFonts w:hint="eastAsia"/>
          <w:color w:val="auto"/>
          <w:szCs w:val="21"/>
        </w:rPr>
        <w:t>号码：</w:t>
      </w:r>
      <w:r>
        <w:rPr>
          <w:rFonts w:hint="eastAsia" w:ascii="宋体" w:hAnsi="宋体"/>
          <w:color w:val="auto"/>
          <w:szCs w:val="21"/>
          <w:u w:val="single"/>
          <w:lang w:val="en-US" w:eastAsia="zh-CN"/>
        </w:rPr>
        <w:t xml:space="preserve">                      </w:t>
      </w:r>
    </w:p>
    <w:p w14:paraId="29F6D355">
      <w:pPr>
        <w:spacing w:line="500" w:lineRule="exact"/>
        <w:ind w:left="540"/>
        <w:rPr>
          <w:rFonts w:ascii="宋体" w:hAnsi="宋体"/>
          <w:color w:val="auto"/>
          <w:szCs w:val="21"/>
        </w:rPr>
      </w:pPr>
      <w:r>
        <w:rPr>
          <w:rFonts w:hint="eastAsia" w:ascii="宋体" w:hAnsi="宋体"/>
          <w:color w:val="auto"/>
          <w:szCs w:val="21"/>
        </w:rPr>
        <w:t>系</w:t>
      </w:r>
      <w:r>
        <w:rPr>
          <w:rFonts w:hint="eastAsia" w:ascii="宋体" w:hAnsi="宋体"/>
          <w:color w:val="auto"/>
          <w:szCs w:val="21"/>
          <w:u w:val="single"/>
        </w:rPr>
        <w:t xml:space="preserve">            （投标人名称）              </w:t>
      </w:r>
      <w:r>
        <w:rPr>
          <w:rFonts w:hint="eastAsia" w:ascii="宋体" w:hAnsi="宋体"/>
          <w:color w:val="auto"/>
          <w:szCs w:val="21"/>
        </w:rPr>
        <w:t>的法定代表人。</w:t>
      </w:r>
    </w:p>
    <w:p w14:paraId="71083134">
      <w:pPr>
        <w:spacing w:line="500" w:lineRule="exact"/>
        <w:ind w:left="540"/>
        <w:rPr>
          <w:rFonts w:ascii="宋体" w:hAnsi="宋体"/>
          <w:color w:val="auto"/>
          <w:szCs w:val="21"/>
        </w:rPr>
      </w:pPr>
      <w:r>
        <w:rPr>
          <w:rFonts w:hint="eastAsia" w:ascii="宋体" w:hAnsi="宋体"/>
          <w:color w:val="auto"/>
          <w:szCs w:val="21"/>
        </w:rPr>
        <w:t>特此证明。</w:t>
      </w:r>
    </w:p>
    <w:p w14:paraId="19476370">
      <w:pPr>
        <w:spacing w:line="500" w:lineRule="exact"/>
        <w:ind w:left="540"/>
        <w:rPr>
          <w:rFonts w:ascii="宋体" w:hAnsi="宋体"/>
          <w:color w:val="auto"/>
          <w:szCs w:val="21"/>
        </w:rPr>
      </w:pPr>
    </w:p>
    <w:p w14:paraId="3F3A723D">
      <w:pPr>
        <w:spacing w:line="500" w:lineRule="exact"/>
        <w:ind w:left="540"/>
        <w:rPr>
          <w:rFonts w:ascii="宋体" w:hAnsi="宋体"/>
          <w:color w:val="auto"/>
          <w:szCs w:val="21"/>
        </w:rPr>
      </w:pPr>
      <w:r>
        <w:rPr>
          <w:rFonts w:hint="eastAsia" w:ascii="宋体" w:hAnsi="宋体"/>
          <w:color w:val="auto"/>
          <w:szCs w:val="21"/>
        </w:rPr>
        <w:t>附件：法定代表人有效身份证正反面复印件</w:t>
      </w:r>
    </w:p>
    <w:p w14:paraId="7FE55DE0">
      <w:pPr>
        <w:spacing w:line="500" w:lineRule="exact"/>
        <w:ind w:left="540"/>
        <w:rPr>
          <w:rFonts w:ascii="宋体" w:hAnsi="宋体"/>
          <w:color w:val="auto"/>
          <w:szCs w:val="21"/>
        </w:rPr>
      </w:pPr>
    </w:p>
    <w:p w14:paraId="711794B4">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法定代表人或者委托代理人（签字/电子签名）：</w:t>
      </w:r>
    </w:p>
    <w:p w14:paraId="2490F9A6">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投标人名称（公章或电子签章）：</w:t>
      </w:r>
    </w:p>
    <w:p w14:paraId="0FE78C3D">
      <w:pPr>
        <w:snapToGrid w:val="0"/>
        <w:spacing w:before="50" w:after="50" w:line="360" w:lineRule="auto"/>
        <w:ind w:right="-817" w:rightChars="-389"/>
        <w:jc w:val="left"/>
        <w:rPr>
          <w:rFonts w:ascii="宋体" w:hAnsi="宋体"/>
          <w:color w:val="auto"/>
          <w:sz w:val="20"/>
          <w:szCs w:val="22"/>
        </w:rPr>
      </w:pPr>
      <w:r>
        <w:rPr>
          <w:rFonts w:hint="eastAsia" w:ascii="宋体" w:hAnsi="宋体"/>
          <w:b/>
          <w:bCs/>
          <w:color w:val="auto"/>
          <w:szCs w:val="21"/>
        </w:rPr>
        <w:t>日期：    年   月   日</w:t>
      </w:r>
    </w:p>
    <w:p w14:paraId="16611E6F">
      <w:pPr>
        <w:snapToGrid w:val="0"/>
        <w:spacing w:beforeLines="50" w:after="50"/>
        <w:jc w:val="center"/>
        <w:rPr>
          <w:rFonts w:ascii="宋体" w:hAnsi="宋体"/>
          <w:b/>
          <w:color w:val="auto"/>
          <w:szCs w:val="21"/>
        </w:rPr>
      </w:pPr>
    </w:p>
    <w:p w14:paraId="206AFF0C">
      <w:pPr>
        <w:snapToGrid w:val="0"/>
        <w:spacing w:beforeLines="50" w:after="50"/>
        <w:ind w:firstLine="630" w:firstLineChars="300"/>
        <w:jc w:val="left"/>
        <w:rPr>
          <w:rFonts w:ascii="宋体" w:hAnsi="宋体"/>
          <w:b/>
          <w:color w:val="auto"/>
          <w:szCs w:val="16"/>
        </w:rPr>
      </w:pPr>
      <w:r>
        <w:rPr>
          <w:rFonts w:hint="eastAsia" w:ascii="宋体" w:hAnsi="宋体"/>
          <w:color w:val="auto"/>
          <w:szCs w:val="21"/>
        </w:rPr>
        <w:t>注：自然人投标的无需提供</w:t>
      </w:r>
    </w:p>
    <w:p w14:paraId="53387DE9">
      <w:pPr>
        <w:snapToGrid w:val="0"/>
        <w:spacing w:beforeLines="50" w:after="50"/>
        <w:jc w:val="left"/>
        <w:rPr>
          <w:rFonts w:ascii="宋体" w:hAnsi="宋体"/>
          <w:b/>
          <w:color w:val="auto"/>
          <w:sz w:val="24"/>
          <w:szCs w:val="20"/>
        </w:rPr>
      </w:pPr>
      <w:r>
        <w:rPr>
          <w:rFonts w:ascii="宋体" w:hAnsi="宋体"/>
          <w:b/>
          <w:color w:val="auto"/>
          <w:szCs w:val="21"/>
        </w:rPr>
        <w:br w:type="page"/>
      </w:r>
      <w:r>
        <w:rPr>
          <w:rFonts w:hint="eastAsia" w:ascii="宋体" w:hAnsi="宋体"/>
          <w:b/>
          <w:color w:val="auto"/>
          <w:szCs w:val="21"/>
        </w:rPr>
        <w:t>3.</w:t>
      </w:r>
      <w:r>
        <w:rPr>
          <w:rFonts w:hint="eastAsia" w:ascii="宋体" w:hAnsi="宋体"/>
          <w:b/>
          <w:color w:val="auto"/>
          <w:sz w:val="24"/>
        </w:rPr>
        <w:t>法定代表人授权委托书</w:t>
      </w:r>
    </w:p>
    <w:p w14:paraId="396AF883">
      <w:pPr>
        <w:snapToGrid w:val="0"/>
        <w:spacing w:beforeLines="50" w:after="50"/>
        <w:jc w:val="center"/>
        <w:rPr>
          <w:rFonts w:ascii="宋体" w:hAnsi="宋体"/>
          <w:b/>
          <w:color w:val="auto"/>
          <w:sz w:val="44"/>
          <w:szCs w:val="44"/>
        </w:rPr>
      </w:pPr>
    </w:p>
    <w:p w14:paraId="494E3E1B">
      <w:pPr>
        <w:snapToGrid w:val="0"/>
        <w:spacing w:beforeLines="50" w:after="50"/>
        <w:jc w:val="center"/>
        <w:rPr>
          <w:rFonts w:ascii="宋体" w:hAnsi="宋体"/>
          <w:b/>
          <w:color w:val="auto"/>
          <w:sz w:val="24"/>
        </w:rPr>
      </w:pPr>
      <w:r>
        <w:rPr>
          <w:rFonts w:hint="eastAsia" w:ascii="宋体" w:hAnsi="宋体"/>
          <w:b/>
          <w:color w:val="auto"/>
          <w:sz w:val="24"/>
        </w:rPr>
        <w:t>法定代表人授权委托书</w:t>
      </w:r>
    </w:p>
    <w:p w14:paraId="6C66957D">
      <w:pPr>
        <w:snapToGrid w:val="0"/>
        <w:spacing w:beforeLines="50" w:after="50"/>
        <w:jc w:val="center"/>
        <w:rPr>
          <w:rFonts w:ascii="宋体" w:hAnsi="宋体"/>
          <w:b/>
          <w:color w:val="auto"/>
          <w:sz w:val="24"/>
        </w:rPr>
      </w:pPr>
      <w:r>
        <w:rPr>
          <w:rFonts w:hint="eastAsia" w:ascii="宋体" w:hAnsi="宋体"/>
          <w:b/>
          <w:color w:val="auto"/>
          <w:sz w:val="24"/>
        </w:rPr>
        <w:t>（非联合体投标格式）</w:t>
      </w:r>
    </w:p>
    <w:p w14:paraId="602F2C35">
      <w:pPr>
        <w:snapToGrid w:val="0"/>
        <w:spacing w:beforeLines="50" w:after="50"/>
        <w:jc w:val="center"/>
        <w:rPr>
          <w:rFonts w:ascii="宋体" w:hAnsi="宋体"/>
          <w:b/>
          <w:color w:val="auto"/>
          <w:szCs w:val="21"/>
        </w:rPr>
      </w:pPr>
      <w:r>
        <w:rPr>
          <w:rFonts w:hint="eastAsia" w:ascii="宋体" w:hAnsi="宋体"/>
          <w:b/>
          <w:color w:val="auto"/>
          <w:sz w:val="24"/>
        </w:rPr>
        <w:t>（如有委托时）</w:t>
      </w:r>
    </w:p>
    <w:p w14:paraId="3794E343">
      <w:pPr>
        <w:snapToGrid w:val="0"/>
        <w:spacing w:beforeLines="50" w:after="50"/>
        <w:jc w:val="center"/>
        <w:rPr>
          <w:rFonts w:ascii="宋体" w:hAnsi="宋体"/>
          <w:b/>
          <w:color w:val="auto"/>
          <w:szCs w:val="21"/>
        </w:rPr>
      </w:pPr>
    </w:p>
    <w:p w14:paraId="460409C3">
      <w:pPr>
        <w:snapToGrid w:val="0"/>
        <w:spacing w:beforeLines="50" w:after="50"/>
        <w:rPr>
          <w:rFonts w:ascii="宋体" w:hAnsi="宋体"/>
          <w:b/>
          <w:bCs/>
          <w:color w:val="auto"/>
          <w:szCs w:val="21"/>
        </w:rPr>
      </w:pPr>
      <w:r>
        <w:rPr>
          <w:rFonts w:hint="eastAsia" w:ascii="宋体" w:hAnsi="宋体"/>
          <w:bCs/>
          <w:color w:val="auto"/>
          <w:szCs w:val="21"/>
        </w:rPr>
        <w:t>致：</w:t>
      </w:r>
      <w:r>
        <w:rPr>
          <w:rFonts w:hint="eastAsia" w:ascii="宋体" w:hAnsi="宋体"/>
          <w:color w:val="auto"/>
          <w:szCs w:val="21"/>
          <w:u w:val="single"/>
        </w:rPr>
        <w:t>采购人名称</w:t>
      </w:r>
      <w:r>
        <w:rPr>
          <w:rFonts w:hint="eastAsia" w:ascii="宋体" w:hAnsi="宋体"/>
          <w:color w:val="auto"/>
          <w:szCs w:val="21"/>
        </w:rPr>
        <w:t>：</w:t>
      </w:r>
    </w:p>
    <w:p w14:paraId="36F30A3A">
      <w:pPr>
        <w:snapToGrid w:val="0"/>
        <w:spacing w:beforeLines="50" w:after="50" w:line="360" w:lineRule="auto"/>
        <w:ind w:left="199" w:leftChars="95" w:firstLine="283" w:firstLineChars="135"/>
        <w:rPr>
          <w:rFonts w:ascii="宋体" w:hAnsi="宋体"/>
          <w:color w:val="auto"/>
          <w:szCs w:val="21"/>
        </w:rPr>
      </w:pPr>
      <w:r>
        <w:rPr>
          <w:rFonts w:hint="eastAsia" w:ascii="宋体" w:hAnsi="宋体"/>
          <w:color w:val="auto"/>
          <w:szCs w:val="21"/>
        </w:rPr>
        <w:t>我</w:t>
      </w:r>
      <w:r>
        <w:rPr>
          <w:rFonts w:hint="eastAsia" w:ascii="宋体" w:hAnsi="宋体"/>
          <w:color w:val="auto"/>
          <w:szCs w:val="21"/>
          <w:u w:val="single"/>
          <w:lang w:val="en-US" w:eastAsia="zh-CN"/>
        </w:rPr>
        <w:t xml:space="preserve">          </w:t>
      </w:r>
      <w:r>
        <w:rPr>
          <w:rFonts w:hint="eastAsia" w:ascii="宋体" w:hAnsi="宋体"/>
          <w:color w:val="auto"/>
          <w:szCs w:val="21"/>
        </w:rPr>
        <w:t>（姓名）系</w:t>
      </w:r>
      <w:r>
        <w:rPr>
          <w:rFonts w:hint="eastAsia" w:ascii="宋体" w:hAnsi="宋体"/>
          <w:color w:val="auto"/>
          <w:szCs w:val="21"/>
          <w:u w:val="single"/>
          <w:lang w:val="en-US" w:eastAsia="zh-CN"/>
        </w:rPr>
        <w:t xml:space="preserve">          </w:t>
      </w:r>
      <w:r>
        <w:rPr>
          <w:rFonts w:hint="eastAsia" w:ascii="宋体" w:hAnsi="宋体"/>
          <w:color w:val="auto"/>
          <w:szCs w:val="21"/>
        </w:rPr>
        <w:t>（投标人名称）的法定代表人，现授权委托</w:t>
      </w:r>
      <w:r>
        <w:rPr>
          <w:rFonts w:hint="eastAsia" w:ascii="宋体" w:hAnsi="宋体"/>
          <w:color w:val="auto"/>
          <w:szCs w:val="21"/>
          <w:u w:val="single"/>
        </w:rPr>
        <w:t xml:space="preserve">              （姓名）</w:t>
      </w:r>
      <w:r>
        <w:rPr>
          <w:rFonts w:hint="eastAsia" w:ascii="宋体" w:hAnsi="宋体"/>
          <w:color w:val="auto"/>
          <w:szCs w:val="21"/>
        </w:rPr>
        <w:t>以我方的名义参加</w:t>
      </w:r>
      <w:r>
        <w:rPr>
          <w:rFonts w:hint="eastAsia" w:ascii="宋体" w:hAnsi="宋体"/>
          <w:color w:val="auto"/>
          <w:szCs w:val="21"/>
          <w:u w:val="single"/>
          <w:lang w:val="en-US" w:eastAsia="zh-CN"/>
        </w:rPr>
        <w:t xml:space="preserve">     （项目名称）     </w:t>
      </w:r>
      <w:r>
        <w:rPr>
          <w:rFonts w:hint="eastAsia" w:ascii="宋体" w:hAnsi="宋体"/>
          <w:color w:val="auto"/>
          <w:szCs w:val="21"/>
        </w:rPr>
        <w:t>（项目编号：</w:t>
      </w:r>
      <w:r>
        <w:rPr>
          <w:rFonts w:hint="eastAsia" w:ascii="宋体" w:hAnsi="宋体"/>
          <w:color w:val="auto"/>
          <w:szCs w:val="21"/>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）项目的投标活动，并代表我方全权办理针对上述项目的所有采购程序和环节的具体事务和签署相关文件。</w:t>
      </w:r>
    </w:p>
    <w:p w14:paraId="67A48FD6">
      <w:pPr>
        <w:snapToGrid w:val="0"/>
        <w:spacing w:beforeLines="50" w:after="50"/>
        <w:rPr>
          <w:rFonts w:ascii="宋体" w:hAnsi="宋体"/>
          <w:color w:val="auto"/>
          <w:szCs w:val="21"/>
        </w:rPr>
      </w:pPr>
      <w:r>
        <w:rPr>
          <w:rFonts w:hint="eastAsia" w:ascii="宋体" w:hAnsi="宋体"/>
          <w:color w:val="auto"/>
          <w:szCs w:val="21"/>
        </w:rPr>
        <w:t xml:space="preserve">    我方对委托代理人的签字事项负全部责任。</w:t>
      </w:r>
    </w:p>
    <w:p w14:paraId="2E292FBF">
      <w:pPr>
        <w:snapToGrid w:val="0"/>
        <w:spacing w:beforeLines="50" w:after="50" w:line="360" w:lineRule="auto"/>
        <w:ind w:firstLine="480"/>
        <w:rPr>
          <w:rFonts w:ascii="宋体" w:hAnsi="宋体"/>
          <w:color w:val="auto"/>
          <w:szCs w:val="21"/>
        </w:rPr>
      </w:pPr>
      <w:r>
        <w:rPr>
          <w:rFonts w:hint="eastAsia" w:ascii="宋体" w:hAnsi="宋体"/>
          <w:color w:val="auto"/>
          <w:szCs w:val="21"/>
          <w:u w:val="single"/>
        </w:rPr>
        <w:t>本授权书自签署之日起生效，在撤销授权的书面通知以前，本授权书一直有效。委托代理人在授权书有效期内签署的所有文件不因授权的撤销而失效。</w:t>
      </w:r>
    </w:p>
    <w:p w14:paraId="0129B7D9">
      <w:pPr>
        <w:snapToGrid w:val="0"/>
        <w:spacing w:beforeLines="50" w:after="50"/>
        <w:ind w:firstLine="480"/>
        <w:rPr>
          <w:rFonts w:ascii="宋体" w:hAnsi="宋体"/>
          <w:color w:val="auto"/>
          <w:szCs w:val="21"/>
        </w:rPr>
      </w:pPr>
      <w:r>
        <w:rPr>
          <w:rFonts w:hint="eastAsia" w:ascii="宋体" w:hAnsi="宋体"/>
          <w:color w:val="auto"/>
          <w:szCs w:val="21"/>
        </w:rPr>
        <w:t>委托代理人无转委托权，特此委托。</w:t>
      </w:r>
    </w:p>
    <w:p w14:paraId="43DA0B15">
      <w:pPr>
        <w:snapToGrid w:val="0"/>
        <w:spacing w:beforeLines="50" w:after="50"/>
        <w:ind w:firstLine="480"/>
        <w:rPr>
          <w:rFonts w:ascii="宋体" w:hAnsi="宋体"/>
          <w:color w:val="auto"/>
          <w:szCs w:val="21"/>
        </w:rPr>
      </w:pPr>
      <w:r>
        <w:rPr>
          <w:rFonts w:hint="eastAsia" w:ascii="宋体" w:hAnsi="宋体"/>
          <w:color w:val="auto"/>
          <w:szCs w:val="21"/>
        </w:rPr>
        <w:t>附：法定代表人身份证明及委托代理人有效身份证正反面复印件</w:t>
      </w:r>
    </w:p>
    <w:p w14:paraId="588D0E0D">
      <w:pPr>
        <w:snapToGrid w:val="0"/>
        <w:spacing w:beforeLines="50" w:after="50"/>
        <w:rPr>
          <w:rFonts w:ascii="宋体" w:hAnsi="宋体"/>
          <w:color w:val="auto"/>
          <w:szCs w:val="21"/>
        </w:rPr>
      </w:pPr>
    </w:p>
    <w:p w14:paraId="3072D089">
      <w:pPr>
        <w:snapToGrid w:val="0"/>
        <w:spacing w:beforeLines="50" w:after="50"/>
        <w:rPr>
          <w:rFonts w:ascii="宋体" w:hAnsi="宋体"/>
          <w:color w:val="auto"/>
          <w:szCs w:val="21"/>
          <w:u w:val="single"/>
        </w:rPr>
      </w:pPr>
      <w:r>
        <w:rPr>
          <w:rFonts w:hint="eastAsia" w:ascii="宋体" w:hAnsi="宋体"/>
          <w:color w:val="auto"/>
          <w:szCs w:val="21"/>
        </w:rPr>
        <w:t>委托代理人签字：            法定代表人签字：</w:t>
      </w:r>
    </w:p>
    <w:p w14:paraId="50232C89">
      <w:pPr>
        <w:snapToGrid w:val="0"/>
        <w:spacing w:beforeLines="50" w:after="50"/>
        <w:rPr>
          <w:rFonts w:ascii="宋体" w:hAnsi="宋体"/>
          <w:color w:val="auto"/>
          <w:szCs w:val="21"/>
        </w:rPr>
      </w:pPr>
      <w:r>
        <w:rPr>
          <w:rFonts w:hint="eastAsia" w:ascii="宋体" w:hAnsi="宋体"/>
          <w:color w:val="auto"/>
          <w:szCs w:val="21"/>
        </w:rPr>
        <w:t>所在部门职务：                      职务：</w:t>
      </w:r>
    </w:p>
    <w:p w14:paraId="393B30CC">
      <w:pPr>
        <w:snapToGrid w:val="0"/>
        <w:spacing w:beforeLines="50" w:after="50"/>
        <w:rPr>
          <w:rFonts w:ascii="宋体" w:hAnsi="宋体"/>
          <w:color w:val="auto"/>
          <w:szCs w:val="21"/>
        </w:rPr>
      </w:pPr>
      <w:r>
        <w:rPr>
          <w:rFonts w:hint="eastAsia" w:ascii="宋体" w:hAnsi="宋体"/>
          <w:color w:val="auto"/>
          <w:szCs w:val="21"/>
        </w:rPr>
        <w:t>委托代理人身份证号码：</w:t>
      </w:r>
    </w:p>
    <w:p w14:paraId="611FAAD7">
      <w:pPr>
        <w:snapToGrid w:val="0"/>
        <w:spacing w:before="50" w:after="50" w:line="360" w:lineRule="auto"/>
        <w:ind w:left="-6" w:leftChars="-15" w:right="-817" w:rightChars="-389" w:hanging="25" w:hangingChars="12"/>
        <w:jc w:val="left"/>
        <w:rPr>
          <w:rFonts w:ascii="宋体" w:hAnsi="宋体"/>
          <w:b/>
          <w:bCs/>
          <w:color w:val="auto"/>
          <w:szCs w:val="21"/>
          <w:u w:val="single"/>
        </w:rPr>
      </w:pPr>
    </w:p>
    <w:p w14:paraId="1F3083A7">
      <w:pPr>
        <w:snapToGrid w:val="0"/>
        <w:spacing w:before="50" w:after="50" w:line="48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投标人(公章或电子签章)：</w:t>
      </w:r>
    </w:p>
    <w:p w14:paraId="481E7B7E">
      <w:pPr>
        <w:snapToGrid w:val="0"/>
        <w:spacing w:before="50" w:after="50" w:line="480" w:lineRule="auto"/>
        <w:ind w:left="-6" w:leftChars="-15" w:right="-817" w:rightChars="-389" w:hanging="25" w:hangingChars="12"/>
        <w:jc w:val="left"/>
        <w:rPr>
          <w:rFonts w:ascii="宋体" w:hAnsi="宋体"/>
          <w:color w:val="auto"/>
          <w:sz w:val="20"/>
          <w:szCs w:val="22"/>
        </w:rPr>
      </w:pPr>
      <w:r>
        <w:rPr>
          <w:rFonts w:hint="eastAsia" w:ascii="宋体" w:hAnsi="宋体"/>
          <w:b/>
          <w:bCs/>
          <w:color w:val="auto"/>
          <w:szCs w:val="21"/>
        </w:rPr>
        <w:t>日期：    年   月   日</w:t>
      </w:r>
    </w:p>
    <w:p w14:paraId="50796367">
      <w:pPr>
        <w:snapToGrid w:val="0"/>
        <w:spacing w:beforeLines="50" w:after="50"/>
        <w:jc w:val="center"/>
        <w:rPr>
          <w:rFonts w:ascii="宋体" w:hAnsi="宋体"/>
          <w:color w:val="auto"/>
          <w:szCs w:val="21"/>
        </w:rPr>
      </w:pPr>
    </w:p>
    <w:p w14:paraId="413A3CE9">
      <w:pPr>
        <w:snapToGrid w:val="0"/>
        <w:spacing w:beforeLines="50" w:after="50"/>
        <w:jc w:val="center"/>
        <w:rPr>
          <w:rFonts w:ascii="宋体" w:hAnsi="宋体"/>
          <w:color w:val="auto"/>
          <w:szCs w:val="21"/>
        </w:rPr>
      </w:pPr>
    </w:p>
    <w:p w14:paraId="7EF82AF2">
      <w:pPr>
        <w:snapToGrid w:val="0"/>
        <w:spacing w:beforeLines="50" w:after="50"/>
        <w:jc w:val="center"/>
        <w:rPr>
          <w:rFonts w:ascii="宋体" w:hAnsi="宋体"/>
          <w:color w:val="auto"/>
          <w:szCs w:val="21"/>
        </w:rPr>
      </w:pPr>
    </w:p>
    <w:p w14:paraId="2479D40D">
      <w:pPr>
        <w:spacing w:line="360" w:lineRule="auto"/>
        <w:rPr>
          <w:rFonts w:ascii="仿宋_GB2312" w:hAnsi="仿宋_GB2312" w:eastAsia="仿宋_GB2312" w:cs="仿宋_GB2312"/>
          <w:color w:val="auto"/>
          <w:szCs w:val="21"/>
        </w:rPr>
      </w:pPr>
      <w:r>
        <w:rPr>
          <w:rFonts w:hint="eastAsia" w:ascii="仿宋_GB2312" w:hAnsi="仿宋_GB2312" w:eastAsia="仿宋_GB2312" w:cs="仿宋_GB2312"/>
          <w:color w:val="auto"/>
          <w:szCs w:val="21"/>
        </w:rPr>
        <w:t>注：1.法定代表人必须在授权委托书上签字或者盖章或者电子签名，委托代理人必须在授权委托书上签字或者电子签名，</w:t>
      </w:r>
      <w:r>
        <w:rPr>
          <w:rFonts w:hint="eastAsia" w:ascii="仿宋_GB2312" w:hAnsi="仿宋_GB2312" w:eastAsia="仿宋_GB2312" w:cs="仿宋_GB2312"/>
          <w:b/>
          <w:bCs/>
          <w:color w:val="auto"/>
          <w:szCs w:val="21"/>
        </w:rPr>
        <w:t>否则按无效投标处理</w:t>
      </w:r>
      <w:r>
        <w:rPr>
          <w:rFonts w:hint="eastAsia" w:ascii="仿宋_GB2312" w:hAnsi="仿宋_GB2312" w:eastAsia="仿宋_GB2312" w:cs="仿宋_GB2312"/>
          <w:color w:val="auto"/>
          <w:szCs w:val="21"/>
        </w:rPr>
        <w:t>；</w:t>
      </w:r>
    </w:p>
    <w:p w14:paraId="189ECD16">
      <w:pPr>
        <w:spacing w:line="360" w:lineRule="auto"/>
        <w:ind w:firstLine="420" w:firstLineChars="200"/>
        <w:jc w:val="left"/>
        <w:rPr>
          <w:rFonts w:ascii="仿宋_GB2312" w:hAnsi="仿宋_GB2312" w:eastAsia="仿宋_GB2312" w:cs="仿宋_GB2312"/>
          <w:color w:val="auto"/>
          <w:szCs w:val="21"/>
        </w:rPr>
      </w:pPr>
      <w:r>
        <w:rPr>
          <w:rFonts w:hint="eastAsia" w:ascii="仿宋_GB2312" w:hAnsi="仿宋_GB2312" w:eastAsia="仿宋_GB2312" w:cs="仿宋_GB2312"/>
          <w:color w:val="auto"/>
          <w:szCs w:val="21"/>
        </w:rPr>
        <w:t>2.以联合体形式投标的，本授权委托书应由联合体牵头人的法定代表人按上述规定签署。</w:t>
      </w:r>
    </w:p>
    <w:p w14:paraId="421FEFF0">
      <w:pPr>
        <w:snapToGrid w:val="0"/>
        <w:spacing w:before="50" w:afterLines="50" w:line="360" w:lineRule="auto"/>
        <w:ind w:firstLine="420" w:firstLineChars="200"/>
        <w:jc w:val="left"/>
        <w:rPr>
          <w:rFonts w:ascii="宋体" w:hAnsi="宋体"/>
          <w:color w:val="auto"/>
          <w:szCs w:val="21"/>
        </w:rPr>
      </w:pPr>
      <w:r>
        <w:rPr>
          <w:rFonts w:hint="eastAsia" w:ascii="仿宋_GB2312" w:hAnsi="仿宋_GB2312" w:eastAsia="仿宋_GB2312" w:cs="仿宋_GB2312"/>
          <w:color w:val="auto"/>
          <w:szCs w:val="21"/>
        </w:rPr>
        <w:t>3</w:t>
      </w:r>
      <w:r>
        <w:rPr>
          <w:rFonts w:ascii="仿宋_GB2312" w:hAnsi="仿宋_GB2312" w:eastAsia="仿宋_GB2312" w:cs="仿宋_GB2312"/>
          <w:color w:val="auto"/>
          <w:szCs w:val="21"/>
        </w:rPr>
        <w:t>.</w:t>
      </w:r>
      <w:r>
        <w:rPr>
          <w:rFonts w:hint="eastAsia" w:ascii="仿宋_GB2312" w:hAnsi="仿宋_GB2312" w:eastAsia="仿宋_GB2312" w:cs="仿宋_GB2312"/>
          <w:color w:val="auto"/>
          <w:szCs w:val="21"/>
        </w:rPr>
        <w:t>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11A376EE">
      <w:pPr>
        <w:snapToGrid w:val="0"/>
        <w:spacing w:beforeLines="50" w:after="50" w:line="360" w:lineRule="auto"/>
        <w:ind w:firstLine="495" w:firstLineChars="236"/>
        <w:jc w:val="center"/>
        <w:rPr>
          <w:rFonts w:ascii="宋体" w:hAnsi="宋体"/>
          <w:b/>
          <w:bCs/>
          <w:color w:val="auto"/>
          <w:sz w:val="24"/>
        </w:rPr>
      </w:pPr>
      <w:r>
        <w:rPr>
          <w:rFonts w:ascii="宋体" w:hAnsi="宋体"/>
          <w:color w:val="auto"/>
          <w:szCs w:val="21"/>
        </w:rPr>
        <w:br w:type="page"/>
      </w:r>
      <w:r>
        <w:rPr>
          <w:rFonts w:hint="eastAsia" w:ascii="宋体" w:hAnsi="宋体"/>
          <w:b/>
          <w:bCs/>
          <w:color w:val="auto"/>
          <w:sz w:val="24"/>
        </w:rPr>
        <w:t>法定代表人授权委托书</w:t>
      </w:r>
    </w:p>
    <w:p w14:paraId="69B1BB80">
      <w:pPr>
        <w:snapToGrid w:val="0"/>
        <w:spacing w:beforeLines="50" w:after="50"/>
        <w:ind w:firstLine="569" w:firstLineChars="236"/>
        <w:jc w:val="center"/>
        <w:rPr>
          <w:rFonts w:ascii="宋体" w:hAnsi="宋体"/>
          <w:b/>
          <w:bCs/>
          <w:color w:val="auto"/>
          <w:sz w:val="24"/>
        </w:rPr>
      </w:pPr>
      <w:r>
        <w:rPr>
          <w:rFonts w:hint="eastAsia" w:ascii="宋体" w:hAnsi="宋体"/>
          <w:b/>
          <w:bCs/>
          <w:color w:val="auto"/>
          <w:sz w:val="24"/>
        </w:rPr>
        <w:t>（联合体投标格式）</w:t>
      </w:r>
    </w:p>
    <w:p w14:paraId="196DF197">
      <w:pPr>
        <w:snapToGrid w:val="0"/>
        <w:spacing w:beforeLines="50" w:after="50"/>
        <w:ind w:firstLine="569" w:firstLineChars="236"/>
        <w:jc w:val="center"/>
        <w:rPr>
          <w:rFonts w:ascii="宋体" w:hAnsi="宋体"/>
          <w:color w:val="auto"/>
          <w:szCs w:val="21"/>
        </w:rPr>
      </w:pPr>
      <w:r>
        <w:rPr>
          <w:rFonts w:hint="eastAsia" w:ascii="宋体" w:hAnsi="宋体"/>
          <w:b/>
          <w:bCs/>
          <w:color w:val="auto"/>
          <w:sz w:val="24"/>
        </w:rPr>
        <w:t>（如有委托时）</w:t>
      </w:r>
    </w:p>
    <w:p w14:paraId="512F6362">
      <w:pPr>
        <w:snapToGrid w:val="0"/>
        <w:spacing w:beforeLines="50" w:after="50"/>
        <w:jc w:val="left"/>
        <w:rPr>
          <w:rFonts w:ascii="宋体" w:hAnsi="宋体"/>
          <w:color w:val="auto"/>
          <w:szCs w:val="21"/>
        </w:rPr>
      </w:pPr>
      <w:r>
        <w:rPr>
          <w:rFonts w:hint="eastAsia" w:ascii="宋体" w:hAnsi="宋体"/>
          <w:bCs/>
          <w:color w:val="auto"/>
          <w:szCs w:val="21"/>
        </w:rPr>
        <w:t>致：</w:t>
      </w:r>
      <w:r>
        <w:rPr>
          <w:rFonts w:hint="eastAsia" w:ascii="宋体" w:hAnsi="宋体"/>
          <w:color w:val="auto"/>
          <w:szCs w:val="21"/>
          <w:u w:val="single"/>
        </w:rPr>
        <w:t>采购人名称</w:t>
      </w:r>
      <w:r>
        <w:rPr>
          <w:rFonts w:hint="eastAsia" w:ascii="宋体" w:hAnsi="宋体"/>
          <w:color w:val="auto"/>
          <w:szCs w:val="21"/>
        </w:rPr>
        <w:t>：</w:t>
      </w:r>
    </w:p>
    <w:p w14:paraId="60A13A1F">
      <w:pPr>
        <w:snapToGrid w:val="0"/>
        <w:spacing w:beforeLines="50" w:after="50" w:line="360" w:lineRule="auto"/>
        <w:ind w:firstLine="495" w:firstLineChars="236"/>
        <w:rPr>
          <w:rFonts w:ascii="宋体" w:hAnsi="宋体"/>
          <w:color w:val="auto"/>
          <w:szCs w:val="21"/>
        </w:rPr>
      </w:pPr>
      <w:r>
        <w:rPr>
          <w:rFonts w:hint="eastAsia" w:ascii="宋体" w:hAnsi="宋体"/>
          <w:color w:val="auto"/>
          <w:szCs w:val="21"/>
        </w:rPr>
        <w:t xml:space="preserve">根据 </w:t>
      </w:r>
      <w:r>
        <w:rPr>
          <w:rFonts w:hint="eastAsia" w:ascii="宋体" w:hAnsi="宋体"/>
          <w:color w:val="auto"/>
          <w:szCs w:val="21"/>
          <w:u w:val="single"/>
        </w:rPr>
        <w:t xml:space="preserve"> （牵头人名称）</w:t>
      </w:r>
      <w:r>
        <w:rPr>
          <w:rFonts w:hint="eastAsia" w:ascii="宋体" w:hAnsi="宋体"/>
          <w:color w:val="auto"/>
          <w:szCs w:val="21"/>
        </w:rPr>
        <w:t>与</w:t>
      </w:r>
      <w:r>
        <w:rPr>
          <w:rFonts w:hint="eastAsia" w:ascii="宋体" w:hAnsi="宋体"/>
          <w:color w:val="auto"/>
          <w:szCs w:val="21"/>
          <w:u w:val="single"/>
        </w:rPr>
        <w:t>（联合体其他成员名称）</w:t>
      </w:r>
      <w:r>
        <w:rPr>
          <w:rFonts w:hint="eastAsia" w:ascii="宋体" w:hAnsi="宋体"/>
          <w:color w:val="auto"/>
          <w:szCs w:val="21"/>
        </w:rPr>
        <w:t>签订的《联合体投标协议书》的内容，</w:t>
      </w:r>
      <w:r>
        <w:rPr>
          <w:rFonts w:hint="eastAsia" w:ascii="宋体" w:hAnsi="宋体"/>
          <w:color w:val="auto"/>
          <w:szCs w:val="21"/>
          <w:u w:val="single"/>
        </w:rPr>
        <w:t>（牵头人名称）</w:t>
      </w:r>
      <w:r>
        <w:rPr>
          <w:rFonts w:hint="eastAsia" w:ascii="宋体" w:hAnsi="宋体"/>
          <w:color w:val="auto"/>
          <w:szCs w:val="21"/>
        </w:rPr>
        <w:t>的法定代表人</w:t>
      </w:r>
      <w:r>
        <w:rPr>
          <w:rFonts w:hint="eastAsia" w:ascii="宋体" w:hAnsi="宋体"/>
          <w:color w:val="auto"/>
          <w:szCs w:val="21"/>
          <w:u w:val="single"/>
          <w:lang w:val="en-US" w:eastAsia="zh-CN"/>
        </w:rPr>
        <w:t xml:space="preserve">   </w:t>
      </w:r>
      <w:r>
        <w:rPr>
          <w:rFonts w:hint="eastAsia" w:ascii="宋体" w:hAnsi="宋体"/>
          <w:color w:val="auto"/>
          <w:szCs w:val="21"/>
          <w:u w:val="single"/>
        </w:rPr>
        <w:t>（姓名）</w:t>
      </w:r>
      <w:r>
        <w:rPr>
          <w:rFonts w:hint="eastAsia" w:ascii="宋体" w:hAnsi="宋体"/>
          <w:color w:val="auto"/>
          <w:szCs w:val="21"/>
        </w:rPr>
        <w:t>现授权委托</w:t>
      </w:r>
      <w:r>
        <w:rPr>
          <w:rFonts w:hint="eastAsia" w:ascii="宋体" w:hAnsi="宋体"/>
          <w:color w:val="auto"/>
          <w:szCs w:val="21"/>
          <w:u w:val="single"/>
        </w:rPr>
        <w:t xml:space="preserve">              （姓名）</w:t>
      </w:r>
      <w:r>
        <w:rPr>
          <w:rFonts w:hint="eastAsia" w:ascii="宋体" w:hAnsi="宋体"/>
          <w:color w:val="auto"/>
          <w:szCs w:val="21"/>
        </w:rPr>
        <w:t>以我方的名义参加</w:t>
      </w:r>
      <w:r>
        <w:rPr>
          <w:rFonts w:hint="eastAsia" w:ascii="宋体" w:hAnsi="宋体"/>
          <w:color w:val="auto"/>
          <w:szCs w:val="21"/>
          <w:u w:val="single"/>
          <w:lang w:val="en-US" w:eastAsia="zh-CN"/>
        </w:rPr>
        <w:t xml:space="preserve">     </w:t>
      </w:r>
      <w:r>
        <w:rPr>
          <w:rFonts w:hint="eastAsia" w:ascii="宋体" w:hAnsi="宋体"/>
          <w:color w:val="auto"/>
          <w:szCs w:val="21"/>
        </w:rPr>
        <w:t>项目的投标活动，并代表我方全权办理针对上述项目的所有采购程序和环节的具体事务和签署相关文件。</w:t>
      </w:r>
    </w:p>
    <w:p w14:paraId="0FA5D6CE">
      <w:pPr>
        <w:snapToGrid w:val="0"/>
        <w:spacing w:beforeLines="50" w:after="50" w:line="360" w:lineRule="auto"/>
        <w:ind w:firstLine="495" w:firstLineChars="236"/>
        <w:rPr>
          <w:rFonts w:ascii="宋体" w:hAnsi="宋体"/>
          <w:color w:val="auto"/>
          <w:szCs w:val="21"/>
        </w:rPr>
      </w:pPr>
      <w:r>
        <w:rPr>
          <w:rFonts w:hint="eastAsia" w:ascii="宋体" w:hAnsi="宋体"/>
          <w:color w:val="auto"/>
          <w:szCs w:val="21"/>
        </w:rPr>
        <w:t>我方对委托代理人的签字事项负全部责任。</w:t>
      </w:r>
    </w:p>
    <w:p w14:paraId="313F38CE">
      <w:pPr>
        <w:snapToGrid w:val="0"/>
        <w:spacing w:beforeLines="50" w:after="50" w:line="360" w:lineRule="auto"/>
        <w:ind w:firstLine="495" w:firstLineChars="236"/>
        <w:rPr>
          <w:rFonts w:ascii="宋体" w:hAnsi="宋体"/>
          <w:color w:val="auto"/>
          <w:szCs w:val="21"/>
        </w:rPr>
      </w:pPr>
      <w:r>
        <w:rPr>
          <w:rFonts w:hint="eastAsia" w:ascii="宋体" w:hAnsi="宋体"/>
          <w:color w:val="auto"/>
          <w:szCs w:val="21"/>
        </w:rPr>
        <w:t>本授权书自签署之日起生效，在撤销授权的书面通知以前，本授权书一直有效。委托代理人在授权书有效期内签署的所有文件不因授权的撤销而失效。</w:t>
      </w:r>
    </w:p>
    <w:p w14:paraId="160454F8">
      <w:pPr>
        <w:snapToGrid w:val="0"/>
        <w:spacing w:beforeLines="50" w:after="50" w:line="360" w:lineRule="auto"/>
        <w:ind w:firstLine="495" w:firstLineChars="236"/>
        <w:rPr>
          <w:rFonts w:ascii="宋体" w:hAnsi="宋体"/>
          <w:color w:val="auto"/>
          <w:szCs w:val="21"/>
        </w:rPr>
      </w:pPr>
      <w:r>
        <w:rPr>
          <w:rFonts w:hint="eastAsia" w:ascii="宋体" w:hAnsi="宋体"/>
          <w:color w:val="auto"/>
          <w:szCs w:val="21"/>
        </w:rPr>
        <w:t>委托代理人无转委托权，特此委托。</w:t>
      </w:r>
    </w:p>
    <w:p w14:paraId="6D6558E8">
      <w:pPr>
        <w:snapToGrid w:val="0"/>
        <w:spacing w:beforeLines="50" w:after="50" w:line="360" w:lineRule="auto"/>
        <w:ind w:firstLine="495" w:firstLineChars="236"/>
        <w:rPr>
          <w:rFonts w:ascii="宋体" w:hAnsi="宋体"/>
          <w:color w:val="auto"/>
          <w:szCs w:val="21"/>
        </w:rPr>
      </w:pPr>
      <w:r>
        <w:rPr>
          <w:rFonts w:hint="eastAsia" w:ascii="宋体" w:hAnsi="宋体"/>
          <w:color w:val="auto"/>
          <w:szCs w:val="21"/>
        </w:rPr>
        <w:t>附：牵头人法定代表人身份证明及委托代理人有效身份证正反面复印件</w:t>
      </w:r>
    </w:p>
    <w:p w14:paraId="4DD6831A">
      <w:pPr>
        <w:snapToGrid w:val="0"/>
        <w:spacing w:beforeLines="50" w:after="50"/>
        <w:ind w:firstLine="495" w:firstLineChars="236"/>
        <w:rPr>
          <w:rFonts w:ascii="宋体" w:hAnsi="宋体"/>
          <w:color w:val="auto"/>
          <w:szCs w:val="21"/>
        </w:rPr>
      </w:pPr>
    </w:p>
    <w:p w14:paraId="3304AE19">
      <w:pPr>
        <w:snapToGrid w:val="0"/>
        <w:spacing w:beforeLines="50" w:after="50"/>
        <w:ind w:firstLine="495" w:firstLineChars="236"/>
        <w:rPr>
          <w:rFonts w:ascii="宋体" w:hAnsi="宋体"/>
          <w:color w:val="auto"/>
          <w:szCs w:val="21"/>
        </w:rPr>
      </w:pPr>
      <w:r>
        <w:rPr>
          <w:rFonts w:hint="eastAsia" w:ascii="宋体" w:hAnsi="宋体"/>
          <w:color w:val="auto"/>
          <w:szCs w:val="21"/>
        </w:rPr>
        <w:t>牵头人法定代表人（签字）：</w:t>
      </w:r>
    </w:p>
    <w:p w14:paraId="3918E071">
      <w:pPr>
        <w:snapToGrid w:val="0"/>
        <w:spacing w:beforeLines="50" w:after="50"/>
        <w:ind w:firstLine="495" w:firstLineChars="236"/>
        <w:rPr>
          <w:rFonts w:ascii="宋体" w:hAnsi="宋体"/>
          <w:color w:val="auto"/>
          <w:szCs w:val="21"/>
        </w:rPr>
      </w:pPr>
      <w:r>
        <w:rPr>
          <w:rFonts w:hint="eastAsia" w:ascii="宋体" w:hAnsi="宋体"/>
          <w:color w:val="auto"/>
          <w:szCs w:val="21"/>
        </w:rPr>
        <w:t>牵头人（盖公章）：</w:t>
      </w:r>
    </w:p>
    <w:p w14:paraId="4D898C01">
      <w:pPr>
        <w:snapToGrid w:val="0"/>
        <w:spacing w:beforeLines="50" w:after="50"/>
        <w:ind w:firstLine="495" w:firstLineChars="236"/>
        <w:rPr>
          <w:rFonts w:ascii="宋体" w:hAnsi="宋体"/>
          <w:color w:val="auto"/>
          <w:szCs w:val="21"/>
        </w:rPr>
      </w:pPr>
      <w:r>
        <w:rPr>
          <w:rFonts w:hint="eastAsia" w:ascii="宋体" w:hAnsi="宋体"/>
          <w:color w:val="auto"/>
          <w:szCs w:val="21"/>
        </w:rPr>
        <w:t>日期：    年   月   日</w:t>
      </w:r>
    </w:p>
    <w:p w14:paraId="3735F840">
      <w:pPr>
        <w:snapToGrid w:val="0"/>
        <w:spacing w:beforeLines="50" w:after="50"/>
        <w:ind w:firstLine="495" w:firstLineChars="236"/>
        <w:rPr>
          <w:rFonts w:ascii="宋体" w:hAnsi="宋体"/>
          <w:color w:val="auto"/>
          <w:szCs w:val="21"/>
        </w:rPr>
      </w:pPr>
    </w:p>
    <w:p w14:paraId="7F1A0124">
      <w:pPr>
        <w:snapToGrid w:val="0"/>
        <w:spacing w:beforeLines="50" w:after="50"/>
        <w:ind w:firstLine="495" w:firstLineChars="236"/>
        <w:rPr>
          <w:rFonts w:ascii="宋体" w:hAnsi="宋体"/>
          <w:color w:val="auto"/>
          <w:szCs w:val="21"/>
        </w:rPr>
      </w:pPr>
      <w:r>
        <w:rPr>
          <w:rFonts w:hint="eastAsia" w:ascii="宋体" w:hAnsi="宋体"/>
          <w:color w:val="auto"/>
          <w:szCs w:val="21"/>
        </w:rPr>
        <w:t>被授权人（签字）：</w:t>
      </w:r>
    </w:p>
    <w:p w14:paraId="13C67B30">
      <w:pPr>
        <w:snapToGrid w:val="0"/>
        <w:spacing w:beforeLines="50" w:after="50"/>
        <w:ind w:firstLine="495" w:firstLineChars="236"/>
        <w:rPr>
          <w:rFonts w:ascii="仿宋_GB2312" w:hAnsi="仿宋_GB2312" w:eastAsia="仿宋_GB2312" w:cs="仿宋_GB2312"/>
          <w:color w:val="auto"/>
          <w:sz w:val="24"/>
        </w:rPr>
      </w:pPr>
      <w:r>
        <w:rPr>
          <w:rFonts w:hint="eastAsia" w:ascii="宋体" w:hAnsi="宋体"/>
          <w:color w:val="auto"/>
          <w:szCs w:val="21"/>
        </w:rPr>
        <w:t>日期：    年   月   日</w:t>
      </w:r>
    </w:p>
    <w:p w14:paraId="45125498">
      <w:pPr>
        <w:spacing w:line="360" w:lineRule="auto"/>
        <w:rPr>
          <w:rFonts w:ascii="仿宋_GB2312" w:hAnsi="仿宋_GB2312" w:eastAsia="仿宋_GB2312" w:cs="仿宋_GB2312"/>
          <w:color w:val="auto"/>
          <w:szCs w:val="21"/>
        </w:rPr>
      </w:pPr>
    </w:p>
    <w:p w14:paraId="7C6C3A91">
      <w:pPr>
        <w:spacing w:line="360" w:lineRule="auto"/>
        <w:rPr>
          <w:rFonts w:ascii="仿宋_GB2312" w:hAnsi="仿宋_GB2312" w:eastAsia="仿宋_GB2312" w:cs="仿宋_GB2312"/>
          <w:color w:val="auto"/>
          <w:szCs w:val="21"/>
        </w:rPr>
      </w:pPr>
      <w:r>
        <w:rPr>
          <w:rFonts w:hint="eastAsia" w:ascii="仿宋_GB2312" w:hAnsi="仿宋_GB2312" w:eastAsia="仿宋_GB2312" w:cs="仿宋_GB2312"/>
          <w:color w:val="auto"/>
          <w:szCs w:val="21"/>
        </w:rPr>
        <w:t>注：1.法定代表人必须在授权委托书上签字或者盖章或者电子签名，委托代理人必须在授权委托书上签字或者电子签名，</w:t>
      </w:r>
      <w:r>
        <w:rPr>
          <w:rFonts w:hint="eastAsia" w:ascii="仿宋_GB2312" w:hAnsi="仿宋_GB2312" w:eastAsia="仿宋_GB2312" w:cs="仿宋_GB2312"/>
          <w:b/>
          <w:bCs/>
          <w:color w:val="auto"/>
          <w:szCs w:val="21"/>
        </w:rPr>
        <w:t>否则按无效投标处理</w:t>
      </w:r>
      <w:r>
        <w:rPr>
          <w:rFonts w:hint="eastAsia" w:ascii="仿宋_GB2312" w:hAnsi="仿宋_GB2312" w:eastAsia="仿宋_GB2312" w:cs="仿宋_GB2312"/>
          <w:color w:val="auto"/>
          <w:szCs w:val="21"/>
        </w:rPr>
        <w:t>；</w:t>
      </w:r>
    </w:p>
    <w:p w14:paraId="3CA07D02">
      <w:pPr>
        <w:spacing w:line="360" w:lineRule="auto"/>
        <w:ind w:firstLine="420" w:firstLineChars="200"/>
        <w:jc w:val="left"/>
        <w:rPr>
          <w:rFonts w:ascii="仿宋_GB2312" w:hAnsi="仿宋_GB2312" w:eastAsia="仿宋_GB2312" w:cs="仿宋_GB2312"/>
          <w:color w:val="auto"/>
          <w:szCs w:val="21"/>
        </w:rPr>
      </w:pPr>
      <w:r>
        <w:rPr>
          <w:rFonts w:hint="eastAsia" w:ascii="仿宋_GB2312" w:hAnsi="仿宋_GB2312" w:eastAsia="仿宋_GB2312" w:cs="仿宋_GB2312"/>
          <w:color w:val="auto"/>
          <w:szCs w:val="21"/>
        </w:rPr>
        <w:t>2.以联合体形式投标的，本授权委托书应由联合体牵头人的法定代表人按上述规定签署。</w:t>
      </w:r>
    </w:p>
    <w:p w14:paraId="4FA8C40C">
      <w:pPr>
        <w:snapToGrid w:val="0"/>
        <w:spacing w:before="50" w:afterLines="50" w:line="360" w:lineRule="auto"/>
        <w:ind w:firstLine="420" w:firstLineChars="200"/>
        <w:jc w:val="left"/>
        <w:rPr>
          <w:rFonts w:ascii="宋体" w:hAnsi="宋体"/>
          <w:color w:val="auto"/>
          <w:szCs w:val="21"/>
        </w:rPr>
        <w:sectPr>
          <w:footerReference r:id="rId13" w:type="first"/>
          <w:footerReference r:id="rId12" w:type="default"/>
          <w:pgSz w:w="11906" w:h="16838"/>
          <w:pgMar w:top="1134" w:right="1247" w:bottom="1560" w:left="1247" w:header="851" w:footer="992" w:gutter="0"/>
          <w:pgNumType w:fmt="decimal"/>
          <w:cols w:space="720" w:num="1"/>
          <w:titlePg/>
          <w:docGrid w:linePitch="312" w:charSpace="0"/>
        </w:sectPr>
      </w:pPr>
      <w:r>
        <w:rPr>
          <w:rFonts w:hint="eastAsia" w:ascii="仿宋_GB2312" w:hAnsi="仿宋_GB2312" w:eastAsia="仿宋_GB2312" w:cs="仿宋_GB2312"/>
          <w:color w:val="auto"/>
          <w:szCs w:val="21"/>
        </w:rPr>
        <w:t>3</w:t>
      </w:r>
      <w:r>
        <w:rPr>
          <w:rFonts w:ascii="仿宋_GB2312" w:hAnsi="仿宋_GB2312" w:eastAsia="仿宋_GB2312" w:cs="仿宋_GB2312"/>
          <w:color w:val="auto"/>
          <w:szCs w:val="21"/>
        </w:rPr>
        <w:t>.</w:t>
      </w:r>
      <w:r>
        <w:rPr>
          <w:rFonts w:hint="eastAsia" w:ascii="仿宋_GB2312" w:hAnsi="仿宋_GB2312" w:eastAsia="仿宋_GB2312" w:cs="仿宋_GB2312"/>
          <w:color w:val="auto"/>
          <w:szCs w:val="21"/>
        </w:rPr>
        <w:t xml:space="preserve"> 供应商为其他组织或者自然人时，本招标文件规定的法定代表人指负责人或者自然人。本招标文件所称负责人是指参加投标的其他组织营业执照上的负责人，本招标文件所称自然人指参与投标的自然人本</w:t>
      </w:r>
    </w:p>
    <w:p w14:paraId="00C57722">
      <w:pPr>
        <w:rPr>
          <w:rFonts w:ascii="宋体" w:hAnsi="宋体"/>
          <w:b/>
          <w:color w:val="auto"/>
          <w:sz w:val="24"/>
          <w:szCs w:val="20"/>
        </w:rPr>
      </w:pPr>
      <w:r>
        <w:rPr>
          <w:rFonts w:hint="eastAsia" w:ascii="宋体" w:hAnsi="宋体"/>
          <w:b/>
          <w:color w:val="auto"/>
          <w:sz w:val="24"/>
        </w:rPr>
        <w:t>4.商务条款偏离表(注：按第二章“采购需求”内容填写)</w:t>
      </w:r>
    </w:p>
    <w:p w14:paraId="6FA6E298">
      <w:pPr>
        <w:snapToGrid w:val="0"/>
        <w:spacing w:before="50"/>
        <w:jc w:val="left"/>
        <w:rPr>
          <w:rFonts w:ascii="宋体" w:hAnsi="宋体"/>
          <w:color w:val="auto"/>
          <w:sz w:val="24"/>
        </w:rPr>
      </w:pPr>
    </w:p>
    <w:p w14:paraId="5982890D">
      <w:pPr>
        <w:pStyle w:val="14"/>
        <w:jc w:val="center"/>
        <w:rPr>
          <w:rFonts w:hAnsi="宋体"/>
          <w:color w:val="auto"/>
          <w:sz w:val="21"/>
          <w:u w:val="single"/>
        </w:rPr>
      </w:pPr>
      <w:r>
        <w:rPr>
          <w:rFonts w:hint="eastAsia" w:ascii="宋体" w:hAnsi="宋体"/>
          <w:b/>
          <w:color w:val="auto"/>
          <w:sz w:val="24"/>
        </w:rPr>
        <w:t>商务条款偏离表</w:t>
      </w:r>
    </w:p>
    <w:p w14:paraId="65501A62">
      <w:pPr>
        <w:snapToGrid w:val="0"/>
        <w:spacing w:before="50"/>
        <w:jc w:val="left"/>
        <w:rPr>
          <w:rFonts w:ascii="宋体" w:hAnsi="宋体"/>
          <w:color w:val="auto"/>
          <w:szCs w:val="21"/>
          <w:u w:val="single"/>
        </w:rPr>
      </w:pPr>
    </w:p>
    <w:tbl>
      <w:tblPr>
        <w:tblStyle w:val="25"/>
        <w:tblW w:w="0" w:type="auto"/>
        <w:tblInd w:w="-11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10"/>
        <w:gridCol w:w="3336"/>
        <w:gridCol w:w="1760"/>
        <w:gridCol w:w="2035"/>
      </w:tblGrid>
      <w:tr w14:paraId="61DC64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510" w:type="dxa"/>
            <w:tcBorders>
              <w:top w:val="single" w:color="auto" w:sz="4" w:space="0"/>
              <w:left w:val="single" w:color="auto" w:sz="4" w:space="0"/>
              <w:bottom w:val="single" w:color="auto" w:sz="4" w:space="0"/>
              <w:right w:val="single" w:color="auto" w:sz="4" w:space="0"/>
            </w:tcBorders>
          </w:tcPr>
          <w:p w14:paraId="29A14E6D">
            <w:pPr>
              <w:snapToGrid w:val="0"/>
              <w:spacing w:beforeLines="50"/>
              <w:jc w:val="center"/>
              <w:rPr>
                <w:rFonts w:ascii="宋体" w:hAnsi="宋体"/>
                <w:b/>
                <w:bCs/>
                <w:color w:val="auto"/>
                <w:szCs w:val="21"/>
              </w:rPr>
            </w:pPr>
            <w:r>
              <w:rPr>
                <w:rFonts w:hint="eastAsia" w:ascii="宋体" w:hAnsi="宋体"/>
                <w:b/>
                <w:bCs/>
                <w:color w:val="auto"/>
                <w:szCs w:val="21"/>
              </w:rPr>
              <w:t>项目</w:t>
            </w:r>
          </w:p>
        </w:tc>
        <w:tc>
          <w:tcPr>
            <w:tcW w:w="3336" w:type="dxa"/>
            <w:tcBorders>
              <w:top w:val="single" w:color="auto" w:sz="4" w:space="0"/>
              <w:left w:val="single" w:color="auto" w:sz="4" w:space="0"/>
              <w:bottom w:val="single" w:color="auto" w:sz="4" w:space="0"/>
              <w:right w:val="single" w:color="auto" w:sz="4" w:space="0"/>
            </w:tcBorders>
          </w:tcPr>
          <w:p w14:paraId="3506B9C2">
            <w:pPr>
              <w:snapToGrid w:val="0"/>
              <w:spacing w:beforeLines="50"/>
              <w:jc w:val="center"/>
              <w:rPr>
                <w:rFonts w:ascii="宋体" w:hAnsi="宋体"/>
                <w:b/>
                <w:bCs/>
                <w:color w:val="auto"/>
                <w:szCs w:val="21"/>
              </w:rPr>
            </w:pPr>
            <w:r>
              <w:rPr>
                <w:rFonts w:hint="eastAsia" w:ascii="宋体" w:hAnsi="宋体"/>
                <w:b/>
                <w:bCs/>
                <w:color w:val="auto"/>
                <w:szCs w:val="21"/>
              </w:rPr>
              <w:t>招标文件商务条款要求</w:t>
            </w:r>
          </w:p>
        </w:tc>
        <w:tc>
          <w:tcPr>
            <w:tcW w:w="1760" w:type="dxa"/>
            <w:tcBorders>
              <w:top w:val="single" w:color="auto" w:sz="4" w:space="0"/>
              <w:left w:val="single" w:color="auto" w:sz="4" w:space="0"/>
              <w:bottom w:val="single" w:color="auto" w:sz="4" w:space="0"/>
              <w:right w:val="single" w:color="auto" w:sz="4" w:space="0"/>
            </w:tcBorders>
          </w:tcPr>
          <w:p w14:paraId="03268B4C">
            <w:pPr>
              <w:snapToGrid w:val="0"/>
              <w:spacing w:beforeLines="50"/>
              <w:jc w:val="center"/>
              <w:rPr>
                <w:rFonts w:ascii="宋体" w:hAnsi="宋体"/>
                <w:b/>
                <w:bCs/>
                <w:color w:val="auto"/>
                <w:szCs w:val="21"/>
              </w:rPr>
            </w:pPr>
            <w:r>
              <w:rPr>
                <w:rFonts w:hint="eastAsia" w:ascii="宋体" w:hAnsi="宋体"/>
                <w:b/>
                <w:bCs/>
                <w:color w:val="auto"/>
                <w:szCs w:val="21"/>
              </w:rPr>
              <w:t>投标人的承诺</w:t>
            </w:r>
          </w:p>
        </w:tc>
        <w:tc>
          <w:tcPr>
            <w:tcW w:w="2035" w:type="dxa"/>
            <w:tcBorders>
              <w:top w:val="single" w:color="auto" w:sz="4" w:space="0"/>
              <w:left w:val="single" w:color="auto" w:sz="4" w:space="0"/>
              <w:bottom w:val="single" w:color="auto" w:sz="4" w:space="0"/>
              <w:right w:val="single" w:color="auto" w:sz="4" w:space="0"/>
            </w:tcBorders>
          </w:tcPr>
          <w:p w14:paraId="7FF655A5">
            <w:pPr>
              <w:snapToGrid w:val="0"/>
              <w:spacing w:beforeLines="50"/>
              <w:jc w:val="center"/>
              <w:rPr>
                <w:rFonts w:ascii="宋体" w:hAnsi="宋体"/>
                <w:b/>
                <w:bCs/>
                <w:color w:val="auto"/>
                <w:szCs w:val="21"/>
              </w:rPr>
            </w:pPr>
            <w:r>
              <w:rPr>
                <w:rFonts w:hint="eastAsia" w:ascii="宋体" w:hAnsi="宋体"/>
                <w:b/>
                <w:bCs/>
                <w:color w:val="auto"/>
                <w:szCs w:val="21"/>
              </w:rPr>
              <w:t>偏离说明</w:t>
            </w:r>
          </w:p>
        </w:tc>
      </w:tr>
      <w:tr w14:paraId="46FD6C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510" w:type="dxa"/>
            <w:tcBorders>
              <w:top w:val="single" w:color="auto" w:sz="4" w:space="0"/>
              <w:left w:val="single" w:color="auto" w:sz="4" w:space="0"/>
              <w:bottom w:val="single" w:color="auto" w:sz="4" w:space="0"/>
              <w:right w:val="single" w:color="auto" w:sz="4" w:space="0"/>
            </w:tcBorders>
            <w:vAlign w:val="center"/>
          </w:tcPr>
          <w:p w14:paraId="505F87FA">
            <w:pPr>
              <w:pStyle w:val="33"/>
              <w:spacing w:before="172" w:line="156" w:lineRule="exact"/>
              <w:ind w:left="118"/>
              <w:jc w:val="center"/>
              <w:rPr>
                <w:color w:val="auto"/>
                <w:szCs w:val="21"/>
              </w:rPr>
            </w:pPr>
            <w:r>
              <w:rPr>
                <w:color w:val="auto"/>
                <w:position w:val="-4"/>
              </w:rPr>
              <w:t>一</w:t>
            </w:r>
          </w:p>
        </w:tc>
        <w:tc>
          <w:tcPr>
            <w:tcW w:w="3336" w:type="dxa"/>
            <w:tcBorders>
              <w:top w:val="single" w:color="auto" w:sz="4" w:space="0"/>
              <w:left w:val="single" w:color="auto" w:sz="4" w:space="0"/>
              <w:bottom w:val="single" w:color="auto" w:sz="4" w:space="0"/>
              <w:right w:val="single" w:color="auto" w:sz="4" w:space="0"/>
            </w:tcBorders>
            <w:vAlign w:val="center"/>
          </w:tcPr>
          <w:p w14:paraId="1D8EE9A5">
            <w:pPr>
              <w:pStyle w:val="33"/>
              <w:spacing w:before="94" w:line="270" w:lineRule="exact"/>
              <w:ind w:left="126"/>
              <w:jc w:val="left"/>
              <w:rPr>
                <w:color w:val="auto"/>
              </w:rPr>
            </w:pPr>
            <w:r>
              <w:rPr>
                <w:color w:val="auto"/>
                <w:spacing w:val="-8"/>
                <w:position w:val="1"/>
              </w:rPr>
              <w:t>1……</w:t>
            </w:r>
          </w:p>
          <w:p w14:paraId="701F55E3">
            <w:pPr>
              <w:pStyle w:val="33"/>
              <w:spacing w:before="68" w:line="270" w:lineRule="exact"/>
              <w:ind w:left="113"/>
              <w:jc w:val="left"/>
              <w:rPr>
                <w:color w:val="auto"/>
              </w:rPr>
            </w:pPr>
            <w:r>
              <w:rPr>
                <w:color w:val="auto"/>
                <w:spacing w:val="-4"/>
                <w:position w:val="1"/>
              </w:rPr>
              <w:t>2……</w:t>
            </w:r>
          </w:p>
          <w:p w14:paraId="27042DED">
            <w:pPr>
              <w:pStyle w:val="33"/>
              <w:spacing w:before="70" w:line="269" w:lineRule="exact"/>
              <w:ind w:left="115"/>
              <w:jc w:val="left"/>
              <w:rPr>
                <w:color w:val="auto"/>
              </w:rPr>
            </w:pPr>
            <w:r>
              <w:rPr>
                <w:color w:val="auto"/>
                <w:spacing w:val="-4"/>
                <w:position w:val="1"/>
              </w:rPr>
              <w:t>3……</w:t>
            </w:r>
          </w:p>
          <w:p w14:paraId="5D2EA9B2">
            <w:pPr>
              <w:spacing w:before="159" w:line="35" w:lineRule="exact"/>
              <w:ind w:firstLine="124"/>
              <w:jc w:val="left"/>
              <w:rPr>
                <w:rFonts w:ascii="宋体" w:hAnsi="宋体"/>
                <w:color w:val="auto"/>
                <w:szCs w:val="21"/>
              </w:rPr>
            </w:pPr>
            <w:r>
              <w:rPr>
                <w:color w:val="auto"/>
              </w:rPr>
              <w:drawing>
                <wp:inline distT="0" distB="0" distL="114300" distR="114300">
                  <wp:extent cx="227330" cy="21590"/>
                  <wp:effectExtent l="0" t="0" r="1270" b="3810"/>
                  <wp:docPr id="6" name="图片 1"/>
                  <wp:cNvGraphicFramePr/>
                  <a:graphic xmlns:a="http://schemas.openxmlformats.org/drawingml/2006/main">
                    <a:graphicData uri="http://schemas.openxmlformats.org/drawingml/2006/picture">
                      <pic:pic xmlns:pic="http://schemas.openxmlformats.org/drawingml/2006/picture">
                        <pic:nvPicPr>
                          <pic:cNvPr id="6" name="图片 1"/>
                          <pic:cNvPicPr/>
                        </pic:nvPicPr>
                        <pic:blipFill>
                          <a:blip r:embed="rId18"/>
                          <a:stretch>
                            <a:fillRect/>
                          </a:stretch>
                        </pic:blipFill>
                        <pic:spPr>
                          <a:xfrm>
                            <a:off x="0" y="0"/>
                            <a:ext cx="227330" cy="21590"/>
                          </a:xfrm>
                          <a:prstGeom prst="rect">
                            <a:avLst/>
                          </a:prstGeom>
                          <a:noFill/>
                          <a:ln>
                            <a:noFill/>
                          </a:ln>
                        </pic:spPr>
                      </pic:pic>
                    </a:graphicData>
                  </a:graphic>
                </wp:inline>
              </w:drawing>
            </w:r>
          </w:p>
        </w:tc>
        <w:tc>
          <w:tcPr>
            <w:tcW w:w="1760" w:type="dxa"/>
            <w:tcBorders>
              <w:top w:val="single" w:color="auto" w:sz="4" w:space="0"/>
              <w:left w:val="single" w:color="auto" w:sz="4" w:space="0"/>
              <w:bottom w:val="single" w:color="auto" w:sz="4" w:space="0"/>
              <w:right w:val="single" w:color="auto" w:sz="4" w:space="0"/>
            </w:tcBorders>
            <w:vAlign w:val="center"/>
          </w:tcPr>
          <w:p w14:paraId="1BCB75E1">
            <w:pPr>
              <w:pStyle w:val="33"/>
              <w:spacing w:before="94" w:line="270" w:lineRule="exact"/>
              <w:ind w:left="129"/>
              <w:jc w:val="left"/>
              <w:rPr>
                <w:color w:val="auto"/>
              </w:rPr>
            </w:pPr>
            <w:r>
              <w:rPr>
                <w:color w:val="auto"/>
                <w:spacing w:val="-8"/>
                <w:position w:val="1"/>
              </w:rPr>
              <w:t>1……</w:t>
            </w:r>
          </w:p>
          <w:p w14:paraId="4A08A917">
            <w:pPr>
              <w:pStyle w:val="33"/>
              <w:spacing w:before="68" w:line="270" w:lineRule="exact"/>
              <w:ind w:left="116"/>
              <w:jc w:val="left"/>
              <w:rPr>
                <w:color w:val="auto"/>
              </w:rPr>
            </w:pPr>
            <w:r>
              <w:rPr>
                <w:color w:val="auto"/>
                <w:spacing w:val="-4"/>
                <w:position w:val="1"/>
              </w:rPr>
              <w:t>2……</w:t>
            </w:r>
          </w:p>
          <w:p w14:paraId="193BC1D9">
            <w:pPr>
              <w:pStyle w:val="33"/>
              <w:spacing w:before="70" w:line="269" w:lineRule="exact"/>
              <w:ind w:left="117"/>
              <w:jc w:val="left"/>
              <w:rPr>
                <w:color w:val="auto"/>
              </w:rPr>
            </w:pPr>
            <w:r>
              <w:rPr>
                <w:color w:val="auto"/>
                <w:spacing w:val="-4"/>
                <w:position w:val="1"/>
              </w:rPr>
              <w:t>3……</w:t>
            </w:r>
          </w:p>
          <w:p w14:paraId="01E3EDB5">
            <w:pPr>
              <w:spacing w:before="159" w:line="35" w:lineRule="exact"/>
              <w:ind w:firstLine="126"/>
              <w:jc w:val="left"/>
              <w:rPr>
                <w:rFonts w:ascii="宋体" w:hAnsi="宋体"/>
                <w:color w:val="auto"/>
                <w:szCs w:val="21"/>
              </w:rPr>
            </w:pPr>
            <w:r>
              <w:rPr>
                <w:color w:val="auto"/>
              </w:rPr>
              <w:drawing>
                <wp:inline distT="0" distB="0" distL="114300" distR="114300">
                  <wp:extent cx="251460" cy="21590"/>
                  <wp:effectExtent l="0" t="0" r="2540" b="3810"/>
                  <wp:docPr id="11" name="图片 2"/>
                  <wp:cNvGraphicFramePr/>
                  <a:graphic xmlns:a="http://schemas.openxmlformats.org/drawingml/2006/main">
                    <a:graphicData uri="http://schemas.openxmlformats.org/drawingml/2006/picture">
                      <pic:pic xmlns:pic="http://schemas.openxmlformats.org/drawingml/2006/picture">
                        <pic:nvPicPr>
                          <pic:cNvPr id="11" name="图片 2"/>
                          <pic:cNvPicPr/>
                        </pic:nvPicPr>
                        <pic:blipFill>
                          <a:blip r:embed="rId19"/>
                          <a:stretch>
                            <a:fillRect/>
                          </a:stretch>
                        </pic:blipFill>
                        <pic:spPr>
                          <a:xfrm>
                            <a:off x="0" y="0"/>
                            <a:ext cx="251460" cy="21590"/>
                          </a:xfrm>
                          <a:prstGeom prst="rect">
                            <a:avLst/>
                          </a:prstGeom>
                          <a:noFill/>
                          <a:ln>
                            <a:noFill/>
                          </a:ln>
                        </pic:spPr>
                      </pic:pic>
                    </a:graphicData>
                  </a:graphic>
                </wp:inline>
              </w:drawing>
            </w:r>
          </w:p>
        </w:tc>
        <w:tc>
          <w:tcPr>
            <w:tcW w:w="2035" w:type="dxa"/>
            <w:tcBorders>
              <w:top w:val="single" w:color="auto" w:sz="4" w:space="0"/>
              <w:left w:val="single" w:color="auto" w:sz="4" w:space="0"/>
              <w:bottom w:val="single" w:color="auto" w:sz="4" w:space="0"/>
              <w:right w:val="single" w:color="auto" w:sz="4" w:space="0"/>
            </w:tcBorders>
            <w:vAlign w:val="center"/>
          </w:tcPr>
          <w:p w14:paraId="2942466F">
            <w:pPr>
              <w:pStyle w:val="33"/>
              <w:spacing w:before="60" w:line="228" w:lineRule="auto"/>
              <w:ind w:left="121"/>
              <w:jc w:val="center"/>
              <w:rPr>
                <w:color w:val="auto"/>
                <w:szCs w:val="21"/>
                <w:lang w:eastAsia="zh-CN"/>
              </w:rPr>
            </w:pPr>
            <w:r>
              <w:rPr>
                <w:color w:val="auto"/>
                <w:spacing w:val="8"/>
                <w:lang w:eastAsia="zh-CN"/>
              </w:rPr>
              <w:t>正偏离（负</w:t>
            </w:r>
            <w:r>
              <w:rPr>
                <w:color w:val="auto"/>
                <w:spacing w:val="9"/>
                <w:lang w:eastAsia="zh-CN"/>
              </w:rPr>
              <w:t>偏离或无偏</w:t>
            </w:r>
            <w:r>
              <w:rPr>
                <w:color w:val="auto"/>
                <w:spacing w:val="-2"/>
                <w:lang w:eastAsia="zh-CN"/>
              </w:rPr>
              <w:t>离）</w:t>
            </w:r>
          </w:p>
        </w:tc>
      </w:tr>
      <w:tr w14:paraId="505FDF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1510" w:type="dxa"/>
            <w:tcBorders>
              <w:top w:val="single" w:color="auto" w:sz="4" w:space="0"/>
              <w:left w:val="single" w:color="auto" w:sz="4" w:space="0"/>
              <w:bottom w:val="single" w:color="auto" w:sz="4" w:space="0"/>
              <w:right w:val="single" w:color="auto" w:sz="4" w:space="0"/>
            </w:tcBorders>
            <w:vAlign w:val="center"/>
          </w:tcPr>
          <w:p w14:paraId="7E9C37B9">
            <w:pPr>
              <w:pStyle w:val="33"/>
              <w:spacing w:before="135" w:line="183" w:lineRule="auto"/>
              <w:ind w:left="118"/>
              <w:jc w:val="center"/>
              <w:rPr>
                <w:color w:val="auto"/>
                <w:szCs w:val="21"/>
              </w:rPr>
            </w:pPr>
            <w:r>
              <w:rPr>
                <w:color w:val="auto"/>
              </w:rPr>
              <w:t>二</w:t>
            </w:r>
          </w:p>
        </w:tc>
        <w:tc>
          <w:tcPr>
            <w:tcW w:w="3336" w:type="dxa"/>
            <w:tcBorders>
              <w:top w:val="single" w:color="auto" w:sz="4" w:space="0"/>
              <w:left w:val="single" w:color="auto" w:sz="4" w:space="0"/>
              <w:bottom w:val="single" w:color="auto" w:sz="4" w:space="0"/>
              <w:right w:val="single" w:color="auto" w:sz="4" w:space="0"/>
            </w:tcBorders>
            <w:vAlign w:val="center"/>
          </w:tcPr>
          <w:p w14:paraId="5545B9BA">
            <w:pPr>
              <w:pStyle w:val="33"/>
              <w:spacing w:before="96" w:line="270" w:lineRule="exact"/>
              <w:ind w:left="126"/>
              <w:jc w:val="left"/>
              <w:rPr>
                <w:color w:val="auto"/>
              </w:rPr>
            </w:pPr>
            <w:r>
              <w:rPr>
                <w:color w:val="auto"/>
                <w:spacing w:val="-8"/>
                <w:position w:val="1"/>
              </w:rPr>
              <w:t>1……</w:t>
            </w:r>
          </w:p>
          <w:p w14:paraId="51070236">
            <w:pPr>
              <w:pStyle w:val="33"/>
              <w:spacing w:before="68" w:line="270" w:lineRule="exact"/>
              <w:ind w:left="113"/>
              <w:jc w:val="left"/>
              <w:rPr>
                <w:color w:val="auto"/>
              </w:rPr>
            </w:pPr>
            <w:r>
              <w:rPr>
                <w:color w:val="auto"/>
                <w:spacing w:val="-4"/>
                <w:position w:val="1"/>
              </w:rPr>
              <w:t>2……</w:t>
            </w:r>
          </w:p>
          <w:p w14:paraId="7C939528">
            <w:pPr>
              <w:pStyle w:val="33"/>
              <w:spacing w:before="70" w:line="269" w:lineRule="exact"/>
              <w:ind w:left="115"/>
              <w:jc w:val="left"/>
              <w:rPr>
                <w:color w:val="auto"/>
              </w:rPr>
            </w:pPr>
            <w:r>
              <w:rPr>
                <w:color w:val="auto"/>
                <w:spacing w:val="-4"/>
                <w:position w:val="1"/>
              </w:rPr>
              <w:t>3……</w:t>
            </w:r>
          </w:p>
          <w:p w14:paraId="02D34961">
            <w:pPr>
              <w:spacing w:before="148" w:line="38" w:lineRule="exact"/>
              <w:ind w:firstLine="124"/>
              <w:jc w:val="left"/>
              <w:rPr>
                <w:rFonts w:ascii="宋体" w:hAnsi="宋体"/>
                <w:color w:val="auto"/>
                <w:szCs w:val="21"/>
                <w:u w:val="single"/>
              </w:rPr>
            </w:pPr>
            <w:r>
              <w:rPr>
                <w:color w:val="auto"/>
              </w:rPr>
              <w:drawing>
                <wp:inline distT="0" distB="0" distL="114300" distR="114300">
                  <wp:extent cx="227330" cy="23495"/>
                  <wp:effectExtent l="0" t="0" r="1270" b="1905"/>
                  <wp:docPr id="7" name="图片 3"/>
                  <wp:cNvGraphicFramePr/>
                  <a:graphic xmlns:a="http://schemas.openxmlformats.org/drawingml/2006/main">
                    <a:graphicData uri="http://schemas.openxmlformats.org/drawingml/2006/picture">
                      <pic:pic xmlns:pic="http://schemas.openxmlformats.org/drawingml/2006/picture">
                        <pic:nvPicPr>
                          <pic:cNvPr id="7" name="图片 3"/>
                          <pic:cNvPicPr/>
                        </pic:nvPicPr>
                        <pic:blipFill>
                          <a:blip r:embed="rId20"/>
                          <a:stretch>
                            <a:fillRect/>
                          </a:stretch>
                        </pic:blipFill>
                        <pic:spPr>
                          <a:xfrm>
                            <a:off x="0" y="0"/>
                            <a:ext cx="227330" cy="23495"/>
                          </a:xfrm>
                          <a:prstGeom prst="rect">
                            <a:avLst/>
                          </a:prstGeom>
                          <a:noFill/>
                          <a:ln>
                            <a:noFill/>
                          </a:ln>
                        </pic:spPr>
                      </pic:pic>
                    </a:graphicData>
                  </a:graphic>
                </wp:inline>
              </w:drawing>
            </w:r>
          </w:p>
        </w:tc>
        <w:tc>
          <w:tcPr>
            <w:tcW w:w="1760" w:type="dxa"/>
            <w:tcBorders>
              <w:top w:val="single" w:color="auto" w:sz="4" w:space="0"/>
              <w:left w:val="single" w:color="auto" w:sz="4" w:space="0"/>
              <w:bottom w:val="single" w:color="auto" w:sz="4" w:space="0"/>
              <w:right w:val="single" w:color="auto" w:sz="4" w:space="0"/>
            </w:tcBorders>
            <w:vAlign w:val="center"/>
          </w:tcPr>
          <w:p w14:paraId="5D992F63">
            <w:pPr>
              <w:pStyle w:val="33"/>
              <w:spacing w:before="96" w:line="270" w:lineRule="exact"/>
              <w:ind w:left="129"/>
              <w:jc w:val="left"/>
              <w:rPr>
                <w:color w:val="auto"/>
              </w:rPr>
            </w:pPr>
            <w:r>
              <w:rPr>
                <w:color w:val="auto"/>
                <w:spacing w:val="-8"/>
                <w:position w:val="1"/>
              </w:rPr>
              <w:t>1……</w:t>
            </w:r>
          </w:p>
          <w:p w14:paraId="0614D0E0">
            <w:pPr>
              <w:pStyle w:val="33"/>
              <w:spacing w:before="68" w:line="270" w:lineRule="exact"/>
              <w:ind w:left="116"/>
              <w:jc w:val="left"/>
              <w:rPr>
                <w:color w:val="auto"/>
              </w:rPr>
            </w:pPr>
            <w:r>
              <w:rPr>
                <w:color w:val="auto"/>
                <w:spacing w:val="-4"/>
                <w:position w:val="1"/>
              </w:rPr>
              <w:t>2……</w:t>
            </w:r>
          </w:p>
          <w:p w14:paraId="1A4FD588">
            <w:pPr>
              <w:pStyle w:val="33"/>
              <w:spacing w:before="70" w:line="269" w:lineRule="exact"/>
              <w:ind w:left="117"/>
              <w:jc w:val="left"/>
              <w:rPr>
                <w:color w:val="auto"/>
              </w:rPr>
            </w:pPr>
            <w:r>
              <w:rPr>
                <w:color w:val="auto"/>
                <w:spacing w:val="-4"/>
                <w:position w:val="1"/>
              </w:rPr>
              <w:t>3……</w:t>
            </w:r>
          </w:p>
          <w:p w14:paraId="5D71A769">
            <w:pPr>
              <w:spacing w:before="148" w:line="38" w:lineRule="exact"/>
              <w:ind w:firstLine="126"/>
              <w:jc w:val="left"/>
              <w:rPr>
                <w:rFonts w:ascii="宋体" w:hAnsi="宋体"/>
                <w:color w:val="auto"/>
                <w:szCs w:val="21"/>
              </w:rPr>
            </w:pPr>
            <w:r>
              <w:rPr>
                <w:color w:val="auto"/>
              </w:rPr>
              <w:drawing>
                <wp:inline distT="0" distB="0" distL="114300" distR="114300">
                  <wp:extent cx="251460" cy="23495"/>
                  <wp:effectExtent l="0" t="0" r="2540" b="1905"/>
                  <wp:docPr id="8" name="图片 4"/>
                  <wp:cNvGraphicFramePr/>
                  <a:graphic xmlns:a="http://schemas.openxmlformats.org/drawingml/2006/main">
                    <a:graphicData uri="http://schemas.openxmlformats.org/drawingml/2006/picture">
                      <pic:pic xmlns:pic="http://schemas.openxmlformats.org/drawingml/2006/picture">
                        <pic:nvPicPr>
                          <pic:cNvPr id="8" name="图片 4"/>
                          <pic:cNvPicPr/>
                        </pic:nvPicPr>
                        <pic:blipFill>
                          <a:blip r:embed="rId21"/>
                          <a:stretch>
                            <a:fillRect/>
                          </a:stretch>
                        </pic:blipFill>
                        <pic:spPr>
                          <a:xfrm>
                            <a:off x="0" y="0"/>
                            <a:ext cx="251460" cy="23495"/>
                          </a:xfrm>
                          <a:prstGeom prst="rect">
                            <a:avLst/>
                          </a:prstGeom>
                          <a:noFill/>
                          <a:ln>
                            <a:noFill/>
                          </a:ln>
                        </pic:spPr>
                      </pic:pic>
                    </a:graphicData>
                  </a:graphic>
                </wp:inline>
              </w:drawing>
            </w:r>
          </w:p>
        </w:tc>
        <w:tc>
          <w:tcPr>
            <w:tcW w:w="2035" w:type="dxa"/>
            <w:tcBorders>
              <w:top w:val="single" w:color="auto" w:sz="4" w:space="0"/>
              <w:left w:val="single" w:color="auto" w:sz="4" w:space="0"/>
              <w:bottom w:val="single" w:color="auto" w:sz="4" w:space="0"/>
              <w:right w:val="single" w:color="auto" w:sz="4" w:space="0"/>
            </w:tcBorders>
            <w:vAlign w:val="center"/>
          </w:tcPr>
          <w:p w14:paraId="0174DD37">
            <w:pPr>
              <w:pStyle w:val="33"/>
              <w:spacing w:before="60" w:line="228" w:lineRule="auto"/>
              <w:ind w:left="121"/>
              <w:jc w:val="center"/>
              <w:rPr>
                <w:color w:val="auto"/>
                <w:szCs w:val="21"/>
                <w:lang w:eastAsia="zh-CN"/>
              </w:rPr>
            </w:pPr>
            <w:r>
              <w:rPr>
                <w:color w:val="auto"/>
                <w:spacing w:val="8"/>
                <w:lang w:eastAsia="zh-CN"/>
              </w:rPr>
              <w:t>正偏离（负</w:t>
            </w:r>
            <w:r>
              <w:rPr>
                <w:color w:val="auto"/>
                <w:spacing w:val="9"/>
                <w:lang w:eastAsia="zh-CN"/>
              </w:rPr>
              <w:t>偏离或无偏</w:t>
            </w:r>
            <w:r>
              <w:rPr>
                <w:color w:val="auto"/>
                <w:spacing w:val="-2"/>
                <w:lang w:eastAsia="zh-CN"/>
              </w:rPr>
              <w:t>离）</w:t>
            </w:r>
          </w:p>
        </w:tc>
      </w:tr>
      <w:tr w14:paraId="13D30B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1510" w:type="dxa"/>
            <w:tcBorders>
              <w:top w:val="single" w:color="auto" w:sz="4" w:space="0"/>
              <w:left w:val="single" w:color="auto" w:sz="4" w:space="0"/>
              <w:bottom w:val="single" w:color="auto" w:sz="4" w:space="0"/>
              <w:right w:val="single" w:color="auto" w:sz="4" w:space="0"/>
            </w:tcBorders>
            <w:vAlign w:val="center"/>
          </w:tcPr>
          <w:p w14:paraId="56B0EADF">
            <w:pPr>
              <w:pStyle w:val="33"/>
              <w:spacing w:before="249" w:line="84" w:lineRule="exact"/>
              <w:ind w:left="120"/>
              <w:jc w:val="center"/>
              <w:rPr>
                <w:color w:val="auto"/>
                <w:szCs w:val="21"/>
              </w:rPr>
            </w:pPr>
            <w:r>
              <w:rPr>
                <w:color w:val="auto"/>
                <w:spacing w:val="3"/>
                <w:position w:val="1"/>
              </w:rPr>
              <w:t>...</w:t>
            </w:r>
          </w:p>
        </w:tc>
        <w:tc>
          <w:tcPr>
            <w:tcW w:w="3336" w:type="dxa"/>
            <w:tcBorders>
              <w:top w:val="single" w:color="auto" w:sz="4" w:space="0"/>
              <w:left w:val="single" w:color="auto" w:sz="4" w:space="0"/>
              <w:bottom w:val="single" w:color="auto" w:sz="4" w:space="0"/>
              <w:right w:val="single" w:color="auto" w:sz="4" w:space="0"/>
            </w:tcBorders>
            <w:vAlign w:val="center"/>
          </w:tcPr>
          <w:p w14:paraId="58A0F156">
            <w:pPr>
              <w:pStyle w:val="33"/>
              <w:spacing w:before="95" w:line="270" w:lineRule="exact"/>
              <w:ind w:left="126"/>
              <w:jc w:val="left"/>
              <w:rPr>
                <w:color w:val="auto"/>
              </w:rPr>
            </w:pPr>
            <w:r>
              <w:rPr>
                <w:color w:val="auto"/>
                <w:spacing w:val="-8"/>
                <w:position w:val="1"/>
              </w:rPr>
              <w:t>1……</w:t>
            </w:r>
          </w:p>
          <w:p w14:paraId="55E47779">
            <w:pPr>
              <w:pStyle w:val="33"/>
              <w:spacing w:before="70" w:line="270" w:lineRule="exact"/>
              <w:ind w:left="113"/>
              <w:jc w:val="left"/>
              <w:rPr>
                <w:color w:val="auto"/>
              </w:rPr>
            </w:pPr>
            <w:r>
              <w:rPr>
                <w:color w:val="auto"/>
                <w:spacing w:val="-4"/>
                <w:position w:val="1"/>
              </w:rPr>
              <w:t>2……</w:t>
            </w:r>
          </w:p>
          <w:p w14:paraId="3B04AAB4">
            <w:pPr>
              <w:pStyle w:val="33"/>
              <w:spacing w:before="70" w:line="269" w:lineRule="exact"/>
              <w:ind w:left="115"/>
              <w:jc w:val="left"/>
              <w:rPr>
                <w:color w:val="auto"/>
              </w:rPr>
            </w:pPr>
            <w:r>
              <w:rPr>
                <w:color w:val="auto"/>
                <w:spacing w:val="-4"/>
                <w:position w:val="1"/>
              </w:rPr>
              <w:t>3……</w:t>
            </w:r>
          </w:p>
          <w:p w14:paraId="5299790F">
            <w:pPr>
              <w:spacing w:before="156" w:line="35" w:lineRule="exact"/>
              <w:ind w:firstLine="124"/>
              <w:jc w:val="left"/>
              <w:rPr>
                <w:rFonts w:ascii="宋体" w:hAnsi="宋体"/>
                <w:color w:val="auto"/>
                <w:szCs w:val="21"/>
              </w:rPr>
            </w:pPr>
            <w:r>
              <w:rPr>
                <w:color w:val="auto"/>
              </w:rPr>
              <w:drawing>
                <wp:inline distT="0" distB="0" distL="114300" distR="114300">
                  <wp:extent cx="227330" cy="21590"/>
                  <wp:effectExtent l="0" t="0" r="1270" b="3810"/>
                  <wp:docPr id="9" name="图片 5"/>
                  <wp:cNvGraphicFramePr/>
                  <a:graphic xmlns:a="http://schemas.openxmlformats.org/drawingml/2006/main">
                    <a:graphicData uri="http://schemas.openxmlformats.org/drawingml/2006/picture">
                      <pic:pic xmlns:pic="http://schemas.openxmlformats.org/drawingml/2006/picture">
                        <pic:nvPicPr>
                          <pic:cNvPr id="9" name="图片 5"/>
                          <pic:cNvPicPr/>
                        </pic:nvPicPr>
                        <pic:blipFill>
                          <a:blip r:embed="rId20"/>
                          <a:stretch>
                            <a:fillRect/>
                          </a:stretch>
                        </pic:blipFill>
                        <pic:spPr>
                          <a:xfrm>
                            <a:off x="0" y="0"/>
                            <a:ext cx="227330" cy="21590"/>
                          </a:xfrm>
                          <a:prstGeom prst="rect">
                            <a:avLst/>
                          </a:prstGeom>
                          <a:noFill/>
                          <a:ln>
                            <a:noFill/>
                          </a:ln>
                        </pic:spPr>
                      </pic:pic>
                    </a:graphicData>
                  </a:graphic>
                </wp:inline>
              </w:drawing>
            </w:r>
          </w:p>
        </w:tc>
        <w:tc>
          <w:tcPr>
            <w:tcW w:w="1760" w:type="dxa"/>
            <w:tcBorders>
              <w:top w:val="single" w:color="auto" w:sz="4" w:space="0"/>
              <w:left w:val="single" w:color="auto" w:sz="4" w:space="0"/>
              <w:bottom w:val="single" w:color="auto" w:sz="4" w:space="0"/>
              <w:right w:val="single" w:color="auto" w:sz="4" w:space="0"/>
            </w:tcBorders>
            <w:vAlign w:val="center"/>
          </w:tcPr>
          <w:p w14:paraId="65A84ECF">
            <w:pPr>
              <w:pStyle w:val="33"/>
              <w:spacing w:before="95" w:line="270" w:lineRule="exact"/>
              <w:ind w:left="129"/>
              <w:jc w:val="left"/>
              <w:rPr>
                <w:color w:val="auto"/>
              </w:rPr>
            </w:pPr>
            <w:r>
              <w:rPr>
                <w:color w:val="auto"/>
                <w:spacing w:val="-8"/>
                <w:position w:val="1"/>
              </w:rPr>
              <w:t>1……</w:t>
            </w:r>
          </w:p>
          <w:p w14:paraId="1C832403">
            <w:pPr>
              <w:pStyle w:val="33"/>
              <w:spacing w:before="70" w:line="270" w:lineRule="exact"/>
              <w:ind w:left="116"/>
              <w:jc w:val="left"/>
              <w:rPr>
                <w:color w:val="auto"/>
              </w:rPr>
            </w:pPr>
            <w:r>
              <w:rPr>
                <w:color w:val="auto"/>
                <w:spacing w:val="-4"/>
                <w:position w:val="1"/>
              </w:rPr>
              <w:t>2……</w:t>
            </w:r>
          </w:p>
          <w:p w14:paraId="70948336">
            <w:pPr>
              <w:pStyle w:val="33"/>
              <w:spacing w:before="70" w:line="269" w:lineRule="exact"/>
              <w:ind w:left="117"/>
              <w:jc w:val="left"/>
              <w:rPr>
                <w:color w:val="auto"/>
              </w:rPr>
            </w:pPr>
            <w:r>
              <w:rPr>
                <w:color w:val="auto"/>
                <w:spacing w:val="-4"/>
                <w:position w:val="1"/>
              </w:rPr>
              <w:t>3……</w:t>
            </w:r>
          </w:p>
          <w:p w14:paraId="586ABAAA">
            <w:pPr>
              <w:spacing w:before="156" w:line="35" w:lineRule="exact"/>
              <w:ind w:firstLine="126"/>
              <w:jc w:val="left"/>
              <w:rPr>
                <w:rFonts w:ascii="宋体" w:hAnsi="宋体"/>
                <w:color w:val="auto"/>
                <w:szCs w:val="21"/>
              </w:rPr>
            </w:pPr>
            <w:r>
              <w:rPr>
                <w:color w:val="auto"/>
              </w:rPr>
              <w:drawing>
                <wp:inline distT="0" distB="0" distL="114300" distR="114300">
                  <wp:extent cx="251460" cy="21590"/>
                  <wp:effectExtent l="0" t="0" r="2540" b="3810"/>
                  <wp:docPr id="5" name="图片 6"/>
                  <wp:cNvGraphicFramePr/>
                  <a:graphic xmlns:a="http://schemas.openxmlformats.org/drawingml/2006/main">
                    <a:graphicData uri="http://schemas.openxmlformats.org/drawingml/2006/picture">
                      <pic:pic xmlns:pic="http://schemas.openxmlformats.org/drawingml/2006/picture">
                        <pic:nvPicPr>
                          <pic:cNvPr id="5" name="图片 6"/>
                          <pic:cNvPicPr/>
                        </pic:nvPicPr>
                        <pic:blipFill>
                          <a:blip r:embed="rId21"/>
                          <a:stretch>
                            <a:fillRect/>
                          </a:stretch>
                        </pic:blipFill>
                        <pic:spPr>
                          <a:xfrm>
                            <a:off x="0" y="0"/>
                            <a:ext cx="251460" cy="21590"/>
                          </a:xfrm>
                          <a:prstGeom prst="rect">
                            <a:avLst/>
                          </a:prstGeom>
                          <a:noFill/>
                          <a:ln>
                            <a:noFill/>
                          </a:ln>
                        </pic:spPr>
                      </pic:pic>
                    </a:graphicData>
                  </a:graphic>
                </wp:inline>
              </w:drawing>
            </w:r>
          </w:p>
        </w:tc>
        <w:tc>
          <w:tcPr>
            <w:tcW w:w="2035" w:type="dxa"/>
            <w:tcBorders>
              <w:top w:val="single" w:color="auto" w:sz="4" w:space="0"/>
              <w:left w:val="single" w:color="auto" w:sz="4" w:space="0"/>
              <w:bottom w:val="single" w:color="auto" w:sz="4" w:space="0"/>
              <w:right w:val="single" w:color="auto" w:sz="4" w:space="0"/>
            </w:tcBorders>
            <w:vAlign w:val="center"/>
          </w:tcPr>
          <w:p w14:paraId="4719624A">
            <w:pPr>
              <w:pStyle w:val="33"/>
              <w:spacing w:before="60" w:line="228" w:lineRule="auto"/>
              <w:ind w:left="121"/>
              <w:jc w:val="center"/>
              <w:rPr>
                <w:color w:val="auto"/>
                <w:szCs w:val="21"/>
                <w:lang w:eastAsia="zh-CN"/>
              </w:rPr>
            </w:pPr>
            <w:r>
              <w:rPr>
                <w:color w:val="auto"/>
                <w:spacing w:val="8"/>
                <w:lang w:eastAsia="zh-CN"/>
              </w:rPr>
              <w:t>正偏离（负</w:t>
            </w:r>
            <w:r>
              <w:rPr>
                <w:color w:val="auto"/>
                <w:spacing w:val="9"/>
                <w:lang w:eastAsia="zh-CN"/>
              </w:rPr>
              <w:t>偏离或无偏</w:t>
            </w:r>
            <w:r>
              <w:rPr>
                <w:color w:val="auto"/>
                <w:spacing w:val="-2"/>
                <w:lang w:eastAsia="zh-CN"/>
              </w:rPr>
              <w:t>离）</w:t>
            </w:r>
          </w:p>
        </w:tc>
      </w:tr>
      <w:tr w14:paraId="73FE7F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10" w:type="dxa"/>
            <w:tcBorders>
              <w:top w:val="single" w:color="auto" w:sz="4" w:space="0"/>
              <w:left w:val="single" w:color="auto" w:sz="4" w:space="0"/>
              <w:bottom w:val="single" w:color="auto" w:sz="4" w:space="0"/>
              <w:right w:val="single" w:color="auto" w:sz="4" w:space="0"/>
            </w:tcBorders>
          </w:tcPr>
          <w:p w14:paraId="4C51231C">
            <w:pPr>
              <w:snapToGrid w:val="0"/>
              <w:spacing w:beforeLines="50"/>
              <w:jc w:val="center"/>
              <w:rPr>
                <w:rFonts w:ascii="宋体" w:hAnsi="宋体"/>
                <w:color w:val="auto"/>
                <w:szCs w:val="21"/>
              </w:rPr>
            </w:pPr>
            <w:r>
              <w:rPr>
                <w:rFonts w:hint="eastAsia" w:ascii="宋体" w:hAnsi="宋体"/>
                <w:color w:val="auto"/>
                <w:szCs w:val="21"/>
              </w:rPr>
              <w:t>…</w:t>
            </w:r>
          </w:p>
        </w:tc>
        <w:tc>
          <w:tcPr>
            <w:tcW w:w="3336" w:type="dxa"/>
            <w:tcBorders>
              <w:top w:val="single" w:color="auto" w:sz="4" w:space="0"/>
              <w:left w:val="single" w:color="auto" w:sz="4" w:space="0"/>
              <w:bottom w:val="single" w:color="auto" w:sz="4" w:space="0"/>
              <w:right w:val="single" w:color="auto" w:sz="4" w:space="0"/>
            </w:tcBorders>
          </w:tcPr>
          <w:p w14:paraId="30707DFE">
            <w:pPr>
              <w:snapToGrid w:val="0"/>
              <w:spacing w:beforeLines="50"/>
              <w:jc w:val="center"/>
              <w:rPr>
                <w:rFonts w:ascii="宋体" w:hAnsi="宋体"/>
                <w:color w:val="auto"/>
                <w:szCs w:val="21"/>
              </w:rPr>
            </w:pPr>
          </w:p>
        </w:tc>
        <w:tc>
          <w:tcPr>
            <w:tcW w:w="1760" w:type="dxa"/>
            <w:tcBorders>
              <w:top w:val="single" w:color="auto" w:sz="4" w:space="0"/>
              <w:left w:val="single" w:color="auto" w:sz="4" w:space="0"/>
              <w:bottom w:val="single" w:color="auto" w:sz="4" w:space="0"/>
              <w:right w:val="single" w:color="auto" w:sz="4" w:space="0"/>
            </w:tcBorders>
          </w:tcPr>
          <w:p w14:paraId="38FFF6D7">
            <w:pPr>
              <w:snapToGrid w:val="0"/>
              <w:spacing w:beforeLines="50"/>
              <w:jc w:val="center"/>
              <w:rPr>
                <w:rFonts w:ascii="宋体" w:hAnsi="宋体"/>
                <w:color w:val="auto"/>
                <w:szCs w:val="21"/>
              </w:rPr>
            </w:pPr>
          </w:p>
        </w:tc>
        <w:tc>
          <w:tcPr>
            <w:tcW w:w="2035" w:type="dxa"/>
            <w:tcBorders>
              <w:top w:val="single" w:color="auto" w:sz="4" w:space="0"/>
              <w:left w:val="single" w:color="auto" w:sz="4" w:space="0"/>
              <w:bottom w:val="single" w:color="auto" w:sz="4" w:space="0"/>
              <w:right w:val="single" w:color="auto" w:sz="4" w:space="0"/>
            </w:tcBorders>
          </w:tcPr>
          <w:p w14:paraId="4A8B29C8">
            <w:pPr>
              <w:snapToGrid w:val="0"/>
              <w:spacing w:beforeLines="50"/>
              <w:jc w:val="center"/>
              <w:rPr>
                <w:rFonts w:ascii="宋体" w:hAnsi="宋体"/>
                <w:color w:val="auto"/>
                <w:szCs w:val="21"/>
              </w:rPr>
            </w:pPr>
          </w:p>
        </w:tc>
      </w:tr>
    </w:tbl>
    <w:p w14:paraId="67B99295">
      <w:pPr>
        <w:pStyle w:val="11"/>
        <w:rPr>
          <w:rFonts w:ascii="宋体" w:hAnsi="宋体"/>
          <w:color w:val="auto"/>
          <w:sz w:val="21"/>
          <w:szCs w:val="21"/>
        </w:rPr>
      </w:pPr>
      <w:r>
        <w:rPr>
          <w:rFonts w:hint="eastAsia" w:ascii="宋体" w:hAnsi="宋体"/>
          <w:color w:val="auto"/>
          <w:sz w:val="21"/>
          <w:szCs w:val="21"/>
        </w:rPr>
        <w:t>注：</w:t>
      </w:r>
    </w:p>
    <w:p w14:paraId="199A6B6E">
      <w:pPr>
        <w:pStyle w:val="13"/>
        <w:spacing w:line="520" w:lineRule="exact"/>
        <w:ind w:firstLine="0" w:firstLineChars="0"/>
        <w:rPr>
          <w:rFonts w:hAnsi="仿宋_GB2312" w:cs="仿宋_GB2312"/>
          <w:color w:val="auto"/>
          <w:sz w:val="24"/>
          <w:szCs w:val="24"/>
        </w:rPr>
      </w:pPr>
      <w:r>
        <w:rPr>
          <w:rFonts w:hint="eastAsia" w:ascii="宋体" w:hAnsi="宋体" w:eastAsia="宋体"/>
          <w:color w:val="auto"/>
          <w:sz w:val="21"/>
          <w:szCs w:val="21"/>
        </w:rPr>
        <w:t>1. 说明：应对照招标文件“第二章 采购需求”中的商务要求逐条实质性响应，并作出偏离说明。</w:t>
      </w:r>
    </w:p>
    <w:p w14:paraId="37BA8D9B">
      <w:pPr>
        <w:pStyle w:val="11"/>
        <w:rPr>
          <w:rFonts w:ascii="宋体" w:hAnsi="宋体"/>
          <w:b w:val="0"/>
          <w:bCs w:val="0"/>
          <w:color w:val="auto"/>
          <w:sz w:val="21"/>
          <w:szCs w:val="21"/>
        </w:rPr>
      </w:pPr>
      <w:r>
        <w:rPr>
          <w:rFonts w:ascii="宋体" w:hAnsi="宋体"/>
          <w:b w:val="0"/>
          <w:bCs w:val="0"/>
          <w:color w:val="auto"/>
          <w:sz w:val="21"/>
          <w:szCs w:val="21"/>
        </w:rPr>
        <w:t>2.</w:t>
      </w:r>
      <w:r>
        <w:rPr>
          <w:rFonts w:hint="eastAsia" w:ascii="宋体" w:hAnsi="宋体"/>
          <w:b w:val="0"/>
          <w:bCs w:val="0"/>
          <w:color w:val="auto"/>
          <w:sz w:val="21"/>
          <w:szCs w:val="21"/>
        </w:rPr>
        <w:t>投标人应根据自身的承诺，对照招标文件要求在“偏离说明”中注明“</w:t>
      </w:r>
      <w:r>
        <w:rPr>
          <w:rFonts w:hint="eastAsia" w:ascii="宋体" w:hAnsi="宋体"/>
          <w:color w:val="auto"/>
          <w:sz w:val="21"/>
          <w:szCs w:val="21"/>
        </w:rPr>
        <w:t>正偏离</w:t>
      </w:r>
      <w:r>
        <w:rPr>
          <w:rFonts w:hint="eastAsia" w:ascii="宋体" w:hAnsi="宋体"/>
          <w:b w:val="0"/>
          <w:bCs w:val="0"/>
          <w:color w:val="auto"/>
          <w:sz w:val="21"/>
          <w:szCs w:val="21"/>
        </w:rPr>
        <w:t>”、“</w:t>
      </w:r>
      <w:r>
        <w:rPr>
          <w:rFonts w:hint="eastAsia" w:ascii="宋体" w:hAnsi="宋体"/>
          <w:color w:val="auto"/>
          <w:sz w:val="21"/>
          <w:szCs w:val="21"/>
        </w:rPr>
        <w:t>负偏离</w:t>
      </w:r>
      <w:r>
        <w:rPr>
          <w:rFonts w:hint="eastAsia" w:ascii="宋体" w:hAnsi="宋体"/>
          <w:b w:val="0"/>
          <w:bCs w:val="0"/>
          <w:color w:val="auto"/>
          <w:sz w:val="21"/>
          <w:szCs w:val="21"/>
        </w:rPr>
        <w:t>”或者“</w:t>
      </w:r>
      <w:r>
        <w:rPr>
          <w:rFonts w:hint="eastAsia" w:ascii="宋体" w:hAnsi="宋体"/>
          <w:color w:val="auto"/>
          <w:sz w:val="21"/>
          <w:szCs w:val="21"/>
        </w:rPr>
        <w:t>无偏离</w:t>
      </w:r>
      <w:r>
        <w:rPr>
          <w:rFonts w:hint="eastAsia" w:ascii="宋体" w:hAnsi="宋体"/>
          <w:b w:val="0"/>
          <w:bCs w:val="0"/>
          <w:color w:val="auto"/>
          <w:sz w:val="21"/>
          <w:szCs w:val="21"/>
        </w:rPr>
        <w:t>”。既不属于“</w:t>
      </w:r>
      <w:r>
        <w:rPr>
          <w:rFonts w:hint="eastAsia" w:ascii="宋体" w:hAnsi="宋体"/>
          <w:color w:val="auto"/>
          <w:sz w:val="21"/>
          <w:szCs w:val="21"/>
        </w:rPr>
        <w:t>正偏离</w:t>
      </w:r>
      <w:r>
        <w:rPr>
          <w:rFonts w:hint="eastAsia" w:ascii="宋体" w:hAnsi="宋体"/>
          <w:b w:val="0"/>
          <w:bCs w:val="0"/>
          <w:color w:val="auto"/>
          <w:sz w:val="21"/>
          <w:szCs w:val="21"/>
        </w:rPr>
        <w:t>”也不属于“</w:t>
      </w:r>
      <w:r>
        <w:rPr>
          <w:rFonts w:hint="eastAsia" w:ascii="宋体" w:hAnsi="宋体"/>
          <w:color w:val="auto"/>
          <w:sz w:val="21"/>
          <w:szCs w:val="21"/>
        </w:rPr>
        <w:t>负偏离</w:t>
      </w:r>
      <w:r>
        <w:rPr>
          <w:rFonts w:hint="eastAsia" w:ascii="宋体" w:hAnsi="宋体"/>
          <w:b w:val="0"/>
          <w:bCs w:val="0"/>
          <w:color w:val="auto"/>
          <w:sz w:val="21"/>
          <w:szCs w:val="21"/>
        </w:rPr>
        <w:t>”即为“</w:t>
      </w:r>
      <w:r>
        <w:rPr>
          <w:rFonts w:hint="eastAsia" w:ascii="宋体" w:hAnsi="宋体"/>
          <w:color w:val="auto"/>
          <w:sz w:val="21"/>
          <w:szCs w:val="21"/>
        </w:rPr>
        <w:t>无偏离</w:t>
      </w:r>
      <w:r>
        <w:rPr>
          <w:rFonts w:hint="eastAsia" w:ascii="宋体" w:hAnsi="宋体"/>
          <w:b w:val="0"/>
          <w:bCs w:val="0"/>
          <w:color w:val="auto"/>
          <w:sz w:val="21"/>
          <w:szCs w:val="21"/>
        </w:rPr>
        <w:t>”。</w:t>
      </w:r>
    </w:p>
    <w:p w14:paraId="27F567EC">
      <w:pPr>
        <w:snapToGrid w:val="0"/>
        <w:spacing w:before="50" w:after="50"/>
        <w:rPr>
          <w:rFonts w:ascii="宋体" w:hAnsi="宋体"/>
          <w:color w:val="auto"/>
          <w:szCs w:val="21"/>
        </w:rPr>
      </w:pPr>
    </w:p>
    <w:p w14:paraId="2E8884EC">
      <w:pPr>
        <w:snapToGrid w:val="0"/>
        <w:spacing w:before="50" w:after="50" w:line="300" w:lineRule="auto"/>
        <w:ind w:left="-6" w:leftChars="-15" w:right="-817" w:rightChars="-389" w:hanging="25" w:hangingChars="12"/>
        <w:jc w:val="left"/>
        <w:rPr>
          <w:rFonts w:ascii="宋体" w:hAnsi="宋体"/>
          <w:b/>
          <w:bCs/>
          <w:color w:val="auto"/>
          <w:szCs w:val="21"/>
        </w:rPr>
      </w:pPr>
    </w:p>
    <w:p w14:paraId="07708CA5">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法定代表人或者委托代理人（签字/电子签名）：</w:t>
      </w:r>
    </w:p>
    <w:p w14:paraId="6423616F">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投标人名称（公章或电子签章）：</w:t>
      </w:r>
    </w:p>
    <w:p w14:paraId="3186101F">
      <w:pPr>
        <w:snapToGrid w:val="0"/>
        <w:spacing w:before="50" w:after="50" w:line="480" w:lineRule="auto"/>
        <w:ind w:left="-6" w:leftChars="-15" w:right="-817" w:rightChars="-389" w:hanging="25" w:hangingChars="12"/>
        <w:jc w:val="left"/>
        <w:rPr>
          <w:rFonts w:ascii="宋体" w:hAnsi="宋体"/>
          <w:color w:val="auto"/>
          <w:sz w:val="20"/>
          <w:szCs w:val="22"/>
        </w:rPr>
      </w:pPr>
      <w:r>
        <w:rPr>
          <w:rFonts w:hint="eastAsia" w:ascii="宋体" w:hAnsi="宋体"/>
          <w:b/>
          <w:bCs/>
          <w:color w:val="auto"/>
          <w:szCs w:val="21"/>
        </w:rPr>
        <w:t>日期：    年   月   日</w:t>
      </w:r>
    </w:p>
    <w:p w14:paraId="759DA47B">
      <w:pPr>
        <w:snapToGrid w:val="0"/>
        <w:spacing w:beforeLines="50" w:line="480" w:lineRule="auto"/>
        <w:rPr>
          <w:rFonts w:ascii="宋体" w:hAnsi="宋体"/>
          <w:color w:val="auto"/>
          <w:szCs w:val="16"/>
        </w:rPr>
      </w:pPr>
    </w:p>
    <w:p w14:paraId="6C399B68">
      <w:pPr>
        <w:snapToGrid w:val="0"/>
        <w:spacing w:beforeLines="50" w:after="50"/>
        <w:jc w:val="left"/>
        <w:rPr>
          <w:rFonts w:ascii="宋体" w:hAnsi="宋体"/>
          <w:color w:val="auto"/>
          <w:szCs w:val="16"/>
        </w:rPr>
        <w:sectPr>
          <w:footerReference r:id="rId16" w:type="first"/>
          <w:footerReference r:id="rId14" w:type="default"/>
          <w:footerReference r:id="rId15" w:type="even"/>
          <w:pgSz w:w="11906" w:h="16838"/>
          <w:pgMar w:top="1440" w:right="1797" w:bottom="1440" w:left="1797" w:header="851" w:footer="992" w:gutter="0"/>
          <w:pgNumType w:fmt="decimal"/>
          <w:cols w:space="720" w:num="1"/>
          <w:docGrid w:linePitch="312" w:charSpace="0"/>
        </w:sectPr>
      </w:pPr>
    </w:p>
    <w:p w14:paraId="0FCD8C01">
      <w:pPr>
        <w:snapToGrid w:val="0"/>
        <w:spacing w:beforeLines="50" w:after="50"/>
        <w:ind w:left="142"/>
        <w:jc w:val="left"/>
        <w:rPr>
          <w:rFonts w:ascii="宋体" w:hAnsi="宋体"/>
          <w:b/>
          <w:color w:val="auto"/>
          <w:sz w:val="24"/>
        </w:rPr>
      </w:pPr>
      <w:r>
        <w:rPr>
          <w:rFonts w:hint="eastAsia" w:ascii="宋体" w:hAnsi="宋体"/>
          <w:b/>
          <w:bCs/>
          <w:color w:val="auto"/>
          <w:szCs w:val="21"/>
          <w:lang w:val="en-US" w:eastAsia="zh-CN"/>
        </w:rPr>
        <w:t>5</w:t>
      </w:r>
      <w:r>
        <w:rPr>
          <w:rFonts w:hint="eastAsia" w:ascii="宋体" w:hAnsi="宋体"/>
          <w:b/>
          <w:bCs/>
          <w:color w:val="auto"/>
          <w:sz w:val="24"/>
        </w:rPr>
        <w:t>.</w:t>
      </w:r>
      <w:r>
        <w:rPr>
          <w:rFonts w:hint="eastAsia" w:ascii="宋体" w:hAnsi="宋体"/>
          <w:b/>
          <w:color w:val="auto"/>
          <w:sz w:val="24"/>
        </w:rPr>
        <w:t>技术偏离表格式</w:t>
      </w:r>
    </w:p>
    <w:p w14:paraId="05A0690C">
      <w:pPr>
        <w:snapToGrid w:val="0"/>
        <w:spacing w:beforeLines="50" w:after="50"/>
        <w:ind w:left="142"/>
        <w:jc w:val="left"/>
        <w:rPr>
          <w:rFonts w:ascii="宋体" w:hAnsi="宋体"/>
          <w:b/>
          <w:color w:val="auto"/>
          <w:szCs w:val="21"/>
        </w:rPr>
      </w:pPr>
    </w:p>
    <w:p w14:paraId="31FEACBA">
      <w:pPr>
        <w:snapToGrid w:val="0"/>
        <w:spacing w:beforeLines="50" w:after="50"/>
        <w:ind w:left="142"/>
        <w:jc w:val="center"/>
        <w:rPr>
          <w:rFonts w:ascii="宋体" w:hAnsi="宋体"/>
          <w:b/>
          <w:color w:val="auto"/>
          <w:sz w:val="24"/>
        </w:rPr>
      </w:pPr>
      <w:r>
        <w:rPr>
          <w:rFonts w:hint="eastAsia" w:ascii="宋体" w:hAnsi="宋体"/>
          <w:b/>
          <w:color w:val="auto"/>
          <w:sz w:val="24"/>
        </w:rPr>
        <w:t>技术偏离表</w:t>
      </w:r>
    </w:p>
    <w:tbl>
      <w:tblPr>
        <w:tblStyle w:val="25"/>
        <w:tblW w:w="8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1934"/>
      </w:tblGrid>
      <w:tr w14:paraId="3921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vAlign w:val="center"/>
          </w:tcPr>
          <w:p w14:paraId="52025AC9">
            <w:pPr>
              <w:pStyle w:val="14"/>
              <w:spacing w:line="400" w:lineRule="exact"/>
              <w:jc w:val="center"/>
              <w:rPr>
                <w:rFonts w:hAnsi="宋体" w:cs="Courier New"/>
                <w:b/>
                <w:bCs/>
                <w:color w:val="auto"/>
                <w:kern w:val="2"/>
                <w:sz w:val="21"/>
              </w:rPr>
            </w:pPr>
            <w:r>
              <w:rPr>
                <w:rFonts w:hint="eastAsia" w:hAnsi="宋体" w:cs="Courier New"/>
                <w:b/>
                <w:bCs/>
                <w:color w:val="auto"/>
                <w:kern w:val="2"/>
                <w:sz w:val="21"/>
              </w:rPr>
              <w:t>项号</w:t>
            </w:r>
          </w:p>
        </w:tc>
        <w:tc>
          <w:tcPr>
            <w:tcW w:w="2143" w:type="dxa"/>
            <w:vAlign w:val="center"/>
          </w:tcPr>
          <w:p w14:paraId="2DA5BAD8">
            <w:pPr>
              <w:pStyle w:val="14"/>
              <w:spacing w:line="400" w:lineRule="exact"/>
              <w:jc w:val="center"/>
              <w:rPr>
                <w:rFonts w:hAnsi="宋体" w:cs="Courier New"/>
                <w:b/>
                <w:bCs/>
                <w:color w:val="auto"/>
                <w:kern w:val="2"/>
                <w:sz w:val="21"/>
              </w:rPr>
            </w:pPr>
            <w:r>
              <w:rPr>
                <w:rFonts w:hint="eastAsia" w:hAnsi="宋体" w:cs="Courier New"/>
                <w:b/>
                <w:bCs/>
                <w:color w:val="auto"/>
                <w:kern w:val="2"/>
                <w:sz w:val="21"/>
              </w:rPr>
              <w:t>标的名称</w:t>
            </w:r>
          </w:p>
        </w:tc>
        <w:tc>
          <w:tcPr>
            <w:tcW w:w="1834" w:type="dxa"/>
            <w:vAlign w:val="center"/>
          </w:tcPr>
          <w:p w14:paraId="1D6D6A2B">
            <w:pPr>
              <w:pStyle w:val="14"/>
              <w:spacing w:line="400" w:lineRule="exact"/>
              <w:jc w:val="center"/>
              <w:rPr>
                <w:rFonts w:hAnsi="宋体" w:cs="Courier New"/>
                <w:b/>
                <w:bCs/>
                <w:color w:val="auto"/>
                <w:kern w:val="2"/>
                <w:sz w:val="21"/>
              </w:rPr>
            </w:pPr>
            <w:r>
              <w:rPr>
                <w:rFonts w:hint="eastAsia" w:hAnsi="宋体" w:cs="Courier New"/>
                <w:b/>
                <w:bCs/>
                <w:color w:val="auto"/>
                <w:kern w:val="2"/>
                <w:sz w:val="21"/>
              </w:rPr>
              <w:t>招标要求</w:t>
            </w:r>
          </w:p>
        </w:tc>
        <w:tc>
          <w:tcPr>
            <w:tcW w:w="2181" w:type="dxa"/>
            <w:vAlign w:val="center"/>
          </w:tcPr>
          <w:p w14:paraId="32C395AF">
            <w:pPr>
              <w:pStyle w:val="14"/>
              <w:spacing w:line="400" w:lineRule="exact"/>
              <w:jc w:val="center"/>
              <w:rPr>
                <w:rFonts w:hAnsi="宋体" w:cs="Courier New"/>
                <w:b/>
                <w:bCs/>
                <w:color w:val="auto"/>
                <w:kern w:val="2"/>
                <w:sz w:val="21"/>
              </w:rPr>
            </w:pPr>
            <w:r>
              <w:rPr>
                <w:rFonts w:hint="eastAsia" w:hAnsi="宋体" w:cs="Courier New"/>
                <w:b/>
                <w:bCs/>
                <w:color w:val="auto"/>
                <w:kern w:val="2"/>
                <w:sz w:val="21"/>
              </w:rPr>
              <w:t>投标响应</w:t>
            </w:r>
          </w:p>
        </w:tc>
        <w:tc>
          <w:tcPr>
            <w:tcW w:w="1934" w:type="dxa"/>
            <w:vAlign w:val="center"/>
          </w:tcPr>
          <w:p w14:paraId="16743ADA">
            <w:pPr>
              <w:pStyle w:val="14"/>
              <w:spacing w:line="400" w:lineRule="exact"/>
              <w:jc w:val="center"/>
              <w:rPr>
                <w:rFonts w:hAnsi="宋体" w:cs="Courier New"/>
                <w:b/>
                <w:bCs/>
                <w:color w:val="auto"/>
                <w:kern w:val="2"/>
                <w:sz w:val="21"/>
              </w:rPr>
            </w:pPr>
            <w:r>
              <w:rPr>
                <w:rFonts w:hint="eastAsia" w:hAnsi="宋体" w:cs="Courier New"/>
                <w:b/>
                <w:bCs/>
                <w:color w:val="auto"/>
                <w:kern w:val="2"/>
                <w:sz w:val="21"/>
              </w:rPr>
              <w:t>偏离说明</w:t>
            </w:r>
          </w:p>
        </w:tc>
      </w:tr>
      <w:tr w14:paraId="7256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5CAB285E">
            <w:pPr>
              <w:pStyle w:val="14"/>
              <w:spacing w:line="600" w:lineRule="exact"/>
              <w:jc w:val="center"/>
              <w:rPr>
                <w:rFonts w:hAnsi="宋体" w:cs="Courier New"/>
                <w:color w:val="auto"/>
                <w:kern w:val="2"/>
                <w:sz w:val="21"/>
              </w:rPr>
            </w:pPr>
          </w:p>
        </w:tc>
        <w:tc>
          <w:tcPr>
            <w:tcW w:w="2143" w:type="dxa"/>
            <w:vAlign w:val="center"/>
          </w:tcPr>
          <w:p w14:paraId="722C124E">
            <w:pPr>
              <w:pStyle w:val="14"/>
              <w:spacing w:line="600" w:lineRule="exact"/>
              <w:jc w:val="center"/>
              <w:rPr>
                <w:rFonts w:hAnsi="宋体" w:cs="Courier New"/>
                <w:color w:val="auto"/>
                <w:kern w:val="2"/>
                <w:sz w:val="21"/>
              </w:rPr>
            </w:pPr>
          </w:p>
        </w:tc>
        <w:tc>
          <w:tcPr>
            <w:tcW w:w="1834" w:type="dxa"/>
            <w:vAlign w:val="center"/>
          </w:tcPr>
          <w:p w14:paraId="0860D994">
            <w:pPr>
              <w:pStyle w:val="14"/>
              <w:spacing w:line="600" w:lineRule="exact"/>
              <w:jc w:val="center"/>
              <w:rPr>
                <w:rFonts w:hAnsi="宋体" w:cs="Courier New"/>
                <w:color w:val="auto"/>
                <w:kern w:val="2"/>
                <w:sz w:val="21"/>
              </w:rPr>
            </w:pPr>
          </w:p>
        </w:tc>
        <w:tc>
          <w:tcPr>
            <w:tcW w:w="2181" w:type="dxa"/>
            <w:vAlign w:val="center"/>
          </w:tcPr>
          <w:p w14:paraId="0DBA3CA9">
            <w:pPr>
              <w:pStyle w:val="14"/>
              <w:spacing w:line="600" w:lineRule="exact"/>
              <w:jc w:val="center"/>
              <w:rPr>
                <w:rFonts w:hAnsi="宋体" w:cs="Courier New"/>
                <w:color w:val="auto"/>
                <w:kern w:val="2"/>
                <w:sz w:val="21"/>
              </w:rPr>
            </w:pPr>
          </w:p>
        </w:tc>
        <w:tc>
          <w:tcPr>
            <w:tcW w:w="1934" w:type="dxa"/>
            <w:vAlign w:val="center"/>
          </w:tcPr>
          <w:p w14:paraId="7C605E18">
            <w:pPr>
              <w:pStyle w:val="14"/>
              <w:spacing w:line="600" w:lineRule="exact"/>
              <w:jc w:val="center"/>
              <w:rPr>
                <w:rFonts w:hAnsi="宋体" w:cs="Courier New"/>
                <w:color w:val="auto"/>
                <w:kern w:val="2"/>
                <w:sz w:val="21"/>
              </w:rPr>
            </w:pPr>
          </w:p>
        </w:tc>
      </w:tr>
      <w:tr w14:paraId="6639E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5331152C">
            <w:pPr>
              <w:pStyle w:val="14"/>
              <w:spacing w:line="600" w:lineRule="exact"/>
              <w:rPr>
                <w:rFonts w:hAnsi="宋体" w:cs="Courier New"/>
                <w:color w:val="auto"/>
                <w:kern w:val="2"/>
                <w:sz w:val="21"/>
              </w:rPr>
            </w:pPr>
          </w:p>
        </w:tc>
        <w:tc>
          <w:tcPr>
            <w:tcW w:w="2143" w:type="dxa"/>
          </w:tcPr>
          <w:p w14:paraId="3DF90F05">
            <w:pPr>
              <w:pStyle w:val="14"/>
              <w:spacing w:line="600" w:lineRule="exact"/>
              <w:rPr>
                <w:rFonts w:hAnsi="宋体" w:cs="Courier New"/>
                <w:color w:val="auto"/>
                <w:kern w:val="2"/>
                <w:sz w:val="21"/>
              </w:rPr>
            </w:pPr>
          </w:p>
        </w:tc>
        <w:tc>
          <w:tcPr>
            <w:tcW w:w="1834" w:type="dxa"/>
          </w:tcPr>
          <w:p w14:paraId="4D18658E">
            <w:pPr>
              <w:pStyle w:val="14"/>
              <w:spacing w:line="600" w:lineRule="exact"/>
              <w:rPr>
                <w:rFonts w:hAnsi="宋体" w:cs="Courier New"/>
                <w:color w:val="auto"/>
                <w:kern w:val="2"/>
                <w:sz w:val="21"/>
              </w:rPr>
            </w:pPr>
          </w:p>
        </w:tc>
        <w:tc>
          <w:tcPr>
            <w:tcW w:w="2181" w:type="dxa"/>
          </w:tcPr>
          <w:p w14:paraId="550C2363">
            <w:pPr>
              <w:pStyle w:val="14"/>
              <w:spacing w:line="600" w:lineRule="exact"/>
              <w:rPr>
                <w:rFonts w:hAnsi="宋体" w:cs="Courier New"/>
                <w:color w:val="auto"/>
                <w:kern w:val="2"/>
                <w:sz w:val="21"/>
              </w:rPr>
            </w:pPr>
          </w:p>
        </w:tc>
        <w:tc>
          <w:tcPr>
            <w:tcW w:w="1934" w:type="dxa"/>
          </w:tcPr>
          <w:p w14:paraId="2E06B344">
            <w:pPr>
              <w:pStyle w:val="14"/>
              <w:spacing w:line="600" w:lineRule="exact"/>
              <w:rPr>
                <w:rFonts w:hAnsi="宋体" w:cs="Courier New"/>
                <w:color w:val="auto"/>
                <w:kern w:val="2"/>
                <w:sz w:val="21"/>
              </w:rPr>
            </w:pPr>
          </w:p>
        </w:tc>
      </w:tr>
      <w:tr w14:paraId="6B610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1411910C">
            <w:pPr>
              <w:pStyle w:val="14"/>
              <w:spacing w:line="600" w:lineRule="exact"/>
              <w:rPr>
                <w:rFonts w:hAnsi="宋体" w:cs="Courier New"/>
                <w:color w:val="auto"/>
                <w:kern w:val="2"/>
                <w:sz w:val="21"/>
              </w:rPr>
            </w:pPr>
          </w:p>
        </w:tc>
        <w:tc>
          <w:tcPr>
            <w:tcW w:w="2143" w:type="dxa"/>
          </w:tcPr>
          <w:p w14:paraId="44502332">
            <w:pPr>
              <w:pStyle w:val="14"/>
              <w:spacing w:line="600" w:lineRule="exact"/>
              <w:rPr>
                <w:rFonts w:hAnsi="宋体" w:cs="Courier New"/>
                <w:color w:val="auto"/>
                <w:kern w:val="2"/>
                <w:sz w:val="21"/>
              </w:rPr>
            </w:pPr>
          </w:p>
        </w:tc>
        <w:tc>
          <w:tcPr>
            <w:tcW w:w="1834" w:type="dxa"/>
          </w:tcPr>
          <w:p w14:paraId="7B8A5AB5">
            <w:pPr>
              <w:pStyle w:val="14"/>
              <w:spacing w:line="600" w:lineRule="exact"/>
              <w:rPr>
                <w:rFonts w:hAnsi="宋体" w:cs="Courier New"/>
                <w:color w:val="auto"/>
                <w:kern w:val="2"/>
                <w:sz w:val="21"/>
              </w:rPr>
            </w:pPr>
          </w:p>
        </w:tc>
        <w:tc>
          <w:tcPr>
            <w:tcW w:w="2181" w:type="dxa"/>
          </w:tcPr>
          <w:p w14:paraId="17DEEC9D">
            <w:pPr>
              <w:pStyle w:val="14"/>
              <w:spacing w:line="600" w:lineRule="exact"/>
              <w:rPr>
                <w:rFonts w:hAnsi="宋体" w:cs="Courier New"/>
                <w:color w:val="auto"/>
                <w:kern w:val="2"/>
                <w:sz w:val="21"/>
              </w:rPr>
            </w:pPr>
          </w:p>
        </w:tc>
        <w:tc>
          <w:tcPr>
            <w:tcW w:w="1934" w:type="dxa"/>
          </w:tcPr>
          <w:p w14:paraId="57A7235D">
            <w:pPr>
              <w:pStyle w:val="14"/>
              <w:spacing w:line="600" w:lineRule="exact"/>
              <w:rPr>
                <w:rFonts w:hAnsi="宋体" w:cs="Courier New"/>
                <w:color w:val="auto"/>
                <w:kern w:val="2"/>
                <w:sz w:val="21"/>
              </w:rPr>
            </w:pPr>
          </w:p>
        </w:tc>
      </w:tr>
      <w:tr w14:paraId="220FF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62716F1F">
            <w:pPr>
              <w:pStyle w:val="14"/>
              <w:spacing w:line="600" w:lineRule="exact"/>
              <w:rPr>
                <w:rFonts w:hAnsi="宋体" w:cs="Courier New"/>
                <w:color w:val="auto"/>
                <w:kern w:val="2"/>
                <w:sz w:val="21"/>
              </w:rPr>
            </w:pPr>
          </w:p>
        </w:tc>
        <w:tc>
          <w:tcPr>
            <w:tcW w:w="2143" w:type="dxa"/>
          </w:tcPr>
          <w:p w14:paraId="540178E6">
            <w:pPr>
              <w:pStyle w:val="14"/>
              <w:spacing w:line="600" w:lineRule="exact"/>
              <w:rPr>
                <w:rFonts w:hAnsi="宋体" w:cs="Courier New"/>
                <w:color w:val="auto"/>
                <w:kern w:val="2"/>
                <w:sz w:val="21"/>
              </w:rPr>
            </w:pPr>
          </w:p>
        </w:tc>
        <w:tc>
          <w:tcPr>
            <w:tcW w:w="1834" w:type="dxa"/>
          </w:tcPr>
          <w:p w14:paraId="1B62333A">
            <w:pPr>
              <w:pStyle w:val="14"/>
              <w:spacing w:line="600" w:lineRule="exact"/>
              <w:rPr>
                <w:rFonts w:hAnsi="宋体" w:cs="Courier New"/>
                <w:color w:val="auto"/>
                <w:kern w:val="2"/>
                <w:sz w:val="21"/>
              </w:rPr>
            </w:pPr>
          </w:p>
        </w:tc>
        <w:tc>
          <w:tcPr>
            <w:tcW w:w="2181" w:type="dxa"/>
          </w:tcPr>
          <w:p w14:paraId="14DC2F12">
            <w:pPr>
              <w:pStyle w:val="14"/>
              <w:spacing w:line="600" w:lineRule="exact"/>
              <w:rPr>
                <w:rFonts w:hAnsi="宋体" w:cs="Courier New"/>
                <w:color w:val="auto"/>
                <w:kern w:val="2"/>
                <w:sz w:val="21"/>
              </w:rPr>
            </w:pPr>
          </w:p>
        </w:tc>
        <w:tc>
          <w:tcPr>
            <w:tcW w:w="1934" w:type="dxa"/>
          </w:tcPr>
          <w:p w14:paraId="02F6BFEC">
            <w:pPr>
              <w:pStyle w:val="14"/>
              <w:spacing w:line="600" w:lineRule="exact"/>
              <w:rPr>
                <w:rFonts w:hAnsi="宋体" w:cs="Courier New"/>
                <w:color w:val="auto"/>
                <w:kern w:val="2"/>
                <w:sz w:val="21"/>
              </w:rPr>
            </w:pPr>
          </w:p>
        </w:tc>
      </w:tr>
      <w:tr w14:paraId="3670B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5DD5F90F">
            <w:pPr>
              <w:pStyle w:val="14"/>
              <w:spacing w:line="600" w:lineRule="exact"/>
              <w:rPr>
                <w:rFonts w:hAnsi="宋体" w:cs="Courier New"/>
                <w:color w:val="auto"/>
                <w:kern w:val="2"/>
                <w:sz w:val="21"/>
              </w:rPr>
            </w:pPr>
          </w:p>
        </w:tc>
        <w:tc>
          <w:tcPr>
            <w:tcW w:w="2143" w:type="dxa"/>
          </w:tcPr>
          <w:p w14:paraId="6BD15881">
            <w:pPr>
              <w:pStyle w:val="14"/>
              <w:spacing w:line="600" w:lineRule="exact"/>
              <w:rPr>
                <w:rFonts w:hAnsi="宋体" w:cs="Courier New"/>
                <w:color w:val="auto"/>
                <w:kern w:val="2"/>
                <w:sz w:val="21"/>
              </w:rPr>
            </w:pPr>
          </w:p>
        </w:tc>
        <w:tc>
          <w:tcPr>
            <w:tcW w:w="1834" w:type="dxa"/>
          </w:tcPr>
          <w:p w14:paraId="66722E75">
            <w:pPr>
              <w:pStyle w:val="14"/>
              <w:spacing w:line="600" w:lineRule="exact"/>
              <w:rPr>
                <w:rFonts w:hAnsi="宋体" w:cs="Courier New"/>
                <w:color w:val="auto"/>
                <w:kern w:val="2"/>
                <w:sz w:val="21"/>
              </w:rPr>
            </w:pPr>
          </w:p>
        </w:tc>
        <w:tc>
          <w:tcPr>
            <w:tcW w:w="2181" w:type="dxa"/>
          </w:tcPr>
          <w:p w14:paraId="020CFD18">
            <w:pPr>
              <w:pStyle w:val="14"/>
              <w:spacing w:line="600" w:lineRule="exact"/>
              <w:rPr>
                <w:rFonts w:hAnsi="宋体" w:cs="Courier New"/>
                <w:color w:val="auto"/>
                <w:kern w:val="2"/>
                <w:sz w:val="21"/>
              </w:rPr>
            </w:pPr>
          </w:p>
        </w:tc>
        <w:tc>
          <w:tcPr>
            <w:tcW w:w="1934" w:type="dxa"/>
          </w:tcPr>
          <w:p w14:paraId="6541802B">
            <w:pPr>
              <w:pStyle w:val="14"/>
              <w:spacing w:line="600" w:lineRule="exact"/>
              <w:rPr>
                <w:rFonts w:hAnsi="宋体" w:cs="Courier New"/>
                <w:color w:val="auto"/>
                <w:kern w:val="2"/>
                <w:sz w:val="21"/>
              </w:rPr>
            </w:pPr>
          </w:p>
        </w:tc>
      </w:tr>
      <w:tr w14:paraId="0E902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5FA3F7AF">
            <w:pPr>
              <w:pStyle w:val="14"/>
              <w:spacing w:line="600" w:lineRule="exact"/>
              <w:rPr>
                <w:rFonts w:hAnsi="宋体" w:cs="Courier New"/>
                <w:color w:val="auto"/>
                <w:kern w:val="2"/>
                <w:sz w:val="21"/>
              </w:rPr>
            </w:pPr>
          </w:p>
        </w:tc>
        <w:tc>
          <w:tcPr>
            <w:tcW w:w="2143" w:type="dxa"/>
          </w:tcPr>
          <w:p w14:paraId="0A17CDF6">
            <w:pPr>
              <w:pStyle w:val="14"/>
              <w:spacing w:line="600" w:lineRule="exact"/>
              <w:rPr>
                <w:rFonts w:hAnsi="宋体" w:cs="Courier New"/>
                <w:color w:val="auto"/>
                <w:kern w:val="2"/>
                <w:sz w:val="21"/>
              </w:rPr>
            </w:pPr>
          </w:p>
        </w:tc>
        <w:tc>
          <w:tcPr>
            <w:tcW w:w="1834" w:type="dxa"/>
          </w:tcPr>
          <w:p w14:paraId="5505AA66">
            <w:pPr>
              <w:pStyle w:val="14"/>
              <w:spacing w:line="600" w:lineRule="exact"/>
              <w:rPr>
                <w:rFonts w:hAnsi="宋体" w:cs="Courier New"/>
                <w:color w:val="auto"/>
                <w:kern w:val="2"/>
                <w:sz w:val="21"/>
              </w:rPr>
            </w:pPr>
          </w:p>
        </w:tc>
        <w:tc>
          <w:tcPr>
            <w:tcW w:w="2181" w:type="dxa"/>
          </w:tcPr>
          <w:p w14:paraId="599D2FB6">
            <w:pPr>
              <w:pStyle w:val="14"/>
              <w:spacing w:line="600" w:lineRule="exact"/>
              <w:rPr>
                <w:rFonts w:hAnsi="宋体" w:cs="Courier New"/>
                <w:color w:val="auto"/>
                <w:kern w:val="2"/>
                <w:sz w:val="21"/>
              </w:rPr>
            </w:pPr>
          </w:p>
        </w:tc>
        <w:tc>
          <w:tcPr>
            <w:tcW w:w="1934" w:type="dxa"/>
          </w:tcPr>
          <w:p w14:paraId="5FE55245">
            <w:pPr>
              <w:pStyle w:val="14"/>
              <w:spacing w:line="600" w:lineRule="exact"/>
              <w:rPr>
                <w:rFonts w:hAnsi="宋体" w:cs="Courier New"/>
                <w:color w:val="auto"/>
                <w:kern w:val="2"/>
                <w:sz w:val="21"/>
              </w:rPr>
            </w:pPr>
          </w:p>
        </w:tc>
      </w:tr>
      <w:tr w14:paraId="0936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1AF5C2F5">
            <w:pPr>
              <w:pStyle w:val="14"/>
              <w:spacing w:line="600" w:lineRule="exact"/>
              <w:rPr>
                <w:rFonts w:hAnsi="宋体" w:cs="Courier New"/>
                <w:color w:val="auto"/>
                <w:kern w:val="2"/>
                <w:sz w:val="21"/>
              </w:rPr>
            </w:pPr>
          </w:p>
        </w:tc>
        <w:tc>
          <w:tcPr>
            <w:tcW w:w="2143" w:type="dxa"/>
          </w:tcPr>
          <w:p w14:paraId="2C7B7A1B">
            <w:pPr>
              <w:pStyle w:val="14"/>
              <w:spacing w:line="600" w:lineRule="exact"/>
              <w:rPr>
                <w:rFonts w:hAnsi="宋体" w:cs="Courier New"/>
                <w:color w:val="auto"/>
                <w:kern w:val="2"/>
                <w:sz w:val="21"/>
              </w:rPr>
            </w:pPr>
          </w:p>
        </w:tc>
        <w:tc>
          <w:tcPr>
            <w:tcW w:w="1834" w:type="dxa"/>
          </w:tcPr>
          <w:p w14:paraId="0195620F">
            <w:pPr>
              <w:pStyle w:val="14"/>
              <w:spacing w:line="600" w:lineRule="exact"/>
              <w:rPr>
                <w:rFonts w:hAnsi="宋体" w:cs="Courier New"/>
                <w:color w:val="auto"/>
                <w:kern w:val="2"/>
                <w:sz w:val="21"/>
              </w:rPr>
            </w:pPr>
          </w:p>
        </w:tc>
        <w:tc>
          <w:tcPr>
            <w:tcW w:w="2181" w:type="dxa"/>
          </w:tcPr>
          <w:p w14:paraId="2E6843B8">
            <w:pPr>
              <w:pStyle w:val="14"/>
              <w:spacing w:line="600" w:lineRule="exact"/>
              <w:rPr>
                <w:rFonts w:hAnsi="宋体" w:cs="Courier New"/>
                <w:color w:val="auto"/>
                <w:kern w:val="2"/>
                <w:sz w:val="21"/>
              </w:rPr>
            </w:pPr>
          </w:p>
        </w:tc>
        <w:tc>
          <w:tcPr>
            <w:tcW w:w="1934" w:type="dxa"/>
          </w:tcPr>
          <w:p w14:paraId="646C7CE0">
            <w:pPr>
              <w:pStyle w:val="14"/>
              <w:spacing w:line="600" w:lineRule="exact"/>
              <w:rPr>
                <w:rFonts w:hAnsi="宋体" w:cs="Courier New"/>
                <w:color w:val="auto"/>
                <w:kern w:val="2"/>
                <w:sz w:val="21"/>
              </w:rPr>
            </w:pPr>
          </w:p>
        </w:tc>
      </w:tr>
    </w:tbl>
    <w:p w14:paraId="58685CE8">
      <w:pPr>
        <w:pStyle w:val="11"/>
        <w:rPr>
          <w:rFonts w:ascii="宋体" w:hAnsi="宋体"/>
          <w:color w:val="auto"/>
          <w:sz w:val="21"/>
          <w:szCs w:val="21"/>
        </w:rPr>
      </w:pPr>
      <w:r>
        <w:rPr>
          <w:rFonts w:hint="eastAsia" w:ascii="宋体" w:hAnsi="宋体"/>
          <w:color w:val="auto"/>
          <w:sz w:val="21"/>
          <w:szCs w:val="21"/>
        </w:rPr>
        <w:t>注：</w:t>
      </w:r>
    </w:p>
    <w:p w14:paraId="36E4D7A3">
      <w:pPr>
        <w:pStyle w:val="13"/>
        <w:spacing w:line="520" w:lineRule="exact"/>
        <w:ind w:firstLine="0" w:firstLineChars="0"/>
        <w:rPr>
          <w:rFonts w:hAnsi="仿宋_GB2312" w:cs="仿宋_GB2312"/>
          <w:color w:val="auto"/>
          <w:sz w:val="24"/>
          <w:szCs w:val="24"/>
        </w:rPr>
      </w:pPr>
      <w:r>
        <w:rPr>
          <w:rFonts w:hint="eastAsia" w:ascii="宋体" w:hAnsi="宋体" w:eastAsia="宋体"/>
          <w:color w:val="auto"/>
          <w:sz w:val="21"/>
          <w:szCs w:val="21"/>
        </w:rPr>
        <w:t>1. 说明：应对照招标文件“第二章 采购需求”中的</w:t>
      </w:r>
      <w:r>
        <w:rPr>
          <w:rFonts w:hint="eastAsia" w:ascii="宋体" w:hAnsi="宋体" w:eastAsia="宋体"/>
          <w:color w:val="auto"/>
          <w:sz w:val="21"/>
          <w:szCs w:val="21"/>
          <w:lang w:val="en-US" w:eastAsia="zh-CN"/>
        </w:rPr>
        <w:t>服务内容及</w:t>
      </w:r>
      <w:r>
        <w:rPr>
          <w:rFonts w:hint="eastAsia" w:ascii="宋体" w:hAnsi="宋体" w:eastAsia="宋体"/>
          <w:color w:val="auto"/>
          <w:sz w:val="21"/>
          <w:szCs w:val="21"/>
        </w:rPr>
        <w:t>要求逐条实质性响应，并作出偏离说明。</w:t>
      </w:r>
    </w:p>
    <w:p w14:paraId="0C03EDD8">
      <w:pPr>
        <w:pStyle w:val="11"/>
        <w:rPr>
          <w:rFonts w:ascii="宋体" w:hAnsi="宋体"/>
          <w:color w:val="auto"/>
          <w:sz w:val="21"/>
          <w:szCs w:val="21"/>
        </w:rPr>
      </w:pPr>
      <w:r>
        <w:rPr>
          <w:rFonts w:ascii="宋体" w:hAnsi="宋体"/>
          <w:b w:val="0"/>
          <w:bCs w:val="0"/>
          <w:color w:val="auto"/>
          <w:sz w:val="21"/>
          <w:szCs w:val="21"/>
        </w:rPr>
        <w:t>2.</w:t>
      </w:r>
      <w:r>
        <w:rPr>
          <w:rFonts w:hint="eastAsia" w:ascii="宋体" w:hAnsi="宋体"/>
          <w:b w:val="0"/>
          <w:bCs w:val="0"/>
          <w:color w:val="auto"/>
          <w:sz w:val="21"/>
          <w:szCs w:val="21"/>
        </w:rPr>
        <w:t>投标人应根据投标设备的性能指标，对照招标文件要求，在“偏离说明”中注明“</w:t>
      </w:r>
      <w:r>
        <w:rPr>
          <w:rFonts w:hint="eastAsia" w:ascii="宋体" w:hAnsi="宋体"/>
          <w:color w:val="auto"/>
          <w:sz w:val="21"/>
          <w:szCs w:val="21"/>
        </w:rPr>
        <w:t>正偏离</w:t>
      </w:r>
      <w:r>
        <w:rPr>
          <w:rFonts w:hint="eastAsia" w:ascii="宋体" w:hAnsi="宋体"/>
          <w:b w:val="0"/>
          <w:bCs w:val="0"/>
          <w:color w:val="auto"/>
          <w:sz w:val="21"/>
          <w:szCs w:val="21"/>
        </w:rPr>
        <w:t>”、“</w:t>
      </w:r>
      <w:r>
        <w:rPr>
          <w:rFonts w:hint="eastAsia" w:ascii="宋体" w:hAnsi="宋体"/>
          <w:color w:val="auto"/>
          <w:sz w:val="21"/>
          <w:szCs w:val="21"/>
        </w:rPr>
        <w:t>负偏离</w:t>
      </w:r>
      <w:r>
        <w:rPr>
          <w:rFonts w:hint="eastAsia" w:ascii="宋体" w:hAnsi="宋体"/>
          <w:b w:val="0"/>
          <w:bCs w:val="0"/>
          <w:color w:val="auto"/>
          <w:sz w:val="21"/>
          <w:szCs w:val="21"/>
        </w:rPr>
        <w:t>”或者“</w:t>
      </w:r>
      <w:r>
        <w:rPr>
          <w:rFonts w:hint="eastAsia" w:ascii="宋体" w:hAnsi="宋体"/>
          <w:color w:val="auto"/>
          <w:sz w:val="21"/>
          <w:szCs w:val="21"/>
        </w:rPr>
        <w:t>无偏离</w:t>
      </w:r>
      <w:r>
        <w:rPr>
          <w:rFonts w:hint="eastAsia" w:ascii="宋体" w:hAnsi="宋体"/>
          <w:b w:val="0"/>
          <w:bCs w:val="0"/>
          <w:color w:val="auto"/>
          <w:sz w:val="21"/>
          <w:szCs w:val="21"/>
        </w:rPr>
        <w:t>”。既不属于“</w:t>
      </w:r>
      <w:r>
        <w:rPr>
          <w:rFonts w:hint="eastAsia" w:ascii="宋体" w:hAnsi="宋体"/>
          <w:color w:val="auto"/>
          <w:sz w:val="21"/>
          <w:szCs w:val="21"/>
        </w:rPr>
        <w:t>正偏离</w:t>
      </w:r>
      <w:r>
        <w:rPr>
          <w:rFonts w:hint="eastAsia" w:ascii="宋体" w:hAnsi="宋体"/>
          <w:b w:val="0"/>
          <w:bCs w:val="0"/>
          <w:color w:val="auto"/>
          <w:sz w:val="21"/>
          <w:szCs w:val="21"/>
        </w:rPr>
        <w:t>”也不属于“</w:t>
      </w:r>
      <w:r>
        <w:rPr>
          <w:rFonts w:hint="eastAsia" w:ascii="宋体" w:hAnsi="宋体"/>
          <w:color w:val="auto"/>
          <w:sz w:val="21"/>
          <w:szCs w:val="21"/>
        </w:rPr>
        <w:t>负偏离</w:t>
      </w:r>
      <w:r>
        <w:rPr>
          <w:rFonts w:hint="eastAsia" w:ascii="宋体" w:hAnsi="宋体"/>
          <w:b w:val="0"/>
          <w:bCs w:val="0"/>
          <w:color w:val="auto"/>
          <w:sz w:val="21"/>
          <w:szCs w:val="21"/>
        </w:rPr>
        <w:t>”即为“</w:t>
      </w:r>
      <w:r>
        <w:rPr>
          <w:rFonts w:hint="eastAsia" w:ascii="宋体" w:hAnsi="宋体"/>
          <w:color w:val="auto"/>
          <w:sz w:val="21"/>
          <w:szCs w:val="21"/>
        </w:rPr>
        <w:t>无偏离</w:t>
      </w:r>
      <w:r>
        <w:rPr>
          <w:rFonts w:hint="eastAsia" w:ascii="宋体" w:hAnsi="宋体"/>
          <w:b w:val="0"/>
          <w:bCs w:val="0"/>
          <w:color w:val="auto"/>
          <w:sz w:val="21"/>
          <w:szCs w:val="21"/>
        </w:rPr>
        <w:t>”。</w:t>
      </w:r>
    </w:p>
    <w:p w14:paraId="3AA56C00">
      <w:pPr>
        <w:pStyle w:val="11"/>
        <w:rPr>
          <w:rFonts w:ascii="宋体" w:hAnsi="宋体"/>
          <w:color w:val="auto"/>
          <w:spacing w:val="20"/>
        </w:rPr>
      </w:pPr>
    </w:p>
    <w:p w14:paraId="4928136C">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法定代表人或者委托代理人（签字/电子签名）：</w:t>
      </w:r>
    </w:p>
    <w:p w14:paraId="6FEA0823">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投标人名称（公章或电子签章）：</w:t>
      </w:r>
    </w:p>
    <w:p w14:paraId="30BA03C1">
      <w:pPr>
        <w:snapToGrid w:val="0"/>
        <w:spacing w:before="50" w:after="50" w:line="480" w:lineRule="auto"/>
        <w:ind w:left="-6" w:leftChars="-15" w:right="-817" w:rightChars="-389" w:hanging="25" w:hangingChars="12"/>
        <w:jc w:val="left"/>
        <w:rPr>
          <w:rFonts w:hint="eastAsia" w:ascii="宋体" w:hAnsi="宋体"/>
          <w:b/>
          <w:bCs/>
          <w:color w:val="auto"/>
          <w:szCs w:val="21"/>
        </w:rPr>
      </w:pPr>
      <w:r>
        <w:rPr>
          <w:rFonts w:hint="eastAsia" w:ascii="宋体" w:hAnsi="宋体"/>
          <w:b/>
          <w:bCs/>
          <w:color w:val="auto"/>
          <w:szCs w:val="21"/>
        </w:rPr>
        <w:t>日期：    年   月   日</w:t>
      </w:r>
    </w:p>
    <w:p w14:paraId="2B67BBF8">
      <w:pPr>
        <w:snapToGrid/>
        <w:spacing w:before="0" w:after="0" w:line="240" w:lineRule="auto"/>
        <w:ind w:left="0" w:leftChars="0" w:right="0" w:rightChars="0" w:firstLine="0" w:firstLineChars="0"/>
        <w:jc w:val="left"/>
        <w:rPr>
          <w:rFonts w:hint="eastAsia" w:ascii="宋体" w:hAnsi="宋体"/>
          <w:b/>
          <w:bCs/>
          <w:color w:val="auto"/>
          <w:szCs w:val="21"/>
        </w:rPr>
      </w:pPr>
      <w:r>
        <w:rPr>
          <w:rFonts w:hint="eastAsia" w:ascii="宋体" w:hAnsi="宋体"/>
          <w:b/>
          <w:bCs/>
          <w:color w:val="auto"/>
          <w:szCs w:val="21"/>
        </w:rPr>
        <w:br w:type="page"/>
      </w:r>
    </w:p>
    <w:p w14:paraId="14AEF5B8">
      <w:pPr>
        <w:keepNext w:val="0"/>
        <w:keepLines w:val="0"/>
        <w:widowControl/>
        <w:suppressLineNumbers w:val="0"/>
        <w:snapToGrid w:val="0"/>
        <w:spacing w:before="0" w:beforeLines="50" w:beforeAutospacing="0" w:after="50" w:afterAutospacing="0"/>
        <w:ind w:left="0" w:right="0" w:firstLine="0" w:firstLineChars="0"/>
        <w:jc w:val="left"/>
        <w:rPr>
          <w:rFonts w:hint="eastAsia" w:ascii="宋体" w:hAnsi="宋体"/>
          <w:b/>
          <w:color w:val="auto"/>
          <w:sz w:val="21"/>
          <w:szCs w:val="21"/>
        </w:rPr>
      </w:pPr>
      <w:r>
        <w:rPr>
          <w:rFonts w:hint="eastAsia" w:ascii="宋体" w:hAnsi="宋体" w:cs="Times New Roman"/>
          <w:b/>
          <w:color w:val="auto"/>
          <w:kern w:val="2"/>
          <w:sz w:val="24"/>
          <w:szCs w:val="24"/>
          <w:lang w:val="en-US" w:eastAsia="zh-CN" w:bidi="ar"/>
        </w:rPr>
        <w:t>6.</w:t>
      </w:r>
      <w:r>
        <w:rPr>
          <w:rFonts w:hint="eastAsia" w:ascii="宋体" w:hAnsi="宋体" w:eastAsia="宋体" w:cs="Times New Roman"/>
          <w:b/>
          <w:color w:val="auto"/>
          <w:kern w:val="2"/>
          <w:sz w:val="24"/>
          <w:szCs w:val="24"/>
          <w:lang w:val="en-US" w:eastAsia="zh-CN" w:bidi="ar"/>
        </w:rPr>
        <w:t>CT影像数据安全承诺书</w:t>
      </w:r>
    </w:p>
    <w:p w14:paraId="520A2EC7">
      <w:pPr>
        <w:snapToGrid w:val="0"/>
        <w:spacing w:before="0" w:beforeLines="50" w:after="50" w:line="360" w:lineRule="auto"/>
        <w:ind w:left="0" w:leftChars="0" w:right="0" w:rightChars="0" w:firstLine="495" w:firstLineChars="236"/>
        <w:jc w:val="left"/>
        <w:rPr>
          <w:rFonts w:hint="eastAsia" w:ascii="宋体" w:hAnsi="宋体"/>
          <w:b w:val="0"/>
          <w:bCs w:val="0"/>
          <w:color w:val="auto"/>
          <w:szCs w:val="21"/>
        </w:rPr>
      </w:pPr>
    </w:p>
    <w:p w14:paraId="65CDCC7D">
      <w:pPr>
        <w:keepNext w:val="0"/>
        <w:keepLines w:val="0"/>
        <w:widowControl/>
        <w:suppressLineNumbers w:val="0"/>
        <w:snapToGrid w:val="0"/>
        <w:spacing w:before="0" w:beforeLines="50" w:beforeAutospacing="0" w:after="50" w:afterAutospacing="0"/>
        <w:ind w:left="0" w:right="0"/>
        <w:jc w:val="center"/>
        <w:rPr>
          <w:rFonts w:hint="eastAsia" w:ascii="宋体" w:hAnsi="宋体"/>
          <w:b/>
          <w:color w:val="auto"/>
          <w:sz w:val="24"/>
        </w:rPr>
      </w:pPr>
      <w:r>
        <w:rPr>
          <w:rFonts w:hint="eastAsia" w:ascii="宋体" w:hAnsi="宋体"/>
          <w:b/>
          <w:color w:val="auto"/>
          <w:sz w:val="24"/>
        </w:rPr>
        <w:t>CT影像数据安全承诺书</w:t>
      </w:r>
    </w:p>
    <w:p w14:paraId="0D60B2E7">
      <w:pPr>
        <w:keepNext w:val="0"/>
        <w:keepLines w:val="0"/>
        <w:widowControl/>
        <w:suppressLineNumbers w:val="0"/>
        <w:snapToGrid w:val="0"/>
        <w:spacing w:before="0" w:beforeLines="50" w:beforeAutospacing="0" w:after="50" w:afterAutospacing="0" w:line="360" w:lineRule="auto"/>
        <w:ind w:left="0" w:right="0" w:firstLine="495" w:firstLineChars="236"/>
        <w:jc w:val="left"/>
        <w:rPr>
          <w:rFonts w:hint="eastAsia" w:ascii="宋体" w:hAnsi="宋体"/>
          <w:color w:val="auto"/>
          <w:szCs w:val="21"/>
        </w:rPr>
      </w:pPr>
      <w:r>
        <w:rPr>
          <w:rFonts w:hint="eastAsia" w:ascii="宋体" w:hAnsi="宋体"/>
          <w:color w:val="auto"/>
          <w:szCs w:val="21"/>
        </w:rPr>
        <w:t>致：</w:t>
      </w:r>
      <w:r>
        <w:rPr>
          <w:rFonts w:hint="eastAsia" w:ascii="宋体" w:hAnsi="宋体"/>
          <w:color w:val="auto"/>
          <w:szCs w:val="21"/>
          <w:u w:val="single"/>
        </w:rPr>
        <w:t>采购人名称</w:t>
      </w:r>
      <w:r>
        <w:rPr>
          <w:rFonts w:hint="eastAsia" w:ascii="宋体" w:hAnsi="宋体"/>
          <w:color w:val="auto"/>
          <w:szCs w:val="21"/>
        </w:rPr>
        <w:t>：</w:t>
      </w:r>
    </w:p>
    <w:p w14:paraId="2FDC387D">
      <w:pPr>
        <w:keepNext w:val="0"/>
        <w:keepLines w:val="0"/>
        <w:widowControl/>
        <w:suppressLineNumbers w:val="0"/>
        <w:snapToGrid w:val="0"/>
        <w:spacing w:before="0" w:beforeLines="50" w:beforeAutospacing="0" w:after="50" w:afterAutospacing="0" w:line="360" w:lineRule="auto"/>
        <w:ind w:left="0" w:right="0" w:firstLine="495" w:firstLineChars="236"/>
        <w:jc w:val="left"/>
        <w:rPr>
          <w:rFonts w:hint="eastAsia" w:ascii="宋体" w:hAnsi="宋体"/>
          <w:color w:val="auto"/>
          <w:szCs w:val="21"/>
        </w:rPr>
      </w:pPr>
      <w:r>
        <w:rPr>
          <w:rFonts w:hint="eastAsia" w:ascii="宋体" w:hAnsi="宋体" w:cs="Times New Roman"/>
          <w:color w:val="auto"/>
          <w:kern w:val="2"/>
          <w:sz w:val="21"/>
          <w:szCs w:val="21"/>
          <w:u w:val="single"/>
          <w:lang w:val="en-US" w:eastAsia="zh-CN" w:bidi="ar"/>
        </w:rPr>
        <w:t>（</w:t>
      </w:r>
      <w:r>
        <w:rPr>
          <w:rFonts w:hint="eastAsia" w:ascii="宋体" w:hAnsi="宋体" w:eastAsia="宋体" w:cs="Times New Roman"/>
          <w:color w:val="auto"/>
          <w:kern w:val="2"/>
          <w:sz w:val="21"/>
          <w:szCs w:val="21"/>
          <w:u w:val="single"/>
          <w:lang w:val="en-US" w:eastAsia="zh-CN" w:bidi="ar"/>
        </w:rPr>
        <w:t>公司名称</w:t>
      </w:r>
      <w:r>
        <w:rPr>
          <w:rFonts w:hint="eastAsia" w:ascii="宋体" w:hAnsi="宋体" w:cs="Times New Roman"/>
          <w:color w:val="auto"/>
          <w:kern w:val="2"/>
          <w:sz w:val="21"/>
          <w:szCs w:val="21"/>
          <w:u w:val="single"/>
          <w:lang w:val="en-US" w:eastAsia="zh-CN" w:bidi="ar"/>
        </w:rPr>
        <w:t xml:space="preserve">）                </w:t>
      </w:r>
      <w:r>
        <w:rPr>
          <w:rFonts w:hint="eastAsia" w:ascii="宋体" w:hAnsi="宋体" w:eastAsia="宋体" w:cs="Times New Roman"/>
          <w:color w:val="auto"/>
          <w:kern w:val="2"/>
          <w:sz w:val="21"/>
          <w:szCs w:val="21"/>
          <w:lang w:val="en-US" w:eastAsia="zh-CN" w:bidi="ar"/>
        </w:rPr>
        <w:t>作为本次“256排CT维保服务”项目的投标人，就项目实施过程中患者 CT 影像数据安全事宜，郑重作出如下承诺：</w:t>
      </w:r>
    </w:p>
    <w:p w14:paraId="1DA04A7F">
      <w:pPr>
        <w:keepNext w:val="0"/>
        <w:keepLines w:val="0"/>
        <w:widowControl/>
        <w:suppressLineNumbers w:val="0"/>
        <w:snapToGrid w:val="0"/>
        <w:spacing w:before="0" w:beforeLines="50" w:beforeAutospacing="0" w:after="50" w:afterAutospacing="0" w:line="360" w:lineRule="auto"/>
        <w:ind w:left="0" w:right="0" w:firstLine="495" w:firstLineChars="236"/>
        <w:jc w:val="left"/>
        <w:rPr>
          <w:rFonts w:hint="eastAsia" w:ascii="宋体" w:hAnsi="宋体"/>
          <w:color w:val="auto"/>
          <w:szCs w:val="21"/>
        </w:rPr>
      </w:pPr>
      <w:r>
        <w:rPr>
          <w:rFonts w:hint="eastAsia" w:ascii="宋体" w:hAnsi="宋体" w:eastAsia="宋体" w:cs="Times New Roman"/>
          <w:color w:val="auto"/>
          <w:kern w:val="2"/>
          <w:sz w:val="21"/>
          <w:szCs w:val="21"/>
          <w:lang w:val="en-US" w:eastAsia="zh-CN" w:bidi="ar"/>
        </w:rPr>
        <w:t>1. 我司提供运维服务仅限于 CT 设备硬件、设备系统、运行参数、故障日志等设备本身运维调试工作。承诺不获取、不访问、不读取、不导出、不复制任何患者 CT 原始影像、DICOM 影像及相关患者影像数据。</w:t>
      </w:r>
    </w:p>
    <w:p w14:paraId="060D3D40">
      <w:pPr>
        <w:keepNext w:val="0"/>
        <w:keepLines w:val="0"/>
        <w:widowControl/>
        <w:suppressLineNumbers w:val="0"/>
        <w:snapToGrid w:val="0"/>
        <w:spacing w:before="0" w:beforeLines="50" w:beforeAutospacing="0" w:after="50" w:afterAutospacing="0" w:line="360" w:lineRule="auto"/>
        <w:ind w:left="0" w:right="0" w:firstLine="495" w:firstLineChars="236"/>
        <w:jc w:val="left"/>
        <w:rPr>
          <w:rFonts w:hint="eastAsia" w:ascii="宋体" w:hAnsi="宋体"/>
          <w:color w:val="auto"/>
          <w:szCs w:val="21"/>
        </w:rPr>
      </w:pPr>
      <w:r>
        <w:rPr>
          <w:rFonts w:hint="eastAsia" w:ascii="宋体" w:hAnsi="宋体" w:eastAsia="宋体" w:cs="Times New Roman"/>
          <w:color w:val="auto"/>
          <w:kern w:val="2"/>
          <w:sz w:val="21"/>
          <w:szCs w:val="21"/>
          <w:lang w:val="en-US" w:eastAsia="zh-CN" w:bidi="ar"/>
        </w:rPr>
        <w:t>2. 远程运维专线及远程运维工具仅用于设备故障排查调试，绝不利用运维通道访问院内 PACS、影像存储服务器及院内业务内网。确因故障排查需要影像样本的，必须由</w:t>
      </w:r>
      <w:r>
        <w:rPr>
          <w:rFonts w:hint="eastAsia" w:ascii="宋体" w:hAnsi="宋体" w:cs="Times New Roman"/>
          <w:color w:val="auto"/>
          <w:kern w:val="2"/>
          <w:sz w:val="21"/>
          <w:szCs w:val="21"/>
          <w:lang w:val="en-US" w:eastAsia="zh-CN" w:bidi="ar"/>
        </w:rPr>
        <w:t>采购人</w:t>
      </w:r>
      <w:r>
        <w:rPr>
          <w:rFonts w:hint="eastAsia" w:ascii="宋体" w:hAnsi="宋体" w:eastAsia="宋体" w:cs="Times New Roman"/>
          <w:color w:val="auto"/>
          <w:kern w:val="2"/>
          <w:sz w:val="21"/>
          <w:szCs w:val="21"/>
          <w:lang w:val="en-US" w:eastAsia="zh-CN" w:bidi="ar"/>
        </w:rPr>
        <w:t>完成脱敏并经</w:t>
      </w:r>
      <w:r>
        <w:rPr>
          <w:rFonts w:hint="eastAsia" w:ascii="宋体" w:hAnsi="宋体" w:cs="Times New Roman"/>
          <w:color w:val="auto"/>
          <w:kern w:val="2"/>
          <w:sz w:val="21"/>
          <w:szCs w:val="21"/>
          <w:lang w:val="en-US" w:eastAsia="zh-CN" w:bidi="ar"/>
        </w:rPr>
        <w:t>采购人</w:t>
      </w:r>
      <w:r>
        <w:rPr>
          <w:rFonts w:hint="eastAsia" w:ascii="宋体" w:hAnsi="宋体" w:eastAsia="宋体" w:cs="Times New Roman"/>
          <w:color w:val="auto"/>
          <w:kern w:val="2"/>
          <w:sz w:val="21"/>
          <w:szCs w:val="21"/>
          <w:lang w:val="en-US" w:eastAsia="zh-CN" w:bidi="ar"/>
        </w:rPr>
        <w:t>书面审批后方可，我方绝不自行采集患者影像数据。</w:t>
      </w:r>
    </w:p>
    <w:p w14:paraId="55E84190">
      <w:pPr>
        <w:keepNext w:val="0"/>
        <w:keepLines w:val="0"/>
        <w:widowControl/>
        <w:suppressLineNumbers w:val="0"/>
        <w:snapToGrid w:val="0"/>
        <w:spacing w:before="0" w:beforeLines="50" w:beforeAutospacing="0" w:after="50" w:afterAutospacing="0" w:line="360" w:lineRule="auto"/>
        <w:ind w:left="0" w:right="0" w:firstLine="495" w:firstLineChars="236"/>
        <w:jc w:val="left"/>
        <w:rPr>
          <w:rFonts w:hint="eastAsia" w:ascii="宋体" w:hAnsi="宋体"/>
          <w:color w:val="auto"/>
          <w:szCs w:val="21"/>
        </w:rPr>
      </w:pPr>
      <w:r>
        <w:rPr>
          <w:rFonts w:hint="eastAsia" w:ascii="宋体" w:hAnsi="宋体" w:eastAsia="宋体" w:cs="Times New Roman"/>
          <w:color w:val="auto"/>
          <w:kern w:val="2"/>
          <w:sz w:val="21"/>
          <w:szCs w:val="21"/>
          <w:lang w:val="en-US" w:eastAsia="zh-CN" w:bidi="ar"/>
        </w:rPr>
        <w:t>3. 我司运维账号仅配置设备运维必要权限，不具备影像文件读取、拷贝、导出权限；不私自修改设备网络路由、系统配置，不私自打通运维通道与院内影像业务网络。现场运维时接受</w:t>
      </w:r>
      <w:r>
        <w:rPr>
          <w:rFonts w:hint="eastAsia" w:ascii="宋体" w:hAnsi="宋体" w:cs="Times New Roman"/>
          <w:color w:val="auto"/>
          <w:kern w:val="2"/>
          <w:sz w:val="21"/>
          <w:szCs w:val="21"/>
          <w:lang w:val="en-US" w:eastAsia="zh-CN" w:bidi="ar"/>
        </w:rPr>
        <w:t>采购人</w:t>
      </w:r>
      <w:r>
        <w:rPr>
          <w:rFonts w:hint="eastAsia" w:ascii="宋体" w:hAnsi="宋体" w:eastAsia="宋体" w:cs="Times New Roman"/>
          <w:color w:val="auto"/>
          <w:kern w:val="2"/>
          <w:sz w:val="21"/>
          <w:szCs w:val="21"/>
          <w:lang w:val="en-US" w:eastAsia="zh-CN" w:bidi="ar"/>
        </w:rPr>
        <w:t>人员全程监督，严禁私自使用 U 盘等介质拷贝影像。</w:t>
      </w:r>
    </w:p>
    <w:p w14:paraId="46F7554D">
      <w:pPr>
        <w:keepNext w:val="0"/>
        <w:keepLines w:val="0"/>
        <w:widowControl/>
        <w:suppressLineNumbers w:val="0"/>
        <w:snapToGrid w:val="0"/>
        <w:spacing w:before="0" w:beforeLines="50" w:beforeAutospacing="0" w:after="50" w:afterAutospacing="0" w:line="360" w:lineRule="auto"/>
        <w:ind w:left="0" w:right="0" w:firstLine="495" w:firstLineChars="236"/>
        <w:jc w:val="left"/>
        <w:rPr>
          <w:rFonts w:hint="eastAsia" w:ascii="宋体" w:hAnsi="宋体"/>
          <w:color w:val="auto"/>
          <w:szCs w:val="21"/>
        </w:rPr>
      </w:pPr>
      <w:r>
        <w:rPr>
          <w:rFonts w:hint="eastAsia" w:ascii="宋体" w:hAnsi="宋体" w:eastAsia="宋体" w:cs="Times New Roman"/>
          <w:color w:val="auto"/>
          <w:kern w:val="2"/>
          <w:sz w:val="21"/>
          <w:szCs w:val="21"/>
          <w:lang w:val="en-US" w:eastAsia="zh-CN" w:bidi="ar"/>
        </w:rPr>
        <w:t>4. 我方</w:t>
      </w:r>
      <w:r>
        <w:rPr>
          <w:rFonts w:hint="eastAsia" w:ascii="宋体" w:hAnsi="宋体" w:cs="Times New Roman"/>
          <w:color w:val="auto"/>
          <w:kern w:val="2"/>
          <w:sz w:val="21"/>
          <w:szCs w:val="21"/>
          <w:lang w:val="en-US" w:eastAsia="zh-CN" w:bidi="ar"/>
        </w:rPr>
        <w:t>司</w:t>
      </w:r>
      <w:r>
        <w:rPr>
          <w:rFonts w:hint="eastAsia" w:ascii="宋体" w:hAnsi="宋体" w:eastAsia="宋体" w:cs="Times New Roman"/>
          <w:color w:val="auto"/>
          <w:kern w:val="2"/>
          <w:sz w:val="21"/>
          <w:szCs w:val="21"/>
          <w:lang w:val="en-US" w:eastAsia="zh-CN" w:bidi="ar"/>
        </w:rPr>
        <w:t>严格遵守《中华人民共和国网络安全法》《中华人民共和国数据安全法》《中华人民共和国个人信息保护法》《医疗卫生机构网络安全管理办法》等法律法规。对所有参与项目人员开展数据安全培训，严禁以任何形式留存、传播、泄露患者 CT 影像及患者个人信息。</w:t>
      </w:r>
    </w:p>
    <w:p w14:paraId="3077BC59">
      <w:pPr>
        <w:keepNext w:val="0"/>
        <w:keepLines w:val="0"/>
        <w:widowControl/>
        <w:suppressLineNumbers w:val="0"/>
        <w:snapToGrid w:val="0"/>
        <w:spacing w:before="0" w:beforeLines="50" w:beforeAutospacing="0" w:after="50" w:afterAutospacing="0" w:line="360" w:lineRule="auto"/>
        <w:ind w:left="0" w:right="0" w:firstLine="495" w:firstLineChars="236"/>
        <w:jc w:val="left"/>
        <w:rPr>
          <w:rFonts w:hint="eastAsia" w:ascii="宋体" w:hAnsi="宋体"/>
          <w:color w:val="auto"/>
          <w:szCs w:val="21"/>
        </w:rPr>
      </w:pPr>
      <w:r>
        <w:rPr>
          <w:rFonts w:hint="eastAsia" w:ascii="宋体" w:hAnsi="宋体" w:eastAsia="宋体" w:cs="Times New Roman"/>
          <w:color w:val="auto"/>
          <w:kern w:val="2"/>
          <w:sz w:val="21"/>
          <w:szCs w:val="21"/>
          <w:lang w:val="en-US" w:eastAsia="zh-CN" w:bidi="ar"/>
        </w:rPr>
        <w:t>5. 若我方及我方人员发生违规获取、泄露 CT 影像数据等行为，</w:t>
      </w:r>
      <w:r>
        <w:rPr>
          <w:rFonts w:hint="eastAsia" w:ascii="宋体" w:hAnsi="宋体" w:cs="Times New Roman"/>
          <w:color w:val="auto"/>
          <w:kern w:val="2"/>
          <w:sz w:val="21"/>
          <w:szCs w:val="21"/>
          <w:lang w:val="en-US" w:eastAsia="zh-CN" w:bidi="ar"/>
        </w:rPr>
        <w:t>采购人</w:t>
      </w:r>
      <w:r>
        <w:rPr>
          <w:rFonts w:hint="eastAsia" w:ascii="宋体" w:hAnsi="宋体" w:eastAsia="宋体" w:cs="Times New Roman"/>
          <w:color w:val="auto"/>
          <w:kern w:val="2"/>
          <w:sz w:val="21"/>
          <w:szCs w:val="21"/>
          <w:lang w:val="en-US" w:eastAsia="zh-CN" w:bidi="ar"/>
        </w:rPr>
        <w:t>有权取消中标资格、解除合同、没收履约保证金；我方承担由此产生的全部经济损失、赔偿责任；涉嫌违法犯罪的，</w:t>
      </w:r>
      <w:r>
        <w:rPr>
          <w:rFonts w:hint="eastAsia" w:ascii="宋体" w:hAnsi="宋体" w:cs="Times New Roman"/>
          <w:color w:val="auto"/>
          <w:kern w:val="2"/>
          <w:sz w:val="21"/>
          <w:szCs w:val="21"/>
          <w:lang w:val="en-US" w:eastAsia="zh-CN" w:bidi="ar"/>
        </w:rPr>
        <w:t>采购人</w:t>
      </w:r>
      <w:r>
        <w:rPr>
          <w:rFonts w:hint="eastAsia" w:ascii="宋体" w:hAnsi="宋体" w:eastAsia="宋体" w:cs="Times New Roman"/>
          <w:color w:val="auto"/>
          <w:kern w:val="2"/>
          <w:sz w:val="21"/>
          <w:szCs w:val="21"/>
          <w:lang w:val="en-US" w:eastAsia="zh-CN" w:bidi="ar"/>
        </w:rPr>
        <w:t>有权移交司法机关处理。我方接受</w:t>
      </w:r>
      <w:r>
        <w:rPr>
          <w:rFonts w:hint="eastAsia" w:ascii="宋体" w:hAnsi="宋体" w:cs="Times New Roman"/>
          <w:color w:val="auto"/>
          <w:kern w:val="2"/>
          <w:sz w:val="21"/>
          <w:szCs w:val="21"/>
          <w:lang w:val="en-US" w:eastAsia="zh-CN" w:bidi="ar"/>
        </w:rPr>
        <w:t>采购人</w:t>
      </w:r>
      <w:r>
        <w:rPr>
          <w:rFonts w:hint="eastAsia" w:ascii="宋体" w:hAnsi="宋体" w:eastAsia="宋体" w:cs="Times New Roman"/>
          <w:color w:val="auto"/>
          <w:kern w:val="2"/>
          <w:sz w:val="21"/>
          <w:szCs w:val="21"/>
          <w:lang w:val="en-US" w:eastAsia="zh-CN" w:bidi="ar"/>
        </w:rPr>
        <w:t>对设备网络、账号权限、运维日志开展检查及安全整改要求。</w:t>
      </w:r>
    </w:p>
    <w:p w14:paraId="74853D16">
      <w:pPr>
        <w:keepNext w:val="0"/>
        <w:keepLines w:val="0"/>
        <w:widowControl/>
        <w:suppressLineNumbers w:val="0"/>
        <w:snapToGrid w:val="0"/>
        <w:spacing w:before="0" w:beforeLines="50" w:beforeAutospacing="0" w:after="50" w:afterAutospacing="0" w:line="360" w:lineRule="auto"/>
        <w:ind w:left="0" w:right="0" w:firstLine="495" w:firstLineChars="236"/>
        <w:jc w:val="left"/>
        <w:rPr>
          <w:rFonts w:hint="eastAsia" w:ascii="宋体" w:hAnsi="宋体"/>
          <w:color w:val="auto"/>
          <w:szCs w:val="21"/>
        </w:rPr>
      </w:pPr>
      <w:r>
        <w:rPr>
          <w:rFonts w:hint="eastAsia" w:ascii="宋体" w:hAnsi="宋体" w:eastAsia="宋体" w:cs="Times New Roman"/>
          <w:color w:val="auto"/>
          <w:kern w:val="2"/>
          <w:sz w:val="21"/>
          <w:szCs w:val="21"/>
          <w:lang w:val="en-US" w:eastAsia="zh-CN" w:bidi="ar"/>
        </w:rPr>
        <w:t>本承诺书为投标文件组成部分，一经中标，作为合同附件，与合同具有同等法律效力。</w:t>
      </w:r>
    </w:p>
    <w:p w14:paraId="2406BC9B">
      <w:pPr>
        <w:snapToGrid w:val="0"/>
        <w:spacing w:before="50" w:after="50" w:line="300" w:lineRule="auto"/>
        <w:ind w:left="-6" w:leftChars="-15" w:right="-817" w:rightChars="-389" w:hanging="25" w:hangingChars="12"/>
        <w:jc w:val="left"/>
        <w:rPr>
          <w:rFonts w:hint="eastAsia" w:ascii="宋体" w:hAnsi="宋体"/>
          <w:b/>
          <w:bCs/>
          <w:color w:val="auto"/>
          <w:szCs w:val="21"/>
        </w:rPr>
      </w:pPr>
    </w:p>
    <w:p w14:paraId="29F16934">
      <w:pPr>
        <w:snapToGrid w:val="0"/>
        <w:spacing w:before="50" w:after="50" w:line="300" w:lineRule="auto"/>
        <w:ind w:left="-6" w:leftChars="-15" w:right="-817" w:rightChars="-389" w:hanging="25" w:hangingChars="12"/>
        <w:jc w:val="left"/>
        <w:rPr>
          <w:rFonts w:hint="eastAsia" w:ascii="宋体" w:hAnsi="宋体"/>
          <w:b/>
          <w:bCs/>
          <w:color w:val="auto"/>
          <w:szCs w:val="21"/>
        </w:rPr>
      </w:pPr>
    </w:p>
    <w:p w14:paraId="270C1AB2">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法定代表人或者委托代理人（签字/电子签名）：</w:t>
      </w:r>
    </w:p>
    <w:p w14:paraId="304BAD15">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投标人名称（公章或电子签章）：</w:t>
      </w:r>
    </w:p>
    <w:p w14:paraId="69D1C22C">
      <w:pPr>
        <w:snapToGrid w:val="0"/>
        <w:spacing w:before="50" w:after="50" w:line="480" w:lineRule="auto"/>
        <w:ind w:left="-6" w:leftChars="-15" w:right="-817" w:rightChars="-389" w:hanging="25" w:hangingChars="12"/>
        <w:jc w:val="left"/>
        <w:rPr>
          <w:rFonts w:ascii="宋体" w:hAnsi="宋体"/>
          <w:color w:val="auto"/>
          <w:sz w:val="20"/>
          <w:szCs w:val="22"/>
        </w:rPr>
      </w:pPr>
      <w:r>
        <w:rPr>
          <w:rFonts w:hint="eastAsia" w:ascii="宋体" w:hAnsi="宋体"/>
          <w:b/>
          <w:bCs/>
          <w:color w:val="auto"/>
          <w:szCs w:val="21"/>
        </w:rPr>
        <w:t>日期：    年   月   日</w:t>
      </w:r>
    </w:p>
    <w:p w14:paraId="3D934385">
      <w:pPr>
        <w:keepNext w:val="0"/>
        <w:keepLines w:val="0"/>
        <w:widowControl/>
        <w:suppressLineNumbers w:val="0"/>
        <w:snapToGrid w:val="0"/>
        <w:spacing w:before="0" w:beforeLines="50" w:beforeAutospacing="0" w:after="50" w:afterAutospacing="0" w:line="360" w:lineRule="auto"/>
        <w:ind w:left="0" w:right="0" w:firstLine="495" w:firstLineChars="236"/>
        <w:jc w:val="left"/>
        <w:rPr>
          <w:rFonts w:hint="eastAsia" w:ascii="宋体" w:hAnsi="宋体"/>
          <w:color w:val="auto"/>
          <w:szCs w:val="21"/>
        </w:rPr>
      </w:pPr>
      <w:r>
        <w:rPr>
          <w:rFonts w:hint="eastAsia" w:ascii="宋体" w:hAnsi="宋体"/>
          <w:b w:val="0"/>
          <w:bCs w:val="0"/>
          <w:color w:val="auto"/>
          <w:szCs w:val="21"/>
          <w:lang w:eastAsia="zh-CN"/>
        </w:rPr>
        <w:t>注：</w:t>
      </w:r>
      <w:r>
        <w:rPr>
          <w:rFonts w:hint="eastAsia" w:ascii="宋体" w:hAnsi="宋体" w:eastAsia="宋体" w:cs="Times New Roman"/>
          <w:color w:val="auto"/>
          <w:kern w:val="2"/>
          <w:sz w:val="21"/>
          <w:szCs w:val="21"/>
          <w:lang w:val="en-US" w:eastAsia="zh-CN" w:bidi="ar"/>
        </w:rPr>
        <w:t>1. 投标人须在投标文件中提供加盖单位公章、法定代表人或授权代表签字/电子签名的《CT影像数据安全承诺书》，承诺书内容须完全响应招标文件中关于 CT 影像数据安全的全部要求。</w:t>
      </w:r>
    </w:p>
    <w:p w14:paraId="18AB6F9B">
      <w:pPr>
        <w:keepNext w:val="0"/>
        <w:keepLines w:val="0"/>
        <w:widowControl/>
        <w:suppressLineNumbers w:val="0"/>
        <w:snapToGrid w:val="0"/>
        <w:spacing w:before="0" w:beforeLines="50" w:beforeAutospacing="0" w:after="50" w:afterAutospacing="0" w:line="360" w:lineRule="auto"/>
        <w:ind w:left="0" w:right="0" w:firstLine="495" w:firstLineChars="236"/>
        <w:jc w:val="left"/>
        <w:rPr>
          <w:rFonts w:hint="eastAsia" w:ascii="宋体" w:hAnsi="宋体"/>
          <w:color w:val="auto"/>
          <w:szCs w:val="21"/>
        </w:rPr>
      </w:pPr>
      <w:r>
        <w:rPr>
          <w:rFonts w:hint="eastAsia" w:ascii="宋体" w:hAnsi="宋体" w:eastAsia="宋体" w:cs="Times New Roman"/>
          <w:color w:val="auto"/>
          <w:kern w:val="2"/>
          <w:sz w:val="21"/>
          <w:szCs w:val="21"/>
          <w:lang w:val="en-US" w:eastAsia="zh-CN" w:bidi="ar"/>
        </w:rPr>
        <w:t>2. 未按要求提交承诺书、承诺书内容存在实质性偏离、未加盖公章或无签字的，投标文件按无效投标处理。</w:t>
      </w:r>
    </w:p>
    <w:p w14:paraId="1652E04D">
      <w:pPr>
        <w:keepNext w:val="0"/>
        <w:keepLines w:val="0"/>
        <w:widowControl/>
        <w:suppressLineNumbers w:val="0"/>
        <w:snapToGrid w:val="0"/>
        <w:spacing w:before="0" w:beforeLines="50" w:beforeAutospacing="0" w:after="50" w:afterAutospacing="0" w:line="360" w:lineRule="auto"/>
        <w:ind w:left="0" w:right="0" w:firstLine="495" w:firstLineChars="236"/>
        <w:jc w:val="left"/>
        <w:rPr>
          <w:rFonts w:hint="eastAsia" w:ascii="宋体" w:hAnsi="宋体"/>
          <w:color w:val="auto"/>
          <w:szCs w:val="21"/>
        </w:rPr>
      </w:pPr>
      <w:r>
        <w:rPr>
          <w:rFonts w:hint="eastAsia" w:ascii="宋体" w:hAnsi="宋体" w:eastAsia="宋体" w:cs="Times New Roman"/>
          <w:color w:val="auto"/>
          <w:kern w:val="2"/>
          <w:sz w:val="21"/>
          <w:szCs w:val="21"/>
          <w:lang w:val="en-US" w:eastAsia="zh-CN" w:bidi="ar"/>
        </w:rPr>
        <w:t>3. 中标后该承诺书自动作为合同附件，与服务合同具备同等法律效力。</w:t>
      </w:r>
    </w:p>
    <w:p w14:paraId="37CB07EE">
      <w:pPr>
        <w:snapToGrid w:val="0"/>
        <w:spacing w:before="0" w:beforeLines="50" w:after="50" w:line="360" w:lineRule="auto"/>
        <w:ind w:left="0" w:leftChars="0" w:right="0" w:rightChars="0" w:firstLine="495" w:firstLineChars="236"/>
        <w:jc w:val="left"/>
        <w:rPr>
          <w:rFonts w:hint="eastAsia" w:ascii="宋体" w:hAnsi="宋体"/>
          <w:b w:val="0"/>
          <w:bCs w:val="0"/>
          <w:color w:val="auto"/>
          <w:szCs w:val="21"/>
        </w:rPr>
      </w:pPr>
    </w:p>
    <w:p w14:paraId="3738A681">
      <w:pPr>
        <w:snapToGrid w:val="0"/>
        <w:spacing w:beforeLines="50" w:after="50"/>
        <w:jc w:val="left"/>
        <w:rPr>
          <w:rFonts w:ascii="宋体" w:hAnsi="宋体"/>
          <w:b/>
          <w:color w:val="auto"/>
          <w:sz w:val="24"/>
        </w:rPr>
      </w:pPr>
      <w:r>
        <w:rPr>
          <w:rFonts w:hint="eastAsia" w:ascii="宋体" w:hAnsi="宋体"/>
          <w:b/>
          <w:bCs/>
          <w:color w:val="auto"/>
          <w:szCs w:val="21"/>
        </w:rPr>
        <w:br w:type="page"/>
      </w:r>
      <w:r>
        <w:rPr>
          <w:rFonts w:hint="eastAsia" w:ascii="宋体" w:hAnsi="宋体"/>
          <w:b/>
          <w:color w:val="auto"/>
          <w:sz w:val="24"/>
          <w:lang w:val="en-US" w:eastAsia="zh-CN"/>
        </w:rPr>
        <w:t>8</w:t>
      </w:r>
      <w:r>
        <w:rPr>
          <w:rFonts w:hint="eastAsia" w:ascii="宋体" w:hAnsi="宋体"/>
          <w:b/>
          <w:color w:val="auto"/>
          <w:sz w:val="24"/>
        </w:rPr>
        <w:t>.信誉业绩证明文件</w:t>
      </w:r>
    </w:p>
    <w:p w14:paraId="234463E5">
      <w:pPr>
        <w:pStyle w:val="19"/>
        <w:snapToGrid w:val="0"/>
        <w:ind w:left="480" w:hanging="480"/>
        <w:rPr>
          <w:rFonts w:ascii="宋体" w:hAnsi="宋体"/>
          <w:color w:val="auto"/>
          <w:sz w:val="24"/>
        </w:rPr>
      </w:pPr>
    </w:p>
    <w:p w14:paraId="7EA5B50F">
      <w:pPr>
        <w:pStyle w:val="19"/>
        <w:snapToGrid w:val="0"/>
        <w:ind w:left="480" w:hanging="480"/>
        <w:rPr>
          <w:rFonts w:ascii="宋体" w:hAnsi="宋体"/>
          <w:color w:val="auto"/>
          <w:sz w:val="24"/>
        </w:rPr>
      </w:pPr>
      <w:r>
        <w:rPr>
          <w:rFonts w:hint="eastAsia" w:ascii="宋体" w:hAnsi="宋体"/>
          <w:color w:val="auto"/>
          <w:sz w:val="24"/>
        </w:rPr>
        <w:t>投标人同类项目情况一览表格式：</w:t>
      </w:r>
    </w:p>
    <w:p w14:paraId="1ACE3C66">
      <w:pPr>
        <w:pStyle w:val="19"/>
        <w:snapToGrid w:val="0"/>
        <w:ind w:left="480" w:hanging="480"/>
        <w:rPr>
          <w:rFonts w:ascii="宋体" w:hAnsi="宋体"/>
          <w:color w:val="auto"/>
          <w:sz w:val="24"/>
        </w:rPr>
      </w:pPr>
    </w:p>
    <w:p w14:paraId="2EF4BDE6">
      <w:pPr>
        <w:pStyle w:val="19"/>
        <w:snapToGrid w:val="0"/>
        <w:ind w:left="482" w:hanging="482"/>
        <w:jc w:val="center"/>
        <w:rPr>
          <w:rFonts w:hint="eastAsia" w:ascii="宋体" w:hAnsi="宋体"/>
          <w:b/>
          <w:color w:val="auto"/>
          <w:sz w:val="24"/>
        </w:rPr>
      </w:pPr>
      <w:r>
        <w:rPr>
          <w:rFonts w:hint="eastAsia" w:ascii="宋体" w:hAnsi="宋体"/>
          <w:b/>
          <w:color w:val="auto"/>
          <w:sz w:val="24"/>
        </w:rPr>
        <w:t>投标人业绩情况一览表</w:t>
      </w:r>
    </w:p>
    <w:tbl>
      <w:tblPr>
        <w:tblStyle w:val="25"/>
        <w:tblW w:w="917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94"/>
        <w:gridCol w:w="1905"/>
        <w:gridCol w:w="1905"/>
        <w:gridCol w:w="3074"/>
      </w:tblGrid>
      <w:tr w14:paraId="47296E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8" w:hRule="atLeast"/>
        </w:trPr>
        <w:tc>
          <w:tcPr>
            <w:tcW w:w="2294" w:type="dxa"/>
            <w:vMerge w:val="restart"/>
            <w:tcBorders>
              <w:top w:val="single" w:color="auto" w:sz="4" w:space="0"/>
              <w:left w:val="single" w:color="auto" w:sz="4" w:space="0"/>
              <w:bottom w:val="single" w:color="auto" w:sz="4" w:space="0"/>
              <w:right w:val="single" w:color="auto" w:sz="4" w:space="0"/>
            </w:tcBorders>
            <w:vAlign w:val="center"/>
          </w:tcPr>
          <w:p w14:paraId="7FD395FA">
            <w:pPr>
              <w:pStyle w:val="14"/>
              <w:spacing w:line="400" w:lineRule="exact"/>
              <w:contextualSpacing/>
              <w:jc w:val="center"/>
              <w:rPr>
                <w:rFonts w:hAnsi="宋体" w:cs="Courier New"/>
                <w:b/>
                <w:bCs/>
                <w:color w:val="auto"/>
                <w:kern w:val="2"/>
                <w:sz w:val="21"/>
              </w:rPr>
            </w:pPr>
            <w:r>
              <w:rPr>
                <w:rFonts w:hint="eastAsia" w:hAnsi="宋体" w:cs="Courier New"/>
                <w:b/>
                <w:bCs/>
                <w:color w:val="auto"/>
                <w:kern w:val="2"/>
                <w:sz w:val="21"/>
              </w:rPr>
              <w:t>采购人名称</w:t>
            </w:r>
          </w:p>
        </w:tc>
        <w:tc>
          <w:tcPr>
            <w:tcW w:w="1905" w:type="dxa"/>
            <w:vMerge w:val="restart"/>
            <w:tcBorders>
              <w:top w:val="single" w:color="auto" w:sz="4" w:space="0"/>
              <w:left w:val="single" w:color="auto" w:sz="4" w:space="0"/>
              <w:bottom w:val="single" w:color="auto" w:sz="4" w:space="0"/>
              <w:right w:val="single" w:color="auto" w:sz="4" w:space="0"/>
            </w:tcBorders>
            <w:vAlign w:val="center"/>
          </w:tcPr>
          <w:p w14:paraId="3A28ADD6">
            <w:pPr>
              <w:pStyle w:val="14"/>
              <w:spacing w:line="400" w:lineRule="exact"/>
              <w:contextualSpacing/>
              <w:jc w:val="center"/>
              <w:rPr>
                <w:rFonts w:hAnsi="宋体" w:cs="Courier New"/>
                <w:b/>
                <w:bCs/>
                <w:color w:val="auto"/>
                <w:kern w:val="2"/>
                <w:sz w:val="21"/>
              </w:rPr>
            </w:pPr>
            <w:r>
              <w:rPr>
                <w:rFonts w:hint="eastAsia" w:hAnsi="宋体" w:cs="Courier New"/>
                <w:b/>
                <w:bCs/>
                <w:color w:val="auto"/>
                <w:kern w:val="2"/>
                <w:sz w:val="21"/>
              </w:rPr>
              <w:t>项目名称</w:t>
            </w:r>
          </w:p>
        </w:tc>
        <w:tc>
          <w:tcPr>
            <w:tcW w:w="1905" w:type="dxa"/>
            <w:vMerge w:val="restart"/>
            <w:tcBorders>
              <w:top w:val="single" w:color="auto" w:sz="4" w:space="0"/>
              <w:left w:val="single" w:color="auto" w:sz="4" w:space="0"/>
              <w:bottom w:val="single" w:color="auto" w:sz="4" w:space="0"/>
              <w:right w:val="single" w:color="auto" w:sz="4" w:space="0"/>
            </w:tcBorders>
            <w:vAlign w:val="center"/>
          </w:tcPr>
          <w:p w14:paraId="31C6F0C0">
            <w:pPr>
              <w:pStyle w:val="14"/>
              <w:spacing w:line="400" w:lineRule="exact"/>
              <w:contextualSpacing/>
              <w:jc w:val="center"/>
              <w:rPr>
                <w:rFonts w:hAnsi="宋体" w:cs="Courier New"/>
                <w:b/>
                <w:bCs/>
                <w:color w:val="auto"/>
                <w:kern w:val="2"/>
                <w:sz w:val="21"/>
              </w:rPr>
            </w:pPr>
            <w:r>
              <w:rPr>
                <w:rFonts w:hint="eastAsia" w:hAnsi="宋体" w:cs="Courier New"/>
                <w:b/>
                <w:bCs/>
                <w:color w:val="auto"/>
                <w:kern w:val="2"/>
                <w:sz w:val="21"/>
              </w:rPr>
              <w:t>合同金额</w:t>
            </w:r>
          </w:p>
          <w:p w14:paraId="33FFFB26">
            <w:pPr>
              <w:pStyle w:val="14"/>
              <w:spacing w:line="400" w:lineRule="exact"/>
              <w:contextualSpacing/>
              <w:jc w:val="center"/>
              <w:rPr>
                <w:rFonts w:hAnsi="宋体" w:cs="Courier New"/>
                <w:b/>
                <w:bCs/>
                <w:color w:val="auto"/>
                <w:kern w:val="2"/>
                <w:sz w:val="21"/>
              </w:rPr>
            </w:pPr>
            <w:r>
              <w:rPr>
                <w:rFonts w:hint="eastAsia" w:hAnsi="宋体" w:cs="Courier New"/>
                <w:b/>
                <w:bCs/>
                <w:color w:val="auto"/>
                <w:kern w:val="2"/>
                <w:sz w:val="21"/>
              </w:rPr>
              <w:t>（万元）</w:t>
            </w:r>
          </w:p>
        </w:tc>
        <w:tc>
          <w:tcPr>
            <w:tcW w:w="3074" w:type="dxa"/>
            <w:vMerge w:val="restart"/>
            <w:tcBorders>
              <w:top w:val="single" w:color="auto" w:sz="4" w:space="0"/>
              <w:left w:val="single" w:color="auto" w:sz="4" w:space="0"/>
              <w:bottom w:val="single" w:color="auto" w:sz="4" w:space="0"/>
              <w:right w:val="single" w:color="auto" w:sz="4" w:space="0"/>
            </w:tcBorders>
            <w:vAlign w:val="center"/>
          </w:tcPr>
          <w:p w14:paraId="7A06F382">
            <w:pPr>
              <w:pStyle w:val="14"/>
              <w:spacing w:line="400" w:lineRule="exact"/>
              <w:contextualSpacing/>
              <w:jc w:val="center"/>
              <w:rPr>
                <w:rFonts w:hAnsi="宋体" w:cs="Courier New"/>
                <w:b/>
                <w:bCs/>
                <w:color w:val="auto"/>
                <w:kern w:val="2"/>
                <w:sz w:val="21"/>
              </w:rPr>
            </w:pPr>
            <w:r>
              <w:rPr>
                <w:rFonts w:hint="eastAsia" w:hAnsi="宋体" w:cs="Courier New"/>
                <w:b/>
                <w:bCs/>
                <w:color w:val="auto"/>
                <w:kern w:val="2"/>
                <w:sz w:val="21"/>
              </w:rPr>
              <w:t>采购人联系人及</w:t>
            </w:r>
          </w:p>
          <w:p w14:paraId="5DD570F7">
            <w:pPr>
              <w:pStyle w:val="14"/>
              <w:spacing w:line="400" w:lineRule="exact"/>
              <w:contextualSpacing/>
              <w:jc w:val="center"/>
              <w:rPr>
                <w:rFonts w:hAnsi="宋体" w:cs="Courier New"/>
                <w:b/>
                <w:bCs/>
                <w:color w:val="auto"/>
                <w:kern w:val="2"/>
                <w:sz w:val="21"/>
              </w:rPr>
            </w:pPr>
            <w:r>
              <w:rPr>
                <w:rFonts w:hint="eastAsia" w:hAnsi="宋体" w:cs="Courier New"/>
                <w:b/>
                <w:bCs/>
                <w:color w:val="auto"/>
                <w:kern w:val="2"/>
                <w:sz w:val="21"/>
              </w:rPr>
              <w:t>联系电话</w:t>
            </w:r>
          </w:p>
        </w:tc>
      </w:tr>
      <w:tr w14:paraId="53193B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63" w:hRule="atLeast"/>
        </w:trPr>
        <w:tc>
          <w:tcPr>
            <w:tcW w:w="2294" w:type="dxa"/>
            <w:vMerge w:val="continue"/>
            <w:tcBorders>
              <w:top w:val="single" w:color="auto" w:sz="4" w:space="0"/>
              <w:left w:val="single" w:color="auto" w:sz="4" w:space="0"/>
              <w:bottom w:val="single" w:color="auto" w:sz="4" w:space="0"/>
              <w:right w:val="single" w:color="auto" w:sz="4" w:space="0"/>
            </w:tcBorders>
            <w:vAlign w:val="center"/>
          </w:tcPr>
          <w:p w14:paraId="5F96520E">
            <w:pPr>
              <w:jc w:val="left"/>
              <w:rPr>
                <w:rFonts w:ascii="宋体" w:hAnsi="宋体"/>
                <w:color w:val="auto"/>
                <w:sz w:val="24"/>
              </w:rPr>
            </w:pPr>
          </w:p>
        </w:tc>
        <w:tc>
          <w:tcPr>
            <w:tcW w:w="1905" w:type="dxa"/>
            <w:vMerge w:val="continue"/>
            <w:tcBorders>
              <w:top w:val="single" w:color="auto" w:sz="4" w:space="0"/>
              <w:left w:val="single" w:color="auto" w:sz="4" w:space="0"/>
              <w:bottom w:val="single" w:color="auto" w:sz="4" w:space="0"/>
              <w:right w:val="single" w:color="auto" w:sz="4" w:space="0"/>
            </w:tcBorders>
            <w:vAlign w:val="center"/>
          </w:tcPr>
          <w:p w14:paraId="1F340973">
            <w:pPr>
              <w:jc w:val="left"/>
              <w:rPr>
                <w:rFonts w:ascii="宋体" w:hAnsi="宋体"/>
                <w:color w:val="auto"/>
                <w:sz w:val="24"/>
              </w:rPr>
            </w:pPr>
          </w:p>
        </w:tc>
        <w:tc>
          <w:tcPr>
            <w:tcW w:w="1905" w:type="dxa"/>
            <w:vMerge w:val="continue"/>
            <w:tcBorders>
              <w:top w:val="single" w:color="auto" w:sz="4" w:space="0"/>
              <w:left w:val="single" w:color="auto" w:sz="4" w:space="0"/>
              <w:bottom w:val="single" w:color="auto" w:sz="4" w:space="0"/>
              <w:right w:val="single" w:color="auto" w:sz="4" w:space="0"/>
            </w:tcBorders>
            <w:vAlign w:val="center"/>
          </w:tcPr>
          <w:p w14:paraId="73983972">
            <w:pPr>
              <w:jc w:val="left"/>
              <w:rPr>
                <w:rFonts w:ascii="宋体" w:hAnsi="宋体"/>
                <w:color w:val="auto"/>
                <w:sz w:val="24"/>
              </w:rPr>
            </w:pPr>
          </w:p>
        </w:tc>
        <w:tc>
          <w:tcPr>
            <w:tcW w:w="3074" w:type="dxa"/>
            <w:vMerge w:val="continue"/>
            <w:tcBorders>
              <w:top w:val="single" w:color="auto" w:sz="4" w:space="0"/>
              <w:left w:val="single" w:color="auto" w:sz="4" w:space="0"/>
              <w:bottom w:val="single" w:color="auto" w:sz="4" w:space="0"/>
              <w:right w:val="single" w:color="auto" w:sz="4" w:space="0"/>
            </w:tcBorders>
            <w:vAlign w:val="center"/>
          </w:tcPr>
          <w:p w14:paraId="39C2314F">
            <w:pPr>
              <w:jc w:val="left"/>
              <w:rPr>
                <w:rFonts w:ascii="宋体" w:hAnsi="宋体"/>
                <w:color w:val="auto"/>
                <w:sz w:val="24"/>
              </w:rPr>
            </w:pPr>
          </w:p>
        </w:tc>
      </w:tr>
      <w:tr w14:paraId="731F83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4" w:hRule="atLeast"/>
        </w:trPr>
        <w:tc>
          <w:tcPr>
            <w:tcW w:w="2294" w:type="dxa"/>
            <w:tcBorders>
              <w:top w:val="single" w:color="auto" w:sz="4" w:space="0"/>
              <w:left w:val="single" w:color="auto" w:sz="4" w:space="0"/>
              <w:bottom w:val="single" w:color="auto" w:sz="4" w:space="0"/>
              <w:right w:val="single" w:color="auto" w:sz="4" w:space="0"/>
            </w:tcBorders>
          </w:tcPr>
          <w:p w14:paraId="647C28CD">
            <w:pPr>
              <w:snapToGrid w:val="0"/>
              <w:spacing w:line="240" w:lineRule="exact"/>
              <w:jc w:val="left"/>
              <w:rPr>
                <w:rFonts w:ascii="宋体" w:hAnsi="宋体"/>
                <w:color w:val="auto"/>
                <w:sz w:val="24"/>
              </w:rPr>
            </w:pPr>
          </w:p>
        </w:tc>
        <w:tc>
          <w:tcPr>
            <w:tcW w:w="1905" w:type="dxa"/>
            <w:tcBorders>
              <w:top w:val="single" w:color="auto" w:sz="4" w:space="0"/>
              <w:left w:val="single" w:color="auto" w:sz="4" w:space="0"/>
              <w:bottom w:val="single" w:color="auto" w:sz="4" w:space="0"/>
              <w:right w:val="single" w:color="auto" w:sz="4" w:space="0"/>
            </w:tcBorders>
          </w:tcPr>
          <w:p w14:paraId="596B8946">
            <w:pPr>
              <w:snapToGrid w:val="0"/>
              <w:spacing w:line="240" w:lineRule="exact"/>
              <w:jc w:val="left"/>
              <w:rPr>
                <w:rFonts w:ascii="宋体" w:hAnsi="宋体"/>
                <w:color w:val="auto"/>
                <w:sz w:val="24"/>
              </w:rPr>
            </w:pPr>
          </w:p>
        </w:tc>
        <w:tc>
          <w:tcPr>
            <w:tcW w:w="1905" w:type="dxa"/>
            <w:tcBorders>
              <w:top w:val="single" w:color="auto" w:sz="4" w:space="0"/>
              <w:left w:val="single" w:color="auto" w:sz="4" w:space="0"/>
              <w:bottom w:val="single" w:color="auto" w:sz="4" w:space="0"/>
              <w:right w:val="single" w:color="auto" w:sz="4" w:space="0"/>
            </w:tcBorders>
          </w:tcPr>
          <w:p w14:paraId="5818672A">
            <w:pPr>
              <w:snapToGrid w:val="0"/>
              <w:spacing w:line="240" w:lineRule="exact"/>
              <w:jc w:val="left"/>
              <w:rPr>
                <w:rFonts w:ascii="宋体" w:hAnsi="宋体"/>
                <w:color w:val="auto"/>
                <w:sz w:val="24"/>
              </w:rPr>
            </w:pPr>
          </w:p>
        </w:tc>
        <w:tc>
          <w:tcPr>
            <w:tcW w:w="3074" w:type="dxa"/>
            <w:tcBorders>
              <w:top w:val="single" w:color="auto" w:sz="4" w:space="0"/>
              <w:left w:val="single" w:color="auto" w:sz="4" w:space="0"/>
              <w:bottom w:val="single" w:color="auto" w:sz="4" w:space="0"/>
              <w:right w:val="single" w:color="auto" w:sz="4" w:space="0"/>
            </w:tcBorders>
          </w:tcPr>
          <w:p w14:paraId="6A0D18D7">
            <w:pPr>
              <w:snapToGrid w:val="0"/>
              <w:spacing w:line="240" w:lineRule="exact"/>
              <w:jc w:val="left"/>
              <w:rPr>
                <w:rFonts w:ascii="宋体" w:hAnsi="宋体"/>
                <w:color w:val="auto"/>
                <w:sz w:val="24"/>
              </w:rPr>
            </w:pPr>
          </w:p>
        </w:tc>
      </w:tr>
      <w:tr w14:paraId="3A154A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3" w:hRule="atLeast"/>
        </w:trPr>
        <w:tc>
          <w:tcPr>
            <w:tcW w:w="2294" w:type="dxa"/>
            <w:tcBorders>
              <w:top w:val="single" w:color="auto" w:sz="4" w:space="0"/>
              <w:left w:val="single" w:color="auto" w:sz="4" w:space="0"/>
              <w:bottom w:val="single" w:color="auto" w:sz="4" w:space="0"/>
              <w:right w:val="single" w:color="auto" w:sz="4" w:space="0"/>
            </w:tcBorders>
          </w:tcPr>
          <w:p w14:paraId="24DCECFB">
            <w:pPr>
              <w:snapToGrid w:val="0"/>
              <w:spacing w:before="50" w:afterLines="50" w:line="400" w:lineRule="exact"/>
              <w:jc w:val="left"/>
              <w:rPr>
                <w:rFonts w:ascii="宋体" w:hAnsi="宋体"/>
                <w:color w:val="auto"/>
                <w:sz w:val="24"/>
              </w:rPr>
            </w:pPr>
          </w:p>
        </w:tc>
        <w:tc>
          <w:tcPr>
            <w:tcW w:w="1905" w:type="dxa"/>
            <w:tcBorders>
              <w:top w:val="single" w:color="auto" w:sz="4" w:space="0"/>
              <w:left w:val="single" w:color="auto" w:sz="4" w:space="0"/>
              <w:bottom w:val="single" w:color="auto" w:sz="4" w:space="0"/>
              <w:right w:val="single" w:color="auto" w:sz="4" w:space="0"/>
            </w:tcBorders>
          </w:tcPr>
          <w:p w14:paraId="057AF391">
            <w:pPr>
              <w:snapToGrid w:val="0"/>
              <w:spacing w:before="50" w:afterLines="50" w:line="400" w:lineRule="exact"/>
              <w:jc w:val="left"/>
              <w:rPr>
                <w:rFonts w:ascii="宋体" w:hAnsi="宋体"/>
                <w:color w:val="auto"/>
                <w:sz w:val="24"/>
              </w:rPr>
            </w:pPr>
          </w:p>
        </w:tc>
        <w:tc>
          <w:tcPr>
            <w:tcW w:w="1905" w:type="dxa"/>
            <w:tcBorders>
              <w:top w:val="single" w:color="auto" w:sz="4" w:space="0"/>
              <w:left w:val="single" w:color="auto" w:sz="4" w:space="0"/>
              <w:bottom w:val="single" w:color="auto" w:sz="4" w:space="0"/>
              <w:right w:val="single" w:color="auto" w:sz="4" w:space="0"/>
            </w:tcBorders>
          </w:tcPr>
          <w:p w14:paraId="1A32DEE6">
            <w:pPr>
              <w:snapToGrid w:val="0"/>
              <w:spacing w:before="50" w:afterLines="50" w:line="400" w:lineRule="exact"/>
              <w:jc w:val="left"/>
              <w:rPr>
                <w:rFonts w:ascii="宋体" w:hAnsi="宋体"/>
                <w:color w:val="auto"/>
                <w:sz w:val="24"/>
              </w:rPr>
            </w:pPr>
          </w:p>
        </w:tc>
        <w:tc>
          <w:tcPr>
            <w:tcW w:w="3074" w:type="dxa"/>
            <w:tcBorders>
              <w:top w:val="single" w:color="auto" w:sz="4" w:space="0"/>
              <w:left w:val="single" w:color="auto" w:sz="4" w:space="0"/>
              <w:bottom w:val="single" w:color="auto" w:sz="4" w:space="0"/>
              <w:right w:val="single" w:color="auto" w:sz="4" w:space="0"/>
            </w:tcBorders>
          </w:tcPr>
          <w:p w14:paraId="2C87DE33">
            <w:pPr>
              <w:snapToGrid w:val="0"/>
              <w:spacing w:before="50" w:afterLines="50" w:line="400" w:lineRule="exact"/>
              <w:jc w:val="left"/>
              <w:rPr>
                <w:rFonts w:ascii="宋体" w:hAnsi="宋体"/>
                <w:color w:val="auto"/>
                <w:sz w:val="24"/>
              </w:rPr>
            </w:pPr>
          </w:p>
        </w:tc>
      </w:tr>
      <w:tr w14:paraId="3824FD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294" w:type="dxa"/>
            <w:tcBorders>
              <w:top w:val="single" w:color="auto" w:sz="4" w:space="0"/>
              <w:left w:val="single" w:color="auto" w:sz="4" w:space="0"/>
              <w:bottom w:val="single" w:color="auto" w:sz="4" w:space="0"/>
              <w:right w:val="single" w:color="auto" w:sz="4" w:space="0"/>
            </w:tcBorders>
          </w:tcPr>
          <w:p w14:paraId="4FBEB337">
            <w:pPr>
              <w:snapToGrid w:val="0"/>
              <w:spacing w:before="50" w:afterLines="50" w:line="400" w:lineRule="exact"/>
              <w:jc w:val="left"/>
              <w:rPr>
                <w:rFonts w:ascii="宋体" w:hAnsi="宋体"/>
                <w:color w:val="auto"/>
                <w:sz w:val="24"/>
              </w:rPr>
            </w:pPr>
          </w:p>
        </w:tc>
        <w:tc>
          <w:tcPr>
            <w:tcW w:w="1905" w:type="dxa"/>
            <w:tcBorders>
              <w:top w:val="single" w:color="auto" w:sz="4" w:space="0"/>
              <w:left w:val="single" w:color="auto" w:sz="4" w:space="0"/>
              <w:bottom w:val="single" w:color="auto" w:sz="4" w:space="0"/>
              <w:right w:val="single" w:color="auto" w:sz="4" w:space="0"/>
            </w:tcBorders>
          </w:tcPr>
          <w:p w14:paraId="617A0D0B">
            <w:pPr>
              <w:snapToGrid w:val="0"/>
              <w:spacing w:before="50" w:afterLines="50" w:line="400" w:lineRule="exact"/>
              <w:jc w:val="left"/>
              <w:rPr>
                <w:rFonts w:ascii="宋体" w:hAnsi="宋体"/>
                <w:color w:val="auto"/>
                <w:sz w:val="24"/>
              </w:rPr>
            </w:pPr>
          </w:p>
        </w:tc>
        <w:tc>
          <w:tcPr>
            <w:tcW w:w="1905" w:type="dxa"/>
            <w:tcBorders>
              <w:top w:val="single" w:color="auto" w:sz="4" w:space="0"/>
              <w:left w:val="single" w:color="auto" w:sz="4" w:space="0"/>
              <w:bottom w:val="single" w:color="auto" w:sz="4" w:space="0"/>
              <w:right w:val="single" w:color="auto" w:sz="4" w:space="0"/>
            </w:tcBorders>
          </w:tcPr>
          <w:p w14:paraId="44B905E8">
            <w:pPr>
              <w:snapToGrid w:val="0"/>
              <w:spacing w:before="50" w:afterLines="50" w:line="400" w:lineRule="exact"/>
              <w:jc w:val="left"/>
              <w:rPr>
                <w:rFonts w:ascii="宋体" w:hAnsi="宋体"/>
                <w:color w:val="auto"/>
                <w:sz w:val="24"/>
              </w:rPr>
            </w:pPr>
          </w:p>
        </w:tc>
        <w:tc>
          <w:tcPr>
            <w:tcW w:w="3074" w:type="dxa"/>
            <w:tcBorders>
              <w:top w:val="single" w:color="auto" w:sz="4" w:space="0"/>
              <w:left w:val="single" w:color="auto" w:sz="4" w:space="0"/>
              <w:bottom w:val="single" w:color="auto" w:sz="4" w:space="0"/>
              <w:right w:val="single" w:color="auto" w:sz="4" w:space="0"/>
            </w:tcBorders>
          </w:tcPr>
          <w:p w14:paraId="71C1B265">
            <w:pPr>
              <w:snapToGrid w:val="0"/>
              <w:spacing w:before="50" w:afterLines="50" w:line="400" w:lineRule="exact"/>
              <w:jc w:val="left"/>
              <w:rPr>
                <w:rFonts w:ascii="宋体" w:hAnsi="宋体"/>
                <w:color w:val="auto"/>
                <w:sz w:val="24"/>
              </w:rPr>
            </w:pPr>
          </w:p>
        </w:tc>
      </w:tr>
      <w:tr w14:paraId="5D28F7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3" w:hRule="atLeast"/>
        </w:trPr>
        <w:tc>
          <w:tcPr>
            <w:tcW w:w="2294" w:type="dxa"/>
            <w:tcBorders>
              <w:top w:val="single" w:color="auto" w:sz="4" w:space="0"/>
              <w:left w:val="single" w:color="auto" w:sz="4" w:space="0"/>
              <w:bottom w:val="single" w:color="auto" w:sz="4" w:space="0"/>
              <w:right w:val="single" w:color="auto" w:sz="4" w:space="0"/>
            </w:tcBorders>
          </w:tcPr>
          <w:p w14:paraId="5AB0198D">
            <w:pPr>
              <w:snapToGrid w:val="0"/>
              <w:spacing w:before="50" w:afterLines="50" w:line="400" w:lineRule="exact"/>
              <w:jc w:val="left"/>
              <w:rPr>
                <w:rFonts w:ascii="宋体" w:hAnsi="宋体"/>
                <w:color w:val="auto"/>
                <w:sz w:val="24"/>
              </w:rPr>
            </w:pPr>
          </w:p>
        </w:tc>
        <w:tc>
          <w:tcPr>
            <w:tcW w:w="1905" w:type="dxa"/>
            <w:tcBorders>
              <w:top w:val="single" w:color="auto" w:sz="4" w:space="0"/>
              <w:left w:val="single" w:color="auto" w:sz="4" w:space="0"/>
              <w:bottom w:val="single" w:color="auto" w:sz="4" w:space="0"/>
              <w:right w:val="single" w:color="auto" w:sz="4" w:space="0"/>
            </w:tcBorders>
          </w:tcPr>
          <w:p w14:paraId="41894DAD">
            <w:pPr>
              <w:snapToGrid w:val="0"/>
              <w:spacing w:before="50" w:afterLines="50" w:line="400" w:lineRule="exact"/>
              <w:jc w:val="left"/>
              <w:rPr>
                <w:rFonts w:ascii="宋体" w:hAnsi="宋体"/>
                <w:color w:val="auto"/>
                <w:sz w:val="24"/>
              </w:rPr>
            </w:pPr>
          </w:p>
        </w:tc>
        <w:tc>
          <w:tcPr>
            <w:tcW w:w="1905" w:type="dxa"/>
            <w:tcBorders>
              <w:top w:val="single" w:color="auto" w:sz="4" w:space="0"/>
              <w:left w:val="single" w:color="auto" w:sz="4" w:space="0"/>
              <w:bottom w:val="single" w:color="auto" w:sz="4" w:space="0"/>
              <w:right w:val="single" w:color="auto" w:sz="4" w:space="0"/>
            </w:tcBorders>
          </w:tcPr>
          <w:p w14:paraId="2C07BAE3">
            <w:pPr>
              <w:snapToGrid w:val="0"/>
              <w:spacing w:before="50" w:afterLines="50" w:line="400" w:lineRule="exact"/>
              <w:jc w:val="left"/>
              <w:rPr>
                <w:rFonts w:ascii="宋体" w:hAnsi="宋体"/>
                <w:color w:val="auto"/>
                <w:sz w:val="24"/>
              </w:rPr>
            </w:pPr>
          </w:p>
        </w:tc>
        <w:tc>
          <w:tcPr>
            <w:tcW w:w="3074" w:type="dxa"/>
            <w:tcBorders>
              <w:top w:val="single" w:color="auto" w:sz="4" w:space="0"/>
              <w:left w:val="single" w:color="auto" w:sz="4" w:space="0"/>
              <w:bottom w:val="single" w:color="auto" w:sz="4" w:space="0"/>
              <w:right w:val="single" w:color="auto" w:sz="4" w:space="0"/>
            </w:tcBorders>
          </w:tcPr>
          <w:p w14:paraId="09067B30">
            <w:pPr>
              <w:snapToGrid w:val="0"/>
              <w:spacing w:before="50" w:afterLines="50" w:line="400" w:lineRule="exact"/>
              <w:jc w:val="left"/>
              <w:rPr>
                <w:rFonts w:ascii="宋体" w:hAnsi="宋体"/>
                <w:color w:val="auto"/>
                <w:sz w:val="24"/>
              </w:rPr>
            </w:pPr>
          </w:p>
        </w:tc>
      </w:tr>
      <w:tr w14:paraId="16EA99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2294" w:type="dxa"/>
            <w:tcBorders>
              <w:top w:val="single" w:color="auto" w:sz="4" w:space="0"/>
              <w:left w:val="single" w:color="auto" w:sz="4" w:space="0"/>
              <w:bottom w:val="single" w:color="auto" w:sz="4" w:space="0"/>
              <w:right w:val="single" w:color="auto" w:sz="4" w:space="0"/>
            </w:tcBorders>
          </w:tcPr>
          <w:p w14:paraId="091582BD">
            <w:pPr>
              <w:snapToGrid w:val="0"/>
              <w:spacing w:before="50" w:afterLines="50" w:line="400" w:lineRule="exact"/>
              <w:jc w:val="left"/>
              <w:rPr>
                <w:rFonts w:ascii="宋体" w:hAnsi="宋体"/>
                <w:color w:val="auto"/>
                <w:sz w:val="24"/>
              </w:rPr>
            </w:pPr>
          </w:p>
        </w:tc>
        <w:tc>
          <w:tcPr>
            <w:tcW w:w="1905" w:type="dxa"/>
            <w:tcBorders>
              <w:top w:val="single" w:color="auto" w:sz="4" w:space="0"/>
              <w:left w:val="single" w:color="auto" w:sz="4" w:space="0"/>
              <w:bottom w:val="single" w:color="auto" w:sz="4" w:space="0"/>
              <w:right w:val="single" w:color="auto" w:sz="4" w:space="0"/>
            </w:tcBorders>
          </w:tcPr>
          <w:p w14:paraId="0FCF4216">
            <w:pPr>
              <w:snapToGrid w:val="0"/>
              <w:spacing w:before="50" w:afterLines="50" w:line="400" w:lineRule="exact"/>
              <w:jc w:val="left"/>
              <w:rPr>
                <w:rFonts w:ascii="宋体" w:hAnsi="宋体"/>
                <w:color w:val="auto"/>
                <w:sz w:val="24"/>
              </w:rPr>
            </w:pPr>
          </w:p>
        </w:tc>
        <w:tc>
          <w:tcPr>
            <w:tcW w:w="1905" w:type="dxa"/>
            <w:tcBorders>
              <w:top w:val="single" w:color="auto" w:sz="4" w:space="0"/>
              <w:left w:val="single" w:color="auto" w:sz="4" w:space="0"/>
              <w:bottom w:val="single" w:color="auto" w:sz="4" w:space="0"/>
              <w:right w:val="single" w:color="auto" w:sz="4" w:space="0"/>
            </w:tcBorders>
          </w:tcPr>
          <w:p w14:paraId="132F5355">
            <w:pPr>
              <w:snapToGrid w:val="0"/>
              <w:spacing w:before="50" w:afterLines="50" w:line="400" w:lineRule="exact"/>
              <w:jc w:val="left"/>
              <w:rPr>
                <w:rFonts w:ascii="宋体" w:hAnsi="宋体"/>
                <w:color w:val="auto"/>
                <w:sz w:val="24"/>
              </w:rPr>
            </w:pPr>
          </w:p>
        </w:tc>
        <w:tc>
          <w:tcPr>
            <w:tcW w:w="3074" w:type="dxa"/>
            <w:tcBorders>
              <w:top w:val="single" w:color="auto" w:sz="4" w:space="0"/>
              <w:left w:val="single" w:color="auto" w:sz="4" w:space="0"/>
              <w:bottom w:val="single" w:color="auto" w:sz="4" w:space="0"/>
              <w:right w:val="single" w:color="auto" w:sz="4" w:space="0"/>
            </w:tcBorders>
          </w:tcPr>
          <w:p w14:paraId="03BAB97F">
            <w:pPr>
              <w:snapToGrid w:val="0"/>
              <w:spacing w:before="50" w:afterLines="50" w:line="400" w:lineRule="exact"/>
              <w:jc w:val="left"/>
              <w:rPr>
                <w:rFonts w:ascii="宋体" w:hAnsi="宋体"/>
                <w:color w:val="auto"/>
                <w:sz w:val="24"/>
              </w:rPr>
            </w:pPr>
          </w:p>
        </w:tc>
      </w:tr>
    </w:tbl>
    <w:p w14:paraId="14483C40">
      <w:pPr>
        <w:pStyle w:val="9"/>
        <w:snapToGrid w:val="0"/>
        <w:rPr>
          <w:rFonts w:ascii="宋体" w:hAnsi="宋体" w:eastAsia="宋体"/>
          <w:color w:val="auto"/>
          <w:sz w:val="24"/>
          <w:szCs w:val="24"/>
        </w:rPr>
      </w:pPr>
    </w:p>
    <w:p w14:paraId="68BA8CE8">
      <w:pPr>
        <w:snapToGrid w:val="0"/>
        <w:spacing w:before="50" w:after="50" w:line="480" w:lineRule="auto"/>
        <w:ind w:left="-3" w:leftChars="-15" w:right="-817" w:rightChars="-389" w:hanging="28" w:hangingChars="12"/>
        <w:jc w:val="left"/>
        <w:rPr>
          <w:rFonts w:ascii="宋体" w:hAnsi="宋体"/>
          <w:color w:val="auto"/>
          <w:sz w:val="24"/>
        </w:rPr>
      </w:pPr>
      <w:r>
        <w:rPr>
          <w:rFonts w:hint="eastAsia" w:ascii="宋体" w:hAnsi="宋体"/>
          <w:color w:val="auto"/>
          <w:sz w:val="24"/>
        </w:rPr>
        <w:t>注：投标人根据评标标准具体要求附业绩证明材料</w:t>
      </w:r>
    </w:p>
    <w:p w14:paraId="76709148">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法定代表人或者委托代理人（签字/电子签名）：</w:t>
      </w:r>
    </w:p>
    <w:p w14:paraId="73054697">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投标人名称（公章或电子签章）：</w:t>
      </w:r>
    </w:p>
    <w:p w14:paraId="2F568F38">
      <w:pPr>
        <w:snapToGrid w:val="0"/>
        <w:spacing w:before="50" w:after="50" w:line="48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日期：    年   月   日</w:t>
      </w:r>
    </w:p>
    <w:p w14:paraId="223F5554">
      <w:pPr>
        <w:snapToGrid w:val="0"/>
        <w:spacing w:before="50" w:after="50" w:line="480" w:lineRule="auto"/>
        <w:ind w:left="-6" w:leftChars="-15" w:right="-817" w:rightChars="-389" w:hanging="25" w:hangingChars="12"/>
        <w:jc w:val="left"/>
        <w:rPr>
          <w:rFonts w:ascii="宋体" w:hAnsi="宋体"/>
          <w:b/>
          <w:bCs/>
          <w:color w:val="auto"/>
          <w:szCs w:val="21"/>
        </w:rPr>
      </w:pPr>
    </w:p>
    <w:p w14:paraId="4B6432A3">
      <w:pPr>
        <w:snapToGrid w:val="0"/>
        <w:spacing w:before="50" w:after="50" w:line="48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br w:type="page"/>
      </w:r>
      <w:r>
        <w:rPr>
          <w:rFonts w:hint="eastAsia" w:ascii="宋体" w:hAnsi="宋体"/>
          <w:b/>
          <w:color w:val="auto"/>
          <w:sz w:val="24"/>
          <w:lang w:val="en-US" w:eastAsia="zh-CN"/>
        </w:rPr>
        <w:t>9</w:t>
      </w:r>
      <w:r>
        <w:rPr>
          <w:rFonts w:hint="eastAsia" w:ascii="宋体" w:hAnsi="宋体"/>
          <w:b/>
          <w:color w:val="auto"/>
          <w:sz w:val="24"/>
        </w:rPr>
        <w:t>.项目实施人员一览表</w:t>
      </w:r>
    </w:p>
    <w:p w14:paraId="7540111D">
      <w:pPr>
        <w:pStyle w:val="19"/>
        <w:snapToGrid w:val="0"/>
        <w:ind w:left="0" w:firstLine="0" w:firstLineChars="0"/>
        <w:jc w:val="center"/>
        <w:rPr>
          <w:rFonts w:ascii="仿宋" w:hAnsi="仿宋" w:eastAsia="仿宋" w:cs="仿宋"/>
          <w:bCs/>
          <w:color w:val="auto"/>
          <w:sz w:val="44"/>
          <w:szCs w:val="44"/>
        </w:rPr>
      </w:pPr>
      <w:r>
        <w:rPr>
          <w:rFonts w:hint="eastAsia" w:ascii="宋体" w:hAnsi="宋体"/>
          <w:b/>
          <w:color w:val="auto"/>
          <w:sz w:val="24"/>
        </w:rPr>
        <w:t>项目实施人员一览表</w:t>
      </w:r>
    </w:p>
    <w:p w14:paraId="68947B74">
      <w:pPr>
        <w:pStyle w:val="14"/>
        <w:rPr>
          <w:color w:val="auto"/>
          <w:sz w:val="24"/>
          <w:szCs w:val="24"/>
        </w:rPr>
      </w:pPr>
    </w:p>
    <w:p w14:paraId="4CC46EF7">
      <w:pPr>
        <w:pStyle w:val="14"/>
        <w:rPr>
          <w:rFonts w:hint="default" w:eastAsia="宋体"/>
          <w:color w:val="auto"/>
          <w:sz w:val="24"/>
          <w:szCs w:val="24"/>
          <w:lang w:val="en-US" w:eastAsia="zh-CN"/>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784"/>
        <w:gridCol w:w="1882"/>
        <w:gridCol w:w="1571"/>
        <w:gridCol w:w="1878"/>
        <w:gridCol w:w="2039"/>
      </w:tblGrid>
      <w:tr w14:paraId="61796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4" w:hRule="atLeast"/>
          <w:jc w:val="center"/>
        </w:trPr>
        <w:tc>
          <w:tcPr>
            <w:tcW w:w="904" w:type="dxa"/>
            <w:vAlign w:val="center"/>
          </w:tcPr>
          <w:p w14:paraId="41607182">
            <w:pPr>
              <w:snapToGrid w:val="0"/>
              <w:spacing w:before="50" w:afterLines="50"/>
              <w:jc w:val="center"/>
              <w:rPr>
                <w:rFonts w:ascii="宋体" w:hAnsi="宋体"/>
                <w:color w:val="auto"/>
                <w:sz w:val="24"/>
                <w:szCs w:val="20"/>
              </w:rPr>
            </w:pPr>
            <w:r>
              <w:rPr>
                <w:rFonts w:hint="eastAsia" w:ascii="宋体" w:hAnsi="宋体"/>
                <w:color w:val="auto"/>
                <w:sz w:val="24"/>
                <w:szCs w:val="20"/>
              </w:rPr>
              <w:t>姓名</w:t>
            </w:r>
          </w:p>
        </w:tc>
        <w:tc>
          <w:tcPr>
            <w:tcW w:w="784" w:type="dxa"/>
            <w:vAlign w:val="center"/>
          </w:tcPr>
          <w:p w14:paraId="039B23C6">
            <w:pPr>
              <w:snapToGrid w:val="0"/>
              <w:spacing w:before="50" w:afterLines="50"/>
              <w:jc w:val="center"/>
              <w:rPr>
                <w:rFonts w:ascii="宋体" w:hAnsi="宋体"/>
                <w:color w:val="auto"/>
                <w:sz w:val="24"/>
                <w:szCs w:val="20"/>
              </w:rPr>
            </w:pPr>
            <w:r>
              <w:rPr>
                <w:rFonts w:hint="eastAsia" w:ascii="宋体" w:hAnsi="宋体"/>
                <w:color w:val="auto"/>
                <w:sz w:val="24"/>
                <w:szCs w:val="20"/>
              </w:rPr>
              <w:t>职务</w:t>
            </w:r>
          </w:p>
        </w:tc>
        <w:tc>
          <w:tcPr>
            <w:tcW w:w="1882" w:type="dxa"/>
            <w:vAlign w:val="center"/>
          </w:tcPr>
          <w:p w14:paraId="1500D85C">
            <w:pPr>
              <w:snapToGrid w:val="0"/>
              <w:spacing w:before="50" w:afterLines="50"/>
              <w:jc w:val="center"/>
              <w:rPr>
                <w:rFonts w:ascii="宋体" w:hAnsi="宋体"/>
                <w:color w:val="auto"/>
                <w:sz w:val="24"/>
                <w:szCs w:val="20"/>
              </w:rPr>
            </w:pPr>
            <w:r>
              <w:rPr>
                <w:rFonts w:hint="eastAsia" w:ascii="宋体" w:hAnsi="宋体"/>
                <w:color w:val="auto"/>
                <w:sz w:val="24"/>
                <w:szCs w:val="20"/>
              </w:rPr>
              <w:t>专业技术资格（职称）或者职业资格或者执业资格证或者其他证书</w:t>
            </w:r>
          </w:p>
        </w:tc>
        <w:tc>
          <w:tcPr>
            <w:tcW w:w="1571" w:type="dxa"/>
            <w:vAlign w:val="center"/>
          </w:tcPr>
          <w:p w14:paraId="5711A523">
            <w:pPr>
              <w:snapToGrid w:val="0"/>
              <w:spacing w:before="50" w:afterLines="50"/>
              <w:jc w:val="center"/>
              <w:rPr>
                <w:rFonts w:ascii="宋体" w:hAnsi="宋体"/>
                <w:color w:val="auto"/>
                <w:sz w:val="24"/>
                <w:szCs w:val="20"/>
              </w:rPr>
            </w:pPr>
            <w:r>
              <w:rPr>
                <w:rFonts w:hint="eastAsia" w:ascii="宋体" w:hAnsi="宋体"/>
                <w:color w:val="auto"/>
                <w:sz w:val="24"/>
                <w:szCs w:val="20"/>
              </w:rPr>
              <w:t>证书编号</w:t>
            </w:r>
          </w:p>
        </w:tc>
        <w:tc>
          <w:tcPr>
            <w:tcW w:w="1878" w:type="dxa"/>
            <w:vAlign w:val="center"/>
          </w:tcPr>
          <w:p w14:paraId="0DFE3459">
            <w:pPr>
              <w:snapToGrid w:val="0"/>
              <w:spacing w:before="50" w:afterLines="50"/>
              <w:jc w:val="center"/>
              <w:rPr>
                <w:rFonts w:ascii="宋体" w:hAnsi="宋体"/>
                <w:color w:val="auto"/>
                <w:sz w:val="24"/>
                <w:szCs w:val="20"/>
              </w:rPr>
            </w:pPr>
            <w:r>
              <w:rPr>
                <w:rFonts w:hint="eastAsia" w:ascii="宋体" w:hAnsi="宋体"/>
                <w:color w:val="auto"/>
                <w:sz w:val="24"/>
                <w:szCs w:val="20"/>
              </w:rPr>
              <w:t>参加本单位</w:t>
            </w:r>
          </w:p>
          <w:p w14:paraId="2ADC71EF">
            <w:pPr>
              <w:snapToGrid w:val="0"/>
              <w:spacing w:before="50" w:afterLines="50"/>
              <w:jc w:val="center"/>
              <w:rPr>
                <w:rFonts w:ascii="宋体" w:hAnsi="宋体"/>
                <w:color w:val="auto"/>
                <w:sz w:val="24"/>
                <w:szCs w:val="20"/>
              </w:rPr>
            </w:pPr>
            <w:r>
              <w:rPr>
                <w:rFonts w:hint="eastAsia" w:ascii="宋体" w:hAnsi="宋体"/>
                <w:color w:val="auto"/>
                <w:sz w:val="24"/>
                <w:szCs w:val="20"/>
              </w:rPr>
              <w:t>工作时间</w:t>
            </w:r>
          </w:p>
        </w:tc>
        <w:tc>
          <w:tcPr>
            <w:tcW w:w="2039" w:type="dxa"/>
            <w:vAlign w:val="center"/>
          </w:tcPr>
          <w:p w14:paraId="5281CC22">
            <w:pPr>
              <w:snapToGrid w:val="0"/>
              <w:spacing w:before="50" w:afterLines="50"/>
              <w:jc w:val="center"/>
              <w:rPr>
                <w:rFonts w:ascii="宋体" w:hAnsi="宋体"/>
                <w:color w:val="auto"/>
                <w:sz w:val="24"/>
                <w:szCs w:val="20"/>
              </w:rPr>
            </w:pPr>
            <w:r>
              <w:rPr>
                <w:rFonts w:hint="eastAsia" w:ascii="宋体" w:hAnsi="宋体"/>
                <w:color w:val="auto"/>
                <w:sz w:val="24"/>
                <w:szCs w:val="20"/>
              </w:rPr>
              <w:t>劳动合同编号</w:t>
            </w:r>
          </w:p>
        </w:tc>
      </w:tr>
      <w:tr w14:paraId="6744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904" w:type="dxa"/>
            <w:vAlign w:val="center"/>
          </w:tcPr>
          <w:p w14:paraId="6E07FCF1">
            <w:pPr>
              <w:snapToGrid w:val="0"/>
              <w:spacing w:before="50" w:afterLines="50"/>
              <w:jc w:val="center"/>
              <w:rPr>
                <w:rFonts w:ascii="宋体" w:hAnsi="宋体"/>
                <w:color w:val="auto"/>
                <w:sz w:val="24"/>
                <w:szCs w:val="20"/>
              </w:rPr>
            </w:pPr>
          </w:p>
        </w:tc>
        <w:tc>
          <w:tcPr>
            <w:tcW w:w="784" w:type="dxa"/>
            <w:vAlign w:val="center"/>
          </w:tcPr>
          <w:p w14:paraId="0013D221">
            <w:pPr>
              <w:snapToGrid w:val="0"/>
              <w:spacing w:before="50" w:afterLines="50"/>
              <w:jc w:val="center"/>
              <w:rPr>
                <w:rFonts w:ascii="宋体" w:hAnsi="宋体"/>
                <w:color w:val="auto"/>
                <w:sz w:val="24"/>
                <w:szCs w:val="20"/>
              </w:rPr>
            </w:pPr>
          </w:p>
        </w:tc>
        <w:tc>
          <w:tcPr>
            <w:tcW w:w="1882" w:type="dxa"/>
            <w:vAlign w:val="center"/>
          </w:tcPr>
          <w:p w14:paraId="3B039CE3">
            <w:pPr>
              <w:snapToGrid w:val="0"/>
              <w:spacing w:before="50" w:afterLines="50"/>
              <w:jc w:val="center"/>
              <w:rPr>
                <w:rFonts w:ascii="宋体" w:hAnsi="宋体"/>
                <w:color w:val="auto"/>
                <w:sz w:val="24"/>
                <w:szCs w:val="20"/>
              </w:rPr>
            </w:pPr>
          </w:p>
        </w:tc>
        <w:tc>
          <w:tcPr>
            <w:tcW w:w="1571" w:type="dxa"/>
            <w:vAlign w:val="center"/>
          </w:tcPr>
          <w:p w14:paraId="48A4975E">
            <w:pPr>
              <w:snapToGrid w:val="0"/>
              <w:spacing w:before="50" w:afterLines="50"/>
              <w:jc w:val="center"/>
              <w:rPr>
                <w:rFonts w:ascii="宋体" w:hAnsi="宋体"/>
                <w:color w:val="auto"/>
                <w:sz w:val="24"/>
                <w:szCs w:val="20"/>
              </w:rPr>
            </w:pPr>
          </w:p>
        </w:tc>
        <w:tc>
          <w:tcPr>
            <w:tcW w:w="1878" w:type="dxa"/>
            <w:vAlign w:val="center"/>
          </w:tcPr>
          <w:p w14:paraId="73234746">
            <w:pPr>
              <w:snapToGrid w:val="0"/>
              <w:spacing w:before="50" w:afterLines="50"/>
              <w:jc w:val="center"/>
              <w:rPr>
                <w:rFonts w:ascii="宋体" w:hAnsi="宋体"/>
                <w:color w:val="auto"/>
                <w:sz w:val="24"/>
                <w:szCs w:val="20"/>
              </w:rPr>
            </w:pPr>
          </w:p>
        </w:tc>
        <w:tc>
          <w:tcPr>
            <w:tcW w:w="2039" w:type="dxa"/>
            <w:vAlign w:val="center"/>
          </w:tcPr>
          <w:p w14:paraId="69C901D1">
            <w:pPr>
              <w:snapToGrid w:val="0"/>
              <w:spacing w:before="50" w:afterLines="50"/>
              <w:jc w:val="center"/>
              <w:rPr>
                <w:rFonts w:ascii="宋体" w:hAnsi="宋体"/>
                <w:color w:val="auto"/>
                <w:sz w:val="24"/>
                <w:szCs w:val="20"/>
              </w:rPr>
            </w:pPr>
          </w:p>
        </w:tc>
      </w:tr>
      <w:tr w14:paraId="09931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904" w:type="dxa"/>
            <w:vAlign w:val="center"/>
          </w:tcPr>
          <w:p w14:paraId="77DE5C69">
            <w:pPr>
              <w:snapToGrid w:val="0"/>
              <w:spacing w:before="50" w:afterLines="50"/>
              <w:jc w:val="center"/>
              <w:rPr>
                <w:rFonts w:ascii="宋体" w:hAnsi="宋体"/>
                <w:color w:val="auto"/>
                <w:sz w:val="24"/>
                <w:szCs w:val="20"/>
              </w:rPr>
            </w:pPr>
          </w:p>
        </w:tc>
        <w:tc>
          <w:tcPr>
            <w:tcW w:w="784" w:type="dxa"/>
            <w:vAlign w:val="center"/>
          </w:tcPr>
          <w:p w14:paraId="71A02C3E">
            <w:pPr>
              <w:snapToGrid w:val="0"/>
              <w:spacing w:before="50" w:afterLines="50"/>
              <w:jc w:val="center"/>
              <w:rPr>
                <w:rFonts w:ascii="宋体" w:hAnsi="宋体"/>
                <w:color w:val="auto"/>
                <w:sz w:val="24"/>
                <w:szCs w:val="20"/>
              </w:rPr>
            </w:pPr>
          </w:p>
        </w:tc>
        <w:tc>
          <w:tcPr>
            <w:tcW w:w="1882" w:type="dxa"/>
            <w:vAlign w:val="center"/>
          </w:tcPr>
          <w:p w14:paraId="5A22A8D2">
            <w:pPr>
              <w:snapToGrid w:val="0"/>
              <w:spacing w:before="50" w:afterLines="50"/>
              <w:jc w:val="center"/>
              <w:rPr>
                <w:rFonts w:ascii="宋体" w:hAnsi="宋体"/>
                <w:color w:val="auto"/>
                <w:sz w:val="24"/>
                <w:szCs w:val="20"/>
              </w:rPr>
            </w:pPr>
          </w:p>
        </w:tc>
        <w:tc>
          <w:tcPr>
            <w:tcW w:w="1571" w:type="dxa"/>
            <w:vAlign w:val="center"/>
          </w:tcPr>
          <w:p w14:paraId="356CA7D0">
            <w:pPr>
              <w:snapToGrid w:val="0"/>
              <w:spacing w:before="50" w:afterLines="50"/>
              <w:jc w:val="center"/>
              <w:rPr>
                <w:rFonts w:ascii="宋体" w:hAnsi="宋体"/>
                <w:color w:val="auto"/>
                <w:sz w:val="24"/>
                <w:szCs w:val="20"/>
              </w:rPr>
            </w:pPr>
          </w:p>
        </w:tc>
        <w:tc>
          <w:tcPr>
            <w:tcW w:w="1878" w:type="dxa"/>
            <w:vAlign w:val="center"/>
          </w:tcPr>
          <w:p w14:paraId="460C23B0">
            <w:pPr>
              <w:snapToGrid w:val="0"/>
              <w:spacing w:before="50" w:afterLines="50"/>
              <w:jc w:val="center"/>
              <w:rPr>
                <w:rFonts w:ascii="宋体" w:hAnsi="宋体"/>
                <w:color w:val="auto"/>
                <w:sz w:val="24"/>
                <w:szCs w:val="20"/>
              </w:rPr>
            </w:pPr>
          </w:p>
        </w:tc>
        <w:tc>
          <w:tcPr>
            <w:tcW w:w="2039" w:type="dxa"/>
            <w:vAlign w:val="center"/>
          </w:tcPr>
          <w:p w14:paraId="6D9935FB">
            <w:pPr>
              <w:snapToGrid w:val="0"/>
              <w:spacing w:before="50" w:afterLines="50"/>
              <w:jc w:val="center"/>
              <w:rPr>
                <w:rFonts w:ascii="宋体" w:hAnsi="宋体"/>
                <w:color w:val="auto"/>
                <w:sz w:val="24"/>
                <w:szCs w:val="20"/>
              </w:rPr>
            </w:pPr>
          </w:p>
        </w:tc>
      </w:tr>
      <w:tr w14:paraId="5B8BC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904" w:type="dxa"/>
            <w:vAlign w:val="center"/>
          </w:tcPr>
          <w:p w14:paraId="145E7225">
            <w:pPr>
              <w:snapToGrid w:val="0"/>
              <w:spacing w:before="50" w:afterLines="50"/>
              <w:jc w:val="center"/>
              <w:rPr>
                <w:rFonts w:ascii="宋体" w:hAnsi="宋体"/>
                <w:color w:val="auto"/>
                <w:sz w:val="24"/>
                <w:szCs w:val="20"/>
              </w:rPr>
            </w:pPr>
          </w:p>
        </w:tc>
        <w:tc>
          <w:tcPr>
            <w:tcW w:w="784" w:type="dxa"/>
            <w:vAlign w:val="center"/>
          </w:tcPr>
          <w:p w14:paraId="48CFDF73">
            <w:pPr>
              <w:snapToGrid w:val="0"/>
              <w:spacing w:before="50" w:afterLines="50"/>
              <w:jc w:val="center"/>
              <w:rPr>
                <w:rFonts w:ascii="宋体" w:hAnsi="宋体"/>
                <w:color w:val="auto"/>
                <w:sz w:val="24"/>
                <w:szCs w:val="20"/>
              </w:rPr>
            </w:pPr>
          </w:p>
        </w:tc>
        <w:tc>
          <w:tcPr>
            <w:tcW w:w="1882" w:type="dxa"/>
            <w:vAlign w:val="center"/>
          </w:tcPr>
          <w:p w14:paraId="06DC3F62">
            <w:pPr>
              <w:snapToGrid w:val="0"/>
              <w:spacing w:before="50" w:afterLines="50"/>
              <w:jc w:val="center"/>
              <w:rPr>
                <w:rFonts w:ascii="宋体" w:hAnsi="宋体"/>
                <w:color w:val="auto"/>
                <w:sz w:val="24"/>
                <w:szCs w:val="20"/>
              </w:rPr>
            </w:pPr>
          </w:p>
        </w:tc>
        <w:tc>
          <w:tcPr>
            <w:tcW w:w="1571" w:type="dxa"/>
            <w:vAlign w:val="center"/>
          </w:tcPr>
          <w:p w14:paraId="220C938C">
            <w:pPr>
              <w:snapToGrid w:val="0"/>
              <w:spacing w:before="50" w:afterLines="50"/>
              <w:jc w:val="center"/>
              <w:rPr>
                <w:rFonts w:ascii="宋体" w:hAnsi="宋体"/>
                <w:color w:val="auto"/>
                <w:sz w:val="24"/>
                <w:szCs w:val="20"/>
              </w:rPr>
            </w:pPr>
          </w:p>
        </w:tc>
        <w:tc>
          <w:tcPr>
            <w:tcW w:w="1878" w:type="dxa"/>
            <w:vAlign w:val="center"/>
          </w:tcPr>
          <w:p w14:paraId="2211D05B">
            <w:pPr>
              <w:snapToGrid w:val="0"/>
              <w:spacing w:before="50" w:afterLines="50"/>
              <w:jc w:val="center"/>
              <w:rPr>
                <w:rFonts w:ascii="宋体" w:hAnsi="宋体"/>
                <w:color w:val="auto"/>
                <w:sz w:val="24"/>
                <w:szCs w:val="20"/>
              </w:rPr>
            </w:pPr>
          </w:p>
        </w:tc>
        <w:tc>
          <w:tcPr>
            <w:tcW w:w="2039" w:type="dxa"/>
            <w:vAlign w:val="center"/>
          </w:tcPr>
          <w:p w14:paraId="4FFEA204">
            <w:pPr>
              <w:snapToGrid w:val="0"/>
              <w:spacing w:before="50" w:afterLines="50"/>
              <w:jc w:val="center"/>
              <w:rPr>
                <w:rFonts w:ascii="宋体" w:hAnsi="宋体"/>
                <w:color w:val="auto"/>
                <w:sz w:val="24"/>
                <w:szCs w:val="20"/>
              </w:rPr>
            </w:pPr>
          </w:p>
        </w:tc>
      </w:tr>
    </w:tbl>
    <w:p w14:paraId="1FE04309">
      <w:pPr>
        <w:snapToGrid w:val="0"/>
        <w:spacing w:before="50" w:afterLines="50"/>
        <w:jc w:val="left"/>
        <w:rPr>
          <w:rFonts w:ascii="宋体" w:hAnsi="宋体"/>
          <w:color w:val="auto"/>
          <w:sz w:val="24"/>
          <w:szCs w:val="20"/>
        </w:rPr>
      </w:pPr>
    </w:p>
    <w:p w14:paraId="7DF8986A">
      <w:pPr>
        <w:spacing w:line="360" w:lineRule="auto"/>
        <w:contextualSpacing/>
        <w:jc w:val="left"/>
        <w:rPr>
          <w:rFonts w:ascii="宋体" w:hAnsi="宋体"/>
          <w:color w:val="auto"/>
          <w:sz w:val="24"/>
          <w:szCs w:val="20"/>
        </w:rPr>
      </w:pPr>
      <w:r>
        <w:rPr>
          <w:rFonts w:hint="eastAsia" w:ascii="宋体" w:hAnsi="宋体"/>
          <w:color w:val="auto"/>
          <w:sz w:val="24"/>
          <w:szCs w:val="20"/>
        </w:rPr>
        <w:t>注：</w:t>
      </w:r>
    </w:p>
    <w:p w14:paraId="0CC45955">
      <w:pPr>
        <w:spacing w:line="360" w:lineRule="auto"/>
        <w:contextualSpacing/>
        <w:jc w:val="left"/>
        <w:rPr>
          <w:rFonts w:ascii="宋体" w:hAnsi="宋体"/>
          <w:color w:val="auto"/>
          <w:sz w:val="24"/>
          <w:szCs w:val="20"/>
        </w:rPr>
      </w:pPr>
      <w:r>
        <w:rPr>
          <w:rFonts w:hint="eastAsia" w:ascii="宋体" w:hAnsi="宋体"/>
          <w:color w:val="auto"/>
          <w:sz w:val="24"/>
          <w:szCs w:val="20"/>
        </w:rPr>
        <w:t>1</w:t>
      </w:r>
      <w:r>
        <w:rPr>
          <w:rFonts w:ascii="宋体" w:hAnsi="宋体"/>
          <w:color w:val="auto"/>
          <w:sz w:val="24"/>
          <w:szCs w:val="20"/>
        </w:rPr>
        <w:t>.</w:t>
      </w:r>
      <w:r>
        <w:rPr>
          <w:rFonts w:hint="eastAsia" w:ascii="宋体" w:hAnsi="宋体"/>
          <w:color w:val="auto"/>
          <w:sz w:val="24"/>
          <w:szCs w:val="20"/>
        </w:rPr>
        <w:t>在填写时，如本表格不适合投标单位的实际情况，可根据本表格式自行制表填写。</w:t>
      </w:r>
    </w:p>
    <w:p w14:paraId="7C1C931C">
      <w:pPr>
        <w:snapToGrid w:val="0"/>
        <w:spacing w:before="50" w:after="50" w:line="480" w:lineRule="auto"/>
        <w:ind w:left="-3" w:leftChars="-15" w:right="-817" w:rightChars="-389" w:hanging="28" w:hangingChars="12"/>
        <w:jc w:val="left"/>
        <w:rPr>
          <w:rFonts w:ascii="宋体" w:hAnsi="宋体"/>
          <w:color w:val="auto"/>
          <w:sz w:val="24"/>
        </w:rPr>
      </w:pPr>
      <w:r>
        <w:rPr>
          <w:rFonts w:ascii="宋体" w:hAnsi="宋体"/>
          <w:color w:val="auto"/>
          <w:sz w:val="24"/>
          <w:szCs w:val="20"/>
        </w:rPr>
        <w:t>2.</w:t>
      </w:r>
      <w:r>
        <w:rPr>
          <w:rFonts w:hint="eastAsia" w:ascii="宋体" w:hAnsi="宋体"/>
          <w:color w:val="auto"/>
          <w:sz w:val="24"/>
          <w:szCs w:val="20"/>
        </w:rPr>
        <w:t>投标人应当附本表所列证书的复印件并加盖投标人电子公章。</w:t>
      </w:r>
    </w:p>
    <w:p w14:paraId="4377FF9E">
      <w:pPr>
        <w:jc w:val="left"/>
        <w:rPr>
          <w:rFonts w:ascii="宋体" w:hAnsi="宋体"/>
          <w:b/>
          <w:color w:val="auto"/>
          <w:sz w:val="24"/>
        </w:rPr>
      </w:pPr>
      <w:r>
        <w:rPr>
          <w:rFonts w:hint="eastAsia" w:ascii="宋体" w:hAnsi="宋体"/>
          <w:color w:val="auto"/>
          <w:sz w:val="24"/>
        </w:rPr>
        <w:br w:type="page"/>
      </w:r>
      <w:r>
        <w:rPr>
          <w:rFonts w:hint="eastAsia" w:ascii="宋体" w:hAnsi="宋体"/>
          <w:b/>
          <w:color w:val="auto"/>
          <w:sz w:val="24"/>
          <w:lang w:val="en-US" w:eastAsia="zh-CN"/>
        </w:rPr>
        <w:t>10</w:t>
      </w:r>
      <w:r>
        <w:rPr>
          <w:rFonts w:hint="eastAsia" w:ascii="宋体" w:hAnsi="宋体"/>
          <w:b/>
          <w:color w:val="auto"/>
          <w:sz w:val="24"/>
        </w:rPr>
        <w:t>.选配件、专用耗材、售后服务优惠表格式(注：按项目需求表具体项目修改)</w:t>
      </w:r>
    </w:p>
    <w:p w14:paraId="0A303C87">
      <w:pPr>
        <w:snapToGrid w:val="0"/>
        <w:spacing w:beforeLines="50" w:after="50"/>
        <w:ind w:left="142"/>
        <w:jc w:val="left"/>
        <w:rPr>
          <w:rFonts w:ascii="宋体" w:hAnsi="宋体"/>
          <w:b/>
          <w:color w:val="auto"/>
          <w:sz w:val="24"/>
        </w:rPr>
      </w:pPr>
    </w:p>
    <w:p w14:paraId="1D520DCC">
      <w:pPr>
        <w:snapToGrid w:val="0"/>
        <w:spacing w:beforeLines="50" w:after="50"/>
        <w:ind w:left="142"/>
        <w:jc w:val="center"/>
        <w:rPr>
          <w:rFonts w:ascii="宋体" w:hAnsi="宋体"/>
          <w:b/>
          <w:color w:val="auto"/>
          <w:sz w:val="24"/>
        </w:rPr>
      </w:pPr>
      <w:r>
        <w:rPr>
          <w:rFonts w:hint="eastAsia" w:ascii="宋体" w:hAnsi="宋体"/>
          <w:b/>
          <w:color w:val="auto"/>
          <w:sz w:val="24"/>
        </w:rPr>
        <w:t>选配件、专用耗材、售后服务优惠表</w:t>
      </w:r>
    </w:p>
    <w:p w14:paraId="207C2867">
      <w:pPr>
        <w:pStyle w:val="14"/>
        <w:rPr>
          <w:rFonts w:hint="default" w:eastAsia="宋体"/>
          <w:color w:val="auto"/>
          <w:sz w:val="21"/>
          <w:lang w:val="en-US" w:eastAsia="zh-CN"/>
        </w:rPr>
      </w:pPr>
    </w:p>
    <w:tbl>
      <w:tblPr>
        <w:tblStyle w:val="2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35"/>
        <w:gridCol w:w="2700"/>
        <w:gridCol w:w="1440"/>
        <w:gridCol w:w="1440"/>
        <w:gridCol w:w="2340"/>
      </w:tblGrid>
      <w:tr w14:paraId="641708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1"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62843D5F">
            <w:pPr>
              <w:pStyle w:val="14"/>
              <w:snapToGrid w:val="0"/>
              <w:spacing w:before="295" w:after="295"/>
              <w:jc w:val="center"/>
              <w:rPr>
                <w:rFonts w:hAnsi="宋体" w:cs="Courier New"/>
                <w:color w:val="auto"/>
                <w:kern w:val="2"/>
                <w:sz w:val="21"/>
              </w:rPr>
            </w:pPr>
            <w:r>
              <w:rPr>
                <w:rFonts w:hint="eastAsia" w:hAnsi="宋体" w:cs="Courier New"/>
                <w:color w:val="auto"/>
                <w:kern w:val="2"/>
                <w:sz w:val="21"/>
              </w:rPr>
              <w:t>序号</w:t>
            </w:r>
          </w:p>
        </w:tc>
        <w:tc>
          <w:tcPr>
            <w:tcW w:w="2700" w:type="dxa"/>
            <w:tcBorders>
              <w:top w:val="single" w:color="auto" w:sz="4" w:space="0"/>
              <w:left w:val="single" w:color="auto" w:sz="4" w:space="0"/>
              <w:bottom w:val="single" w:color="auto" w:sz="2" w:space="0"/>
              <w:right w:val="single" w:color="auto" w:sz="4" w:space="0"/>
            </w:tcBorders>
            <w:vAlign w:val="center"/>
          </w:tcPr>
          <w:p w14:paraId="545F08B0">
            <w:pPr>
              <w:pStyle w:val="14"/>
              <w:snapToGrid w:val="0"/>
              <w:spacing w:before="295" w:after="295"/>
              <w:jc w:val="center"/>
              <w:rPr>
                <w:rFonts w:hAnsi="宋体" w:cs="Courier New"/>
                <w:color w:val="auto"/>
                <w:kern w:val="2"/>
                <w:sz w:val="21"/>
              </w:rPr>
            </w:pPr>
            <w:r>
              <w:rPr>
                <w:rFonts w:hint="eastAsia" w:hAnsi="宋体" w:cs="Courier New"/>
                <w:color w:val="auto"/>
                <w:kern w:val="2"/>
                <w:sz w:val="21"/>
              </w:rPr>
              <w:t>优惠内容</w:t>
            </w:r>
          </w:p>
        </w:tc>
        <w:tc>
          <w:tcPr>
            <w:tcW w:w="1440" w:type="dxa"/>
            <w:tcBorders>
              <w:top w:val="single" w:color="auto" w:sz="4" w:space="0"/>
              <w:left w:val="single" w:color="auto" w:sz="4" w:space="0"/>
              <w:bottom w:val="single" w:color="auto" w:sz="2" w:space="0"/>
              <w:right w:val="single" w:color="auto" w:sz="4" w:space="0"/>
            </w:tcBorders>
            <w:vAlign w:val="center"/>
          </w:tcPr>
          <w:p w14:paraId="29BF3D7C">
            <w:pPr>
              <w:pStyle w:val="14"/>
              <w:snapToGrid w:val="0"/>
              <w:spacing w:before="295" w:after="295"/>
              <w:jc w:val="center"/>
              <w:rPr>
                <w:rFonts w:hAnsi="宋体" w:cs="Courier New"/>
                <w:color w:val="auto"/>
                <w:kern w:val="2"/>
                <w:sz w:val="21"/>
              </w:rPr>
            </w:pPr>
            <w:r>
              <w:rPr>
                <w:rFonts w:hint="eastAsia" w:hAnsi="宋体" w:cs="Courier New"/>
                <w:color w:val="auto"/>
                <w:kern w:val="2"/>
                <w:sz w:val="21"/>
              </w:rPr>
              <w:t>适用机型</w:t>
            </w:r>
          </w:p>
        </w:tc>
        <w:tc>
          <w:tcPr>
            <w:tcW w:w="1440"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vAlign w:val="center"/>
          </w:tcPr>
          <w:p w14:paraId="106A994A">
            <w:pPr>
              <w:pStyle w:val="14"/>
              <w:snapToGrid w:val="0"/>
              <w:spacing w:before="295" w:after="295"/>
              <w:jc w:val="center"/>
              <w:rPr>
                <w:rFonts w:hAnsi="宋体" w:cs="Courier New"/>
                <w:color w:val="auto"/>
                <w:kern w:val="2"/>
                <w:sz w:val="21"/>
              </w:rPr>
            </w:pPr>
            <w:r>
              <w:rPr>
                <w:rFonts w:hint="eastAsia" w:hAnsi="宋体" w:cs="Courier New"/>
                <w:color w:val="auto"/>
                <w:kern w:val="2"/>
                <w:sz w:val="21"/>
              </w:rPr>
              <w:t>单价</w:t>
            </w:r>
          </w:p>
        </w:tc>
        <w:tc>
          <w:tcPr>
            <w:tcW w:w="2340" w:type="dxa"/>
            <w:tcBorders>
              <w:top w:val="single" w:color="auto" w:sz="4" w:space="0"/>
              <w:left w:val="single" w:color="auto" w:sz="4" w:space="0"/>
              <w:bottom w:val="single" w:color="auto" w:sz="2" w:space="0"/>
              <w:right w:val="single" w:color="auto" w:sz="4" w:space="0"/>
            </w:tcBorders>
            <w:vAlign w:val="center"/>
          </w:tcPr>
          <w:p w14:paraId="1ACC3F52">
            <w:pPr>
              <w:pStyle w:val="14"/>
              <w:snapToGrid w:val="0"/>
              <w:spacing w:before="295" w:after="295"/>
              <w:jc w:val="center"/>
              <w:rPr>
                <w:rFonts w:hAnsi="宋体" w:cs="Courier New"/>
                <w:color w:val="auto"/>
                <w:kern w:val="2"/>
                <w:sz w:val="21"/>
              </w:rPr>
            </w:pPr>
            <w:r>
              <w:rPr>
                <w:rFonts w:hint="eastAsia" w:hAnsi="宋体" w:cs="Courier New"/>
                <w:color w:val="auto"/>
                <w:kern w:val="2"/>
                <w:sz w:val="21"/>
              </w:rPr>
              <w:t>比市场价优惠率</w:t>
            </w:r>
          </w:p>
        </w:tc>
      </w:tr>
      <w:tr w14:paraId="1CB242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4"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282A3282">
            <w:pPr>
              <w:pStyle w:val="14"/>
              <w:snapToGrid w:val="0"/>
              <w:spacing w:before="295" w:after="295"/>
              <w:jc w:val="center"/>
              <w:rPr>
                <w:rFonts w:hAnsi="宋体"/>
                <w:color w:val="auto"/>
                <w:kern w:val="2"/>
                <w:sz w:val="21"/>
              </w:rPr>
            </w:pPr>
            <w:r>
              <w:rPr>
                <w:rFonts w:hint="eastAsia" w:hAnsi="宋体"/>
                <w:color w:val="auto"/>
                <w:kern w:val="2"/>
                <w:sz w:val="21"/>
              </w:rPr>
              <w:t>1</w:t>
            </w:r>
          </w:p>
        </w:tc>
        <w:tc>
          <w:tcPr>
            <w:tcW w:w="2700" w:type="dxa"/>
            <w:tcBorders>
              <w:top w:val="single" w:color="auto" w:sz="2" w:space="0"/>
              <w:left w:val="single" w:color="auto" w:sz="2" w:space="0"/>
              <w:bottom w:val="single" w:color="auto" w:sz="6" w:space="0"/>
              <w:right w:val="single" w:color="auto" w:sz="4" w:space="0"/>
            </w:tcBorders>
            <w:vAlign w:val="center"/>
          </w:tcPr>
          <w:p w14:paraId="3E58D5EB">
            <w:pPr>
              <w:pStyle w:val="14"/>
              <w:snapToGrid w:val="0"/>
              <w:spacing w:before="295" w:after="295"/>
              <w:jc w:val="center"/>
              <w:rPr>
                <w:rFonts w:hAnsi="宋体"/>
                <w:color w:val="auto"/>
                <w:kern w:val="2"/>
                <w:sz w:val="21"/>
              </w:rPr>
            </w:pPr>
          </w:p>
        </w:tc>
        <w:tc>
          <w:tcPr>
            <w:tcW w:w="1440" w:type="dxa"/>
            <w:tcBorders>
              <w:top w:val="single" w:color="auto" w:sz="2" w:space="0"/>
              <w:left w:val="single" w:color="auto" w:sz="4" w:space="0"/>
              <w:bottom w:val="single" w:color="auto" w:sz="6" w:space="0"/>
              <w:right w:val="single" w:color="auto" w:sz="6" w:space="0"/>
            </w:tcBorders>
            <w:vAlign w:val="center"/>
          </w:tcPr>
          <w:p w14:paraId="23884A3E">
            <w:pPr>
              <w:pStyle w:val="14"/>
              <w:snapToGrid w:val="0"/>
              <w:spacing w:before="295" w:after="295"/>
              <w:jc w:val="center"/>
              <w:rPr>
                <w:rFonts w:hAnsi="宋体"/>
                <w:color w:val="auto"/>
                <w:kern w:val="2"/>
                <w:sz w:val="21"/>
              </w:rPr>
            </w:pPr>
          </w:p>
        </w:tc>
        <w:tc>
          <w:tcPr>
            <w:tcW w:w="1440"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vAlign w:val="center"/>
          </w:tcPr>
          <w:p w14:paraId="7FA435BB">
            <w:pPr>
              <w:pStyle w:val="14"/>
              <w:snapToGrid w:val="0"/>
              <w:spacing w:before="295" w:after="295"/>
              <w:jc w:val="center"/>
              <w:rPr>
                <w:rFonts w:hAnsi="宋体"/>
                <w:color w:val="auto"/>
                <w:kern w:val="2"/>
                <w:sz w:val="21"/>
              </w:rPr>
            </w:pPr>
          </w:p>
        </w:tc>
        <w:tc>
          <w:tcPr>
            <w:tcW w:w="2340" w:type="dxa"/>
            <w:tcBorders>
              <w:top w:val="single" w:color="auto" w:sz="2" w:space="0"/>
              <w:left w:val="single" w:color="auto" w:sz="6" w:space="0"/>
              <w:bottom w:val="single" w:color="auto" w:sz="6" w:space="0"/>
              <w:right w:val="single" w:color="auto" w:sz="2" w:space="0"/>
            </w:tcBorders>
            <w:vAlign w:val="center"/>
          </w:tcPr>
          <w:p w14:paraId="7E4CB8BB">
            <w:pPr>
              <w:pStyle w:val="14"/>
              <w:snapToGrid w:val="0"/>
              <w:spacing w:before="295" w:after="295"/>
              <w:jc w:val="center"/>
              <w:rPr>
                <w:rFonts w:hAnsi="宋体"/>
                <w:color w:val="auto"/>
                <w:kern w:val="2"/>
                <w:sz w:val="21"/>
              </w:rPr>
            </w:pPr>
            <w:r>
              <w:rPr>
                <w:rFonts w:hint="eastAsia" w:hAnsi="宋体"/>
                <w:color w:val="auto"/>
                <w:kern w:val="2"/>
                <w:sz w:val="21"/>
              </w:rPr>
              <w:t>%</w:t>
            </w:r>
          </w:p>
        </w:tc>
      </w:tr>
      <w:tr w14:paraId="3808D2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4"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20A88D29">
            <w:pPr>
              <w:pStyle w:val="14"/>
              <w:snapToGrid w:val="0"/>
              <w:spacing w:before="295" w:after="295"/>
              <w:jc w:val="center"/>
              <w:rPr>
                <w:rFonts w:hAnsi="宋体"/>
                <w:color w:val="auto"/>
                <w:kern w:val="2"/>
                <w:sz w:val="21"/>
              </w:rPr>
            </w:pPr>
            <w:r>
              <w:rPr>
                <w:rFonts w:hint="eastAsia" w:hAnsi="宋体"/>
                <w:color w:val="auto"/>
                <w:kern w:val="2"/>
                <w:sz w:val="21"/>
              </w:rPr>
              <w:t>2</w:t>
            </w:r>
          </w:p>
        </w:tc>
        <w:tc>
          <w:tcPr>
            <w:tcW w:w="2700" w:type="dxa"/>
            <w:tcBorders>
              <w:top w:val="single" w:color="auto" w:sz="6" w:space="0"/>
              <w:left w:val="single" w:color="auto" w:sz="2" w:space="0"/>
              <w:bottom w:val="single" w:color="auto" w:sz="6" w:space="0"/>
              <w:right w:val="single" w:color="auto" w:sz="4" w:space="0"/>
            </w:tcBorders>
            <w:vAlign w:val="center"/>
          </w:tcPr>
          <w:p w14:paraId="433C2DE8">
            <w:pPr>
              <w:pStyle w:val="14"/>
              <w:snapToGrid w:val="0"/>
              <w:spacing w:before="295" w:after="295"/>
              <w:jc w:val="center"/>
              <w:rPr>
                <w:rFonts w:hAnsi="宋体"/>
                <w:color w:val="auto"/>
                <w:kern w:val="2"/>
                <w:sz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0C140AB9">
            <w:pPr>
              <w:pStyle w:val="14"/>
              <w:snapToGrid w:val="0"/>
              <w:spacing w:before="295" w:after="295"/>
              <w:jc w:val="center"/>
              <w:rPr>
                <w:rFonts w:hAnsi="宋体"/>
                <w:color w:val="auto"/>
                <w:kern w:val="2"/>
                <w:sz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4B77D4E0">
            <w:pPr>
              <w:pStyle w:val="14"/>
              <w:snapToGrid w:val="0"/>
              <w:spacing w:before="295" w:after="295"/>
              <w:jc w:val="center"/>
              <w:rPr>
                <w:rFonts w:hAnsi="宋体"/>
                <w:color w:val="auto"/>
                <w:kern w:val="2"/>
                <w:sz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78BE2EEB">
            <w:pPr>
              <w:pStyle w:val="14"/>
              <w:snapToGrid w:val="0"/>
              <w:spacing w:before="295" w:after="295"/>
              <w:jc w:val="center"/>
              <w:rPr>
                <w:rFonts w:hAnsi="宋体"/>
                <w:color w:val="auto"/>
                <w:kern w:val="2"/>
                <w:sz w:val="21"/>
              </w:rPr>
            </w:pPr>
            <w:r>
              <w:rPr>
                <w:rFonts w:hint="eastAsia" w:hAnsi="宋体"/>
                <w:color w:val="auto"/>
                <w:kern w:val="2"/>
                <w:sz w:val="21"/>
              </w:rPr>
              <w:t>%</w:t>
            </w:r>
          </w:p>
        </w:tc>
      </w:tr>
      <w:tr w14:paraId="01A52D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4"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04BC3FB5">
            <w:pPr>
              <w:pStyle w:val="14"/>
              <w:snapToGrid w:val="0"/>
              <w:spacing w:before="295" w:after="295"/>
              <w:jc w:val="center"/>
              <w:rPr>
                <w:rFonts w:hAnsi="宋体"/>
                <w:color w:val="auto"/>
                <w:kern w:val="2"/>
                <w:sz w:val="21"/>
              </w:rPr>
            </w:pPr>
            <w:r>
              <w:rPr>
                <w:rFonts w:hint="eastAsia" w:hAnsi="宋体"/>
                <w:color w:val="auto"/>
                <w:kern w:val="2"/>
                <w:sz w:val="21"/>
              </w:rPr>
              <w:t>3</w:t>
            </w:r>
          </w:p>
        </w:tc>
        <w:tc>
          <w:tcPr>
            <w:tcW w:w="2700" w:type="dxa"/>
            <w:tcBorders>
              <w:top w:val="single" w:color="auto" w:sz="6" w:space="0"/>
              <w:left w:val="single" w:color="auto" w:sz="2" w:space="0"/>
              <w:bottom w:val="single" w:color="auto" w:sz="6" w:space="0"/>
              <w:right w:val="single" w:color="auto" w:sz="4" w:space="0"/>
            </w:tcBorders>
            <w:vAlign w:val="center"/>
          </w:tcPr>
          <w:p w14:paraId="76D13756">
            <w:pPr>
              <w:pStyle w:val="14"/>
              <w:snapToGrid w:val="0"/>
              <w:spacing w:before="295" w:after="295"/>
              <w:jc w:val="center"/>
              <w:rPr>
                <w:rFonts w:hAnsi="宋体"/>
                <w:color w:val="auto"/>
                <w:kern w:val="2"/>
                <w:sz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70E7EEA1">
            <w:pPr>
              <w:pStyle w:val="14"/>
              <w:snapToGrid w:val="0"/>
              <w:spacing w:before="295" w:after="295"/>
              <w:jc w:val="center"/>
              <w:rPr>
                <w:rFonts w:hAnsi="宋体"/>
                <w:color w:val="auto"/>
                <w:kern w:val="2"/>
                <w:sz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3DF961FC">
            <w:pPr>
              <w:pStyle w:val="14"/>
              <w:snapToGrid w:val="0"/>
              <w:spacing w:before="295" w:after="295"/>
              <w:jc w:val="center"/>
              <w:rPr>
                <w:rFonts w:hAnsi="宋体"/>
                <w:color w:val="auto"/>
                <w:kern w:val="2"/>
                <w:sz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7000D0E9">
            <w:pPr>
              <w:pStyle w:val="14"/>
              <w:snapToGrid w:val="0"/>
              <w:spacing w:before="295" w:after="295"/>
              <w:jc w:val="center"/>
              <w:rPr>
                <w:rFonts w:hAnsi="宋体"/>
                <w:color w:val="auto"/>
                <w:kern w:val="2"/>
                <w:sz w:val="21"/>
              </w:rPr>
            </w:pPr>
            <w:r>
              <w:rPr>
                <w:rFonts w:hint="eastAsia" w:hAnsi="宋体"/>
                <w:color w:val="auto"/>
                <w:kern w:val="2"/>
                <w:sz w:val="21"/>
              </w:rPr>
              <w:t>%</w:t>
            </w:r>
          </w:p>
        </w:tc>
      </w:tr>
    </w:tbl>
    <w:p w14:paraId="34F21450">
      <w:pPr>
        <w:snapToGrid w:val="0"/>
        <w:spacing w:beforeLines="50" w:after="50"/>
        <w:outlineLvl w:val="1"/>
        <w:rPr>
          <w:rFonts w:ascii="宋体" w:hAnsi="宋体"/>
          <w:b/>
          <w:bCs/>
          <w:color w:val="auto"/>
          <w:szCs w:val="21"/>
        </w:rPr>
      </w:pPr>
    </w:p>
    <w:p w14:paraId="5EF283A4">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法定代表人或者委托代理人（签字/电子签名）：</w:t>
      </w:r>
    </w:p>
    <w:p w14:paraId="74A40FD2">
      <w:pPr>
        <w:snapToGrid w:val="0"/>
        <w:spacing w:before="50" w:after="50" w:line="30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投标人名称（公章或电子签章）：</w:t>
      </w:r>
    </w:p>
    <w:p w14:paraId="1BAC380C">
      <w:pPr>
        <w:snapToGrid w:val="0"/>
        <w:spacing w:before="50" w:after="50" w:line="480" w:lineRule="auto"/>
        <w:ind w:left="-6" w:leftChars="-15" w:right="-817" w:rightChars="-389" w:hanging="25" w:hangingChars="12"/>
        <w:jc w:val="left"/>
        <w:rPr>
          <w:rFonts w:ascii="宋体" w:hAnsi="宋体"/>
          <w:color w:val="auto"/>
          <w:sz w:val="16"/>
          <w:szCs w:val="20"/>
        </w:rPr>
      </w:pPr>
      <w:r>
        <w:rPr>
          <w:rFonts w:hint="eastAsia" w:ascii="宋体" w:hAnsi="宋体"/>
          <w:b/>
          <w:bCs/>
          <w:color w:val="auto"/>
          <w:szCs w:val="21"/>
        </w:rPr>
        <w:t>日期：    年   月   日</w:t>
      </w:r>
    </w:p>
    <w:p w14:paraId="1D108FEF">
      <w:pPr>
        <w:snapToGrid w:val="0"/>
        <w:spacing w:beforeLines="50" w:line="480" w:lineRule="auto"/>
        <w:rPr>
          <w:rFonts w:ascii="宋体" w:hAnsi="宋体"/>
          <w:color w:val="auto"/>
          <w:szCs w:val="16"/>
        </w:rPr>
      </w:pPr>
    </w:p>
    <w:p w14:paraId="1E0E3186">
      <w:pPr>
        <w:pStyle w:val="3"/>
        <w:snapToGrid w:val="0"/>
        <w:spacing w:beforeLines="50" w:after="50"/>
        <w:outlineLvl w:val="1"/>
        <w:rPr>
          <w:rFonts w:ascii="Arial" w:hAnsi="Arial" w:eastAsia="黑体"/>
          <w:b/>
          <w:bCs/>
          <w:color w:val="auto"/>
          <w:kern w:val="0"/>
          <w:szCs w:val="32"/>
        </w:rPr>
      </w:pPr>
      <w:r>
        <w:rPr>
          <w:rFonts w:ascii="宋体" w:hAnsi="宋体"/>
          <w:b/>
          <w:bCs/>
          <w:color w:val="auto"/>
        </w:rPr>
        <w:br w:type="page"/>
      </w:r>
      <w:bookmarkStart w:id="238" w:name="_Toc9766"/>
      <w:bookmarkStart w:id="239" w:name="_Toc16006"/>
      <w:bookmarkStart w:id="240" w:name="_Toc14010"/>
      <w:bookmarkStart w:id="241" w:name="_Toc6807"/>
      <w:bookmarkStart w:id="242" w:name="_Toc19089"/>
      <w:bookmarkStart w:id="243" w:name="_Toc31580"/>
      <w:bookmarkStart w:id="244" w:name="_Toc19686840"/>
      <w:bookmarkStart w:id="245" w:name="_Toc24936"/>
      <w:bookmarkStart w:id="246" w:name="_Toc11869"/>
      <w:bookmarkStart w:id="247" w:name="_Toc13623"/>
      <w:bookmarkStart w:id="248" w:name="_Toc9913"/>
      <w:bookmarkStart w:id="249" w:name="_Toc8374"/>
      <w:bookmarkStart w:id="250" w:name="_Toc984"/>
      <w:bookmarkStart w:id="251" w:name="_Toc13802"/>
      <w:bookmarkStart w:id="252" w:name="_Toc30087"/>
      <w:r>
        <w:rPr>
          <w:rFonts w:hint="eastAsia"/>
        </w:rPr>
        <w:t>第七章其他文书、文件格式</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48DC8CB1">
      <w:pPr>
        <w:spacing w:beforeLines="50" w:afterLines="50" w:line="400" w:lineRule="exact"/>
        <w:rPr>
          <w:rFonts w:ascii="宋体" w:hAnsi="宋体"/>
          <w:color w:val="auto"/>
          <w:sz w:val="24"/>
        </w:rPr>
      </w:pPr>
    </w:p>
    <w:p w14:paraId="1B5B5D8A">
      <w:pPr>
        <w:snapToGrid w:val="0"/>
        <w:spacing w:beforeLines="50" w:after="50"/>
        <w:ind w:left="142"/>
        <w:jc w:val="left"/>
        <w:rPr>
          <w:rFonts w:ascii="宋体" w:hAnsi="宋体"/>
          <w:b/>
          <w:color w:val="auto"/>
          <w:spacing w:val="20"/>
          <w:sz w:val="24"/>
        </w:rPr>
      </w:pPr>
      <w:r>
        <w:rPr>
          <w:rFonts w:hint="eastAsia" w:ascii="宋体" w:hAnsi="宋体"/>
          <w:b/>
          <w:color w:val="auto"/>
          <w:spacing w:val="20"/>
          <w:sz w:val="24"/>
        </w:rPr>
        <w:t>联合投标协议书格式</w:t>
      </w:r>
    </w:p>
    <w:p w14:paraId="05794B5E">
      <w:pPr>
        <w:pStyle w:val="7"/>
        <w:overflowPunct w:val="0"/>
        <w:jc w:val="center"/>
        <w:rPr>
          <w:rFonts w:ascii="宋体" w:hAnsi="宋体"/>
          <w:b/>
          <w:bCs/>
          <w:color w:val="auto"/>
          <w:sz w:val="32"/>
          <w:szCs w:val="32"/>
        </w:rPr>
      </w:pPr>
      <w:r>
        <w:rPr>
          <w:rFonts w:hint="eastAsia" w:ascii="宋体" w:hAnsi="宋体"/>
          <w:b/>
          <w:bCs/>
          <w:color w:val="auto"/>
          <w:sz w:val="32"/>
          <w:szCs w:val="32"/>
        </w:rPr>
        <w:t>联合体协议书</w:t>
      </w:r>
    </w:p>
    <w:p w14:paraId="7C8D1D6D">
      <w:pPr>
        <w:pStyle w:val="7"/>
        <w:overflowPunct w:val="0"/>
        <w:rPr>
          <w:rFonts w:ascii="宋体" w:hAnsi="宋体"/>
          <w:color w:val="auto"/>
          <w:sz w:val="24"/>
        </w:rPr>
      </w:pPr>
    </w:p>
    <w:p w14:paraId="5FED7A3B">
      <w:pPr>
        <w:pStyle w:val="7"/>
        <w:overflowPunct w:val="0"/>
        <w:rPr>
          <w:rFonts w:ascii="宋体" w:hAnsi="宋体"/>
          <w:color w:val="auto"/>
          <w:sz w:val="24"/>
        </w:rPr>
      </w:pPr>
    </w:p>
    <w:p w14:paraId="2866F509">
      <w:pPr>
        <w:pStyle w:val="7"/>
        <w:overflowPunct w:val="0"/>
        <w:rPr>
          <w:rFonts w:ascii="宋体" w:hAnsi="宋体"/>
          <w:color w:val="auto"/>
          <w:sz w:val="24"/>
        </w:rPr>
      </w:pPr>
    </w:p>
    <w:p w14:paraId="0A4B1F42">
      <w:pPr>
        <w:pStyle w:val="7"/>
        <w:overflowPunct w:val="0"/>
        <w:rPr>
          <w:rFonts w:ascii="宋体" w:hAnsi="宋体"/>
          <w:color w:val="auto"/>
          <w:sz w:val="24"/>
        </w:rPr>
      </w:pPr>
      <w:r>
        <w:rPr>
          <w:rFonts w:ascii="宋体" w:hAnsi="宋体"/>
          <w:color w:val="auto"/>
          <w:sz w:val="24"/>
          <w:u w:val="single"/>
        </w:rPr>
        <w:tab/>
      </w:r>
      <w:r>
        <w:rPr>
          <w:rFonts w:hint="eastAsia" w:ascii="宋体" w:hAnsi="宋体"/>
          <w:color w:val="auto"/>
          <w:sz w:val="24"/>
        </w:rPr>
        <w:t>（所有成员单位名称）自愿组成</w:t>
      </w:r>
      <w:r>
        <w:rPr>
          <w:rFonts w:ascii="宋体" w:hAnsi="宋体"/>
          <w:color w:val="auto"/>
          <w:sz w:val="24"/>
          <w:u w:val="single"/>
        </w:rPr>
        <w:tab/>
      </w:r>
      <w:r>
        <w:rPr>
          <w:rFonts w:hint="eastAsia" w:ascii="宋体" w:hAnsi="宋体"/>
          <w:color w:val="auto"/>
          <w:sz w:val="24"/>
        </w:rPr>
        <w:t>（联合体名称）联合体，共同参加</w:t>
      </w:r>
      <w:r>
        <w:rPr>
          <w:rFonts w:ascii="宋体" w:hAnsi="宋体"/>
          <w:color w:val="auto"/>
          <w:sz w:val="24"/>
          <w:u w:val="single"/>
        </w:rPr>
        <w:tab/>
      </w:r>
      <w:r>
        <w:rPr>
          <w:rFonts w:hint="eastAsia" w:ascii="宋体" w:hAnsi="宋体"/>
          <w:color w:val="auto"/>
          <w:sz w:val="24"/>
          <w:u w:val="single"/>
        </w:rPr>
        <w:t>（项</w:t>
      </w:r>
      <w:r>
        <w:rPr>
          <w:rFonts w:hint="eastAsia" w:ascii="宋体" w:hAnsi="宋体"/>
          <w:color w:val="auto"/>
          <w:sz w:val="24"/>
        </w:rPr>
        <w:t>目名称）采购招标项目投标。现就联合体投标事宜订立如下协议。</w:t>
      </w:r>
    </w:p>
    <w:p w14:paraId="750D6979">
      <w:pPr>
        <w:pStyle w:val="7"/>
        <w:overflowPunct w:val="0"/>
        <w:rPr>
          <w:rFonts w:ascii="宋体" w:hAnsi="宋体"/>
          <w:color w:val="auto"/>
          <w:sz w:val="24"/>
        </w:rPr>
      </w:pPr>
    </w:p>
    <w:p w14:paraId="65185FF4">
      <w:pPr>
        <w:pStyle w:val="7"/>
        <w:overflowPunct w:val="0"/>
        <w:ind w:firstLineChars="175"/>
        <w:rPr>
          <w:rFonts w:ascii="宋体" w:hAnsi="宋体"/>
          <w:color w:val="auto"/>
          <w:sz w:val="24"/>
        </w:rPr>
      </w:pPr>
      <w:r>
        <w:rPr>
          <w:rFonts w:ascii="宋体" w:hAnsi="宋体"/>
          <w:color w:val="auto"/>
          <w:sz w:val="24"/>
        </w:rPr>
        <w:t xml:space="preserve">1.  </w:t>
      </w:r>
      <w:r>
        <w:rPr>
          <w:rFonts w:ascii="宋体" w:hAnsi="宋体"/>
          <w:color w:val="auto"/>
          <w:sz w:val="24"/>
          <w:u w:val="single"/>
        </w:rPr>
        <w:tab/>
      </w:r>
      <w:r>
        <w:rPr>
          <w:rFonts w:hint="eastAsia" w:ascii="宋体" w:hAnsi="宋体"/>
          <w:color w:val="auto"/>
          <w:sz w:val="24"/>
        </w:rPr>
        <w:t>（某成员单位名称）为</w:t>
      </w:r>
      <w:r>
        <w:rPr>
          <w:rFonts w:ascii="宋体" w:hAnsi="宋体"/>
          <w:color w:val="auto"/>
          <w:sz w:val="24"/>
          <w:u w:val="single"/>
        </w:rPr>
        <w:tab/>
      </w:r>
      <w:r>
        <w:rPr>
          <w:rFonts w:hint="eastAsia" w:ascii="宋体" w:hAnsi="宋体"/>
          <w:color w:val="auto"/>
          <w:sz w:val="24"/>
        </w:rPr>
        <w:t>（联合体名称）牵头人。</w:t>
      </w:r>
    </w:p>
    <w:p w14:paraId="2E900B7C">
      <w:pPr>
        <w:pStyle w:val="7"/>
        <w:overflowPunct w:val="0"/>
        <w:ind w:firstLineChars="175"/>
        <w:rPr>
          <w:rFonts w:ascii="宋体" w:hAnsi="宋体"/>
          <w:color w:val="auto"/>
          <w:sz w:val="24"/>
        </w:rPr>
      </w:pPr>
      <w:r>
        <w:rPr>
          <w:rFonts w:ascii="宋体" w:hAnsi="宋体"/>
          <w:color w:val="auto"/>
          <w:sz w:val="24"/>
        </w:rPr>
        <w:t>2.</w:t>
      </w:r>
      <w:r>
        <w:rPr>
          <w:rFonts w:hint="eastAsia" w:ascii="宋体" w:hAnsi="宋体"/>
          <w:color w:val="auto"/>
          <w:sz w:val="24"/>
        </w:rPr>
        <w:t>联合体各成员授权牵头人代表联合体参加投标活动，签署文件及对文件的盖章，提交和接收相关的资料、信息及指示，进行合同谈判活动，负责合同实施阶段的组织和协调工作，以及处理与本招标项目有关的一切事宜。</w:t>
      </w:r>
    </w:p>
    <w:p w14:paraId="5B2E956B">
      <w:pPr>
        <w:pStyle w:val="7"/>
        <w:overflowPunct w:val="0"/>
        <w:ind w:firstLineChars="175"/>
        <w:rPr>
          <w:rFonts w:ascii="宋体" w:hAnsi="宋体"/>
          <w:color w:val="auto"/>
          <w:sz w:val="24"/>
        </w:rPr>
      </w:pPr>
      <w:r>
        <w:rPr>
          <w:rFonts w:ascii="宋体" w:hAnsi="宋体"/>
          <w:color w:val="auto"/>
          <w:sz w:val="24"/>
        </w:rPr>
        <w:t>3.</w:t>
      </w:r>
      <w:r>
        <w:rPr>
          <w:rFonts w:hint="eastAsia" w:ascii="宋体" w:hAnsi="宋体"/>
          <w:color w:val="auto"/>
          <w:sz w:val="24"/>
        </w:rPr>
        <w:t>联合体牵头人在本项目中签署和盖章的一切文件和处理的一切事宜，联合体各成员均予以承认。联合体各成员将严格按照招标文件、投标文件和合同的要求全面履行义务，并向招标人承担连带责任。</w:t>
      </w:r>
    </w:p>
    <w:p w14:paraId="616C3CDF">
      <w:pPr>
        <w:pStyle w:val="7"/>
        <w:overflowPunct w:val="0"/>
        <w:ind w:firstLineChars="175"/>
        <w:rPr>
          <w:rFonts w:ascii="宋体" w:hAnsi="宋体"/>
          <w:color w:val="auto"/>
          <w:sz w:val="24"/>
        </w:rPr>
      </w:pPr>
      <w:r>
        <w:rPr>
          <w:rFonts w:ascii="宋体" w:hAnsi="宋体"/>
          <w:color w:val="auto"/>
          <w:sz w:val="24"/>
        </w:rPr>
        <w:t>4.</w:t>
      </w:r>
      <w:r>
        <w:rPr>
          <w:rFonts w:hint="eastAsia" w:ascii="宋体" w:hAnsi="宋体"/>
          <w:color w:val="auto"/>
          <w:sz w:val="24"/>
        </w:rPr>
        <w:t>联合体各成员单位内部的职责分工如下：</w:t>
      </w:r>
      <w:r>
        <w:rPr>
          <w:rFonts w:ascii="宋体" w:hAnsi="宋体"/>
          <w:color w:val="auto"/>
          <w:sz w:val="24"/>
          <w:u w:val="single"/>
        </w:rPr>
        <w:tab/>
      </w:r>
      <w:r>
        <w:rPr>
          <w:rFonts w:hint="eastAsia" w:ascii="宋体" w:hAnsi="宋体"/>
          <w:color w:val="auto"/>
          <w:sz w:val="24"/>
        </w:rPr>
        <w:t>。</w:t>
      </w:r>
    </w:p>
    <w:p w14:paraId="4ECC6C21">
      <w:pPr>
        <w:pStyle w:val="7"/>
        <w:overflowPunct w:val="0"/>
        <w:ind w:firstLineChars="175"/>
        <w:rPr>
          <w:rFonts w:ascii="宋体" w:hAnsi="宋体"/>
          <w:color w:val="auto"/>
          <w:sz w:val="24"/>
        </w:rPr>
      </w:pPr>
      <w:r>
        <w:rPr>
          <w:rFonts w:ascii="宋体" w:hAnsi="宋体"/>
          <w:color w:val="auto"/>
          <w:sz w:val="24"/>
        </w:rPr>
        <w:t>5.</w:t>
      </w:r>
      <w:r>
        <w:rPr>
          <w:rFonts w:hint="eastAsia" w:ascii="宋体" w:hAnsi="宋体"/>
          <w:color w:val="auto"/>
          <w:sz w:val="24"/>
        </w:rPr>
        <w:t>本协议书自所有成员单位法定代表人或者其委托代理人签字或者盖公章之日起生效，合同履行完毕后自动失效。</w:t>
      </w:r>
    </w:p>
    <w:p w14:paraId="0D655A63">
      <w:pPr>
        <w:pStyle w:val="7"/>
        <w:overflowPunct w:val="0"/>
        <w:ind w:firstLineChars="175"/>
        <w:rPr>
          <w:rFonts w:ascii="宋体" w:hAnsi="宋体"/>
          <w:color w:val="auto"/>
          <w:sz w:val="24"/>
        </w:rPr>
      </w:pPr>
      <w:r>
        <w:rPr>
          <w:rFonts w:ascii="宋体" w:hAnsi="宋体"/>
          <w:color w:val="auto"/>
          <w:sz w:val="24"/>
        </w:rPr>
        <w:t>6.</w:t>
      </w:r>
      <w:r>
        <w:rPr>
          <w:rFonts w:hint="eastAsia" w:ascii="宋体" w:hAnsi="宋体"/>
          <w:color w:val="auto"/>
          <w:sz w:val="24"/>
        </w:rPr>
        <w:t>本协议书一式</w:t>
      </w:r>
      <w:r>
        <w:rPr>
          <w:rFonts w:ascii="宋体" w:hAnsi="宋体"/>
          <w:color w:val="auto"/>
          <w:sz w:val="24"/>
          <w:u w:val="single"/>
        </w:rPr>
        <w:tab/>
      </w:r>
      <w:r>
        <w:rPr>
          <w:rFonts w:hint="eastAsia" w:ascii="宋体" w:hAnsi="宋体"/>
          <w:color w:val="auto"/>
          <w:sz w:val="24"/>
        </w:rPr>
        <w:t>份，联合体成员和招标人各执一份。</w:t>
      </w:r>
    </w:p>
    <w:p w14:paraId="5F8125B5">
      <w:pPr>
        <w:pStyle w:val="7"/>
        <w:overflowPunct w:val="0"/>
        <w:ind w:firstLine="0"/>
        <w:rPr>
          <w:rFonts w:ascii="宋体" w:hAnsi="宋体"/>
          <w:color w:val="auto"/>
          <w:sz w:val="24"/>
        </w:rPr>
      </w:pPr>
    </w:p>
    <w:p w14:paraId="55838BF4">
      <w:pPr>
        <w:pStyle w:val="7"/>
        <w:overflowPunct w:val="0"/>
        <w:ind w:firstLineChars="175"/>
        <w:rPr>
          <w:rFonts w:ascii="宋体" w:hAnsi="宋体"/>
          <w:color w:val="auto"/>
          <w:sz w:val="24"/>
        </w:rPr>
      </w:pPr>
      <w:r>
        <w:rPr>
          <w:rFonts w:hint="eastAsia" w:ascii="宋体" w:hAnsi="宋体"/>
          <w:color w:val="auto"/>
          <w:sz w:val="24"/>
        </w:rPr>
        <w:t>注：本协议书由法定代表人签字的，应附法定代表人身份</w:t>
      </w:r>
    </w:p>
    <w:p w14:paraId="4279B69F">
      <w:pPr>
        <w:pStyle w:val="7"/>
        <w:overflowPunct w:val="0"/>
        <w:ind w:firstLineChars="175"/>
        <w:rPr>
          <w:rFonts w:ascii="宋体" w:hAnsi="宋体"/>
          <w:color w:val="auto"/>
          <w:sz w:val="24"/>
        </w:rPr>
      </w:pPr>
      <w:r>
        <w:rPr>
          <w:rFonts w:hint="eastAsia" w:ascii="宋体" w:hAnsi="宋体"/>
          <w:color w:val="auto"/>
          <w:sz w:val="24"/>
        </w:rPr>
        <w:t>证明；由委托代理人签字的，应附授权委托书。</w:t>
      </w:r>
    </w:p>
    <w:p w14:paraId="5AF6CE8C">
      <w:pPr>
        <w:pStyle w:val="7"/>
        <w:overflowPunct w:val="0"/>
        <w:ind w:firstLineChars="175"/>
        <w:rPr>
          <w:rFonts w:ascii="宋体" w:hAnsi="宋体"/>
          <w:color w:val="auto"/>
          <w:sz w:val="24"/>
        </w:rPr>
      </w:pPr>
    </w:p>
    <w:p w14:paraId="1566163D">
      <w:pPr>
        <w:pStyle w:val="7"/>
        <w:overflowPunct w:val="0"/>
        <w:ind w:firstLineChars="175"/>
        <w:rPr>
          <w:rFonts w:ascii="宋体" w:hAnsi="宋体"/>
          <w:color w:val="auto"/>
          <w:sz w:val="24"/>
        </w:rPr>
      </w:pPr>
      <w:r>
        <w:rPr>
          <w:rFonts w:hint="eastAsia" w:ascii="宋体" w:hAnsi="宋体"/>
          <w:color w:val="auto"/>
          <w:sz w:val="24"/>
        </w:rPr>
        <w:t>联合体牵头人名称（盖公章）：</w:t>
      </w:r>
    </w:p>
    <w:p w14:paraId="1F187181">
      <w:pPr>
        <w:pStyle w:val="7"/>
        <w:overflowPunct w:val="0"/>
        <w:ind w:firstLineChars="175"/>
        <w:rPr>
          <w:rFonts w:ascii="宋体" w:hAnsi="宋体"/>
          <w:color w:val="auto"/>
          <w:sz w:val="24"/>
        </w:rPr>
      </w:pPr>
    </w:p>
    <w:p w14:paraId="55762DB9">
      <w:pPr>
        <w:pStyle w:val="7"/>
        <w:overflowPunct w:val="0"/>
        <w:ind w:firstLineChars="175"/>
        <w:rPr>
          <w:rFonts w:ascii="宋体" w:hAnsi="宋体"/>
          <w:color w:val="auto"/>
          <w:sz w:val="24"/>
        </w:rPr>
      </w:pPr>
      <w:r>
        <w:rPr>
          <w:rFonts w:hint="eastAsia" w:ascii="宋体" w:hAnsi="宋体"/>
          <w:color w:val="auto"/>
          <w:sz w:val="24"/>
        </w:rPr>
        <w:t>法定代表人或者其委托代理人：</w:t>
      </w:r>
      <w:r>
        <w:rPr>
          <w:rFonts w:ascii="宋体" w:hAnsi="宋体"/>
          <w:color w:val="auto"/>
          <w:sz w:val="24"/>
        </w:rPr>
        <w:tab/>
      </w:r>
      <w:r>
        <w:rPr>
          <w:rFonts w:hint="eastAsia" w:ascii="宋体" w:hAnsi="宋体"/>
          <w:color w:val="auto"/>
          <w:sz w:val="24"/>
        </w:rPr>
        <w:t>（签字）</w:t>
      </w:r>
    </w:p>
    <w:p w14:paraId="74D985B8">
      <w:pPr>
        <w:pStyle w:val="7"/>
        <w:overflowPunct w:val="0"/>
        <w:ind w:firstLineChars="175"/>
        <w:rPr>
          <w:rFonts w:ascii="宋体" w:hAnsi="宋体"/>
          <w:color w:val="auto"/>
          <w:sz w:val="24"/>
        </w:rPr>
      </w:pPr>
    </w:p>
    <w:p w14:paraId="343CD9FE">
      <w:pPr>
        <w:pStyle w:val="7"/>
        <w:overflowPunct w:val="0"/>
        <w:ind w:firstLineChars="175"/>
        <w:rPr>
          <w:rFonts w:ascii="宋体" w:hAnsi="宋体"/>
          <w:color w:val="auto"/>
          <w:sz w:val="24"/>
        </w:rPr>
      </w:pPr>
      <w:r>
        <w:rPr>
          <w:rFonts w:hint="eastAsia" w:ascii="宋体" w:hAnsi="宋体"/>
          <w:color w:val="auto"/>
          <w:sz w:val="24"/>
        </w:rPr>
        <w:t>联合体成员名称（盖公章）：</w:t>
      </w:r>
    </w:p>
    <w:p w14:paraId="1E6E6B1E">
      <w:pPr>
        <w:pStyle w:val="7"/>
        <w:overflowPunct w:val="0"/>
        <w:ind w:firstLineChars="175"/>
        <w:rPr>
          <w:rFonts w:ascii="宋体" w:hAnsi="宋体"/>
          <w:color w:val="auto"/>
          <w:sz w:val="24"/>
        </w:rPr>
      </w:pPr>
    </w:p>
    <w:p w14:paraId="1AA2EE02">
      <w:pPr>
        <w:pStyle w:val="7"/>
        <w:overflowPunct w:val="0"/>
        <w:ind w:firstLineChars="175"/>
        <w:rPr>
          <w:rFonts w:ascii="宋体" w:hAnsi="宋体"/>
          <w:color w:val="auto"/>
          <w:sz w:val="24"/>
        </w:rPr>
      </w:pPr>
      <w:r>
        <w:rPr>
          <w:rFonts w:hint="eastAsia" w:ascii="宋体" w:hAnsi="宋体"/>
          <w:color w:val="auto"/>
          <w:sz w:val="24"/>
        </w:rPr>
        <w:t>法定代表人或者其委托代理人：</w:t>
      </w:r>
      <w:r>
        <w:rPr>
          <w:rFonts w:ascii="宋体" w:hAnsi="宋体"/>
          <w:color w:val="auto"/>
          <w:sz w:val="24"/>
        </w:rPr>
        <w:tab/>
      </w:r>
      <w:r>
        <w:rPr>
          <w:rFonts w:hint="eastAsia" w:ascii="宋体" w:hAnsi="宋体"/>
          <w:color w:val="auto"/>
          <w:sz w:val="24"/>
        </w:rPr>
        <w:t>（签字）</w:t>
      </w:r>
    </w:p>
    <w:p w14:paraId="6A1B9DCF">
      <w:pPr>
        <w:pStyle w:val="7"/>
        <w:overflowPunct w:val="0"/>
        <w:ind w:firstLineChars="175"/>
        <w:rPr>
          <w:rFonts w:ascii="宋体" w:hAnsi="宋体"/>
          <w:color w:val="auto"/>
          <w:sz w:val="24"/>
        </w:rPr>
      </w:pPr>
    </w:p>
    <w:p w14:paraId="055FD819">
      <w:pPr>
        <w:pStyle w:val="7"/>
        <w:overflowPunct w:val="0"/>
        <w:ind w:firstLineChars="175"/>
        <w:rPr>
          <w:rFonts w:ascii="宋体" w:hAnsi="宋体"/>
          <w:color w:val="auto"/>
          <w:sz w:val="24"/>
        </w:rPr>
      </w:pPr>
      <w:r>
        <w:rPr>
          <w:rFonts w:hint="eastAsia" w:ascii="宋体" w:hAnsi="宋体"/>
          <w:color w:val="auto"/>
          <w:sz w:val="24"/>
        </w:rPr>
        <w:t>联合体成员名称（盖公章）：</w:t>
      </w:r>
    </w:p>
    <w:p w14:paraId="6CD11210">
      <w:pPr>
        <w:pStyle w:val="7"/>
        <w:overflowPunct w:val="0"/>
        <w:ind w:firstLineChars="175"/>
        <w:rPr>
          <w:rFonts w:ascii="宋体" w:hAnsi="宋体"/>
          <w:color w:val="auto"/>
          <w:sz w:val="24"/>
        </w:rPr>
      </w:pPr>
    </w:p>
    <w:p w14:paraId="3E02EDA0">
      <w:pPr>
        <w:pStyle w:val="7"/>
        <w:overflowPunct w:val="0"/>
        <w:ind w:firstLineChars="175"/>
        <w:rPr>
          <w:rFonts w:ascii="宋体" w:hAnsi="宋体"/>
          <w:color w:val="auto"/>
          <w:sz w:val="24"/>
        </w:rPr>
      </w:pPr>
      <w:r>
        <w:rPr>
          <w:rFonts w:hint="eastAsia" w:ascii="宋体" w:hAnsi="宋体"/>
          <w:color w:val="auto"/>
          <w:sz w:val="24"/>
        </w:rPr>
        <w:t>法定代表人或者其委托代理人：</w:t>
      </w:r>
      <w:r>
        <w:rPr>
          <w:rFonts w:ascii="宋体" w:hAnsi="宋体"/>
          <w:color w:val="auto"/>
          <w:sz w:val="24"/>
        </w:rPr>
        <w:tab/>
      </w:r>
      <w:r>
        <w:rPr>
          <w:rFonts w:hint="eastAsia" w:ascii="宋体" w:hAnsi="宋体"/>
          <w:color w:val="auto"/>
          <w:sz w:val="24"/>
        </w:rPr>
        <w:t>（签字）</w:t>
      </w:r>
    </w:p>
    <w:p w14:paraId="07FAB5F0">
      <w:pPr>
        <w:pStyle w:val="7"/>
        <w:overflowPunct w:val="0"/>
        <w:ind w:firstLineChars="175"/>
        <w:rPr>
          <w:rFonts w:ascii="宋体" w:hAnsi="宋体"/>
          <w:color w:val="auto"/>
          <w:sz w:val="24"/>
        </w:rPr>
      </w:pPr>
    </w:p>
    <w:p w14:paraId="7493205F">
      <w:pPr>
        <w:pStyle w:val="7"/>
        <w:overflowPunct w:val="0"/>
        <w:ind w:firstLineChars="175"/>
        <w:rPr>
          <w:rFonts w:ascii="宋体" w:hAnsi="宋体"/>
          <w:color w:val="auto"/>
          <w:sz w:val="24"/>
        </w:rPr>
      </w:pPr>
      <w:r>
        <w:rPr>
          <w:rFonts w:ascii="宋体" w:hAnsi="宋体"/>
          <w:color w:val="auto"/>
          <w:sz w:val="24"/>
        </w:rPr>
        <w:t>……</w:t>
      </w:r>
    </w:p>
    <w:p w14:paraId="5EE9390F">
      <w:pPr>
        <w:pStyle w:val="7"/>
        <w:overflowPunct w:val="0"/>
        <w:ind w:firstLineChars="175"/>
        <w:rPr>
          <w:rFonts w:ascii="宋体" w:hAnsi="宋体"/>
          <w:color w:val="auto"/>
          <w:sz w:val="24"/>
        </w:rPr>
      </w:pPr>
    </w:p>
    <w:p w14:paraId="3DA36C91">
      <w:pPr>
        <w:pStyle w:val="7"/>
        <w:overflowPunct w:val="0"/>
        <w:ind w:firstLineChars="175"/>
        <w:rPr>
          <w:rFonts w:ascii="宋体" w:hAnsi="宋体"/>
          <w:color w:val="auto"/>
          <w:sz w:val="24"/>
        </w:rPr>
      </w:pPr>
      <w:r>
        <w:rPr>
          <w:rFonts w:ascii="宋体" w:hAnsi="宋体"/>
          <w:color w:val="auto"/>
          <w:sz w:val="24"/>
        </w:rPr>
        <w:tab/>
      </w:r>
      <w:r>
        <w:rPr>
          <w:rFonts w:hint="eastAsia" w:ascii="宋体" w:hAnsi="宋体"/>
          <w:color w:val="auto"/>
          <w:sz w:val="24"/>
        </w:rPr>
        <w:t>年</w:t>
      </w:r>
      <w:r>
        <w:rPr>
          <w:rFonts w:ascii="宋体" w:hAnsi="宋体"/>
          <w:color w:val="auto"/>
          <w:sz w:val="24"/>
        </w:rPr>
        <w:tab/>
      </w:r>
      <w:r>
        <w:rPr>
          <w:rFonts w:hint="eastAsia" w:ascii="宋体" w:hAnsi="宋体"/>
          <w:color w:val="auto"/>
          <w:sz w:val="24"/>
        </w:rPr>
        <w:t>月</w:t>
      </w:r>
      <w:r>
        <w:rPr>
          <w:rFonts w:ascii="宋体" w:hAnsi="宋体"/>
          <w:color w:val="auto"/>
          <w:sz w:val="24"/>
        </w:rPr>
        <w:tab/>
      </w:r>
      <w:r>
        <w:rPr>
          <w:rFonts w:hint="eastAsia" w:ascii="宋体" w:hAnsi="宋体"/>
          <w:color w:val="auto"/>
          <w:sz w:val="24"/>
        </w:rPr>
        <w:t>日</w:t>
      </w:r>
    </w:p>
    <w:p w14:paraId="4FB015E9">
      <w:pPr>
        <w:snapToGrid w:val="0"/>
        <w:spacing w:beforeLines="50" w:after="50"/>
        <w:jc w:val="left"/>
        <w:rPr>
          <w:rFonts w:ascii="宋体" w:hAnsi="宋体"/>
          <w:b/>
          <w:color w:val="auto"/>
          <w:sz w:val="24"/>
        </w:rPr>
      </w:pPr>
    </w:p>
    <w:p w14:paraId="278ACA42">
      <w:pPr>
        <w:snapToGrid w:val="0"/>
        <w:spacing w:beforeLines="50" w:after="50"/>
        <w:jc w:val="left"/>
        <w:rPr>
          <w:rFonts w:ascii="宋体" w:hAnsi="宋体"/>
          <w:b/>
          <w:color w:val="auto"/>
          <w:sz w:val="24"/>
        </w:rPr>
      </w:pPr>
    </w:p>
    <w:p w14:paraId="1624EABF">
      <w:pPr>
        <w:snapToGrid w:val="0"/>
        <w:spacing w:beforeLines="50" w:after="50"/>
        <w:jc w:val="left"/>
        <w:rPr>
          <w:color w:val="auto"/>
        </w:rPr>
      </w:pPr>
      <w:r>
        <w:rPr>
          <w:rFonts w:hint="eastAsia" w:ascii="宋体" w:hAnsi="宋体"/>
          <w:b/>
          <w:color w:val="auto"/>
          <w:sz w:val="24"/>
        </w:rPr>
        <w:t xml:space="preserve"> 中小企业声明函格式</w:t>
      </w:r>
    </w:p>
    <w:p w14:paraId="4136E188">
      <w:pPr>
        <w:rPr>
          <w:color w:val="auto"/>
        </w:rPr>
      </w:pPr>
    </w:p>
    <w:p w14:paraId="2EDC280E">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中小企业声明函（服务）</w:t>
      </w:r>
    </w:p>
    <w:p w14:paraId="4BB09374">
      <w:pPr>
        <w:spacing w:before="2" w:line="500" w:lineRule="exact"/>
        <w:rPr>
          <w:rFonts w:hint="eastAsia" w:ascii="仿宋" w:hAnsi="仿宋" w:eastAsia="仿宋" w:cs="仿宋"/>
          <w:b/>
          <w:bCs/>
          <w:color w:val="auto"/>
          <w:sz w:val="27"/>
          <w:szCs w:val="27"/>
          <w:highlight w:val="none"/>
        </w:rPr>
      </w:pPr>
    </w:p>
    <w:p w14:paraId="3E27DE89">
      <w:pPr>
        <w:pStyle w:val="46"/>
        <w:spacing w:line="40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本公司（联合体）郑重声明，根据《政府采购促进中小企业发展管理办法》（财库〔2020〕46号）的规定，本公司（联合体）参加</w:t>
      </w:r>
      <w:r>
        <w:rPr>
          <w:rFonts w:hint="eastAsia" w:ascii="宋体" w:hAnsi="宋体" w:eastAsia="宋体" w:cs="宋体"/>
          <w:color w:val="auto"/>
          <w:sz w:val="24"/>
          <w:szCs w:val="24"/>
          <w:highlight w:val="none"/>
          <w:u w:val="single"/>
        </w:rPr>
        <w:t>（采购人名称）</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（项目名称及项目编号）</w:t>
      </w:r>
      <w:r>
        <w:rPr>
          <w:rFonts w:hint="eastAsia" w:ascii="宋体" w:hAnsi="宋体" w:eastAsia="宋体" w:cs="宋体"/>
          <w:color w:val="auto"/>
          <w:sz w:val="24"/>
          <w:szCs w:val="24"/>
          <w:highlight w:val="none"/>
        </w:rPr>
        <w:t>釆购活动,服务全部由符合政策要求的中小企业承接。相关企业（含联合体中的中小企业、签订分包意向协议的中小企业）的具体情况如下</w:t>
      </w:r>
      <w:bookmarkStart w:id="253" w:name="bookmark1"/>
      <w:bookmarkEnd w:id="253"/>
      <w:r>
        <w:rPr>
          <w:rFonts w:hint="eastAsia" w:ascii="宋体" w:hAnsi="宋体" w:eastAsia="宋体" w:cs="宋体"/>
          <w:color w:val="auto"/>
          <w:sz w:val="24"/>
          <w:szCs w:val="24"/>
          <w:highlight w:val="none"/>
        </w:rPr>
        <w:t>：</w:t>
      </w:r>
    </w:p>
    <w:p w14:paraId="0037FE77">
      <w:pPr>
        <w:pStyle w:val="46"/>
        <w:spacing w:line="400" w:lineRule="exact"/>
        <w:ind w:firstLine="64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 xml:space="preserve"> （项目名称）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 xml:space="preserve">； </w:t>
      </w:r>
    </w:p>
    <w:p w14:paraId="768E3F07">
      <w:pPr>
        <w:pStyle w:val="46"/>
        <w:spacing w:line="400" w:lineRule="exact"/>
        <w:ind w:firstLine="64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（项目名称）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；承接企业为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w:t>
      </w:r>
    </w:p>
    <w:p w14:paraId="5FD47C80">
      <w:pPr>
        <w:pStyle w:val="46"/>
        <w:spacing w:line="400" w:lineRule="exact"/>
        <w:ind w:firstLine="64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46C272FA">
      <w:pPr>
        <w:pStyle w:val="46"/>
        <w:spacing w:line="400" w:lineRule="exact"/>
        <w:ind w:firstLine="64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以上企业，不属于大企业的分支机构，不存在控股股东为大企业的情形，也不存在与大企业的负责人为同一人的情形。</w:t>
      </w:r>
    </w:p>
    <w:p w14:paraId="3EB773EB">
      <w:pPr>
        <w:pStyle w:val="46"/>
        <w:spacing w:after="40" w:line="400" w:lineRule="exact"/>
        <w:ind w:firstLine="640"/>
        <w:jc w:val="both"/>
        <w:rPr>
          <w:rFonts w:hint="eastAsia" w:ascii="仿宋" w:hAnsi="仿宋" w:eastAsia="仿宋" w:cs="仿宋"/>
          <w:color w:val="auto"/>
          <w:sz w:val="24"/>
          <w:szCs w:val="24"/>
          <w:highlight w:val="none"/>
        </w:rPr>
      </w:pPr>
      <w:r>
        <w:rPr>
          <w:rFonts w:hint="eastAsia" w:ascii="宋体" w:hAnsi="宋体" w:eastAsia="宋体" w:cs="宋体"/>
          <w:color w:val="auto"/>
          <w:sz w:val="24"/>
          <w:szCs w:val="24"/>
          <w:highlight w:val="none"/>
        </w:rPr>
        <w:t>本企业对上述声明内容的真实性负责。如有虚假，将依法承担相应责任。</w:t>
      </w:r>
    </w:p>
    <w:p w14:paraId="369DB489">
      <w:pPr>
        <w:spacing w:line="588" w:lineRule="exact"/>
        <w:ind w:firstLine="504" w:firstLineChars="200"/>
        <w:rPr>
          <w:rFonts w:ascii="宋体" w:hAnsi="宋体"/>
          <w:color w:val="auto"/>
          <w:spacing w:val="6"/>
          <w:sz w:val="24"/>
        </w:rPr>
      </w:pPr>
    </w:p>
    <w:p w14:paraId="779BDC60">
      <w:pPr>
        <w:snapToGrid w:val="0"/>
        <w:spacing w:before="50" w:after="50" w:line="48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投标人(公章或电子签章)：</w:t>
      </w:r>
    </w:p>
    <w:p w14:paraId="6A84C04F">
      <w:pPr>
        <w:snapToGrid w:val="0"/>
        <w:spacing w:before="50" w:after="50" w:line="480" w:lineRule="auto"/>
        <w:ind w:left="-6" w:leftChars="-15" w:right="-817" w:rightChars="-389" w:hanging="25" w:hangingChars="12"/>
        <w:jc w:val="left"/>
        <w:rPr>
          <w:rFonts w:ascii="宋体" w:hAnsi="宋体"/>
          <w:color w:val="auto"/>
          <w:sz w:val="20"/>
          <w:szCs w:val="22"/>
        </w:rPr>
      </w:pPr>
      <w:r>
        <w:rPr>
          <w:rFonts w:hint="eastAsia" w:ascii="宋体" w:hAnsi="宋体"/>
          <w:b/>
          <w:bCs/>
          <w:color w:val="auto"/>
          <w:szCs w:val="21"/>
        </w:rPr>
        <w:t>日期：    年   月   日</w:t>
      </w:r>
    </w:p>
    <w:p w14:paraId="2B1B93A7">
      <w:pPr>
        <w:snapToGrid w:val="0"/>
        <w:spacing w:beforeLines="50" w:line="480" w:lineRule="auto"/>
        <w:rPr>
          <w:rFonts w:ascii="宋体" w:hAnsi="宋体"/>
          <w:color w:val="auto"/>
          <w:szCs w:val="16"/>
        </w:rPr>
      </w:pPr>
    </w:p>
    <w:p w14:paraId="710840D9">
      <w:pPr>
        <w:rPr>
          <w:rFonts w:ascii="宋体" w:hAnsi="宋体"/>
          <w:color w:val="auto"/>
          <w:sz w:val="24"/>
        </w:rPr>
      </w:pPr>
      <w:r>
        <w:rPr>
          <w:rFonts w:hint="eastAsia" w:ascii="宋体" w:hAnsi="宋体"/>
          <w:color w:val="auto"/>
          <w:sz w:val="24"/>
        </w:rPr>
        <w:t>备注：如果投标产品（或服务）中有小型或微型企业的产品（服务），应在投标报价明细表中注明生产（或服务）企业名称，并在投标文件提供符合规定的有关证明材料（投标人应提供最近一年的年度财务审计报告，以证明投标人（或投标产品生产厂家）的营业收入、资产总额等指标），否则不认可该产品（服务）为小型或微型企业的产品（服务）。</w:t>
      </w:r>
    </w:p>
    <w:p w14:paraId="69121C5F">
      <w:pPr>
        <w:rPr>
          <w:rFonts w:ascii="宋体" w:hAnsi="宋体"/>
          <w:color w:val="auto"/>
          <w:sz w:val="24"/>
        </w:rPr>
      </w:pPr>
    </w:p>
    <w:p w14:paraId="4869C90B">
      <w:pPr>
        <w:rPr>
          <w:color w:val="auto"/>
        </w:rPr>
      </w:pPr>
      <w:r>
        <w:rPr>
          <w:rFonts w:hint="eastAsia" w:ascii="宋体" w:hAnsi="宋体"/>
          <w:color w:val="auto"/>
          <w:sz w:val="24"/>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r>
        <w:rPr>
          <w:color w:val="auto"/>
        </w:rPr>
        <w:br w:type="page"/>
      </w:r>
    </w:p>
    <w:p w14:paraId="5A659370">
      <w:pPr>
        <w:snapToGrid w:val="0"/>
        <w:spacing w:beforeLines="50" w:after="50"/>
        <w:ind w:left="142"/>
        <w:jc w:val="left"/>
        <w:rPr>
          <w:rFonts w:ascii="宋体" w:hAnsi="宋体"/>
          <w:b/>
          <w:color w:val="auto"/>
          <w:sz w:val="24"/>
        </w:rPr>
      </w:pPr>
      <w:r>
        <w:rPr>
          <w:rFonts w:hint="eastAsia" w:ascii="宋体" w:hAnsi="宋体"/>
          <w:b/>
          <w:color w:val="auto"/>
          <w:sz w:val="24"/>
        </w:rPr>
        <w:t>残疾人福利性单位声明函格式</w:t>
      </w:r>
    </w:p>
    <w:p w14:paraId="18E6814C">
      <w:pPr>
        <w:spacing w:line="588" w:lineRule="exact"/>
        <w:jc w:val="center"/>
        <w:rPr>
          <w:rFonts w:ascii="仿宋_GB2312" w:eastAsia="仿宋_GB2312"/>
          <w:b/>
          <w:color w:val="auto"/>
          <w:spacing w:val="6"/>
          <w:sz w:val="32"/>
          <w:szCs w:val="32"/>
        </w:rPr>
      </w:pPr>
      <w:bookmarkStart w:id="254" w:name="OLE_LINK14"/>
      <w:bookmarkStart w:id="255" w:name="OLE_LINK13"/>
    </w:p>
    <w:p w14:paraId="578365ED">
      <w:pPr>
        <w:spacing w:line="588" w:lineRule="exact"/>
        <w:jc w:val="center"/>
        <w:rPr>
          <w:rFonts w:ascii="宋体" w:hAnsi="宋体"/>
          <w:b/>
          <w:color w:val="auto"/>
          <w:spacing w:val="6"/>
          <w:sz w:val="32"/>
          <w:szCs w:val="32"/>
        </w:rPr>
      </w:pPr>
      <w:r>
        <w:rPr>
          <w:rFonts w:hint="eastAsia" w:ascii="宋体" w:hAnsi="宋体"/>
          <w:b/>
          <w:color w:val="auto"/>
          <w:spacing w:val="6"/>
          <w:sz w:val="32"/>
          <w:szCs w:val="32"/>
        </w:rPr>
        <w:t>残疾人福利性单位声明函</w:t>
      </w:r>
    </w:p>
    <w:bookmarkEnd w:id="254"/>
    <w:bookmarkEnd w:id="255"/>
    <w:p w14:paraId="63B564C2">
      <w:pPr>
        <w:spacing w:line="588" w:lineRule="exact"/>
        <w:rPr>
          <w:rFonts w:ascii="仿宋_GB2312" w:eastAsia="仿宋_GB2312"/>
          <w:b/>
          <w:color w:val="auto"/>
          <w:spacing w:val="6"/>
          <w:sz w:val="30"/>
          <w:szCs w:val="30"/>
        </w:rPr>
      </w:pPr>
    </w:p>
    <w:p w14:paraId="3BB9B7ED">
      <w:pPr>
        <w:spacing w:line="588" w:lineRule="exact"/>
        <w:ind w:firstLine="504" w:firstLineChars="200"/>
        <w:rPr>
          <w:rFonts w:ascii="宋体" w:hAnsi="宋体"/>
          <w:color w:val="auto"/>
          <w:spacing w:val="6"/>
          <w:sz w:val="24"/>
        </w:rPr>
      </w:pPr>
      <w:r>
        <w:rPr>
          <w:rFonts w:hint="eastAsia" w:ascii="宋体" w:hAnsi="宋体"/>
          <w:color w:val="auto"/>
          <w:spacing w:val="6"/>
          <w:sz w:val="24"/>
        </w:rPr>
        <w:t>本单位郑重声明，根据《财政部 民政部 中国残疾人联合会关于促进残疾人就业政府采购政策的通知》（财库</w:t>
      </w:r>
      <w:r>
        <w:rPr>
          <w:rFonts w:hint="eastAsia" w:ascii="宋体" w:hAnsi="宋体"/>
          <w:color w:val="auto"/>
          <w:sz w:val="24"/>
        </w:rPr>
        <w:t>〔2017〕 141</w:t>
      </w:r>
      <w:r>
        <w:rPr>
          <w:rFonts w:hint="eastAsia" w:ascii="宋体" w:hAnsi="宋体"/>
          <w:color w:val="auto"/>
          <w:spacing w:val="6"/>
          <w:sz w:val="24"/>
        </w:rPr>
        <w:t>号）的规定，本单位为符合条件的残疾人福利性单位，且本单位参加______单位的______项目采购活动提供本单位制造的货物（由本单位承担工程/提供服务），或者提供其他残</w:t>
      </w:r>
      <w:r>
        <w:rPr>
          <w:rFonts w:hint="eastAsia" w:ascii="宋体" w:hAnsi="宋体"/>
          <w:color w:val="auto"/>
          <w:spacing w:val="-6"/>
          <w:sz w:val="24"/>
        </w:rPr>
        <w:t>疾人福利性单位制造的货物（不包括使用非残疾人福利性单位注册商标的货物）。</w:t>
      </w:r>
    </w:p>
    <w:p w14:paraId="4BE0BBA5">
      <w:pPr>
        <w:spacing w:line="588" w:lineRule="exact"/>
        <w:ind w:firstLine="504" w:firstLineChars="200"/>
        <w:rPr>
          <w:rFonts w:ascii="宋体" w:hAnsi="宋体"/>
          <w:color w:val="auto"/>
          <w:spacing w:val="6"/>
          <w:sz w:val="24"/>
        </w:rPr>
      </w:pPr>
      <w:r>
        <w:rPr>
          <w:rFonts w:hint="eastAsia" w:ascii="宋体" w:hAnsi="宋体"/>
          <w:color w:val="auto"/>
          <w:spacing w:val="6"/>
          <w:sz w:val="24"/>
        </w:rPr>
        <w:t>本单位对上述声明的真实性负责。如有虚假，将依法承担相应责任。</w:t>
      </w:r>
    </w:p>
    <w:p w14:paraId="761B2918">
      <w:pPr>
        <w:spacing w:line="588" w:lineRule="exact"/>
        <w:ind w:firstLine="504" w:firstLineChars="200"/>
        <w:rPr>
          <w:rFonts w:ascii="宋体" w:hAnsi="宋体"/>
          <w:color w:val="auto"/>
          <w:spacing w:val="6"/>
          <w:sz w:val="24"/>
        </w:rPr>
      </w:pPr>
    </w:p>
    <w:p w14:paraId="7E383EE7">
      <w:pPr>
        <w:spacing w:line="588" w:lineRule="exact"/>
        <w:ind w:firstLine="504" w:firstLineChars="200"/>
        <w:rPr>
          <w:rFonts w:ascii="宋体" w:hAnsi="宋体"/>
          <w:color w:val="auto"/>
          <w:spacing w:val="6"/>
          <w:sz w:val="24"/>
        </w:rPr>
      </w:pPr>
    </w:p>
    <w:p w14:paraId="1FB79B7D">
      <w:pPr>
        <w:snapToGrid w:val="0"/>
        <w:spacing w:before="50" w:after="50" w:line="480" w:lineRule="auto"/>
        <w:ind w:left="-6" w:leftChars="-15" w:right="-817" w:rightChars="-389" w:hanging="25" w:hangingChars="12"/>
        <w:jc w:val="left"/>
        <w:rPr>
          <w:rFonts w:ascii="宋体" w:hAnsi="宋体"/>
          <w:b/>
          <w:bCs/>
          <w:color w:val="auto"/>
          <w:szCs w:val="21"/>
        </w:rPr>
      </w:pPr>
      <w:r>
        <w:rPr>
          <w:rFonts w:hint="eastAsia" w:ascii="宋体" w:hAnsi="宋体"/>
          <w:b/>
          <w:bCs/>
          <w:color w:val="auto"/>
          <w:szCs w:val="21"/>
        </w:rPr>
        <w:t>投标人(公章或电子签章)：</w:t>
      </w:r>
    </w:p>
    <w:p w14:paraId="46296A18">
      <w:pPr>
        <w:snapToGrid w:val="0"/>
        <w:spacing w:before="50" w:after="50" w:line="480" w:lineRule="auto"/>
        <w:ind w:left="-6" w:leftChars="-15" w:right="-817" w:rightChars="-389" w:hanging="25" w:hangingChars="12"/>
        <w:jc w:val="left"/>
        <w:rPr>
          <w:rFonts w:ascii="宋体" w:hAnsi="宋体"/>
          <w:color w:val="auto"/>
          <w:sz w:val="20"/>
          <w:szCs w:val="22"/>
        </w:rPr>
      </w:pPr>
      <w:r>
        <w:rPr>
          <w:rFonts w:hint="eastAsia" w:ascii="宋体" w:hAnsi="宋体"/>
          <w:b/>
          <w:bCs/>
          <w:color w:val="auto"/>
          <w:szCs w:val="21"/>
        </w:rPr>
        <w:t>日期：    年   月   日</w:t>
      </w:r>
    </w:p>
    <w:p w14:paraId="7E78D172">
      <w:pPr>
        <w:snapToGrid w:val="0"/>
        <w:spacing w:beforeLines="50" w:line="480" w:lineRule="auto"/>
        <w:rPr>
          <w:rFonts w:ascii="宋体" w:hAnsi="宋体"/>
          <w:color w:val="auto"/>
          <w:szCs w:val="16"/>
        </w:rPr>
      </w:pPr>
    </w:p>
    <w:p w14:paraId="7C2FFA4B">
      <w:pPr>
        <w:rPr>
          <w:rFonts w:ascii="宋体" w:hAnsi="宋体"/>
          <w:color w:val="auto"/>
          <w:sz w:val="24"/>
        </w:rPr>
      </w:pPr>
    </w:p>
    <w:p w14:paraId="792D9091">
      <w:pPr>
        <w:rPr>
          <w:rFonts w:ascii="宋体" w:hAnsi="宋体"/>
          <w:color w:val="auto"/>
          <w:sz w:val="24"/>
        </w:rPr>
      </w:pPr>
    </w:p>
    <w:p w14:paraId="30191B34">
      <w:pPr>
        <w:rPr>
          <w:rFonts w:ascii="宋体" w:hAnsi="宋体"/>
          <w:color w:val="auto"/>
          <w:sz w:val="24"/>
        </w:rPr>
      </w:pPr>
    </w:p>
    <w:p w14:paraId="667D20E3">
      <w:pPr>
        <w:rPr>
          <w:rFonts w:ascii="宋体" w:hAnsi="宋体"/>
          <w:color w:val="auto"/>
          <w:sz w:val="24"/>
        </w:rPr>
      </w:pPr>
      <w:r>
        <w:rPr>
          <w:rFonts w:hint="eastAsia" w:ascii="宋体" w:hAnsi="宋体"/>
          <w:color w:val="auto"/>
          <w:sz w:val="24"/>
        </w:rPr>
        <w:t>注：请根据自己的真实情况出具《残疾人福利性单位声明函》。依法享受中小企业优惠政策的，采购人或者采购代理机构在公告中标结果时，同时公告其《残疾人福利性单位声明函》，接受社会监督。</w:t>
      </w:r>
    </w:p>
    <w:p w14:paraId="3C99852C">
      <w:pPr>
        <w:spacing w:line="240" w:lineRule="auto"/>
        <w:jc w:val="left"/>
        <w:rPr>
          <w:rFonts w:ascii="宋体" w:hAnsi="宋体"/>
          <w:color w:val="auto"/>
          <w:sz w:val="24"/>
        </w:rPr>
      </w:pPr>
      <w:r>
        <w:rPr>
          <w:rFonts w:ascii="宋体" w:hAnsi="宋体"/>
          <w:color w:val="auto"/>
          <w:sz w:val="24"/>
        </w:rPr>
        <w:br w:type="page"/>
      </w:r>
    </w:p>
    <w:p w14:paraId="4710499F">
      <w:pPr>
        <w:spacing w:line="360" w:lineRule="auto"/>
        <w:jc w:val="center"/>
        <w:rPr>
          <w:rFonts w:ascii="宋体" w:hAnsi="宋体"/>
          <w:b/>
          <w:bCs/>
          <w:color w:val="auto"/>
          <w:sz w:val="32"/>
          <w:szCs w:val="32"/>
        </w:rPr>
      </w:pPr>
      <w:r>
        <w:rPr>
          <w:rFonts w:hint="eastAsia" w:ascii="宋体" w:hAnsi="宋体"/>
          <w:b/>
          <w:bCs/>
          <w:color w:val="auto"/>
          <w:sz w:val="32"/>
          <w:szCs w:val="32"/>
        </w:rPr>
        <w:t>质疑函（格式）</w:t>
      </w:r>
    </w:p>
    <w:p w14:paraId="15810341">
      <w:pPr>
        <w:pStyle w:val="14"/>
        <w:snapToGrid w:val="0"/>
        <w:spacing w:line="360" w:lineRule="auto"/>
        <w:ind w:firstLine="482" w:firstLineChars="200"/>
        <w:rPr>
          <w:rFonts w:hAnsi="宋体"/>
          <w:b/>
          <w:bCs/>
          <w:color w:val="auto"/>
          <w:sz w:val="24"/>
          <w:szCs w:val="24"/>
        </w:rPr>
      </w:pPr>
      <w:r>
        <w:rPr>
          <w:rFonts w:hint="eastAsia" w:hAnsi="宋体"/>
          <w:b/>
          <w:bCs/>
          <w:color w:val="auto"/>
          <w:sz w:val="24"/>
          <w:szCs w:val="24"/>
        </w:rPr>
        <w:t>一、质疑供应商基本信息：</w:t>
      </w:r>
    </w:p>
    <w:p w14:paraId="44B52BCE">
      <w:pPr>
        <w:pStyle w:val="14"/>
        <w:snapToGrid w:val="0"/>
        <w:spacing w:line="360" w:lineRule="auto"/>
        <w:ind w:firstLine="480" w:firstLineChars="200"/>
        <w:rPr>
          <w:rFonts w:hAnsi="宋体"/>
          <w:bCs/>
          <w:color w:val="auto"/>
          <w:sz w:val="24"/>
          <w:szCs w:val="24"/>
          <w:u w:val="single"/>
        </w:rPr>
      </w:pPr>
      <w:r>
        <w:rPr>
          <w:rFonts w:hint="eastAsia" w:hAnsi="宋体"/>
          <w:bCs/>
          <w:color w:val="auto"/>
          <w:sz w:val="24"/>
          <w:szCs w:val="24"/>
        </w:rPr>
        <w:t>质疑供应商：</w:t>
      </w:r>
    </w:p>
    <w:p w14:paraId="71D1E6F9">
      <w:pPr>
        <w:pStyle w:val="14"/>
        <w:snapToGrid w:val="0"/>
        <w:spacing w:line="360" w:lineRule="auto"/>
        <w:ind w:firstLine="480" w:firstLineChars="200"/>
        <w:rPr>
          <w:rFonts w:hAnsi="宋体"/>
          <w:bCs/>
          <w:color w:val="auto"/>
          <w:sz w:val="24"/>
          <w:szCs w:val="24"/>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lang w:val="en-US" w:eastAsia="zh-CN"/>
        </w:rPr>
        <w:t xml:space="preserve">                  </w:t>
      </w:r>
      <w:r>
        <w:rPr>
          <w:rFonts w:hAnsi="宋体"/>
          <w:bCs/>
          <w:color w:val="auto"/>
          <w:sz w:val="24"/>
          <w:szCs w:val="24"/>
        </w:rPr>
        <w:t>邮编</w:t>
      </w:r>
      <w:r>
        <w:rPr>
          <w:rFonts w:hint="eastAsia" w:hAnsi="宋体"/>
          <w:bCs/>
          <w:color w:val="auto"/>
          <w:sz w:val="24"/>
          <w:szCs w:val="24"/>
        </w:rPr>
        <w:t>：</w:t>
      </w:r>
    </w:p>
    <w:p w14:paraId="777CF253">
      <w:pPr>
        <w:pStyle w:val="14"/>
        <w:snapToGrid w:val="0"/>
        <w:spacing w:line="360" w:lineRule="auto"/>
        <w:ind w:firstLine="480" w:firstLineChars="200"/>
        <w:rPr>
          <w:rFonts w:hAnsi="宋体"/>
          <w:bCs/>
          <w:color w:val="auto"/>
          <w:sz w:val="24"/>
          <w:szCs w:val="24"/>
        </w:rPr>
      </w:pPr>
      <w:r>
        <w:rPr>
          <w:rFonts w:hAnsi="宋体"/>
          <w:bCs/>
          <w:color w:val="auto"/>
          <w:sz w:val="24"/>
          <w:szCs w:val="24"/>
        </w:rPr>
        <w:t>联系人</w:t>
      </w:r>
      <w:r>
        <w:rPr>
          <w:rFonts w:hint="eastAsia" w:hAnsi="宋体"/>
          <w:bCs/>
          <w:color w:val="auto"/>
          <w:sz w:val="24"/>
          <w:szCs w:val="24"/>
        </w:rPr>
        <w:t>：</w:t>
      </w:r>
      <w:r>
        <w:rPr>
          <w:rFonts w:hint="eastAsia" w:hAnsi="宋体"/>
          <w:bCs/>
          <w:color w:val="auto"/>
          <w:sz w:val="24"/>
          <w:szCs w:val="24"/>
          <w:lang w:val="en-US" w:eastAsia="zh-CN"/>
        </w:rPr>
        <w:t xml:space="preserve">                </w:t>
      </w:r>
      <w:r>
        <w:rPr>
          <w:rFonts w:hAnsi="宋体"/>
          <w:bCs/>
          <w:color w:val="auto"/>
          <w:sz w:val="24"/>
          <w:szCs w:val="24"/>
        </w:rPr>
        <w:t>联系电话</w:t>
      </w:r>
      <w:r>
        <w:rPr>
          <w:rFonts w:hint="eastAsia" w:hAnsi="宋体"/>
          <w:bCs/>
          <w:color w:val="auto"/>
          <w:sz w:val="24"/>
          <w:szCs w:val="24"/>
        </w:rPr>
        <w:t>：</w:t>
      </w:r>
    </w:p>
    <w:p w14:paraId="38097BAD">
      <w:pPr>
        <w:pStyle w:val="14"/>
        <w:snapToGrid w:val="0"/>
        <w:spacing w:line="360" w:lineRule="auto"/>
        <w:ind w:firstLine="480" w:firstLineChars="200"/>
        <w:rPr>
          <w:rFonts w:hAnsi="宋体"/>
          <w:bCs/>
          <w:color w:val="auto"/>
          <w:sz w:val="24"/>
          <w:szCs w:val="24"/>
        </w:rPr>
      </w:pPr>
      <w:r>
        <w:rPr>
          <w:rFonts w:hint="eastAsia" w:hAnsi="宋体"/>
          <w:bCs/>
          <w:color w:val="auto"/>
          <w:sz w:val="24"/>
          <w:szCs w:val="24"/>
        </w:rPr>
        <w:t>授权代表：</w:t>
      </w:r>
    </w:p>
    <w:p w14:paraId="6D68CE88">
      <w:pPr>
        <w:pStyle w:val="14"/>
        <w:snapToGrid w:val="0"/>
        <w:spacing w:line="360" w:lineRule="auto"/>
        <w:ind w:firstLine="480" w:firstLineChars="200"/>
        <w:rPr>
          <w:rFonts w:hAnsi="宋体"/>
          <w:bCs/>
          <w:color w:val="auto"/>
          <w:sz w:val="24"/>
          <w:szCs w:val="24"/>
          <w:u w:val="single"/>
        </w:rPr>
      </w:pPr>
      <w:r>
        <w:rPr>
          <w:rFonts w:hAnsi="宋体"/>
          <w:bCs/>
          <w:color w:val="auto"/>
          <w:sz w:val="24"/>
          <w:szCs w:val="24"/>
        </w:rPr>
        <w:t>联系</w:t>
      </w:r>
      <w:r>
        <w:rPr>
          <w:rFonts w:hint="eastAsia" w:hAnsi="宋体"/>
          <w:bCs/>
          <w:color w:val="auto"/>
          <w:sz w:val="24"/>
          <w:szCs w:val="24"/>
        </w:rPr>
        <w:t>电话：</w:t>
      </w:r>
    </w:p>
    <w:p w14:paraId="771DF5BE">
      <w:pPr>
        <w:pStyle w:val="14"/>
        <w:snapToGrid w:val="0"/>
        <w:spacing w:line="360" w:lineRule="auto"/>
        <w:ind w:firstLine="480" w:firstLineChars="200"/>
        <w:rPr>
          <w:rFonts w:hAnsi="宋体"/>
          <w:bCs/>
          <w:color w:val="auto"/>
          <w:sz w:val="24"/>
          <w:szCs w:val="24"/>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lang w:val="en-US" w:eastAsia="zh-CN"/>
        </w:rPr>
        <w:t xml:space="preserve">                  </w:t>
      </w:r>
      <w:r>
        <w:rPr>
          <w:rFonts w:hAnsi="宋体"/>
          <w:bCs/>
          <w:color w:val="auto"/>
          <w:sz w:val="24"/>
          <w:szCs w:val="24"/>
        </w:rPr>
        <w:t>邮编</w:t>
      </w:r>
      <w:r>
        <w:rPr>
          <w:rFonts w:hint="eastAsia" w:hAnsi="宋体"/>
          <w:bCs/>
          <w:color w:val="auto"/>
          <w:sz w:val="24"/>
          <w:szCs w:val="24"/>
        </w:rPr>
        <w:t>：</w:t>
      </w:r>
    </w:p>
    <w:p w14:paraId="6F1516E8">
      <w:pPr>
        <w:pStyle w:val="14"/>
        <w:snapToGrid w:val="0"/>
        <w:spacing w:line="360" w:lineRule="auto"/>
        <w:ind w:firstLine="482" w:firstLineChars="200"/>
        <w:rPr>
          <w:rFonts w:hAnsi="宋体"/>
          <w:b/>
          <w:bCs/>
          <w:color w:val="auto"/>
          <w:sz w:val="24"/>
          <w:szCs w:val="24"/>
        </w:rPr>
      </w:pPr>
      <w:r>
        <w:rPr>
          <w:rFonts w:hint="eastAsia" w:hAnsi="宋体"/>
          <w:b/>
          <w:bCs/>
          <w:color w:val="auto"/>
          <w:sz w:val="24"/>
          <w:szCs w:val="24"/>
        </w:rPr>
        <w:t>二、质疑项目基本情况：</w:t>
      </w:r>
    </w:p>
    <w:p w14:paraId="689FDC20">
      <w:pPr>
        <w:pStyle w:val="14"/>
        <w:spacing w:line="360" w:lineRule="auto"/>
        <w:ind w:left="25" w:leftChars="12" w:firstLine="472" w:firstLineChars="197"/>
        <w:rPr>
          <w:rFonts w:hAnsi="宋体"/>
          <w:color w:val="auto"/>
          <w:sz w:val="24"/>
          <w:szCs w:val="24"/>
        </w:rPr>
      </w:pPr>
      <w:r>
        <w:rPr>
          <w:rFonts w:hint="eastAsia" w:hAnsi="宋体"/>
          <w:bCs/>
          <w:color w:val="auto"/>
          <w:sz w:val="24"/>
          <w:szCs w:val="24"/>
        </w:rPr>
        <w:t>质疑</w:t>
      </w:r>
      <w:r>
        <w:rPr>
          <w:rFonts w:hint="eastAsia" w:hAnsi="宋体"/>
          <w:color w:val="auto"/>
          <w:sz w:val="24"/>
          <w:szCs w:val="24"/>
        </w:rPr>
        <w:t>项目的名称：</w:t>
      </w:r>
    </w:p>
    <w:p w14:paraId="2763F79E">
      <w:pPr>
        <w:pStyle w:val="14"/>
        <w:spacing w:line="360" w:lineRule="auto"/>
        <w:ind w:left="25" w:leftChars="12" w:firstLine="472" w:firstLineChars="197"/>
        <w:rPr>
          <w:rFonts w:hAnsi="宋体"/>
          <w:color w:val="auto"/>
          <w:sz w:val="24"/>
          <w:szCs w:val="24"/>
        </w:rPr>
      </w:pPr>
      <w:r>
        <w:rPr>
          <w:rFonts w:hint="eastAsia" w:hAnsi="宋体"/>
          <w:bCs/>
          <w:color w:val="auto"/>
          <w:sz w:val="24"/>
          <w:szCs w:val="24"/>
        </w:rPr>
        <w:t>质疑</w:t>
      </w:r>
      <w:r>
        <w:rPr>
          <w:rFonts w:hint="eastAsia" w:hAnsi="宋体"/>
          <w:color w:val="auto"/>
          <w:sz w:val="24"/>
          <w:szCs w:val="24"/>
        </w:rPr>
        <w:t>项目的编号：</w:t>
      </w:r>
    </w:p>
    <w:p w14:paraId="125BF078">
      <w:pPr>
        <w:pStyle w:val="14"/>
        <w:spacing w:line="360" w:lineRule="auto"/>
        <w:ind w:left="25" w:leftChars="12" w:firstLine="472" w:firstLineChars="197"/>
        <w:rPr>
          <w:rFonts w:hAnsi="宋体"/>
          <w:color w:val="auto"/>
          <w:sz w:val="24"/>
          <w:szCs w:val="24"/>
        </w:rPr>
      </w:pPr>
      <w:r>
        <w:rPr>
          <w:rFonts w:hint="eastAsia" w:hAnsi="宋体"/>
          <w:color w:val="auto"/>
          <w:sz w:val="24"/>
          <w:szCs w:val="24"/>
        </w:rPr>
        <w:t>采购人名称：</w:t>
      </w:r>
    </w:p>
    <w:p w14:paraId="6907E690">
      <w:pPr>
        <w:pStyle w:val="14"/>
        <w:spacing w:line="360" w:lineRule="auto"/>
        <w:ind w:left="25" w:leftChars="12" w:firstLine="472" w:firstLineChars="197"/>
        <w:rPr>
          <w:rFonts w:hAnsi="宋体"/>
          <w:color w:val="auto"/>
          <w:sz w:val="24"/>
          <w:szCs w:val="24"/>
        </w:rPr>
      </w:pPr>
      <w:r>
        <w:rPr>
          <w:rFonts w:hint="eastAsia" w:hAnsi="宋体"/>
          <w:color w:val="auto"/>
          <w:sz w:val="24"/>
          <w:szCs w:val="24"/>
        </w:rPr>
        <w:t>质疑事项：</w:t>
      </w:r>
    </w:p>
    <w:p w14:paraId="0A9F9136">
      <w:pPr>
        <w:pStyle w:val="14"/>
        <w:spacing w:line="360" w:lineRule="auto"/>
        <w:ind w:left="25" w:leftChars="12" w:firstLine="352" w:firstLineChars="147"/>
        <w:rPr>
          <w:rFonts w:hAnsi="宋体"/>
          <w:color w:val="auto"/>
          <w:sz w:val="24"/>
          <w:szCs w:val="24"/>
        </w:rPr>
      </w:pPr>
      <w:r>
        <w:rPr>
          <w:rFonts w:hint="eastAsia" w:hAnsi="宋体"/>
          <w:color w:val="auto"/>
          <w:sz w:val="24"/>
          <w:szCs w:val="24"/>
        </w:rPr>
        <w:t>□招标文件   招标文件获取日期：</w:t>
      </w:r>
    </w:p>
    <w:p w14:paraId="4DAC84E1">
      <w:pPr>
        <w:pStyle w:val="14"/>
        <w:spacing w:line="360" w:lineRule="auto"/>
        <w:ind w:left="25" w:leftChars="12" w:firstLine="352" w:firstLineChars="147"/>
        <w:rPr>
          <w:rFonts w:hAnsi="宋体"/>
          <w:color w:val="auto"/>
          <w:sz w:val="24"/>
          <w:szCs w:val="24"/>
        </w:rPr>
      </w:pPr>
      <w:r>
        <w:rPr>
          <w:rFonts w:hint="eastAsia" w:hAnsi="宋体"/>
          <w:color w:val="auto"/>
          <w:sz w:val="24"/>
          <w:szCs w:val="24"/>
        </w:rPr>
        <w:t xml:space="preserve">□采购过程   </w:t>
      </w:r>
    </w:p>
    <w:p w14:paraId="0CCF5EA1">
      <w:pPr>
        <w:pStyle w:val="14"/>
        <w:spacing w:line="360" w:lineRule="auto"/>
        <w:ind w:left="25" w:leftChars="12" w:firstLine="352" w:firstLineChars="147"/>
        <w:rPr>
          <w:rFonts w:hAnsi="宋体"/>
          <w:bCs/>
          <w:color w:val="auto"/>
          <w:sz w:val="24"/>
          <w:szCs w:val="24"/>
          <w:u w:val="single"/>
        </w:rPr>
      </w:pPr>
      <w:r>
        <w:rPr>
          <w:rFonts w:hint="eastAsia" w:hAnsi="宋体"/>
          <w:color w:val="auto"/>
          <w:sz w:val="24"/>
          <w:szCs w:val="24"/>
        </w:rPr>
        <w:t xml:space="preserve">□中标结果   </w:t>
      </w:r>
    </w:p>
    <w:p w14:paraId="36871D15">
      <w:pPr>
        <w:pStyle w:val="14"/>
        <w:spacing w:line="360" w:lineRule="auto"/>
        <w:ind w:left="25" w:leftChars="12" w:firstLine="472" w:firstLineChars="196"/>
        <w:rPr>
          <w:rFonts w:hAnsi="宋体"/>
          <w:b/>
          <w:color w:val="auto"/>
          <w:sz w:val="24"/>
          <w:szCs w:val="24"/>
        </w:rPr>
      </w:pPr>
      <w:r>
        <w:rPr>
          <w:rFonts w:hint="eastAsia" w:hAnsi="宋体"/>
          <w:b/>
          <w:color w:val="auto"/>
          <w:sz w:val="24"/>
          <w:szCs w:val="24"/>
        </w:rPr>
        <w:t>三、质疑事项具体内容</w:t>
      </w:r>
    </w:p>
    <w:p w14:paraId="1B4AA128">
      <w:pPr>
        <w:pStyle w:val="14"/>
        <w:spacing w:line="360" w:lineRule="auto"/>
        <w:ind w:left="25" w:leftChars="12" w:firstLine="472" w:firstLineChars="197"/>
        <w:rPr>
          <w:rFonts w:hAnsi="宋体"/>
          <w:color w:val="auto"/>
          <w:sz w:val="24"/>
          <w:szCs w:val="24"/>
        </w:rPr>
      </w:pPr>
      <w:r>
        <w:rPr>
          <w:rFonts w:hint="eastAsia" w:hAnsi="宋体"/>
          <w:color w:val="auto"/>
          <w:sz w:val="24"/>
          <w:szCs w:val="24"/>
        </w:rPr>
        <w:t>质疑事项1：</w:t>
      </w:r>
    </w:p>
    <w:p w14:paraId="5B01D56E">
      <w:pPr>
        <w:pStyle w:val="14"/>
        <w:spacing w:line="360" w:lineRule="auto"/>
        <w:ind w:left="25" w:leftChars="12" w:firstLine="472" w:firstLineChars="197"/>
        <w:rPr>
          <w:rFonts w:hAnsi="宋体"/>
          <w:color w:val="auto"/>
          <w:sz w:val="24"/>
          <w:szCs w:val="24"/>
        </w:rPr>
      </w:pPr>
      <w:r>
        <w:rPr>
          <w:rFonts w:hint="eastAsia" w:hAnsi="宋体"/>
          <w:color w:val="auto"/>
          <w:sz w:val="24"/>
          <w:szCs w:val="24"/>
        </w:rPr>
        <w:t>事实依据：</w:t>
      </w:r>
    </w:p>
    <w:p w14:paraId="59C997D4">
      <w:pPr>
        <w:pStyle w:val="14"/>
        <w:spacing w:line="360" w:lineRule="auto"/>
        <w:ind w:left="25" w:leftChars="12" w:firstLine="472" w:firstLineChars="197"/>
        <w:rPr>
          <w:rFonts w:hAnsi="宋体"/>
          <w:color w:val="auto"/>
          <w:sz w:val="24"/>
          <w:szCs w:val="24"/>
        </w:rPr>
      </w:pPr>
      <w:r>
        <w:rPr>
          <w:rFonts w:hint="eastAsia" w:hAnsi="宋体"/>
          <w:color w:val="auto"/>
          <w:sz w:val="24"/>
          <w:szCs w:val="24"/>
        </w:rPr>
        <w:t>法律依据：</w:t>
      </w:r>
    </w:p>
    <w:p w14:paraId="02BF7733">
      <w:pPr>
        <w:pStyle w:val="14"/>
        <w:spacing w:line="360" w:lineRule="auto"/>
        <w:ind w:left="25" w:leftChars="12" w:firstLine="472" w:firstLineChars="197"/>
        <w:rPr>
          <w:rFonts w:hAnsi="宋体"/>
          <w:color w:val="auto"/>
          <w:sz w:val="24"/>
          <w:szCs w:val="24"/>
        </w:rPr>
      </w:pPr>
      <w:r>
        <w:rPr>
          <w:rFonts w:hint="eastAsia" w:hAnsi="宋体"/>
          <w:color w:val="auto"/>
          <w:sz w:val="24"/>
          <w:szCs w:val="24"/>
        </w:rPr>
        <w:t>质疑事项2</w:t>
      </w:r>
    </w:p>
    <w:p w14:paraId="4B078EAE">
      <w:pPr>
        <w:pStyle w:val="14"/>
        <w:spacing w:line="360" w:lineRule="auto"/>
        <w:ind w:left="25" w:leftChars="12" w:firstLine="472" w:firstLineChars="197"/>
        <w:rPr>
          <w:rFonts w:hAnsi="宋体"/>
          <w:color w:val="auto"/>
          <w:sz w:val="24"/>
          <w:szCs w:val="24"/>
        </w:rPr>
      </w:pPr>
      <w:r>
        <w:rPr>
          <w:rFonts w:hAnsi="宋体"/>
          <w:color w:val="auto"/>
          <w:sz w:val="24"/>
          <w:szCs w:val="24"/>
        </w:rPr>
        <w:t>……</w:t>
      </w:r>
    </w:p>
    <w:p w14:paraId="58F34960">
      <w:pPr>
        <w:pStyle w:val="14"/>
        <w:spacing w:line="360" w:lineRule="auto"/>
        <w:ind w:left="25" w:leftChars="12" w:firstLine="472" w:firstLineChars="197"/>
        <w:rPr>
          <w:rFonts w:hAnsi="宋体"/>
          <w:color w:val="auto"/>
          <w:sz w:val="24"/>
          <w:szCs w:val="24"/>
        </w:rPr>
      </w:pPr>
      <w:r>
        <w:rPr>
          <w:rFonts w:hint="eastAsia" w:hAnsi="宋体"/>
          <w:color w:val="auto"/>
          <w:sz w:val="24"/>
          <w:szCs w:val="24"/>
        </w:rPr>
        <w:t>四、与质疑事项相关的质疑请求：</w:t>
      </w:r>
    </w:p>
    <w:p w14:paraId="6B412DEE">
      <w:pPr>
        <w:pStyle w:val="14"/>
        <w:spacing w:line="360" w:lineRule="auto"/>
        <w:ind w:left="25" w:leftChars="12" w:firstLine="472" w:firstLineChars="197"/>
        <w:rPr>
          <w:rFonts w:hAnsi="宋体"/>
          <w:color w:val="auto"/>
          <w:sz w:val="24"/>
          <w:szCs w:val="24"/>
        </w:rPr>
      </w:pPr>
      <w:r>
        <w:rPr>
          <w:rFonts w:hint="eastAsia" w:hAnsi="宋体"/>
          <w:color w:val="auto"/>
          <w:sz w:val="24"/>
          <w:szCs w:val="24"/>
        </w:rPr>
        <w:t>请求：</w:t>
      </w:r>
    </w:p>
    <w:p w14:paraId="5EACB3F3">
      <w:pPr>
        <w:pStyle w:val="14"/>
        <w:spacing w:line="360" w:lineRule="auto"/>
        <w:ind w:left="25" w:leftChars="12" w:firstLine="352" w:firstLineChars="147"/>
        <w:rPr>
          <w:rFonts w:hAnsi="宋体"/>
          <w:color w:val="auto"/>
          <w:sz w:val="24"/>
          <w:szCs w:val="24"/>
        </w:rPr>
      </w:pPr>
    </w:p>
    <w:p w14:paraId="1B7D610B">
      <w:pPr>
        <w:pStyle w:val="14"/>
        <w:spacing w:line="360" w:lineRule="auto"/>
        <w:ind w:left="25" w:leftChars="12" w:firstLine="472" w:firstLineChars="197"/>
        <w:rPr>
          <w:rFonts w:hAnsi="宋体"/>
          <w:color w:val="auto"/>
          <w:sz w:val="24"/>
          <w:szCs w:val="24"/>
        </w:rPr>
      </w:pPr>
      <w:r>
        <w:rPr>
          <w:rFonts w:hint="eastAsia" w:hAnsi="宋体"/>
          <w:color w:val="auto"/>
          <w:sz w:val="24"/>
          <w:szCs w:val="24"/>
        </w:rPr>
        <w:t>签字（签章）：                                       公章：</w:t>
      </w:r>
    </w:p>
    <w:p w14:paraId="25DCFC6A">
      <w:pPr>
        <w:pStyle w:val="14"/>
        <w:spacing w:line="360" w:lineRule="auto"/>
        <w:ind w:left="25" w:leftChars="12" w:firstLine="352" w:firstLineChars="147"/>
        <w:rPr>
          <w:rFonts w:hAnsi="宋体"/>
          <w:color w:val="auto"/>
          <w:sz w:val="24"/>
          <w:szCs w:val="24"/>
        </w:rPr>
      </w:pPr>
    </w:p>
    <w:p w14:paraId="395304A0">
      <w:pPr>
        <w:pStyle w:val="14"/>
        <w:spacing w:line="360" w:lineRule="auto"/>
        <w:ind w:left="25" w:leftChars="12" w:firstLine="472" w:firstLineChars="197"/>
        <w:rPr>
          <w:rFonts w:hAnsi="宋体"/>
          <w:color w:val="auto"/>
          <w:sz w:val="24"/>
          <w:szCs w:val="24"/>
        </w:rPr>
      </w:pPr>
      <w:r>
        <w:rPr>
          <w:rFonts w:hint="eastAsia" w:hAnsi="宋体"/>
          <w:color w:val="auto"/>
          <w:sz w:val="24"/>
          <w:szCs w:val="24"/>
        </w:rPr>
        <w:t>日期：</w:t>
      </w:r>
    </w:p>
    <w:p w14:paraId="27CE3427">
      <w:pPr>
        <w:pStyle w:val="14"/>
        <w:snapToGrid w:val="0"/>
        <w:spacing w:line="360" w:lineRule="auto"/>
        <w:rPr>
          <w:rFonts w:hAnsi="宋体"/>
          <w:b/>
          <w:color w:val="auto"/>
          <w:sz w:val="24"/>
          <w:szCs w:val="24"/>
        </w:rPr>
      </w:pPr>
    </w:p>
    <w:p w14:paraId="65F511C2">
      <w:pPr>
        <w:pStyle w:val="14"/>
        <w:snapToGrid w:val="0"/>
        <w:spacing w:line="360" w:lineRule="auto"/>
        <w:rPr>
          <w:rFonts w:hAnsi="宋体"/>
          <w:b/>
          <w:color w:val="auto"/>
          <w:sz w:val="24"/>
          <w:szCs w:val="24"/>
        </w:rPr>
      </w:pPr>
      <w:r>
        <w:rPr>
          <w:rFonts w:hint="eastAsia" w:hAnsi="宋体"/>
          <w:b/>
          <w:color w:val="auto"/>
          <w:sz w:val="24"/>
          <w:szCs w:val="24"/>
        </w:rPr>
        <w:t>说明：</w:t>
      </w:r>
    </w:p>
    <w:p w14:paraId="56E5EA10">
      <w:pPr>
        <w:pStyle w:val="14"/>
        <w:spacing w:line="360" w:lineRule="auto"/>
        <w:ind w:left="25" w:leftChars="12" w:firstLine="354" w:firstLineChars="147"/>
        <w:rPr>
          <w:rFonts w:hAnsi="宋体"/>
          <w:b/>
          <w:bCs/>
          <w:color w:val="auto"/>
          <w:sz w:val="24"/>
          <w:szCs w:val="24"/>
        </w:rPr>
      </w:pPr>
      <w:r>
        <w:rPr>
          <w:rFonts w:hint="eastAsia" w:hAnsi="宋体"/>
          <w:b/>
          <w:color w:val="auto"/>
          <w:sz w:val="24"/>
          <w:szCs w:val="24"/>
        </w:rPr>
        <w:t>1.供应商提出质疑时，应提交质疑函和必要的证明材料</w:t>
      </w:r>
      <w:r>
        <w:rPr>
          <w:rFonts w:hint="eastAsia" w:hAnsi="宋体"/>
          <w:b/>
          <w:bCs/>
          <w:color w:val="auto"/>
          <w:sz w:val="24"/>
          <w:szCs w:val="24"/>
        </w:rPr>
        <w:t>。</w:t>
      </w:r>
    </w:p>
    <w:p w14:paraId="038A76E1">
      <w:pPr>
        <w:pStyle w:val="14"/>
        <w:spacing w:line="360" w:lineRule="auto"/>
        <w:ind w:left="25" w:leftChars="12" w:firstLine="354" w:firstLineChars="147"/>
        <w:rPr>
          <w:rFonts w:hAnsi="宋体"/>
          <w:b/>
          <w:color w:val="auto"/>
          <w:sz w:val="24"/>
          <w:szCs w:val="24"/>
        </w:rPr>
      </w:pPr>
      <w:r>
        <w:rPr>
          <w:rFonts w:hint="eastAsia" w:hAnsi="宋体"/>
          <w:b/>
          <w:color w:val="auto"/>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2461DD48">
      <w:pPr>
        <w:pStyle w:val="14"/>
        <w:spacing w:line="360" w:lineRule="auto"/>
        <w:ind w:left="25" w:leftChars="12" w:firstLine="354" w:firstLineChars="147"/>
        <w:rPr>
          <w:rFonts w:hAnsi="宋体"/>
          <w:b/>
          <w:color w:val="auto"/>
          <w:sz w:val="24"/>
          <w:szCs w:val="24"/>
        </w:rPr>
      </w:pPr>
      <w:r>
        <w:rPr>
          <w:rFonts w:hint="eastAsia" w:hAnsi="宋体"/>
          <w:b/>
          <w:color w:val="auto"/>
          <w:sz w:val="24"/>
          <w:szCs w:val="24"/>
        </w:rPr>
        <w:t>3.质疑函的质疑事项应具体、明确，并有必要的事实依据和法律依据。</w:t>
      </w:r>
    </w:p>
    <w:p w14:paraId="3B1E7943">
      <w:pPr>
        <w:pStyle w:val="14"/>
        <w:spacing w:line="360" w:lineRule="auto"/>
        <w:ind w:left="25" w:leftChars="12" w:firstLine="354" w:firstLineChars="147"/>
        <w:rPr>
          <w:rFonts w:hAnsi="宋体"/>
          <w:b/>
          <w:color w:val="auto"/>
          <w:sz w:val="24"/>
          <w:szCs w:val="24"/>
        </w:rPr>
      </w:pPr>
      <w:r>
        <w:rPr>
          <w:rFonts w:hint="eastAsia" w:hAnsi="宋体"/>
          <w:b/>
          <w:color w:val="auto"/>
          <w:sz w:val="24"/>
          <w:szCs w:val="24"/>
        </w:rPr>
        <w:t>4.质疑函的质疑请求应与质疑事项相关。</w:t>
      </w:r>
    </w:p>
    <w:p w14:paraId="0361F201">
      <w:pPr>
        <w:pStyle w:val="14"/>
        <w:spacing w:line="360" w:lineRule="auto"/>
        <w:ind w:left="25" w:leftChars="12" w:firstLine="354" w:firstLineChars="147"/>
        <w:rPr>
          <w:rFonts w:hAnsi="宋体"/>
          <w:b/>
          <w:color w:val="auto"/>
        </w:rPr>
      </w:pPr>
      <w:r>
        <w:rPr>
          <w:rFonts w:hint="eastAsia" w:hAnsi="宋体"/>
          <w:b/>
          <w:color w:val="auto"/>
          <w:sz w:val="24"/>
          <w:szCs w:val="24"/>
        </w:rPr>
        <w:t>5.质疑供应商为法人或者其他组织的，质疑函应由法定代表人、主要负责人，或者其授权代表签字或者盖章，并加盖公章。</w:t>
      </w:r>
    </w:p>
    <w:p w14:paraId="4637B9A6">
      <w:pPr>
        <w:pStyle w:val="14"/>
        <w:snapToGrid w:val="0"/>
        <w:rPr>
          <w:b/>
          <w:color w:val="auto"/>
          <w:sz w:val="24"/>
          <w:szCs w:val="24"/>
        </w:rPr>
      </w:pPr>
    </w:p>
    <w:p w14:paraId="16D9E289">
      <w:pPr>
        <w:spacing w:line="460" w:lineRule="exact"/>
        <w:jc w:val="center"/>
        <w:rPr>
          <w:rFonts w:eastAsia="隶书"/>
          <w:color w:val="auto"/>
          <w:sz w:val="44"/>
        </w:rPr>
      </w:pPr>
      <w:r>
        <w:rPr>
          <w:rFonts w:eastAsia="隶书"/>
          <w:color w:val="auto"/>
          <w:sz w:val="44"/>
        </w:rPr>
        <w:br w:type="page"/>
      </w:r>
    </w:p>
    <w:p w14:paraId="2D9C09A7">
      <w:pPr>
        <w:spacing w:line="360" w:lineRule="auto"/>
        <w:jc w:val="center"/>
        <w:rPr>
          <w:rFonts w:ascii="宋体" w:hAnsi="宋体"/>
          <w:b/>
          <w:bCs/>
          <w:color w:val="auto"/>
          <w:sz w:val="32"/>
          <w:szCs w:val="32"/>
        </w:rPr>
      </w:pPr>
      <w:r>
        <w:rPr>
          <w:rFonts w:hint="eastAsia" w:ascii="宋体" w:hAnsi="宋体"/>
          <w:b/>
          <w:bCs/>
          <w:color w:val="auto"/>
          <w:sz w:val="32"/>
          <w:szCs w:val="32"/>
        </w:rPr>
        <w:t>投诉书（格式）</w:t>
      </w:r>
    </w:p>
    <w:p w14:paraId="254C4AE0">
      <w:pPr>
        <w:pStyle w:val="14"/>
        <w:snapToGrid w:val="0"/>
        <w:spacing w:line="360" w:lineRule="auto"/>
        <w:ind w:firstLine="482" w:firstLineChars="200"/>
        <w:rPr>
          <w:rFonts w:hAnsi="宋体"/>
          <w:b/>
          <w:bCs/>
          <w:color w:val="auto"/>
          <w:sz w:val="24"/>
          <w:szCs w:val="24"/>
        </w:rPr>
      </w:pPr>
      <w:r>
        <w:rPr>
          <w:rFonts w:hint="eastAsia" w:hAnsi="宋体"/>
          <w:b/>
          <w:bCs/>
          <w:color w:val="auto"/>
          <w:sz w:val="24"/>
          <w:szCs w:val="24"/>
        </w:rPr>
        <w:t>一、投诉相关主体基本情况：</w:t>
      </w:r>
    </w:p>
    <w:p w14:paraId="040656B2">
      <w:pPr>
        <w:pStyle w:val="14"/>
        <w:snapToGrid w:val="0"/>
        <w:spacing w:line="360" w:lineRule="auto"/>
        <w:ind w:firstLine="480" w:firstLineChars="200"/>
        <w:rPr>
          <w:rFonts w:hAnsi="宋体"/>
          <w:bCs/>
          <w:color w:val="auto"/>
          <w:sz w:val="24"/>
          <w:szCs w:val="24"/>
          <w:u w:val="single"/>
        </w:rPr>
      </w:pPr>
      <w:r>
        <w:rPr>
          <w:rFonts w:hint="eastAsia" w:hAnsi="宋体"/>
          <w:bCs/>
          <w:color w:val="auto"/>
          <w:sz w:val="24"/>
          <w:szCs w:val="24"/>
        </w:rPr>
        <w:t>投标人：</w:t>
      </w:r>
    </w:p>
    <w:p w14:paraId="4513600C">
      <w:pPr>
        <w:pStyle w:val="14"/>
        <w:snapToGrid w:val="0"/>
        <w:spacing w:line="360" w:lineRule="auto"/>
        <w:ind w:firstLine="480" w:firstLineChars="200"/>
        <w:rPr>
          <w:rFonts w:hAnsi="宋体"/>
          <w:bCs/>
          <w:color w:val="auto"/>
          <w:sz w:val="24"/>
          <w:szCs w:val="24"/>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lang w:val="en-US" w:eastAsia="zh-CN"/>
        </w:rPr>
        <w:t xml:space="preserve">                      </w:t>
      </w:r>
      <w:r>
        <w:rPr>
          <w:rFonts w:hAnsi="宋体"/>
          <w:bCs/>
          <w:color w:val="auto"/>
          <w:sz w:val="24"/>
          <w:szCs w:val="24"/>
        </w:rPr>
        <w:t>邮编</w:t>
      </w:r>
      <w:r>
        <w:rPr>
          <w:rFonts w:hint="eastAsia" w:hAnsi="宋体"/>
          <w:bCs/>
          <w:color w:val="auto"/>
          <w:sz w:val="24"/>
          <w:szCs w:val="24"/>
        </w:rPr>
        <w:t>：</w:t>
      </w:r>
    </w:p>
    <w:p w14:paraId="5159A80F">
      <w:pPr>
        <w:pStyle w:val="14"/>
        <w:snapToGrid w:val="0"/>
        <w:spacing w:line="360" w:lineRule="auto"/>
        <w:ind w:firstLine="480" w:firstLineChars="200"/>
        <w:rPr>
          <w:rFonts w:hAnsi="宋体"/>
          <w:bCs/>
          <w:color w:val="auto"/>
          <w:sz w:val="24"/>
          <w:szCs w:val="24"/>
          <w:u w:val="single"/>
        </w:rPr>
      </w:pPr>
      <w:r>
        <w:rPr>
          <w:rFonts w:hint="eastAsia" w:hAnsi="宋体"/>
          <w:bCs/>
          <w:color w:val="auto"/>
          <w:sz w:val="24"/>
          <w:szCs w:val="24"/>
        </w:rPr>
        <w:t>法定代表人/主要负责人：</w:t>
      </w:r>
    </w:p>
    <w:p w14:paraId="4DCE5DE7">
      <w:pPr>
        <w:pStyle w:val="14"/>
        <w:snapToGrid w:val="0"/>
        <w:spacing w:line="360" w:lineRule="auto"/>
        <w:ind w:firstLine="480" w:firstLineChars="200"/>
        <w:rPr>
          <w:rFonts w:hAnsi="宋体"/>
          <w:bCs/>
          <w:color w:val="auto"/>
          <w:sz w:val="24"/>
          <w:szCs w:val="24"/>
        </w:rPr>
      </w:pPr>
      <w:r>
        <w:rPr>
          <w:rFonts w:hAnsi="宋体"/>
          <w:bCs/>
          <w:color w:val="auto"/>
          <w:sz w:val="24"/>
          <w:szCs w:val="24"/>
        </w:rPr>
        <w:t>联系电话</w:t>
      </w:r>
      <w:r>
        <w:rPr>
          <w:rFonts w:hint="eastAsia" w:hAnsi="宋体"/>
          <w:bCs/>
          <w:color w:val="auto"/>
          <w:sz w:val="24"/>
          <w:szCs w:val="24"/>
        </w:rPr>
        <w:t>：</w:t>
      </w:r>
    </w:p>
    <w:p w14:paraId="4FDCEED1">
      <w:pPr>
        <w:pStyle w:val="14"/>
        <w:snapToGrid w:val="0"/>
        <w:spacing w:line="360" w:lineRule="auto"/>
        <w:ind w:firstLine="480" w:firstLineChars="200"/>
        <w:rPr>
          <w:rFonts w:hAnsi="宋体"/>
          <w:bCs/>
          <w:color w:val="auto"/>
          <w:sz w:val="24"/>
          <w:szCs w:val="24"/>
          <w:u w:val="single"/>
        </w:rPr>
      </w:pPr>
      <w:r>
        <w:rPr>
          <w:rFonts w:hint="eastAsia" w:hAnsi="宋体"/>
          <w:bCs/>
          <w:color w:val="auto"/>
          <w:sz w:val="24"/>
          <w:szCs w:val="24"/>
        </w:rPr>
        <w:t>授权代表：</w:t>
      </w:r>
      <w:r>
        <w:rPr>
          <w:rFonts w:hint="eastAsia" w:hAnsi="宋体"/>
          <w:bCs/>
          <w:color w:val="auto"/>
          <w:sz w:val="24"/>
          <w:szCs w:val="24"/>
          <w:lang w:val="en-US" w:eastAsia="zh-CN"/>
        </w:rPr>
        <w:t xml:space="preserve">                  </w:t>
      </w:r>
      <w:r>
        <w:rPr>
          <w:rFonts w:hAnsi="宋体"/>
          <w:bCs/>
          <w:color w:val="auto"/>
          <w:sz w:val="24"/>
          <w:szCs w:val="24"/>
        </w:rPr>
        <w:t>联系</w:t>
      </w:r>
      <w:r>
        <w:rPr>
          <w:rFonts w:hint="eastAsia" w:hAnsi="宋体"/>
          <w:bCs/>
          <w:color w:val="auto"/>
          <w:sz w:val="24"/>
          <w:szCs w:val="24"/>
        </w:rPr>
        <w:t>电话：</w:t>
      </w:r>
    </w:p>
    <w:p w14:paraId="51A7185C">
      <w:pPr>
        <w:pStyle w:val="14"/>
        <w:snapToGrid w:val="0"/>
        <w:spacing w:line="360" w:lineRule="auto"/>
        <w:ind w:firstLine="480" w:firstLineChars="200"/>
        <w:rPr>
          <w:rFonts w:hAnsi="宋体"/>
          <w:bCs/>
          <w:color w:val="auto"/>
          <w:sz w:val="24"/>
          <w:szCs w:val="24"/>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lang w:val="en-US" w:eastAsia="zh-CN"/>
        </w:rPr>
        <w:t xml:space="preserve">                      </w:t>
      </w:r>
      <w:r>
        <w:rPr>
          <w:rFonts w:hAnsi="宋体"/>
          <w:bCs/>
          <w:color w:val="auto"/>
          <w:sz w:val="24"/>
          <w:szCs w:val="24"/>
        </w:rPr>
        <w:t>邮编</w:t>
      </w:r>
      <w:r>
        <w:rPr>
          <w:rFonts w:hint="eastAsia" w:hAnsi="宋体"/>
          <w:bCs/>
          <w:color w:val="auto"/>
          <w:sz w:val="24"/>
          <w:szCs w:val="24"/>
        </w:rPr>
        <w:t>：</w:t>
      </w:r>
    </w:p>
    <w:p w14:paraId="2FCB2954">
      <w:pPr>
        <w:pStyle w:val="14"/>
        <w:snapToGrid w:val="0"/>
        <w:spacing w:line="360" w:lineRule="auto"/>
        <w:ind w:firstLine="480" w:firstLineChars="200"/>
        <w:rPr>
          <w:rFonts w:hAnsi="宋体"/>
          <w:bCs/>
          <w:color w:val="auto"/>
          <w:sz w:val="24"/>
          <w:szCs w:val="24"/>
        </w:rPr>
      </w:pPr>
      <w:r>
        <w:rPr>
          <w:rFonts w:hint="eastAsia" w:hAnsi="宋体"/>
          <w:bCs/>
          <w:color w:val="auto"/>
          <w:sz w:val="24"/>
          <w:szCs w:val="24"/>
        </w:rPr>
        <w:t>被投诉人1：</w:t>
      </w:r>
    </w:p>
    <w:p w14:paraId="558B475C">
      <w:pPr>
        <w:pStyle w:val="14"/>
        <w:snapToGrid w:val="0"/>
        <w:spacing w:line="360" w:lineRule="auto"/>
        <w:ind w:firstLine="480" w:firstLineChars="200"/>
        <w:rPr>
          <w:rFonts w:hAnsi="宋体"/>
          <w:bCs/>
          <w:color w:val="auto"/>
          <w:sz w:val="24"/>
          <w:szCs w:val="24"/>
        </w:rPr>
      </w:pPr>
      <w:r>
        <w:rPr>
          <w:rFonts w:hint="eastAsia" w:hAnsi="宋体"/>
          <w:bCs/>
          <w:color w:val="auto"/>
          <w:sz w:val="24"/>
          <w:szCs w:val="24"/>
        </w:rPr>
        <w:t>地址：</w:t>
      </w:r>
      <w:r>
        <w:rPr>
          <w:rFonts w:hint="eastAsia" w:hAnsi="宋体"/>
          <w:bCs/>
          <w:color w:val="auto"/>
          <w:sz w:val="24"/>
          <w:szCs w:val="24"/>
          <w:lang w:val="en-US" w:eastAsia="zh-CN"/>
        </w:rPr>
        <w:t xml:space="preserve">                      </w:t>
      </w:r>
      <w:r>
        <w:rPr>
          <w:rFonts w:hAnsi="宋体"/>
          <w:bCs/>
          <w:color w:val="auto"/>
          <w:sz w:val="24"/>
          <w:szCs w:val="24"/>
        </w:rPr>
        <w:t>邮编</w:t>
      </w:r>
      <w:r>
        <w:rPr>
          <w:rFonts w:hint="eastAsia" w:hAnsi="宋体"/>
          <w:bCs/>
          <w:color w:val="auto"/>
          <w:sz w:val="24"/>
          <w:szCs w:val="24"/>
        </w:rPr>
        <w:t>：</w:t>
      </w:r>
    </w:p>
    <w:p w14:paraId="3E812F8D">
      <w:pPr>
        <w:pStyle w:val="14"/>
        <w:snapToGrid w:val="0"/>
        <w:spacing w:line="360" w:lineRule="auto"/>
        <w:ind w:firstLine="480" w:firstLineChars="200"/>
        <w:rPr>
          <w:rFonts w:hAnsi="宋体"/>
          <w:bCs/>
          <w:color w:val="auto"/>
          <w:sz w:val="24"/>
          <w:szCs w:val="24"/>
          <w:u w:val="single"/>
        </w:rPr>
      </w:pPr>
      <w:r>
        <w:rPr>
          <w:rFonts w:hint="eastAsia" w:hAnsi="宋体"/>
          <w:bCs/>
          <w:color w:val="auto"/>
          <w:sz w:val="24"/>
          <w:szCs w:val="24"/>
        </w:rPr>
        <w:t>联系人：</w:t>
      </w:r>
      <w:r>
        <w:rPr>
          <w:rFonts w:hint="eastAsia" w:hAnsi="宋体"/>
          <w:bCs/>
          <w:color w:val="auto"/>
          <w:sz w:val="24"/>
          <w:szCs w:val="24"/>
          <w:lang w:val="en-US" w:eastAsia="zh-CN"/>
        </w:rPr>
        <w:t xml:space="preserve">                    </w:t>
      </w:r>
      <w:r>
        <w:rPr>
          <w:rFonts w:hAnsi="宋体"/>
          <w:bCs/>
          <w:color w:val="auto"/>
          <w:sz w:val="24"/>
          <w:szCs w:val="24"/>
        </w:rPr>
        <w:t>联系</w:t>
      </w:r>
      <w:r>
        <w:rPr>
          <w:rFonts w:hint="eastAsia" w:hAnsi="宋体"/>
          <w:bCs/>
          <w:color w:val="auto"/>
          <w:sz w:val="24"/>
          <w:szCs w:val="24"/>
        </w:rPr>
        <w:t>电话：</w:t>
      </w:r>
    </w:p>
    <w:p w14:paraId="4B2962D9">
      <w:pPr>
        <w:pStyle w:val="14"/>
        <w:snapToGrid w:val="0"/>
        <w:spacing w:line="360" w:lineRule="auto"/>
        <w:ind w:firstLine="480" w:firstLineChars="200"/>
        <w:rPr>
          <w:rFonts w:hAnsi="宋体"/>
          <w:bCs/>
          <w:color w:val="auto"/>
          <w:sz w:val="24"/>
          <w:szCs w:val="24"/>
        </w:rPr>
      </w:pPr>
      <w:r>
        <w:rPr>
          <w:rFonts w:hint="eastAsia" w:hAnsi="宋体"/>
          <w:bCs/>
          <w:color w:val="auto"/>
          <w:sz w:val="24"/>
          <w:szCs w:val="24"/>
        </w:rPr>
        <w:t>被投诉人2：</w:t>
      </w:r>
    </w:p>
    <w:p w14:paraId="5083D191">
      <w:pPr>
        <w:pStyle w:val="14"/>
        <w:snapToGrid w:val="0"/>
        <w:spacing w:line="360" w:lineRule="auto"/>
        <w:ind w:firstLine="480" w:firstLineChars="200"/>
        <w:rPr>
          <w:rFonts w:hAnsi="宋体"/>
          <w:bCs/>
          <w:color w:val="auto"/>
          <w:sz w:val="24"/>
          <w:szCs w:val="24"/>
        </w:rPr>
      </w:pPr>
      <w:r>
        <w:rPr>
          <w:rFonts w:hAnsi="宋体"/>
          <w:bCs/>
          <w:color w:val="auto"/>
          <w:sz w:val="24"/>
          <w:szCs w:val="24"/>
        </w:rPr>
        <w:t>……</w:t>
      </w:r>
    </w:p>
    <w:p w14:paraId="6665756D">
      <w:pPr>
        <w:pStyle w:val="14"/>
        <w:snapToGrid w:val="0"/>
        <w:spacing w:line="360" w:lineRule="auto"/>
        <w:ind w:firstLine="480" w:firstLineChars="200"/>
        <w:rPr>
          <w:rFonts w:hAnsi="宋体"/>
          <w:bCs/>
          <w:color w:val="auto"/>
          <w:sz w:val="24"/>
          <w:szCs w:val="24"/>
          <w:u w:val="single"/>
        </w:rPr>
      </w:pPr>
      <w:r>
        <w:rPr>
          <w:rFonts w:hint="eastAsia" w:hAnsi="宋体"/>
          <w:bCs/>
          <w:color w:val="auto"/>
          <w:sz w:val="24"/>
          <w:szCs w:val="24"/>
        </w:rPr>
        <w:t>相关供应商：</w:t>
      </w:r>
    </w:p>
    <w:p w14:paraId="294F478B">
      <w:pPr>
        <w:pStyle w:val="14"/>
        <w:snapToGrid w:val="0"/>
        <w:spacing w:line="360" w:lineRule="auto"/>
        <w:ind w:firstLine="480" w:firstLineChars="200"/>
        <w:rPr>
          <w:rFonts w:hAnsi="宋体"/>
          <w:bCs/>
          <w:color w:val="auto"/>
          <w:sz w:val="24"/>
          <w:szCs w:val="24"/>
          <w:u w:val="single"/>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lang w:val="en-US" w:eastAsia="zh-CN"/>
        </w:rPr>
        <w:t xml:space="preserve">                      </w:t>
      </w:r>
      <w:r>
        <w:rPr>
          <w:rFonts w:hAnsi="宋体"/>
          <w:bCs/>
          <w:color w:val="auto"/>
          <w:sz w:val="24"/>
          <w:szCs w:val="24"/>
        </w:rPr>
        <w:t>邮编</w:t>
      </w:r>
      <w:r>
        <w:rPr>
          <w:rFonts w:hint="eastAsia" w:hAnsi="宋体"/>
          <w:bCs/>
          <w:color w:val="auto"/>
          <w:sz w:val="24"/>
          <w:szCs w:val="24"/>
        </w:rPr>
        <w:t>：</w:t>
      </w:r>
    </w:p>
    <w:p w14:paraId="6F79EA0E">
      <w:pPr>
        <w:pStyle w:val="14"/>
        <w:snapToGrid w:val="0"/>
        <w:spacing w:line="360" w:lineRule="auto"/>
        <w:ind w:firstLine="480" w:firstLineChars="200"/>
        <w:rPr>
          <w:rFonts w:hAnsi="宋体"/>
          <w:bCs/>
          <w:color w:val="auto"/>
          <w:sz w:val="24"/>
          <w:szCs w:val="24"/>
        </w:rPr>
      </w:pPr>
      <w:r>
        <w:rPr>
          <w:rFonts w:hint="eastAsia" w:hAnsi="宋体"/>
          <w:bCs/>
          <w:color w:val="auto"/>
          <w:sz w:val="24"/>
          <w:szCs w:val="24"/>
        </w:rPr>
        <w:t>联系人：</w:t>
      </w:r>
      <w:r>
        <w:rPr>
          <w:rFonts w:hint="eastAsia" w:hAnsi="宋体"/>
          <w:bCs/>
          <w:color w:val="auto"/>
          <w:sz w:val="24"/>
          <w:szCs w:val="24"/>
          <w:lang w:val="en-US" w:eastAsia="zh-CN"/>
        </w:rPr>
        <w:t xml:space="preserve">                    </w:t>
      </w:r>
      <w:r>
        <w:rPr>
          <w:rFonts w:hAnsi="宋体"/>
          <w:bCs/>
          <w:color w:val="auto"/>
          <w:sz w:val="24"/>
          <w:szCs w:val="24"/>
        </w:rPr>
        <w:t>联系</w:t>
      </w:r>
      <w:r>
        <w:rPr>
          <w:rFonts w:hint="eastAsia" w:hAnsi="宋体"/>
          <w:bCs/>
          <w:color w:val="auto"/>
          <w:sz w:val="24"/>
          <w:szCs w:val="24"/>
        </w:rPr>
        <w:t>电话：</w:t>
      </w:r>
    </w:p>
    <w:p w14:paraId="12FD5A8B">
      <w:pPr>
        <w:pStyle w:val="14"/>
        <w:snapToGrid w:val="0"/>
        <w:spacing w:line="360" w:lineRule="auto"/>
        <w:ind w:firstLine="482" w:firstLineChars="200"/>
        <w:rPr>
          <w:rFonts w:hAnsi="宋体"/>
          <w:b/>
          <w:bCs/>
          <w:color w:val="auto"/>
          <w:sz w:val="24"/>
          <w:szCs w:val="24"/>
        </w:rPr>
      </w:pPr>
      <w:r>
        <w:rPr>
          <w:rFonts w:hint="eastAsia" w:hAnsi="宋体"/>
          <w:b/>
          <w:bCs/>
          <w:color w:val="auto"/>
          <w:sz w:val="24"/>
          <w:szCs w:val="24"/>
        </w:rPr>
        <w:t>二、投诉项目基本情况：</w:t>
      </w:r>
    </w:p>
    <w:p w14:paraId="29C59107">
      <w:pPr>
        <w:pStyle w:val="14"/>
        <w:spacing w:line="360" w:lineRule="auto"/>
        <w:ind w:left="25" w:leftChars="12" w:firstLine="472" w:firstLineChars="197"/>
        <w:rPr>
          <w:rFonts w:hAnsi="宋体"/>
          <w:color w:val="auto"/>
          <w:sz w:val="24"/>
          <w:szCs w:val="24"/>
        </w:rPr>
      </w:pPr>
      <w:r>
        <w:rPr>
          <w:rFonts w:hint="eastAsia" w:hAnsi="宋体"/>
          <w:bCs/>
          <w:color w:val="auto"/>
          <w:sz w:val="24"/>
          <w:szCs w:val="24"/>
        </w:rPr>
        <w:t>采购</w:t>
      </w:r>
      <w:r>
        <w:rPr>
          <w:rFonts w:hint="eastAsia" w:hAnsi="宋体"/>
          <w:color w:val="auto"/>
          <w:sz w:val="24"/>
          <w:szCs w:val="24"/>
        </w:rPr>
        <w:t>项目的名称：</w:t>
      </w:r>
    </w:p>
    <w:p w14:paraId="33DD1C81">
      <w:pPr>
        <w:pStyle w:val="14"/>
        <w:spacing w:line="360" w:lineRule="auto"/>
        <w:ind w:left="25" w:leftChars="12" w:firstLine="472" w:firstLineChars="197"/>
        <w:rPr>
          <w:rFonts w:hAnsi="宋体"/>
          <w:color w:val="auto"/>
          <w:sz w:val="24"/>
          <w:szCs w:val="24"/>
        </w:rPr>
      </w:pPr>
      <w:r>
        <w:rPr>
          <w:rFonts w:hint="eastAsia" w:hAnsi="宋体"/>
          <w:bCs/>
          <w:color w:val="auto"/>
          <w:sz w:val="24"/>
          <w:szCs w:val="24"/>
        </w:rPr>
        <w:t>采购</w:t>
      </w:r>
      <w:r>
        <w:rPr>
          <w:rFonts w:hint="eastAsia" w:hAnsi="宋体"/>
          <w:color w:val="auto"/>
          <w:sz w:val="24"/>
          <w:szCs w:val="24"/>
        </w:rPr>
        <w:t>项目的编号：</w:t>
      </w:r>
    </w:p>
    <w:p w14:paraId="7B0DEDBF">
      <w:pPr>
        <w:pStyle w:val="14"/>
        <w:spacing w:line="360" w:lineRule="auto"/>
        <w:ind w:left="25" w:leftChars="12" w:firstLine="472" w:firstLineChars="197"/>
        <w:rPr>
          <w:rFonts w:hAnsi="宋体"/>
          <w:bCs/>
          <w:color w:val="auto"/>
          <w:sz w:val="24"/>
          <w:szCs w:val="24"/>
          <w:u w:val="single"/>
        </w:rPr>
      </w:pPr>
      <w:r>
        <w:rPr>
          <w:rFonts w:hint="eastAsia" w:hAnsi="宋体"/>
          <w:color w:val="auto"/>
          <w:sz w:val="24"/>
          <w:szCs w:val="24"/>
        </w:rPr>
        <w:t>采购人名称：</w:t>
      </w:r>
    </w:p>
    <w:p w14:paraId="3C245D96">
      <w:pPr>
        <w:pStyle w:val="14"/>
        <w:spacing w:line="360" w:lineRule="auto"/>
        <w:ind w:left="25" w:leftChars="12" w:firstLine="472" w:firstLineChars="197"/>
        <w:rPr>
          <w:rFonts w:hAnsi="宋体"/>
          <w:bCs/>
          <w:color w:val="auto"/>
          <w:sz w:val="24"/>
          <w:szCs w:val="24"/>
          <w:u w:val="single"/>
        </w:rPr>
      </w:pPr>
      <w:r>
        <w:rPr>
          <w:rFonts w:hint="eastAsia" w:hAnsi="宋体"/>
          <w:color w:val="auto"/>
          <w:sz w:val="24"/>
          <w:szCs w:val="24"/>
        </w:rPr>
        <w:t>代理机构名称：</w:t>
      </w:r>
    </w:p>
    <w:p w14:paraId="33955A02">
      <w:pPr>
        <w:pStyle w:val="14"/>
        <w:spacing w:line="360" w:lineRule="auto"/>
        <w:ind w:left="25" w:leftChars="12" w:firstLine="472" w:firstLineChars="197"/>
        <w:rPr>
          <w:rFonts w:hAnsi="宋体"/>
          <w:bCs/>
          <w:color w:val="auto"/>
          <w:sz w:val="24"/>
          <w:szCs w:val="24"/>
          <w:u w:val="single"/>
        </w:rPr>
      </w:pPr>
      <w:r>
        <w:rPr>
          <w:rFonts w:hint="eastAsia" w:hAnsi="宋体"/>
          <w:bCs/>
          <w:color w:val="auto"/>
          <w:sz w:val="24"/>
          <w:szCs w:val="24"/>
        </w:rPr>
        <w:t>招标文件公告：</w:t>
      </w:r>
      <w:r>
        <w:rPr>
          <w:rFonts w:hint="eastAsia" w:hAnsi="宋体"/>
          <w:bCs/>
          <w:color w:val="auto"/>
          <w:sz w:val="24"/>
          <w:szCs w:val="24"/>
          <w:u w:val="single"/>
        </w:rPr>
        <w:t>是/否</w:t>
      </w:r>
      <w:r>
        <w:rPr>
          <w:rFonts w:hint="eastAsia" w:hAnsi="宋体"/>
          <w:bCs/>
          <w:color w:val="auto"/>
          <w:sz w:val="24"/>
          <w:szCs w:val="24"/>
        </w:rPr>
        <w:t>公告期限：</w:t>
      </w:r>
    </w:p>
    <w:p w14:paraId="321DE241">
      <w:pPr>
        <w:pStyle w:val="14"/>
        <w:spacing w:line="360" w:lineRule="auto"/>
        <w:ind w:left="25" w:leftChars="12" w:firstLine="472" w:firstLineChars="197"/>
        <w:rPr>
          <w:rFonts w:hAnsi="宋体"/>
          <w:b/>
          <w:color w:val="auto"/>
          <w:sz w:val="24"/>
          <w:szCs w:val="24"/>
        </w:rPr>
      </w:pPr>
      <w:r>
        <w:rPr>
          <w:rFonts w:hint="eastAsia" w:hAnsi="宋体"/>
          <w:bCs/>
          <w:color w:val="auto"/>
          <w:sz w:val="24"/>
          <w:szCs w:val="24"/>
        </w:rPr>
        <w:t>采购结果公告：</w:t>
      </w:r>
      <w:r>
        <w:rPr>
          <w:rFonts w:hint="eastAsia" w:hAnsi="宋体"/>
          <w:bCs/>
          <w:color w:val="auto"/>
          <w:sz w:val="24"/>
          <w:szCs w:val="24"/>
          <w:u w:val="single"/>
        </w:rPr>
        <w:t>是/否</w:t>
      </w:r>
      <w:r>
        <w:rPr>
          <w:rFonts w:hint="eastAsia" w:hAnsi="宋体"/>
          <w:bCs/>
          <w:color w:val="auto"/>
          <w:sz w:val="24"/>
          <w:szCs w:val="24"/>
        </w:rPr>
        <w:t>公告期限：</w:t>
      </w:r>
    </w:p>
    <w:p w14:paraId="7A262AB9">
      <w:pPr>
        <w:pStyle w:val="14"/>
        <w:spacing w:line="360" w:lineRule="auto"/>
        <w:ind w:left="25" w:leftChars="12" w:firstLine="472" w:firstLineChars="196"/>
        <w:rPr>
          <w:rFonts w:hAnsi="宋体"/>
          <w:b/>
          <w:color w:val="auto"/>
          <w:sz w:val="24"/>
          <w:szCs w:val="24"/>
        </w:rPr>
      </w:pPr>
      <w:r>
        <w:rPr>
          <w:rFonts w:hint="eastAsia" w:hAnsi="宋体"/>
          <w:b/>
          <w:color w:val="auto"/>
          <w:sz w:val="24"/>
          <w:szCs w:val="24"/>
        </w:rPr>
        <w:t>三、质疑基本情况</w:t>
      </w:r>
    </w:p>
    <w:p w14:paraId="25EED8B1">
      <w:pPr>
        <w:pStyle w:val="14"/>
        <w:spacing w:line="360" w:lineRule="auto"/>
        <w:ind w:left="25" w:leftChars="12" w:firstLine="952" w:firstLineChars="397"/>
        <w:rPr>
          <w:rFonts w:hAnsi="宋体"/>
          <w:color w:val="auto"/>
          <w:sz w:val="24"/>
          <w:szCs w:val="24"/>
        </w:rPr>
      </w:pPr>
      <w:r>
        <w:rPr>
          <w:rFonts w:hint="eastAsia" w:hAnsi="宋体"/>
          <w:color w:val="auto"/>
          <w:sz w:val="24"/>
          <w:szCs w:val="24"/>
        </w:rPr>
        <w:t>投诉人于</w:t>
      </w:r>
      <w:r>
        <w:rPr>
          <w:rFonts w:hint="eastAsia" w:hAnsi="宋体"/>
          <w:color w:val="auto"/>
          <w:sz w:val="24"/>
          <w:szCs w:val="24"/>
          <w:lang w:val="en-US" w:eastAsia="zh-CN"/>
        </w:rPr>
        <w:t xml:space="preserve">  </w:t>
      </w:r>
      <w:r>
        <w:rPr>
          <w:rFonts w:hint="eastAsia" w:hAnsi="宋体"/>
          <w:color w:val="auto"/>
          <w:sz w:val="24"/>
          <w:szCs w:val="24"/>
        </w:rPr>
        <w:t>年</w:t>
      </w:r>
      <w:r>
        <w:rPr>
          <w:rFonts w:hint="eastAsia" w:hAnsi="宋体"/>
          <w:color w:val="auto"/>
          <w:sz w:val="24"/>
          <w:szCs w:val="24"/>
          <w:lang w:val="en-US" w:eastAsia="zh-CN"/>
        </w:rPr>
        <w:t xml:space="preserve">  </w:t>
      </w:r>
      <w:r>
        <w:rPr>
          <w:rFonts w:hint="eastAsia" w:hAnsi="宋体"/>
          <w:color w:val="auto"/>
          <w:sz w:val="24"/>
          <w:szCs w:val="24"/>
        </w:rPr>
        <w:t>月</w:t>
      </w:r>
      <w:r>
        <w:rPr>
          <w:rFonts w:hint="eastAsia" w:hAnsi="宋体"/>
          <w:color w:val="auto"/>
          <w:sz w:val="24"/>
          <w:szCs w:val="24"/>
          <w:lang w:val="en-US" w:eastAsia="zh-CN"/>
        </w:rPr>
        <w:t xml:space="preserve">  </w:t>
      </w:r>
      <w:r>
        <w:rPr>
          <w:rFonts w:hint="eastAsia" w:hAnsi="宋体"/>
          <w:color w:val="auto"/>
          <w:sz w:val="24"/>
          <w:szCs w:val="24"/>
        </w:rPr>
        <w:t>日，向提出质疑，质疑事项为：</w:t>
      </w:r>
    </w:p>
    <w:p w14:paraId="07F754C4">
      <w:pPr>
        <w:pStyle w:val="14"/>
        <w:spacing w:line="360" w:lineRule="auto"/>
        <w:ind w:firstLine="241"/>
        <w:rPr>
          <w:rFonts w:hAnsi="宋体"/>
          <w:bCs/>
          <w:color w:val="auto"/>
          <w:sz w:val="24"/>
          <w:szCs w:val="24"/>
          <w:u w:val="single"/>
        </w:rPr>
      </w:pPr>
    </w:p>
    <w:p w14:paraId="6518AF03">
      <w:pPr>
        <w:pStyle w:val="14"/>
        <w:spacing w:line="360" w:lineRule="auto"/>
        <w:ind w:firstLine="241"/>
        <w:rPr>
          <w:rFonts w:hAnsi="宋体"/>
          <w:bCs/>
          <w:color w:val="auto"/>
          <w:sz w:val="24"/>
          <w:szCs w:val="24"/>
          <w:u w:val="single"/>
        </w:rPr>
      </w:pPr>
    </w:p>
    <w:p w14:paraId="7D4C7A31">
      <w:pPr>
        <w:pStyle w:val="14"/>
        <w:spacing w:line="360" w:lineRule="auto"/>
        <w:ind w:firstLine="241"/>
        <w:rPr>
          <w:rFonts w:hAnsi="宋体"/>
          <w:color w:val="auto"/>
          <w:sz w:val="24"/>
          <w:szCs w:val="24"/>
        </w:rPr>
      </w:pPr>
      <w:r>
        <w:rPr>
          <w:rFonts w:hint="eastAsia" w:hAnsi="宋体"/>
          <w:bCs/>
          <w:color w:val="auto"/>
          <w:sz w:val="24"/>
          <w:szCs w:val="24"/>
          <w:u w:val="single"/>
        </w:rPr>
        <w:t>采购人/代理机构</w:t>
      </w:r>
      <w:r>
        <w:rPr>
          <w:rFonts w:hint="eastAsia" w:hAnsi="宋体"/>
          <w:bCs/>
          <w:color w:val="auto"/>
          <w:sz w:val="24"/>
          <w:szCs w:val="24"/>
        </w:rPr>
        <w:t>于</w:t>
      </w:r>
      <w:r>
        <w:rPr>
          <w:rFonts w:hint="eastAsia" w:hAnsi="宋体"/>
          <w:color w:val="auto"/>
          <w:sz w:val="24"/>
          <w:szCs w:val="24"/>
        </w:rPr>
        <w:t>年月日，</w:t>
      </w:r>
      <w:r>
        <w:rPr>
          <w:rFonts w:hint="eastAsia" w:hAnsi="宋体"/>
          <w:bCs/>
          <w:color w:val="auto"/>
          <w:sz w:val="24"/>
          <w:szCs w:val="24"/>
        </w:rPr>
        <w:t xml:space="preserve">就质疑事项作出了答复/没有在法定期限内作出答复。                                                                                             </w:t>
      </w:r>
    </w:p>
    <w:p w14:paraId="67FE3E62">
      <w:pPr>
        <w:pStyle w:val="14"/>
        <w:spacing w:line="360" w:lineRule="auto"/>
        <w:ind w:left="25" w:leftChars="12" w:firstLine="472" w:firstLineChars="196"/>
        <w:rPr>
          <w:rFonts w:hAnsi="宋体"/>
          <w:b/>
          <w:color w:val="auto"/>
          <w:sz w:val="24"/>
          <w:szCs w:val="24"/>
        </w:rPr>
      </w:pPr>
      <w:r>
        <w:rPr>
          <w:rFonts w:hint="eastAsia" w:hAnsi="宋体"/>
          <w:b/>
          <w:color w:val="auto"/>
          <w:sz w:val="24"/>
          <w:szCs w:val="24"/>
        </w:rPr>
        <w:t>四、投诉事项具体内容</w:t>
      </w:r>
    </w:p>
    <w:p w14:paraId="0CCA006F">
      <w:pPr>
        <w:pStyle w:val="14"/>
        <w:spacing w:line="360" w:lineRule="auto"/>
        <w:ind w:left="25" w:leftChars="12" w:firstLine="472" w:firstLineChars="197"/>
        <w:rPr>
          <w:rFonts w:hAnsi="宋体"/>
          <w:bCs/>
          <w:color w:val="auto"/>
          <w:sz w:val="24"/>
          <w:szCs w:val="24"/>
          <w:u w:val="single"/>
        </w:rPr>
      </w:pPr>
      <w:r>
        <w:rPr>
          <w:rFonts w:hint="eastAsia" w:hAnsi="宋体"/>
          <w:color w:val="auto"/>
          <w:sz w:val="24"/>
          <w:szCs w:val="24"/>
        </w:rPr>
        <w:t>投诉事项1：</w:t>
      </w:r>
    </w:p>
    <w:p w14:paraId="7EE75CB6">
      <w:pPr>
        <w:pStyle w:val="14"/>
        <w:spacing w:line="360" w:lineRule="auto"/>
        <w:ind w:firstLine="480" w:firstLineChars="200"/>
        <w:rPr>
          <w:rFonts w:hAnsi="宋体"/>
          <w:bCs/>
          <w:color w:val="auto"/>
          <w:sz w:val="24"/>
          <w:szCs w:val="24"/>
          <w:u w:val="single"/>
        </w:rPr>
      </w:pPr>
      <w:r>
        <w:rPr>
          <w:rFonts w:hint="eastAsia" w:hAnsi="宋体"/>
          <w:bCs/>
          <w:color w:val="auto"/>
          <w:sz w:val="24"/>
          <w:szCs w:val="24"/>
        </w:rPr>
        <w:t>事实依据：</w:t>
      </w:r>
    </w:p>
    <w:p w14:paraId="15516930">
      <w:pPr>
        <w:pStyle w:val="14"/>
        <w:spacing w:line="360" w:lineRule="auto"/>
        <w:ind w:left="25" w:leftChars="12" w:firstLine="472" w:firstLineChars="197"/>
        <w:rPr>
          <w:rFonts w:hAnsi="宋体"/>
          <w:color w:val="auto"/>
          <w:sz w:val="24"/>
          <w:szCs w:val="24"/>
        </w:rPr>
      </w:pPr>
    </w:p>
    <w:p w14:paraId="6A96AA17">
      <w:pPr>
        <w:pStyle w:val="14"/>
        <w:spacing w:line="360" w:lineRule="auto"/>
        <w:ind w:firstLine="480" w:firstLineChars="200"/>
        <w:rPr>
          <w:rFonts w:hAnsi="宋体"/>
          <w:bCs/>
          <w:color w:val="auto"/>
          <w:sz w:val="24"/>
          <w:szCs w:val="24"/>
          <w:u w:val="single"/>
        </w:rPr>
      </w:pPr>
      <w:r>
        <w:rPr>
          <w:rFonts w:hint="eastAsia" w:hAnsi="宋体"/>
          <w:bCs/>
          <w:color w:val="auto"/>
          <w:sz w:val="24"/>
          <w:szCs w:val="24"/>
        </w:rPr>
        <w:t>法律依据：</w:t>
      </w:r>
    </w:p>
    <w:p w14:paraId="497F1BBB">
      <w:pPr>
        <w:pStyle w:val="14"/>
        <w:spacing w:line="360" w:lineRule="auto"/>
        <w:ind w:left="25" w:leftChars="12" w:firstLine="352" w:firstLineChars="147"/>
        <w:rPr>
          <w:rFonts w:hAnsi="宋体"/>
          <w:bCs/>
          <w:color w:val="auto"/>
          <w:sz w:val="24"/>
          <w:szCs w:val="24"/>
          <w:u w:val="single"/>
        </w:rPr>
      </w:pPr>
    </w:p>
    <w:p w14:paraId="1C028DFF">
      <w:pPr>
        <w:pStyle w:val="14"/>
        <w:spacing w:line="360" w:lineRule="auto"/>
        <w:ind w:left="25" w:leftChars="12" w:firstLine="472" w:firstLineChars="197"/>
        <w:rPr>
          <w:rFonts w:hAnsi="宋体"/>
          <w:bCs/>
          <w:color w:val="auto"/>
          <w:sz w:val="24"/>
          <w:szCs w:val="24"/>
        </w:rPr>
      </w:pPr>
      <w:r>
        <w:rPr>
          <w:rFonts w:hint="eastAsia" w:hAnsi="宋体"/>
          <w:color w:val="auto"/>
          <w:sz w:val="24"/>
          <w:szCs w:val="24"/>
        </w:rPr>
        <w:t xml:space="preserve">投诉事项2  </w:t>
      </w:r>
    </w:p>
    <w:p w14:paraId="60587018">
      <w:pPr>
        <w:pStyle w:val="14"/>
        <w:spacing w:line="360" w:lineRule="auto"/>
        <w:ind w:left="25" w:leftChars="12" w:firstLine="472" w:firstLineChars="197"/>
        <w:rPr>
          <w:rFonts w:hAnsi="宋体"/>
          <w:bCs/>
          <w:color w:val="auto"/>
          <w:sz w:val="24"/>
          <w:szCs w:val="24"/>
        </w:rPr>
      </w:pPr>
      <w:r>
        <w:rPr>
          <w:rFonts w:hAnsi="宋体"/>
          <w:bCs/>
          <w:color w:val="auto"/>
          <w:sz w:val="24"/>
          <w:szCs w:val="24"/>
        </w:rPr>
        <w:t>……</w:t>
      </w:r>
    </w:p>
    <w:p w14:paraId="0C9FDF70">
      <w:pPr>
        <w:pStyle w:val="14"/>
        <w:spacing w:line="360" w:lineRule="auto"/>
        <w:ind w:left="25" w:leftChars="12" w:firstLine="472" w:firstLineChars="196"/>
        <w:rPr>
          <w:rFonts w:hAnsi="宋体"/>
          <w:b/>
          <w:color w:val="auto"/>
          <w:sz w:val="24"/>
          <w:szCs w:val="24"/>
        </w:rPr>
      </w:pPr>
      <w:r>
        <w:rPr>
          <w:rFonts w:hint="eastAsia" w:hAnsi="宋体"/>
          <w:b/>
          <w:color w:val="auto"/>
          <w:sz w:val="24"/>
          <w:szCs w:val="24"/>
        </w:rPr>
        <w:t>五、与投诉事项相关的投诉请求：</w:t>
      </w:r>
    </w:p>
    <w:p w14:paraId="0283FDF0">
      <w:pPr>
        <w:pStyle w:val="14"/>
        <w:spacing w:line="360" w:lineRule="auto"/>
        <w:ind w:left="25" w:leftChars="12" w:firstLine="472" w:firstLineChars="197"/>
        <w:rPr>
          <w:rFonts w:hAnsi="宋体"/>
          <w:color w:val="auto"/>
          <w:sz w:val="24"/>
          <w:szCs w:val="24"/>
        </w:rPr>
      </w:pPr>
      <w:r>
        <w:rPr>
          <w:rFonts w:hint="eastAsia" w:hAnsi="宋体"/>
          <w:color w:val="auto"/>
          <w:sz w:val="24"/>
          <w:szCs w:val="24"/>
        </w:rPr>
        <w:t>请求：</w:t>
      </w:r>
    </w:p>
    <w:p w14:paraId="3A7BF10B">
      <w:pPr>
        <w:pStyle w:val="14"/>
        <w:spacing w:line="360" w:lineRule="auto"/>
        <w:ind w:left="25" w:leftChars="12" w:firstLine="352" w:firstLineChars="147"/>
        <w:rPr>
          <w:rFonts w:hAnsi="宋体"/>
          <w:color w:val="auto"/>
          <w:sz w:val="24"/>
          <w:szCs w:val="24"/>
        </w:rPr>
      </w:pPr>
    </w:p>
    <w:p w14:paraId="665CCA9D">
      <w:pPr>
        <w:pStyle w:val="14"/>
        <w:spacing w:line="360" w:lineRule="auto"/>
        <w:ind w:left="25" w:leftChars="12" w:firstLine="472" w:firstLineChars="197"/>
        <w:rPr>
          <w:rFonts w:hAnsi="宋体"/>
          <w:color w:val="auto"/>
          <w:sz w:val="24"/>
          <w:szCs w:val="24"/>
        </w:rPr>
      </w:pPr>
      <w:r>
        <w:rPr>
          <w:rFonts w:hint="eastAsia" w:hAnsi="宋体"/>
          <w:color w:val="auto"/>
          <w:sz w:val="24"/>
          <w:szCs w:val="24"/>
        </w:rPr>
        <w:t>签字（签章）：                                       公章：</w:t>
      </w:r>
    </w:p>
    <w:p w14:paraId="4BFA36AC">
      <w:pPr>
        <w:pStyle w:val="14"/>
        <w:spacing w:line="360" w:lineRule="auto"/>
        <w:ind w:left="25" w:leftChars="12" w:firstLine="352" w:firstLineChars="147"/>
        <w:rPr>
          <w:rFonts w:hAnsi="宋体"/>
          <w:color w:val="auto"/>
          <w:sz w:val="24"/>
          <w:szCs w:val="24"/>
        </w:rPr>
      </w:pPr>
    </w:p>
    <w:p w14:paraId="17901BEE">
      <w:pPr>
        <w:pStyle w:val="14"/>
        <w:spacing w:line="360" w:lineRule="auto"/>
        <w:ind w:left="25" w:leftChars="12" w:firstLine="472" w:firstLineChars="197"/>
        <w:rPr>
          <w:rFonts w:hAnsi="宋体"/>
          <w:color w:val="auto"/>
          <w:sz w:val="24"/>
          <w:szCs w:val="24"/>
        </w:rPr>
      </w:pPr>
      <w:r>
        <w:rPr>
          <w:rFonts w:hint="eastAsia" w:hAnsi="宋体"/>
          <w:color w:val="auto"/>
          <w:sz w:val="24"/>
          <w:szCs w:val="24"/>
        </w:rPr>
        <w:t>日期：</w:t>
      </w:r>
    </w:p>
    <w:p w14:paraId="7AF3EE78">
      <w:pPr>
        <w:pStyle w:val="14"/>
        <w:spacing w:line="360" w:lineRule="auto"/>
        <w:ind w:left="25" w:leftChars="12" w:firstLine="472" w:firstLineChars="197"/>
        <w:rPr>
          <w:rFonts w:hAnsi="宋体"/>
          <w:color w:val="auto"/>
          <w:sz w:val="24"/>
          <w:szCs w:val="24"/>
        </w:rPr>
      </w:pPr>
    </w:p>
    <w:p w14:paraId="452A183E">
      <w:pPr>
        <w:pStyle w:val="14"/>
        <w:snapToGrid w:val="0"/>
        <w:spacing w:line="360" w:lineRule="auto"/>
        <w:rPr>
          <w:rFonts w:hAnsi="宋体"/>
          <w:b/>
          <w:color w:val="auto"/>
          <w:sz w:val="24"/>
          <w:szCs w:val="24"/>
        </w:rPr>
      </w:pPr>
      <w:r>
        <w:rPr>
          <w:rFonts w:hint="eastAsia" w:hAnsi="宋体"/>
          <w:b/>
          <w:color w:val="auto"/>
          <w:sz w:val="24"/>
          <w:szCs w:val="24"/>
        </w:rPr>
        <w:t>说明：</w:t>
      </w:r>
    </w:p>
    <w:p w14:paraId="61439067">
      <w:pPr>
        <w:pStyle w:val="14"/>
        <w:spacing w:line="360" w:lineRule="auto"/>
        <w:ind w:left="25" w:leftChars="12" w:firstLine="354" w:firstLineChars="147"/>
        <w:rPr>
          <w:rFonts w:hAnsi="宋体"/>
          <w:b/>
          <w:bCs/>
          <w:color w:val="auto"/>
          <w:sz w:val="24"/>
          <w:szCs w:val="24"/>
        </w:rPr>
      </w:pPr>
      <w:r>
        <w:rPr>
          <w:rFonts w:hint="eastAsia" w:hAnsi="宋体"/>
          <w:b/>
          <w:color w:val="auto"/>
          <w:sz w:val="24"/>
          <w:szCs w:val="24"/>
        </w:rPr>
        <w:t>1.投诉人提起投诉时，应当提交投诉书和必要的证明材料，并按照被投诉人和与投诉事项有关的供应商数量提供投诉书副本</w:t>
      </w:r>
      <w:r>
        <w:rPr>
          <w:rFonts w:hint="eastAsia" w:hAnsi="宋体"/>
          <w:b/>
          <w:bCs/>
          <w:color w:val="auto"/>
          <w:sz w:val="24"/>
          <w:szCs w:val="24"/>
        </w:rPr>
        <w:t>。</w:t>
      </w:r>
    </w:p>
    <w:p w14:paraId="51EE705A">
      <w:pPr>
        <w:pStyle w:val="14"/>
        <w:spacing w:line="360" w:lineRule="auto"/>
        <w:ind w:left="25" w:leftChars="12" w:firstLine="354" w:firstLineChars="147"/>
        <w:rPr>
          <w:rFonts w:hAnsi="宋体"/>
          <w:b/>
          <w:color w:val="auto"/>
          <w:sz w:val="24"/>
          <w:szCs w:val="24"/>
        </w:rPr>
      </w:pPr>
      <w:r>
        <w:rPr>
          <w:rFonts w:hint="eastAsia" w:hAnsi="宋体"/>
          <w:b/>
          <w:color w:val="auto"/>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251677C8">
      <w:pPr>
        <w:pStyle w:val="14"/>
        <w:spacing w:line="360" w:lineRule="auto"/>
        <w:ind w:left="25" w:leftChars="12" w:firstLine="354" w:firstLineChars="147"/>
        <w:rPr>
          <w:rFonts w:hAnsi="宋体"/>
          <w:b/>
          <w:color w:val="auto"/>
          <w:sz w:val="24"/>
          <w:szCs w:val="24"/>
        </w:rPr>
      </w:pPr>
      <w:r>
        <w:rPr>
          <w:rFonts w:hint="eastAsia" w:hAnsi="宋体"/>
          <w:b/>
          <w:color w:val="auto"/>
          <w:sz w:val="24"/>
          <w:szCs w:val="24"/>
        </w:rPr>
        <w:t>3.投诉书应简要列明质疑事项，质疑函、质疑答复等作为附件材料提供。</w:t>
      </w:r>
    </w:p>
    <w:p w14:paraId="5A1AA4CE">
      <w:pPr>
        <w:pStyle w:val="14"/>
        <w:spacing w:line="360" w:lineRule="auto"/>
        <w:ind w:left="25" w:leftChars="12" w:firstLine="354" w:firstLineChars="147"/>
        <w:rPr>
          <w:rFonts w:hAnsi="宋体"/>
          <w:b/>
          <w:color w:val="auto"/>
          <w:sz w:val="24"/>
          <w:szCs w:val="24"/>
        </w:rPr>
      </w:pPr>
      <w:r>
        <w:rPr>
          <w:rFonts w:hint="eastAsia" w:hAnsi="宋体"/>
          <w:b/>
          <w:color w:val="auto"/>
          <w:sz w:val="24"/>
          <w:szCs w:val="24"/>
        </w:rPr>
        <w:t>4.投诉书的投诉事项应具体、明确，并有必要的事实依据和法律依据。</w:t>
      </w:r>
    </w:p>
    <w:p w14:paraId="31F9773B">
      <w:pPr>
        <w:pStyle w:val="14"/>
        <w:spacing w:line="360" w:lineRule="auto"/>
        <w:ind w:left="25" w:leftChars="12" w:firstLine="354" w:firstLineChars="147"/>
        <w:rPr>
          <w:rFonts w:hAnsi="宋体"/>
          <w:b/>
          <w:color w:val="auto"/>
          <w:sz w:val="24"/>
          <w:szCs w:val="24"/>
        </w:rPr>
      </w:pPr>
      <w:r>
        <w:rPr>
          <w:rFonts w:hint="eastAsia" w:hAnsi="宋体"/>
          <w:b/>
          <w:color w:val="auto"/>
          <w:sz w:val="24"/>
          <w:szCs w:val="24"/>
        </w:rPr>
        <w:t>5.投诉书的投诉请求应与投诉事项相关。</w:t>
      </w:r>
    </w:p>
    <w:p w14:paraId="6139EB04">
      <w:pPr>
        <w:pStyle w:val="14"/>
        <w:spacing w:line="360" w:lineRule="auto"/>
        <w:ind w:left="25" w:leftChars="12" w:firstLine="354" w:firstLineChars="147"/>
        <w:rPr>
          <w:rFonts w:hAnsi="宋体"/>
          <w:b/>
          <w:color w:val="auto"/>
        </w:rPr>
      </w:pPr>
      <w:r>
        <w:rPr>
          <w:rFonts w:hint="eastAsia" w:hAnsi="宋体"/>
          <w:b/>
          <w:color w:val="auto"/>
          <w:sz w:val="24"/>
          <w:szCs w:val="24"/>
        </w:rPr>
        <w:t>6.投诉人为法人或者其他组织的，投诉书应由法定代表人、主要负责人，或者其授权代表签字或者盖章，并加盖公章。</w:t>
      </w:r>
    </w:p>
    <w:p w14:paraId="2E097FE5">
      <w:pPr>
        <w:rPr>
          <w:color w:val="auto"/>
        </w:rPr>
      </w:pPr>
    </w:p>
    <w:sectPr>
      <w:pgSz w:w="11906" w:h="16838"/>
      <w:pgMar w:top="1440" w:right="1797" w:bottom="1440" w:left="1797"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华文新魏">
    <w:altName w:val="宋体"/>
    <w:panose1 w:val="02010800040101010101"/>
    <w:charset w:val="86"/>
    <w:family w:val="auto"/>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MS Mincho">
    <w:altName w:val="Yu Gothic UI"/>
    <w:panose1 w:val="02020609040205080304"/>
    <w:charset w:val="80"/>
    <w:family w:val="roman"/>
    <w:pitch w:val="default"/>
    <w:sig w:usb0="00000000" w:usb1="00000000" w:usb2="00000010" w:usb3="00000000" w:csb0="00020000" w:csb1="00000000"/>
  </w:font>
  <w:font w:name="Yu Gothic UI">
    <w:panose1 w:val="020B0500000000000000"/>
    <w:charset w:val="80"/>
    <w:family w:val="auto"/>
    <w:pitch w:val="default"/>
    <w:sig w:usb0="E00002FF" w:usb1="2AC7FDFF" w:usb2="00000016" w:usb3="00000000" w:csb0="2002009F" w:csb1="00000000"/>
  </w:font>
  <w:font w:name="Helvetica">
    <w:altName w:val="Arial"/>
    <w:panose1 w:val="00000000000000000000"/>
    <w:charset w:val="00"/>
    <w:family w:val="swiss"/>
    <w:pitch w:val="default"/>
    <w:sig w:usb0="00000000" w:usb1="00000000" w:usb2="00000000" w:usb3="00000000" w:csb0="2000019F" w:csb1="4F01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C256B">
    <w:pPr>
      <w:pStyle w:val="16"/>
      <w:framePr w:wrap="around" w:vAnchor="text" w:hAnchor="margin" w:xAlign="center" w:y="1"/>
      <w:rPr>
        <w:rStyle w:val="28"/>
      </w:rPr>
    </w:pPr>
    <w:r>
      <w:fldChar w:fldCharType="begin"/>
    </w:r>
    <w:r>
      <w:rPr>
        <w:rStyle w:val="28"/>
      </w:rPr>
      <w:instrText xml:space="preserve">PAGE  </w:instrText>
    </w:r>
    <w:r>
      <w:fldChar w:fldCharType="end"/>
    </w:r>
  </w:p>
  <w:p w14:paraId="56D4DD80">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0CBE4">
    <w:pPr>
      <w:pStyle w:val="16"/>
      <w:ind w:right="360"/>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E2B58">
    <w:pPr>
      <w:tabs>
        <w:tab w:val="center" w:pos="4873"/>
      </w:tabs>
      <w:snapToGrid w:val="0"/>
      <w:jc w:val="left"/>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6BC5547">
                          <w:pPr>
                            <w:pStyle w:val="16"/>
                          </w:pPr>
                          <w:r>
                            <w:fldChar w:fldCharType="begin"/>
                          </w:r>
                          <w:r>
                            <w:instrText xml:space="preserve"> PAGE  \* MERGEFORMAT </w:instrText>
                          </w:r>
                          <w:r>
                            <w:fldChar w:fldCharType="separate"/>
                          </w:r>
                          <w:r>
                            <w:t>6</w:t>
                          </w:r>
                          <w: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Vg54cgBAACZ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FtQ5eUOG5x4OefP86/Hs8P38nb&#10;LE8foMasu4B5aXjvB1ya2Q/ozKwHFW3+Ih+CcRT3dBFXDomI/Gi1XK0qDAmMzRfEZ0/PQ4T0QXpL&#10;stHQiNMrovLjJ0hj6pySqzl/q40pEzTuLwdiZg/LvY89ZisNu2EitPPtCfn0OPiGOtxzSsxHh7rm&#10;HZmNOBu72TiEqPddWaJcD8K7Q8ImSm+5wgg7FcaJFXbTduWV+PNesp7+qM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FYOeHIAQAAmQMAAA4AAAAAAAAAAQAgAAAAHgEAAGRycy9lMm9Eb2Mu&#10;eG1sUEsFBgAAAAAGAAYAWQEAAFgFAAAAAA==&#10;">
              <v:fill on="f" focussize="0,0"/>
              <v:stroke on="f"/>
              <v:imagedata o:title=""/>
              <o:lock v:ext="edit" aspectratio="f"/>
              <v:textbox inset="0mm,0mm,0mm,0mm" style="mso-fit-shape-to-text:t;">
                <w:txbxContent>
                  <w:p w14:paraId="16BC5547">
                    <w:pPr>
                      <w:pStyle w:val="16"/>
                    </w:pPr>
                    <w:r>
                      <w:fldChar w:fldCharType="begin"/>
                    </w:r>
                    <w:r>
                      <w:instrText xml:space="preserve"> PAGE  \* MERGEFORMAT </w:instrText>
                    </w:r>
                    <w:r>
                      <w:fldChar w:fldCharType="separate"/>
                    </w:r>
                    <w:r>
                      <w:t>6</w:t>
                    </w:r>
                    <w:r>
                      <w:fldChar w:fldCharType="end"/>
                    </w:r>
                  </w:p>
                </w:txbxContent>
              </v:textbox>
            </v:shape>
          </w:pict>
        </mc:Fallback>
      </mc:AlternateContent>
    </w:r>
    <w:r>
      <w:rPr>
        <w:rFonts w:hint="eastAsia"/>
        <w:sz w:val="18"/>
        <w:szCs w:val="18"/>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1FD28">
    <w:pPr>
      <w:pStyle w:val="16"/>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066C734">
                          <w:pPr>
                            <w:pStyle w:val="16"/>
                          </w:pPr>
                          <w:r>
                            <w:fldChar w:fldCharType="begin"/>
                          </w:r>
                          <w:r>
                            <w:instrText xml:space="preserve"> PAGE  \* MERGEFORMAT </w:instrText>
                          </w:r>
                          <w:r>
                            <w:fldChar w:fldCharType="separate"/>
                          </w:r>
                          <w:r>
                            <w:t>14</w:t>
                          </w:r>
                          <w: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D4j/V8cBAACZAwAADgAAAAAAAAABACAAAAAeAQAAZHJzL2Uyb0RvYy54&#10;bWxQSwUGAAAAAAYABgBZAQAAVwUAAAAA&#10;">
              <v:fill on="f" focussize="0,0"/>
              <v:stroke on="f"/>
              <v:imagedata o:title=""/>
              <o:lock v:ext="edit" aspectratio="f"/>
              <v:textbox inset="0mm,0mm,0mm,0mm" style="mso-fit-shape-to-text:t;">
                <w:txbxContent>
                  <w:p w14:paraId="2066C734">
                    <w:pPr>
                      <w:pStyle w:val="16"/>
                    </w:pPr>
                    <w:r>
                      <w:fldChar w:fldCharType="begin"/>
                    </w:r>
                    <w:r>
                      <w:instrText xml:space="preserve"> PAGE  \* MERGEFORMAT </w:instrText>
                    </w:r>
                    <w:r>
                      <w:fldChar w:fldCharType="separate"/>
                    </w:r>
                    <w:r>
                      <w:t>14</w:t>
                    </w:r>
                    <w:r>
                      <w:fldChar w:fldCharType="end"/>
                    </w:r>
                  </w:p>
                </w:txbxContent>
              </v:textbox>
            </v:shape>
          </w:pict>
        </mc:Fallback>
      </mc:AlternateContent>
    </w:r>
  </w:p>
  <w:p w14:paraId="7EA30B1A">
    <w:pPr>
      <w:pStyle w:val="16"/>
    </w:pPr>
  </w:p>
  <w:p w14:paraId="573BE0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D5873">
    <w:pPr>
      <w:pStyle w:val="16"/>
      <w:tabs>
        <w:tab w:val="center" w:pos="4534"/>
        <w:tab w:val="clear" w:pos="4153"/>
      </w:tabs>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AD217A">
                          <w:pPr>
                            <w:pStyle w:val="16"/>
                          </w:pPr>
                          <w:r>
                            <w:fldChar w:fldCharType="begin"/>
                          </w:r>
                          <w:r>
                            <w:instrText xml:space="preserve"> PAGE  \* MERGEFORMAT </w:instrText>
                          </w:r>
                          <w:r>
                            <w:fldChar w:fldCharType="separate"/>
                          </w:r>
                          <w:r>
                            <w:t>45</w:t>
                          </w:r>
                          <w:r>
                            <w:fldChar w:fldCharType="end"/>
                          </w:r>
                        </w:p>
                      </w:txbxContent>
                    </wps:txbx>
                    <wps:bodyPr wrap="none" lIns="0" tIns="0" rIns="0" bIns="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LTtbskBAACb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UBJHLc48cv3b5cfvy4/v5Ll&#10;6yxQH6DGvIeAmWm48wMmz35AZ+Y9qGjzFxkRjCPW+SqvHBIR+dF6tV5XGBIYmy+Izx6fhwjprfSW&#10;ZKOhEedXZOWn95DG1DklV3P+XhtTZmjcXw7EzB6Wex97zFYa9sNEaO/bM/LpcfQNdbjplJh3DpXF&#10;/tJsxNnYz8YxRH3oyhrlehBujwmbKL3lCiPsVBhnVthN+5WX4s97yXr8p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8tO1uyQEAAJsDAAAOAAAAAAAAAAEAIAAAAB4BAABkcnMvZTJvRG9j&#10;LnhtbFBLBQYAAAAABgAGAFkBAABZBQAAAAA=&#10;">
              <v:fill on="f" focussize="0,0"/>
              <v:stroke on="f"/>
              <v:imagedata o:title=""/>
              <o:lock v:ext="edit" aspectratio="f"/>
              <v:textbox inset="0mm,0mm,0mm,0mm" style="mso-fit-shape-to-text:t;">
                <w:txbxContent>
                  <w:p w14:paraId="18AD217A">
                    <w:pPr>
                      <w:pStyle w:val="16"/>
                    </w:pPr>
                    <w:r>
                      <w:fldChar w:fldCharType="begin"/>
                    </w:r>
                    <w:r>
                      <w:instrText xml:space="preserve"> PAGE  \* MERGEFORMAT </w:instrText>
                    </w:r>
                    <w:r>
                      <w:fldChar w:fldCharType="separate"/>
                    </w:r>
                    <w:r>
                      <w:t>45</w:t>
                    </w:r>
                    <w:r>
                      <w:fldChar w:fldCharType="end"/>
                    </w:r>
                  </w:p>
                </w:txbxContent>
              </v:textbox>
            </v:shape>
          </w:pict>
        </mc:Fallback>
      </mc:AlternateContent>
    </w:r>
    <w:r>
      <w:rPr>
        <w:rFonts w:hint="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B5E87">
    <w:pPr>
      <w:pStyle w:val="16"/>
      <w:ind w:right="360"/>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C68114">
                          <w:pPr>
                            <w:pStyle w:val="1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CQIYMkBAACbAwAADgAAAGRycy9lMm9Eb2MueG1srVPNjtMwEL4j8Q6W&#10;79Rph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VhR4rjFiV++f7v8+HX5+ZUs&#10;X2eB+gA15j0EzEzDnR8wefYDOjPvQUWbv8iIYBzlPV/llUMiIj9ar9brCkMCY/MF8dnj8xAhvZXe&#10;kmw0NOL8iqz89B7SmDqn5GrO32tjygyN+8uBmNnDcu9jj9lKw36YCO19e0Y+PY6+oQ43nRLzzqGy&#10;eUtmI87GfjaOIepDV9Yo14Nwe0zYROktVxhhp8I4s8Ju2q+8FH/eS9bjP7X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oJAhgyQEAAJsDAAAOAAAAAAAAAAEAIAAAAB4BAABkcnMvZTJvRG9j&#10;LnhtbFBLBQYAAAAABgAGAFkBAABZBQAAAAA=&#10;">
              <v:fill on="f" focussize="0,0"/>
              <v:stroke on="f"/>
              <v:imagedata o:title=""/>
              <o:lock v:ext="edit" aspectratio="f"/>
              <v:textbox inset="0mm,0mm,0mm,0mm" style="mso-fit-shape-to-text:t;">
                <w:txbxContent>
                  <w:p w14:paraId="54C68114">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4F65E">
    <w:pPr>
      <w:pStyle w:val="16"/>
      <w:tabs>
        <w:tab w:val="center" w:pos="4534"/>
        <w:tab w:val="clear" w:pos="4153"/>
      </w:tabs>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305197">
                          <w:pPr>
                            <w:pStyle w:val="16"/>
                          </w:pPr>
                          <w:r>
                            <w:fldChar w:fldCharType="begin"/>
                          </w:r>
                          <w:r>
                            <w:instrText xml:space="preserve"> PAGE  \* MERGEFORMAT </w:instrText>
                          </w:r>
                          <w:r>
                            <w:fldChar w:fldCharType="separate"/>
                          </w:r>
                          <w:r>
                            <w:t>61</w:t>
                          </w:r>
                          <w:r>
                            <w:fldChar w:fldCharType="end"/>
                          </w:r>
                        </w:p>
                      </w:txbxContent>
                    </wps:txbx>
                    <wps:bodyPr wrap="none" lIns="0" tIns="0" rIns="0" bIns="0" upright="0">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s1rh8kBAACbAwAADgAAAGRycy9lMm9Eb2MueG1srVPNjtMwEL4j8Q6W&#10;79Rpk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lvchJeUOG5x4pfv3y4/fl1+fiXL&#10;11mgPkCNeXcBM9Pw1g+YPPsBnZn3oKLNX2REMI7ynq/yyiERkR+tV+t1hSGBsfmC+OzheYiQ3klv&#10;STYaGnF+RVZ++gBpTJ1TcjXnb7UxZYbG/eVAzOxhufexx2ylYT9MhPa+PSOfHkffUIebTol571DZ&#10;vCWzEWdjPxvHEPWhK2uU60F4c0zYROktVxhhp8I4s8Ju2q+8FH/eS9bDP7X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CzWuHyQEAAJsDAAAOAAAAAAAAAAEAIAAAAB4BAABkcnMvZTJvRG9j&#10;LnhtbFBLBQYAAAAABgAGAFkBAABZBQAAAAA=&#10;">
              <v:fill on="f" focussize="0,0"/>
              <v:stroke on="f"/>
              <v:imagedata o:title=""/>
              <o:lock v:ext="edit" aspectratio="f"/>
              <v:textbox inset="0mm,0mm,0mm,0mm" style="mso-fit-shape-to-text:t;">
                <w:txbxContent>
                  <w:p w14:paraId="28305197">
                    <w:pPr>
                      <w:pStyle w:val="16"/>
                    </w:pPr>
                    <w:r>
                      <w:fldChar w:fldCharType="begin"/>
                    </w:r>
                    <w:r>
                      <w:instrText xml:space="preserve"> PAGE  \* MERGEFORMAT </w:instrText>
                    </w:r>
                    <w:r>
                      <w:fldChar w:fldCharType="separate"/>
                    </w:r>
                    <w:r>
                      <w:t>61</w:t>
                    </w:r>
                    <w:r>
                      <w:fldChar w:fldCharType="end"/>
                    </w:r>
                  </w:p>
                </w:txbxContent>
              </v:textbox>
            </v:shape>
          </w:pict>
        </mc:Fallback>
      </mc:AlternateContent>
    </w:r>
    <w:r>
      <w:rPr>
        <w:rFonts w:hint="eastAsia"/>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8ADB6">
    <w:pPr>
      <w:pStyle w:val="16"/>
      <w:ind w:right="360"/>
      <w:jc w:val="both"/>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92F209">
                          <w:pPr>
                            <w:pStyle w:val="1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kcU4BcoBAACbAwAADgAAAAAAAAABACAAAAAeAQAAZHJzL2Uyb0Rv&#10;Yy54bWxQSwUGAAAAAAYABgBZAQAAWgUAAAAA&#10;">
              <v:fill on="f" focussize="0,0"/>
              <v:stroke on="f"/>
              <v:imagedata o:title=""/>
              <o:lock v:ext="edit" aspectratio="f"/>
              <v:textbox inset="0mm,0mm,0mm,0mm" style="mso-fit-shape-to-text:t;">
                <w:txbxContent>
                  <w:p w14:paraId="2E92F209">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8410F">
    <w:pPr>
      <w:pStyle w:val="1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F07488">
                          <w:pPr>
                            <w:pStyle w:val="16"/>
                          </w:pPr>
                          <w:r>
                            <w:fldChar w:fldCharType="begin"/>
                          </w:r>
                          <w:r>
                            <w:instrText xml:space="preserve"> PAGE  \* MERGEFORMAT </w:instrText>
                          </w:r>
                          <w:r>
                            <w:fldChar w:fldCharType="separate"/>
                          </w:r>
                          <w:r>
                            <w:t>12</w:t>
                          </w:r>
                          <w:r>
                            <w:fldChar w:fldCharType="end"/>
                          </w:r>
                        </w:p>
                      </w:txbxContent>
                    </wps:txbx>
                    <wps:bodyPr wrap="none" lIns="0" tIns="0" rIns="0" bIns="0" upright="0">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ab91MkBAACbAwAADgAAAGRycy9lMm9Eb2MueG1srVPNjtMwEL4j8Q6W&#10;79RpJVCJ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lvchJeUOG5x4pfv3y4/fl1+fiXL&#10;11mgPkCNeXcBM9Pw1g+YPPsBnZn3oKLNX2REMI7ynq/yyiERkR+tV+t1hSGBsfmC+OzheYiQ3klv&#10;STYaGnF+RVZ++gBpTJ1TcjXnb7UxZYbG/eVAzOxhufexx2ylYT9MhPa+PSOfHkffUIebTol571DZ&#10;vCWzEWdjPxvHEPWhK2uU60F4c0zYROktVxhhp8I4s8Ju2q+8FH/eS9bDP7X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5pv3UyQEAAJsDAAAOAAAAAAAAAAEAIAAAAB4BAABkcnMvZTJvRG9j&#10;LnhtbFBLBQYAAAAABgAGAFkBAABZBQAAAAA=&#10;">
              <v:fill on="f" focussize="0,0"/>
              <v:stroke on="f"/>
              <v:imagedata o:title=""/>
              <o:lock v:ext="edit" aspectratio="f"/>
              <v:textbox inset="0mm,0mm,0mm,0mm" style="mso-fit-shape-to-text:t;">
                <w:txbxContent>
                  <w:p w14:paraId="74F07488">
                    <w:pPr>
                      <w:pStyle w:val="16"/>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CC8AE">
    <w:pPr>
      <w:pStyle w:val="16"/>
      <w:framePr w:wrap="around" w:vAnchor="text" w:hAnchor="margin" w:xAlign="center" w:y="1"/>
      <w:rPr>
        <w:rStyle w:val="28"/>
      </w:rPr>
    </w:pPr>
    <w:r>
      <w:fldChar w:fldCharType="begin"/>
    </w:r>
    <w:r>
      <w:rPr>
        <w:rStyle w:val="28"/>
      </w:rPr>
      <w:instrText xml:space="preserve">PAGE  </w:instrText>
    </w:r>
    <w:r>
      <w:fldChar w:fldCharType="end"/>
    </w:r>
  </w:p>
  <w:p w14:paraId="031C94B5">
    <w:pPr>
      <w:pStyle w:val="16"/>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1C260">
    <w:pPr>
      <w:pStyle w:val="16"/>
      <w:framePr w:wrap="around" w:vAnchor="text" w:hAnchor="margin" w:xAlign="right" w:y="1"/>
      <w:rPr>
        <w:rStyle w:val="28"/>
      </w:rPr>
    </w:pPr>
    <w:r>
      <w:fldChar w:fldCharType="begin"/>
    </w:r>
    <w:r>
      <w:rPr>
        <w:rStyle w:val="28"/>
      </w:rPr>
      <w:instrText xml:space="preserve">PAGE  </w:instrText>
    </w:r>
    <w:r>
      <w:fldChar w:fldCharType="separate"/>
    </w:r>
    <w:r>
      <w:rPr>
        <w:rStyle w:val="28"/>
      </w:rPr>
      <w:t>122</w:t>
    </w:r>
    <w:r>
      <w:fldChar w:fldCharType="end"/>
    </w:r>
  </w:p>
  <w:p w14:paraId="289C9BC4">
    <w:pPr>
      <w:pStyle w:val="16"/>
      <w:ind w:right="360"/>
      <w:jc w:val="both"/>
    </w:pPr>
    <w:r>
      <w:rPr>
        <w:rFonts w:hint="eastAsia"/>
      </w:rPr>
      <w:t>121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D9F89">
    <w:pPr>
      <w:pStyle w:val="17"/>
      <w:jc w:val="both"/>
      <w:rPr>
        <w:rFonts w:hint="default" w:eastAsia="宋体"/>
        <w:lang w:val="en-US" w:eastAsia="zh-CN"/>
      </w:rPr>
    </w:pPr>
    <w:r>
      <w:rPr>
        <w:rFonts w:hint="eastAsia"/>
      </w:rPr>
      <w:t>项目名称：</w:t>
    </w:r>
    <w:r>
      <w:rPr>
        <w:rFonts w:hint="eastAsia"/>
        <w:lang w:eastAsia="zh-CN"/>
      </w:rPr>
      <w:t>256排CT维保服务</w:t>
    </w:r>
    <w:r>
      <w:rPr>
        <w:rFonts w:hint="eastAsia"/>
        <w:lang w:val="en-US" w:eastAsia="zh-CN"/>
      </w:rPr>
      <w:t xml:space="preserve">                       </w:t>
    </w:r>
    <w:r>
      <w:rPr>
        <w:rFonts w:hint="eastAsia"/>
      </w:rPr>
      <w:t>项目编号：</w:t>
    </w:r>
    <w:r>
      <w:rPr>
        <w:rFonts w:hint="eastAsia"/>
        <w:lang w:eastAsia="zh-CN"/>
      </w:rPr>
      <w:t>GXZC2026-G3-003512-JYZX</w:t>
    </w:r>
    <w:r>
      <w:rPr>
        <w:rFonts w:hint="eastAsia"/>
        <w:lang w:val="en-US" w:eastAsia="zh-CN"/>
      </w:rPr>
      <w:t xml:space="preserve"> </w:t>
    </w:r>
  </w:p>
  <w:p w14:paraId="68F0CF6F">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2CD51">
    <w:pPr>
      <w:pStyle w:val="1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FEE58">
    <w:pPr>
      <w:pStyle w:val="1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F37"/>
    <w:rsid w:val="00096FFD"/>
    <w:rsid w:val="001A67EA"/>
    <w:rsid w:val="002F4601"/>
    <w:rsid w:val="00504F4C"/>
    <w:rsid w:val="00811D8D"/>
    <w:rsid w:val="008B43ED"/>
    <w:rsid w:val="00A20F37"/>
    <w:rsid w:val="00A43CF4"/>
    <w:rsid w:val="00CC6C25"/>
    <w:rsid w:val="00FF7EF3"/>
    <w:rsid w:val="02567741"/>
    <w:rsid w:val="042A6EF2"/>
    <w:rsid w:val="04F504C5"/>
    <w:rsid w:val="04F5599B"/>
    <w:rsid w:val="0549522C"/>
    <w:rsid w:val="05975099"/>
    <w:rsid w:val="063353A5"/>
    <w:rsid w:val="065A78CC"/>
    <w:rsid w:val="069C48E8"/>
    <w:rsid w:val="06A71AE7"/>
    <w:rsid w:val="06F86E33"/>
    <w:rsid w:val="079F3753"/>
    <w:rsid w:val="0814053A"/>
    <w:rsid w:val="08820EDA"/>
    <w:rsid w:val="09505D00"/>
    <w:rsid w:val="095F7744"/>
    <w:rsid w:val="09CC303E"/>
    <w:rsid w:val="09E509F9"/>
    <w:rsid w:val="0B427448"/>
    <w:rsid w:val="0B5D195B"/>
    <w:rsid w:val="0C0C3D3C"/>
    <w:rsid w:val="0C0F6515"/>
    <w:rsid w:val="0C92409A"/>
    <w:rsid w:val="0CB200F5"/>
    <w:rsid w:val="0CD608CE"/>
    <w:rsid w:val="0D197B03"/>
    <w:rsid w:val="0D1E3812"/>
    <w:rsid w:val="0EDD528C"/>
    <w:rsid w:val="0F45125C"/>
    <w:rsid w:val="0FA47B58"/>
    <w:rsid w:val="105166EC"/>
    <w:rsid w:val="10FB7C4C"/>
    <w:rsid w:val="12D26636"/>
    <w:rsid w:val="130B6B93"/>
    <w:rsid w:val="141F6BFC"/>
    <w:rsid w:val="14E54E9B"/>
    <w:rsid w:val="14FD6A90"/>
    <w:rsid w:val="1593729F"/>
    <w:rsid w:val="16B15128"/>
    <w:rsid w:val="16BD0153"/>
    <w:rsid w:val="16ED44DA"/>
    <w:rsid w:val="16EF3298"/>
    <w:rsid w:val="17265E58"/>
    <w:rsid w:val="17C0574B"/>
    <w:rsid w:val="186B3909"/>
    <w:rsid w:val="189228ED"/>
    <w:rsid w:val="19FA5AFA"/>
    <w:rsid w:val="1A7F18ED"/>
    <w:rsid w:val="1A8931BA"/>
    <w:rsid w:val="1AD05A50"/>
    <w:rsid w:val="1AEC6857"/>
    <w:rsid w:val="1B2A1C24"/>
    <w:rsid w:val="1C502F25"/>
    <w:rsid w:val="1DE86925"/>
    <w:rsid w:val="1FBA7D9A"/>
    <w:rsid w:val="204D01CF"/>
    <w:rsid w:val="20B70446"/>
    <w:rsid w:val="20E83DA2"/>
    <w:rsid w:val="2167509D"/>
    <w:rsid w:val="21A32365"/>
    <w:rsid w:val="225727E3"/>
    <w:rsid w:val="22F357B7"/>
    <w:rsid w:val="23A728AF"/>
    <w:rsid w:val="258D0B3D"/>
    <w:rsid w:val="25B05051"/>
    <w:rsid w:val="274012C0"/>
    <w:rsid w:val="274703C4"/>
    <w:rsid w:val="274B291C"/>
    <w:rsid w:val="275A6B58"/>
    <w:rsid w:val="27BC5F2F"/>
    <w:rsid w:val="289E48CE"/>
    <w:rsid w:val="28BE7C53"/>
    <w:rsid w:val="28E60D8A"/>
    <w:rsid w:val="28FB65E3"/>
    <w:rsid w:val="292C513C"/>
    <w:rsid w:val="29A8668A"/>
    <w:rsid w:val="29BF215B"/>
    <w:rsid w:val="29E7300B"/>
    <w:rsid w:val="2AC850EE"/>
    <w:rsid w:val="2B40246B"/>
    <w:rsid w:val="2BB533C1"/>
    <w:rsid w:val="2D062F57"/>
    <w:rsid w:val="2F0F2DE8"/>
    <w:rsid w:val="2F3F0A54"/>
    <w:rsid w:val="2F807842"/>
    <w:rsid w:val="2FB7059F"/>
    <w:rsid w:val="2FD74177"/>
    <w:rsid w:val="330C144E"/>
    <w:rsid w:val="33C06DA7"/>
    <w:rsid w:val="34411F49"/>
    <w:rsid w:val="34D90675"/>
    <w:rsid w:val="350E58F0"/>
    <w:rsid w:val="35266DD8"/>
    <w:rsid w:val="35FE7713"/>
    <w:rsid w:val="36047336"/>
    <w:rsid w:val="363377C2"/>
    <w:rsid w:val="379F0C07"/>
    <w:rsid w:val="38F26EB2"/>
    <w:rsid w:val="39096AFA"/>
    <w:rsid w:val="39223BA3"/>
    <w:rsid w:val="3A9D67D0"/>
    <w:rsid w:val="3D280A92"/>
    <w:rsid w:val="3E2E7003"/>
    <w:rsid w:val="3E2F0FC8"/>
    <w:rsid w:val="3E7013C9"/>
    <w:rsid w:val="3E7A5DA4"/>
    <w:rsid w:val="3F051B12"/>
    <w:rsid w:val="409475F1"/>
    <w:rsid w:val="40DA7512"/>
    <w:rsid w:val="41031F34"/>
    <w:rsid w:val="41A25D3E"/>
    <w:rsid w:val="41D852BC"/>
    <w:rsid w:val="42115344"/>
    <w:rsid w:val="43D917BF"/>
    <w:rsid w:val="442332CF"/>
    <w:rsid w:val="444852EC"/>
    <w:rsid w:val="447A08AC"/>
    <w:rsid w:val="458F48DD"/>
    <w:rsid w:val="462C5BD6"/>
    <w:rsid w:val="481D3D0C"/>
    <w:rsid w:val="48293256"/>
    <w:rsid w:val="483E067C"/>
    <w:rsid w:val="488B1468"/>
    <w:rsid w:val="492E6109"/>
    <w:rsid w:val="4AAF6DD6"/>
    <w:rsid w:val="4AFB05D5"/>
    <w:rsid w:val="4B441C14"/>
    <w:rsid w:val="4B4F66DC"/>
    <w:rsid w:val="4B9761E7"/>
    <w:rsid w:val="4DB37540"/>
    <w:rsid w:val="4DB7278A"/>
    <w:rsid w:val="4DC80BD1"/>
    <w:rsid w:val="4DE35714"/>
    <w:rsid w:val="4E092CA1"/>
    <w:rsid w:val="4E485577"/>
    <w:rsid w:val="4F4E4B2F"/>
    <w:rsid w:val="4F875CEA"/>
    <w:rsid w:val="514F754C"/>
    <w:rsid w:val="51667EAD"/>
    <w:rsid w:val="51B647D4"/>
    <w:rsid w:val="51EA6597"/>
    <w:rsid w:val="51F617AF"/>
    <w:rsid w:val="51FA77A2"/>
    <w:rsid w:val="529E6199"/>
    <w:rsid w:val="52F40224"/>
    <w:rsid w:val="539217FC"/>
    <w:rsid w:val="53A30BF3"/>
    <w:rsid w:val="547C1FE5"/>
    <w:rsid w:val="553F17A3"/>
    <w:rsid w:val="559F5CDF"/>
    <w:rsid w:val="566B274A"/>
    <w:rsid w:val="5918314C"/>
    <w:rsid w:val="59311389"/>
    <w:rsid w:val="595C62AC"/>
    <w:rsid w:val="59FC39BF"/>
    <w:rsid w:val="5A774181"/>
    <w:rsid w:val="5B28425D"/>
    <w:rsid w:val="5DC843AE"/>
    <w:rsid w:val="5E0B0AD6"/>
    <w:rsid w:val="5EF46A53"/>
    <w:rsid w:val="5F021633"/>
    <w:rsid w:val="60A07495"/>
    <w:rsid w:val="60D71124"/>
    <w:rsid w:val="61840CC8"/>
    <w:rsid w:val="620D0B5A"/>
    <w:rsid w:val="621F17C2"/>
    <w:rsid w:val="62A32B16"/>
    <w:rsid w:val="630C68EA"/>
    <w:rsid w:val="6426706F"/>
    <w:rsid w:val="648832D0"/>
    <w:rsid w:val="6545060B"/>
    <w:rsid w:val="65562C0F"/>
    <w:rsid w:val="65711400"/>
    <w:rsid w:val="661F1E88"/>
    <w:rsid w:val="66622060"/>
    <w:rsid w:val="66E3632D"/>
    <w:rsid w:val="672E3EC1"/>
    <w:rsid w:val="679123A2"/>
    <w:rsid w:val="688A085A"/>
    <w:rsid w:val="69194398"/>
    <w:rsid w:val="6951249E"/>
    <w:rsid w:val="6AB853DB"/>
    <w:rsid w:val="6BA62394"/>
    <w:rsid w:val="6BCF6E80"/>
    <w:rsid w:val="6CE030E7"/>
    <w:rsid w:val="6D2823F3"/>
    <w:rsid w:val="6D8A29A8"/>
    <w:rsid w:val="6E893572"/>
    <w:rsid w:val="70125E9D"/>
    <w:rsid w:val="70331CCB"/>
    <w:rsid w:val="70FC4273"/>
    <w:rsid w:val="71171E2E"/>
    <w:rsid w:val="720B4271"/>
    <w:rsid w:val="72AA0407"/>
    <w:rsid w:val="72D178A1"/>
    <w:rsid w:val="73093307"/>
    <w:rsid w:val="742A3B8F"/>
    <w:rsid w:val="753C2DFC"/>
    <w:rsid w:val="75533DAE"/>
    <w:rsid w:val="75D356AB"/>
    <w:rsid w:val="76487FF5"/>
    <w:rsid w:val="76BB731D"/>
    <w:rsid w:val="76C754F5"/>
    <w:rsid w:val="77A80CB1"/>
    <w:rsid w:val="78932CB2"/>
    <w:rsid w:val="78C443DA"/>
    <w:rsid w:val="78D13BAA"/>
    <w:rsid w:val="79012C29"/>
    <w:rsid w:val="798219D5"/>
    <w:rsid w:val="79964022"/>
    <w:rsid w:val="7A3C7303"/>
    <w:rsid w:val="7B384972"/>
    <w:rsid w:val="7B9A4B6F"/>
    <w:rsid w:val="7BED45A7"/>
    <w:rsid w:val="7BEE3875"/>
    <w:rsid w:val="7CE0517B"/>
    <w:rsid w:val="7D342FE7"/>
    <w:rsid w:val="7D950062"/>
    <w:rsid w:val="7E1362CF"/>
    <w:rsid w:val="7EBD037D"/>
    <w:rsid w:val="7ECA0962"/>
    <w:rsid w:val="7F673225"/>
    <w:rsid w:val="7F872CC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iPriority="99"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jc w:val="center"/>
      <w:outlineLvl w:val="1"/>
    </w:pPr>
    <w:rPr>
      <w:rFonts w:ascii="Arial" w:hAnsi="Arial" w:eastAsia="黑体"/>
      <w:bCs/>
      <w:kern w:val="0"/>
      <w:sz w:val="32"/>
      <w:szCs w:val="32"/>
    </w:rPr>
  </w:style>
  <w:style w:type="paragraph" w:styleId="4">
    <w:name w:val="heading 3"/>
    <w:basedOn w:val="1"/>
    <w:next w:val="1"/>
    <w:qFormat/>
    <w:uiPriority w:val="0"/>
    <w:pPr>
      <w:keepNext/>
      <w:keepLines/>
      <w:spacing w:before="260" w:after="260" w:line="416" w:lineRule="auto"/>
      <w:outlineLvl w:val="2"/>
    </w:pPr>
    <w:rPr>
      <w:b/>
      <w:bCs/>
      <w:kern w:val="0"/>
      <w:sz w:val="32"/>
      <w:szCs w:val="32"/>
    </w:rPr>
  </w:style>
  <w:style w:type="paragraph" w:styleId="5">
    <w:name w:val="heading 4"/>
    <w:basedOn w:val="1"/>
    <w:next w:val="1"/>
    <w:qFormat/>
    <w:uiPriority w:val="9"/>
    <w:pPr>
      <w:keepNext/>
      <w:keepLines/>
      <w:widowControl/>
      <w:spacing w:before="120" w:after="120" w:line="360" w:lineRule="auto"/>
      <w:jc w:val="center"/>
      <w:outlineLvl w:val="3"/>
    </w:pPr>
    <w:rPr>
      <w:rFonts w:ascii="Arial" w:hAnsi="Arial" w:eastAsia="黑体"/>
      <w:kern w:val="0"/>
      <w:sz w:val="28"/>
      <w:szCs w:val="20"/>
    </w:rPr>
  </w:style>
  <w:style w:type="paragraph" w:styleId="6">
    <w:name w:val="heading 5"/>
    <w:basedOn w:val="1"/>
    <w:next w:val="7"/>
    <w:qFormat/>
    <w:uiPriority w:val="0"/>
    <w:pPr>
      <w:keepNext/>
      <w:keepLines/>
      <w:numPr>
        <w:ilvl w:val="4"/>
        <w:numId w:val="1"/>
      </w:numPr>
      <w:spacing w:before="280" w:after="290" w:line="376" w:lineRule="auto"/>
      <w:outlineLvl w:val="4"/>
    </w:pPr>
    <w:rPr>
      <w:b/>
      <w:sz w:val="28"/>
    </w:rPr>
  </w:style>
  <w:style w:type="character" w:default="1" w:styleId="26">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8">
    <w:name w:val="index 8"/>
    <w:basedOn w:val="1"/>
    <w:next w:val="1"/>
    <w:qFormat/>
    <w:uiPriority w:val="0"/>
    <w:pPr>
      <w:ind w:left="2940"/>
    </w:p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annotation text"/>
    <w:basedOn w:val="1"/>
    <w:unhideWhenUsed/>
    <w:qFormat/>
    <w:uiPriority w:val="0"/>
    <w:pPr>
      <w:jc w:val="left"/>
    </w:pPr>
  </w:style>
  <w:style w:type="paragraph" w:styleId="11">
    <w:name w:val="Body Text 3"/>
    <w:basedOn w:val="1"/>
    <w:qFormat/>
    <w:uiPriority w:val="0"/>
    <w:pPr>
      <w:spacing w:line="500" w:lineRule="exact"/>
    </w:pPr>
    <w:rPr>
      <w:b/>
      <w:bCs/>
      <w:kern w:val="0"/>
      <w:sz w:val="24"/>
    </w:rPr>
  </w:style>
  <w:style w:type="paragraph" w:styleId="12">
    <w:name w:val="Body Text"/>
    <w:basedOn w:val="1"/>
    <w:next w:val="1"/>
    <w:qFormat/>
    <w:uiPriority w:val="99"/>
    <w:pPr>
      <w:spacing w:line="380" w:lineRule="exact"/>
    </w:pPr>
    <w:rPr>
      <w:kern w:val="0"/>
      <w:sz w:val="24"/>
    </w:rPr>
  </w:style>
  <w:style w:type="paragraph" w:styleId="13">
    <w:name w:val="Body Text Indent"/>
    <w:basedOn w:val="1"/>
    <w:qFormat/>
    <w:uiPriority w:val="0"/>
    <w:pPr>
      <w:ind w:firstLine="830" w:firstLineChars="352"/>
    </w:pPr>
    <w:rPr>
      <w:rFonts w:ascii="仿宋_GB2312" w:eastAsia="仿宋_GB2312"/>
      <w:kern w:val="0"/>
      <w:sz w:val="32"/>
      <w:szCs w:val="20"/>
    </w:rPr>
  </w:style>
  <w:style w:type="paragraph" w:styleId="14">
    <w:name w:val="Plain Text"/>
    <w:basedOn w:val="1"/>
    <w:qFormat/>
    <w:uiPriority w:val="0"/>
    <w:rPr>
      <w:rFonts w:ascii="宋体" w:hAnsi="Courier New"/>
      <w:kern w:val="0"/>
      <w:sz w:val="20"/>
      <w:szCs w:val="21"/>
    </w:rPr>
  </w:style>
  <w:style w:type="paragraph" w:styleId="15">
    <w:name w:val="Balloon Text"/>
    <w:basedOn w:val="1"/>
    <w:link w:val="35"/>
    <w:qFormat/>
    <w:uiPriority w:val="0"/>
    <w:rPr>
      <w:sz w:val="18"/>
      <w:szCs w:val="18"/>
    </w:rPr>
  </w:style>
  <w:style w:type="paragraph" w:styleId="16">
    <w:name w:val="footer"/>
    <w:basedOn w:val="1"/>
    <w:next w:val="1"/>
    <w:unhideWhenUsed/>
    <w:qFormat/>
    <w:uiPriority w:val="99"/>
    <w:pPr>
      <w:tabs>
        <w:tab w:val="center" w:pos="4153"/>
        <w:tab w:val="right" w:pos="8306"/>
      </w:tabs>
      <w:snapToGrid w:val="0"/>
      <w:jc w:val="left"/>
    </w:pPr>
    <w:rPr>
      <w:kern w:val="0"/>
      <w:sz w:val="18"/>
      <w:szCs w:val="18"/>
    </w:rPr>
  </w:style>
  <w:style w:type="paragraph" w:styleId="17">
    <w:name w:val="header"/>
    <w:basedOn w:val="1"/>
    <w:unhideWhenUsed/>
    <w:qFormat/>
    <w:uiPriority w:val="99"/>
    <w:pPr>
      <w:pBdr>
        <w:bottom w:val="single" w:color="auto" w:sz="6" w:space="1"/>
      </w:pBdr>
      <w:tabs>
        <w:tab w:val="center" w:pos="0"/>
        <w:tab w:val="left" w:pos="8306"/>
      </w:tabs>
      <w:snapToGrid w:val="0"/>
      <w:jc w:val="center"/>
    </w:pPr>
    <w:rPr>
      <w:sz w:val="18"/>
      <w:szCs w:val="18"/>
    </w:rPr>
  </w:style>
  <w:style w:type="paragraph" w:styleId="18">
    <w:name w:val="toc 1"/>
    <w:basedOn w:val="1"/>
    <w:next w:val="1"/>
    <w:qFormat/>
    <w:uiPriority w:val="39"/>
    <w:pPr>
      <w:tabs>
        <w:tab w:val="right" w:leader="dot" w:pos="8398"/>
      </w:tabs>
      <w:spacing w:before="120" w:after="120"/>
      <w:ind w:firstLine="240" w:firstLineChars="100"/>
      <w:jc w:val="left"/>
    </w:pPr>
    <w:rPr>
      <w:rFonts w:ascii="宋体" w:hAnsi="宋体" w:eastAsia="宋体"/>
      <w:bCs/>
      <w:caps/>
      <w:sz w:val="28"/>
    </w:rPr>
  </w:style>
  <w:style w:type="paragraph" w:styleId="19">
    <w:name w:val="List"/>
    <w:basedOn w:val="1"/>
    <w:qFormat/>
    <w:uiPriority w:val="0"/>
    <w:pPr>
      <w:ind w:left="200" w:hanging="200" w:hangingChars="200"/>
    </w:pPr>
    <w:rPr>
      <w:sz w:val="28"/>
    </w:rPr>
  </w:style>
  <w:style w:type="paragraph" w:styleId="20">
    <w:name w:val="toc 2"/>
    <w:basedOn w:val="1"/>
    <w:next w:val="1"/>
    <w:unhideWhenUsed/>
    <w:qFormat/>
    <w:uiPriority w:val="39"/>
    <w:pPr>
      <w:ind w:left="420" w:leftChars="200"/>
    </w:pPr>
    <w:rPr>
      <w:rFonts w:ascii="Times New Roman" w:hAnsi="Times New Roman" w:eastAsia="宋体"/>
      <w:sz w:val="28"/>
    </w:rPr>
  </w:style>
  <w:style w:type="paragraph" w:styleId="21">
    <w:name w:val="Body Text 2"/>
    <w:basedOn w:val="1"/>
    <w:qFormat/>
    <w:uiPriority w:val="0"/>
    <w:pPr>
      <w:spacing w:after="120" w:line="480" w:lineRule="auto"/>
    </w:pPr>
    <w:rPr>
      <w:kern w:val="0"/>
      <w:sz w:val="20"/>
    </w:rPr>
  </w:style>
  <w:style w:type="paragraph" w:styleId="22">
    <w:name w:val="Normal (Web)"/>
    <w:basedOn w:val="1"/>
    <w:qFormat/>
    <w:uiPriority w:val="99"/>
    <w:pPr>
      <w:widowControl/>
      <w:spacing w:before="100" w:beforeAutospacing="1" w:after="100" w:afterAutospacing="1"/>
      <w:jc w:val="left"/>
    </w:pPr>
    <w:rPr>
      <w:rFonts w:ascii="宋体" w:hAnsi="宋体"/>
      <w:kern w:val="0"/>
      <w:sz w:val="24"/>
    </w:rPr>
  </w:style>
  <w:style w:type="paragraph" w:styleId="23">
    <w:name w:val="index 1"/>
    <w:basedOn w:val="1"/>
    <w:next w:val="1"/>
    <w:semiHidden/>
    <w:qFormat/>
    <w:uiPriority w:val="0"/>
    <w:pPr>
      <w:spacing w:line="400" w:lineRule="exact"/>
      <w:ind w:firstLine="420" w:firstLineChars="200"/>
    </w:pPr>
    <w:rPr>
      <w:rFonts w:ascii="宋体" w:hAnsi="Courier New"/>
      <w:b/>
      <w:szCs w:val="20"/>
    </w:rPr>
  </w:style>
  <w:style w:type="paragraph" w:styleId="24">
    <w:name w:val="Title"/>
    <w:basedOn w:val="1"/>
    <w:next w:val="1"/>
    <w:qFormat/>
    <w:uiPriority w:val="0"/>
    <w:pPr>
      <w:spacing w:before="240" w:after="60"/>
      <w:jc w:val="center"/>
      <w:outlineLvl w:val="0"/>
    </w:pPr>
    <w:rPr>
      <w:rFonts w:ascii="等线 Light" w:hAnsi="等线 Light"/>
      <w:b/>
      <w:bCs/>
      <w:sz w:val="32"/>
      <w:szCs w:val="32"/>
    </w:rPr>
  </w:style>
  <w:style w:type="character" w:styleId="27">
    <w:name w:val="Strong"/>
    <w:basedOn w:val="26"/>
    <w:qFormat/>
    <w:uiPriority w:val="0"/>
    <w:rPr>
      <w:b/>
    </w:rPr>
  </w:style>
  <w:style w:type="character" w:styleId="28">
    <w:name w:val="page number"/>
    <w:qFormat/>
    <w:uiPriority w:val="0"/>
  </w:style>
  <w:style w:type="character" w:styleId="29">
    <w:name w:val="annotation reference"/>
    <w:basedOn w:val="26"/>
    <w:qFormat/>
    <w:uiPriority w:val="0"/>
    <w:rPr>
      <w:sz w:val="21"/>
      <w:szCs w:val="21"/>
    </w:rPr>
  </w:style>
  <w:style w:type="character" w:styleId="30">
    <w:name w:val="HTML Sample"/>
    <w:basedOn w:val="26"/>
    <w:qFormat/>
    <w:uiPriority w:val="0"/>
    <w:rPr>
      <w:rFonts w:ascii="Courier New" w:hAnsi="Courier New"/>
    </w:rPr>
  </w:style>
  <w:style w:type="character" w:customStyle="1" w:styleId="31">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table" w:customStyle="1" w:styleId="32">
    <w:name w:val="Table Normal"/>
    <w:semiHidden/>
    <w:qFormat/>
    <w:uiPriority w:val="2"/>
    <w:pPr>
      <w:widowControl w:val="0"/>
    </w:pPr>
    <w:rPr>
      <w:rFonts w:ascii="Calibri" w:hAnsi="Calibri" w:eastAsia="Times New Roman"/>
      <w:sz w:val="22"/>
      <w:szCs w:val="22"/>
      <w:lang w:eastAsia="en-US"/>
    </w:rPr>
    <w:tblPr>
      <w:tblCellMar>
        <w:top w:w="0" w:type="dxa"/>
        <w:left w:w="0" w:type="dxa"/>
        <w:bottom w:w="0" w:type="dxa"/>
        <w:right w:w="0" w:type="dxa"/>
      </w:tblCellMar>
    </w:tblPr>
  </w:style>
  <w:style w:type="paragraph" w:customStyle="1" w:styleId="33">
    <w:name w:val="Table Text"/>
    <w:basedOn w:val="1"/>
    <w:semiHidden/>
    <w:qFormat/>
    <w:uiPriority w:val="0"/>
    <w:rPr>
      <w:rFonts w:ascii="宋体" w:hAnsi="宋体" w:cs="宋体"/>
      <w:sz w:val="20"/>
      <w:szCs w:val="20"/>
      <w:lang w:eastAsia="en-US"/>
    </w:rPr>
  </w:style>
  <w:style w:type="paragraph" w:customStyle="1" w:styleId="34">
    <w:name w:val="表内文字"/>
    <w:basedOn w:val="1"/>
    <w:qFormat/>
    <w:uiPriority w:val="0"/>
    <w:pPr>
      <w:snapToGrid w:val="0"/>
      <w:spacing w:before="50" w:after="50"/>
      <w:jc w:val="center"/>
    </w:pPr>
    <w:rPr>
      <w:rFonts w:ascii="仿宋_GB2312" w:hAnsi="宋体" w:eastAsia="仿宋_GB2312"/>
      <w:b/>
      <w:color w:val="000000"/>
      <w:sz w:val="32"/>
      <w:szCs w:val="32"/>
    </w:rPr>
  </w:style>
  <w:style w:type="character" w:customStyle="1" w:styleId="35">
    <w:name w:val="批注框文本 Char"/>
    <w:basedOn w:val="26"/>
    <w:link w:val="15"/>
    <w:qFormat/>
    <w:uiPriority w:val="0"/>
    <w:rPr>
      <w:rFonts w:ascii="Times New Roman" w:hAnsi="Times New Roman" w:eastAsia="宋体" w:cs="Times New Roman"/>
      <w:kern w:val="2"/>
      <w:sz w:val="18"/>
      <w:szCs w:val="18"/>
    </w:rPr>
  </w:style>
  <w:style w:type="paragraph" w:customStyle="1" w:styleId="36">
    <w:name w:val="null3"/>
    <w:qFormat/>
    <w:uiPriority w:val="0"/>
    <w:rPr>
      <w:rFonts w:hint="eastAsia" w:ascii="Calibri" w:hAnsi="Calibri" w:eastAsia="宋体" w:cs="宋体"/>
      <w:lang w:val="en-US"/>
    </w:rPr>
  </w:style>
  <w:style w:type="paragraph" w:customStyle="1" w:styleId="37">
    <w:name w:val="列出段落1"/>
    <w:basedOn w:val="1"/>
    <w:qFormat/>
    <w:uiPriority w:val="34"/>
    <w:pPr>
      <w:ind w:firstLine="420" w:firstLineChars="200"/>
    </w:pPr>
  </w:style>
  <w:style w:type="paragraph" w:styleId="38">
    <w:name w:val="List Paragraph"/>
    <w:basedOn w:val="1"/>
    <w:qFormat/>
    <w:uiPriority w:val="34"/>
    <w:pPr>
      <w:ind w:left="720"/>
      <w:contextualSpacing/>
    </w:pPr>
  </w:style>
  <w:style w:type="paragraph" w:customStyle="1" w:styleId="39">
    <w:name w:val="首行缩进"/>
    <w:basedOn w:val="1"/>
    <w:qFormat/>
    <w:uiPriority w:val="0"/>
    <w:pPr>
      <w:ind w:firstLine="480" w:firstLineChars="200"/>
    </w:pPr>
    <w:rPr>
      <w:rFonts w:ascii="Times New Roman" w:hAnsi="Times New Roman" w:eastAsia="宋体" w:cs="Times New Roman"/>
    </w:rPr>
  </w:style>
  <w:style w:type="paragraph" w:customStyle="1" w:styleId="40">
    <w:name w:val="Default"/>
    <w:basedOn w:val="24"/>
    <w:next w:val="2"/>
    <w:qFormat/>
    <w:uiPriority w:val="99"/>
    <w:pPr>
      <w:autoSpaceDE w:val="0"/>
      <w:autoSpaceDN w:val="0"/>
      <w:adjustRightInd w:val="0"/>
    </w:pPr>
    <w:rPr>
      <w:rFonts w:ascii="宋体" w:eastAsia="Arial"/>
      <w:snapToGrid w:val="0"/>
      <w:kern w:val="0"/>
      <w:sz w:val="24"/>
      <w:szCs w:val="24"/>
    </w:rPr>
  </w:style>
  <w:style w:type="paragraph" w:customStyle="1" w:styleId="41">
    <w:name w:val="表格文字"/>
    <w:basedOn w:val="42"/>
    <w:next w:val="12"/>
    <w:qFormat/>
    <w:uiPriority w:val="0"/>
    <w:pPr>
      <w:spacing w:before="25" w:after="25"/>
      <w:jc w:val="left"/>
    </w:pPr>
    <w:rPr>
      <w:bCs/>
      <w:spacing w:val="10"/>
      <w:kern w:val="0"/>
      <w:sz w:val="24"/>
    </w:rPr>
  </w:style>
  <w:style w:type="paragraph" w:customStyle="1" w:styleId="42">
    <w:name w:val="正文_2_0"/>
    <w:basedOn w:val="43"/>
    <w:qFormat/>
    <w:uiPriority w:val="0"/>
    <w:rPr>
      <w:rFonts w:cs="Times New Roman"/>
      <w:szCs w:val="22"/>
    </w:rPr>
  </w:style>
  <w:style w:type="paragraph" w:customStyle="1" w:styleId="43">
    <w:name w:val="正文_2"/>
    <w:next w:val="44"/>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_Style 3"/>
    <w:qFormat/>
    <w:uiPriority w:val="34"/>
    <w:pPr>
      <w:widowControl w:val="0"/>
      <w:jc w:val="both"/>
    </w:pPr>
    <w:rPr>
      <w:rFonts w:ascii="Times New Roman" w:hAnsi="Times New Roman" w:eastAsia="宋体" w:cs="Times New Roman"/>
      <w:kern w:val="2"/>
      <w:sz w:val="21"/>
      <w:szCs w:val="22"/>
      <w:lang w:val="en-US" w:eastAsia="zh-CN" w:bidi="ar-SA"/>
    </w:rPr>
  </w:style>
  <w:style w:type="paragraph" w:customStyle="1" w:styleId="45">
    <w:name w:val="模板普通正文"/>
    <w:basedOn w:val="13"/>
    <w:qFormat/>
    <w:uiPriority w:val="0"/>
    <w:pPr>
      <w:spacing w:beforeLines="50" w:after="10"/>
      <w:ind w:firstLine="490" w:firstLineChars="175"/>
      <w:jc w:val="left"/>
    </w:pPr>
  </w:style>
  <w:style w:type="paragraph" w:customStyle="1" w:styleId="46">
    <w:name w:val="Body text|1"/>
    <w:basedOn w:val="1"/>
    <w:qFormat/>
    <w:uiPriority w:val="0"/>
    <w:pPr>
      <w:spacing w:line="350" w:lineRule="auto"/>
      <w:ind w:firstLine="400"/>
      <w:jc w:val="left"/>
    </w:pPr>
    <w:rPr>
      <w:rFonts w:ascii="宋体" w:hAnsi="宋体" w:cs="宋体"/>
      <w:kern w:val="0"/>
      <w:sz w:val="30"/>
      <w:szCs w:val="3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f63663f4-ac7b-4a10-8abd-faf98e1f7ee8</errorID>
      <errorWord>：/</errorWord>
      <group>L1_Punc</group>
      <groupName>标点问题</groupName>
      <ability>L2_Punc_CN</ability>
      <abilityName>标点符号检查</abilityName>
      <candidateList>
        <item>：</item>
      </candidateList>
      <explain/>
      <paraID>2CC43825</paraID>
      <start>2</start>
      <end>4</end>
      <status>unmodified</status>
      <modifiedWord/>
      <trackRevisions>false</trackRevisions>
    </reviewItem>
    <reviewItem>
      <errorID>ca3c1171-914f-4e36-b6a0-0bfd03ab84c7</errorID>
      <errorWord>：/</errorWord>
      <group>L1_Punc</group>
      <groupName>标点问题</groupName>
      <ability>L2_Punc_CN</ability>
      <abilityName>标点符号检查</abilityName>
      <candidateList>
        <item>：</item>
      </candidateList>
      <explain/>
      <paraID>1C522A1E</paraID>
      <start>2</start>
      <end>4</end>
      <status>unmodified</status>
      <modifiedWord/>
      <trackRevisions>false</trackRevisions>
    </reviewItem>
    <reviewItem>
      <errorID>cb336d12-49a3-49a3-aef6-36797e4d8d8f</errorID>
      <errorWord>日至2026年</errorWord>
      <group>L1_Word</group>
      <groupName>字词问题</groupName>
      <ability>L2_Typo</ability>
      <abilityName>字词错误</abilityName>
      <candidateList>
        <item>日起至2026年</item>
      </candidateList>
      <explain/>
      <paraID>218438BB</paraID>
      <start>18</start>
      <end>26</end>
      <status>unmodified</status>
      <modifiedWord/>
      <trackRevisions>false</trackRevisions>
    </reviewItem>
    <reviewItem>
      <errorID>675e085f-330f-4ffa-914f-1c1c30009d8d</errorID>
      <errorWord>上午00:00</errorWord>
      <group>L1_Knowledge</group>
      <groupName>知识性问题</groupName>
      <ability>L2_Time</ability>
      <abilityName>日期时间</abilityName>
      <candidateList/>
      <explain>时间与前缀不匹配，可能的时间前缀有“下午、晚上、凌晨、午夜”。</explain>
      <paraID>218438BB</paraID>
      <start>40</start>
      <end>47</end>
      <status>unmodified</status>
      <modifiedWord/>
      <trackRevisions>false</trackRevisions>
    </reviewItem>
    <reviewItem>
      <errorID>3bf6b6fd-8f5b-444e-b92c-bbad9192842b</errorID>
      <errorWord>(</errorWord>
      <group>L1_Format</group>
      <groupName>格式问题</groupName>
      <ability>L2_HalfPunc_CN</ability>
      <abilityName>全半角检查</abilityName>
      <candidateList>
        <item>（</item>
      </candidateList>
      <explain>文本全半角错误。</explain>
      <paraID>5816CA24</paraID>
      <start>80</start>
      <end>81</end>
      <status>unmodified</status>
      <modifiedWord/>
      <trackRevisions>false</trackRevisions>
    </reviewItem>
    <reviewItem>
      <errorID>bb5305bc-6e84-4e87-8181-3abc1065d43d</errorID>
      <errorWord>-</errorWord>
      <group>L1_Format</group>
      <groupName>格式问题</groupName>
      <ability>L2_HalfPunc_CN</ability>
      <abilityName>全半角检查</abilityName>
      <candidateList>
        <item>－</item>
      </candidateList>
      <explain>文本全半角错误。</explain>
      <paraID>5816CA24</paraID>
      <start>97</start>
      <end>98</end>
      <status>unmodified</status>
      <modifiedWord/>
      <trackRevisions>false</trackRevisions>
    </reviewItem>
    <reviewItem>
      <errorID>0fcd90ca-db9a-4fb3-a4c2-880a22580d7c</errorID>
      <errorWord>-</errorWord>
      <group>L1_Format</group>
      <groupName>格式问题</groupName>
      <ability>L2_HalfPunc_CN</ability>
      <abilityName>全半角检查</abilityName>
      <candidateList>
        <item>－</item>
      </candidateList>
      <explain>文本全半角错误。</explain>
      <paraID>5816CA24</paraID>
      <start>102</start>
      <end>103</end>
      <status>unmodified</status>
      <modifiedWord/>
      <trackRevisions>false</trackRevisions>
    </reviewItem>
    <reviewItem>
      <errorID>64f4d15c-de38-43ec-80d2-ed2e00ccae54</errorID>
      <errorWord>-</errorWord>
      <group>L1_Format</group>
      <groupName>格式问题</groupName>
      <ability>L2_HalfPunc_CN</ability>
      <abilityName>全半角检查</abilityName>
      <candidateList>
        <item>－</item>
      </candidateList>
      <explain>文本全半角错误。</explain>
      <paraID>5816CA24</paraID>
      <start>109</start>
      <end>110</end>
      <status>unmodified</status>
      <modifiedWord/>
      <trackRevisions>false</trackRevisions>
    </reviewItem>
    <reviewItem>
      <errorID>87155327-ce7d-4a94-9783-676acf82ab18</errorID>
      <errorWord>-</errorWord>
      <group>L1_Format</group>
      <groupName>格式问题</groupName>
      <ability>L2_HalfPunc_CN</ability>
      <abilityName>全半角检查</abilityName>
      <candidateList>
        <item>－</item>
      </candidateList>
      <explain>文本全半角错误。</explain>
      <paraID>5816CA24</paraID>
      <start>115</start>
      <end>116</end>
      <status>unmodified</status>
      <modifiedWord/>
      <trackRevisions>false</trackRevisions>
    </reviewItem>
    <reviewItem>
      <errorID>5b92e28b-4915-4712-80d0-032a5945425b</errorID>
      <errorWord>)</errorWord>
      <group>L1_Format</group>
      <groupName>格式问题</groupName>
      <ability>L2_HalfPunc_CN</ability>
      <abilityName>全半角检查</abilityName>
      <candidateList>
        <item>）</item>
      </candidateList>
      <explain>文本全半角错误。</explain>
      <paraID>5816CA24</paraID>
      <start>128</start>
      <end>129</end>
      <status>unmodified</status>
      <modifiedWord/>
      <trackRevisions>false</trackRevisions>
    </reviewItem>
    <reviewItem>
      <errorID>cb323b37-eb6d-46e0-a99e-206a4fc8cab3</errorID>
      <errorWord>：</errorWord>
      <group>L1_Format</group>
      <groupName>格式问题</groupName>
      <ability>L2_HalfPunc_CN</ability>
      <abilityName>全半角检查</abilityName>
      <candidateList>
        <item>:</item>
      </candidateList>
      <explain>文本全半角错误。</explain>
      <paraID>6FEEAA85</paraID>
      <start>31</start>
      <end>32</end>
      <status>unmodified</status>
      <modifiedWord/>
      <trackRevisions>false</trackRevisions>
    </reviewItem>
    <reviewItem>
      <errorID>b22db0fb-4b8b-496a-8042-a88869b1a8e3</errorID>
      <errorWord>(</errorWord>
      <group>L1_Format</group>
      <groupName>格式问题</groupName>
      <ability>L2_HalfPunc_CN</ability>
      <abilityName>全半角检查</abilityName>
      <candidateList>
        <item>（</item>
      </candidateList>
      <explain>文本全半角错误。</explain>
      <paraID>6FEEAA85</paraID>
      <start>34</start>
      <end>35</end>
      <status>unmodified</status>
      <modifiedWord/>
      <trackRevisions>false</trackRevisions>
    </reviewItem>
    <reviewItem>
      <errorID>29895e58-88a1-41bf-8fb5-a3cdcdbd7b98</errorID>
      <errorWord>)</errorWord>
      <group>L1_Format</group>
      <groupName>格式问题</groupName>
      <ability>L2_HalfPunc_CN</ability>
      <abilityName>全半角检查</abilityName>
      <candidateList>
        <item>）</item>
      </candidateList>
      <explain>文本全半角错误。</explain>
      <paraID>6FEEAA85</paraID>
      <start>39</start>
      <end>40</end>
      <status>unmodified</status>
      <modifiedWord/>
      <trackRevisions>false</trackRevisions>
    </reviewItem>
    <reviewItem>
      <errorID>e3e913f2-4121-424a-a7e5-4327b5bebe33</errorID>
      <errorWord>：</errorWord>
      <group>L1_Format</group>
      <groupName>格式问题</groupName>
      <ability>L2_HalfPunc_CN</ability>
      <abilityName>全半角检查</abilityName>
      <candidateList>
        <item>:</item>
      </candidateList>
      <explain>文本全半角错误。</explain>
      <paraID> F1F36CE</paraID>
      <start>25</start>
      <end>26</end>
      <status>unmodified</status>
      <modifiedWord/>
      <trackRevisions>false</trackRevisions>
    </reviewItem>
    <reviewItem>
      <errorID>d7137875-8f0c-4f70-ba8a-0329bcf83631</errorID>
      <errorWord>(</errorWord>
      <group>L1_Format</group>
      <groupName>格式问题</groupName>
      <ability>L2_HalfPunc_CN</ability>
      <abilityName>全半角检查</abilityName>
      <candidateList>
        <item>（</item>
      </candidateList>
      <explain>文本全半角错误。</explain>
      <paraID> F1F36CE</paraID>
      <start>28</start>
      <end>29</end>
      <status>unmodified</status>
      <modifiedWord/>
      <trackRevisions>false</trackRevisions>
    </reviewItem>
    <reviewItem>
      <errorID>d1704b06-dd91-442f-9f7c-b82586882f87</errorID>
      <errorWord>)</errorWord>
      <group>L1_Format</group>
      <groupName>格式问题</groupName>
      <ability>L2_HalfPunc_CN</ability>
      <abilityName>全半角检查</abilityName>
      <candidateList>
        <item>）</item>
      </candidateList>
      <explain>文本全半角错误。</explain>
      <paraID> F1F36CE</paraID>
      <start>33</start>
      <end>34</end>
      <status>unmodified</status>
      <modifiedWord/>
      <trackRevisions>false</trackRevisions>
    </reviewItem>
    <reviewItem>
      <errorID>93c44ed7-35b7-4eda-a940-823ea7ffb22b</errorID>
      <errorWord>(</errorWord>
      <group>L1_Format</group>
      <groupName>格式问题</groupName>
      <ability>L2_HalfPunc_CN</ability>
      <abilityName>全半角检查</abilityName>
      <candidateList>
        <item>（</item>
      </candidateList>
      <explain>文本全半角错误。</explain>
      <paraID>242C7E26</paraID>
      <start>13</start>
      <end>14</end>
      <status>unmodified</status>
      <modifiedWord/>
      <trackRevisions>false</trackRevisions>
    </reviewItem>
    <reviewItem>
      <errorID>99fd2922-b183-45ef-b57e-9fcf6e17d5b1</errorID>
      <errorWord>)</errorWord>
      <group>L1_Format</group>
      <groupName>格式问题</groupName>
      <ability>L2_HalfPunc_CN</ability>
      <abilityName>全半角检查</abilityName>
      <candidateList>
        <item>）</item>
      </candidateList>
      <explain>文本全半角错误。</explain>
      <paraID>242C7E26</paraID>
      <start>36</start>
      <end>37</end>
      <status>unmodified</status>
      <modifiedWord/>
      <trackRevisions>false</trackRevisions>
    </reviewItem>
    <reviewItem>
      <errorID>b61e048b-3a35-4180-bac5-56e11042fb12</errorID>
      <errorWord>(</errorWord>
      <group>L1_Format</group>
      <groupName>格式问题</groupName>
      <ability>L2_HalfPunc_CN</ability>
      <abilityName>全半角检查</abilityName>
      <candidateList>
        <item>（</item>
      </candidateList>
      <explain>文本全半角错误。</explain>
      <paraID>242C7E26</paraID>
      <start>45</start>
      <end>46</end>
      <status>unmodified</status>
      <modifiedWord/>
      <trackRevisions>false</trackRevisions>
    </reviewItem>
    <reviewItem>
      <errorID>aa6cfd61-d223-4c8a-ba0b-9ece838fc60a</errorID>
      <errorWord>)</errorWord>
      <group>L1_Format</group>
      <groupName>格式问题</groupName>
      <ability>L2_HalfPunc_CN</ability>
      <abilityName>全半角检查</abilityName>
      <candidateList>
        <item>）</item>
      </candidateList>
      <explain>文本全半角错误。</explain>
      <paraID>242C7E26</paraID>
      <start>61</start>
      <end>62</end>
      <status>unmodified</status>
      <modifiedWord/>
      <trackRevisions>false</trackRevisions>
    </reviewItem>
    <reviewItem>
      <errorID>17766acb-8bb4-4e3e-bceb-1f2f91a4029a</errorID>
      <errorWord>-</errorWord>
      <group>L1_Format</group>
      <groupName>格式问题</groupName>
      <ability>L2_HalfPunc_CN</ability>
      <abilityName>全半角检查</abilityName>
      <candidateList>
        <item>－</item>
      </candidateList>
      <explain>文本全半角错误。</explain>
      <paraID>5AE205D0</paraID>
      <start>303</start>
      <end>304</end>
      <status>unmodified</status>
      <modifiedWord/>
      <trackRevisions>false</trackRevisions>
    </reviewItem>
    <reviewItem>
      <errorID>1cc13797-87a1-4637-b327-3d7360d53e5d</errorID>
      <errorWord>-</errorWord>
      <group>L1_Format</group>
      <groupName>格式问题</groupName>
      <ability>L2_HalfPunc_CN</ability>
      <abilityName>全半角检查</abilityName>
      <candidateList>
        <item>－</item>
      </candidateList>
      <explain>文本全半角错误。</explain>
      <paraID>5AE205D0</paraID>
      <start>308</start>
      <end>309</end>
      <status>unmodified</status>
      <modifiedWord/>
      <trackRevisions>false</trackRevisions>
    </reviewItem>
    <reviewItem>
      <errorID>f7ed909b-23b8-4dbe-99f5-bd24ff1955a9</errorID>
      <errorWord>-</errorWord>
      <group>L1_Format</group>
      <groupName>格式问题</groupName>
      <ability>L2_HalfPunc_CN</ability>
      <abilityName>全半角检查</abilityName>
      <candidateList>
        <item>－</item>
      </candidateList>
      <explain>文本全半角错误。</explain>
      <paraID>5AE205D0</paraID>
      <start>313</start>
      <end>314</end>
      <status>unmodified</status>
      <modifiedWord/>
      <trackRevisions>false</trackRevisions>
    </reviewItem>
    <reviewItem>
      <errorID>5e0eed61-ea99-46a0-be22-427389e5a097</errorID>
      <errorWord>-</errorWord>
      <group>L1_Format</group>
      <groupName>格式问题</groupName>
      <ability>L2_HalfPunc_CN</ability>
      <abilityName>全半角检查</abilityName>
      <candidateList>
        <item>－</item>
      </candidateList>
      <explain>文本全半角错误。</explain>
      <paraID>5AE205D0</paraID>
      <start>319</start>
      <end>320</end>
      <status>unmodified</status>
      <modifiedWord/>
      <trackRevisions>false</trackRevisions>
    </reviewItem>
    <reviewItem>
      <errorID>db0eeab5-4caf-4b1e-8e1e-905d6064f00f</errorID>
      <errorWord>-</errorWord>
      <group>L1_Format</group>
      <groupName>格式问题</groupName>
      <ability>L2_HalfPunc_CN</ability>
      <abilityName>全半角检查</abilityName>
      <candidateList>
        <item>－</item>
      </candidateList>
      <explain>文本全半角错误。</explain>
      <paraID>5AE205D0</paraID>
      <start>336</start>
      <end>337</end>
      <status>unmodified</status>
      <modifiedWord/>
      <trackRevisions>false</trackRevisions>
    </reviewItem>
    <reviewItem>
      <errorID>26e5ea79-65b1-4455-9aa7-d399f6ab4f6f</errorID>
      <errorWord>-</errorWord>
      <group>L1_Format</group>
      <groupName>格式问题</groupName>
      <ability>L2_HalfPunc_CN</ability>
      <abilityName>全半角检查</abilityName>
      <candidateList>
        <item>－</item>
      </candidateList>
      <explain>文本全半角错误。</explain>
      <paraID>417E770E</paraID>
      <start>108</start>
      <end>109</end>
      <status>unmodified</status>
      <modifiedWord/>
      <trackRevisions>false</trackRevisions>
    </reviewItem>
    <reviewItem>
      <errorID>7d71e3cd-b150-4f87-8a46-06c8f315790c</errorID>
      <errorWord>-</errorWord>
      <group>L1_Format</group>
      <groupName>格式问题</groupName>
      <ability>L2_HalfPunc_CN</ability>
      <abilityName>全半角检查</abilityName>
      <candidateList>
        <item>－</item>
      </candidateList>
      <explain>文本全半角错误。</explain>
      <paraID>417E770E</paraID>
      <start>137</start>
      <end>138</end>
      <status>unmodified</status>
      <modifiedWord/>
      <trackRevisions>false</trackRevisions>
    </reviewItem>
    <reviewItem>
      <errorID>16515945-be9e-44a7-9d76-38049b5d514f</errorID>
      <errorWord>操作合</errorWord>
      <group>L1_Word</group>
      <groupName>字词问题</groupName>
      <ability>L2_Typo</ability>
      <abilityName>字词错误</abilityName>
      <candidateList>
        <item>操作台</item>
      </candidateList>
      <explain/>
      <paraID>751BCD6B</paraID>
      <start>9</start>
      <end>12</end>
      <status>unmodified</status>
      <modifiedWord/>
      <trackRevisions>false</trackRevisions>
    </reviewItem>
    <reviewItem>
      <errorID>487ba060-9fbf-4766-bd9a-0d65e794c052</errorID>
      <errorWord>桂林市崇信</errorWord>
      <group>L1_Knowledge</group>
      <groupName>知识性问题</groupName>
      <ability>L2_Location</ability>
      <abilityName>地名检查</abilityName>
      <candidateList>
        <item>平凉崇信</item>
      </candidateList>
      <explain>地名表述错误。</explain>
      <paraID>21011C3C</paraID>
      <start>3</start>
      <end>8</end>
      <status>unmodified</status>
      <modifiedWord/>
      <trackRevisions>false</trackRevisions>
    </reviewItem>
    <reviewItem>
      <errorID>6f419543-8c10-49c8-8259-461831d51fc2</errorID>
      <errorWord>)</errorWord>
      <group>L1_Format</group>
      <groupName>格式问题</groupName>
      <ability>L2_HalfPunc_CN</ability>
      <abilityName>全半角检查</abilityName>
      <candidateList>
        <item>）</item>
      </candidateList>
      <explain>文本全半角错误。</explain>
      <paraID>5C7536F9</paraID>
      <start>77</start>
      <end>78</end>
      <status>unmodified</status>
      <modifiedWord/>
      <trackRevisions>false</trackRevisions>
    </reviewItem>
    <reviewItem>
      <errorID>7cb11d7e-3bd8-467f-a073-3f76f915b69d</errorID>
      <errorWord>(</errorWord>
      <group>L1_Format</group>
      <groupName>格式问题</groupName>
      <ability>L2_HalfPunc_CN</ability>
      <abilityName>全半角检查</abilityName>
      <candidateList>
        <item>（</item>
      </candidateList>
      <explain>文本全半角错误。</explain>
      <paraID>2D0BDB9B</paraID>
      <start>39</start>
      <end>40</end>
      <status>unmodified</status>
      <modifiedWord/>
      <trackRevisions>false</trackRevisions>
    </reviewItem>
    <reviewItem>
      <errorID>6d7bf4e0-fcff-442a-aa36-26269df2d973</errorID>
      <errorWord>)</errorWord>
      <group>L1_Format</group>
      <groupName>格式问题</groupName>
      <ability>L2_HalfPunc_CN</ability>
      <abilityName>全半角检查</abilityName>
      <candidateList>
        <item>）</item>
      </candidateList>
      <explain>文本全半角错误。</explain>
      <paraID>2D0BDB9B</paraID>
      <start>49</start>
      <end>50</end>
      <status>unmodified</status>
      <modifiedWord/>
      <trackRevisions>false</trackRevisions>
    </reviewItem>
    <reviewItem>
      <errorID>237e5b0e-a5a8-4cca-b68b-795087d2b357</errorID>
      <errorWord>(</errorWord>
      <group>L1_Format</group>
      <groupName>格式问题</groupName>
      <ability>L2_HalfPunc_CN</ability>
      <abilityName>全半角检查</abilityName>
      <candidateList>
        <item>（</item>
      </candidateList>
      <explain>文本全半角错误。</explain>
      <paraID>2D0BDB9B</paraID>
      <start>68</start>
      <end>69</end>
      <status>unmodified</status>
      <modifiedWord/>
      <trackRevisions>false</trackRevisions>
    </reviewItem>
    <reviewItem>
      <errorID>400dd0bb-28c8-4dc5-8724-5255cb49a013</errorID>
      <errorWord>)</errorWord>
      <group>L1_Format</group>
      <groupName>格式问题</groupName>
      <ability>L2_HalfPunc_CN</ability>
      <abilityName>全半角检查</abilityName>
      <candidateList>
        <item>）</item>
      </candidateList>
      <explain>文本全半角错误。</explain>
      <paraID>2D0BDB9B</paraID>
      <start>76</start>
      <end>77</end>
      <status>unmodified</status>
      <modifiedWord/>
      <trackRevisions>false</trackRevisions>
    </reviewItem>
    <reviewItem>
      <errorID>3d8487de-1d00-4caf-8ecc-7fa69cfb349e</errorID>
      <errorWord>国家质量监督检验检疫总局</errorWord>
      <group>L1_Knowledge</group>
      <groupName>知识性问题</groupName>
      <ability>L2_Organization</ability>
      <abilityName>机构检查</abilityName>
      <candidateList/>
      <explain>2018年3月，中共中央印发了《深化党和国家机构改革方案》，国家质量监督检验检疫总局的职责整合到新组建的国家市场监督管理总局，出入境检验检疫管理职责和队伍划入海关总署。不再保留国家质量监督检验检疫总局。</explain>
      <paraID>2D0BDB9B</paraID>
      <start>128</start>
      <end>140</end>
      <status>unmodified</status>
      <modifiedWord/>
      <trackRevisions>false</trackRevisions>
    </reviewItem>
    <reviewItem>
      <errorID>a8323789-85d6-403a-8054-3af075745efc</errorID>
      <errorWord>(</errorWord>
      <group>L1_Format</group>
      <groupName>格式问题</groupName>
      <ability>L2_HalfPunc_CN</ability>
      <abilityName>全半角检查</abilityName>
      <candidateList>
        <item>（</item>
      </candidateList>
      <explain>文本全半角错误。</explain>
      <paraID>2D0BDB9B</paraID>
      <start>202</start>
      <end>203</end>
      <status>unmodified</status>
      <modifiedWord/>
      <trackRevisions>false</trackRevisions>
    </reviewItem>
    <reviewItem>
      <errorID>7ad7396d-a5fe-4393-b643-99d1385d2853</errorID>
      <errorWord>)</errorWord>
      <group>L1_Format</group>
      <groupName>格式问题</groupName>
      <ability>L2_HalfPunc_CN</ability>
      <abilityName>全半角检查</abilityName>
      <candidateList>
        <item>）</item>
      </candidateList>
      <explain>文本全半角错误。</explain>
      <paraID>2D0BDB9B</paraID>
      <start>212</start>
      <end>213</end>
      <status>unmodified</status>
      <modifiedWord/>
      <trackRevisions>false</trackRevisions>
    </reviewItem>
    <reviewItem>
      <errorID>fc5db7c1-c61e-4263-8d4a-38337130da80</errorID>
      <errorWord>(</errorWord>
      <group>L1_Format</group>
      <groupName>格式问题</groupName>
      <ability>L2_HalfPunc_CN</ability>
      <abilityName>全半角检查</abilityName>
      <candidateList>
        <item>（</item>
      </candidateList>
      <explain>文本全半角错误。</explain>
      <paraID>2D0BDB9B</paraID>
      <start>230</start>
      <end>231</end>
      <status>unmodified</status>
      <modifiedWord/>
      <trackRevisions>false</trackRevisions>
    </reviewItem>
    <reviewItem>
      <errorID>0965fa62-c4e2-4ec4-a1c4-ca0e1533a512</errorID>
      <errorWord>)</errorWord>
      <group>L1_Format</group>
      <groupName>格式问题</groupName>
      <ability>L2_HalfPunc_CN</ability>
      <abilityName>全半角检查</abilityName>
      <candidateList>
        <item>）</item>
      </candidateList>
      <explain>文本全半角错误。</explain>
      <paraID>2D0BDB9B</paraID>
      <start>239</start>
      <end>240</end>
      <status>unmodified</status>
      <modifiedWord/>
      <trackRevisions>false</trackRevisions>
    </reviewItem>
    <reviewItem>
      <errorID>7bb973f2-d51c-485d-82c5-e7fff0a702a5</errorID>
      <errorWord>:</errorWord>
      <group>L1_Format</group>
      <groupName>格式问题</groupName>
      <ability>L2_HalfPunc_CN</ability>
      <abilityName>全半角检查</abilityName>
      <candidateList>
        <item>：</item>
      </candidateList>
      <explain>文本全半角错误。</explain>
      <paraID>112AF82F</paraID>
      <start>7</start>
      <end>8</end>
      <status>unmodified</status>
      <modifiedWord/>
      <trackRevisions>false</trackRevisions>
    </reviewItem>
    <reviewItem>
      <errorID>48443d10-69ae-477d-bbf1-0c303b43075b</errorID>
      <errorWord>使用性</errorWord>
      <group>L1_Word</group>
      <groupName>字词问题</groupName>
      <ability>L2_Typo</ability>
      <abilityName>字词错误</abilityName>
      <candidateList>
        <item>实用性</item>
      </candidateList>
      <explain/>
      <paraID>37CD4021</paraID>
      <start>60</start>
      <end>63</end>
      <status>unmodified</status>
      <modifiedWord/>
      <trackRevisions>false</trackRevisions>
    </reviewItem>
    <reviewItem>
      <errorID>fcdcea13-47b1-49ca-b86f-2c7cbb6961d2</errorID>
      <errorWord>(</errorWord>
      <group>L1_Format</group>
      <groupName>格式问题</groupName>
      <ability>L2_HalfPunc_CN</ability>
      <abilityName>全半角检查</abilityName>
      <candidateList>
        <item>（</item>
      </candidateList>
      <explain>文本全半角错误。</explain>
      <paraID>56451E23</paraID>
      <start>35</start>
      <end>36</end>
      <status>unmodified</status>
      <modifiedWord/>
      <trackRevisions>false</trackRevisions>
    </reviewItem>
    <reviewItem>
      <errorID>207e167c-f0a6-44e1-8876-88d1ffa5f074</errorID>
      <errorWord>)</errorWord>
      <group>L1_Format</group>
      <groupName>格式问题</groupName>
      <ability>L2_HalfPunc_CN</ability>
      <abilityName>全半角检查</abilityName>
      <candidateList>
        <item>）</item>
      </candidateList>
      <explain>文本全半角错误。</explain>
      <paraID>56451E23</paraID>
      <start>44</start>
      <end>45</end>
      <status>unmodified</status>
      <modifiedWord/>
      <trackRevisions>false</trackRevisions>
    </reviewItem>
    <reviewItem>
      <errorID>4c167b40-4259-4896-9472-3e9238fae939</errorID>
      <errorWord>(</errorWord>
      <group>L1_Format</group>
      <groupName>格式问题</groupName>
      <ability>L2_HalfPunc_CN</ability>
      <abilityName>全半角检查</abilityName>
      <candidateList>
        <item>（</item>
      </candidateList>
      <explain>文本全半角错误。</explain>
      <paraID>56451E23</paraID>
      <start>68</start>
      <end>69</end>
      <status>unmodified</status>
      <modifiedWord/>
      <trackRevisions>false</trackRevisions>
    </reviewItem>
    <reviewItem>
      <errorID>65e659ad-0ed1-4f84-87a1-00ca540147ef</errorID>
      <errorWord>)</errorWord>
      <group>L1_Format</group>
      <groupName>格式问题</groupName>
      <ability>L2_HalfPunc_CN</ability>
      <abilityName>全半角检查</abilityName>
      <candidateList>
        <item>）</item>
      </candidateList>
      <explain>文本全半角错误。</explain>
      <paraID>56451E23</paraID>
      <start>73</start>
      <end>74</end>
      <status>unmodified</status>
      <modifiedWord/>
      <trackRevisions>false</trackRevisions>
    </reviewItem>
    <reviewItem>
      <errorID>29961950-d6ce-4f1b-af34-d509a5586a60</errorID>
      <errorWord>以下内镜</errorWord>
      <group>L1_Word</group>
      <groupName>字词问题</groupName>
      <ability>L2_Typo</ability>
      <abilityName>字词错误</abilityName>
      <candidateList>
        <item>以下内容</item>
      </candidateList>
      <explain/>
      <paraID>20D2821E</paraID>
      <start>6</start>
      <end>10</end>
      <status>unmodified</status>
      <modifiedWord/>
      <trackRevisions>false</trackRevisions>
    </reviewItem>
    <reviewItem>
      <errorID>7d29a1cc-41bd-433a-b03b-99e677879c6b</errorID>
      <errorWord>:</errorWord>
      <group>L1_Format</group>
      <groupName>格式问题</groupName>
      <ability>L2_HalfPunc_CN</ability>
      <abilityName>全半角检查</abilityName>
      <candidateList>
        <item>：</item>
      </candidateList>
      <explain>文本全半角错误。</explain>
      <paraID>57F228A4</paraID>
      <start>2</start>
      <end>3</end>
      <status>unmodified</status>
      <modifiedWord/>
      <trackRevisions>false</trackRevisions>
    </reviewItem>
    <reviewItem>
      <errorID>ffde8369-edb5-4b21-904d-037387c78909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57F228A4</paraID>
      <start>4</start>
      <end>5</end>
      <status>unmodified</status>
      <modifiedWord/>
      <trackRevisions>false</trackRevisions>
    </reviewItem>
    <reviewItem>
      <errorID>1d46814d-37a0-46e0-b42b-10d597951f72</errorID>
      <errorWord>:</errorWord>
      <group>L1_Format</group>
      <groupName>格式问题</groupName>
      <ability>L2_HalfPunc_CN</ability>
      <abilityName>全半角检查</abilityName>
      <candidateList>
        <item>：</item>
      </candidateList>
      <explain>文本全半角错误。</explain>
      <paraID>22DFCD31</paraID>
      <start>2</start>
      <end>3</end>
      <status>unmodified</status>
      <modifiedWord/>
      <trackRevisions>false</trackRevisions>
    </reviewItem>
    <reviewItem>
      <errorID>ca9192ac-28e9-4cbe-a743-4bba158bd620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22DFCD31</paraID>
      <start>4</start>
      <end>5</end>
      <status>unmodified</status>
      <modifiedWord/>
      <trackRevisions>false</trackRevisions>
    </reviewItem>
    <reviewItem>
      <errorID>c3930d89-6850-4c2e-9e6b-59ef09c8bb1b</errorID>
      <errorWord>:</errorWord>
      <group>L1_Format</group>
      <groupName>格式问题</groupName>
      <ability>L2_HalfPunc_CN</ability>
      <abilityName>全半角检查</abilityName>
      <candidateList>
        <item>：</item>
      </candidateList>
      <explain>文本全半角错误。</explain>
      <paraID>3DE84694</paraID>
      <start>2</start>
      <end>3</end>
      <status>unmodified</status>
      <modifiedWord/>
      <trackRevisions>false</trackRevisions>
    </reviewItem>
    <reviewItem>
      <errorID>5e935b2e-4321-4162-904d-0e846f7a9484</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3DE84694</paraID>
      <start>4</start>
      <end>5</end>
      <status>unmodified</status>
      <modifiedWord/>
      <trackRevisions>false</trackRevisions>
    </reviewItem>
    <reviewItem>
      <errorID>10c8ba43-8a51-4ce5-87ca-d995f58ce524</errorID>
      <errorWord>:</errorWord>
      <group>L1_Format</group>
      <groupName>格式问题</groupName>
      <ability>L2_HalfPunc_CN</ability>
      <abilityName>全半角检查</abilityName>
      <candidateList>
        <item>：</item>
      </candidateList>
      <explain>文本全半角错误。</explain>
      <paraID>4EEBF6E0</paraID>
      <start>8</start>
      <end>9</end>
      <status>unmodified</status>
      <modifiedWord/>
      <trackRevisions>false</trackRevisions>
    </reviewItem>
    <reviewItem>
      <errorID>dd561de6-64f1-4394-9ca2-1ba6f8326534</errorID>
      <errorWord>终生</errorWord>
      <group>L1_Word</group>
      <groupName>字词问题</groupName>
      <ability>L2_Typo</ability>
      <abilityName>字词错误</abilityName>
      <candidateList>
        <item>终身</item>
      </candidateList>
      <explain/>
      <paraID> D478ABE</paraID>
      <start>48</start>
      <end>50</end>
      <status>unmodified</status>
      <modifiedWord/>
      <trackRevisions>false</trackRevisions>
    </reviewItem>
    <reviewItem>
      <errorID>c20d58a2-1cd1-4adb-a7f5-ceae603103a1</errorID>
      <errorWord>其它</errorWord>
      <group>L1_Word</group>
      <groupName>字词问题</groupName>
      <ability>L2_Alias</ability>
      <abilityName>也作/曾用词</abilityName>
      <candidateList>
        <item>其他</item>
      </candidateList>
      <explain>词汇[其它]为不规范表述或旧称，其规范书面表述为[其他]。</explain>
      <paraID>308EAFD0</paraID>
      <start>33</start>
      <end>35</end>
      <status>unmodified</status>
      <modifiedWord/>
      <trackRevisions>false</trackRevisions>
    </reviewItem>
    <reviewItem>
      <errorID>9755b121-27c7-44ec-ae8e-40e5261cb534</errorID>
      <errorWord>其它</errorWord>
      <group>L1_Word</group>
      <groupName>字词问题</groupName>
      <ability>L2_Alias</ability>
      <abilityName>也作/曾用词</abilityName>
      <candidateList>
        <item>其他</item>
      </candidateList>
      <explain>词汇[其它]为不规范表述或旧称，其规范书面表述为[其他]。</explain>
      <paraID>2604419F</paraID>
      <start>28</start>
      <end>30</end>
      <status>unmodified</status>
      <modifiedWord/>
      <trackRevisions>false</trackRevisions>
    </reviewItem>
    <reviewItem>
      <errorID>09809496-7610-4ce4-a9f1-7d0c828d4cd0</errorID>
      <errorWord>KW</errorWord>
      <group>L1_Word</group>
      <groupName>字词问题</groupName>
      <ability>L2_Typo</ability>
      <abilityName>字词错误</abilityName>
      <candidateList>
        <item>kW</item>
      </candidateList>
      <explain/>
      <paraID>1FDE75EE</paraID>
      <start>17</start>
      <end>19</end>
      <status>unmodified</status>
      <modifiedWord/>
      <trackRevisions>false</trackRevisions>
    </reviewItem>
    <reviewItem>
      <errorID>c8f00416-06e9-4bdf-b386-6ec3c449708a</errorID>
      <errorWord>:</errorWord>
      <group>L1_Format</group>
      <groupName>格式问题</groupName>
      <ability>L2_HalfPunc_CN</ability>
      <abilityName>全半角检查</abilityName>
      <candidateList>
        <item>：</item>
      </candidateList>
      <explain>文本全半角错误。</explain>
      <paraID>5A12927D</paraID>
      <start>8</start>
      <end>9</end>
      <status>unmodified</status>
      <modifiedWord/>
      <trackRevisions>false</trackRevisions>
    </reviewItem>
    <reviewItem>
      <errorID>99c1abaa-85c2-4e0b-99aa-76f99b53837e</errorID>
      <errorWord>终生</errorWord>
      <group>L1_Word</group>
      <groupName>字词问题</groupName>
      <ability>L2_Typo</ability>
      <abilityName>字词错误</abilityName>
      <candidateList>
        <item>终身</item>
      </candidateList>
      <explain/>
      <paraID>42FF97F9</paraID>
      <start>48</start>
      <end>50</end>
      <status>unmodified</status>
      <modifiedWord/>
      <trackRevisions>false</trackRevisions>
    </reviewItem>
    <reviewItem>
      <errorID>ddd53014-eb7b-4b6b-b737-13ddf00cb0b0</errorID>
      <errorWord>其它</errorWord>
      <group>L1_Word</group>
      <groupName>字词问题</groupName>
      <ability>L2_Alias</ability>
      <abilityName>也作/曾用词</abilityName>
      <candidateList>
        <item>其他</item>
      </candidateList>
      <explain>词汇[其它]为不规范表述或旧称，其规范书面表述为[其他]。</explain>
      <paraID>19251AD6</paraID>
      <start>33</start>
      <end>35</end>
      <status>unmodified</status>
      <modifiedWord/>
      <trackRevisions>false</trackRevisions>
    </reviewItem>
    <reviewItem>
      <errorID>7d0a0406-34f3-48fc-b04b-1c67c2c38978</errorID>
      <errorWord>其它</errorWord>
      <group>L1_Word</group>
      <groupName>字词问题</groupName>
      <ability>L2_Alias</ability>
      <abilityName>也作/曾用词</abilityName>
      <candidateList>
        <item>其他</item>
      </candidateList>
      <explain>词汇[其它]为不规范表述或旧称，其规范书面表述为[其他]。</explain>
      <paraID>2C0976EC</paraID>
      <start>28</start>
      <end>30</end>
      <status>unmodified</status>
      <modifiedWord/>
      <trackRevisions>false</trackRevisions>
    </reviewItem>
    <reviewItem>
      <errorID>89144fec-98e3-464b-a3b7-f8ffc85504a6</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75E6BA86</paraID>
      <start>25</start>
      <end>26</end>
      <status>unmodified</status>
      <modifiedWord/>
      <trackRevisions>false</trackRevisions>
    </reviewItem>
    <reviewItem>
      <errorID>287e367e-f3b9-4a71-98a5-33433844582d</errorID>
      <errorWord>(</errorWord>
      <group>L1_Format</group>
      <groupName>格式问题</groupName>
      <ability>L2_HalfPunc_CN</ability>
      <abilityName>全半角检查</abilityName>
      <candidateList>
        <item>（</item>
      </candidateList>
      <explain>文本全半角错误。</explain>
      <paraID>29B98182</paraID>
      <start>11</start>
      <end>12</end>
      <status>unmodified</status>
      <modifiedWord/>
      <trackRevisions>false</trackRevisions>
    </reviewItem>
    <reviewItem>
      <errorID>afc08b57-57d8-4b69-97a1-1774e137c7d6</errorID>
      <errorWord>)</errorWord>
      <group>L1_Format</group>
      <groupName>格式问题</groupName>
      <ability>L2_HalfPunc_CN</ability>
      <abilityName>全半角检查</abilityName>
      <candidateList>
        <item>）</item>
      </candidateList>
      <explain>文本全半角错误。</explain>
      <paraID>29B98182</paraID>
      <start>22</start>
      <end>23</end>
      <status>unmodified</status>
      <modifiedWord/>
      <trackRevisions>false</trackRevisions>
    </reviewItem>
    <reviewItem>
      <errorID>05c01325-0401-4517-b8a3-40c0ef202bdf</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5A0FBCFA</paraID>
      <start>8</start>
      <end>9</end>
      <status>unmodified</status>
      <modifiedWord/>
      <trackRevisions>false</trackRevisions>
    </reviewItem>
    <reviewItem>
      <errorID>02901798-32ed-4016-a6a5-a988eb30a2bf</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 679EA34</paraID>
      <start>71</start>
      <end>72</end>
      <status>unmodified</status>
      <modifiedWord/>
      <trackRevisions>false</trackRevisions>
    </reviewItem>
    <reviewItem>
      <errorID>1ecc4f60-4da8-4aaf-9d26-76fb59bd020b</errorID>
      <errorWord>(</errorWord>
      <group>L1_Format</group>
      <groupName>格式问题</groupName>
      <ability>L2_HalfPunc_CN</ability>
      <abilityName>全半角检查</abilityName>
      <candidateList>
        <item>（</item>
      </candidateList>
      <explain>文本全半角错误。</explain>
      <paraID>4F7266CF</paraID>
      <start>8</start>
      <end>9</end>
      <status>unmodified</status>
      <modifiedWord/>
      <trackRevisions>false</trackRevisions>
    </reviewItem>
    <reviewItem>
      <errorID>557f169e-004d-40c6-956e-2842acc79a1a</errorID>
      <errorWord>)</errorWord>
      <group>L1_Format</group>
      <groupName>格式问题</groupName>
      <ability>L2_HalfPunc_CN</ability>
      <abilityName>全半角检查</abilityName>
      <candidateList>
        <item>）</item>
      </candidateList>
      <explain>文本全半角错误。</explain>
      <paraID>4F7266CF</paraID>
      <start>19</start>
      <end>20</end>
      <status>unmodified</status>
      <modifiedWord/>
      <trackRevisions>false</trackRevisions>
    </reviewItem>
    <reviewItem>
      <errorID>5876020c-a7d8-4291-960b-a509eb73e66d</errorID>
      <errorWord>[2011]300号</errorWord>
      <group>L1_Knowledge</group>
      <groupName>知识性问题</groupName>
      <ability>L2_Knowledge</ability>
      <abilityName>其他知识</abilityName>
      <candidateList>
        <item>〔2011〕300号</item>
      </candidateList>
      <explain>发文字号格式错误。</explain>
      <paraID>60767591</paraID>
      <start>35</start>
      <end>45</end>
      <status>unmodified</status>
      <modifiedWord/>
      <trackRevisions>false</trackRevisions>
    </reviewItem>
    <reviewItem>
      <errorID>3b958bc7-68aa-40be-a99a-44cddd562e0f</errorID>
      <errorWord>须</errorWord>
      <group>L1_Word</group>
      <groupName>字词问题</groupName>
      <ability>L2_Typo</ability>
      <abilityName>字词错误</abilityName>
      <candidateList>
        <item>需</item>
      </candidateList>
      <explain>存在发音相同字词的误用。</explain>
      <paraID>60767591</paraID>
      <start>82</start>
      <end>83</end>
      <status>unmodified</status>
      <modifiedWord/>
      <trackRevisions>false</trackRevisions>
    </reviewItem>
    <reviewItem>
      <errorID>f194b77e-0c69-4f61-8c62-10cea168d0a6</errorID>
      <errorWord>：/</errorWord>
      <group>L1_Punc</group>
      <groupName>标点问题</groupName>
      <ability>L2_Punc_CN</ability>
      <abilityName>标点符号检查</abilityName>
      <candidateList>
        <item>：</item>
      </candidateList>
      <explain/>
      <paraID>53F2A812</paraID>
      <start>18</start>
      <end>20</end>
      <status>unmodified</status>
      <modifiedWord/>
      <trackRevisions>false</trackRevisions>
    </reviewItem>
    <reviewItem>
      <errorID>13bf0352-1982-4837-862b-376a5fdc4b6f</errorID>
      <errorWord>（</errorWord>
      <group>L1_Format</group>
      <groupName>格式问题</groupName>
      <ability>L2_HalfPunc_CN</ability>
      <abilityName>全半角检查</abilityName>
      <candidateList>
        <item>(</item>
      </candidateList>
      <explain>文本全半角错误。</explain>
      <paraID>7E33176D</paraID>
      <start>4</start>
      <end>5</end>
      <status>unmodified</status>
      <modifiedWord/>
      <trackRevisions>false</trackRevisions>
    </reviewItem>
    <reviewItem>
      <errorID>ea67cb2b-ad91-42e2-943b-f5cf931ff502</errorID>
      <errorWord>）</errorWord>
      <group>L1_Format</group>
      <groupName>格式问题</groupName>
      <ability>L2_HalfPunc_CN</ability>
      <abilityName>全半角检查</abilityName>
      <candidateList>
        <item>)</item>
      </candidateList>
      <explain>文本全半角错误。</explain>
      <paraID>7E33176D</paraID>
      <start>6</start>
      <end>7</end>
      <status>unmodified</status>
      <modifiedWord/>
      <trackRevisions>false</trackRevisions>
    </reviewItem>
    <reviewItem>
      <errorID>61abe9f0-b4da-4a1c-ae28-000809f6d9b8</errorID>
      <errorWord>(</errorWord>
      <group>L1_Format</group>
      <groupName>格式问题</groupName>
      <ability>L2_HalfPunc_CN</ability>
      <abilityName>全半角检查</abilityName>
      <candidateList>
        <item>（</item>
      </candidateList>
      <explain>文本全半角错误。</explain>
      <paraID>3702A695</paraID>
      <start>13</start>
      <end>14</end>
      <status>unmodified</status>
      <modifiedWord/>
      <trackRevisions>false</trackRevisions>
    </reviewItem>
    <reviewItem>
      <errorID>c0281c57-17be-4e4c-8435-4bc370176304</errorID>
      <errorWord>)</errorWord>
      <group>L1_Format</group>
      <groupName>格式问题</groupName>
      <ability>L2_HalfPunc_CN</ability>
      <abilityName>全半角检查</abilityName>
      <candidateList>
        <item>）</item>
      </candidateList>
      <explain>文本全半角错误。</explain>
      <paraID>3702A695</paraID>
      <start>36</start>
      <end>37</end>
      <status>unmodified</status>
      <modifiedWord/>
      <trackRevisions>false</trackRevisions>
    </reviewItem>
    <reviewItem>
      <errorID>a59e94f3-51ae-478c-b556-e897c75fae06</errorID>
      <errorWord>(</errorWord>
      <group>L1_Format</group>
      <groupName>格式问题</groupName>
      <ability>L2_HalfPunc_CN</ability>
      <abilityName>全半角检查</abilityName>
      <candidateList>
        <item>（</item>
      </candidateList>
      <explain>文本全半角错误。</explain>
      <paraID>3702A695</paraID>
      <start>46</start>
      <end>47</end>
      <status>unmodified</status>
      <modifiedWord/>
      <trackRevisions>false</trackRevisions>
    </reviewItem>
    <reviewItem>
      <errorID>6eaad0cb-f6dc-4d0d-8dde-39faf9b97b1c</errorID>
      <errorWord>)</errorWord>
      <group>L1_Format</group>
      <groupName>格式问题</groupName>
      <ability>L2_HalfPunc_CN</ability>
      <abilityName>全半角检查</abilityName>
      <candidateList>
        <item>）</item>
      </candidateList>
      <explain>文本全半角错误。</explain>
      <paraID>3702A695</paraID>
      <start>62</start>
      <end>63</end>
      <status>unmodified</status>
      <modifiedWord/>
      <trackRevisions>false</trackRevisions>
    </reviewItem>
    <reviewItem>
      <errorID>501c9eaf-3334-4f45-8ca7-a211b46632ee</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3702A695</paraID>
      <start>63</start>
      <end>64</end>
      <status>unmodified</status>
      <modifiedWord/>
      <trackRevisions>false</trackRevisions>
    </reviewItem>
    <reviewItem>
      <errorID>a32d01dc-eea0-4981-a767-9113d06182cd</errorID>
      <errorWord>(</errorWord>
      <group>L1_Format</group>
      <groupName>格式问题</groupName>
      <ability>L2_HalfPunc_CN</ability>
      <abilityName>全半角检查</abilityName>
      <candidateList>
        <item>（</item>
      </candidateList>
      <explain>文本全半角错误。</explain>
      <paraID> 1D67CB3</paraID>
      <start>19</start>
      <end>20</end>
      <status>unmodified</status>
      <modifiedWord/>
      <trackRevisions>false</trackRevisions>
    </reviewItem>
    <reviewItem>
      <errorID>fefd2850-e0ae-4fbc-909f-330027e5511e</errorID>
      <errorWord>)</errorWord>
      <group>L1_Format</group>
      <groupName>格式问题</groupName>
      <ability>L2_HalfPunc_CN</ability>
      <abilityName>全半角检查</abilityName>
      <candidateList>
        <item>）</item>
      </candidateList>
      <explain>文本全半角错误。</explain>
      <paraID> 1D67CB3</paraID>
      <start>42</start>
      <end>43</end>
      <status>unmodified</status>
      <modifiedWord/>
      <trackRevisions>false</trackRevisions>
    </reviewItem>
    <reviewItem>
      <errorID>5b17bfa0-80b9-40b0-8a55-54b1b590e311</errorID>
      <errorWord>(</errorWord>
      <group>L1_Format</group>
      <groupName>格式问题</groupName>
      <ability>L2_HalfPunc_CN</ability>
      <abilityName>全半角检查</abilityName>
      <candidateList>
        <item>（</item>
      </candidateList>
      <explain>文本全半角错误。</explain>
      <paraID> 1D67CB3</paraID>
      <start>52</start>
      <end>53</end>
      <status>unmodified</status>
      <modifiedWord/>
      <trackRevisions>false</trackRevisions>
    </reviewItem>
    <reviewItem>
      <errorID>391c4216-9bc6-4418-a94a-0743ca811bc5</errorID>
      <errorWord>)</errorWord>
      <group>L1_Format</group>
      <groupName>格式问题</groupName>
      <ability>L2_HalfPunc_CN</ability>
      <abilityName>全半角检查</abilityName>
      <candidateList>
        <item>）</item>
      </candidateList>
      <explain>文本全半角错误。</explain>
      <paraID> 1D67CB3</paraID>
      <start>68</start>
      <end>69</end>
      <status>unmodified</status>
      <modifiedWord/>
      <trackRevisions>false</trackRevisions>
    </reviewItem>
    <reviewItem>
      <errorID>bd6adb0b-a68c-4d26-9668-d31f4be488ad</errorID>
      <errorWord>以下的</errorWord>
      <group>L1_Word</group>
      <groupName>字词问题</groupName>
      <ability>L2_Typo</ability>
      <abilityName>字词错误</abilityName>
      <candidateList>
        <item>以下</item>
      </candidateList>
      <explain/>
      <paraID>15E077C7</paraID>
      <start>27</start>
      <end>30</end>
      <status>unmodified</status>
      <modifiedWord/>
      <trackRevisions>false</trackRevisions>
    </reviewItem>
    <reviewItem>
      <errorID>e0705e2e-b5e5-40d6-a5fb-ede5566f50a3</errorID>
      <errorWord>：/</errorWord>
      <group>L1_Punc</group>
      <groupName>标点问题</groupName>
      <ability>L2_Punc_CN</ability>
      <abilityName>标点符号检查</abilityName>
      <candidateList>
        <item>：</item>
      </candidateList>
      <explain/>
      <paraID>4DF070AC</paraID>
      <start>4</start>
      <end>6</end>
      <status>unmodified</status>
      <modifiedWord/>
      <trackRevisions>false</trackRevisions>
    </reviewItem>
    <reviewItem>
      <errorID>de158ff9-a34a-4342-8ce3-13abdd32cfcb</errorID>
      <errorWord>：/</errorWord>
      <group>L1_Punc</group>
      <groupName>标点问题</groupName>
      <ability>L2_Punc_CN</ability>
      <abilityName>标点符号检查</abilityName>
      <candidateList>
        <item>：</item>
      </candidateList>
      <explain/>
      <paraID> 96B8D2A</paraID>
      <start>4</start>
      <end>6</end>
      <status>unmodified</status>
      <modifiedWord/>
      <trackRevisions>false</trackRevisions>
    </reviewItem>
    <reviewItem>
      <errorID>3f930acc-713f-4da6-b7fd-4443b69fdc60</errorID>
      <errorWord>：/</errorWord>
      <group>L1_Punc</group>
      <groupName>标点问题</groupName>
      <ability>L2_Punc_CN</ability>
      <abilityName>标点符号检查</abilityName>
      <candidateList>
        <item>：</item>
      </candidateList>
      <explain/>
      <paraID>4CB0DAED</paraID>
      <start>4</start>
      <end>6</end>
      <status>unmodified</status>
      <modifiedWord/>
      <trackRevisions>false</trackRevisions>
    </reviewItem>
    <reviewItem>
      <errorID>27c2e276-4994-4d6c-9cc3-76da5c81356c</errorID>
      <errorWord>［2003］</errorWord>
      <group>L1_Punc</group>
      <groupName>标点问题</groupName>
      <ability>L2_Punc_CN</ability>
      <abilityName>标点符号检查</abilityName>
      <candidateList>
        <item>〔2003〕</item>
      </candidateList>
      <explain/>
      <paraID>74466E7A</paraID>
      <start>152</start>
      <end>158</end>
      <status>unmodified</status>
      <modifiedWord/>
      <trackRevisions>false</trackRevisions>
    </reviewItem>
    <reviewItem>
      <errorID>08481b0b-6ad8-4e8a-9eb3-e14a5e9290bc</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6F9A2B5A</paraID>
      <start>22</start>
      <end>25</end>
      <status>unmodified</status>
      <modifiedWord/>
      <trackRevisions>false</trackRevisions>
    </reviewItem>
    <reviewItem>
      <errorID>875f59fb-899f-401e-90e8-920ea7eca2be</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6F9A2B5A</paraID>
      <start>54</start>
      <end>57</end>
      <status>unmodified</status>
      <modifiedWord/>
      <trackRevisions>false</trackRevisions>
    </reviewItem>
    <reviewItem>
      <errorID>fdae994c-c9f0-4191-be64-1fa5ebdbf722</errorID>
      <errorWord>法律、法规</errorWord>
      <group>L1_Word</group>
      <groupName>字词问题</groupName>
      <ability>L2_Typo</ability>
      <abilityName>字词错误</abilityName>
      <candidateList>
        <item>法律法规</item>
      </candidateList>
      <explain/>
      <paraID>6F9A2B5A</paraID>
      <start>76</start>
      <end>81</end>
      <status>unmodified</status>
      <modifiedWord/>
      <trackRevisions>false</trackRevisions>
    </reviewItem>
    <reviewItem>
      <errorID>62ce4f3f-7bf8-4c26-bf54-39d52cd9271b</errorID>
      <errorWord>，</errorWord>
      <group>L1_Word</group>
      <groupName>字词问题</groupName>
      <ability>L2_Typo</ability>
      <abilityName>字词错误</abilityName>
      <candidateList>
        <item>，使</item>
      </candidateList>
      <explain/>
      <paraID>7E6C4491</paraID>
      <start>32</start>
      <end>33</end>
      <status>unmodified</status>
      <modifiedWord/>
      <trackRevisions>false</trackRevisions>
    </reviewItem>
    <reviewItem>
      <errorID>24d9da48-e2b3-4dee-9f4e-dbbb605b8ff1</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2043A524</paraID>
      <start>51</start>
      <end>54</end>
      <status>unmodified</status>
      <modifiedWord/>
      <trackRevisions>false</trackRevisions>
    </reviewItem>
    <reviewItem>
      <errorID>40febb0c-d24a-41c9-b445-59a78ed1fe58</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2043A524</paraID>
      <start>70</start>
      <end>73</end>
      <status>unmodified</status>
      <modifiedWord/>
      <trackRevisions>false</trackRevisions>
    </reviewItem>
    <reviewItem>
      <errorID>91b4bdd4-5e76-4127-bebb-38ed46567aeb</errorID>
      <errorWord>法律、法规</errorWord>
      <group>L1_Word</group>
      <groupName>字词问题</groupName>
      <ability>L2_Typo</ability>
      <abilityName>字词错误</abilityName>
      <candidateList>
        <item>法律法规</item>
      </candidateList>
      <explain/>
      <paraID>5BDA7D17</paraID>
      <start>25</start>
      <end>30</end>
      <status>unmodified</status>
      <modifiedWord/>
      <trackRevisions>false</trackRevisions>
    </reviewItem>
    <reviewItem>
      <errorID>48f2367a-2752-43b9-8fa4-c4f1fd9bc874</errorID>
      <errorWord>[2020]46号</errorWord>
      <group>L1_Knowledge</group>
      <groupName>知识性问题</groupName>
      <ability>L2_Knowledge</ability>
      <abilityName>其他知识</abilityName>
      <candidateList>
        <item>〔2020〕46号</item>
      </candidateList>
      <explain>发文字号格式错误。</explain>
      <paraID>2DFEF0F8</paraID>
      <start>26</start>
      <end>35</end>
      <status>unmodified</status>
      <modifiedWord/>
      <trackRevisions>false</trackRevisions>
    </reviewItem>
    <reviewItem>
      <errorID>f4b83a43-4159-424a-8cf4-68dad950ab9c</errorID>
      <errorWord>第九条、</errorWord>
      <group>L1_Punc</group>
      <groupName>标点问题</groupName>
      <ability>L2_Punc_CN</ability>
      <abilityName>标点符号检查</abilityName>
      <candidateList>
        <item>第九条，</item>
      </candidateList>
      <explain>连接词前后不宜使用顿号，建议使用逗号。</explain>
      <paraID>2DFEF0F8</paraID>
      <start>36</start>
      <end>40</end>
      <status>unmodified</status>
      <modifiedWord/>
      <trackRevisions>false</trackRevisions>
    </reviewItem>
    <reviewItem>
      <errorID>4a4f0b2e-187f-4850-bb49-1399720d48f5</errorID>
      <errorWord>(</errorWord>
      <group>L1_Format</group>
      <groupName>格式问题</groupName>
      <ability>L2_HalfPunc_CN</ability>
      <abilityName>全半角检查</abilityName>
      <candidateList>
        <item>（</item>
      </candidateList>
      <explain>文本全半角错误。</explain>
      <paraID>58F1DD7C</paraID>
      <start>59</start>
      <end>60</end>
      <status>unmodified</status>
      <modifiedWord/>
      <trackRevisions>false</trackRevisions>
    </reviewItem>
    <reviewItem>
      <errorID>d4d0b2ab-7e85-40c2-9081-23ad4e4e8bd3</errorID>
      <errorWord>)</errorWord>
      <group>L1_Format</group>
      <groupName>格式问题</groupName>
      <ability>L2_HalfPunc_CN</ability>
      <abilityName>全半角检查</abilityName>
      <candidateList>
        <item>）</item>
      </candidateList>
      <explain>文本全半角错误。</explain>
      <paraID>58F1DD7C</paraID>
      <start>82</start>
      <end>83</end>
      <status>unmodified</status>
      <modifiedWord/>
      <trackRevisions>false</trackRevisions>
    </reviewItem>
    <reviewItem>
      <errorID>3967b997-1907-4282-874b-da9fc1b4fa28</errorID>
      <errorWord>操作合</errorWord>
      <group>L1_Word</group>
      <groupName>字词问题</groupName>
      <ability>L2_Typo</ability>
      <abilityName>字词错误</abilityName>
      <candidateList>
        <item>操作台</item>
      </candidateList>
      <explain/>
      <paraID>5C9D87C6</paraID>
      <start>9</start>
      <end>12</end>
      <status>unmodified</status>
      <modifiedWord/>
      <trackRevisions>false</trackRevisions>
    </reviewItem>
    <reviewItem>
      <errorID>51e05252-9417-431f-b8fa-1d540303c239</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6AD77334</paraID>
      <start>87</start>
      <end>90</end>
      <status>unmodified</status>
      <modifiedWord/>
      <trackRevisions>false</trackRevisions>
    </reviewItem>
    <reviewItem>
      <errorID>75b682f1-f114-4d0c-b0e8-951b2ffeef05</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6AD77334</paraID>
      <start>125</start>
      <end>128</end>
      <status>unmodified</status>
      <modifiedWord/>
      <trackRevisions>false</trackRevisions>
    </reviewItem>
    <reviewItem>
      <errorID>b98ec5be-c628-4fcd-a853-a2fcd9540a06</errorID>
      <errorWord>详见在</errorWord>
      <group>L1_Word</group>
      <groupName>字词问题</groupName>
      <ability>L2_Typo</ability>
      <abilityName>字词错误</abilityName>
      <candidateList>
        <item>详见</item>
      </candidateList>
      <explain/>
      <paraID> 324A70D</paraID>
      <start>63</start>
      <end>66</end>
      <status>unmodified</status>
      <modifiedWord/>
      <trackRevisions>false</trackRevisions>
    </reviewItem>
    <reviewItem>
      <errorID>d1fb5119-3b90-4064-8a1f-241e771be0b3</errorID>
      <errorWord>可登陆</errorWord>
      <group>L1_Word</group>
      <groupName>字词问题</groupName>
      <ability>L2_Typo</ability>
      <abilityName>字词错误</abilityName>
      <candidateList>
        <item>可登录</item>
      </candidateList>
      <explain/>
      <paraID>38992578</paraID>
      <start>164</start>
      <end>167</end>
      <status>unmodified</status>
      <modifiedWord/>
      <trackRevisions>false</trackRevisions>
    </reviewItem>
    <reviewItem>
      <errorID>9b4082ea-76b1-4b28-8e25-3dec4a4552f0</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38992578</paraID>
      <start>167</start>
      <end>168</end>
      <status>unmodified</status>
      <modifiedWord/>
      <trackRevisions>false</trackRevisions>
    </reviewItem>
    <reviewItem>
      <errorID>1e714238-b048-4c07-a7db-5697708db6bb</errorID>
      <errorWord>间</errorWord>
      <group>L1_Word</group>
      <groupName>字词问题</groupName>
      <ability>L2_Typo</ability>
      <abilityName>字词错误</abilityName>
      <candidateList>
        <item>间之</item>
      </candidateList>
      <explain/>
      <paraID>42839A5A</paraID>
      <start>39</start>
      <end>40</end>
      <status>unmodified</status>
      <modifiedWord/>
      <trackRevisions>false</trackRevisions>
    </reviewItem>
    <reviewItem>
      <errorID>dda8807c-3def-45b5-8fb7-7e07ba2fe242</errorID>
      <errorWord>会</errorWord>
      <group>L1_Word</group>
      <groupName>字词问题</groupName>
      <ability>L2_Typo</ability>
      <abilityName>字词错误</abilityName>
      <candidateList>
        <item>会在</item>
      </candidateList>
      <explain/>
      <paraID>1208DA34</paraID>
      <start>13</start>
      <end>14</end>
      <status>unmodified</status>
      <modifiedWord/>
      <trackRevisions>false</trackRevisions>
    </reviewItem>
    <reviewItem>
      <errorID>89b79ab9-3c83-4a91-9802-81e08210ad54</errorID>
      <errorWord>:</errorWord>
      <group>L1_Format</group>
      <groupName>格式问题</groupName>
      <ability>L2_HalfPunc_CN</ability>
      <abilityName>全半角检查</abilityName>
      <candidateList>
        <item>：</item>
      </candidateList>
      <explain>文本全半角错误。</explain>
      <paraID>11AC2038</paraID>
      <start>57</start>
      <end>58</end>
      <status>unmodified</status>
      <modifiedWord/>
      <trackRevisions>false</trackRevisions>
    </reviewItem>
    <reviewItem>
      <errorID>b11ce597-c3c2-41bd-bbe7-942fc22ab26b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593DF828</paraID>
      <start>0</start>
      <end>3</end>
      <status>unmodified</status>
      <modifiedWord/>
      <trackRevisions>false</trackRevisions>
    </reviewItem>
    <reviewItem>
      <errorID>f39090a6-b27b-47af-9380-b03ad33ea9ce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63F2C091</paraID>
      <start>0</start>
      <end>3</end>
      <status>unmodified</status>
      <modifiedWord/>
      <trackRevisions>false</trackRevisions>
    </reviewItem>
    <reviewItem>
      <errorID>17183a45-98a8-41e4-ad1a-6a8b43d8d60e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27C579C7</paraID>
      <start>0</start>
      <end>3</end>
      <status>unmodified</status>
      <modifiedWord/>
      <trackRevisions>false</trackRevisions>
    </reviewItem>
    <reviewItem>
      <errorID>ffd1bc51-8095-4b85-b4f7-c5c1d3dc5c3a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396C9A64</paraID>
      <start>0</start>
      <end>3</end>
      <status>unmodified</status>
      <modifiedWord/>
      <trackRevisions>false</trackRevisions>
    </reviewItem>
    <reviewItem>
      <errorID>79edf554-f7a1-4bbe-b755-f5b9b9f4d87f</errorID>
      <errorWord>：）</errorWord>
      <group>L1_Punc</group>
      <groupName>标点问题</groupName>
      <ability>L2_Punc_CN</ability>
      <abilityName>标点符号检查</abilityName>
      <candidateList>
        <item>）</item>
      </candidateList>
      <explain/>
      <paraID>11F7EE8E</paraID>
      <start>15</start>
      <end>17</end>
      <status>unmodified</status>
      <modifiedWord/>
      <trackRevisions>false</trackRevisions>
    </reviewItem>
    <reviewItem>
      <errorID>157666c5-750e-4c66-b35d-d416b5bed6df</errorID>
      <errorWord>可附件</errorWord>
      <group>L1_Word</group>
      <groupName>字词问题</groupName>
      <ability>L2_Typo</ability>
      <abilityName>字词错误</abilityName>
      <candidateList>
        <item>见附件</item>
      </candidateList>
      <explain/>
      <paraID> 85F260E</paraID>
      <start>99</start>
      <end>102</end>
      <status>unmodified</status>
      <modifiedWord/>
      <trackRevisions>false</trackRevisions>
    </reviewItem>
    <reviewItem>
      <errorID>31d665a8-c161-44b8-81a6-f45b8db9fe01</errorID>
      <errorWord>)</errorWord>
      <group>L1_Format</group>
      <groupName>格式问题</groupName>
      <ability>L2_HalfPunc_CN</ability>
      <abilityName>全半角检查</abilityName>
      <candidateList>
        <item>）</item>
      </candidateList>
      <explain>文本全半角错误。</explain>
      <paraID> 85F260E</paraID>
      <start>102</start>
      <end>103</end>
      <status>unmodified</status>
      <modifiedWord/>
      <trackRevisions>false</trackRevisions>
    </reviewItem>
    <reviewItem>
      <errorID>d12b3323-af5f-4b28-b99a-243071a05be3</errorID>
      <errorWord>法律、法规</errorWord>
      <group>L1_Word</group>
      <groupName>字词问题</groupName>
      <ability>L2_Typo</ability>
      <abilityName>字词错误</abilityName>
      <candidateList>
        <item>法律法规</item>
      </candidateList>
      <explain/>
      <paraID>6865D893</paraID>
      <start>4</start>
      <end>9</end>
      <status>unmodified</status>
      <modifiedWord/>
      <trackRevisions>false</trackRevisions>
    </reviewItem>
    <reviewItem>
      <errorID>3347898a-41ff-45b6-86d6-19963f6b55dc</errorID>
      <errorWord>-</errorWord>
      <group>L1_Format</group>
      <groupName>格式问题</groupName>
      <ability>L2_HalfPunc_CN</ability>
      <abilityName>全半角检查</abilityName>
      <candidateList>
        <item>－</item>
      </candidateList>
      <explain>文本全半角错误。</explain>
      <paraID> 5DED353</paraID>
      <start>20</start>
      <end>21</end>
      <status>unmodified</status>
      <modifiedWord/>
      <trackRevisions>false</trackRevisions>
    </reviewItem>
    <reviewItem>
      <errorID>308d3bb5-63ac-4c89-9d01-57e5f87c31c1</errorID>
      <errorWord>做出</errorWord>
      <group>L1_Word</group>
      <groupName>字词问题</groupName>
      <ability>L2_Typo</ability>
      <abilityName>字词错误</abilityName>
      <candidateList>
        <item>作出</item>
      </candidateList>
      <explain/>
      <paraID>7EA7389E</paraID>
      <start>116</start>
      <end>118</end>
      <status>unmodified</status>
      <modifiedWord/>
      <trackRevisions>false</trackRevisions>
    </reviewItem>
    <reviewItem>
      <errorID>650271c2-1a22-44ea-9d89-0d6c288f28dd</errorID>
      <errorWord>(</errorWord>
      <group>L1_Format</group>
      <groupName>格式问题</groupName>
      <ability>L2_HalfPunc_CN</ability>
      <abilityName>全半角检查</abilityName>
      <candidateList>
        <item>（</item>
      </candidateList>
      <explain>文本全半角错误。</explain>
      <paraID>21C944D0</paraID>
      <start>4</start>
      <end>5</end>
      <status>unmodified</status>
      <modifiedWord/>
      <trackRevisions>false</trackRevisions>
    </reviewItem>
    <reviewItem>
      <errorID>c8fdb1f2-a4db-4662-9b22-6ba5cdfc0f8a</errorID>
      <errorWord>)</errorWord>
      <group>L1_Format</group>
      <groupName>格式问题</groupName>
      <ability>L2_HalfPunc_CN</ability>
      <abilityName>全半角检查</abilityName>
      <candidateList>
        <item>）</item>
      </candidateList>
      <explain>文本全半角错误。</explain>
      <paraID>21C944D0</paraID>
      <start>14</start>
      <end>15</end>
      <status>unmodified</status>
      <modifiedWord/>
      <trackRevisions>false</trackRevisions>
    </reviewItem>
    <reviewItem>
      <errorID>dd56876f-02c3-4417-be70-54b8f46b10dc</errorID>
      <errorWord>具有</errorWord>
      <group>L1_Word</group>
      <groupName>字词问题</groupName>
      <ability>L2_Typo</ability>
      <abilityName>字词错误</abilityName>
      <candidateList>
        <item>有</item>
      </candidateList>
      <explain>〈书〉同“又”▲：三十～八年。</explain>
      <paraID>1A5E2E78</paraID>
      <start>20</start>
      <end>22</end>
      <status>unmodified</status>
      <modifiedWord/>
      <trackRevisions>false</trackRevisions>
    </reviewItem>
    <reviewItem>
      <errorID>8ddc0efc-4b61-4c70-a148-8e79e4200604</errorID>
      <errorWord>具有</errorWord>
      <group>L1_Word</group>
      <groupName>字词问题</groupName>
      <ability>L2_Typo</ability>
      <abilityName>字词错误</abilityName>
      <candidateList>
        <item>有</item>
      </candidateList>
      <explain>〈书〉同“又”▲：三十～八年。</explain>
      <paraID>1098CF7A</paraID>
      <start>20</start>
      <end>22</end>
      <status>unmodified</status>
      <modifiedWord/>
      <trackRevisions>false</trackRevisions>
    </reviewItem>
    <reviewItem>
      <errorID>a0d05b51-1212-4f56-a85e-5131155f44ae</errorID>
      <errorWord>）内</errorWord>
      <group>L1_Word</group>
      <groupName>字词问题</groupName>
      <ability>L2_Typo</ability>
      <abilityName>字词错误</abilityName>
      <candidateList>
        <item>）</item>
      </candidateList>
      <explain/>
      <paraID>62E357E6</paraID>
      <start>60</start>
      <end>62</end>
      <status>unmodified</status>
      <modifiedWord/>
      <trackRevisions>false</trackRevisions>
    </reviewItem>
    <reviewItem>
      <errorID>266b7ed3-b61b-4c5f-a8b6-e340f5e71cf7</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 979D889</paraID>
      <start>40</start>
      <end>42</end>
      <status>unmodified</status>
      <modifiedWord/>
      <trackRevisions>false</trackRevisions>
    </reviewItem>
    <reviewItem>
      <errorID>d79507ce-b9a3-4fe1-8d69-5ad50c550281</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251B396C</paraID>
      <start>40</start>
      <end>42</end>
      <status>unmodified</status>
      <modifiedWord/>
      <trackRevisions>false</trackRevisions>
    </reviewItem>
    <reviewItem>
      <errorID>8164a418-c755-4060-9cbd-7e997839d2de</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77E289C8</paraID>
      <start>41</start>
      <end>43</end>
      <status>unmodified</status>
      <modifiedWord/>
      <trackRevisions>false</trackRevisions>
    </reviewItem>
    <reviewItem>
      <errorID>69b7775e-7d30-43a9-985a-7beebd3038df</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2D68D695</paraID>
      <start>39</start>
      <end>41</end>
      <status>unmodified</status>
      <modifiedWord/>
      <trackRevisions>false</trackRevisions>
    </reviewItem>
    <reviewItem>
      <errorID>fb8ff22b-3931-4c77-9935-2ac650cefbbb</errorID>
      <errorWord>。】</errorWord>
      <group>L1_Punc</group>
      <groupName>标点问题</groupName>
      <ability>L2_Punc_CN</ability>
      <abilityName>标点符号检查</abilityName>
      <candidateList>
        <item>】</item>
      </candidateList>
      <explain/>
      <paraID>7648A1D2</paraID>
      <start>121</start>
      <end>123</end>
      <status>unmodified</status>
      <modifiedWord/>
      <trackRevisions>false</trackRevisions>
    </reviewItem>
    <reviewItem>
      <errorID>4414caff-2fb8-4304-8413-670c0d4389be</errorID>
      <errorWord>(</errorWord>
      <group>L1_Format</group>
      <groupName>格式问题</groupName>
      <ability>L2_HalfPunc_CN</ability>
      <abilityName>全半角检查</abilityName>
      <candidateList>
        <item>（</item>
      </candidateList>
      <explain>文本全半角错误。</explain>
      <paraID>1F915903</paraID>
      <start>4</start>
      <end>5</end>
      <status>unmodified</status>
      <modifiedWord/>
      <trackRevisions>false</trackRevisions>
    </reviewItem>
    <reviewItem>
      <errorID>98ddd56d-b9fb-496e-9b1e-e020cad4307a</errorID>
      <errorWord>)</errorWord>
      <group>L1_Format</group>
      <groupName>格式问题</groupName>
      <ability>L2_HalfPunc_CN</ability>
      <abilityName>全半角检查</abilityName>
      <candidateList>
        <item>）</item>
      </candidateList>
      <explain>文本全半角错误。</explain>
      <paraID>1F915903</paraID>
      <start>14</start>
      <end>15</end>
      <status>unmodified</status>
      <modifiedWord/>
      <trackRevisions>false</trackRevisions>
    </reviewItem>
    <reviewItem>
      <errorID>a90fa4cf-40a5-4b28-83be-6236d2609d30</errorID>
      <errorWord>具有</errorWord>
      <group>L1_Word</group>
      <groupName>字词问题</groupName>
      <ability>L2_Typo</ability>
      <abilityName>字词错误</abilityName>
      <candidateList>
        <item>有</item>
      </candidateList>
      <explain>〈书〉同“又”▲：三十～八年。</explain>
      <paraID>1E055F02</paraID>
      <start>20</start>
      <end>22</end>
      <status>unmodified</status>
      <modifiedWord/>
      <trackRevisions>false</trackRevisions>
    </reviewItem>
    <reviewItem>
      <errorID>ab30b469-cd07-4be8-9073-6925105a456a</errorID>
      <errorWord>具有</errorWord>
      <group>L1_Word</group>
      <groupName>字词问题</groupName>
      <ability>L2_Typo</ability>
      <abilityName>字词错误</abilityName>
      <candidateList>
        <item>有</item>
      </candidateList>
      <explain>〈书〉同“又”▲：三十～八年。</explain>
      <paraID> B0B813C</paraID>
      <start>20</start>
      <end>22</end>
      <status>unmodified</status>
      <modifiedWord/>
      <trackRevisions>false</trackRevisions>
    </reviewItem>
    <reviewItem>
      <errorID>11172e51-5626-4b76-9f26-9af84c79fed9</errorID>
      <errorWord>）内</errorWord>
      <group>L1_Word</group>
      <groupName>字词问题</groupName>
      <ability>L2_Typo</ability>
      <abilityName>字词错误</abilityName>
      <candidateList>
        <item>）</item>
      </candidateList>
      <explain/>
      <paraID> D7E5842</paraID>
      <start>60</start>
      <end>62</end>
      <status>unmodified</status>
      <modifiedWord/>
      <trackRevisions>false</trackRevisions>
    </reviewItem>
    <reviewItem>
      <errorID>e17cb194-78e3-4430-9565-3b580053d3a2</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5D11A6DE</paraID>
      <start>40</start>
      <end>42</end>
      <status>unmodified</status>
      <modifiedWord/>
      <trackRevisions>false</trackRevisions>
    </reviewItem>
    <reviewItem>
      <errorID>80080ac4-7aa6-40af-a87e-ea7c5ebc10fd</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66F57671</paraID>
      <start>40</start>
      <end>42</end>
      <status>unmodified</status>
      <modifiedWord/>
      <trackRevisions>false</trackRevisions>
    </reviewItem>
    <reviewItem>
      <errorID>a0d8cce1-e0b5-476c-9da7-664052b72e2b</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48D3B5CB</paraID>
      <start>41</start>
      <end>43</end>
      <status>unmodified</status>
      <modifiedWord/>
      <trackRevisions>false</trackRevisions>
    </reviewItem>
    <reviewItem>
      <errorID>06bfb4a0-475b-479f-8387-336dba70a4ed</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6DB1C975</paraID>
      <start>39</start>
      <end>41</end>
      <status>unmodified</status>
      <modifiedWord/>
      <trackRevisions>false</trackRevisions>
    </reviewItem>
    <reviewItem>
      <errorID>37f9ba57-1176-417c-be16-c71ca17cccde</errorID>
      <errorWord>。】</errorWord>
      <group>L1_Punc</group>
      <groupName>标点问题</groupName>
      <ability>L2_Punc_CN</ability>
      <abilityName>标点符号检查</abilityName>
      <candidateList>
        <item>】</item>
      </candidateList>
      <explain/>
      <paraID>1F520819</paraID>
      <start>121</start>
      <end>123</end>
      <status>unmodified</status>
      <modifiedWord/>
      <trackRevisions>false</trackRevisions>
    </reviewItem>
    <reviewItem>
      <errorID>971ad89e-8285-4d73-95a2-25d376316339</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7CC878B</paraID>
      <start>15</start>
      <end>18</end>
      <status>unmodified</status>
      <modifiedWord/>
      <trackRevisions>false</trackRevisions>
    </reviewItem>
    <reviewItem>
      <errorID>294efcb1-00be-430f-b48d-7a7f278f2725</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7CC878B</paraID>
      <start>35</start>
      <end>38</end>
      <status>unmodified</status>
      <modifiedWord/>
      <trackRevisions>false</trackRevisions>
    </reviewItem>
    <reviewItem>
      <errorID>6b7634f8-5b76-46f3-8f22-96670a7bcd0a</errorID>
      <errorWord>法律、法规</errorWord>
      <group>L1_Word</group>
      <groupName>字词问题</groupName>
      <ability>L2_Typo</ability>
      <abilityName>字词错误</abilityName>
      <candidateList>
        <item>法律法规</item>
      </candidateList>
      <explain/>
      <paraID> 7CC878B</paraID>
      <start>50</start>
      <end>55</end>
      <status>unmodified</status>
      <modifiedWord/>
      <trackRevisions>false</trackRevisions>
    </reviewItem>
    <reviewItem>
      <errorID>82333db9-736d-43fe-88e2-f754389da1bb</errorID>
      <errorWord>(</errorWord>
      <group>L1_Format</group>
      <groupName>格式问题</groupName>
      <ability>L2_HalfPunc_CN</ability>
      <abilityName>全半角检查</abilityName>
      <candidateList>
        <item>（</item>
      </candidateList>
      <explain>文本全半角错误。</explain>
      <paraID>682A946E</paraID>
      <start>4</start>
      <end>5</end>
      <status>unmodified</status>
      <modifiedWord/>
      <trackRevisions>false</trackRevisions>
    </reviewItem>
    <reviewItem>
      <errorID>9ce3d19e-7748-4ee9-8b49-f767dad335fc</errorID>
      <errorWord>):</errorWord>
      <group>L1_Format</group>
      <groupName>格式问题</groupName>
      <ability>L2_HalfPunc_CN</ability>
      <abilityName>全半角检查</abilityName>
      <candidateList>
        <item>）：</item>
      </candidateList>
      <explain>文本全半角错误。</explain>
      <paraID>682A946E</paraID>
      <start>8</start>
      <end>10</end>
      <status>unmodified</status>
      <modifiedWord/>
      <trackRevisions>false</trackRevisions>
    </reviewItem>
    <reviewItem>
      <errorID>61cf058a-6eac-4fde-8cb9-244e34d9d57e</errorID>
      <errorWord>:</errorWord>
      <group>L1_Format</group>
      <groupName>格式问题</groupName>
      <ability>L2_HalfPunc_CN</ability>
      <abilityName>全半角检查</abilityName>
      <candidateList>
        <item>：</item>
      </candidateList>
      <explain>文本全半角错误。</explain>
      <paraID>68840091</paraID>
      <start>6</start>
      <end>7</end>
      <status>unmodified</status>
      <modifiedWord/>
      <trackRevisions>false</trackRevisions>
    </reviewItem>
    <reviewItem>
      <errorID>b65b1014-4643-4a98-ab82-2d2c5825ede2</errorID>
      <errorWord>,</errorWord>
      <group>L1_Format</group>
      <groupName>格式问题</groupName>
      <ability>L2_HalfPunc_CN</ability>
      <abilityName>全半角检查</abilityName>
      <candidateList>
        <item>，</item>
      </candidateList>
      <explain>文本全半角错误。</explain>
      <paraID>6693F174</paraID>
      <start>30</start>
      <end>31</end>
      <status>unmodified</status>
      <modifiedWord/>
      <trackRevisions>false</trackRevisions>
    </reviewItem>
    <reviewItem>
      <errorID>df464398-845c-440c-93d1-110f8c483f46</errorID>
      <errorWord>造成损失的，乙方</errorWord>
      <group>L1_Word</group>
      <groupName>字词问题</groupName>
      <ability>L2_Typo</ability>
      <abilityName>字词错误</abilityName>
      <candidateList>
        <item>造成损失的，由乙方</item>
      </candidateList>
      <explain/>
      <paraID>32047D59</paraID>
      <start>82</start>
      <end>90</end>
      <status>unmodified</status>
      <modifiedWord/>
      <trackRevisions>false</trackRevisions>
    </reviewItem>
    <reviewItem>
      <errorID>61296385-9ee3-47ac-91ae-7e75b4680557</errorID>
      <errorWord>(</errorWord>
      <group>L1_Format</group>
      <groupName>格式问题</groupName>
      <ability>L2_HalfPunc_CN</ability>
      <abilityName>全半角检查</abilityName>
      <candidateList>
        <item>（</item>
      </candidateList>
      <explain>文本全半角错误。</explain>
      <paraID>291814DF</paraID>
      <start>6</start>
      <end>7</end>
      <status>unmodified</status>
      <modifiedWord/>
      <trackRevisions>false</trackRevisions>
    </reviewItem>
    <reviewItem>
      <errorID>2ac0c168-a32e-4cc6-84d3-3243229be7f6</errorID>
      <errorWord>):</errorWord>
      <group>L1_Format</group>
      <groupName>格式问题</groupName>
      <ability>L2_HalfPunc_CN</ability>
      <abilityName>全半角检查</abilityName>
      <candidateList>
        <item>）：</item>
      </candidateList>
      <explain>文本全半角错误。</explain>
      <paraID>291814DF</paraID>
      <start>10</start>
      <end>12</end>
      <status>unmodified</status>
      <modifiedWord/>
      <trackRevisions>false</trackRevisions>
    </reviewItem>
    <reviewItem>
      <errorID>ec117b21-7986-4f2b-b06c-98dfb4cf4757</errorID>
      <errorWord>:</errorWord>
      <group>L1_Format</group>
      <groupName>格式问题</groupName>
      <ability>L2_HalfPunc_CN</ability>
      <abilityName>全半角检查</abilityName>
      <candidateList>
        <item>：</item>
      </candidateList>
      <explain>文本全半角错误。</explain>
      <paraID>4B0C6F02</paraID>
      <start>8</start>
      <end>9</end>
      <status>unmodified</status>
      <modifiedWord/>
      <trackRevisions>false</trackRevisions>
    </reviewItem>
    <reviewItem>
      <errorID>32f84497-8741-4721-8a88-c4eea522ca4e</errorID>
      <errorWord>格</errorWord>
      <group>L1_Word</group>
      <groupName>字词问题</groupName>
      <ability>L2_Typo</ability>
      <abilityName>字词错误</abilityName>
      <candidateList>
        <item>格后</item>
      </candidateList>
      <explain/>
      <paraID>680AEBCE</paraID>
      <start>65</start>
      <end>66</end>
      <status>unmodified</status>
      <modifiedWord/>
      <trackRevisions>false</trackRevisions>
    </reviewItem>
    <reviewItem>
      <errorID>1f545cf8-e37c-401e-b49c-cda77d8e646a</errorID>
      <errorWord>由乙方负责承担</errorWord>
      <group>L1_Word</group>
      <groupName>字词问题</groupName>
      <ability>L2_Typo</ability>
      <abilityName>字词错误</abilityName>
      <candidateList>
        <item>由乙方承担</item>
      </candidateList>
      <explain/>
      <paraID>3EF8F4D9</paraID>
      <start>96</start>
      <end>103</end>
      <status>unmodified</status>
      <modifiedWord/>
      <trackRevisions>false</trackRevisions>
    </reviewItem>
    <reviewItem>
      <errorID>cf6f731f-1720-49f0-95e8-7e1af0ae0b42</errorID>
      <errorWord>:</errorWord>
      <group>L1_Format</group>
      <groupName>格式问题</groupName>
      <ability>L2_HalfPunc_CN</ability>
      <abilityName>全半角检查</abilityName>
      <candidateList>
        <item>：</item>
      </candidateList>
      <explain>文本全半角错误。</explain>
      <paraID>3C19F3EB</paraID>
      <start>8</start>
      <end>9</end>
      <status>unmodified</status>
      <modifiedWord/>
      <trackRevisions>false</trackRevisions>
    </reviewItem>
    <reviewItem>
      <errorID>2a81d64c-8866-4ea2-8bc3-10e1aa043c3b</errorID>
      <errorWord>终生</errorWord>
      <group>L1_Word</group>
      <groupName>字词问题</groupName>
      <ability>L2_Typo</ability>
      <abilityName>字词错误</abilityName>
      <candidateList>
        <item>终身</item>
      </candidateList>
      <explain/>
      <paraID>724993D5</paraID>
      <start>48</start>
      <end>50</end>
      <status>unmodified</status>
      <modifiedWord/>
      <trackRevisions>false</trackRevisions>
    </reviewItem>
    <reviewItem>
      <errorID>ef7c7d60-49a4-4bc6-b2c7-d05794ec7000</errorID>
      <errorWord>其它</errorWord>
      <group>L1_Word</group>
      <groupName>字词问题</groupName>
      <ability>L2_Alias</ability>
      <abilityName>也作/曾用词</abilityName>
      <candidateList>
        <item>其他</item>
      </candidateList>
      <explain>词汇[其它]为不规范表述或旧称，其规范书面表述为[其他]。</explain>
      <paraID>1CC2EF68</paraID>
      <start>31</start>
      <end>33</end>
      <status>unmodified</status>
      <modifiedWord/>
      <trackRevisions>false</trackRevisions>
    </reviewItem>
    <reviewItem>
      <errorID>bf2bc9d7-bf30-4aa2-94b1-0bcd102c7559</errorID>
      <errorWord>其它</errorWord>
      <group>L1_Word</group>
      <groupName>字词问题</groupName>
      <ability>L2_Alias</ability>
      <abilityName>也作/曾用词</abilityName>
      <candidateList>
        <item>其他</item>
      </candidateList>
      <explain>词汇[其它]为不规范表述或旧称，其规范书面表述为[其他]。</explain>
      <paraID>674F1FA7</paraID>
      <start>25</start>
      <end>27</end>
      <status>unmodified</status>
      <modifiedWord/>
      <trackRevisions>false</trackRevisions>
    </reviewItem>
    <reviewItem>
      <errorID>36c80c5d-f133-4991-a94a-5917a9beb90d</errorID>
      <errorWord>其它</errorWord>
      <group>L1_Word</group>
      <groupName>字词问题</groupName>
      <ability>L2_Alias</ability>
      <abilityName>也作/曾用词</abilityName>
      <candidateList>
        <item>其他</item>
      </candidateList>
      <explain>词汇[其它]为不规范表述或旧称，其规范书面表述为[其他]。</explain>
      <paraID>71656CC1</paraID>
      <start>2</start>
      <end>4</end>
      <status>unmodified</status>
      <modifiedWord/>
      <trackRevisions>false</trackRevisions>
    </reviewItem>
    <reviewItem>
      <errorID>0a4b4a7f-226e-4280-b48b-51f31730d72c</errorID>
      <errorWord>按《中华人民共和国</errorWord>
      <group>L1_Political</group>
      <groupName>政治性问题</groupName>
      <ability>L2_Unpolitical</ability>
      <abilityName>政治敏感错误</abilityName>
      <candidateList>
        <item>按照《中华人民共和国</item>
      </candidateList>
      <explain/>
      <paraID>71656CC1</paraID>
      <start>8</start>
      <end>17</end>
      <status>unmodified</status>
      <modifiedWord/>
      <trackRevisions>false</trackRevisions>
    </reviewItem>
    <reviewItem>
      <errorID>db94819e-ceeb-4bc9-8e04-18f090718256</errorID>
      <errorWord>签</errorWord>
      <group>L1_Word</group>
      <groupName>字词问题</groupName>
      <ability>L2_Typo</ability>
      <abilityName>字词错误</abilityName>
      <candidateList>
        <item>签订</item>
      </candidateList>
      <explain>〈动〉订立条约或合同并签字：两国～了贸易议定书和支付协定。</explain>
      <paraID>310E8106</paraID>
      <start>27</start>
      <end>28</end>
      <status>unmodified</status>
      <modifiedWord/>
      <trackRevisions>false</trackRevisions>
    </reviewItem>
    <reviewItem>
      <errorID>54e0a070-1271-40c1-9d29-e6de628c7251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73190F3A</paraID>
      <start>0</start>
      <end>2</end>
      <status>unmodified</status>
      <modifiedWord/>
      <trackRevisions>false</trackRevisions>
    </reviewItem>
    <reviewItem>
      <errorID>860b1321-8af9-42b7-93e0-d66969b3316a</errorID>
      <errorWord>国家的</errorWord>
      <group>L1_Word</group>
      <groupName>字词问题</groupName>
      <ability>L2_Typo</ability>
      <abilityName>字词错误</abilityName>
      <candidateList>
        <item>国家</item>
      </candidateList>
      <explain/>
      <paraID>73190F3A</paraID>
      <start>4</start>
      <end>7</end>
      <status>unmodified</status>
      <modifiedWord/>
      <trackRevisions>false</trackRevisions>
    </reviewItem>
    <reviewItem>
      <errorID>0f5f1620-a6e8-433f-94ff-f0f6fb121a07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1F526346</paraID>
      <start>0</start>
      <end>2</end>
      <status>unmodified</status>
      <modifiedWord/>
      <trackRevisions>false</trackRevisions>
    </reviewItem>
    <reviewItem>
      <errorID>df50db92-6114-483c-af71-13e856d92b1b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2C0F59D5</paraID>
      <start>0</start>
      <end>2</end>
      <status>unmodified</status>
      <modifiedWord/>
      <trackRevisions>false</trackRevisions>
    </reviewItem>
    <reviewItem>
      <errorID>65020848-f382-44f7-8cad-9ccf435d38e1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34170F7</paraID>
      <start>0</start>
      <end>2</end>
      <status>unmodified</status>
      <modifiedWord/>
      <trackRevisions>false</trackRevisions>
    </reviewItem>
    <reviewItem>
      <errorID>9ebb80ce-288d-43b5-85f0-0a9ea611d453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7F97194B</paraID>
      <start>0</start>
      <end>2</end>
      <status>unmodified</status>
      <modifiedWord/>
      <trackRevisions>false</trackRevisions>
    </reviewItem>
    <reviewItem>
      <errorID>2a706fc1-2ff6-4646-baec-69f2ae1ec5f0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3396FAC2</paraID>
      <start>0</start>
      <end>2</end>
      <status>unmodified</status>
      <modifiedWord/>
      <trackRevisions>false</trackRevisions>
    </reviewItem>
    <reviewItem>
      <errorID>2046c9fc-b041-431c-ad23-da62a97e9884</errorID>
      <errorWord>法律、法规</errorWord>
      <group>L1_Word</group>
      <groupName>字词问题</groupName>
      <ability>L2_Typo</ability>
      <abilityName>字词错误</abilityName>
      <candidateList>
        <item>法律法规</item>
      </candidateList>
      <explain/>
      <paraID>492808B4</paraID>
      <start>43</start>
      <end>48</end>
      <status>unmodified</status>
      <modifiedWord/>
      <trackRevisions>false</trackRevisions>
    </reviewItem>
    <reviewItem>
      <errorID>ac21e713-457b-472d-bc73-d2d2d14dec98</errorID>
      <errorWord>本</errorWord>
      <group>L1_Word</group>
      <groupName>字词问题</groupName>
      <ability>L2_Typo</ability>
      <abilityName>字词错误</abilityName>
      <candidateList>
        <item>本次</item>
      </candidateList>
      <explain/>
      <paraID>19A1B242</paraID>
      <start>3</start>
      <end>4</end>
      <status>unmodified</status>
      <modifiedWord/>
      <trackRevisions>false</trackRevisions>
    </reviewItem>
    <reviewItem>
      <errorID>59a6855f-5e3f-4422-bc85-729cbc564b30</errorID>
      <errorWord>:</errorWord>
      <group>L1_Format</group>
      <groupName>格式问题</groupName>
      <ability>L2_HalfPunc_CN</ability>
      <abilityName>全半角检查</abilityName>
      <candidateList>
        <item>：</item>
      </candidateList>
      <explain>文本全半角错误。</explain>
      <paraID>231F552A</paraID>
      <start>5</start>
      <end>6</end>
      <status>unmodified</status>
      <modifiedWord/>
      <trackRevisions>false</trackRevisions>
    </reviewItem>
    <reviewItem>
      <errorID>96d13637-1bb0-422b-a05b-151af6b9dd06</errorID>
      <errorWord>(</errorWord>
      <group>L1_Format</group>
      <groupName>格式问题</groupName>
      <ability>L2_HalfPunc_CN</ability>
      <abilityName>全半角检查</abilityName>
      <candidateList>
        <item>（</item>
      </candidateList>
      <explain>文本全半角错误。</explain>
      <paraID>69995689</paraID>
      <start>23</start>
      <end>24</end>
      <status>unmodified</status>
      <modifiedWord/>
      <trackRevisions>false</trackRevisions>
    </reviewItem>
    <reviewItem>
      <errorID>03ffded7-95a6-46d3-babd-5973a5c0210b</errorID>
      <errorWord>)</errorWord>
      <group>L1_Format</group>
      <groupName>格式问题</groupName>
      <ability>L2_HalfPunc_CN</ability>
      <abilityName>全半角检查</abilityName>
      <candidateList>
        <item>）</item>
      </candidateList>
      <explain>文本全半角错误。</explain>
      <paraID>69995689</paraID>
      <start>38</start>
      <end>39</end>
      <status>unmodified</status>
      <modifiedWord/>
      <trackRevisions>false</trackRevisions>
    </reviewItem>
    <reviewItem>
      <errorID>04e43a32-9d94-48bf-aeef-0e58393679e1</errorID>
      <errorWord>:</errorWord>
      <group>L1_Format</group>
      <groupName>格式问题</groupName>
      <ability>L2_HalfPunc_CN</ability>
      <abilityName>全半角检查</abilityName>
      <candidateList>
        <item>：</item>
      </candidateList>
      <explain>文本全半角错误。</explain>
      <paraID>5E19B9E1</paraID>
      <start>1</start>
      <end>2</end>
      <status>unmodified</status>
      <modifiedWord/>
      <trackRevisions>false</trackRevisions>
    </reviewItem>
    <reviewItem>
      <errorID>dd851dda-bcb2-4d4a-a543-dac439a70388</errorID>
      <errorWord>股东大会</errorWord>
      <group>L1_Word</group>
      <groupName>字词问题</groupName>
      <ability>L2_Typo</ability>
      <abilityName>字词错误</abilityName>
      <candidateList>
        <item>股东会</item>
      </candidateList>
      <explain/>
      <paraID>6081AAF4</paraID>
      <start>113</start>
      <end>117</end>
      <status>unmodified</status>
      <modifiedWord/>
      <trackRevisions>false</trackRevisions>
    </reviewItem>
    <reviewItem>
      <errorID>15e43bb9-24af-4844-80eb-dca84ed4d714</errorID>
      <errorWord>(</errorWord>
      <group>L1_Format</group>
      <groupName>格式问题</groupName>
      <ability>L2_HalfPunc_CN</ability>
      <abilityName>全半角检查</abilityName>
      <candidateList>
        <item>（</item>
      </candidateList>
      <explain>文本全半角错误。</explain>
      <paraID>1F3083A7</paraID>
      <start>3</start>
      <end>4</end>
      <status>unmodified</status>
      <modifiedWord/>
      <trackRevisions>false</trackRevisions>
    </reviewItem>
    <reviewItem>
      <errorID>1808b24b-f238-4544-9aa2-b85bd83b3528</errorID>
      <errorWord>)</errorWord>
      <group>L1_Format</group>
      <groupName>格式问题</groupName>
      <ability>L2_HalfPunc_CN</ability>
      <abilityName>全半角检查</abilityName>
      <candidateList>
        <item>）</item>
      </candidateList>
      <explain>文本全半角错误。</explain>
      <paraID>1F3083A7</paraID>
      <start>11</start>
      <end>12</end>
      <status>unmodified</status>
      <modifiedWord/>
      <trackRevisions>false</trackRevisions>
    </reviewItem>
    <reviewItem>
      <errorID>bbc9ea29-a2a2-4d4c-a67f-b1909b53043f</errorID>
      <errorWord>(</errorWord>
      <group>L1_Format</group>
      <groupName>格式问题</groupName>
      <ability>L2_HalfPunc_CN</ability>
      <abilityName>全半角检查</abilityName>
      <candidateList>
        <item>（</item>
      </candidateList>
      <explain>文本全半角错误。</explain>
      <paraID>  C57722</paraID>
      <start>9</start>
      <end>10</end>
      <status>unmodified</status>
      <modifiedWord/>
      <trackRevisions>false</trackRevisions>
    </reviewItem>
    <reviewItem>
      <errorID>6e37b3e8-1fe3-4470-9d21-18e29ab3de51</errorID>
      <errorWord>)</errorWord>
      <group>L1_Format</group>
      <groupName>格式问题</groupName>
      <ability>L2_HalfPunc_CN</ability>
      <abilityName>全半角检查</abilityName>
      <candidateList>
        <item>）</item>
      </candidateList>
      <explain>文本全半角错误。</explain>
      <paraID>  C57722</paraID>
      <start>24</start>
      <end>25</end>
      <status>unmodified</status>
      <modifiedWord/>
      <trackRevisions>false</trackRevisions>
    </reviewItem>
    <reviewItem>
      <errorID>f6ff5219-4d5c-4e65-b872-703713d04155</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37BA8D9B</paraID>
      <start>36</start>
      <end>39</end>
      <status>unmodified</status>
      <modifiedWord/>
      <trackRevisions>false</trackRevisions>
    </reviewItem>
    <reviewItem>
      <errorID>5f810510-e337-4a86-9449-b56a8cfaf66d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C03EDD8</paraID>
      <start>41</start>
      <end>44</end>
      <status>unmodified</status>
      <modifiedWord/>
      <trackRevisions>false</trackRevisions>
    </reviewItem>
    <reviewItem>
      <errorID>aa40c089-b9f1-4ac0-a32f-cf7c6535ca29</errorID>
      <errorWord>(</errorWord>
      <group>L1_Format</group>
      <groupName>格式问题</groupName>
      <ability>L2_HalfPunc_CN</ability>
      <abilityName>全半角检查</abilityName>
      <candidateList>
        <item>（</item>
      </candidateList>
      <explain>文本全半角错误。</explain>
      <paraID>4377FF9E</paraID>
      <start>23</start>
      <end>24</end>
      <status>unmodified</status>
      <modifiedWord/>
      <trackRevisions>false</trackRevisions>
    </reviewItem>
    <reviewItem>
      <errorID>52a73f90-b29d-48ee-af95-ecce27434627</errorID>
      <errorWord>)</errorWord>
      <group>L1_Format</group>
      <groupName>格式问题</groupName>
      <ability>L2_HalfPunc_CN</ability>
      <abilityName>全半角检查</abilityName>
      <candidateList>
        <item>）</item>
      </candidateList>
      <explain>文本全半角错误。</explain>
      <paraID>4377FF9E</paraID>
      <start>38</start>
      <end>39</end>
      <status>unmodified</status>
      <modifiedWord/>
      <trackRevisions>false</trackRevisions>
    </reviewItem>
    <reviewItem>
      <errorID>c0d64fa9-c9e1-464d-bab4-ec9627ed6297</errorID>
      <errorWord>者</errorWord>
      <group>L1_Word</group>
      <groupName>字词问题</groupName>
      <ability>L2_Typo</ability>
      <abilityName>字词错误</abilityName>
      <candidateList>
        <item>者加</item>
      </candidateList>
      <explain/>
      <paraID>4ECC6C21</paraID>
      <start>29</start>
      <end>30</end>
      <status>unmodified</status>
      <modifiedWord/>
      <trackRevisions>false</trackRevisions>
    </reviewItem>
    <reviewItem>
      <errorID>ba5b21d2-cc4c-4941-9565-cf76863e091d</errorID>
      <errorWord>(</errorWord>
      <group>L1_Format</group>
      <groupName>格式问题</groupName>
      <ability>L2_HalfPunc_CN</ability>
      <abilityName>全半角检查</abilityName>
      <candidateList>
        <item>（</item>
      </candidateList>
      <explain>文本全半角错误。</explain>
      <paraID>779BDC60</paraID>
      <start>3</start>
      <end>4</end>
      <status>unmodified</status>
      <modifiedWord/>
      <trackRevisions>false</trackRevisions>
    </reviewItem>
    <reviewItem>
      <errorID>0e3daa7f-1eaa-4df6-8d8e-1e10f1d38e9b</errorID>
      <errorWord>)</errorWord>
      <group>L1_Format</group>
      <groupName>格式问题</groupName>
      <ability>L2_HalfPunc_CN</ability>
      <abilityName>全半角检查</abilityName>
      <candidateList>
        <item>）</item>
      </candidateList>
      <explain>文本全半角错误。</explain>
      <paraID>779BDC60</paraID>
      <start>11</start>
      <end>12</end>
      <status>unmodified</status>
      <modifiedWord/>
      <trackRevisions>false</trackRevisions>
    </reviewItem>
    <reviewItem>
      <errorID>067659e2-fb1d-46e8-9d09-26ecd75eb946</errorID>
      <errorWord>〔2017〕 141号</errorWord>
      <group>L1_Knowledge</group>
      <groupName>知识性问题</groupName>
      <ability>L2_Knowledge</ability>
      <abilityName>其他知识</abilityName>
      <candidateList>
        <item>〔2017〕141号</item>
      </candidateList>
      <explain>发文字号格式错误。</explain>
      <paraID>3BB9B7ED</paraID>
      <start>49</start>
      <end>60</end>
      <status>unmodified</status>
      <modifiedWord/>
      <trackRevisions>false</trackRevisions>
    </reviewItem>
    <reviewItem>
      <errorID>2f9a965c-380e-49b2-b747-7e8ebeed8eb3</errorID>
      <errorWord>(</errorWord>
      <group>L1_Format</group>
      <groupName>格式问题</groupName>
      <ability>L2_HalfPunc_CN</ability>
      <abilityName>全半角检查</abilityName>
      <candidateList>
        <item>（</item>
      </candidateList>
      <explain>文本全半角错误。</explain>
      <paraID>1FB79B7D</paraID>
      <start>3</start>
      <end>4</end>
      <status>unmodified</status>
      <modifiedWord/>
      <trackRevisions>false</trackRevisions>
    </reviewItem>
    <reviewItem>
      <errorID>7ec169e9-9974-4709-a84f-79d667836a21</errorID>
      <errorWord>)</errorWord>
      <group>L1_Format</group>
      <groupName>格式问题</groupName>
      <ability>L2_HalfPunc_CN</ability>
      <abilityName>全半角检查</abilityName>
      <candidateList>
        <item>）</item>
      </candidateList>
      <explain>文本全半角错误。</explain>
      <paraID>1FB79B7D</paraID>
      <start>11</start>
      <end>12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a30bde-6302-4614-aa13-47a3a99761e1}">
  <ds:schemaRefs/>
</ds:datastoreItem>
</file>

<file path=docProps/app.xml><?xml version="1.0" encoding="utf-8"?>
<Properties xmlns="http://schemas.openxmlformats.org/officeDocument/2006/extended-properties" xmlns:vt="http://schemas.openxmlformats.org/officeDocument/2006/docPropsVTypes">
  <Template>Normal.dotm</Template>
  <Pages>84</Pages>
  <Words>73</Words>
  <Characters>102</Characters>
  <Lines>62</Lines>
  <Paragraphs>106</Paragraphs>
  <TotalTime>5</TotalTime>
  <ScaleCrop>false</ScaleCrop>
  <LinksUpToDate>false</LinksUpToDate>
  <CharactersWithSpaces>111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2025-08-26T23:33:00Z</dcterms:created>
  <dc:creator>季威</dc:creator>
  <cp:lastModifiedBy>½一半</cp:lastModifiedBy>
  <dcterms:modified xsi:type="dcterms:W3CDTF">2026-10-29T01:50:31Z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eyJoZGlkIjoiZWZiMjVkYzk2NWU2ZWQ3YTYxZGUwODk5YTdjN2RiNGYiLCJ1c2VySWQiOiI0NjcxODg5MTkifQ==</vt:lpwstr>
  </property>
  <property fmtid="{D5CDD505-2E9C-101B-9397-08002B2CF9AE}" pid="4" name="ICV">
    <vt:lpwstr>85A92A81D08C45289F4035514B9D2E16_13</vt:lpwstr>
  </property>
</Properties>
</file>